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270C5" w:rsidR="00C47DDD" w:rsidP="009B774E" w:rsidRDefault="00C47DDD" w14:paraId="73B7133A" w14:textId="60E97801">
      <w:pPr>
        <w:jc w:val="center"/>
        <w:outlineLvl w:val="0"/>
        <w:rPr>
          <w:rFonts w:asciiTheme="majorBidi" w:hAnsiTheme="majorBidi" w:cstheme="majorBidi"/>
          <w:b/>
        </w:rPr>
      </w:pPr>
      <w:bookmarkStart w:name="_GoBack" w:id="0"/>
      <w:bookmarkEnd w:id="0"/>
      <w:r w:rsidRPr="00C270C5">
        <w:rPr>
          <w:rFonts w:asciiTheme="majorBidi" w:hAnsiTheme="majorBidi" w:cstheme="majorBidi"/>
          <w:b/>
        </w:rPr>
        <w:t>SUPPORTING STATEMENT</w:t>
      </w:r>
    </w:p>
    <w:p w:rsidRPr="00C270C5" w:rsidR="00C47DDD" w:rsidP="009B774E" w:rsidRDefault="00C47DDD" w14:paraId="516985FD" w14:textId="008DDC4B">
      <w:pPr>
        <w:jc w:val="center"/>
        <w:outlineLvl w:val="0"/>
        <w:rPr>
          <w:rFonts w:asciiTheme="majorBidi" w:hAnsiTheme="majorBidi" w:cstheme="majorBidi"/>
          <w:b/>
        </w:rPr>
      </w:pPr>
      <w:r w:rsidRPr="00C270C5">
        <w:rPr>
          <w:rFonts w:asciiTheme="majorBidi" w:hAnsiTheme="majorBidi" w:cstheme="majorBidi"/>
          <w:b/>
        </w:rPr>
        <w:t>FOR AN INFORMATION COLLECTION REQUEST (ICR)</w:t>
      </w:r>
    </w:p>
    <w:p w:rsidRPr="00C270C5" w:rsidR="00C47DDD" w:rsidP="009B774E" w:rsidRDefault="00C47DDD" w14:paraId="584626BB" w14:textId="77777777">
      <w:pPr>
        <w:rPr>
          <w:rFonts w:asciiTheme="majorBidi" w:hAnsiTheme="majorBidi" w:cstheme="majorBidi"/>
        </w:rPr>
      </w:pPr>
    </w:p>
    <w:p w:rsidRPr="00C270C5" w:rsidR="00C47DDD" w:rsidP="009B774E" w:rsidRDefault="00C47DDD" w14:paraId="1648BC63" w14:textId="77777777">
      <w:pPr>
        <w:rPr>
          <w:rFonts w:asciiTheme="majorBidi" w:hAnsiTheme="majorBidi" w:cstheme="majorBidi"/>
          <w:b/>
        </w:rPr>
      </w:pPr>
      <w:r w:rsidRPr="00C270C5">
        <w:rPr>
          <w:rFonts w:asciiTheme="majorBidi" w:hAnsiTheme="majorBidi" w:cstheme="majorBidi"/>
          <w:b/>
        </w:rPr>
        <w:t>1.</w:t>
      </w:r>
      <w:r w:rsidRPr="00C270C5">
        <w:rPr>
          <w:rFonts w:asciiTheme="majorBidi" w:hAnsiTheme="majorBidi" w:cstheme="majorBidi"/>
          <w:b/>
        </w:rPr>
        <w:tab/>
        <w:t>IDENTIFICATION OF THE INFORMATION COLLECTION</w:t>
      </w:r>
    </w:p>
    <w:p w:rsidRPr="00C270C5" w:rsidR="00C47DDD" w:rsidP="009B774E" w:rsidRDefault="193E34D8" w14:paraId="7F6FDD61" w14:textId="12B500F1">
      <w:pPr>
        <w:rPr>
          <w:rFonts w:asciiTheme="majorBidi" w:hAnsiTheme="majorBidi" w:cstheme="majorBidi"/>
        </w:rPr>
      </w:pPr>
      <w:r w:rsidRPr="00C270C5">
        <w:rPr>
          <w:rFonts w:asciiTheme="majorBidi" w:hAnsiTheme="majorBidi" w:cstheme="majorBidi"/>
        </w:rPr>
        <w:t xml:space="preserve"> </w:t>
      </w:r>
    </w:p>
    <w:p w:rsidRPr="00C270C5" w:rsidR="00C47DDD" w:rsidP="009B774E" w:rsidRDefault="00C47DDD" w14:paraId="018CD405" w14:textId="77777777">
      <w:pPr>
        <w:ind w:firstLine="720"/>
        <w:rPr>
          <w:rFonts w:asciiTheme="majorBidi" w:hAnsiTheme="majorBidi" w:cstheme="majorBidi"/>
          <w:b/>
        </w:rPr>
      </w:pPr>
      <w:r w:rsidRPr="00C270C5">
        <w:rPr>
          <w:rFonts w:asciiTheme="majorBidi" w:hAnsiTheme="majorBidi" w:cstheme="majorBidi"/>
          <w:b/>
        </w:rPr>
        <w:t>1(a)</w:t>
      </w:r>
      <w:r w:rsidRPr="00C270C5">
        <w:rPr>
          <w:rFonts w:asciiTheme="majorBidi" w:hAnsiTheme="majorBidi" w:cstheme="majorBidi"/>
          <w:b/>
        </w:rPr>
        <w:tab/>
        <w:t>Title of the Information Collection</w:t>
      </w:r>
    </w:p>
    <w:p w:rsidRPr="00C270C5" w:rsidR="00C47DDD" w:rsidP="009B774E" w:rsidRDefault="00C47DDD" w14:paraId="12AE6803" w14:textId="77777777">
      <w:pPr>
        <w:rPr>
          <w:rFonts w:asciiTheme="majorBidi" w:hAnsiTheme="majorBidi" w:cstheme="majorBidi"/>
        </w:rPr>
      </w:pPr>
    </w:p>
    <w:p w:rsidRPr="00C270C5" w:rsidR="00C47DDD" w:rsidP="009B774E" w:rsidRDefault="00C47DDD" w14:paraId="47D8E44D" w14:textId="30EFC40A">
      <w:pPr>
        <w:ind w:firstLine="720"/>
        <w:rPr>
          <w:rFonts w:asciiTheme="majorBidi" w:hAnsiTheme="majorBidi" w:cstheme="majorBidi"/>
        </w:rPr>
      </w:pPr>
      <w:r w:rsidRPr="00C270C5">
        <w:rPr>
          <w:rFonts w:asciiTheme="majorBidi" w:hAnsiTheme="majorBidi" w:cstheme="majorBidi"/>
        </w:rPr>
        <w:t xml:space="preserve">Application for New and Amended Pesticide Registration </w:t>
      </w:r>
    </w:p>
    <w:p w:rsidRPr="00C270C5" w:rsidR="00C47DDD" w:rsidP="009B774E" w:rsidRDefault="00C47DDD" w14:paraId="66BB3F91" w14:textId="77777777">
      <w:pPr>
        <w:ind w:firstLine="720"/>
        <w:rPr>
          <w:rFonts w:asciiTheme="majorBidi" w:hAnsiTheme="majorBidi" w:cstheme="majorBidi"/>
        </w:rPr>
      </w:pPr>
    </w:p>
    <w:p w:rsidRPr="00C270C5" w:rsidR="005A59D5" w:rsidP="009B774E" w:rsidRDefault="00C47DDD" w14:paraId="5732357C" w14:textId="130C6D66">
      <w:pPr>
        <w:ind w:firstLine="720"/>
        <w:rPr>
          <w:rFonts w:asciiTheme="majorBidi" w:hAnsiTheme="majorBidi" w:cstheme="majorBidi"/>
        </w:rPr>
      </w:pPr>
      <w:r w:rsidRPr="00C270C5">
        <w:rPr>
          <w:rFonts w:asciiTheme="majorBidi" w:hAnsiTheme="majorBidi" w:cstheme="majorBidi"/>
        </w:rPr>
        <w:t>OM</w:t>
      </w:r>
      <w:r w:rsidRPr="00C270C5" w:rsidR="00772F0C">
        <w:rPr>
          <w:rFonts w:asciiTheme="majorBidi" w:hAnsiTheme="majorBidi" w:cstheme="majorBidi"/>
        </w:rPr>
        <w:t>B No.</w:t>
      </w:r>
      <w:r w:rsidRPr="00C270C5" w:rsidR="005A59D5">
        <w:rPr>
          <w:rFonts w:asciiTheme="majorBidi" w:hAnsiTheme="majorBidi" w:cstheme="majorBidi"/>
        </w:rPr>
        <w:t>:</w:t>
      </w:r>
      <w:r w:rsidRPr="00C270C5" w:rsidR="00772F0C">
        <w:rPr>
          <w:rFonts w:asciiTheme="majorBidi" w:hAnsiTheme="majorBidi" w:cstheme="majorBidi"/>
        </w:rPr>
        <w:t xml:space="preserve"> 2070-0060</w:t>
      </w:r>
      <w:r w:rsidRPr="00C270C5" w:rsidR="00772F0C">
        <w:rPr>
          <w:rFonts w:asciiTheme="majorBidi" w:hAnsiTheme="majorBidi" w:cstheme="majorBidi"/>
        </w:rPr>
        <w:tab/>
      </w:r>
      <w:r w:rsidRPr="00C270C5" w:rsidR="00772F0C">
        <w:rPr>
          <w:rFonts w:asciiTheme="majorBidi" w:hAnsiTheme="majorBidi" w:cstheme="majorBidi"/>
        </w:rPr>
        <w:tab/>
        <w:t>EPA No.</w:t>
      </w:r>
      <w:r w:rsidRPr="00C270C5" w:rsidR="005A59D5">
        <w:rPr>
          <w:rFonts w:asciiTheme="majorBidi" w:hAnsiTheme="majorBidi" w:cstheme="majorBidi"/>
        </w:rPr>
        <w:t>:</w:t>
      </w:r>
      <w:r w:rsidRPr="00C270C5" w:rsidR="00772F0C">
        <w:rPr>
          <w:rFonts w:asciiTheme="majorBidi" w:hAnsiTheme="majorBidi" w:cstheme="majorBidi"/>
        </w:rPr>
        <w:t xml:space="preserve"> 0277.</w:t>
      </w:r>
      <w:r w:rsidR="00B37E48">
        <w:rPr>
          <w:rFonts w:asciiTheme="majorBidi" w:hAnsiTheme="majorBidi" w:cstheme="majorBidi"/>
        </w:rPr>
        <w:t>20</w:t>
      </w:r>
    </w:p>
    <w:p w:rsidRPr="00C270C5" w:rsidR="005A59D5" w:rsidP="009B774E" w:rsidRDefault="005A59D5" w14:paraId="3C3AAE3D" w14:textId="37AADD63">
      <w:pPr>
        <w:ind w:firstLine="720"/>
        <w:rPr>
          <w:rFonts w:asciiTheme="majorBidi" w:hAnsiTheme="majorBidi" w:cstheme="majorBidi"/>
        </w:rPr>
      </w:pPr>
      <w:r w:rsidRPr="00C270C5">
        <w:rPr>
          <w:rFonts w:asciiTheme="majorBidi" w:hAnsiTheme="majorBidi" w:cstheme="majorBidi"/>
        </w:rPr>
        <w:t xml:space="preserve">Docket ID No.: </w:t>
      </w:r>
      <w:r w:rsidRPr="00D904D6">
        <w:t>EPA-HQ-OPP-201</w:t>
      </w:r>
      <w:r w:rsidRPr="00D904D6" w:rsidR="00AA0A79">
        <w:t>9</w:t>
      </w:r>
      <w:r w:rsidRPr="00D904D6">
        <w:t>-</w:t>
      </w:r>
      <w:r w:rsidRPr="00D904D6" w:rsidR="00D904D6">
        <w:t>0644</w:t>
      </w:r>
    </w:p>
    <w:p w:rsidRPr="00C270C5" w:rsidR="00C47DDD" w:rsidP="009B774E" w:rsidRDefault="00C47DDD" w14:paraId="00B12ECF" w14:textId="77777777">
      <w:pPr>
        <w:rPr>
          <w:rFonts w:asciiTheme="majorBidi" w:hAnsiTheme="majorBidi" w:cstheme="majorBidi"/>
        </w:rPr>
      </w:pPr>
    </w:p>
    <w:p w:rsidRPr="00C270C5" w:rsidR="00C47DDD" w:rsidP="009B774E" w:rsidRDefault="00C47DDD" w14:paraId="285D7499" w14:textId="77777777">
      <w:pPr>
        <w:ind w:firstLine="720"/>
        <w:rPr>
          <w:rFonts w:asciiTheme="majorBidi" w:hAnsiTheme="majorBidi" w:cstheme="majorBidi"/>
          <w:b/>
        </w:rPr>
      </w:pPr>
      <w:r w:rsidRPr="00C270C5">
        <w:rPr>
          <w:rFonts w:asciiTheme="majorBidi" w:hAnsiTheme="majorBidi" w:cstheme="majorBidi"/>
          <w:b/>
        </w:rPr>
        <w:t>1(b)</w:t>
      </w:r>
      <w:r w:rsidRPr="00C270C5">
        <w:rPr>
          <w:rFonts w:asciiTheme="majorBidi" w:hAnsiTheme="majorBidi" w:cstheme="majorBidi"/>
          <w:b/>
        </w:rPr>
        <w:tab/>
        <w:t>Short Characterization/Abstract</w:t>
      </w:r>
    </w:p>
    <w:p w:rsidRPr="00C270C5" w:rsidR="00C47DDD" w:rsidP="009B774E" w:rsidRDefault="00C47DDD" w14:paraId="244ECA4E" w14:textId="77777777">
      <w:pPr>
        <w:rPr>
          <w:rFonts w:asciiTheme="majorBidi" w:hAnsiTheme="majorBidi" w:cstheme="majorBidi"/>
        </w:rPr>
      </w:pPr>
    </w:p>
    <w:p w:rsidRPr="00C270C5" w:rsidR="00667790" w:rsidP="009B774E" w:rsidRDefault="00EE4D7C" w14:paraId="6307F398" w14:textId="106513FD">
      <w:pPr>
        <w:ind w:firstLine="720"/>
        <w:rPr>
          <w:rFonts w:asciiTheme="majorBidi" w:hAnsiTheme="majorBidi" w:cstheme="majorBidi"/>
          <w:shd w:val="clear" w:color="auto" w:fill="FFFFFF"/>
        </w:rPr>
      </w:pPr>
      <w:r w:rsidRPr="00C270C5">
        <w:rPr>
          <w:rFonts w:asciiTheme="majorBidi" w:hAnsiTheme="majorBidi" w:cstheme="majorBidi"/>
        </w:rPr>
        <w:t xml:space="preserve">This is a renewal of an existing information collection request (ICR) </w:t>
      </w:r>
      <w:r w:rsidRPr="00C270C5" w:rsidR="00C47DDD">
        <w:rPr>
          <w:rFonts w:asciiTheme="majorBidi" w:hAnsiTheme="majorBidi" w:cstheme="majorBidi"/>
        </w:rPr>
        <w:t xml:space="preserve">designed to provide the Environmental Protection Agency (EPA) with </w:t>
      </w:r>
      <w:r w:rsidRPr="00C270C5" w:rsidR="00791009">
        <w:rPr>
          <w:rFonts w:asciiTheme="majorBidi" w:hAnsiTheme="majorBidi" w:cstheme="majorBidi"/>
        </w:rPr>
        <w:t xml:space="preserve">the </w:t>
      </w:r>
      <w:r w:rsidRPr="00C270C5" w:rsidR="00C47DDD">
        <w:rPr>
          <w:rFonts w:asciiTheme="majorBidi" w:hAnsiTheme="majorBidi" w:cstheme="majorBidi"/>
        </w:rPr>
        <w:t xml:space="preserve">necessary </w:t>
      </w:r>
      <w:r w:rsidRPr="00C270C5" w:rsidR="00791009">
        <w:rPr>
          <w:rFonts w:asciiTheme="majorBidi" w:hAnsiTheme="majorBidi" w:cstheme="majorBidi"/>
        </w:rPr>
        <w:t xml:space="preserve">information </w:t>
      </w:r>
      <w:r w:rsidRPr="00C270C5" w:rsidR="00C47DDD">
        <w:rPr>
          <w:rFonts w:asciiTheme="majorBidi" w:hAnsiTheme="majorBidi" w:cstheme="majorBidi"/>
        </w:rPr>
        <w:t xml:space="preserve">to evaluate an application </w:t>
      </w:r>
      <w:r w:rsidRPr="00C270C5" w:rsidR="006066A7">
        <w:rPr>
          <w:rFonts w:asciiTheme="majorBidi" w:hAnsiTheme="majorBidi" w:cstheme="majorBidi"/>
        </w:rPr>
        <w:t xml:space="preserve">for the registration of </w:t>
      </w:r>
      <w:r w:rsidRPr="00C270C5" w:rsidR="00C47DDD">
        <w:rPr>
          <w:rFonts w:asciiTheme="majorBidi" w:hAnsiTheme="majorBidi" w:cstheme="majorBidi"/>
        </w:rPr>
        <w:t>a pesticide product</w:t>
      </w:r>
      <w:r w:rsidRPr="00C270C5" w:rsidR="006066A7">
        <w:rPr>
          <w:rFonts w:asciiTheme="majorBidi" w:hAnsiTheme="majorBidi" w:cstheme="majorBidi"/>
        </w:rPr>
        <w:t>,</w:t>
      </w:r>
      <w:r w:rsidRPr="00C270C5" w:rsidR="00C47DDD">
        <w:rPr>
          <w:rFonts w:asciiTheme="majorBidi" w:hAnsiTheme="majorBidi" w:cstheme="majorBidi"/>
        </w:rPr>
        <w:t xml:space="preserve"> as required under </w:t>
      </w:r>
      <w:r w:rsidRPr="00C270C5" w:rsidR="000F35FE">
        <w:rPr>
          <w:rFonts w:asciiTheme="majorBidi" w:hAnsiTheme="majorBidi" w:cstheme="majorBidi"/>
        </w:rPr>
        <w:t>s</w:t>
      </w:r>
      <w:r w:rsidRPr="00C270C5" w:rsidR="00C47DDD">
        <w:rPr>
          <w:rFonts w:asciiTheme="majorBidi" w:hAnsiTheme="majorBidi" w:cstheme="majorBidi"/>
        </w:rPr>
        <w:t>ection 3 of the Federal Insecticide, Fungicide, and Rodenticide Act</w:t>
      </w:r>
      <w:r w:rsidRPr="00C270C5" w:rsidR="00F114A0">
        <w:rPr>
          <w:rFonts w:asciiTheme="majorBidi" w:hAnsiTheme="majorBidi" w:cstheme="majorBidi"/>
        </w:rPr>
        <w:t xml:space="preserve"> (FIFRA)</w:t>
      </w:r>
      <w:r w:rsidRPr="00C270C5" w:rsidR="00C47DDD">
        <w:rPr>
          <w:rFonts w:asciiTheme="majorBidi" w:hAnsiTheme="majorBidi" w:cstheme="majorBidi"/>
        </w:rPr>
        <w:t xml:space="preserve"> and</w:t>
      </w:r>
      <w:r w:rsidRPr="00C270C5" w:rsidR="00F114A0">
        <w:rPr>
          <w:rFonts w:asciiTheme="majorBidi" w:hAnsiTheme="majorBidi" w:cstheme="majorBidi"/>
        </w:rPr>
        <w:t xml:space="preserve"> </w:t>
      </w:r>
      <w:r w:rsidRPr="00C270C5" w:rsidR="005A59D5">
        <w:rPr>
          <w:rFonts w:asciiTheme="majorBidi" w:hAnsiTheme="majorBidi" w:cstheme="majorBidi"/>
        </w:rPr>
        <w:t xml:space="preserve">section 408 of </w:t>
      </w:r>
      <w:r w:rsidRPr="00C270C5" w:rsidR="00F114A0">
        <w:rPr>
          <w:rFonts w:asciiTheme="majorBidi" w:hAnsiTheme="majorBidi" w:cstheme="majorBidi"/>
        </w:rPr>
        <w:t>the</w:t>
      </w:r>
      <w:r w:rsidRPr="00C270C5" w:rsidR="00C47DDD">
        <w:rPr>
          <w:rFonts w:asciiTheme="majorBidi" w:hAnsiTheme="majorBidi" w:cstheme="majorBidi"/>
        </w:rPr>
        <w:t xml:space="preserve"> Feder</w:t>
      </w:r>
      <w:r w:rsidRPr="00C270C5" w:rsidR="00F114A0">
        <w:rPr>
          <w:rFonts w:asciiTheme="majorBidi" w:hAnsiTheme="majorBidi" w:cstheme="majorBidi"/>
        </w:rPr>
        <w:t>al Food, Drug, and Cosmetic Act</w:t>
      </w:r>
      <w:r w:rsidRPr="00C270C5" w:rsidR="00C47DDD">
        <w:rPr>
          <w:rFonts w:asciiTheme="majorBidi" w:hAnsiTheme="majorBidi" w:cstheme="majorBidi"/>
        </w:rPr>
        <w:t xml:space="preserve"> (FFDCA</w:t>
      </w:r>
      <w:r w:rsidRPr="00C270C5" w:rsidR="00F114A0">
        <w:rPr>
          <w:rFonts w:asciiTheme="majorBidi" w:hAnsiTheme="majorBidi" w:cstheme="majorBidi"/>
        </w:rPr>
        <w:t xml:space="preserve">) </w:t>
      </w:r>
      <w:r w:rsidRPr="00C270C5" w:rsidR="00C47DDD">
        <w:rPr>
          <w:rFonts w:asciiTheme="majorBidi" w:hAnsiTheme="majorBidi" w:cstheme="majorBidi"/>
        </w:rPr>
        <w:t xml:space="preserve">(see </w:t>
      </w:r>
      <w:r w:rsidRPr="00C270C5" w:rsidR="00C47DDD">
        <w:rPr>
          <w:rFonts w:asciiTheme="majorBidi" w:hAnsiTheme="majorBidi" w:cstheme="majorBidi"/>
          <w:b/>
        </w:rPr>
        <w:t>Attachment A</w:t>
      </w:r>
      <w:r w:rsidRPr="00C270C5" w:rsidR="00C47DDD">
        <w:rPr>
          <w:rFonts w:asciiTheme="majorBidi" w:hAnsiTheme="majorBidi" w:cstheme="majorBidi"/>
        </w:rPr>
        <w:t xml:space="preserve">). </w:t>
      </w:r>
      <w:r w:rsidRPr="00C270C5" w:rsidR="00287E6E">
        <w:rPr>
          <w:rFonts w:asciiTheme="majorBidi" w:hAnsiTheme="majorBidi" w:cstheme="majorBidi"/>
        </w:rPr>
        <w:t xml:space="preserve">FIFRA provides EPA </w:t>
      </w:r>
      <w:r w:rsidRPr="00C270C5" w:rsidR="00181061">
        <w:rPr>
          <w:rFonts w:asciiTheme="majorBidi" w:hAnsiTheme="majorBidi" w:cstheme="majorBidi"/>
        </w:rPr>
        <w:t xml:space="preserve">with </w:t>
      </w:r>
      <w:r w:rsidRPr="00C270C5" w:rsidR="00287E6E">
        <w:rPr>
          <w:rFonts w:asciiTheme="majorBidi" w:hAnsiTheme="majorBidi" w:cstheme="majorBidi"/>
        </w:rPr>
        <w:t xml:space="preserve">the authority to regulate the </w:t>
      </w:r>
      <w:r w:rsidRPr="00C270C5" w:rsidR="0022480B">
        <w:rPr>
          <w:rFonts w:asciiTheme="majorBidi" w:hAnsiTheme="majorBidi" w:cstheme="majorBidi"/>
        </w:rPr>
        <w:t xml:space="preserve">distribution, </w:t>
      </w:r>
      <w:r w:rsidRPr="00C270C5" w:rsidR="00287E6E">
        <w:rPr>
          <w:rFonts w:asciiTheme="majorBidi" w:hAnsiTheme="majorBidi" w:cstheme="majorBidi"/>
        </w:rPr>
        <w:t>sale and use of pesticides</w:t>
      </w:r>
      <w:r w:rsidRPr="00C270C5" w:rsidR="00DD3C46">
        <w:rPr>
          <w:rFonts w:asciiTheme="majorBidi" w:hAnsiTheme="majorBidi" w:cstheme="majorBidi"/>
        </w:rPr>
        <w:t xml:space="preserve"> in the</w:t>
      </w:r>
      <w:r w:rsidRPr="00C270C5" w:rsidR="00C47DDD">
        <w:rPr>
          <w:rFonts w:asciiTheme="majorBidi" w:hAnsiTheme="majorBidi" w:cstheme="majorBidi"/>
        </w:rPr>
        <w:t xml:space="preserve"> United States </w:t>
      </w:r>
      <w:r w:rsidR="00866988">
        <w:rPr>
          <w:rFonts w:asciiTheme="majorBidi" w:hAnsiTheme="majorBidi" w:cstheme="majorBidi"/>
        </w:rPr>
        <w:t>and</w:t>
      </w:r>
      <w:r w:rsidRPr="00C270C5" w:rsidR="00C47DDD">
        <w:rPr>
          <w:rFonts w:asciiTheme="majorBidi" w:hAnsiTheme="majorBidi" w:cstheme="majorBidi"/>
        </w:rPr>
        <w:t xml:space="preserve"> ensure that </w:t>
      </w:r>
      <w:r w:rsidR="002C28F6">
        <w:rPr>
          <w:rFonts w:asciiTheme="majorBidi" w:hAnsiTheme="majorBidi" w:cstheme="majorBidi"/>
        </w:rPr>
        <w:t>pesticides</w:t>
      </w:r>
      <w:r w:rsidRPr="00C270C5" w:rsidR="00C47DDD">
        <w:rPr>
          <w:rFonts w:asciiTheme="majorBidi" w:hAnsiTheme="majorBidi" w:cstheme="majorBidi"/>
        </w:rPr>
        <w:t xml:space="preserve"> will not pose unreasonable adverse effects to human health and the environment. Pesticides that meet this test </w:t>
      </w:r>
      <w:r w:rsidRPr="00C270C5" w:rsidR="00EE27EC">
        <w:rPr>
          <w:rFonts w:asciiTheme="majorBidi" w:hAnsiTheme="majorBidi" w:cstheme="majorBidi"/>
        </w:rPr>
        <w:t>receive</w:t>
      </w:r>
      <w:r w:rsidRPr="00C270C5" w:rsidR="00C47DDD">
        <w:rPr>
          <w:rFonts w:asciiTheme="majorBidi" w:hAnsiTheme="majorBidi" w:cstheme="majorBidi"/>
        </w:rPr>
        <w:t xml:space="preserve"> </w:t>
      </w:r>
      <w:r w:rsidRPr="00C270C5" w:rsidR="00FF18FF">
        <w:rPr>
          <w:rFonts w:asciiTheme="majorBidi" w:hAnsiTheme="majorBidi" w:cstheme="majorBidi"/>
        </w:rPr>
        <w:t xml:space="preserve">a </w:t>
      </w:r>
      <w:r w:rsidRPr="00C270C5" w:rsidR="00C47DDD">
        <w:rPr>
          <w:rFonts w:asciiTheme="majorBidi" w:hAnsiTheme="majorBidi" w:cstheme="majorBidi"/>
        </w:rPr>
        <w:t>license or "registration</w:t>
      </w:r>
      <w:r w:rsidRPr="00C270C5" w:rsidR="008E4F7A">
        <w:rPr>
          <w:rFonts w:asciiTheme="majorBidi" w:hAnsiTheme="majorBidi" w:cstheme="majorBidi"/>
        </w:rPr>
        <w:t>.</w:t>
      </w:r>
      <w:r w:rsidRPr="00C270C5" w:rsidR="00C47DDD">
        <w:rPr>
          <w:rFonts w:asciiTheme="majorBidi" w:hAnsiTheme="majorBidi" w:cstheme="majorBidi"/>
        </w:rPr>
        <w:t xml:space="preserve">" </w:t>
      </w:r>
    </w:p>
    <w:p w:rsidRPr="00C270C5" w:rsidR="00C47DDD" w:rsidP="009B774E" w:rsidRDefault="00C47DDD" w14:paraId="118D83C8" w14:textId="77777777">
      <w:pPr>
        <w:ind w:firstLine="720"/>
        <w:rPr>
          <w:rFonts w:asciiTheme="majorBidi" w:hAnsiTheme="majorBidi" w:cstheme="majorBidi"/>
        </w:rPr>
      </w:pPr>
    </w:p>
    <w:p w:rsidRPr="00C270C5" w:rsidR="00FF076C" w:rsidP="009B774E" w:rsidRDefault="004E1187" w14:paraId="730D3DB4" w14:textId="42438535">
      <w:pPr>
        <w:ind w:firstLine="720"/>
        <w:rPr>
          <w:rFonts w:asciiTheme="majorBidi" w:hAnsiTheme="majorBidi" w:cstheme="majorBidi"/>
        </w:rPr>
      </w:pPr>
      <w:r w:rsidRPr="00C270C5">
        <w:rPr>
          <w:rFonts w:asciiTheme="majorBidi" w:hAnsiTheme="majorBidi" w:cstheme="majorBidi"/>
        </w:rPr>
        <w:t xml:space="preserve">An individual or entity wanting to obtain a registration for a pesticide product must submit an application package consisting of information relating to the identity and composition of the product, proposed labeling, and supporting data (or compensation for others’ data) for the product, as outlined in 40 CFR part 158. </w:t>
      </w:r>
      <w:r w:rsidRPr="00C270C5" w:rsidR="00C47DDD">
        <w:rPr>
          <w:rFonts w:asciiTheme="majorBidi" w:hAnsiTheme="majorBidi" w:cstheme="majorBidi"/>
        </w:rPr>
        <w:t xml:space="preserve">The EPA bases registration decisions for pesticides on its evaluation of a battery of test data provided primarily by applicants for registration. </w:t>
      </w:r>
      <w:r w:rsidRPr="00C270C5" w:rsidR="008B226C">
        <w:rPr>
          <w:rFonts w:asciiTheme="majorBidi" w:hAnsiTheme="majorBidi" w:cstheme="majorBidi"/>
        </w:rPr>
        <w:t xml:space="preserve">Required studies include testing to show whether a pesticide has the potential to cause unreasonable adverse human health or environmental effects. </w:t>
      </w:r>
      <w:r w:rsidRPr="00C270C5" w:rsidR="00C47DDD">
        <w:rPr>
          <w:rFonts w:asciiTheme="majorBidi" w:hAnsiTheme="majorBidi" w:cstheme="majorBidi"/>
        </w:rPr>
        <w:t>The Agency currently collects data on physical chemistry, toxicology, environmental fate, ecological effects, worker exposure, residue chemistry, environmental chemistry, and product performance.</w:t>
      </w:r>
      <w:r w:rsidRPr="00C270C5" w:rsidR="004614D0">
        <w:rPr>
          <w:rFonts w:asciiTheme="majorBidi" w:hAnsiTheme="majorBidi" w:cstheme="majorBidi"/>
        </w:rPr>
        <w:t xml:space="preserve"> </w:t>
      </w:r>
      <w:r w:rsidRPr="00C270C5" w:rsidR="00883003">
        <w:rPr>
          <w:rFonts w:asciiTheme="majorBidi" w:hAnsiTheme="majorBidi" w:cstheme="majorBidi"/>
        </w:rPr>
        <w:t xml:space="preserve">The information required is dependent on the use and type of product. </w:t>
      </w:r>
      <w:r w:rsidRPr="00C270C5" w:rsidR="00C47DDD">
        <w:rPr>
          <w:rFonts w:asciiTheme="majorBidi" w:hAnsiTheme="majorBidi" w:cstheme="majorBidi"/>
        </w:rPr>
        <w:t xml:space="preserve">If EPA’s evaluation of the data shows that the statutory requirements of FIFRA are met, a registration is approved. </w:t>
      </w:r>
    </w:p>
    <w:p w:rsidRPr="00C270C5" w:rsidR="001E057B" w:rsidP="009B774E" w:rsidRDefault="001E057B" w14:paraId="526BBAA1" w14:textId="499A2D89">
      <w:pPr>
        <w:rPr>
          <w:rFonts w:asciiTheme="majorBidi" w:hAnsiTheme="majorBidi" w:cstheme="majorBidi"/>
        </w:rPr>
      </w:pPr>
    </w:p>
    <w:p w:rsidRPr="00C270C5" w:rsidR="003A1DDE" w:rsidP="009B774E" w:rsidRDefault="003A1DDE" w14:paraId="1AF68416" w14:textId="77777777">
      <w:pPr>
        <w:ind w:firstLine="720"/>
        <w:rPr>
          <w:rFonts w:asciiTheme="majorBidi" w:hAnsiTheme="majorBidi" w:cstheme="majorBidi"/>
        </w:rPr>
      </w:pPr>
      <w:r w:rsidRPr="00C270C5">
        <w:rPr>
          <w:rFonts w:asciiTheme="majorBidi" w:hAnsiTheme="majorBidi" w:cstheme="majorBidi"/>
        </w:rPr>
        <w:t xml:space="preserve">Registrants may seek, at their discretion, to amend a registration by submitting data and revised, proposed labeling to EPA. Also, registrants of EPA-registered pesticide products can become subject to regulations or guidance which necessitate labeling revisions. The revised labeling is submitted to the Agency as an amendment along with the completed application (EPA Form 8570-1 and other forms as needed; see </w:t>
      </w:r>
      <w:r w:rsidRPr="00C270C5">
        <w:rPr>
          <w:rFonts w:asciiTheme="majorBidi" w:hAnsiTheme="majorBidi" w:cstheme="majorBidi"/>
          <w:b/>
        </w:rPr>
        <w:t>Attachment C</w:t>
      </w:r>
      <w:r w:rsidRPr="00C270C5">
        <w:rPr>
          <w:rFonts w:asciiTheme="majorBidi" w:hAnsiTheme="majorBidi" w:cstheme="majorBidi"/>
        </w:rPr>
        <w:t xml:space="preserve">). </w:t>
      </w:r>
    </w:p>
    <w:p w:rsidRPr="00C270C5" w:rsidR="005A59D5" w:rsidP="009B774E" w:rsidRDefault="005A59D5" w14:paraId="2C87BDC7" w14:textId="77777777">
      <w:pPr>
        <w:rPr>
          <w:rFonts w:asciiTheme="majorBidi" w:hAnsiTheme="majorBidi" w:cstheme="majorBidi"/>
        </w:rPr>
      </w:pPr>
    </w:p>
    <w:p w:rsidRPr="00C270C5" w:rsidR="003465CC" w:rsidP="009B774E" w:rsidRDefault="005A59D5" w14:paraId="6F3A59FE" w14:textId="2EE98F1F">
      <w:pPr>
        <w:ind w:firstLine="720"/>
      </w:pPr>
      <w:r w:rsidRPr="00C270C5">
        <w:t>Under FFDCA, EPA sets tolerances, or maximum residue limits, for pesticide residues on foods</w:t>
      </w:r>
      <w:r w:rsidRPr="00C270C5" w:rsidR="00E76C06">
        <w:t xml:space="preserve">. </w:t>
      </w:r>
      <w:r w:rsidRPr="00C270C5">
        <w:t>EPA may grant exemptions in cases where the pesticide residues do not pose a dietary risk under reasonably foreseeable circumstances.</w:t>
      </w:r>
      <w:r w:rsidRPr="00C270C5" w:rsidR="00D12983">
        <w:t xml:space="preserve"> </w:t>
      </w:r>
      <w:r w:rsidRPr="00C270C5" w:rsidR="0084521B">
        <w:t>I</w:t>
      </w:r>
      <w:r w:rsidRPr="00C270C5" w:rsidR="00D12983">
        <w:t xml:space="preserve">nformation collection activities associated with the tolerance petition process, </w:t>
      </w:r>
      <w:r w:rsidRPr="00C270C5" w:rsidR="0084521B">
        <w:t xml:space="preserve">including generation of residue chemistry data required in 40 CFR </w:t>
      </w:r>
      <w:r w:rsidRPr="00C270C5" w:rsidR="0084521B">
        <w:lastRenderedPageBreak/>
        <w:t xml:space="preserve">part 158 with registration applications for a new food use </w:t>
      </w:r>
      <w:r w:rsidRPr="00C270C5" w:rsidR="00EB5198">
        <w:t xml:space="preserve">of a registered </w:t>
      </w:r>
      <w:r w:rsidRPr="00C270C5" w:rsidR="0084521B">
        <w:t xml:space="preserve">pesticide active ingredient, </w:t>
      </w:r>
      <w:r w:rsidRPr="00C270C5" w:rsidR="00D12983">
        <w:t>are covered separately under OMB Control No. 2070-0024.</w:t>
      </w:r>
    </w:p>
    <w:p w:rsidRPr="00C270C5" w:rsidR="00C47DDD" w:rsidP="009B774E" w:rsidRDefault="00C47DDD" w14:paraId="6B9A7C00" w14:textId="77777777">
      <w:pPr>
        <w:rPr>
          <w:rFonts w:asciiTheme="majorBidi" w:hAnsiTheme="majorBidi" w:cstheme="majorBidi"/>
        </w:rPr>
      </w:pPr>
    </w:p>
    <w:p w:rsidRPr="00C270C5" w:rsidR="00C47DDD" w:rsidP="009B774E" w:rsidRDefault="134A0AF4" w14:paraId="2A8B8567" w14:textId="0E2F02A3">
      <w:pPr>
        <w:ind w:firstLine="720"/>
        <w:rPr>
          <w:rFonts w:asciiTheme="majorBidi" w:hAnsiTheme="majorBidi" w:cstheme="majorBidi"/>
        </w:rPr>
      </w:pPr>
      <w:r w:rsidRPr="00C270C5">
        <w:rPr>
          <w:rFonts w:asciiTheme="majorBidi" w:hAnsiTheme="majorBidi" w:cstheme="majorBidi"/>
        </w:rPr>
        <w:t>In</w:t>
      </w:r>
      <w:r w:rsidRPr="00C270C5" w:rsidR="00C47DDD">
        <w:rPr>
          <w:rFonts w:asciiTheme="majorBidi" w:hAnsiTheme="majorBidi" w:cstheme="majorBidi"/>
        </w:rPr>
        <w:t xml:space="preserve"> </w:t>
      </w:r>
      <w:r w:rsidRPr="00C270C5">
        <w:rPr>
          <w:rFonts w:asciiTheme="majorBidi" w:hAnsiTheme="majorBidi" w:cstheme="majorBidi"/>
        </w:rPr>
        <w:t xml:space="preserve">the context of its conventional pesticide </w:t>
      </w:r>
      <w:r w:rsidRPr="00C270C5" w:rsidR="498E8E20">
        <w:rPr>
          <w:rFonts w:asciiTheme="majorBidi" w:hAnsiTheme="majorBidi" w:cstheme="majorBidi"/>
        </w:rPr>
        <w:t xml:space="preserve">registration </w:t>
      </w:r>
      <w:r w:rsidRPr="00C270C5" w:rsidR="12B5D809">
        <w:rPr>
          <w:rFonts w:asciiTheme="majorBidi" w:hAnsiTheme="majorBidi" w:cstheme="majorBidi"/>
        </w:rPr>
        <w:t>a</w:t>
      </w:r>
      <w:r w:rsidRPr="00C270C5" w:rsidR="31767C52">
        <w:rPr>
          <w:rFonts w:asciiTheme="majorBidi" w:hAnsiTheme="majorBidi" w:cstheme="majorBidi"/>
        </w:rPr>
        <w:t xml:space="preserve">ctivities, </w:t>
      </w:r>
      <w:r w:rsidRPr="00C270C5" w:rsidR="498E8E20">
        <w:rPr>
          <w:rFonts w:asciiTheme="majorBidi" w:hAnsiTheme="majorBidi" w:cstheme="majorBidi"/>
        </w:rPr>
        <w:t>EPA operates a</w:t>
      </w:r>
      <w:r w:rsidRPr="00C270C5">
        <w:rPr>
          <w:rFonts w:asciiTheme="majorBidi" w:hAnsiTheme="majorBidi" w:cstheme="majorBidi"/>
        </w:rPr>
        <w:t xml:space="preserve"> </w:t>
      </w:r>
      <w:r w:rsidRPr="00C270C5" w:rsidR="12B5D809">
        <w:rPr>
          <w:rFonts w:asciiTheme="majorBidi" w:hAnsiTheme="majorBidi" w:cstheme="majorBidi"/>
        </w:rPr>
        <w:t>reduced risk program</w:t>
      </w:r>
      <w:r w:rsidRPr="00C270C5" w:rsidR="00164E16">
        <w:rPr>
          <w:rFonts w:asciiTheme="majorBidi" w:hAnsiTheme="majorBidi" w:cstheme="majorBidi"/>
        </w:rPr>
        <w:t>.</w:t>
      </w:r>
      <w:r w:rsidRPr="00C270C5" w:rsidR="12B5D809">
        <w:rPr>
          <w:rFonts w:asciiTheme="majorBidi" w:hAnsiTheme="majorBidi" w:cstheme="majorBidi"/>
        </w:rPr>
        <w:t xml:space="preserve"> </w:t>
      </w:r>
      <w:r w:rsidRPr="00C270C5" w:rsidR="00164E16">
        <w:rPr>
          <w:rFonts w:asciiTheme="majorBidi" w:hAnsiTheme="majorBidi" w:cstheme="majorBidi"/>
        </w:rPr>
        <w:t>This program</w:t>
      </w:r>
      <w:r w:rsidRPr="00C270C5" w:rsidR="31767C52">
        <w:rPr>
          <w:rFonts w:asciiTheme="majorBidi" w:hAnsiTheme="majorBidi" w:cstheme="majorBidi"/>
        </w:rPr>
        <w:t xml:space="preserve"> offers an incentive </w:t>
      </w:r>
      <w:r w:rsidRPr="00C270C5" w:rsidR="6964E08B">
        <w:rPr>
          <w:rFonts w:asciiTheme="majorBidi" w:hAnsiTheme="majorBidi" w:cstheme="majorBidi"/>
        </w:rPr>
        <w:t xml:space="preserve">through a shortened regulatory review schedule for </w:t>
      </w:r>
      <w:r w:rsidRPr="00C270C5" w:rsidR="31767C52">
        <w:rPr>
          <w:rFonts w:asciiTheme="majorBidi" w:hAnsiTheme="majorBidi" w:cstheme="majorBidi"/>
        </w:rPr>
        <w:t>p</w:t>
      </w:r>
      <w:r w:rsidRPr="00C270C5" w:rsidR="23919254">
        <w:rPr>
          <w:rFonts w:asciiTheme="majorBidi" w:hAnsiTheme="majorBidi" w:cstheme="majorBidi"/>
        </w:rPr>
        <w:t xml:space="preserve">roposed uses that might be </w:t>
      </w:r>
      <w:r w:rsidRPr="00C270C5" w:rsidR="5D13F8C5">
        <w:rPr>
          <w:rFonts w:asciiTheme="majorBidi" w:hAnsiTheme="majorBidi" w:cstheme="majorBidi"/>
        </w:rPr>
        <w:t xml:space="preserve">beneficial to the public and the environment owing </w:t>
      </w:r>
      <w:r w:rsidRPr="00C270C5" w:rsidR="3C934C4E">
        <w:rPr>
          <w:rFonts w:asciiTheme="majorBidi" w:hAnsiTheme="majorBidi" w:cstheme="majorBidi"/>
        </w:rPr>
        <w:t>to their risk profile, compared to alternatives</w:t>
      </w:r>
      <w:r w:rsidRPr="00C270C5" w:rsidR="3636E3D0">
        <w:rPr>
          <w:rFonts w:asciiTheme="majorBidi" w:hAnsiTheme="majorBidi" w:cstheme="majorBidi"/>
        </w:rPr>
        <w:t xml:space="preserve"> for pest control</w:t>
      </w:r>
      <w:r w:rsidRPr="00C270C5" w:rsidR="3C934C4E">
        <w:rPr>
          <w:rFonts w:asciiTheme="majorBidi" w:hAnsiTheme="majorBidi" w:cstheme="majorBidi"/>
        </w:rPr>
        <w:t>.</w:t>
      </w:r>
      <w:r w:rsidRPr="00C270C5" w:rsidR="007841AD">
        <w:rPr>
          <w:rFonts w:asciiTheme="majorBidi" w:hAnsiTheme="majorBidi" w:cstheme="majorBidi"/>
        </w:rPr>
        <w:t xml:space="preserve"> </w:t>
      </w:r>
      <w:r w:rsidRPr="00C270C5" w:rsidR="3C934C4E">
        <w:rPr>
          <w:rFonts w:asciiTheme="majorBidi" w:hAnsiTheme="majorBidi" w:cstheme="majorBidi"/>
        </w:rPr>
        <w:t xml:space="preserve">The reduced risk program </w:t>
      </w:r>
      <w:r w:rsidRPr="00C270C5" w:rsidR="685E050B">
        <w:rPr>
          <w:rFonts w:asciiTheme="majorBidi" w:hAnsiTheme="majorBidi" w:cstheme="majorBidi"/>
        </w:rPr>
        <w:t xml:space="preserve">is </w:t>
      </w:r>
      <w:r w:rsidRPr="00C270C5" w:rsidR="3636E3D0">
        <w:rPr>
          <w:rFonts w:asciiTheme="majorBidi" w:hAnsiTheme="majorBidi" w:cstheme="majorBidi"/>
        </w:rPr>
        <w:t>described in a p</w:t>
      </w:r>
      <w:r w:rsidRPr="00C270C5" w:rsidR="0D716033">
        <w:rPr>
          <w:rFonts w:asciiTheme="majorBidi" w:hAnsiTheme="majorBidi" w:cstheme="majorBidi"/>
        </w:rPr>
        <w:t>olicy notice</w:t>
      </w:r>
      <w:r w:rsidRPr="00C270C5" w:rsidR="00C51A10">
        <w:rPr>
          <w:rFonts w:asciiTheme="majorBidi" w:hAnsiTheme="majorBidi" w:cstheme="majorBidi"/>
        </w:rPr>
        <w:t xml:space="preserve"> known as</w:t>
      </w:r>
      <w:r w:rsidRPr="00C270C5" w:rsidR="00C47DDD">
        <w:rPr>
          <w:rFonts w:asciiTheme="majorBidi" w:hAnsiTheme="majorBidi" w:cstheme="majorBidi"/>
        </w:rPr>
        <w:t xml:space="preserve"> the </w:t>
      </w:r>
      <w:r w:rsidRPr="00C270C5" w:rsidR="00C47DDD">
        <w:rPr>
          <w:rFonts w:asciiTheme="majorBidi" w:hAnsiTheme="majorBidi" w:cstheme="majorBidi"/>
          <w:b/>
        </w:rPr>
        <w:t>Reduced-Risk Initiative</w:t>
      </w:r>
      <w:r w:rsidRPr="00C270C5" w:rsidR="00C47DDD">
        <w:rPr>
          <w:rFonts w:asciiTheme="majorBidi" w:hAnsiTheme="majorBidi" w:cstheme="majorBidi"/>
        </w:rPr>
        <w:t xml:space="preserve"> (</w:t>
      </w:r>
      <w:hyperlink w:history="1" r:id="rId15">
        <w:r w:rsidRPr="00C270C5" w:rsidR="00C47DDD">
          <w:rPr>
            <w:rStyle w:val="Hyperlink"/>
            <w:rFonts w:asciiTheme="majorBidi" w:hAnsiTheme="majorBidi" w:cstheme="majorBidi"/>
            <w:color w:val="auto"/>
          </w:rPr>
          <w:t>PR Notice 97-3, “Guidelines for Expedited Review of Conventional Pesticides under Reduced-Risk Initiative and for Biological Pesticides</w:t>
        </w:r>
      </w:hyperlink>
      <w:r w:rsidRPr="00C270C5" w:rsidR="00C47DDD">
        <w:rPr>
          <w:rFonts w:asciiTheme="majorBidi" w:hAnsiTheme="majorBidi" w:cstheme="majorBidi"/>
        </w:rPr>
        <w:t xml:space="preserve">;” </w:t>
      </w:r>
      <w:r w:rsidRPr="00C270C5" w:rsidR="00626B60">
        <w:rPr>
          <w:rFonts w:asciiTheme="majorBidi" w:hAnsiTheme="majorBidi" w:cstheme="majorBidi"/>
        </w:rPr>
        <w:t>(</w:t>
      </w:r>
      <w:r w:rsidRPr="00C270C5" w:rsidR="00C47DDD">
        <w:rPr>
          <w:rFonts w:asciiTheme="majorBidi" w:hAnsiTheme="majorBidi" w:cstheme="majorBidi"/>
        </w:rPr>
        <w:t xml:space="preserve">see </w:t>
      </w:r>
      <w:r w:rsidRPr="00C270C5" w:rsidR="00C47DDD">
        <w:rPr>
          <w:rFonts w:asciiTheme="majorBidi" w:hAnsiTheme="majorBidi" w:cstheme="majorBidi"/>
          <w:b/>
        </w:rPr>
        <w:t xml:space="preserve">Attachment </w:t>
      </w:r>
      <w:r w:rsidRPr="00C270C5" w:rsidR="00F26DCD">
        <w:rPr>
          <w:rFonts w:asciiTheme="majorBidi" w:hAnsiTheme="majorBidi" w:cstheme="majorBidi"/>
          <w:b/>
        </w:rPr>
        <w:t>D</w:t>
      </w:r>
      <w:r w:rsidRPr="00C270C5" w:rsidR="00C47DDD">
        <w:rPr>
          <w:rFonts w:asciiTheme="majorBidi" w:hAnsiTheme="majorBidi" w:cstheme="majorBidi"/>
        </w:rPr>
        <w:t xml:space="preserve">). </w:t>
      </w:r>
    </w:p>
    <w:p w:rsidRPr="00C270C5" w:rsidR="007D3353" w:rsidP="009B774E" w:rsidRDefault="007D3353" w14:paraId="782774FF" w14:textId="52F626C3">
      <w:pPr>
        <w:rPr>
          <w:rFonts w:asciiTheme="majorBidi" w:hAnsiTheme="majorBidi" w:cstheme="majorBidi"/>
        </w:rPr>
      </w:pPr>
    </w:p>
    <w:p w:rsidRPr="00C270C5" w:rsidR="0021119C" w:rsidP="009B774E" w:rsidRDefault="00D22A94" w14:paraId="6293DCF3" w14:textId="5032D462">
      <w:pPr>
        <w:ind w:firstLine="720"/>
        <w:rPr>
          <w:rFonts w:asciiTheme="majorBidi" w:hAnsiTheme="majorBidi" w:cstheme="majorBidi"/>
        </w:rPr>
      </w:pPr>
      <w:r>
        <w:rPr>
          <w:rFonts w:asciiTheme="majorBidi" w:hAnsiTheme="majorBidi" w:cstheme="majorBidi"/>
        </w:rPr>
        <w:t>In addition, s</w:t>
      </w:r>
      <w:r w:rsidR="0021119C">
        <w:rPr>
          <w:rFonts w:asciiTheme="majorBidi" w:hAnsiTheme="majorBidi" w:cstheme="majorBidi"/>
        </w:rPr>
        <w:t xml:space="preserve">everal new proposed actions </w:t>
      </w:r>
      <w:r w:rsidR="00322D54">
        <w:rPr>
          <w:rFonts w:asciiTheme="majorBidi" w:hAnsiTheme="majorBidi" w:cstheme="majorBidi"/>
        </w:rPr>
        <w:t xml:space="preserve">or programs </w:t>
      </w:r>
      <w:r>
        <w:rPr>
          <w:rFonts w:asciiTheme="majorBidi" w:hAnsiTheme="majorBidi" w:cstheme="majorBidi"/>
        </w:rPr>
        <w:t xml:space="preserve">are </w:t>
      </w:r>
      <w:r w:rsidR="0021119C">
        <w:rPr>
          <w:rFonts w:asciiTheme="majorBidi" w:hAnsiTheme="majorBidi" w:cstheme="majorBidi"/>
        </w:rPr>
        <w:t xml:space="preserve">included in this ICR.  These </w:t>
      </w:r>
      <w:r w:rsidR="00375BC1">
        <w:rPr>
          <w:rFonts w:asciiTheme="majorBidi" w:hAnsiTheme="majorBidi" w:cstheme="majorBidi"/>
        </w:rPr>
        <w:t xml:space="preserve">actions are anticipated to come online in the next three years. </w:t>
      </w:r>
      <w:r w:rsidR="0021119C">
        <w:rPr>
          <w:rFonts w:asciiTheme="majorBidi" w:hAnsiTheme="majorBidi" w:cstheme="majorBidi"/>
        </w:rPr>
        <w:t xml:space="preserve">The </w:t>
      </w:r>
      <w:r w:rsidR="003D43AD">
        <w:rPr>
          <w:rFonts w:asciiTheme="majorBidi" w:hAnsiTheme="majorBidi" w:cstheme="majorBidi"/>
        </w:rPr>
        <w:t xml:space="preserve">respondent </w:t>
      </w:r>
      <w:r w:rsidR="0021119C">
        <w:rPr>
          <w:rFonts w:asciiTheme="majorBidi" w:hAnsiTheme="majorBidi" w:cstheme="majorBidi"/>
        </w:rPr>
        <w:t>burden associated with the following activities will be</w:t>
      </w:r>
      <w:r w:rsidR="00526A9F">
        <w:rPr>
          <w:rFonts w:asciiTheme="majorBidi" w:hAnsiTheme="majorBidi" w:cstheme="majorBidi"/>
        </w:rPr>
        <w:t xml:space="preserve"> estimated </w:t>
      </w:r>
      <w:r w:rsidR="00504FE0">
        <w:rPr>
          <w:rFonts w:asciiTheme="majorBidi" w:hAnsiTheme="majorBidi" w:cstheme="majorBidi"/>
        </w:rPr>
        <w:t xml:space="preserve">in this </w:t>
      </w:r>
      <w:r w:rsidR="00067701">
        <w:rPr>
          <w:rFonts w:asciiTheme="majorBidi" w:hAnsiTheme="majorBidi" w:cstheme="majorBidi"/>
        </w:rPr>
        <w:t>ICR and</w:t>
      </w:r>
      <w:r w:rsidR="0099473F">
        <w:rPr>
          <w:rFonts w:asciiTheme="majorBidi" w:hAnsiTheme="majorBidi" w:cstheme="majorBidi"/>
        </w:rPr>
        <w:t xml:space="preserve"> will be further updated in future iterations </w:t>
      </w:r>
      <w:r w:rsidR="00504FE0">
        <w:rPr>
          <w:rFonts w:asciiTheme="majorBidi" w:hAnsiTheme="majorBidi" w:cstheme="majorBidi"/>
        </w:rPr>
        <w:t>as the details of these programs are finalized</w:t>
      </w:r>
      <w:r w:rsidR="00BD017B">
        <w:rPr>
          <w:rFonts w:asciiTheme="majorBidi" w:hAnsiTheme="majorBidi" w:cstheme="majorBidi"/>
        </w:rPr>
        <w:t xml:space="preserve"> and data is </w:t>
      </w:r>
      <w:r w:rsidR="00322D54">
        <w:rPr>
          <w:rFonts w:asciiTheme="majorBidi" w:hAnsiTheme="majorBidi" w:cstheme="majorBidi"/>
        </w:rPr>
        <w:t>collected about the programs</w:t>
      </w:r>
      <w:r w:rsidR="0021119C">
        <w:rPr>
          <w:rFonts w:asciiTheme="majorBidi" w:hAnsiTheme="majorBidi" w:cstheme="majorBidi"/>
        </w:rPr>
        <w:t>.</w:t>
      </w:r>
      <w:r w:rsidRPr="0099473F" w:rsidR="0099473F">
        <w:rPr>
          <w:rFonts w:asciiTheme="majorBidi" w:hAnsiTheme="majorBidi" w:cstheme="majorBidi"/>
        </w:rPr>
        <w:t xml:space="preserve"> </w:t>
      </w:r>
      <w:r w:rsidR="0099473F">
        <w:rPr>
          <w:rFonts w:asciiTheme="majorBidi" w:hAnsiTheme="majorBidi" w:cstheme="majorBidi"/>
        </w:rPr>
        <w:t xml:space="preserve">While agency burden for the development of these </w:t>
      </w:r>
      <w:r w:rsidR="00322D54">
        <w:rPr>
          <w:rFonts w:asciiTheme="majorBidi" w:hAnsiTheme="majorBidi" w:cstheme="majorBidi"/>
        </w:rPr>
        <w:t xml:space="preserve">programs </w:t>
      </w:r>
      <w:r w:rsidR="0099473F">
        <w:rPr>
          <w:rFonts w:asciiTheme="majorBidi" w:hAnsiTheme="majorBidi" w:cstheme="majorBidi"/>
        </w:rPr>
        <w:t>is captured in section 6</w:t>
      </w:r>
      <w:r w:rsidR="00802D09">
        <w:rPr>
          <w:rFonts w:asciiTheme="majorBidi" w:hAnsiTheme="majorBidi" w:cstheme="majorBidi"/>
        </w:rPr>
        <w:t xml:space="preserve"> of this ICR</w:t>
      </w:r>
      <w:r w:rsidR="0099473F">
        <w:rPr>
          <w:rFonts w:asciiTheme="majorBidi" w:hAnsiTheme="majorBidi" w:cstheme="majorBidi"/>
        </w:rPr>
        <w:t xml:space="preserve"> below, this burden will not be broken out separately.</w:t>
      </w:r>
    </w:p>
    <w:p w:rsidRPr="00C270C5" w:rsidR="00FB5659" w:rsidP="009B774E" w:rsidRDefault="00FB5659" w14:paraId="4711ED3C" w14:textId="77777777">
      <w:pPr>
        <w:ind w:firstLine="720"/>
        <w:rPr>
          <w:rFonts w:asciiTheme="majorBidi" w:hAnsiTheme="majorBidi" w:cstheme="majorBidi"/>
        </w:rPr>
      </w:pPr>
    </w:p>
    <w:p w:rsidRPr="00C270C5" w:rsidR="00FB5659" w:rsidP="009B774E" w:rsidRDefault="00FB5659" w14:paraId="0AF0BB90" w14:textId="05BA0CD4">
      <w:pPr>
        <w:rPr>
          <w:rFonts w:asciiTheme="majorBidi" w:hAnsiTheme="majorBidi" w:cstheme="majorBidi"/>
          <w:i/>
        </w:rPr>
      </w:pPr>
      <w:r w:rsidRPr="00C270C5">
        <w:rPr>
          <w:rFonts w:asciiTheme="majorBidi" w:hAnsiTheme="majorBidi" w:cstheme="majorBidi"/>
          <w:i/>
        </w:rPr>
        <w:t>Pesticide Registration Improvement Act</w:t>
      </w:r>
    </w:p>
    <w:p w:rsidRPr="00C270C5" w:rsidR="00FB5659" w:rsidP="009B774E" w:rsidRDefault="00FB5659" w14:paraId="75E05EEF" w14:textId="3F7A3663">
      <w:pPr>
        <w:rPr>
          <w:rFonts w:asciiTheme="majorBidi" w:hAnsiTheme="majorBidi" w:cstheme="majorBidi"/>
        </w:rPr>
      </w:pPr>
    </w:p>
    <w:p w:rsidRPr="00C270C5" w:rsidR="00587DF7" w:rsidP="009B774E" w:rsidRDefault="003B3EB4" w14:paraId="6BBEA13B" w14:textId="26150DE4">
      <w:pPr>
        <w:ind w:firstLine="720"/>
        <w:rPr>
          <w:rFonts w:asciiTheme="majorBidi" w:hAnsiTheme="majorBidi" w:cstheme="majorBidi"/>
          <w:shd w:val="clear" w:color="auto" w:fill="FFFFFF"/>
        </w:rPr>
      </w:pPr>
      <w:r w:rsidRPr="00C270C5">
        <w:rPr>
          <w:shd w:val="clear" w:color="auto" w:fill="FFFFFF"/>
        </w:rPr>
        <w:t>Several new fee-for-service categories</w:t>
      </w:r>
      <w:r w:rsidRPr="00C270C5" w:rsidR="007E4A60">
        <w:rPr>
          <w:shd w:val="clear" w:color="auto" w:fill="FFFFFF"/>
        </w:rPr>
        <w:t xml:space="preserve"> </w:t>
      </w:r>
      <w:r w:rsidRPr="00C270C5" w:rsidR="0063397D">
        <w:rPr>
          <w:shd w:val="clear" w:color="auto" w:fill="FFFFFF"/>
        </w:rPr>
        <w:t xml:space="preserve">came online after the </w:t>
      </w:r>
      <w:r w:rsidRPr="00C270C5" w:rsidR="00204BEE">
        <w:rPr>
          <w:shd w:val="clear" w:color="auto" w:fill="FFFFFF"/>
        </w:rPr>
        <w:t>Pesticide Registration Improvement Act</w:t>
      </w:r>
      <w:r w:rsidRPr="00C270C5" w:rsidR="00F72AC4">
        <w:rPr>
          <w:shd w:val="clear" w:color="auto" w:fill="FFFFFF"/>
        </w:rPr>
        <w:t xml:space="preserve"> (PRIA)</w:t>
      </w:r>
      <w:r w:rsidRPr="00C270C5" w:rsidR="001B07A3">
        <w:rPr>
          <w:shd w:val="clear" w:color="auto" w:fill="FFFFFF"/>
        </w:rPr>
        <w:t xml:space="preserve"> </w:t>
      </w:r>
      <w:r w:rsidRPr="00C270C5" w:rsidR="0063397D">
        <w:rPr>
          <w:shd w:val="clear" w:color="auto" w:fill="FFFFFF"/>
        </w:rPr>
        <w:t>was reauthorized in</w:t>
      </w:r>
      <w:r w:rsidRPr="00C270C5" w:rsidR="000C0E10">
        <w:rPr>
          <w:shd w:val="clear" w:color="auto" w:fill="FFFFFF"/>
        </w:rPr>
        <w:t xml:space="preserve"> March</w:t>
      </w:r>
      <w:r w:rsidRPr="00C270C5" w:rsidR="001B07A3">
        <w:rPr>
          <w:shd w:val="clear" w:color="auto" w:fill="FFFFFF"/>
        </w:rPr>
        <w:t xml:space="preserve"> 2019.</w:t>
      </w:r>
      <w:r w:rsidR="00CA49B4">
        <w:rPr>
          <w:shd w:val="clear" w:color="auto" w:fill="FFFFFF"/>
        </w:rPr>
        <w:t xml:space="preserve"> </w:t>
      </w:r>
      <w:r w:rsidRPr="00C270C5" w:rsidR="00694EC6">
        <w:rPr>
          <w:rFonts w:asciiTheme="majorBidi" w:hAnsiTheme="majorBidi" w:cstheme="majorBidi"/>
          <w:lang w:val="en"/>
        </w:rPr>
        <w:t xml:space="preserve">Due </w:t>
      </w:r>
      <w:r w:rsidRPr="00C270C5" w:rsidR="00BA5FED">
        <w:rPr>
          <w:rFonts w:asciiTheme="majorBidi" w:hAnsiTheme="majorBidi" w:cstheme="majorBidi"/>
          <w:lang w:val="en"/>
        </w:rPr>
        <w:t>to th</w:t>
      </w:r>
      <w:r w:rsidRPr="00C270C5" w:rsidR="00344F00">
        <w:rPr>
          <w:rFonts w:asciiTheme="majorBidi" w:hAnsiTheme="majorBidi" w:cstheme="majorBidi"/>
          <w:lang w:val="en"/>
        </w:rPr>
        <w:t xml:space="preserve">e novelty of </w:t>
      </w:r>
      <w:r w:rsidRPr="00C270C5" w:rsidR="00CA75B2">
        <w:rPr>
          <w:rFonts w:asciiTheme="majorBidi" w:hAnsiTheme="majorBidi" w:cstheme="majorBidi"/>
          <w:lang w:val="en"/>
        </w:rPr>
        <w:t>the</w:t>
      </w:r>
      <w:r w:rsidRPr="00C270C5" w:rsidR="00554200">
        <w:rPr>
          <w:rFonts w:asciiTheme="majorBidi" w:hAnsiTheme="majorBidi" w:cstheme="majorBidi"/>
          <w:lang w:val="en"/>
        </w:rPr>
        <w:t>se</w:t>
      </w:r>
      <w:r w:rsidRPr="00C270C5" w:rsidR="00F21E06">
        <w:rPr>
          <w:rFonts w:asciiTheme="majorBidi" w:hAnsiTheme="majorBidi" w:cstheme="majorBidi"/>
          <w:lang w:val="en"/>
        </w:rPr>
        <w:t xml:space="preserve"> categories</w:t>
      </w:r>
      <w:r w:rsidRPr="00C270C5" w:rsidR="00CA75B2">
        <w:rPr>
          <w:rFonts w:asciiTheme="majorBidi" w:hAnsiTheme="majorBidi" w:cstheme="majorBidi"/>
          <w:lang w:val="en"/>
        </w:rPr>
        <w:t>,</w:t>
      </w:r>
      <w:r w:rsidRPr="00C270C5" w:rsidR="00CA6789">
        <w:rPr>
          <w:rFonts w:asciiTheme="majorBidi" w:hAnsiTheme="majorBidi" w:cstheme="majorBidi"/>
          <w:lang w:val="en"/>
        </w:rPr>
        <w:t xml:space="preserve"> </w:t>
      </w:r>
      <w:r w:rsidRPr="00C270C5" w:rsidR="00BF265D">
        <w:rPr>
          <w:rFonts w:asciiTheme="majorBidi" w:hAnsiTheme="majorBidi" w:cstheme="majorBidi"/>
          <w:lang w:val="en"/>
        </w:rPr>
        <w:t xml:space="preserve">EPA </w:t>
      </w:r>
      <w:r w:rsidRPr="00C270C5" w:rsidR="002103BE">
        <w:rPr>
          <w:rFonts w:asciiTheme="majorBidi" w:hAnsiTheme="majorBidi" w:cstheme="majorBidi"/>
          <w:lang w:val="en"/>
        </w:rPr>
        <w:t xml:space="preserve">has not yet defined their </w:t>
      </w:r>
      <w:r w:rsidRPr="00C270C5" w:rsidR="00BF265D">
        <w:rPr>
          <w:rFonts w:asciiTheme="majorBidi" w:hAnsiTheme="majorBidi" w:cstheme="majorBidi"/>
          <w:lang w:val="en"/>
        </w:rPr>
        <w:t>scope</w:t>
      </w:r>
      <w:r w:rsidR="00E45EAF">
        <w:rPr>
          <w:rFonts w:asciiTheme="majorBidi" w:hAnsiTheme="majorBidi" w:cstheme="majorBidi"/>
          <w:lang w:val="en"/>
        </w:rPr>
        <w:t>,</w:t>
      </w:r>
      <w:r w:rsidRPr="00C270C5" w:rsidR="00BF265D">
        <w:rPr>
          <w:rFonts w:asciiTheme="majorBidi" w:hAnsiTheme="majorBidi" w:cstheme="majorBidi"/>
          <w:lang w:val="en"/>
        </w:rPr>
        <w:t xml:space="preserve"> </w:t>
      </w:r>
      <w:r w:rsidRPr="00C270C5" w:rsidR="00232306">
        <w:rPr>
          <w:rFonts w:asciiTheme="majorBidi" w:hAnsiTheme="majorBidi" w:cstheme="majorBidi"/>
          <w:lang w:val="en"/>
        </w:rPr>
        <w:t>but anticipates</w:t>
      </w:r>
      <w:r w:rsidRPr="00C270C5" w:rsidR="008B7F36">
        <w:rPr>
          <w:rFonts w:asciiTheme="majorBidi" w:hAnsiTheme="majorBidi" w:cstheme="majorBidi"/>
          <w:lang w:val="en"/>
        </w:rPr>
        <w:t>, among other actions,</w:t>
      </w:r>
      <w:r w:rsidRPr="00C270C5" w:rsidR="00232306">
        <w:rPr>
          <w:rFonts w:asciiTheme="majorBidi" w:hAnsiTheme="majorBidi" w:cstheme="majorBidi"/>
          <w:lang w:val="en"/>
        </w:rPr>
        <w:t xml:space="preserve"> </w:t>
      </w:r>
      <w:r w:rsidRPr="00C270C5" w:rsidR="009E3261">
        <w:rPr>
          <w:rFonts w:asciiTheme="majorBidi" w:hAnsiTheme="majorBidi" w:cstheme="majorBidi"/>
          <w:lang w:val="en"/>
        </w:rPr>
        <w:t xml:space="preserve">that they will allow </w:t>
      </w:r>
      <w:r w:rsidRPr="00C270C5" w:rsidR="008D0FC4">
        <w:rPr>
          <w:rFonts w:asciiTheme="majorBidi" w:hAnsiTheme="majorBidi" w:cstheme="majorBidi"/>
          <w:lang w:val="en"/>
        </w:rPr>
        <w:t>applicants</w:t>
      </w:r>
      <w:r w:rsidRPr="00C270C5" w:rsidR="00E72C48">
        <w:rPr>
          <w:rFonts w:asciiTheme="majorBidi" w:hAnsiTheme="majorBidi" w:cstheme="majorBidi"/>
          <w:lang w:val="en"/>
        </w:rPr>
        <w:t xml:space="preserve"> to </w:t>
      </w:r>
      <w:r w:rsidRPr="00C270C5" w:rsidR="00E72C48">
        <w:rPr>
          <w:rFonts w:asciiTheme="majorBidi" w:hAnsiTheme="majorBidi" w:cstheme="majorBidi"/>
        </w:rPr>
        <w:t>seek an EPA determination of whether an active ingredient or product would require regulation under FIFRA.</w:t>
      </w:r>
      <w:r w:rsidRPr="00C270C5" w:rsidR="00714D96">
        <w:t xml:space="preserve"> </w:t>
      </w:r>
      <w:r w:rsidRPr="00C270C5" w:rsidR="008B5691">
        <w:t>Examples of these determinations may include, but are not limited to</w:t>
      </w:r>
      <w:r w:rsidRPr="00C270C5" w:rsidR="00293C54">
        <w:t>,</w:t>
      </w:r>
      <w:r w:rsidRPr="00C270C5" w:rsidR="008B5691">
        <w:t xml:space="preserve"> the following: </w:t>
      </w:r>
      <w:r w:rsidRPr="00C270C5" w:rsidR="008B5691">
        <w:rPr>
          <w:rFonts w:asciiTheme="majorBidi" w:hAnsiTheme="majorBidi" w:cstheme="majorBidi"/>
        </w:rPr>
        <w:t>pesticide device determinations; pesticidal active ingredient determinations; treated article exemption evaluations; minimum risk pesticide determinations; barrier evaluations</w:t>
      </w:r>
      <w:r w:rsidRPr="00C270C5" w:rsidR="00CA1A82">
        <w:rPr>
          <w:rFonts w:asciiTheme="majorBidi" w:hAnsiTheme="majorBidi" w:cstheme="majorBidi"/>
        </w:rPr>
        <w:t>, and</w:t>
      </w:r>
      <w:r w:rsidRPr="00C270C5" w:rsidR="008B5691">
        <w:rPr>
          <w:rFonts w:asciiTheme="majorBidi" w:hAnsiTheme="majorBidi" w:cstheme="majorBidi"/>
        </w:rPr>
        <w:t xml:space="preserve"> plant growth regulators/bio</w:t>
      </w:r>
      <w:r w:rsidRPr="00C270C5" w:rsidR="00B74D02">
        <w:rPr>
          <w:rFonts w:asciiTheme="majorBidi" w:hAnsiTheme="majorBidi" w:cstheme="majorBidi"/>
        </w:rPr>
        <w:t>-</w:t>
      </w:r>
      <w:r w:rsidRPr="00C270C5" w:rsidR="008B5691">
        <w:rPr>
          <w:rFonts w:asciiTheme="majorBidi" w:hAnsiTheme="majorBidi" w:cstheme="majorBidi"/>
        </w:rPr>
        <w:t xml:space="preserve">stimulants. </w:t>
      </w:r>
      <w:r w:rsidRPr="00C270C5" w:rsidR="00055CEA">
        <w:t xml:space="preserve">EPA will </w:t>
      </w:r>
      <w:r w:rsidRPr="00C270C5" w:rsidR="00BF0F50">
        <w:t>re</w:t>
      </w:r>
      <w:r w:rsidRPr="00C270C5" w:rsidR="00FC66B4">
        <w:t xml:space="preserve">assess the implications of these new PRIA categories </w:t>
      </w:r>
      <w:r w:rsidRPr="00C270C5" w:rsidR="00601236">
        <w:t xml:space="preserve">and </w:t>
      </w:r>
      <w:r w:rsidRPr="00C270C5" w:rsidR="00A95B15">
        <w:t>the</w:t>
      </w:r>
      <w:r w:rsidRPr="00C270C5" w:rsidR="00FC66B4">
        <w:t xml:space="preserve">ir </w:t>
      </w:r>
      <w:r w:rsidRPr="00C270C5" w:rsidR="00A95B15">
        <w:t>associated</w:t>
      </w:r>
      <w:r w:rsidRPr="00C270C5" w:rsidR="00FC66B4">
        <w:t xml:space="preserve"> burden</w:t>
      </w:r>
      <w:r w:rsidRPr="00C270C5" w:rsidR="00A95B15">
        <w:t xml:space="preserve"> </w:t>
      </w:r>
      <w:r w:rsidRPr="00C270C5" w:rsidR="00055CEA">
        <w:t>with data generated</w:t>
      </w:r>
      <w:r w:rsidRPr="00C270C5" w:rsidR="00A95B15">
        <w:t xml:space="preserve"> </w:t>
      </w:r>
      <w:r w:rsidRPr="00C270C5" w:rsidR="009F46D2">
        <w:t>as the</w:t>
      </w:r>
      <w:r w:rsidRPr="00C270C5" w:rsidR="00A95B15">
        <w:t xml:space="preserve"> program matures</w:t>
      </w:r>
      <w:r w:rsidRPr="00C270C5" w:rsidR="00055CEA">
        <w:t>.</w:t>
      </w:r>
      <w:r w:rsidRPr="00C270C5" w:rsidR="00470D92">
        <w:t xml:space="preserve"> </w:t>
      </w:r>
      <w:r w:rsidRPr="00C270C5" w:rsidR="00587DF7">
        <w:rPr>
          <w:rFonts w:asciiTheme="majorBidi" w:hAnsiTheme="majorBidi" w:cstheme="majorBidi"/>
          <w:shd w:val="clear" w:color="auto" w:fill="FFFFFF"/>
        </w:rPr>
        <w:t xml:space="preserve">The paperwork burden associated with PRIA fees is covered under a separate ICR, OMB Control No. </w:t>
      </w:r>
      <w:r w:rsidRPr="00C270C5" w:rsidR="00587DF7">
        <w:rPr>
          <w:bCs/>
        </w:rPr>
        <w:t>2070-0179.</w:t>
      </w:r>
      <w:r w:rsidRPr="00C270C5" w:rsidR="00587DF7">
        <w:rPr>
          <w:b/>
        </w:rPr>
        <w:t xml:space="preserve"> </w:t>
      </w:r>
    </w:p>
    <w:p w:rsidRPr="00C270C5" w:rsidR="00740FE7" w:rsidP="009B774E" w:rsidRDefault="00740FE7" w14:paraId="63681184" w14:textId="77777777">
      <w:pPr>
        <w:rPr>
          <w:rFonts w:asciiTheme="majorBidi" w:hAnsiTheme="majorBidi" w:cstheme="majorBidi"/>
        </w:rPr>
      </w:pPr>
    </w:p>
    <w:p w:rsidRPr="00C270C5" w:rsidR="00740FE7" w:rsidP="009B774E" w:rsidRDefault="00054872" w14:paraId="62DB4D84" w14:textId="604CC70C">
      <w:pPr>
        <w:rPr>
          <w:rFonts w:asciiTheme="majorBidi" w:hAnsiTheme="majorBidi" w:cstheme="majorBidi"/>
          <w:i/>
        </w:rPr>
      </w:pPr>
      <w:r w:rsidRPr="00C270C5">
        <w:rPr>
          <w:rFonts w:asciiTheme="majorBidi" w:hAnsiTheme="majorBidi" w:cstheme="majorBidi"/>
          <w:i/>
        </w:rPr>
        <w:t>Antimicrobial Performance Evaluation Program</w:t>
      </w:r>
      <w:r w:rsidRPr="00C270C5" w:rsidR="00196BAF">
        <w:rPr>
          <w:rFonts w:asciiTheme="majorBidi" w:hAnsiTheme="majorBidi" w:cstheme="majorBidi"/>
          <w:i/>
        </w:rPr>
        <w:t xml:space="preserve"> Strategy</w:t>
      </w:r>
    </w:p>
    <w:p w:rsidRPr="00C270C5" w:rsidR="006D58B6" w:rsidP="009B774E" w:rsidRDefault="006D58B6" w14:paraId="13DA918F" w14:textId="77777777">
      <w:pPr>
        <w:rPr>
          <w:rFonts w:asciiTheme="majorBidi" w:hAnsiTheme="majorBidi" w:cstheme="majorBidi"/>
        </w:rPr>
      </w:pPr>
    </w:p>
    <w:p w:rsidR="007D3353" w:rsidP="009B774E" w:rsidRDefault="007D3353" w14:paraId="14FF14EE" w14:textId="3028D7C4">
      <w:pPr>
        <w:ind w:firstLine="720"/>
      </w:pPr>
      <w:r w:rsidRPr="00C270C5">
        <w:t xml:space="preserve">Based on recommendations from </w:t>
      </w:r>
      <w:r w:rsidRPr="00C270C5" w:rsidR="009A1486">
        <w:t>the</w:t>
      </w:r>
      <w:r w:rsidRPr="00C270C5">
        <w:t xml:space="preserve"> 2016 O</w:t>
      </w:r>
      <w:r w:rsidRPr="00C270C5" w:rsidR="00956A1E">
        <w:t>ffice of Inspector General</w:t>
      </w:r>
      <w:r w:rsidRPr="00C270C5" w:rsidR="001E3C03">
        <w:t>’s</w:t>
      </w:r>
      <w:r w:rsidRPr="00C270C5">
        <w:t xml:space="preserve"> report</w:t>
      </w:r>
      <w:r w:rsidRPr="00C270C5" w:rsidR="00C50297">
        <w:t>,</w:t>
      </w:r>
      <w:r w:rsidRPr="00C270C5" w:rsidR="001E3C03">
        <w:t xml:space="preserve"> </w:t>
      </w:r>
      <w:r w:rsidRPr="00C270C5">
        <w:t>“</w:t>
      </w:r>
      <w:r w:rsidRPr="00C270C5">
        <w:rPr>
          <w:iCs/>
        </w:rPr>
        <w:t>EPA Needs a Risk-Based Strategy to Assure Continued Effectiveness of Hospital-Level Disinfectants</w:t>
      </w:r>
      <w:r w:rsidR="00561802">
        <w:rPr>
          <w:iCs/>
        </w:rPr>
        <w:t>”</w:t>
      </w:r>
      <w:r w:rsidRPr="00C270C5" w:rsidR="006E3590">
        <w:t xml:space="preserve"> </w:t>
      </w:r>
      <w:hyperlink w:history="1" r:id="rId16">
        <w:r w:rsidRPr="00AA74CB" w:rsidR="006E3590">
          <w:rPr>
            <w:rStyle w:val="Hyperlink"/>
            <w:color w:val="auto"/>
            <w:u w:val="none"/>
          </w:rPr>
          <w:t>(No. 16-P-0316)</w:t>
        </w:r>
        <w:r w:rsidRPr="00AA74CB">
          <w:rPr>
            <w:rStyle w:val="Hyperlink"/>
            <w:color w:val="auto"/>
            <w:u w:val="none"/>
          </w:rPr>
          <w:t>,</w:t>
        </w:r>
      </w:hyperlink>
      <w:r w:rsidRPr="00C270C5">
        <w:t xml:space="preserve"> EPA developed </w:t>
      </w:r>
      <w:r w:rsidRPr="00C270C5" w:rsidR="00752EF6">
        <w:t>the</w:t>
      </w:r>
      <w:r w:rsidRPr="00C270C5">
        <w:t xml:space="preserve"> risk-based strategy</w:t>
      </w:r>
      <w:r w:rsidRPr="00C270C5" w:rsidR="00EF4491">
        <w:t xml:space="preserve"> titled</w:t>
      </w:r>
      <w:r w:rsidRPr="00C270C5" w:rsidR="00752EF6">
        <w:t>,</w:t>
      </w:r>
      <w:r w:rsidRPr="00C270C5" w:rsidR="00B325F6">
        <w:t xml:space="preserve"> </w:t>
      </w:r>
      <w:r w:rsidRPr="00C270C5" w:rsidR="0034069A">
        <w:t xml:space="preserve">the </w:t>
      </w:r>
      <w:r w:rsidRPr="00C270C5" w:rsidR="00EF4491">
        <w:t>“</w:t>
      </w:r>
      <w:r w:rsidRPr="00C270C5" w:rsidR="00B325F6">
        <w:t>Antimicrobial Performance Evaluation Program</w:t>
      </w:r>
      <w:r w:rsidRPr="00C270C5" w:rsidR="00EF4491">
        <w:t>”</w:t>
      </w:r>
      <w:r w:rsidRPr="00C270C5" w:rsidR="005266A6">
        <w:t xml:space="preserve"> (APEP)</w:t>
      </w:r>
      <w:r w:rsidRPr="00C270C5" w:rsidR="00B325F6">
        <w:t xml:space="preserve">. This program </w:t>
      </w:r>
      <w:r w:rsidRPr="00C270C5" w:rsidR="003B5E29">
        <w:t xml:space="preserve">seeks to </w:t>
      </w:r>
      <w:r w:rsidRPr="00C270C5">
        <w:t>ensure the continued effectiveness of currently registered hospital disinfectants</w:t>
      </w:r>
      <w:r w:rsidRPr="00C270C5" w:rsidR="009E40B5">
        <w:t xml:space="preserve"> </w:t>
      </w:r>
      <w:r w:rsidRPr="00C270C5">
        <w:t>with hospital-level disinfectant public health label claims.</w:t>
      </w:r>
      <w:r w:rsidR="00AD4B08">
        <w:t xml:space="preserve">  </w:t>
      </w:r>
      <w:r w:rsidR="00062E6F">
        <w:t xml:space="preserve">The </w:t>
      </w:r>
      <w:r w:rsidR="00AB7A4D">
        <w:t xml:space="preserve">draft strategy limits the number of products tested per year </w:t>
      </w:r>
      <w:r w:rsidR="00E45EAF">
        <w:t xml:space="preserve">to </w:t>
      </w:r>
      <w:r w:rsidR="00AB7A4D">
        <w:t>less than 100.</w:t>
      </w:r>
      <w:r w:rsidR="00062E6F">
        <w:t xml:space="preserve"> </w:t>
      </w:r>
    </w:p>
    <w:p w:rsidRPr="00C270C5" w:rsidR="00CC688E" w:rsidP="009B774E" w:rsidRDefault="00CC688E" w14:paraId="3C654204" w14:textId="77777777">
      <w:pPr>
        <w:ind w:firstLine="720"/>
      </w:pPr>
    </w:p>
    <w:p w:rsidRPr="00C270C5" w:rsidR="007D3353" w:rsidP="009B774E" w:rsidRDefault="009A425A" w14:paraId="4FB95BAE" w14:textId="29EA3E64">
      <w:pPr>
        <w:ind w:firstLine="720"/>
      </w:pPr>
      <w:r w:rsidRPr="00C270C5">
        <w:t xml:space="preserve">The Agency is currently evaluating comments submitted </w:t>
      </w:r>
      <w:r w:rsidRPr="00C270C5" w:rsidR="00437070">
        <w:t>on the draft strategy</w:t>
      </w:r>
      <w:r w:rsidRPr="00C270C5" w:rsidR="00582E67">
        <w:t xml:space="preserve"> </w:t>
      </w:r>
      <w:r w:rsidRPr="00C270C5">
        <w:t xml:space="preserve">during a </w:t>
      </w:r>
      <w:r w:rsidRPr="00C270C5" w:rsidR="00500FE3">
        <w:t>60-day public comment period</w:t>
      </w:r>
      <w:r w:rsidRPr="00C270C5" w:rsidR="006A7016">
        <w:t xml:space="preserve">. </w:t>
      </w:r>
      <w:r w:rsidRPr="00C270C5" w:rsidR="00582E67">
        <w:t xml:space="preserve">These </w:t>
      </w:r>
      <w:r w:rsidRPr="00C270C5" w:rsidR="007D3353">
        <w:t xml:space="preserve">comments could result in changes </w:t>
      </w:r>
      <w:r w:rsidR="00E45EAF">
        <w:t>to</w:t>
      </w:r>
      <w:r w:rsidRPr="00C270C5" w:rsidR="00E45EAF">
        <w:t xml:space="preserve"> </w:t>
      </w:r>
      <w:r w:rsidRPr="00C270C5" w:rsidR="007D3353">
        <w:t xml:space="preserve">how the program is implemented and </w:t>
      </w:r>
      <w:r w:rsidRPr="00C270C5" w:rsidR="008A2EC3">
        <w:t>the</w:t>
      </w:r>
      <w:r w:rsidRPr="00C270C5" w:rsidR="007D3353">
        <w:t xml:space="preserve"> burden </w:t>
      </w:r>
      <w:r w:rsidRPr="00C270C5" w:rsidR="008A2EC3">
        <w:t>imposed on</w:t>
      </w:r>
      <w:r w:rsidRPr="00C270C5" w:rsidR="007D3353">
        <w:t xml:space="preserve"> the regulated community. </w:t>
      </w:r>
      <w:r w:rsidRPr="00C270C5" w:rsidR="001E7C18">
        <w:t>O</w:t>
      </w:r>
      <w:r w:rsidRPr="00C270C5" w:rsidR="007D3353">
        <w:t>nce the</w:t>
      </w:r>
      <w:r w:rsidRPr="00C270C5" w:rsidR="00047CFB">
        <w:t xml:space="preserve"> program</w:t>
      </w:r>
      <w:r w:rsidRPr="00C270C5" w:rsidR="007D3353">
        <w:t xml:space="preserve"> is </w:t>
      </w:r>
      <w:r w:rsidRPr="00C270C5" w:rsidR="007D3353">
        <w:lastRenderedPageBreak/>
        <w:t xml:space="preserve">finalized, the </w:t>
      </w:r>
      <w:r w:rsidRPr="00C270C5" w:rsidR="002E006B">
        <w:t>A</w:t>
      </w:r>
      <w:r w:rsidRPr="00C270C5" w:rsidR="007D3353">
        <w:t xml:space="preserve">gency </w:t>
      </w:r>
      <w:r w:rsidRPr="00C270C5" w:rsidR="00047CFB">
        <w:t>will</w:t>
      </w:r>
      <w:r w:rsidRPr="00C270C5" w:rsidR="007D3353">
        <w:t xml:space="preserve"> reevaluate the </w:t>
      </w:r>
      <w:r w:rsidRPr="00C270C5" w:rsidR="008A2EC3">
        <w:t xml:space="preserve">associated burden </w:t>
      </w:r>
      <w:r w:rsidRPr="00C270C5" w:rsidR="007D3353">
        <w:t>under this ICR.</w:t>
      </w:r>
      <w:r w:rsidRPr="00C270C5" w:rsidR="00047CFB">
        <w:t xml:space="preserve"> The draft strategy </w:t>
      </w:r>
      <w:r w:rsidRPr="00C270C5" w:rsidR="00047734">
        <w:t xml:space="preserve">can be found under docket # </w:t>
      </w:r>
      <w:hyperlink w:history="1" r:id="rId17">
        <w:r w:rsidRPr="00C270C5" w:rsidR="00047734">
          <w:rPr>
            <w:rStyle w:val="Hyperlink"/>
            <w:color w:val="auto"/>
          </w:rPr>
          <w:t>EPA-HQ-OPP-2018-0265</w:t>
        </w:r>
      </w:hyperlink>
      <w:r w:rsidRPr="00C270C5" w:rsidR="00535895">
        <w:t xml:space="preserve">. </w:t>
      </w:r>
    </w:p>
    <w:p w:rsidRPr="00C270C5" w:rsidR="004A6331" w:rsidP="009B774E" w:rsidRDefault="004A6331" w14:paraId="58514D36" w14:textId="3D95CE22">
      <w:pPr>
        <w:rPr>
          <w:rFonts w:asciiTheme="majorBidi" w:hAnsiTheme="majorBidi" w:cstheme="majorBidi"/>
        </w:rPr>
      </w:pPr>
    </w:p>
    <w:p w:rsidRPr="00C270C5" w:rsidR="001F584A" w:rsidP="009B774E" w:rsidRDefault="001F584A" w14:paraId="10333A5B" w14:textId="59212BD1">
      <w:pPr>
        <w:rPr>
          <w:rFonts w:asciiTheme="majorBidi" w:hAnsiTheme="majorBidi" w:cstheme="majorBidi"/>
        </w:rPr>
      </w:pPr>
    </w:p>
    <w:p w:rsidRPr="00C270C5" w:rsidR="001F584A" w:rsidP="009B774E" w:rsidRDefault="00B24741" w14:paraId="689AE01E" w14:textId="5B58C99F">
      <w:pPr>
        <w:rPr>
          <w:rFonts w:asciiTheme="majorBidi" w:hAnsiTheme="majorBidi" w:cstheme="majorBidi"/>
          <w:i/>
        </w:rPr>
      </w:pPr>
      <w:r w:rsidRPr="00C270C5">
        <w:rPr>
          <w:rFonts w:asciiTheme="majorBidi" w:hAnsiTheme="majorBidi" w:cstheme="majorBidi"/>
          <w:i/>
        </w:rPr>
        <w:t xml:space="preserve">Interim Process for </w:t>
      </w:r>
      <w:r w:rsidRPr="00C270C5" w:rsidR="000C0E8E">
        <w:rPr>
          <w:rFonts w:asciiTheme="majorBidi" w:hAnsiTheme="majorBidi" w:cstheme="majorBidi"/>
          <w:i/>
        </w:rPr>
        <w:t>Evaluation</w:t>
      </w:r>
      <w:r w:rsidRPr="00C270C5">
        <w:rPr>
          <w:rFonts w:asciiTheme="majorBidi" w:hAnsiTheme="majorBidi" w:cstheme="majorBidi"/>
          <w:i/>
        </w:rPr>
        <w:t xml:space="preserve"> </w:t>
      </w:r>
      <w:r w:rsidR="00E45EAF">
        <w:rPr>
          <w:rFonts w:asciiTheme="majorBidi" w:hAnsiTheme="majorBidi" w:cstheme="majorBidi"/>
          <w:i/>
        </w:rPr>
        <w:t xml:space="preserve">of </w:t>
      </w:r>
      <w:r w:rsidRPr="00C270C5">
        <w:rPr>
          <w:rFonts w:asciiTheme="majorBidi" w:hAnsiTheme="majorBidi" w:cstheme="majorBidi"/>
          <w:i/>
        </w:rPr>
        <w:t>Potential Synergistic Effects of Pesticides During the Registration Process</w:t>
      </w:r>
    </w:p>
    <w:p w:rsidRPr="00C270C5" w:rsidR="007B75A6" w:rsidP="009B774E" w:rsidRDefault="007B75A6" w14:paraId="64EDEBE5" w14:textId="167F89F5">
      <w:pPr>
        <w:ind w:firstLine="720"/>
        <w:rPr>
          <w:rFonts w:asciiTheme="majorBidi" w:hAnsiTheme="majorBidi" w:cstheme="majorBidi"/>
        </w:rPr>
      </w:pPr>
    </w:p>
    <w:p w:rsidR="007B75A6" w:rsidP="009B774E" w:rsidRDefault="007B75A6" w14:paraId="5E916B43" w14:textId="4D8F9F3B">
      <w:pPr>
        <w:ind w:firstLine="720"/>
        <w:rPr>
          <w:rStyle w:val="Hyperlink"/>
          <w:color w:val="auto"/>
        </w:rPr>
      </w:pPr>
      <w:r w:rsidRPr="00C270C5">
        <w:t>EPA developed a</w:t>
      </w:r>
      <w:r w:rsidRPr="00C270C5" w:rsidR="001E747C">
        <w:t xml:space="preserve"> draft guidance for an</w:t>
      </w:r>
      <w:r w:rsidRPr="00C270C5">
        <w:t xml:space="preserve"> interim process to obtain, analyze, and document patent claims of </w:t>
      </w:r>
      <w:r w:rsidRPr="00C270C5" w:rsidR="004C3B6A">
        <w:t>greater-than-additive (</w:t>
      </w:r>
      <w:r w:rsidRPr="00C270C5">
        <w:t>GTA</w:t>
      </w:r>
      <w:r w:rsidRPr="00C270C5" w:rsidR="004C3B6A">
        <w:t>)</w:t>
      </w:r>
      <w:r w:rsidRPr="00C270C5">
        <w:t xml:space="preserve"> effects in mixtures of pesticide active ingredients</w:t>
      </w:r>
      <w:r w:rsidRPr="00C270C5" w:rsidR="0026296E">
        <w:t xml:space="preserve"> as part of the pesticide registration process</w:t>
      </w:r>
      <w:r w:rsidRPr="00C270C5" w:rsidR="007160F5">
        <w:t>.</w:t>
      </w:r>
      <w:r w:rsidRPr="00C270C5" w:rsidR="00E11E89">
        <w:t xml:space="preserve"> </w:t>
      </w:r>
      <w:r w:rsidRPr="00C270C5" w:rsidR="007160F5">
        <w:t>EPA will request registrants to provide GTA-effect information on</w:t>
      </w:r>
      <w:r w:rsidRPr="00C270C5" w:rsidR="00E64153">
        <w:t xml:space="preserve"> </w:t>
      </w:r>
      <w:r w:rsidRPr="00C270C5" w:rsidR="007160F5">
        <w:t>approved patents</w:t>
      </w:r>
      <w:r w:rsidRPr="00C270C5" w:rsidR="001C7096">
        <w:t xml:space="preserve"> and </w:t>
      </w:r>
      <w:r w:rsidRPr="00C270C5" w:rsidR="007160F5">
        <w:t>conduct appropriate statistical analysis</w:t>
      </w:r>
      <w:r w:rsidRPr="00C270C5" w:rsidR="00E27F81">
        <w:t xml:space="preserve"> </w:t>
      </w:r>
      <w:r w:rsidRPr="00C270C5" w:rsidR="007160F5">
        <w:t>f</w:t>
      </w:r>
      <w:r w:rsidRPr="00C270C5">
        <w:t>or new</w:t>
      </w:r>
      <w:r w:rsidRPr="00C270C5" w:rsidR="000A6BB1">
        <w:t>,</w:t>
      </w:r>
      <w:r w:rsidRPr="00C270C5">
        <w:t xml:space="preserve"> conventional pesticide active ingredients and other new products or</w:t>
      </w:r>
      <w:r w:rsidRPr="00C270C5" w:rsidR="00911BF8">
        <w:t xml:space="preserve"> </w:t>
      </w:r>
      <w:r w:rsidRPr="00C270C5">
        <w:t>active ingredients for which EPA has specific concerns about the potential for GTA effects</w:t>
      </w:r>
      <w:r w:rsidRPr="00C270C5" w:rsidR="008D0188">
        <w:t xml:space="preserve">. </w:t>
      </w:r>
      <w:r w:rsidRPr="00C270C5">
        <w:t xml:space="preserve">The purpose of the process is to evaluate the utility of collecting and reviewing GTA patent information for use in conducting risk assessments, and to determine if such data, where applicable, affect risk assessments. </w:t>
      </w:r>
      <w:r w:rsidRPr="00C270C5" w:rsidR="00AD4B08">
        <w:t xml:space="preserve">EPA will reassess the </w:t>
      </w:r>
      <w:r w:rsidR="00AD4B08">
        <w:t>burden associated with this guidance once it is finalized</w:t>
      </w:r>
      <w:r w:rsidRPr="00C270C5" w:rsidR="00AD4B08">
        <w:t xml:space="preserve">. </w:t>
      </w:r>
      <w:r w:rsidRPr="00C270C5">
        <w:t xml:space="preserve"> This process is described in a guidance document titled </w:t>
      </w:r>
      <w:bookmarkStart w:name="_Hlk27123026" w:id="1"/>
      <w:r w:rsidRPr="00C270C5">
        <w:t>“</w:t>
      </w:r>
      <w:r w:rsidRPr="00C270C5" w:rsidR="007818A8">
        <w:t>Interim Process for Evaluating Potential Synergistic Effects of Pesticides During the Registration Process</w:t>
      </w:r>
      <w:r w:rsidRPr="00C270C5">
        <w:t>”</w:t>
      </w:r>
      <w:r w:rsidRPr="00C270C5" w:rsidR="00495318">
        <w:t xml:space="preserve"> </w:t>
      </w:r>
      <w:bookmarkEnd w:id="1"/>
      <w:r w:rsidRPr="00C270C5" w:rsidR="00495318">
        <w:t>and</w:t>
      </w:r>
      <w:r w:rsidRPr="00C270C5" w:rsidR="00E750A0">
        <w:t xml:space="preserve"> </w:t>
      </w:r>
      <w:r w:rsidRPr="00C270C5" w:rsidR="00A30C34">
        <w:t xml:space="preserve">can be found under docket # </w:t>
      </w:r>
      <w:hyperlink w:history="1" r:id="rId18">
        <w:r w:rsidRPr="00C270C5" w:rsidR="00A30C34">
          <w:rPr>
            <w:rStyle w:val="Hyperlink"/>
            <w:color w:val="auto"/>
          </w:rPr>
          <w:t>EPA-HQ-OPP-</w:t>
        </w:r>
        <w:r w:rsidRPr="00C270C5" w:rsidR="00A22E1D">
          <w:rPr>
            <w:rStyle w:val="Hyperlink"/>
            <w:color w:val="auto"/>
          </w:rPr>
          <w:t>2017-0433.</w:t>
        </w:r>
      </w:hyperlink>
    </w:p>
    <w:p w:rsidRPr="00C270C5" w:rsidR="00171AF0" w:rsidP="009B774E" w:rsidRDefault="00171AF0" w14:paraId="756C37F0" w14:textId="7C3D0C9D"/>
    <w:p w:rsidRPr="00C270C5" w:rsidR="008B7CCF" w:rsidP="009B774E" w:rsidRDefault="008B7CCF" w14:paraId="1A725219" w14:textId="77777777">
      <w:pPr>
        <w:rPr>
          <w:rFonts w:asciiTheme="majorBidi" w:hAnsiTheme="majorBidi" w:cstheme="majorBidi"/>
        </w:rPr>
      </w:pPr>
    </w:p>
    <w:p w:rsidRPr="00C270C5" w:rsidR="00C47DDD" w:rsidP="009B774E" w:rsidRDefault="00C47DDD" w14:paraId="2EC4562F" w14:textId="77777777">
      <w:pPr>
        <w:rPr>
          <w:rFonts w:asciiTheme="majorBidi" w:hAnsiTheme="majorBidi" w:cstheme="majorBidi"/>
          <w:b/>
        </w:rPr>
      </w:pPr>
      <w:r w:rsidRPr="00C270C5">
        <w:rPr>
          <w:rFonts w:asciiTheme="majorBidi" w:hAnsiTheme="majorBidi" w:cstheme="majorBidi"/>
          <w:b/>
        </w:rPr>
        <w:t>2.</w:t>
      </w:r>
      <w:r w:rsidRPr="00C270C5">
        <w:rPr>
          <w:rFonts w:asciiTheme="majorBidi" w:hAnsiTheme="majorBidi" w:cstheme="majorBidi"/>
          <w:b/>
        </w:rPr>
        <w:tab/>
      </w:r>
      <w:r w:rsidRPr="00C270C5">
        <w:rPr>
          <w:rFonts w:asciiTheme="majorBidi" w:hAnsiTheme="majorBidi" w:cstheme="majorBidi"/>
          <w:b/>
          <w:u w:val="single"/>
        </w:rPr>
        <w:t>NEED FOR AND USE OF THE COLLECTION</w:t>
      </w:r>
    </w:p>
    <w:p w:rsidRPr="00C270C5" w:rsidR="00C47DDD" w:rsidP="009B774E" w:rsidRDefault="00C47DDD" w14:paraId="3D2B1F64" w14:textId="77777777">
      <w:pPr>
        <w:rPr>
          <w:rFonts w:asciiTheme="majorBidi" w:hAnsiTheme="majorBidi" w:cstheme="majorBidi"/>
        </w:rPr>
      </w:pPr>
    </w:p>
    <w:p w:rsidRPr="00C270C5" w:rsidR="00C47DDD" w:rsidP="009B774E" w:rsidRDefault="00C47DDD" w14:paraId="3A6022C2" w14:textId="77777777">
      <w:pPr>
        <w:ind w:firstLine="720"/>
        <w:rPr>
          <w:rFonts w:asciiTheme="majorBidi" w:hAnsiTheme="majorBidi" w:cstheme="majorBidi"/>
          <w:b/>
        </w:rPr>
      </w:pPr>
      <w:r w:rsidRPr="00C270C5">
        <w:rPr>
          <w:rFonts w:asciiTheme="majorBidi" w:hAnsiTheme="majorBidi" w:cstheme="majorBidi"/>
          <w:b/>
        </w:rPr>
        <w:t>2(a)</w:t>
      </w:r>
      <w:r w:rsidRPr="00C270C5">
        <w:rPr>
          <w:rFonts w:asciiTheme="majorBidi" w:hAnsiTheme="majorBidi" w:cstheme="majorBidi"/>
          <w:b/>
        </w:rPr>
        <w:tab/>
        <w:t>Need/Authority for the Collection</w:t>
      </w:r>
    </w:p>
    <w:p w:rsidRPr="00C270C5" w:rsidR="00C47DDD" w:rsidP="009B774E" w:rsidRDefault="00C47DDD" w14:paraId="152247BE" w14:textId="77777777">
      <w:pPr>
        <w:ind w:firstLine="720"/>
        <w:rPr>
          <w:rFonts w:asciiTheme="majorBidi" w:hAnsiTheme="majorBidi" w:cstheme="majorBidi"/>
        </w:rPr>
      </w:pPr>
    </w:p>
    <w:p w:rsidRPr="00C270C5" w:rsidR="00C47DDD" w:rsidP="009B774E" w:rsidRDefault="00C47DDD" w14:paraId="5F2700A4" w14:textId="087AAB25">
      <w:pPr>
        <w:ind w:firstLine="720"/>
        <w:rPr>
          <w:rFonts w:asciiTheme="majorBidi" w:hAnsiTheme="majorBidi" w:cstheme="majorBidi"/>
        </w:rPr>
      </w:pPr>
      <w:r w:rsidRPr="00C270C5">
        <w:rPr>
          <w:rFonts w:asciiTheme="majorBidi" w:hAnsiTheme="majorBidi" w:cstheme="majorBidi"/>
        </w:rPr>
        <w:t xml:space="preserve">Authorizing legislation is contained in </w:t>
      </w:r>
      <w:r w:rsidR="00F44583">
        <w:rPr>
          <w:rFonts w:asciiTheme="majorBidi" w:hAnsiTheme="majorBidi" w:cstheme="majorBidi"/>
        </w:rPr>
        <w:t>s</w:t>
      </w:r>
      <w:r w:rsidRPr="00C270C5">
        <w:rPr>
          <w:rFonts w:asciiTheme="majorBidi" w:hAnsiTheme="majorBidi" w:cstheme="majorBidi"/>
        </w:rPr>
        <w:t>ection 3 of FIFRA</w:t>
      </w:r>
      <w:r w:rsidRPr="00C270C5" w:rsidR="005A59D5">
        <w:rPr>
          <w:rFonts w:asciiTheme="majorBidi" w:hAnsiTheme="majorBidi" w:cstheme="majorBidi"/>
        </w:rPr>
        <w:t xml:space="preserve"> (</w:t>
      </w:r>
      <w:r w:rsidRPr="00C270C5" w:rsidR="003062E9">
        <w:rPr>
          <w:rFonts w:asciiTheme="majorBidi" w:hAnsiTheme="majorBidi" w:cstheme="majorBidi"/>
        </w:rPr>
        <w:t xml:space="preserve">7 USC </w:t>
      </w:r>
      <w:r w:rsidR="00802D09">
        <w:rPr>
          <w:rFonts w:asciiTheme="majorBidi" w:hAnsiTheme="majorBidi" w:cstheme="majorBidi"/>
        </w:rPr>
        <w:t xml:space="preserve">§ </w:t>
      </w:r>
      <w:r w:rsidRPr="00C270C5" w:rsidR="003062E9">
        <w:rPr>
          <w:rFonts w:asciiTheme="majorBidi" w:hAnsiTheme="majorBidi" w:cstheme="majorBidi"/>
        </w:rPr>
        <w:t>136a</w:t>
      </w:r>
      <w:r w:rsidRPr="00C270C5" w:rsidR="005A59D5">
        <w:rPr>
          <w:rFonts w:asciiTheme="majorBidi" w:hAnsiTheme="majorBidi" w:cstheme="majorBidi"/>
        </w:rPr>
        <w:t>) and section 408 of FFDCA (</w:t>
      </w:r>
      <w:r w:rsidRPr="00C270C5" w:rsidR="00B816F9">
        <w:rPr>
          <w:rFonts w:asciiTheme="majorBidi" w:hAnsiTheme="majorBidi" w:cstheme="majorBidi"/>
        </w:rPr>
        <w:t>21 USC 346a</w:t>
      </w:r>
      <w:r w:rsidRPr="00C270C5" w:rsidR="005A59D5">
        <w:rPr>
          <w:rFonts w:asciiTheme="majorBidi" w:hAnsiTheme="majorBidi" w:cstheme="majorBidi"/>
        </w:rPr>
        <w:t>)</w:t>
      </w:r>
      <w:r w:rsidRPr="00C270C5">
        <w:rPr>
          <w:rFonts w:asciiTheme="majorBidi" w:hAnsiTheme="majorBidi" w:cstheme="majorBidi"/>
        </w:rPr>
        <w:t>. Governing regulations and guidelines are contained in 40 CFR parts 152, 156, 158 (</w:t>
      </w:r>
      <w:r w:rsidRPr="00C270C5" w:rsidR="007A6470">
        <w:rPr>
          <w:rFonts w:asciiTheme="majorBidi" w:hAnsiTheme="majorBidi" w:cstheme="majorBidi"/>
          <w:b/>
        </w:rPr>
        <w:t xml:space="preserve">Attachments </w:t>
      </w:r>
      <w:r w:rsidRPr="00C270C5">
        <w:rPr>
          <w:rFonts w:asciiTheme="majorBidi" w:hAnsiTheme="majorBidi" w:cstheme="majorBidi"/>
          <w:b/>
        </w:rPr>
        <w:t>E</w:t>
      </w:r>
      <w:r w:rsidRPr="00C270C5">
        <w:rPr>
          <w:rFonts w:asciiTheme="majorBidi" w:hAnsiTheme="majorBidi" w:cstheme="majorBidi"/>
        </w:rPr>
        <w:t xml:space="preserve">, </w:t>
      </w:r>
      <w:r w:rsidRPr="00C270C5" w:rsidR="001E1FC5">
        <w:rPr>
          <w:rFonts w:asciiTheme="majorBidi" w:hAnsiTheme="majorBidi" w:cstheme="majorBidi"/>
          <w:b/>
        </w:rPr>
        <w:t>F</w:t>
      </w:r>
      <w:r w:rsidRPr="00C270C5" w:rsidR="001E1FC5">
        <w:rPr>
          <w:rFonts w:asciiTheme="majorBidi" w:hAnsiTheme="majorBidi" w:cstheme="majorBidi"/>
        </w:rPr>
        <w:t xml:space="preserve"> </w:t>
      </w:r>
      <w:r w:rsidRPr="00C270C5">
        <w:rPr>
          <w:rFonts w:asciiTheme="majorBidi" w:hAnsiTheme="majorBidi" w:cstheme="majorBidi"/>
        </w:rPr>
        <w:t xml:space="preserve">and </w:t>
      </w:r>
      <w:r w:rsidRPr="00C270C5" w:rsidR="001E1FC5">
        <w:rPr>
          <w:rFonts w:asciiTheme="majorBidi" w:hAnsiTheme="majorBidi" w:cstheme="majorBidi"/>
          <w:b/>
        </w:rPr>
        <w:t>G</w:t>
      </w:r>
      <w:r w:rsidRPr="00C270C5">
        <w:rPr>
          <w:rFonts w:asciiTheme="majorBidi" w:hAnsiTheme="majorBidi" w:cstheme="majorBidi"/>
        </w:rPr>
        <w:t xml:space="preserve">, respectively), and in </w:t>
      </w:r>
      <w:r w:rsidRPr="00C270C5">
        <w:rPr>
          <w:rFonts w:asciiTheme="majorBidi" w:hAnsiTheme="majorBidi" w:cstheme="majorBidi"/>
          <w:b/>
        </w:rPr>
        <w:t>PR Notice (PRN) 97-3</w:t>
      </w:r>
      <w:r w:rsidRPr="00C270C5">
        <w:rPr>
          <w:rFonts w:asciiTheme="majorBidi" w:hAnsiTheme="majorBidi" w:cstheme="majorBidi"/>
        </w:rPr>
        <w:t>. Label amendments</w:t>
      </w:r>
      <w:r w:rsidRPr="00C270C5" w:rsidR="00D12983">
        <w:rPr>
          <w:rFonts w:asciiTheme="majorBidi" w:hAnsiTheme="majorBidi" w:cstheme="majorBidi"/>
        </w:rPr>
        <w:t xml:space="preserve"> under </w:t>
      </w:r>
      <w:r w:rsidRPr="00C270C5">
        <w:rPr>
          <w:rFonts w:asciiTheme="majorBidi" w:hAnsiTheme="majorBidi" w:cstheme="majorBidi"/>
        </w:rPr>
        <w:t xml:space="preserve">40 CFR </w:t>
      </w:r>
      <w:r w:rsidR="00301C21">
        <w:rPr>
          <w:rFonts w:asciiTheme="majorBidi" w:hAnsiTheme="majorBidi" w:cstheme="majorBidi"/>
        </w:rPr>
        <w:t xml:space="preserve">part </w:t>
      </w:r>
      <w:r w:rsidRPr="00C270C5">
        <w:rPr>
          <w:rFonts w:asciiTheme="majorBidi" w:hAnsiTheme="majorBidi" w:cstheme="majorBidi"/>
        </w:rPr>
        <w:t>156, may be required to maintain continued registration followi</w:t>
      </w:r>
      <w:r w:rsidRPr="00C270C5" w:rsidR="00393228">
        <w:rPr>
          <w:rFonts w:asciiTheme="majorBidi" w:hAnsiTheme="majorBidi" w:cstheme="majorBidi"/>
        </w:rPr>
        <w:t xml:space="preserve">ng a regulatory review (e.g., </w:t>
      </w:r>
      <w:r w:rsidRPr="00C270C5">
        <w:rPr>
          <w:rFonts w:asciiTheme="majorBidi" w:hAnsiTheme="majorBidi" w:cstheme="majorBidi"/>
        </w:rPr>
        <w:t>registration</w:t>
      </w:r>
      <w:r w:rsidRPr="00C270C5" w:rsidR="00393228">
        <w:rPr>
          <w:rFonts w:asciiTheme="majorBidi" w:hAnsiTheme="majorBidi" w:cstheme="majorBidi"/>
        </w:rPr>
        <w:t xml:space="preserve"> review</w:t>
      </w:r>
      <w:r w:rsidRPr="00C270C5">
        <w:rPr>
          <w:rFonts w:asciiTheme="majorBidi" w:hAnsiTheme="majorBidi" w:cstheme="majorBidi"/>
        </w:rPr>
        <w:t xml:space="preserve">). Labeling amendments pertaining to groups of products may be implemented through </w:t>
      </w:r>
      <w:r w:rsidRPr="00C270C5" w:rsidR="007A6470">
        <w:rPr>
          <w:rFonts w:asciiTheme="majorBidi" w:hAnsiTheme="majorBidi" w:cstheme="majorBidi"/>
        </w:rPr>
        <w:t xml:space="preserve">a </w:t>
      </w:r>
      <w:r w:rsidRPr="00C270C5">
        <w:rPr>
          <w:rFonts w:asciiTheme="majorBidi" w:hAnsiTheme="majorBidi" w:cstheme="majorBidi"/>
        </w:rPr>
        <w:t xml:space="preserve">PRN or </w:t>
      </w:r>
      <w:r w:rsidRPr="00C270C5" w:rsidR="005A59D5">
        <w:rPr>
          <w:rFonts w:asciiTheme="majorBidi" w:hAnsiTheme="majorBidi" w:cstheme="majorBidi"/>
        </w:rPr>
        <w:t xml:space="preserve">notice in the </w:t>
      </w:r>
      <w:r w:rsidRPr="009A24F0">
        <w:rPr>
          <w:rFonts w:asciiTheme="majorBidi" w:hAnsiTheme="majorBidi" w:cstheme="majorBidi"/>
          <w:bCs/>
        </w:rPr>
        <w:t>Federal Register</w:t>
      </w:r>
      <w:r w:rsidR="009A24F0">
        <w:rPr>
          <w:rFonts w:asciiTheme="majorBidi" w:hAnsiTheme="majorBidi" w:cstheme="majorBidi"/>
        </w:rPr>
        <w:t>.</w:t>
      </w:r>
    </w:p>
    <w:p w:rsidRPr="00C270C5" w:rsidR="00216001" w:rsidP="009B774E" w:rsidRDefault="00216001" w14:paraId="76506B64" w14:textId="77777777">
      <w:pPr>
        <w:rPr>
          <w:rFonts w:asciiTheme="majorBidi" w:hAnsiTheme="majorBidi" w:cstheme="majorBidi"/>
        </w:rPr>
      </w:pPr>
    </w:p>
    <w:p w:rsidRPr="00C270C5" w:rsidR="00C47DDD" w:rsidP="009B774E" w:rsidRDefault="00C47DDD" w14:paraId="0634D70A" w14:textId="77777777">
      <w:pPr>
        <w:ind w:firstLine="720"/>
        <w:rPr>
          <w:rFonts w:asciiTheme="majorBidi" w:hAnsiTheme="majorBidi" w:cstheme="majorBidi"/>
          <w:b/>
        </w:rPr>
      </w:pPr>
      <w:r w:rsidRPr="00C270C5">
        <w:rPr>
          <w:rFonts w:asciiTheme="majorBidi" w:hAnsiTheme="majorBidi" w:cstheme="majorBidi"/>
          <w:b/>
        </w:rPr>
        <w:t>2(b)</w:t>
      </w:r>
      <w:r w:rsidRPr="00C270C5">
        <w:rPr>
          <w:rFonts w:asciiTheme="majorBidi" w:hAnsiTheme="majorBidi" w:cstheme="majorBidi"/>
          <w:b/>
        </w:rPr>
        <w:tab/>
        <w:t>Practical Utility/Users of the Data</w:t>
      </w:r>
    </w:p>
    <w:p w:rsidRPr="00C270C5" w:rsidR="007D3353" w:rsidP="009B774E" w:rsidRDefault="007D3353" w14:paraId="18A34CDD" w14:textId="4BC87135">
      <w:pPr>
        <w:rPr>
          <w:rFonts w:asciiTheme="majorBidi" w:hAnsiTheme="majorBidi" w:cstheme="majorBidi"/>
        </w:rPr>
      </w:pPr>
    </w:p>
    <w:p w:rsidRPr="00C270C5" w:rsidR="007D3353" w:rsidP="009B774E" w:rsidRDefault="007D3353" w14:paraId="63ABDD90" w14:textId="27CF1901">
      <w:pPr>
        <w:ind w:firstLine="720"/>
        <w:rPr>
          <w:rFonts w:asciiTheme="majorBidi" w:hAnsiTheme="majorBidi" w:cstheme="majorBidi"/>
        </w:rPr>
      </w:pPr>
      <w:r w:rsidRPr="00C270C5">
        <w:rPr>
          <w:rFonts w:asciiTheme="majorBidi" w:hAnsiTheme="majorBidi" w:cstheme="majorBidi"/>
        </w:rPr>
        <w:t>The information collected under this ICR is used to support registration regulatory decisions</w:t>
      </w:r>
      <w:r w:rsidRPr="00C270C5" w:rsidR="00364FD9">
        <w:rPr>
          <w:rFonts w:asciiTheme="majorBidi" w:hAnsiTheme="majorBidi" w:cstheme="majorBidi"/>
        </w:rPr>
        <w:t xml:space="preserve"> </w:t>
      </w:r>
      <w:r w:rsidRPr="00C270C5">
        <w:rPr>
          <w:rFonts w:asciiTheme="majorBidi" w:hAnsiTheme="majorBidi" w:cstheme="majorBidi"/>
        </w:rPr>
        <w:t xml:space="preserve">for </w:t>
      </w:r>
      <w:r w:rsidRPr="00C270C5" w:rsidR="00560954">
        <w:rPr>
          <w:rFonts w:asciiTheme="majorBidi" w:hAnsiTheme="majorBidi" w:cstheme="majorBidi"/>
        </w:rPr>
        <w:t>new</w:t>
      </w:r>
      <w:r w:rsidRPr="00C270C5" w:rsidR="00292C0F">
        <w:rPr>
          <w:rFonts w:asciiTheme="majorBidi" w:hAnsiTheme="majorBidi" w:cstheme="majorBidi"/>
        </w:rPr>
        <w:t xml:space="preserve"> or </w:t>
      </w:r>
      <w:r w:rsidRPr="00C270C5">
        <w:rPr>
          <w:rFonts w:asciiTheme="majorBidi" w:hAnsiTheme="majorBidi" w:cstheme="majorBidi"/>
        </w:rPr>
        <w:t xml:space="preserve">amended </w:t>
      </w:r>
      <w:r w:rsidRPr="00C270C5" w:rsidR="00292C0F">
        <w:rPr>
          <w:rFonts w:asciiTheme="majorBidi" w:hAnsiTheme="majorBidi" w:cstheme="majorBidi"/>
        </w:rPr>
        <w:t>pesticides</w:t>
      </w:r>
      <w:r w:rsidRPr="00C270C5">
        <w:rPr>
          <w:rFonts w:asciiTheme="majorBidi" w:hAnsiTheme="majorBidi" w:cstheme="majorBidi"/>
        </w:rPr>
        <w:t xml:space="preserve"> </w:t>
      </w:r>
      <w:r w:rsidRPr="00C270C5" w:rsidR="005F6830">
        <w:rPr>
          <w:rFonts w:asciiTheme="majorBidi" w:hAnsiTheme="majorBidi" w:cstheme="majorBidi"/>
        </w:rPr>
        <w:t xml:space="preserve">and </w:t>
      </w:r>
      <w:r w:rsidRPr="00C270C5">
        <w:rPr>
          <w:rFonts w:asciiTheme="majorBidi" w:hAnsiTheme="majorBidi" w:cstheme="majorBidi"/>
        </w:rPr>
        <w:t>currently registered hospital-level pesticides available in the marketplace.</w:t>
      </w:r>
      <w:r w:rsidRPr="00C270C5" w:rsidR="00C37FB8">
        <w:rPr>
          <w:rFonts w:asciiTheme="majorBidi" w:hAnsiTheme="majorBidi" w:cstheme="majorBidi"/>
        </w:rPr>
        <w:t xml:space="preserve"> It is also used to support preapplication determinations of </w:t>
      </w:r>
      <w:r w:rsidRPr="00C270C5" w:rsidR="008B63DA">
        <w:rPr>
          <w:rFonts w:asciiTheme="majorBidi" w:hAnsiTheme="majorBidi" w:cstheme="majorBidi"/>
        </w:rPr>
        <w:t>whether</w:t>
      </w:r>
      <w:r w:rsidRPr="00C270C5" w:rsidR="00D36689">
        <w:rPr>
          <w:rFonts w:asciiTheme="majorBidi" w:hAnsiTheme="majorBidi" w:cstheme="majorBidi"/>
        </w:rPr>
        <w:t xml:space="preserve"> products need regulation under FIFRA.</w:t>
      </w:r>
      <w:r w:rsidRPr="00C270C5">
        <w:rPr>
          <w:rFonts w:asciiTheme="majorBidi" w:hAnsiTheme="majorBidi" w:cstheme="majorBidi"/>
        </w:rPr>
        <w:t xml:space="preserve"> Once</w:t>
      </w:r>
      <w:r w:rsidRPr="00C270C5" w:rsidR="008D60AB">
        <w:t xml:space="preserve"> </w:t>
      </w:r>
      <w:r w:rsidRPr="00C270C5" w:rsidR="00DF70AE">
        <w:t xml:space="preserve">the </w:t>
      </w:r>
      <w:r w:rsidRPr="00C270C5" w:rsidR="008D60AB">
        <w:rPr>
          <w:rFonts w:asciiTheme="majorBidi" w:hAnsiTheme="majorBidi" w:cstheme="majorBidi"/>
        </w:rPr>
        <w:t xml:space="preserve">product is determined to need regulation, the </w:t>
      </w:r>
      <w:r w:rsidRPr="00C270C5">
        <w:rPr>
          <w:rFonts w:asciiTheme="majorBidi" w:hAnsiTheme="majorBidi" w:cstheme="majorBidi"/>
        </w:rPr>
        <w:t xml:space="preserve">data reviews are completed satisfactorily, the labeling is determined to be adequate, </w:t>
      </w:r>
      <w:r w:rsidRPr="00C270C5" w:rsidR="00D96D10">
        <w:rPr>
          <w:rFonts w:asciiTheme="majorBidi" w:hAnsiTheme="majorBidi" w:cstheme="majorBidi"/>
        </w:rPr>
        <w:t>and</w:t>
      </w:r>
      <w:r w:rsidRPr="00C270C5" w:rsidR="00B52BC0">
        <w:rPr>
          <w:rFonts w:asciiTheme="majorBidi" w:hAnsiTheme="majorBidi" w:cstheme="majorBidi"/>
        </w:rPr>
        <w:t xml:space="preserve"> the product is determined to </w:t>
      </w:r>
      <w:r w:rsidRPr="00C270C5">
        <w:rPr>
          <w:rFonts w:asciiTheme="majorBidi" w:hAnsiTheme="majorBidi" w:cstheme="majorBidi"/>
        </w:rPr>
        <w:t xml:space="preserve">meet the statutory standards of FIFRA, </w:t>
      </w:r>
      <w:r w:rsidR="00AD76A0">
        <w:rPr>
          <w:rFonts w:asciiTheme="majorBidi" w:hAnsiTheme="majorBidi" w:cstheme="majorBidi"/>
        </w:rPr>
        <w:t xml:space="preserve">a </w:t>
      </w:r>
      <w:r w:rsidRPr="00C270C5">
        <w:rPr>
          <w:rFonts w:asciiTheme="majorBidi" w:hAnsiTheme="majorBidi" w:cstheme="majorBidi"/>
        </w:rPr>
        <w:t>registration is issued to the applicant.</w:t>
      </w:r>
    </w:p>
    <w:p w:rsidRPr="00C270C5" w:rsidR="00C47DDD" w:rsidP="009B774E" w:rsidRDefault="00C47DDD" w14:paraId="3A3362FB" w14:textId="77777777">
      <w:pPr>
        <w:rPr>
          <w:rFonts w:asciiTheme="majorBidi" w:hAnsiTheme="majorBidi" w:cstheme="majorBidi"/>
        </w:rPr>
      </w:pPr>
    </w:p>
    <w:p w:rsidRPr="00C270C5" w:rsidR="00C47DDD" w:rsidP="009B774E" w:rsidRDefault="00C47DDD" w14:paraId="606916CA" w14:textId="77777777">
      <w:pPr>
        <w:rPr>
          <w:rFonts w:asciiTheme="majorBidi" w:hAnsiTheme="majorBidi" w:cstheme="majorBidi"/>
        </w:rPr>
      </w:pPr>
    </w:p>
    <w:p w:rsidRPr="00C270C5" w:rsidR="00C47DDD" w:rsidP="009A24F0" w:rsidRDefault="00C47DDD" w14:paraId="3A9C3AE5" w14:textId="77777777">
      <w:pPr>
        <w:keepNext/>
        <w:ind w:left="720" w:hanging="720"/>
        <w:rPr>
          <w:rFonts w:asciiTheme="majorBidi" w:hAnsiTheme="majorBidi" w:cstheme="majorBidi"/>
          <w:b/>
        </w:rPr>
      </w:pPr>
      <w:r w:rsidRPr="00C270C5">
        <w:rPr>
          <w:rFonts w:asciiTheme="majorBidi" w:hAnsiTheme="majorBidi" w:cstheme="majorBidi"/>
          <w:b/>
        </w:rPr>
        <w:lastRenderedPageBreak/>
        <w:t>3.</w:t>
      </w:r>
      <w:r w:rsidRPr="00C270C5">
        <w:rPr>
          <w:rFonts w:asciiTheme="majorBidi" w:hAnsiTheme="majorBidi" w:cstheme="majorBidi"/>
          <w:b/>
        </w:rPr>
        <w:tab/>
      </w:r>
      <w:r w:rsidRPr="00C270C5">
        <w:rPr>
          <w:rFonts w:asciiTheme="majorBidi" w:hAnsiTheme="majorBidi" w:cstheme="majorBidi"/>
          <w:b/>
          <w:u w:val="single"/>
        </w:rPr>
        <w:t>NON-DUPLICATION, CONSULTATIONS, AND OTHER COLLECTION CRITERIA</w:t>
      </w:r>
    </w:p>
    <w:p w:rsidRPr="00C270C5" w:rsidR="00C47DDD" w:rsidP="009A24F0" w:rsidRDefault="00C47DDD" w14:paraId="168C322B" w14:textId="77777777">
      <w:pPr>
        <w:keepNext/>
        <w:rPr>
          <w:rFonts w:asciiTheme="majorBidi" w:hAnsiTheme="majorBidi" w:cstheme="majorBidi"/>
        </w:rPr>
      </w:pPr>
    </w:p>
    <w:p w:rsidRPr="00C270C5" w:rsidR="00C47DDD" w:rsidP="009A24F0" w:rsidRDefault="00C47DDD" w14:paraId="1B6D6055" w14:textId="77777777">
      <w:pPr>
        <w:keepNext/>
        <w:ind w:firstLine="720"/>
        <w:rPr>
          <w:rFonts w:asciiTheme="majorBidi" w:hAnsiTheme="majorBidi" w:cstheme="majorBidi"/>
          <w:b/>
        </w:rPr>
      </w:pPr>
      <w:r w:rsidRPr="00C270C5">
        <w:rPr>
          <w:rFonts w:asciiTheme="majorBidi" w:hAnsiTheme="majorBidi" w:cstheme="majorBidi"/>
          <w:b/>
        </w:rPr>
        <w:t>3(a)</w:t>
      </w:r>
      <w:r w:rsidRPr="00C270C5">
        <w:rPr>
          <w:rFonts w:asciiTheme="majorBidi" w:hAnsiTheme="majorBidi" w:cstheme="majorBidi"/>
          <w:b/>
        </w:rPr>
        <w:tab/>
        <w:t>Non-duplication</w:t>
      </w:r>
    </w:p>
    <w:p w:rsidRPr="00C270C5" w:rsidR="00C47DDD" w:rsidP="009B774E" w:rsidRDefault="00C47DDD" w14:paraId="4E156602" w14:textId="77777777">
      <w:pPr>
        <w:rPr>
          <w:rFonts w:asciiTheme="majorBidi" w:hAnsiTheme="majorBidi" w:cstheme="majorBidi"/>
        </w:rPr>
      </w:pPr>
    </w:p>
    <w:p w:rsidRPr="00C270C5" w:rsidR="00662F48" w:rsidP="009B774E" w:rsidRDefault="00C47DDD" w14:paraId="141F6F3E" w14:textId="7E1ED29F">
      <w:pPr>
        <w:ind w:firstLine="720"/>
        <w:rPr>
          <w:rFonts w:asciiTheme="majorBidi" w:hAnsiTheme="majorBidi" w:cstheme="majorBidi"/>
        </w:rPr>
      </w:pPr>
      <w:r w:rsidRPr="00C270C5">
        <w:rPr>
          <w:rFonts w:asciiTheme="majorBidi" w:hAnsiTheme="majorBidi" w:cstheme="majorBidi"/>
        </w:rPr>
        <w:t>Duplication will not occur in this program, as each applicant must submit information unique to the particular product being offered for registration</w:t>
      </w:r>
      <w:r w:rsidRPr="00C270C5" w:rsidR="009043BB">
        <w:t xml:space="preserve"> </w:t>
      </w:r>
      <w:r w:rsidRPr="00C270C5" w:rsidR="009043BB">
        <w:rPr>
          <w:rFonts w:asciiTheme="majorBidi" w:hAnsiTheme="majorBidi" w:cstheme="majorBidi"/>
        </w:rPr>
        <w:t>or that is selected for evaluation    under APEP.</w:t>
      </w:r>
      <w:r w:rsidRPr="00C270C5">
        <w:rPr>
          <w:rFonts w:asciiTheme="majorBidi" w:hAnsiTheme="majorBidi" w:cstheme="majorBidi"/>
        </w:rPr>
        <w:t xml:space="preserve"> If the product is not unique, existing data may be referenced by the applicant as described in </w:t>
      </w:r>
      <w:r w:rsidRPr="00C270C5" w:rsidR="005B64B5">
        <w:rPr>
          <w:rFonts w:asciiTheme="majorBidi" w:hAnsiTheme="majorBidi" w:cstheme="majorBidi"/>
        </w:rPr>
        <w:t xml:space="preserve">unit </w:t>
      </w:r>
      <w:r w:rsidRPr="00C270C5">
        <w:rPr>
          <w:rFonts w:asciiTheme="majorBidi" w:hAnsiTheme="majorBidi" w:cstheme="majorBidi"/>
        </w:rPr>
        <w:t>5(c)</w:t>
      </w:r>
      <w:r w:rsidRPr="00C270C5" w:rsidR="005B64B5">
        <w:rPr>
          <w:rFonts w:asciiTheme="majorBidi" w:hAnsiTheme="majorBidi" w:cstheme="majorBidi"/>
        </w:rPr>
        <w:t xml:space="preserve"> of this ICR</w:t>
      </w:r>
      <w:r w:rsidRPr="00C270C5" w:rsidR="00BD3A4E">
        <w:rPr>
          <w:rFonts w:asciiTheme="majorBidi" w:hAnsiTheme="majorBidi" w:cstheme="majorBidi"/>
        </w:rPr>
        <w:t>, entitled “Small Entity Flexibility</w:t>
      </w:r>
      <w:r w:rsidRPr="00C270C5">
        <w:rPr>
          <w:rFonts w:asciiTheme="majorBidi" w:hAnsiTheme="majorBidi" w:cstheme="majorBidi"/>
        </w:rPr>
        <w:t>.</w:t>
      </w:r>
      <w:r w:rsidRPr="00C270C5" w:rsidR="00BD3A4E">
        <w:rPr>
          <w:rFonts w:asciiTheme="majorBidi" w:hAnsiTheme="majorBidi" w:cstheme="majorBidi"/>
        </w:rPr>
        <w:t>”</w:t>
      </w:r>
      <w:r w:rsidRPr="00C270C5">
        <w:rPr>
          <w:rFonts w:asciiTheme="majorBidi" w:hAnsiTheme="majorBidi" w:cstheme="majorBidi"/>
        </w:rPr>
        <w:t xml:space="preserve"> On amended applications, the applicant </w:t>
      </w:r>
      <w:r w:rsidR="00AD76A0">
        <w:rPr>
          <w:rFonts w:asciiTheme="majorBidi" w:hAnsiTheme="majorBidi" w:cstheme="majorBidi"/>
        </w:rPr>
        <w:t>may</w:t>
      </w:r>
      <w:r w:rsidRPr="00C270C5">
        <w:rPr>
          <w:rFonts w:asciiTheme="majorBidi" w:hAnsiTheme="majorBidi" w:cstheme="majorBidi"/>
        </w:rPr>
        <w:t xml:space="preserve"> refer to any </w:t>
      </w:r>
      <w:r w:rsidRPr="00C270C5" w:rsidR="00BD3A4E">
        <w:rPr>
          <w:rFonts w:asciiTheme="majorBidi" w:hAnsiTheme="majorBidi" w:cstheme="majorBidi"/>
        </w:rPr>
        <w:t xml:space="preserve">previously submitted </w:t>
      </w:r>
      <w:r w:rsidRPr="00C270C5">
        <w:rPr>
          <w:rFonts w:asciiTheme="majorBidi" w:hAnsiTheme="majorBidi" w:cstheme="majorBidi"/>
        </w:rPr>
        <w:t>information</w:t>
      </w:r>
      <w:r w:rsidR="00223A4E">
        <w:rPr>
          <w:rFonts w:asciiTheme="majorBidi" w:hAnsiTheme="majorBidi" w:cstheme="majorBidi"/>
        </w:rPr>
        <w:t xml:space="preserve"> that they own</w:t>
      </w:r>
      <w:r w:rsidRPr="00C270C5">
        <w:rPr>
          <w:rFonts w:asciiTheme="majorBidi" w:hAnsiTheme="majorBidi" w:cstheme="majorBidi"/>
        </w:rPr>
        <w:t>, thereby satisfying data requirements without the burden of providing duplicate information or additional data development.</w:t>
      </w:r>
      <w:r w:rsidRPr="00C270C5" w:rsidR="005B64B5">
        <w:rPr>
          <w:rFonts w:asciiTheme="majorBidi" w:hAnsiTheme="majorBidi" w:cstheme="majorBidi"/>
        </w:rPr>
        <w:t xml:space="preserve">  EPA’s registration program </w:t>
      </w:r>
      <w:r w:rsidR="0094634E">
        <w:rPr>
          <w:rFonts w:asciiTheme="majorBidi" w:hAnsiTheme="majorBidi" w:cstheme="majorBidi"/>
        </w:rPr>
        <w:t>allows for collaboration through</w:t>
      </w:r>
      <w:r w:rsidR="00223A4E">
        <w:rPr>
          <w:rFonts w:asciiTheme="majorBidi" w:hAnsiTheme="majorBidi" w:cstheme="majorBidi"/>
        </w:rPr>
        <w:t xml:space="preserve"> </w:t>
      </w:r>
      <w:r w:rsidRPr="00C270C5" w:rsidR="005B64B5">
        <w:rPr>
          <w:rFonts w:asciiTheme="majorBidi" w:hAnsiTheme="majorBidi" w:cstheme="majorBidi"/>
        </w:rPr>
        <w:t>data citation and ensuring that original data generators/submitters are compensated when their data are cited in another application.</w:t>
      </w:r>
    </w:p>
    <w:p w:rsidRPr="00C270C5" w:rsidR="00662F48" w:rsidP="009B774E" w:rsidRDefault="00662F48" w14:paraId="0B98398F" w14:textId="77777777">
      <w:pPr>
        <w:ind w:firstLine="720"/>
        <w:rPr>
          <w:rFonts w:asciiTheme="majorBidi" w:hAnsiTheme="majorBidi" w:cstheme="majorBidi"/>
        </w:rPr>
      </w:pPr>
    </w:p>
    <w:p w:rsidRPr="00C270C5" w:rsidR="00C47DDD" w:rsidP="009B774E" w:rsidRDefault="00662F48" w14:paraId="25F73F5B" w14:textId="2DA7018B">
      <w:pPr>
        <w:keepNext/>
        <w:ind w:firstLine="720"/>
        <w:rPr>
          <w:rFonts w:asciiTheme="majorBidi" w:hAnsiTheme="majorBidi" w:cstheme="majorBidi"/>
        </w:rPr>
      </w:pPr>
      <w:r w:rsidRPr="00C270C5">
        <w:t xml:space="preserve">To avoid potential overlap between the requirement of study data in support of an application for the registration </w:t>
      </w:r>
      <w:r w:rsidRPr="00C270C5">
        <w:rPr>
          <w:rFonts w:asciiTheme="majorBidi" w:hAnsiTheme="majorBidi" w:cstheme="majorBidi"/>
        </w:rPr>
        <w:t xml:space="preserve">for a new food use pesticide active ingredient </w:t>
      </w:r>
      <w:r w:rsidRPr="00C270C5">
        <w:t>under FIFRA, and developing data to support a tolerance petition, EPA allows the use of data required to support a tolerance petition that are already archived in EPA records for use as part of a FIFRA registration of a pesticide to be used in a like manner and in the same use pattern.</w:t>
      </w:r>
      <w:r w:rsidRPr="00C270C5">
        <w:rPr>
          <w:rFonts w:asciiTheme="majorBidi" w:hAnsiTheme="majorBidi" w:cstheme="majorBidi"/>
        </w:rPr>
        <w:t xml:space="preserve"> Information collection activities to establish tolerance limits are covered under the Tolerance ICR (OMB Control No. 2070-0024), and therefore not included in this ICR.</w:t>
      </w:r>
    </w:p>
    <w:p w:rsidRPr="00C270C5" w:rsidR="00C47DDD" w:rsidP="009B774E" w:rsidRDefault="00C47DDD" w14:paraId="19465DBA" w14:textId="77777777">
      <w:pPr>
        <w:ind w:firstLine="720"/>
        <w:rPr>
          <w:rFonts w:asciiTheme="majorBidi" w:hAnsiTheme="majorBidi" w:cstheme="majorBidi"/>
        </w:rPr>
      </w:pPr>
    </w:p>
    <w:p w:rsidRPr="00C270C5" w:rsidR="00C47DDD" w:rsidP="009B774E" w:rsidRDefault="00C47DDD" w14:paraId="3B866FFA" w14:textId="77777777">
      <w:pPr>
        <w:ind w:firstLine="720"/>
        <w:rPr>
          <w:rFonts w:asciiTheme="majorBidi" w:hAnsiTheme="majorBidi" w:cstheme="majorBidi"/>
          <w:b/>
        </w:rPr>
      </w:pPr>
      <w:r w:rsidRPr="00C270C5">
        <w:rPr>
          <w:rFonts w:asciiTheme="majorBidi" w:hAnsiTheme="majorBidi" w:cstheme="majorBidi"/>
          <w:b/>
        </w:rPr>
        <w:t>3(b)</w:t>
      </w:r>
      <w:r w:rsidRPr="00C270C5">
        <w:rPr>
          <w:rFonts w:asciiTheme="majorBidi" w:hAnsiTheme="majorBidi" w:cstheme="majorBidi"/>
          <w:b/>
        </w:rPr>
        <w:tab/>
        <w:t>Public Notice Required Prior to ICR Submission to OMB</w:t>
      </w:r>
    </w:p>
    <w:p w:rsidRPr="00C270C5" w:rsidR="009043BB" w:rsidP="009B774E" w:rsidRDefault="009043BB" w14:paraId="1AD01B85" w14:textId="3CBC8878">
      <w:pPr>
        <w:autoSpaceDE w:val="0"/>
        <w:autoSpaceDN w:val="0"/>
        <w:adjustRightInd w:val="0"/>
        <w:rPr>
          <w:rFonts w:asciiTheme="majorBidi" w:hAnsiTheme="majorBidi" w:cstheme="majorBidi"/>
        </w:rPr>
      </w:pPr>
    </w:p>
    <w:p w:rsidRPr="00375980" w:rsidR="005A78B5" w:rsidP="009B774E" w:rsidRDefault="005A78B5" w14:paraId="55B7B4BF" w14:textId="229E1840">
      <w:pPr>
        <w:autoSpaceDE w:val="0"/>
        <w:autoSpaceDN w:val="0"/>
        <w:adjustRightInd w:val="0"/>
        <w:ind w:firstLine="720"/>
      </w:pPr>
      <w:r w:rsidRPr="00375980">
        <w:t>Pursuant to 5 CFR</w:t>
      </w:r>
      <w:r>
        <w:t xml:space="preserve"> §</w:t>
      </w:r>
      <w:r w:rsidRPr="00375980">
        <w:t xml:space="preserve"> 1320.8(d), in proposing to renew this ICR, the EPA published a Federal Register Notice</w:t>
      </w:r>
      <w:bookmarkStart w:name="_Hlk41650678" w:id="2"/>
      <w:r w:rsidRPr="00375980">
        <w:t xml:space="preserve"> (</w:t>
      </w:r>
      <w:bookmarkStart w:name="_Hlk41650647" w:id="3"/>
      <w:r>
        <w:rPr>
          <w:rStyle w:val="page"/>
        </w:rPr>
        <w:t>85</w:t>
      </w:r>
      <w:r w:rsidRPr="00375980">
        <w:rPr>
          <w:rStyle w:val="page"/>
        </w:rPr>
        <w:t xml:space="preserve"> FR 6944</w:t>
      </w:r>
      <w:bookmarkEnd w:id="3"/>
      <w:r w:rsidRPr="00375980">
        <w:rPr>
          <w:rStyle w:val="page"/>
        </w:rPr>
        <w:t xml:space="preserve">; February 6, 2020) </w:t>
      </w:r>
      <w:bookmarkEnd w:id="2"/>
      <w:r w:rsidRPr="00375980">
        <w:t>providing a 60-day public comment period. The Agency received one comment from a consortium of industry stakeholders,</w:t>
      </w:r>
      <w:r w:rsidR="00CA49B4">
        <w:t xml:space="preserve"> </w:t>
      </w:r>
      <w:r w:rsidRPr="00375980">
        <w:t xml:space="preserve">Bayer </w:t>
      </w:r>
      <w:proofErr w:type="spellStart"/>
      <w:r w:rsidRPr="00375980">
        <w:t>CropScience</w:t>
      </w:r>
      <w:proofErr w:type="spellEnd"/>
      <w:r w:rsidRPr="00375980">
        <w:t xml:space="preserve"> LP, </w:t>
      </w:r>
      <w:proofErr w:type="spellStart"/>
      <w:r w:rsidRPr="00375980">
        <w:t>Corteva</w:t>
      </w:r>
      <w:proofErr w:type="spellEnd"/>
      <w:r w:rsidRPr="00375980">
        <w:t xml:space="preserve"> </w:t>
      </w:r>
      <w:proofErr w:type="spellStart"/>
      <w:r w:rsidRPr="00375980">
        <w:t>Agriscience</w:t>
      </w:r>
      <w:proofErr w:type="spellEnd"/>
      <w:r w:rsidRPr="00375980">
        <w:t>, and Valent U.S.A. LLC. (</w:t>
      </w:r>
      <w:r w:rsidRPr="00375980">
        <w:rPr>
          <w:b/>
        </w:rPr>
        <w:t xml:space="preserve">Attachment </w:t>
      </w:r>
      <w:r>
        <w:rPr>
          <w:b/>
        </w:rPr>
        <w:t>M</w:t>
      </w:r>
      <w:r w:rsidRPr="00375980">
        <w:t xml:space="preserve">) </w:t>
      </w:r>
    </w:p>
    <w:p w:rsidRPr="00375980" w:rsidR="005A78B5" w:rsidP="009B774E" w:rsidRDefault="005A78B5" w14:paraId="039DD450" w14:textId="77777777">
      <w:pPr>
        <w:tabs>
          <w:tab w:val="left" w:pos="5790"/>
        </w:tabs>
        <w:autoSpaceDE w:val="0"/>
        <w:autoSpaceDN w:val="0"/>
        <w:adjustRightInd w:val="0"/>
      </w:pPr>
      <w:r w:rsidRPr="00375980">
        <w:tab/>
      </w:r>
    </w:p>
    <w:p w:rsidR="005A78B5" w:rsidP="009B774E" w:rsidRDefault="005A78B5" w14:paraId="58E6BB21" w14:textId="2A9AD8A4">
      <w:pPr>
        <w:keepNext/>
      </w:pPr>
      <w:bookmarkStart w:name="_Hlk39592080" w:id="4"/>
      <w:r>
        <w:t xml:space="preserve">The commenter recommended several minor changes to </w:t>
      </w:r>
      <w:r w:rsidRPr="00375980">
        <w:t xml:space="preserve">EPA form 8570-27, </w:t>
      </w:r>
      <w:r w:rsidRPr="00375980">
        <w:rPr>
          <w:i/>
          <w:iCs/>
        </w:rPr>
        <w:t>Formulator’s Exemption Statement</w:t>
      </w:r>
      <w:r>
        <w:rPr>
          <w:iCs/>
        </w:rPr>
        <w:t xml:space="preserve">, including changing a reference to the former 40 CFR § 158.50(e) to the current location of the relevant language at 40 CFR § 152.85(c).  The Agency appreciates the commenter’s input and will be revising paragraph (2) of the </w:t>
      </w:r>
      <w:r>
        <w:rPr>
          <w:i/>
          <w:iCs/>
        </w:rPr>
        <w:t>Formulator’s Exemption Statement</w:t>
      </w:r>
      <w:r>
        <w:t xml:space="preserve"> to read as follows</w:t>
      </w:r>
      <w:r w:rsidR="00C5298D">
        <w:t xml:space="preserve"> (</w:t>
      </w:r>
      <w:r w:rsidRPr="00C5298D" w:rsidR="00C5298D">
        <w:rPr>
          <w:b/>
          <w:bCs/>
        </w:rPr>
        <w:t>Attachment H</w:t>
      </w:r>
      <w:r w:rsidR="00C5298D">
        <w:t>)</w:t>
      </w:r>
      <w:r>
        <w:t>:</w:t>
      </w:r>
      <w:r>
        <w:br/>
      </w:r>
      <w:r>
        <w:br/>
      </w:r>
      <w:r w:rsidR="0094634E">
        <w:t>“</w:t>
      </w:r>
      <w:r w:rsidRPr="00371D04">
        <w:t xml:space="preserve">(2) Of these, each active ingredient listed in paragraph (4) is present solely as the result of the use of that active ingredient in the manufacturing, formulation or repackaging of another product which contains that active ingredient which is registered under FIFRA Section 3, is purchased by us from another person, and meets the requirements of 40 CFR </w:t>
      </w:r>
      <w:r w:rsidR="006C27B6">
        <w:t>§</w:t>
      </w:r>
      <w:r w:rsidRPr="00371D04" w:rsidR="006C27B6">
        <w:t xml:space="preserve"> </w:t>
      </w:r>
      <w:r w:rsidRPr="00371D04">
        <w:t>152.85(c)(2) or (3).</w:t>
      </w:r>
      <w:r w:rsidR="0094634E">
        <w:t>”</w:t>
      </w:r>
    </w:p>
    <w:p w:rsidRPr="005B2F50" w:rsidR="00661922" w:rsidP="009B774E" w:rsidRDefault="00661922" w14:paraId="1E40E275" w14:textId="77777777">
      <w:pPr>
        <w:keepNext/>
      </w:pPr>
    </w:p>
    <w:p w:rsidRPr="00375980" w:rsidR="005A78B5" w:rsidP="009B774E" w:rsidRDefault="005A78B5" w14:paraId="26A5D86D" w14:textId="77777777">
      <w:pPr>
        <w:keepNext/>
      </w:pPr>
      <w:bookmarkStart w:name="_Hlk39592008" w:id="5"/>
      <w:bookmarkEnd w:id="4"/>
      <w:r w:rsidRPr="00375980">
        <w:t xml:space="preserve">The commenter </w:t>
      </w:r>
      <w:r>
        <w:t xml:space="preserve">also </w:t>
      </w:r>
      <w:r w:rsidRPr="00375980">
        <w:t xml:space="preserve">recommended the following significant policy changes to EPA’s formulator’s exemption program (40 CFR </w:t>
      </w:r>
      <w:r w:rsidRPr="00375980">
        <w:rPr>
          <w:color w:val="222222"/>
          <w:shd w:val="clear" w:color="auto" w:fill="FFFFFF"/>
        </w:rPr>
        <w:t>§</w:t>
      </w:r>
      <w:r w:rsidRPr="00375980">
        <w:t xml:space="preserve"> 152.85) and </w:t>
      </w:r>
      <w:r>
        <w:t xml:space="preserve">the </w:t>
      </w:r>
      <w:r w:rsidRPr="00375980">
        <w:t>associated</w:t>
      </w:r>
      <w:r>
        <w:t xml:space="preserve"> </w:t>
      </w:r>
      <w:r w:rsidRPr="00375980">
        <w:rPr>
          <w:i/>
          <w:iCs/>
        </w:rPr>
        <w:t>Formulator’s Exemption Statement</w:t>
      </w:r>
      <w:r w:rsidRPr="00375980">
        <w:t>:</w:t>
      </w:r>
    </w:p>
    <w:p w:rsidRPr="00375980" w:rsidR="005A78B5" w:rsidP="009B774E" w:rsidRDefault="005A78B5" w14:paraId="436C959B" w14:textId="43E16E44">
      <w:pPr>
        <w:pStyle w:val="ListParagraph"/>
        <w:numPr>
          <w:ilvl w:val="0"/>
          <w:numId w:val="36"/>
        </w:numPr>
        <w:autoSpaceDE w:val="0"/>
        <w:autoSpaceDN w:val="0"/>
        <w:adjustRightInd w:val="0"/>
      </w:pPr>
      <w:r w:rsidRPr="00D32B9D">
        <w:t>Require that applicant submit</w:t>
      </w:r>
      <w:r w:rsidRPr="00375980">
        <w:t xml:space="preserve"> a signed letter with their registration package from the registrant of each product referenced stating that the registrant does not object to the </w:t>
      </w:r>
      <w:r w:rsidRPr="00375980">
        <w:lastRenderedPageBreak/>
        <w:t>applicant identifying the registrant’s product(s) as the source of the active ingredient(s) in the product for which the formulator’s exemption is claimed</w:t>
      </w:r>
      <w:r w:rsidR="009A24F0">
        <w:t>.</w:t>
      </w:r>
    </w:p>
    <w:p w:rsidRPr="00375980" w:rsidR="005A78B5" w:rsidP="009B774E" w:rsidRDefault="005A78B5" w14:paraId="37B42424" w14:textId="77777777">
      <w:pPr>
        <w:autoSpaceDE w:val="0"/>
        <w:autoSpaceDN w:val="0"/>
        <w:adjustRightInd w:val="0"/>
      </w:pPr>
    </w:p>
    <w:p w:rsidRPr="00375980" w:rsidR="005A78B5" w:rsidP="009B774E" w:rsidRDefault="005A78B5" w14:paraId="14DB41D6" w14:textId="77777777">
      <w:pPr>
        <w:pStyle w:val="ListParagraph"/>
        <w:numPr>
          <w:ilvl w:val="0"/>
          <w:numId w:val="35"/>
        </w:numPr>
        <w:autoSpaceDE w:val="0"/>
        <w:autoSpaceDN w:val="0"/>
        <w:adjustRightInd w:val="0"/>
      </w:pPr>
      <w:r w:rsidRPr="00375980">
        <w:t xml:space="preserve">EPA updates their 21 Day Content Screen Review Worksheet internal checklist to include an additional item under Item 4 “Formulator’s Exemption” as follows: Letters of non-objection from registrant of each identified registered source product are attached to </w:t>
      </w:r>
      <w:r w:rsidRPr="00375980">
        <w:rPr>
          <w:i/>
          <w:iCs/>
        </w:rPr>
        <w:t>Formulator’s Exemption Statement</w:t>
      </w:r>
      <w:r w:rsidRPr="00375980">
        <w:t>.</w:t>
      </w:r>
    </w:p>
    <w:p w:rsidRPr="00375980" w:rsidR="005A78B5" w:rsidP="009B774E" w:rsidRDefault="005A78B5" w14:paraId="3A797088" w14:textId="77777777">
      <w:pPr>
        <w:autoSpaceDE w:val="0"/>
        <w:autoSpaceDN w:val="0"/>
        <w:adjustRightInd w:val="0"/>
      </w:pPr>
    </w:p>
    <w:p w:rsidRPr="00375980" w:rsidR="005A78B5" w:rsidP="009B774E" w:rsidRDefault="005A78B5" w14:paraId="5FDED750" w14:textId="77777777">
      <w:pPr>
        <w:pStyle w:val="ListParagraph"/>
        <w:numPr>
          <w:ilvl w:val="0"/>
          <w:numId w:val="35"/>
        </w:numPr>
        <w:autoSpaceDE w:val="0"/>
        <w:autoSpaceDN w:val="0"/>
        <w:adjustRightInd w:val="0"/>
      </w:pPr>
      <w:r w:rsidRPr="00375980">
        <w:t xml:space="preserve">EPA updates and supersedes the guidance provided in the 1997 Memorandum issued by the Office of Pesticide Program’s Registration Division titled: </w:t>
      </w:r>
      <w:r w:rsidRPr="00375980">
        <w:rPr>
          <w:i/>
          <w:iCs/>
        </w:rPr>
        <w:t>Formulator’s Exemption and Letters or Petitions to Deny Registrations.</w:t>
      </w:r>
      <w:r w:rsidRPr="00375980">
        <w:t xml:space="preserve"> </w:t>
      </w:r>
      <w:bookmarkEnd w:id="5"/>
    </w:p>
    <w:p w:rsidRPr="00375980" w:rsidR="005A78B5" w:rsidP="009B774E" w:rsidRDefault="005A78B5" w14:paraId="02F703F7" w14:textId="77777777">
      <w:pPr>
        <w:autoSpaceDE w:val="0"/>
        <w:autoSpaceDN w:val="0"/>
        <w:adjustRightInd w:val="0"/>
      </w:pPr>
    </w:p>
    <w:p w:rsidRPr="00375980" w:rsidR="00910D48" w:rsidP="00910D48" w:rsidRDefault="00910D48" w14:paraId="3F97DBE7" w14:textId="77777777">
      <w:pPr>
        <w:autoSpaceDE w:val="0"/>
        <w:autoSpaceDN w:val="0"/>
        <w:adjustRightInd w:val="0"/>
      </w:pPr>
      <w:bookmarkStart w:name="_Hlk39591575" w:id="6"/>
      <w:r w:rsidRPr="00375980">
        <w:t>The commenter asserts that implementing the recommendations “</w:t>
      </w:r>
      <w:r w:rsidRPr="00D32B9D">
        <w:t xml:space="preserve">will improve the efficiency and effectiveness of EPA’s review and approval of formulator’s exemption applications while minimizing burdens on the Agency, applicants, and the registrants whose products they cite.” </w:t>
      </w:r>
      <w:r>
        <w:t>A</w:t>
      </w:r>
      <w:r w:rsidRPr="00375980">
        <w:t>dopting these recommendations would require additional analysis and stakeholder engagement that cannot be accomplished in the ICR consultation process</w:t>
      </w:r>
      <w:r>
        <w:t xml:space="preserve"> because they are outside the scope of this ICR renewal. However, the Agency intends to pursue a future rulemaking to consider amendments to the formulator’s exemption and will take these recommendations under consideration at that time</w:t>
      </w:r>
      <w:r w:rsidRPr="00375980">
        <w:t>.</w:t>
      </w:r>
    </w:p>
    <w:bookmarkEnd w:id="6"/>
    <w:p w:rsidRPr="00C270C5" w:rsidR="006F0B3C" w:rsidP="009B774E" w:rsidRDefault="006F0B3C" w14:paraId="24B4B54A" w14:textId="77777777">
      <w:pPr>
        <w:autoSpaceDE w:val="0"/>
        <w:autoSpaceDN w:val="0"/>
        <w:adjustRightInd w:val="0"/>
        <w:ind w:firstLine="720"/>
        <w:rPr>
          <w:rFonts w:asciiTheme="majorBidi" w:hAnsiTheme="majorBidi" w:cstheme="majorBidi"/>
        </w:rPr>
      </w:pPr>
    </w:p>
    <w:p w:rsidRPr="00C270C5" w:rsidR="00C15D86" w:rsidP="009B774E" w:rsidRDefault="00C47DDD" w14:paraId="6C876E80" w14:textId="77777777">
      <w:pPr>
        <w:autoSpaceDE w:val="0"/>
        <w:autoSpaceDN w:val="0"/>
        <w:adjustRightInd w:val="0"/>
        <w:rPr>
          <w:rFonts w:asciiTheme="majorBidi" w:hAnsiTheme="majorBidi" w:cstheme="majorBidi"/>
          <w:b/>
        </w:rPr>
      </w:pPr>
      <w:r w:rsidRPr="00C270C5">
        <w:rPr>
          <w:rFonts w:asciiTheme="majorBidi" w:hAnsiTheme="majorBidi" w:cstheme="majorBidi"/>
        </w:rPr>
        <w:tab/>
      </w:r>
      <w:r w:rsidRPr="00C270C5">
        <w:rPr>
          <w:rFonts w:asciiTheme="majorBidi" w:hAnsiTheme="majorBidi" w:cstheme="majorBidi"/>
          <w:b/>
        </w:rPr>
        <w:t>3(c)</w:t>
      </w:r>
      <w:r w:rsidRPr="00C270C5">
        <w:rPr>
          <w:rFonts w:asciiTheme="majorBidi" w:hAnsiTheme="majorBidi" w:cstheme="majorBidi"/>
          <w:b/>
        </w:rPr>
        <w:tab/>
        <w:t>Consultations</w:t>
      </w:r>
    </w:p>
    <w:p w:rsidRPr="00C270C5" w:rsidR="00C15D86" w:rsidP="009B774E" w:rsidRDefault="00C15D86" w14:paraId="22A71C03" w14:textId="77777777">
      <w:pPr>
        <w:rPr>
          <w:rFonts w:asciiTheme="majorBidi" w:hAnsiTheme="majorBidi" w:cstheme="majorBidi"/>
        </w:rPr>
      </w:pPr>
    </w:p>
    <w:p w:rsidRPr="00F204D4" w:rsidR="002F3329" w:rsidP="009B774E" w:rsidRDefault="002F3329" w14:paraId="601E4513" w14:textId="234840AF">
      <w:pPr>
        <w:pStyle w:val="Default"/>
        <w:ind w:firstLine="720"/>
        <w:rPr>
          <w:rFonts w:asciiTheme="majorBidi" w:hAnsiTheme="majorBidi" w:cstheme="majorBidi"/>
        </w:rPr>
      </w:pPr>
      <w:r w:rsidRPr="00F204D4">
        <w:rPr>
          <w:rFonts w:asciiTheme="majorBidi" w:hAnsiTheme="majorBidi" w:cstheme="majorBidi"/>
          <w:lang w:val="en-CA"/>
        </w:rPr>
        <w:t xml:space="preserve">Under 5 CFR </w:t>
      </w:r>
      <w:r w:rsidR="00301C21">
        <w:rPr>
          <w:rFonts w:asciiTheme="majorBidi" w:hAnsiTheme="majorBidi" w:cstheme="majorBidi"/>
          <w:lang w:val="en-CA"/>
        </w:rPr>
        <w:t xml:space="preserve">§ </w:t>
      </w:r>
      <w:r w:rsidRPr="00F204D4">
        <w:rPr>
          <w:rFonts w:asciiTheme="majorBidi" w:hAnsiTheme="majorBidi" w:cstheme="majorBidi"/>
          <w:lang w:val="en-CA"/>
        </w:rPr>
        <w:t xml:space="preserve">1320.8(d)(1), agencies are required to consult with respondents about specific aspects of information collection before submitting approval requests to OMB. In accordance with this regulation, EPA staff contacted representatives from a cross section of stakeholders to seek </w:t>
      </w:r>
      <w:r w:rsidRPr="00F204D4">
        <w:rPr>
          <w:rFonts w:asciiTheme="majorBidi" w:hAnsiTheme="majorBidi" w:cstheme="majorBidi"/>
        </w:rPr>
        <w:t>feedback on the burden estimates in this ICR, and on the clarity of the information collection process</w:t>
      </w:r>
      <w:r w:rsidR="00566145">
        <w:rPr>
          <w:rFonts w:asciiTheme="majorBidi" w:hAnsiTheme="majorBidi" w:cstheme="majorBidi"/>
        </w:rPr>
        <w:t xml:space="preserve"> (</w:t>
      </w:r>
      <w:r w:rsidRPr="003A7676" w:rsidR="00566145">
        <w:rPr>
          <w:rFonts w:asciiTheme="majorBidi" w:hAnsiTheme="majorBidi" w:cstheme="majorBidi"/>
          <w:b/>
          <w:bCs/>
        </w:rPr>
        <w:t>Attachment L</w:t>
      </w:r>
      <w:r w:rsidR="00566145">
        <w:rPr>
          <w:rFonts w:asciiTheme="majorBidi" w:hAnsiTheme="majorBidi" w:cstheme="majorBidi"/>
        </w:rPr>
        <w:t>)</w:t>
      </w:r>
      <w:r w:rsidRPr="00F204D4">
        <w:rPr>
          <w:rFonts w:asciiTheme="majorBidi" w:hAnsiTheme="majorBidi" w:cstheme="majorBidi"/>
        </w:rPr>
        <w:t>. The following three companies agreed to receive consultation questions for their responses:</w:t>
      </w:r>
    </w:p>
    <w:p w:rsidRPr="00F204D4" w:rsidR="002F3329" w:rsidP="009B774E" w:rsidRDefault="002F3329" w14:paraId="11D2AC9E" w14:textId="3BA07F7C">
      <w:pPr>
        <w:rPr>
          <w:rFonts w:asciiTheme="majorBidi" w:hAnsiTheme="majorBidi" w:cstheme="majorBidi"/>
          <w:lang w:val="en-CA"/>
        </w:rPr>
      </w:pPr>
    </w:p>
    <w:p w:rsidRPr="00F204D4" w:rsidR="002F3329" w:rsidP="009B774E" w:rsidRDefault="00864754" w14:paraId="5A34EF3B" w14:textId="4E017186">
      <w:pPr>
        <w:ind w:firstLine="720"/>
        <w:rPr>
          <w:rFonts w:asciiTheme="majorBidi" w:hAnsiTheme="majorBidi" w:cstheme="majorBidi"/>
          <w:lang w:val="en-CA"/>
        </w:rPr>
      </w:pPr>
      <w:proofErr w:type="spellStart"/>
      <w:r>
        <w:rPr>
          <w:rFonts w:asciiTheme="majorBidi" w:hAnsiTheme="majorBidi" w:cstheme="majorBidi"/>
          <w:lang w:val="en-CA"/>
        </w:rPr>
        <w:t>Corteva</w:t>
      </w:r>
      <w:proofErr w:type="spellEnd"/>
      <w:r>
        <w:rPr>
          <w:rFonts w:asciiTheme="majorBidi" w:hAnsiTheme="majorBidi" w:cstheme="majorBidi"/>
          <w:lang w:val="en-CA"/>
        </w:rPr>
        <w:t xml:space="preserve"> </w:t>
      </w:r>
      <w:proofErr w:type="spellStart"/>
      <w:r>
        <w:rPr>
          <w:rFonts w:asciiTheme="majorBidi" w:hAnsiTheme="majorBidi" w:cstheme="majorBidi"/>
          <w:lang w:val="en-CA"/>
        </w:rPr>
        <w:t>Agriscience</w:t>
      </w:r>
      <w:proofErr w:type="spellEnd"/>
    </w:p>
    <w:p w:rsidRPr="00F204D4" w:rsidR="002F3329" w:rsidP="009B774E" w:rsidRDefault="002F3329" w14:paraId="3BCA8F5D" w14:textId="77777777">
      <w:pPr>
        <w:ind w:firstLine="720"/>
        <w:rPr>
          <w:rFonts w:asciiTheme="majorBidi" w:hAnsiTheme="majorBidi" w:cstheme="majorBidi"/>
          <w:lang w:val="en-CA"/>
        </w:rPr>
      </w:pPr>
    </w:p>
    <w:p w:rsidRPr="00F204D4" w:rsidR="002F3329" w:rsidP="009B774E" w:rsidRDefault="00864754" w14:paraId="1A6D4DA8" w14:textId="32BCE96B">
      <w:pPr>
        <w:ind w:firstLine="720"/>
        <w:rPr>
          <w:rFonts w:asciiTheme="majorBidi" w:hAnsiTheme="majorBidi" w:cstheme="majorBidi"/>
        </w:rPr>
      </w:pPr>
      <w:r>
        <w:rPr>
          <w:rFonts w:asciiTheme="majorBidi" w:hAnsiTheme="majorBidi" w:cstheme="majorBidi"/>
        </w:rPr>
        <w:t>The Clorox Company</w:t>
      </w:r>
    </w:p>
    <w:p w:rsidRPr="00F204D4" w:rsidR="002F3329" w:rsidP="009B774E" w:rsidRDefault="002F3329" w14:paraId="6E48DEF9" w14:textId="77777777">
      <w:pPr>
        <w:ind w:firstLine="720"/>
        <w:rPr>
          <w:rFonts w:asciiTheme="majorBidi" w:hAnsiTheme="majorBidi" w:cstheme="majorBidi"/>
        </w:rPr>
      </w:pPr>
    </w:p>
    <w:p w:rsidR="002F3329" w:rsidP="009B774E" w:rsidRDefault="00864754" w14:paraId="3672C9E3" w14:textId="67600218">
      <w:pPr>
        <w:ind w:firstLine="720"/>
        <w:rPr>
          <w:rFonts w:asciiTheme="majorBidi" w:hAnsiTheme="majorBidi" w:cstheme="majorBidi"/>
          <w:lang w:val="en-CA"/>
        </w:rPr>
      </w:pPr>
      <w:r>
        <w:rPr>
          <w:rFonts w:asciiTheme="majorBidi" w:hAnsiTheme="majorBidi" w:cstheme="majorBidi"/>
          <w:lang w:val="en-CA"/>
        </w:rPr>
        <w:t>BPIA</w:t>
      </w:r>
    </w:p>
    <w:p w:rsidRPr="00F204D4" w:rsidR="00864754" w:rsidP="009B774E" w:rsidRDefault="00864754" w14:paraId="693D40B6" w14:textId="77777777">
      <w:pPr>
        <w:ind w:firstLine="720"/>
        <w:rPr>
          <w:rFonts w:asciiTheme="majorBidi" w:hAnsiTheme="majorBidi" w:cstheme="majorBidi"/>
          <w:lang w:val="en-CA"/>
        </w:rPr>
      </w:pPr>
    </w:p>
    <w:p w:rsidRPr="00F204D4" w:rsidR="002F3329" w:rsidP="009B774E" w:rsidRDefault="00E04017" w14:paraId="6CB7E39A" w14:textId="780084FA">
      <w:pPr>
        <w:ind w:firstLine="720"/>
        <w:rPr>
          <w:rFonts w:asciiTheme="majorBidi" w:hAnsiTheme="majorBidi" w:cstheme="majorBidi"/>
        </w:rPr>
      </w:pPr>
      <w:r>
        <w:rPr>
          <w:rFonts w:asciiTheme="majorBidi" w:hAnsiTheme="majorBidi" w:cstheme="majorBidi"/>
          <w:lang w:val="en-CA"/>
        </w:rPr>
        <w:t xml:space="preserve">A consortium of </w:t>
      </w:r>
      <w:r w:rsidR="00C6675D">
        <w:rPr>
          <w:rFonts w:asciiTheme="majorBidi" w:hAnsiTheme="majorBidi" w:cstheme="majorBidi"/>
          <w:lang w:val="en-CA"/>
        </w:rPr>
        <w:t xml:space="preserve">industry </w:t>
      </w:r>
      <w:r>
        <w:rPr>
          <w:rFonts w:asciiTheme="majorBidi" w:hAnsiTheme="majorBidi" w:cstheme="majorBidi"/>
          <w:lang w:val="en-CA"/>
        </w:rPr>
        <w:t>stakeholders</w:t>
      </w:r>
      <w:r w:rsidR="00864754">
        <w:rPr>
          <w:rFonts w:asciiTheme="majorBidi" w:hAnsiTheme="majorBidi" w:cstheme="majorBidi"/>
          <w:lang w:val="en-CA"/>
        </w:rPr>
        <w:t xml:space="preserve">, which included </w:t>
      </w:r>
      <w:proofErr w:type="spellStart"/>
      <w:r w:rsidR="00864754">
        <w:rPr>
          <w:rFonts w:asciiTheme="majorBidi" w:hAnsiTheme="majorBidi" w:cstheme="majorBidi"/>
          <w:lang w:val="en-CA"/>
        </w:rPr>
        <w:t>Corteva</w:t>
      </w:r>
      <w:proofErr w:type="spellEnd"/>
      <w:r w:rsidR="00864754">
        <w:rPr>
          <w:rFonts w:asciiTheme="majorBidi" w:hAnsiTheme="majorBidi" w:cstheme="majorBidi"/>
          <w:lang w:val="en-CA"/>
        </w:rPr>
        <w:t xml:space="preserve"> </w:t>
      </w:r>
      <w:proofErr w:type="spellStart"/>
      <w:r w:rsidR="00864754">
        <w:rPr>
          <w:rFonts w:asciiTheme="majorBidi" w:hAnsiTheme="majorBidi" w:cstheme="majorBidi"/>
          <w:lang w:val="en-CA"/>
        </w:rPr>
        <w:t>Agri</w:t>
      </w:r>
      <w:r w:rsidR="00C6675D">
        <w:rPr>
          <w:rFonts w:asciiTheme="majorBidi" w:hAnsiTheme="majorBidi" w:cstheme="majorBidi"/>
          <w:lang w:val="en-CA"/>
        </w:rPr>
        <w:t>science</w:t>
      </w:r>
      <w:proofErr w:type="spellEnd"/>
      <w:r w:rsidR="00C6675D">
        <w:rPr>
          <w:rFonts w:asciiTheme="majorBidi" w:hAnsiTheme="majorBidi" w:cstheme="majorBidi"/>
          <w:lang w:val="en-CA"/>
        </w:rPr>
        <w:t>,</w:t>
      </w:r>
      <w:r>
        <w:rPr>
          <w:rFonts w:asciiTheme="majorBidi" w:hAnsiTheme="majorBidi" w:cstheme="majorBidi"/>
          <w:lang w:val="en-CA"/>
        </w:rPr>
        <w:t xml:space="preserve"> submitted a </w:t>
      </w:r>
      <w:r w:rsidR="009B5C6D">
        <w:rPr>
          <w:rFonts w:asciiTheme="majorBidi" w:hAnsiTheme="majorBidi" w:cstheme="majorBidi"/>
          <w:lang w:val="en-CA"/>
        </w:rPr>
        <w:t>letter</w:t>
      </w:r>
      <w:r w:rsidR="00C6675D">
        <w:rPr>
          <w:rFonts w:asciiTheme="majorBidi" w:hAnsiTheme="majorBidi" w:cstheme="majorBidi"/>
          <w:lang w:val="en-CA"/>
        </w:rPr>
        <w:t xml:space="preserve"> </w:t>
      </w:r>
      <w:r w:rsidR="00EB664E">
        <w:rPr>
          <w:rFonts w:asciiTheme="majorBidi" w:hAnsiTheme="majorBidi" w:cstheme="majorBidi"/>
          <w:lang w:val="en-CA"/>
        </w:rPr>
        <w:t xml:space="preserve">with several recommendations to the formulator’s exemption statement </w:t>
      </w:r>
      <w:r w:rsidR="006B00DD">
        <w:rPr>
          <w:rFonts w:asciiTheme="majorBidi" w:hAnsiTheme="majorBidi" w:cstheme="majorBidi"/>
          <w:lang w:val="en-CA"/>
        </w:rPr>
        <w:t xml:space="preserve">process </w:t>
      </w:r>
      <w:r w:rsidR="00C6675D">
        <w:rPr>
          <w:rFonts w:asciiTheme="majorBidi" w:hAnsiTheme="majorBidi" w:cstheme="majorBidi"/>
          <w:lang w:val="en-CA"/>
        </w:rPr>
        <w:t xml:space="preserve">which the Agency addressed </w:t>
      </w:r>
      <w:r w:rsidR="004D1FE2">
        <w:rPr>
          <w:rFonts w:asciiTheme="majorBidi" w:hAnsiTheme="majorBidi" w:cstheme="majorBidi"/>
          <w:lang w:val="en-CA"/>
        </w:rPr>
        <w:t>in section 3(b) of this ICR</w:t>
      </w:r>
      <w:r w:rsidRPr="00F204D4" w:rsidR="002F3329">
        <w:rPr>
          <w:rFonts w:asciiTheme="majorBidi" w:hAnsiTheme="majorBidi" w:cstheme="majorBidi"/>
          <w:lang w:val="en-CA"/>
        </w:rPr>
        <w:t>.</w:t>
      </w:r>
      <w:r w:rsidR="00566145">
        <w:rPr>
          <w:rFonts w:asciiTheme="majorBidi" w:hAnsiTheme="majorBidi" w:cstheme="majorBidi"/>
          <w:color w:val="000000"/>
        </w:rPr>
        <w:t xml:space="preserve"> </w:t>
      </w:r>
    </w:p>
    <w:p w:rsidRPr="00C270C5" w:rsidR="0020138B" w:rsidP="009B774E" w:rsidRDefault="0020138B" w14:paraId="75F5C3FF" w14:textId="77777777">
      <w:pPr>
        <w:pStyle w:val="Default"/>
        <w:ind w:firstLine="720"/>
        <w:rPr>
          <w:rFonts w:asciiTheme="majorBidi" w:hAnsiTheme="majorBidi" w:cstheme="majorBidi"/>
          <w:color w:val="auto"/>
        </w:rPr>
      </w:pPr>
    </w:p>
    <w:p w:rsidRPr="00C270C5" w:rsidR="00C15D86" w:rsidP="009B774E" w:rsidRDefault="00C47DDD" w14:paraId="2CA25166" w14:textId="77777777">
      <w:pPr>
        <w:ind w:firstLine="720"/>
        <w:rPr>
          <w:rFonts w:asciiTheme="majorBidi" w:hAnsiTheme="majorBidi" w:cstheme="majorBidi"/>
          <w:b/>
        </w:rPr>
      </w:pPr>
      <w:r w:rsidRPr="00C270C5">
        <w:rPr>
          <w:rFonts w:asciiTheme="majorBidi" w:hAnsiTheme="majorBidi" w:cstheme="majorBidi"/>
          <w:b/>
        </w:rPr>
        <w:t>3(d)</w:t>
      </w:r>
      <w:r w:rsidRPr="00C270C5">
        <w:rPr>
          <w:rFonts w:asciiTheme="majorBidi" w:hAnsiTheme="majorBidi" w:cstheme="majorBidi"/>
          <w:b/>
        </w:rPr>
        <w:tab/>
        <w:t>Effects of Less Frequent Collection</w:t>
      </w:r>
    </w:p>
    <w:p w:rsidRPr="00C270C5" w:rsidR="00C15D86" w:rsidP="009B774E" w:rsidRDefault="00C15D86" w14:paraId="6A197E22" w14:textId="77777777">
      <w:pPr>
        <w:rPr>
          <w:rFonts w:asciiTheme="majorBidi" w:hAnsiTheme="majorBidi" w:cstheme="majorBidi"/>
        </w:rPr>
      </w:pPr>
    </w:p>
    <w:p w:rsidRPr="00C270C5" w:rsidR="00C15D86" w:rsidP="009B774E" w:rsidRDefault="00C47DDD" w14:paraId="6F08D483" w14:textId="731A72F5">
      <w:pPr>
        <w:ind w:firstLine="720"/>
        <w:rPr>
          <w:rFonts w:asciiTheme="majorBidi" w:hAnsiTheme="majorBidi" w:cstheme="majorBidi"/>
          <w:strike/>
        </w:rPr>
      </w:pPr>
      <w:r w:rsidRPr="00C270C5">
        <w:rPr>
          <w:rFonts w:asciiTheme="majorBidi" w:hAnsiTheme="majorBidi" w:cstheme="majorBidi"/>
        </w:rPr>
        <w:t xml:space="preserve">Not applicable. The </w:t>
      </w:r>
      <w:r w:rsidRPr="00C270C5" w:rsidR="00570595">
        <w:rPr>
          <w:rFonts w:asciiTheme="majorBidi" w:hAnsiTheme="majorBidi" w:cstheme="majorBidi"/>
        </w:rPr>
        <w:t>s</w:t>
      </w:r>
      <w:r w:rsidRPr="00C270C5">
        <w:rPr>
          <w:rFonts w:asciiTheme="majorBidi" w:hAnsiTheme="majorBidi" w:cstheme="majorBidi"/>
        </w:rPr>
        <w:t>ection 3 information collection activit</w:t>
      </w:r>
      <w:r w:rsidRPr="00C270C5" w:rsidR="00F45726">
        <w:rPr>
          <w:rFonts w:asciiTheme="majorBidi" w:hAnsiTheme="majorBidi" w:cstheme="majorBidi"/>
        </w:rPr>
        <w:t>ies</w:t>
      </w:r>
      <w:r w:rsidRPr="00C270C5">
        <w:rPr>
          <w:rFonts w:asciiTheme="majorBidi" w:hAnsiTheme="majorBidi" w:cstheme="majorBidi"/>
        </w:rPr>
        <w:t xml:space="preserve"> </w:t>
      </w:r>
      <w:r w:rsidRPr="00C270C5" w:rsidR="00F45726">
        <w:rPr>
          <w:rFonts w:asciiTheme="majorBidi" w:hAnsiTheme="majorBidi" w:cstheme="majorBidi"/>
        </w:rPr>
        <w:t>are</w:t>
      </w:r>
      <w:r w:rsidRPr="00C270C5">
        <w:rPr>
          <w:rFonts w:asciiTheme="majorBidi" w:hAnsiTheme="majorBidi" w:cstheme="majorBidi"/>
        </w:rPr>
        <w:t xml:space="preserve"> initiated by applicants for registration. Information is submitted in conjunction with the application. There is no set means by which the EPA can reduce the frequency. If the information were not submitted, EPA </w:t>
      </w:r>
      <w:r w:rsidRPr="00C270C5">
        <w:rPr>
          <w:rFonts w:asciiTheme="majorBidi" w:hAnsiTheme="majorBidi" w:cstheme="majorBidi"/>
        </w:rPr>
        <w:lastRenderedPageBreak/>
        <w:t>would be unable to fulfill its statutory responsibilities relative to the review and registration of pesticides and protection of human health and the environment.</w:t>
      </w:r>
    </w:p>
    <w:p w:rsidRPr="00C270C5" w:rsidR="00C15D86" w:rsidP="009B774E" w:rsidRDefault="00C15D86" w14:paraId="40CD9096" w14:textId="77777777">
      <w:pPr>
        <w:rPr>
          <w:rFonts w:asciiTheme="majorBidi" w:hAnsiTheme="majorBidi" w:cstheme="majorBidi"/>
          <w:strike/>
        </w:rPr>
      </w:pPr>
    </w:p>
    <w:p w:rsidRPr="00C270C5" w:rsidR="00C15D86" w:rsidP="009B774E" w:rsidRDefault="00C47DDD" w14:paraId="2930B305" w14:textId="77777777">
      <w:pPr>
        <w:ind w:firstLine="720"/>
        <w:rPr>
          <w:rFonts w:asciiTheme="majorBidi" w:hAnsiTheme="majorBidi" w:cstheme="majorBidi"/>
          <w:b/>
        </w:rPr>
      </w:pPr>
      <w:r w:rsidRPr="00C270C5">
        <w:rPr>
          <w:rFonts w:asciiTheme="majorBidi" w:hAnsiTheme="majorBidi" w:cstheme="majorBidi"/>
          <w:b/>
        </w:rPr>
        <w:t>3(e)</w:t>
      </w:r>
      <w:r w:rsidRPr="00C270C5">
        <w:rPr>
          <w:rFonts w:asciiTheme="majorBidi" w:hAnsiTheme="majorBidi" w:cstheme="majorBidi"/>
          <w:b/>
        </w:rPr>
        <w:tab/>
        <w:t>General Guidelines</w:t>
      </w:r>
    </w:p>
    <w:p w:rsidRPr="00C270C5" w:rsidR="00C15D86" w:rsidP="009B774E" w:rsidRDefault="00C15D86" w14:paraId="4C508934" w14:textId="77777777">
      <w:pPr>
        <w:rPr>
          <w:rFonts w:asciiTheme="majorBidi" w:hAnsiTheme="majorBidi" w:cstheme="majorBidi"/>
        </w:rPr>
      </w:pPr>
    </w:p>
    <w:p w:rsidR="001E50BC" w:rsidP="009B774E" w:rsidRDefault="000E43FA" w14:paraId="3EDEC84D" w14:textId="52823D2E">
      <w:pPr>
        <w:ind w:firstLine="720"/>
        <w:rPr>
          <w:rFonts w:asciiTheme="majorBidi" w:hAnsiTheme="majorBidi" w:cstheme="majorBidi"/>
        </w:rPr>
      </w:pPr>
      <w:r w:rsidRPr="00C270C5">
        <w:rPr>
          <w:rFonts w:asciiTheme="majorBidi" w:hAnsiTheme="majorBidi" w:cstheme="majorBidi"/>
          <w:b/>
        </w:rPr>
        <w:t>Third-party disclosure</w:t>
      </w:r>
      <w:r w:rsidRPr="00C270C5" w:rsidR="001F192E">
        <w:rPr>
          <w:rFonts w:asciiTheme="majorBidi" w:hAnsiTheme="majorBidi" w:cstheme="majorBidi"/>
          <w:b/>
        </w:rPr>
        <w:t xml:space="preserve"> of label information</w:t>
      </w:r>
      <w:r w:rsidRPr="00C270C5" w:rsidR="000E19D5">
        <w:rPr>
          <w:rFonts w:asciiTheme="majorBidi" w:hAnsiTheme="majorBidi" w:cstheme="majorBidi"/>
          <w:b/>
        </w:rPr>
        <w:t>:</w:t>
      </w:r>
      <w:r w:rsidRPr="00C270C5" w:rsidR="00C47DDD">
        <w:rPr>
          <w:rFonts w:asciiTheme="majorBidi" w:hAnsiTheme="majorBidi" w:cstheme="majorBidi"/>
          <w:bCs/>
        </w:rPr>
        <w:t xml:space="preserve">  </w:t>
      </w:r>
      <w:r w:rsidRPr="00C270C5" w:rsidR="003F09F8">
        <w:rPr>
          <w:rFonts w:asciiTheme="majorBidi" w:hAnsiTheme="majorBidi" w:cstheme="majorBidi"/>
          <w:bCs/>
        </w:rPr>
        <w:t xml:space="preserve">Labeling regulations under 40 CFR </w:t>
      </w:r>
      <w:r w:rsidR="00C11EBF">
        <w:rPr>
          <w:rFonts w:asciiTheme="majorBidi" w:hAnsiTheme="majorBidi" w:cstheme="majorBidi"/>
          <w:bCs/>
        </w:rPr>
        <w:t xml:space="preserve">part </w:t>
      </w:r>
      <w:r w:rsidRPr="00C270C5" w:rsidR="003F09F8">
        <w:rPr>
          <w:rFonts w:asciiTheme="majorBidi" w:hAnsiTheme="majorBidi" w:cstheme="majorBidi"/>
          <w:bCs/>
        </w:rPr>
        <w:t>156</w:t>
      </w:r>
      <w:r w:rsidRPr="00C270C5" w:rsidR="00AE2E47">
        <w:rPr>
          <w:rFonts w:asciiTheme="majorBidi" w:hAnsiTheme="majorBidi" w:cstheme="majorBidi"/>
        </w:rPr>
        <w:t xml:space="preserve"> </w:t>
      </w:r>
      <w:r w:rsidRPr="00C270C5" w:rsidR="003F09F8">
        <w:rPr>
          <w:rFonts w:asciiTheme="majorBidi" w:hAnsiTheme="majorBidi" w:cstheme="majorBidi"/>
        </w:rPr>
        <w:t>require</w:t>
      </w:r>
      <w:r w:rsidRPr="00C270C5">
        <w:rPr>
          <w:rFonts w:asciiTheme="majorBidi" w:hAnsiTheme="majorBidi" w:cstheme="majorBidi"/>
        </w:rPr>
        <w:t xml:space="preserve"> registrants to dis</w:t>
      </w:r>
      <w:r w:rsidRPr="00C270C5" w:rsidR="00203F9F">
        <w:rPr>
          <w:rFonts w:asciiTheme="majorBidi" w:hAnsiTheme="majorBidi" w:cstheme="majorBidi"/>
        </w:rPr>
        <w:t>play</w:t>
      </w:r>
      <w:r w:rsidRPr="00C270C5">
        <w:rPr>
          <w:rFonts w:asciiTheme="majorBidi" w:hAnsiTheme="majorBidi" w:cstheme="majorBidi"/>
        </w:rPr>
        <w:t xml:space="preserve"> product</w:t>
      </w:r>
      <w:r w:rsidRPr="00C270C5" w:rsidR="00FE3BD8">
        <w:rPr>
          <w:rFonts w:asciiTheme="majorBidi" w:hAnsiTheme="majorBidi" w:cstheme="majorBidi"/>
        </w:rPr>
        <w:t>-</w:t>
      </w:r>
      <w:r w:rsidRPr="00C270C5">
        <w:rPr>
          <w:rFonts w:asciiTheme="majorBidi" w:hAnsiTheme="majorBidi" w:cstheme="majorBidi"/>
        </w:rPr>
        <w:t>specific information to potential users and the general public through the pesticide label</w:t>
      </w:r>
      <w:r w:rsidRPr="00C270C5" w:rsidR="003F0E9A">
        <w:rPr>
          <w:rFonts w:asciiTheme="majorBidi" w:hAnsiTheme="majorBidi" w:cstheme="majorBidi"/>
        </w:rPr>
        <w:t xml:space="preserve"> that is approved by EPA</w:t>
      </w:r>
      <w:r w:rsidRPr="00C270C5">
        <w:rPr>
          <w:rFonts w:asciiTheme="majorBidi" w:hAnsiTheme="majorBidi" w:cstheme="majorBidi"/>
        </w:rPr>
        <w:t xml:space="preserve">. </w:t>
      </w:r>
      <w:r w:rsidRPr="00C270C5" w:rsidR="001C44AA">
        <w:rPr>
          <w:rFonts w:asciiTheme="majorBidi" w:hAnsiTheme="majorBidi" w:cstheme="majorBidi"/>
        </w:rPr>
        <w:t xml:space="preserve">The required information for the label is gathered and prepared by the registrant and submitted as part of the application for registration. The burden and cost of preparing and submitting the label information to EPA are included in this ICR as part of the burden </w:t>
      </w:r>
      <w:r w:rsidRPr="00C270C5" w:rsidR="007B2652">
        <w:rPr>
          <w:rFonts w:asciiTheme="majorBidi" w:hAnsiTheme="majorBidi" w:cstheme="majorBidi"/>
        </w:rPr>
        <w:t xml:space="preserve">associated with preparing </w:t>
      </w:r>
      <w:r w:rsidRPr="00C270C5" w:rsidR="001C44AA">
        <w:rPr>
          <w:rFonts w:asciiTheme="majorBidi" w:hAnsiTheme="majorBidi" w:cstheme="majorBidi"/>
        </w:rPr>
        <w:t xml:space="preserve">the application for registration. </w:t>
      </w:r>
    </w:p>
    <w:p w:rsidRPr="00C270C5" w:rsidR="005F37A7" w:rsidP="009B774E" w:rsidRDefault="005F37A7" w14:paraId="6971F4CF" w14:textId="77777777">
      <w:pPr>
        <w:ind w:firstLine="720"/>
        <w:rPr>
          <w:rFonts w:asciiTheme="majorBidi" w:hAnsiTheme="majorBidi" w:cstheme="majorBidi"/>
        </w:rPr>
      </w:pPr>
    </w:p>
    <w:p w:rsidRPr="00C270C5" w:rsidR="00C15D86" w:rsidP="009B774E" w:rsidRDefault="001E50BC" w14:paraId="48AC672F" w14:textId="04CC6008">
      <w:pPr>
        <w:ind w:firstLine="720"/>
        <w:rPr>
          <w:rFonts w:asciiTheme="majorBidi" w:hAnsiTheme="majorBidi" w:cstheme="majorBidi"/>
        </w:rPr>
      </w:pPr>
      <w:r w:rsidRPr="00C270C5">
        <w:rPr>
          <w:rFonts w:asciiTheme="majorBidi" w:hAnsiTheme="majorBidi" w:cstheme="majorBidi"/>
        </w:rPr>
        <w:t>T</w:t>
      </w:r>
      <w:r w:rsidRPr="00C270C5" w:rsidR="00716707">
        <w:rPr>
          <w:rFonts w:asciiTheme="majorBidi" w:hAnsiTheme="majorBidi" w:cstheme="majorBidi"/>
        </w:rPr>
        <w:t>his ICR does not</w:t>
      </w:r>
      <w:r w:rsidRPr="00C270C5">
        <w:rPr>
          <w:rFonts w:asciiTheme="majorBidi" w:hAnsiTheme="majorBidi" w:cstheme="majorBidi"/>
        </w:rPr>
        <w:t>, however,</w:t>
      </w:r>
      <w:r w:rsidRPr="00C270C5" w:rsidR="00716707">
        <w:rPr>
          <w:rFonts w:asciiTheme="majorBidi" w:hAnsiTheme="majorBidi" w:cstheme="majorBidi"/>
        </w:rPr>
        <w:t xml:space="preserve"> include any </w:t>
      </w:r>
      <w:r w:rsidRPr="00C270C5" w:rsidR="006D524E">
        <w:rPr>
          <w:rFonts w:asciiTheme="majorBidi" w:hAnsiTheme="majorBidi" w:cstheme="majorBidi"/>
        </w:rPr>
        <w:t>third-party</w:t>
      </w:r>
      <w:r w:rsidRPr="00C270C5" w:rsidR="00716707">
        <w:rPr>
          <w:rFonts w:asciiTheme="majorBidi" w:hAnsiTheme="majorBidi" w:cstheme="majorBidi"/>
        </w:rPr>
        <w:t xml:space="preserve"> burden or cost </w:t>
      </w:r>
      <w:r w:rsidRPr="00C270C5" w:rsidR="00DC6C7E">
        <w:rPr>
          <w:rFonts w:asciiTheme="majorBidi" w:hAnsiTheme="majorBidi" w:cstheme="majorBidi"/>
        </w:rPr>
        <w:t>estimates for</w:t>
      </w:r>
      <w:r w:rsidRPr="00C270C5">
        <w:rPr>
          <w:rFonts w:asciiTheme="majorBidi" w:hAnsiTheme="majorBidi" w:cstheme="majorBidi"/>
        </w:rPr>
        <w:t xml:space="preserve"> providing the pesticide label on each product </w:t>
      </w:r>
      <w:r w:rsidRPr="00C270C5" w:rsidR="00B41F5B">
        <w:rPr>
          <w:rFonts w:asciiTheme="majorBidi" w:hAnsiTheme="majorBidi" w:cstheme="majorBidi"/>
        </w:rPr>
        <w:t>to</w:t>
      </w:r>
      <w:r w:rsidRPr="00C270C5">
        <w:rPr>
          <w:rFonts w:asciiTheme="majorBidi" w:hAnsiTheme="majorBidi" w:cstheme="majorBidi"/>
        </w:rPr>
        <w:t xml:space="preserve"> disclose safety information to potential users and the general public. The use of the pesticide label to accomplish this disclosure is not a collection of information as defined by the P</w:t>
      </w:r>
      <w:r w:rsidRPr="00C270C5" w:rsidR="00457C68">
        <w:rPr>
          <w:rFonts w:asciiTheme="majorBidi" w:hAnsiTheme="majorBidi" w:cstheme="majorBidi"/>
        </w:rPr>
        <w:t>aperwork Reduction Act (PRA)</w:t>
      </w:r>
      <w:r w:rsidRPr="00C270C5">
        <w:rPr>
          <w:rFonts w:asciiTheme="majorBidi" w:hAnsiTheme="majorBidi" w:cstheme="majorBidi"/>
        </w:rPr>
        <w:t xml:space="preserve"> and OMB implementing regulations (5 CFR </w:t>
      </w:r>
      <w:r w:rsidR="00301C21">
        <w:rPr>
          <w:rFonts w:asciiTheme="majorBidi" w:hAnsiTheme="majorBidi" w:cstheme="majorBidi"/>
        </w:rPr>
        <w:t xml:space="preserve">§ </w:t>
      </w:r>
      <w:r w:rsidRPr="00C270C5">
        <w:rPr>
          <w:rFonts w:asciiTheme="majorBidi" w:hAnsiTheme="majorBidi" w:cstheme="majorBidi"/>
        </w:rPr>
        <w:t xml:space="preserve">1320.3(c)(2)). This determination was made by OMB in the context of implementing the 1995 PRA amendments and related OMB final regulations of 1995. In general, OMB explained that the new </w:t>
      </w:r>
      <w:r w:rsidRPr="00C270C5" w:rsidR="00A96172">
        <w:rPr>
          <w:rFonts w:asciiTheme="majorBidi" w:hAnsiTheme="majorBidi" w:cstheme="majorBidi"/>
        </w:rPr>
        <w:t>third-</w:t>
      </w:r>
      <w:r w:rsidRPr="00C270C5">
        <w:rPr>
          <w:rFonts w:asciiTheme="majorBidi" w:hAnsiTheme="majorBidi" w:cstheme="majorBidi"/>
        </w:rPr>
        <w:t>party disclosure provision added to the PRA in 1995 was not intended to require agencies to estimate burden for the required disclosure of important health and safety information on product labels, in particular if the label or language for the label is specifically provided by law (e.g., the Surgeon General warnings required to be on the labels of alcohol or tobacco products), or required to be approved by an agency (e.g., EPA labels on pesticide products or PCB containing transformers).</w:t>
      </w:r>
    </w:p>
    <w:p w:rsidRPr="00C270C5" w:rsidR="00C15D86" w:rsidP="009B774E" w:rsidRDefault="00C15D86" w14:paraId="18FF4101" w14:textId="77777777">
      <w:pPr>
        <w:rPr>
          <w:rFonts w:asciiTheme="majorBidi" w:hAnsiTheme="majorBidi" w:cstheme="majorBidi"/>
        </w:rPr>
      </w:pPr>
    </w:p>
    <w:p w:rsidRPr="00084CB3" w:rsidR="00901157" w:rsidP="009B774E" w:rsidRDefault="00C47DDD" w14:paraId="5DA57DF9" w14:textId="1678F7A5">
      <w:pPr>
        <w:ind w:firstLine="720"/>
      </w:pPr>
      <w:r w:rsidRPr="00C270C5">
        <w:rPr>
          <w:rFonts w:asciiTheme="majorBidi" w:hAnsiTheme="majorBidi" w:cstheme="majorBidi"/>
          <w:b/>
        </w:rPr>
        <w:t>Long-term recordkeeping</w:t>
      </w:r>
      <w:r w:rsidRPr="00C270C5" w:rsidR="007961C2">
        <w:rPr>
          <w:rFonts w:asciiTheme="majorBidi" w:hAnsiTheme="majorBidi" w:cstheme="majorBidi"/>
          <w:b/>
        </w:rPr>
        <w:t>:</w:t>
      </w:r>
      <w:r w:rsidRPr="00C270C5">
        <w:rPr>
          <w:rFonts w:asciiTheme="majorBidi" w:hAnsiTheme="majorBidi" w:cstheme="majorBidi"/>
          <w:b/>
        </w:rPr>
        <w:t xml:space="preserve">  </w:t>
      </w:r>
      <w:r w:rsidRPr="00C270C5" w:rsidR="007841AD">
        <w:rPr>
          <w:rFonts w:asciiTheme="majorBidi" w:hAnsiTheme="majorBidi" w:cstheme="majorBidi"/>
          <w:b/>
        </w:rPr>
        <w:t xml:space="preserve"> </w:t>
      </w:r>
      <w:r w:rsidRPr="00C270C5">
        <w:rPr>
          <w:rFonts w:asciiTheme="majorBidi" w:hAnsiTheme="majorBidi" w:cstheme="majorBidi"/>
        </w:rPr>
        <w:t xml:space="preserve">The recordkeeping activities briefly described in this ICR exceed OMB’s guideline that agencies </w:t>
      </w:r>
      <w:proofErr w:type="gramStart"/>
      <w:r w:rsidRPr="00C270C5">
        <w:rPr>
          <w:rFonts w:asciiTheme="majorBidi" w:hAnsiTheme="majorBidi" w:cstheme="majorBidi"/>
        </w:rPr>
        <w:t>not require</w:t>
      </w:r>
      <w:proofErr w:type="gramEnd"/>
      <w:r w:rsidRPr="00C270C5">
        <w:rPr>
          <w:rFonts w:asciiTheme="majorBidi" w:hAnsiTheme="majorBidi" w:cstheme="majorBidi"/>
        </w:rPr>
        <w:t xml:space="preserve"> that records be retained for more than </w:t>
      </w:r>
      <w:r w:rsidRPr="00C270C5" w:rsidR="00A96172">
        <w:rPr>
          <w:rFonts w:asciiTheme="majorBidi" w:hAnsiTheme="majorBidi" w:cstheme="majorBidi"/>
        </w:rPr>
        <w:t>three</w:t>
      </w:r>
      <w:r w:rsidRPr="00C270C5">
        <w:rPr>
          <w:rFonts w:asciiTheme="majorBidi" w:hAnsiTheme="majorBidi" w:cstheme="majorBidi"/>
        </w:rPr>
        <w:t xml:space="preserve"> years </w:t>
      </w:r>
      <w:r w:rsidRPr="00C270C5">
        <w:t xml:space="preserve">(5 CFR </w:t>
      </w:r>
      <w:r w:rsidR="00301C21">
        <w:t xml:space="preserve">§ </w:t>
      </w:r>
      <w:r w:rsidRPr="00C270C5">
        <w:t xml:space="preserve">1320.5(d)(2)(iv)). As authorized under FIFRA section 8, EPA regulations </w:t>
      </w:r>
      <w:r w:rsidRPr="00C270C5" w:rsidR="00C66206">
        <w:t xml:space="preserve">under </w:t>
      </w:r>
      <w:r w:rsidRPr="00C270C5" w:rsidR="000A6BEF">
        <w:t xml:space="preserve">40 CFR </w:t>
      </w:r>
      <w:r w:rsidR="00301C21">
        <w:t xml:space="preserve">§ </w:t>
      </w:r>
      <w:r w:rsidRPr="00C270C5" w:rsidR="000A6BEF">
        <w:t xml:space="preserve">169.2(k) </w:t>
      </w:r>
      <w:r w:rsidRPr="00C270C5">
        <w:t xml:space="preserve">require that registrants retain records containing research data relating to </w:t>
      </w:r>
      <w:r w:rsidRPr="00C270C5" w:rsidR="007B2652">
        <w:t xml:space="preserve">a </w:t>
      </w:r>
      <w:r w:rsidRPr="00C270C5">
        <w:t>registered pesticide</w:t>
      </w:r>
      <w:r w:rsidRPr="00C270C5" w:rsidR="007961C2">
        <w:t>,</w:t>
      </w:r>
      <w:r w:rsidRPr="00C270C5">
        <w:t xml:space="preserve"> including all data submitted to EPA in support of a registration</w:t>
      </w:r>
      <w:r w:rsidRPr="00C270C5" w:rsidR="00C66206">
        <w:t>,</w:t>
      </w:r>
      <w:r w:rsidRPr="00C270C5">
        <w:t xml:space="preserve"> for as long as the registration is </w:t>
      </w:r>
      <w:r w:rsidRPr="00C270C5" w:rsidR="006D524E">
        <w:t>valid,</w:t>
      </w:r>
      <w:r w:rsidRPr="00C270C5">
        <w:t xml:space="preserve"> and the producer is in business. However, the burden related to the recordkeeping requirements is covered under another ICR (see OMB Control No. 2070-0028, </w:t>
      </w:r>
      <w:r w:rsidRPr="00C270C5">
        <w:rPr>
          <w:b/>
        </w:rPr>
        <w:t>Recordkeeping Requirements for Producers of Pesticides under Section 8 of FIFRA</w:t>
      </w:r>
      <w:r w:rsidRPr="00C270C5" w:rsidR="008D79E5">
        <w:t>)</w:t>
      </w:r>
      <w:r w:rsidRPr="00C270C5">
        <w:t>.</w:t>
      </w:r>
    </w:p>
    <w:p w:rsidR="00901157" w:rsidP="009B774E" w:rsidRDefault="00901157" w14:paraId="66AB91EF" w14:textId="77777777">
      <w:pPr>
        <w:pStyle w:val="CommentText"/>
        <w:ind w:firstLine="720"/>
        <w:rPr>
          <w:b/>
          <w:sz w:val="24"/>
          <w:szCs w:val="24"/>
        </w:rPr>
      </w:pPr>
    </w:p>
    <w:p w:rsidRPr="00C270C5" w:rsidR="004445F4" w:rsidP="009B774E" w:rsidRDefault="00B574AA" w14:paraId="568214D1" w14:textId="30DE994B">
      <w:pPr>
        <w:pStyle w:val="CommentText"/>
        <w:ind w:firstLine="720"/>
        <w:rPr>
          <w:sz w:val="24"/>
          <w:szCs w:val="24"/>
          <w:lang w:val="en"/>
        </w:rPr>
      </w:pPr>
      <w:r w:rsidRPr="00C270C5">
        <w:rPr>
          <w:b/>
          <w:sz w:val="24"/>
          <w:szCs w:val="24"/>
        </w:rPr>
        <w:t>Electronic submissions</w:t>
      </w:r>
      <w:r w:rsidRPr="00C270C5" w:rsidR="00C66206">
        <w:rPr>
          <w:b/>
          <w:sz w:val="24"/>
          <w:szCs w:val="24"/>
        </w:rPr>
        <w:t>:</w:t>
      </w:r>
      <w:r w:rsidRPr="00C270C5">
        <w:rPr>
          <w:b/>
          <w:sz w:val="24"/>
          <w:szCs w:val="24"/>
        </w:rPr>
        <w:t xml:space="preserve">  </w:t>
      </w:r>
      <w:r w:rsidRPr="00C270C5" w:rsidR="007B2652">
        <w:rPr>
          <w:sz w:val="24"/>
          <w:szCs w:val="24"/>
        </w:rPr>
        <w:t>While mechanisms and guidance are under development,</w:t>
      </w:r>
      <w:r w:rsidRPr="00C270C5" w:rsidR="007841AD">
        <w:rPr>
          <w:b/>
          <w:sz w:val="24"/>
          <w:szCs w:val="24"/>
        </w:rPr>
        <w:t xml:space="preserve"> </w:t>
      </w:r>
      <w:r w:rsidRPr="00C270C5" w:rsidR="004445F4">
        <w:rPr>
          <w:sz w:val="24"/>
          <w:szCs w:val="24"/>
          <w:lang w:val="en"/>
        </w:rPr>
        <w:t xml:space="preserve">EPA encourages electronic submissions for the following </w:t>
      </w:r>
      <w:r w:rsidRPr="00C270C5" w:rsidR="007B2652">
        <w:rPr>
          <w:sz w:val="24"/>
          <w:szCs w:val="24"/>
          <w:lang w:val="en"/>
        </w:rPr>
        <w:t xml:space="preserve">types of </w:t>
      </w:r>
      <w:r w:rsidRPr="00C270C5" w:rsidR="004445F4">
        <w:rPr>
          <w:sz w:val="24"/>
          <w:szCs w:val="24"/>
          <w:lang w:val="en"/>
        </w:rPr>
        <w:t>regulatory actions:</w:t>
      </w:r>
    </w:p>
    <w:p w:rsidRPr="00C270C5" w:rsidR="004445F4" w:rsidP="009B774E" w:rsidRDefault="004445F4" w14:paraId="5765821F" w14:textId="77777777">
      <w:pPr>
        <w:numPr>
          <w:ilvl w:val="0"/>
          <w:numId w:val="17"/>
        </w:numPr>
        <w:spacing w:before="100" w:beforeAutospacing="1" w:after="100" w:afterAutospacing="1"/>
        <w:rPr>
          <w:lang w:val="en"/>
        </w:rPr>
      </w:pPr>
      <w:r w:rsidRPr="00C270C5">
        <w:rPr>
          <w:lang w:val="en"/>
        </w:rPr>
        <w:t>New pesticide active ingredients.</w:t>
      </w:r>
    </w:p>
    <w:p w:rsidRPr="00C270C5" w:rsidR="004445F4" w:rsidP="009B774E" w:rsidRDefault="004445F4" w14:paraId="6C3DC430" w14:textId="77777777">
      <w:pPr>
        <w:numPr>
          <w:ilvl w:val="0"/>
          <w:numId w:val="17"/>
        </w:numPr>
        <w:spacing w:before="100" w:beforeAutospacing="1" w:after="100" w:afterAutospacing="1"/>
        <w:rPr>
          <w:lang w:val="en"/>
        </w:rPr>
      </w:pPr>
      <w:r w:rsidRPr="00C270C5">
        <w:rPr>
          <w:lang w:val="en"/>
        </w:rPr>
        <w:t>New pesticide products containing already-registered pesticide active ingredients.</w:t>
      </w:r>
    </w:p>
    <w:p w:rsidRPr="00C270C5" w:rsidR="004445F4" w:rsidP="009B774E" w:rsidRDefault="004445F4" w14:paraId="189C58FB" w14:textId="77777777">
      <w:pPr>
        <w:numPr>
          <w:ilvl w:val="0"/>
          <w:numId w:val="17"/>
        </w:numPr>
        <w:spacing w:before="100" w:beforeAutospacing="1" w:after="100" w:afterAutospacing="1"/>
        <w:rPr>
          <w:lang w:val="en"/>
        </w:rPr>
      </w:pPr>
      <w:r w:rsidRPr="00C270C5">
        <w:rPr>
          <w:lang w:val="en"/>
        </w:rPr>
        <w:t>Amendments to registered pesticide products.</w:t>
      </w:r>
    </w:p>
    <w:p w:rsidRPr="00C270C5" w:rsidR="004445F4" w:rsidP="009B774E" w:rsidRDefault="004445F4" w14:paraId="410E4C42" w14:textId="692F176C">
      <w:pPr>
        <w:numPr>
          <w:ilvl w:val="0"/>
          <w:numId w:val="17"/>
        </w:numPr>
        <w:spacing w:before="100" w:beforeAutospacing="1" w:after="100" w:afterAutospacing="1"/>
        <w:rPr>
          <w:lang w:val="en"/>
        </w:rPr>
      </w:pPr>
      <w:r w:rsidRPr="00C270C5">
        <w:rPr>
          <w:lang w:val="en"/>
        </w:rPr>
        <w:t>Experimental use permits.</w:t>
      </w:r>
    </w:p>
    <w:p w:rsidRPr="00C270C5" w:rsidR="000B00BD" w:rsidP="009B774E" w:rsidRDefault="000B00BD" w14:paraId="42CDFB19" w14:textId="4EA26798">
      <w:pPr>
        <w:numPr>
          <w:ilvl w:val="0"/>
          <w:numId w:val="17"/>
        </w:numPr>
        <w:spacing w:before="100" w:beforeAutospacing="1" w:after="100" w:afterAutospacing="1"/>
        <w:rPr>
          <w:lang w:val="en"/>
        </w:rPr>
      </w:pPr>
      <w:r w:rsidRPr="00C270C5">
        <w:rPr>
          <w:lang w:val="en"/>
        </w:rPr>
        <w:t>Inert ingredient requests</w:t>
      </w:r>
      <w:r w:rsidRPr="00C270C5" w:rsidR="00A26FD8">
        <w:rPr>
          <w:lang w:val="en"/>
        </w:rPr>
        <w:t>.</w:t>
      </w:r>
    </w:p>
    <w:p w:rsidRPr="00C270C5" w:rsidR="00DE4D08" w:rsidP="009B774E" w:rsidRDefault="00DE4D08" w14:paraId="1F6CBD73" w14:textId="476D187F">
      <w:pPr>
        <w:numPr>
          <w:ilvl w:val="0"/>
          <w:numId w:val="17"/>
        </w:numPr>
        <w:spacing w:before="100" w:beforeAutospacing="1" w:after="100" w:afterAutospacing="1"/>
        <w:rPr>
          <w:lang w:val="en"/>
        </w:rPr>
      </w:pPr>
      <w:r w:rsidRPr="00C270C5">
        <w:rPr>
          <w:lang w:val="en"/>
        </w:rPr>
        <w:t>Pre-application</w:t>
      </w:r>
      <w:r w:rsidRPr="00C270C5" w:rsidR="00A26FD8">
        <w:rPr>
          <w:lang w:val="en"/>
        </w:rPr>
        <w:t>.</w:t>
      </w:r>
    </w:p>
    <w:p w:rsidRPr="00C270C5" w:rsidR="00DE4D08" w:rsidP="009B774E" w:rsidRDefault="00DE4D08" w14:paraId="74130C05" w14:textId="3F5197A7">
      <w:pPr>
        <w:numPr>
          <w:ilvl w:val="0"/>
          <w:numId w:val="17"/>
        </w:numPr>
        <w:spacing w:before="100" w:beforeAutospacing="1" w:after="100" w:afterAutospacing="1"/>
        <w:rPr>
          <w:lang w:val="en"/>
        </w:rPr>
      </w:pPr>
      <w:r w:rsidRPr="00C270C5">
        <w:rPr>
          <w:lang w:val="en"/>
        </w:rPr>
        <w:t>6(a)(2) data</w:t>
      </w:r>
      <w:r w:rsidRPr="00C270C5" w:rsidR="00A26FD8">
        <w:rPr>
          <w:lang w:val="en"/>
        </w:rPr>
        <w:t>.</w:t>
      </w:r>
    </w:p>
    <w:p w:rsidRPr="00C270C5" w:rsidR="004445F4" w:rsidP="009B774E" w:rsidRDefault="004445F4" w14:paraId="5C9046DB" w14:textId="424A2B78">
      <w:pPr>
        <w:numPr>
          <w:ilvl w:val="0"/>
          <w:numId w:val="17"/>
        </w:numPr>
        <w:spacing w:before="100" w:beforeAutospacing="1" w:after="100" w:afterAutospacing="1"/>
        <w:rPr>
          <w:lang w:val="en"/>
        </w:rPr>
      </w:pPr>
      <w:r w:rsidRPr="00C270C5">
        <w:rPr>
          <w:lang w:val="en"/>
        </w:rPr>
        <w:t>Petitions for food tolerance.</w:t>
      </w:r>
    </w:p>
    <w:p w:rsidRPr="00C270C5" w:rsidR="004445F4" w:rsidP="009B774E" w:rsidRDefault="004445F4" w14:paraId="25FB3952" w14:textId="4C3D5B29">
      <w:pPr>
        <w:numPr>
          <w:ilvl w:val="0"/>
          <w:numId w:val="17"/>
        </w:numPr>
        <w:spacing w:before="100" w:beforeAutospacing="1" w:after="100" w:afterAutospacing="1"/>
        <w:rPr>
          <w:lang w:val="en"/>
        </w:rPr>
      </w:pPr>
      <w:r w:rsidRPr="00C270C5">
        <w:rPr>
          <w:lang w:val="en"/>
        </w:rPr>
        <w:lastRenderedPageBreak/>
        <w:t>Distributor products.</w:t>
      </w:r>
    </w:p>
    <w:p w:rsidRPr="00C270C5" w:rsidR="007E69EC" w:rsidP="009B774E" w:rsidRDefault="005410B4" w14:paraId="540A46BD" w14:textId="3833C181">
      <w:pPr>
        <w:numPr>
          <w:ilvl w:val="0"/>
          <w:numId w:val="17"/>
        </w:numPr>
        <w:spacing w:before="100" w:beforeAutospacing="1" w:after="100" w:afterAutospacing="1"/>
        <w:rPr>
          <w:lang w:val="en"/>
        </w:rPr>
      </w:pPr>
      <w:r w:rsidRPr="00C270C5">
        <w:rPr>
          <w:lang w:val="en"/>
        </w:rPr>
        <w:t>Data Call-Ins (DCIs)</w:t>
      </w:r>
      <w:r w:rsidRPr="00C270C5" w:rsidR="00A26FD8">
        <w:rPr>
          <w:lang w:val="en"/>
        </w:rPr>
        <w:t>.</w:t>
      </w:r>
    </w:p>
    <w:p w:rsidRPr="00C270C5" w:rsidR="003465CC" w:rsidP="009B774E" w:rsidRDefault="004445F4" w14:paraId="428AB3F0" w14:textId="62E7B252">
      <w:pPr>
        <w:numPr>
          <w:ilvl w:val="0"/>
          <w:numId w:val="17"/>
        </w:numPr>
        <w:spacing w:before="100" w:beforeAutospacing="1" w:after="100" w:afterAutospacing="1"/>
        <w:rPr>
          <w:lang w:val="en"/>
        </w:rPr>
      </w:pPr>
      <w:r w:rsidRPr="00C270C5">
        <w:rPr>
          <w:lang w:val="en"/>
        </w:rPr>
        <w:t>Endocrine Disruptor Screening Program (EDSP) Orders.</w:t>
      </w:r>
    </w:p>
    <w:p w:rsidRPr="00C270C5" w:rsidR="00B301D1" w:rsidP="009B774E" w:rsidRDefault="00B301D1" w14:paraId="6DB0D5A5" w14:textId="2E706CC7">
      <w:pPr>
        <w:numPr>
          <w:ilvl w:val="0"/>
          <w:numId w:val="17"/>
        </w:numPr>
        <w:spacing w:before="100" w:beforeAutospacing="1" w:after="100" w:afterAutospacing="1"/>
        <w:rPr>
          <w:lang w:val="en"/>
        </w:rPr>
      </w:pPr>
      <w:r w:rsidRPr="00C270C5">
        <w:rPr>
          <w:lang w:val="en"/>
        </w:rPr>
        <w:t>Resubmit previously submitted 90-day responses.</w:t>
      </w:r>
    </w:p>
    <w:p w:rsidRPr="00C270C5" w:rsidR="003465CC" w:rsidP="009B774E" w:rsidRDefault="00747D1E" w14:paraId="0D71E0E2" w14:textId="3493318E">
      <w:pPr>
        <w:numPr>
          <w:ilvl w:val="0"/>
          <w:numId w:val="17"/>
        </w:numPr>
        <w:spacing w:before="100" w:beforeAutospacing="1" w:after="100" w:afterAutospacing="1"/>
        <w:rPr>
          <w:lang w:val="en"/>
        </w:rPr>
      </w:pPr>
      <w:r w:rsidRPr="00C270C5">
        <w:rPr>
          <w:lang w:val="en"/>
        </w:rPr>
        <w:t>Voluntary submissions</w:t>
      </w:r>
      <w:r w:rsidRPr="00C270C5" w:rsidR="00A26FD8">
        <w:rPr>
          <w:lang w:val="en"/>
        </w:rPr>
        <w:t>.</w:t>
      </w:r>
    </w:p>
    <w:p w:rsidRPr="00C270C5" w:rsidR="004445F4" w:rsidP="009B774E" w:rsidRDefault="004445F4" w14:paraId="7C020161" w14:textId="5112409A">
      <w:pPr>
        <w:ind w:firstLine="720"/>
      </w:pPr>
      <w:r w:rsidRPr="00C270C5">
        <w:t xml:space="preserve">The Government Paperwork Elimination Act </w:t>
      </w:r>
      <w:r w:rsidRPr="00C270C5" w:rsidR="007B2652">
        <w:t xml:space="preserve">required </w:t>
      </w:r>
      <w:r w:rsidRPr="00C270C5">
        <w:t xml:space="preserve">agencies </w:t>
      </w:r>
      <w:r w:rsidRPr="00C270C5" w:rsidR="007B2652">
        <w:t xml:space="preserve">to </w:t>
      </w:r>
      <w:r w:rsidRPr="00C270C5">
        <w:t xml:space="preserve">make available to the public electronic reporting alternatives to paper-based submissions by 2003, unless there is a strong reason for not doing so. </w:t>
      </w:r>
      <w:r w:rsidRPr="00C270C5" w:rsidR="005502CD">
        <w:t>In the past</w:t>
      </w:r>
      <w:r w:rsidRPr="00C270C5">
        <w:t xml:space="preserve">, the Agency was unable to ensure the security of CBI </w:t>
      </w:r>
      <w:r w:rsidRPr="00C270C5" w:rsidR="005502CD">
        <w:t xml:space="preserve">material </w:t>
      </w:r>
      <w:r w:rsidRPr="00C270C5">
        <w:t xml:space="preserve">that might be transmitted over the Internet. </w:t>
      </w:r>
      <w:r w:rsidRPr="00C270C5" w:rsidR="00D06142">
        <w:t>I</w:t>
      </w:r>
      <w:r w:rsidRPr="00C270C5" w:rsidR="007A6249">
        <w:t>n</w:t>
      </w:r>
      <w:r w:rsidRPr="00C270C5" w:rsidR="00D06142">
        <w:t xml:space="preserve"> </w:t>
      </w:r>
      <w:r w:rsidRPr="00C270C5">
        <w:t>September</w:t>
      </w:r>
      <w:r w:rsidRPr="00C270C5" w:rsidR="007A6249">
        <w:t xml:space="preserve"> </w:t>
      </w:r>
      <w:r w:rsidRPr="00C270C5">
        <w:t>2015, the EPA started offering</w:t>
      </w:r>
      <w:r w:rsidRPr="00C270C5" w:rsidR="005502CD">
        <w:rPr>
          <w:rFonts w:eastAsiaTheme="minorHAnsi"/>
        </w:rPr>
        <w:t xml:space="preserve"> the Pesticide Submission Portal</w:t>
      </w:r>
      <w:r w:rsidRPr="00C270C5" w:rsidR="007B2652">
        <w:rPr>
          <w:rFonts w:eastAsiaTheme="minorHAnsi"/>
        </w:rPr>
        <w:t xml:space="preserve"> (PSP)</w:t>
      </w:r>
      <w:r w:rsidRPr="00C270C5" w:rsidR="005502CD">
        <w:rPr>
          <w:rFonts w:eastAsiaTheme="minorHAnsi"/>
        </w:rPr>
        <w:t>,</w:t>
      </w:r>
      <w:r w:rsidRPr="00C270C5">
        <w:t xml:space="preserve"> a fully electronic alternative as an option for submitting registration forms electronically, as well as the ability to</w:t>
      </w:r>
      <w:r w:rsidRPr="00C270C5" w:rsidR="00767431">
        <w:t xml:space="preserve"> sign and</w:t>
      </w:r>
      <w:r w:rsidRPr="00C270C5">
        <w:t xml:space="preserve"> submit confidential information using Central Data Exchange (CDX) technology. The development of a web-based submission portal is a critical step in the realization of EPA’s long-term vision for secure data exchange between registrants and the Agency. </w:t>
      </w:r>
      <w:r w:rsidRPr="00C270C5" w:rsidR="007B2652">
        <w:t xml:space="preserve">(See </w:t>
      </w:r>
      <w:r w:rsidRPr="00B618F4" w:rsidR="007B2652">
        <w:rPr>
          <w:b/>
        </w:rPr>
        <w:t xml:space="preserve">Attachment </w:t>
      </w:r>
      <w:r w:rsidRPr="00B618F4" w:rsidR="00381D02">
        <w:rPr>
          <w:b/>
        </w:rPr>
        <w:t>N</w:t>
      </w:r>
      <w:r w:rsidRPr="00C270C5" w:rsidR="00381D02">
        <w:t xml:space="preserve"> for screen shots of PSP, along with available online instructions and guidance).</w:t>
      </w:r>
    </w:p>
    <w:p w:rsidRPr="00C270C5" w:rsidR="004445F4" w:rsidP="009B774E" w:rsidRDefault="004445F4" w14:paraId="73FBE0F8" w14:textId="77777777">
      <w:pPr>
        <w:pStyle w:val="Default"/>
        <w:ind w:firstLine="720"/>
        <w:rPr>
          <w:rFonts w:ascii="Times New Roman" w:hAnsi="Times New Roman" w:cs="Times New Roman"/>
          <w:color w:val="auto"/>
        </w:rPr>
      </w:pPr>
    </w:p>
    <w:p w:rsidRPr="00C270C5" w:rsidR="00C95E04" w:rsidP="009B774E" w:rsidRDefault="00C95E04" w14:paraId="66BA789F" w14:textId="678E1FE4">
      <w:pPr>
        <w:pStyle w:val="Default"/>
        <w:ind w:firstLine="720"/>
        <w:rPr>
          <w:rFonts w:ascii="Times New Roman" w:hAnsi="Times New Roman" w:cs="Times New Roman"/>
          <w:color w:val="auto"/>
        </w:rPr>
      </w:pPr>
      <w:r w:rsidRPr="00C270C5">
        <w:rPr>
          <w:rFonts w:ascii="Times New Roman" w:hAnsi="Times New Roman" w:cs="Times New Roman"/>
          <w:color w:val="auto"/>
        </w:rPr>
        <w:t xml:space="preserve">The </w:t>
      </w:r>
      <w:r w:rsidRPr="00C270C5" w:rsidR="005502CD">
        <w:rPr>
          <w:rFonts w:ascii="Times New Roman" w:hAnsi="Times New Roman" w:cs="Times New Roman"/>
          <w:color w:val="auto"/>
        </w:rPr>
        <w:t xml:space="preserve">new </w:t>
      </w:r>
      <w:r w:rsidRPr="00C270C5">
        <w:rPr>
          <w:rFonts w:ascii="Times New Roman" w:hAnsi="Times New Roman" w:cs="Times New Roman"/>
          <w:color w:val="auto"/>
        </w:rPr>
        <w:t xml:space="preserve">electronic submission process </w:t>
      </w:r>
      <w:r w:rsidRPr="00C270C5" w:rsidR="00D06142">
        <w:rPr>
          <w:rFonts w:ascii="Times New Roman" w:hAnsi="Times New Roman" w:cs="Times New Roman"/>
          <w:color w:val="auto"/>
        </w:rPr>
        <w:t xml:space="preserve">allows </w:t>
      </w:r>
      <w:r w:rsidRPr="00C270C5">
        <w:rPr>
          <w:rFonts w:ascii="Times New Roman" w:hAnsi="Times New Roman" w:cs="Times New Roman"/>
          <w:color w:val="auto"/>
        </w:rPr>
        <w:t>document uploads and</w:t>
      </w:r>
      <w:r w:rsidRPr="00C270C5" w:rsidR="00AB010B">
        <w:rPr>
          <w:rFonts w:ascii="Times New Roman" w:hAnsi="Times New Roman" w:cs="Times New Roman"/>
          <w:color w:val="auto"/>
        </w:rPr>
        <w:t xml:space="preserve"> </w:t>
      </w:r>
      <w:r w:rsidRPr="00C270C5" w:rsidR="00A750C7">
        <w:rPr>
          <w:rFonts w:ascii="Times New Roman" w:hAnsi="Times New Roman" w:cs="Times New Roman"/>
          <w:color w:val="auto"/>
        </w:rPr>
        <w:t xml:space="preserve">information </w:t>
      </w:r>
      <w:r w:rsidRPr="00C270C5" w:rsidR="00432464">
        <w:rPr>
          <w:rFonts w:ascii="Times New Roman" w:hAnsi="Times New Roman" w:cs="Times New Roman"/>
          <w:color w:val="auto"/>
        </w:rPr>
        <w:t>from paper forms to be</w:t>
      </w:r>
      <w:r w:rsidRPr="00C270C5" w:rsidR="00AB010B">
        <w:rPr>
          <w:rFonts w:ascii="Times New Roman" w:hAnsi="Times New Roman" w:cs="Times New Roman"/>
          <w:color w:val="auto"/>
        </w:rPr>
        <w:t xml:space="preserve"> submitted</w:t>
      </w:r>
      <w:r w:rsidRPr="00C270C5" w:rsidR="00326872">
        <w:rPr>
          <w:rFonts w:ascii="Times New Roman" w:hAnsi="Times New Roman" w:cs="Times New Roman"/>
          <w:color w:val="auto"/>
        </w:rPr>
        <w:t xml:space="preserve"> through an</w:t>
      </w:r>
      <w:r w:rsidRPr="00C270C5" w:rsidR="00AB010B">
        <w:rPr>
          <w:rFonts w:ascii="Times New Roman" w:hAnsi="Times New Roman" w:cs="Times New Roman"/>
          <w:color w:val="auto"/>
        </w:rPr>
        <w:t xml:space="preserve"> online</w:t>
      </w:r>
      <w:r w:rsidRPr="00C270C5">
        <w:rPr>
          <w:rFonts w:ascii="Times New Roman" w:hAnsi="Times New Roman" w:cs="Times New Roman"/>
          <w:color w:val="auto"/>
        </w:rPr>
        <w:t xml:space="preserve"> </w:t>
      </w:r>
      <w:r w:rsidRPr="00C270C5" w:rsidR="00326872">
        <w:rPr>
          <w:rFonts w:ascii="Times New Roman" w:hAnsi="Times New Roman" w:cs="Times New Roman"/>
          <w:color w:val="auto"/>
        </w:rPr>
        <w:t>form</w:t>
      </w:r>
      <w:r w:rsidRPr="00C270C5">
        <w:rPr>
          <w:rFonts w:ascii="Times New Roman" w:hAnsi="Times New Roman" w:cs="Times New Roman"/>
          <w:color w:val="auto"/>
        </w:rPr>
        <w:t>. The PSP leverages the Agency’s existing Central Data Exchange (CDX) to provide a secure method of submitting these documents and information within a secure online environment. CDX does require initial user registration for which the paperwork burden estimate is covered under “</w:t>
      </w:r>
      <w:r w:rsidRPr="00C270C5">
        <w:rPr>
          <w:rFonts w:ascii="Times New Roman" w:hAnsi="Times New Roman" w:cs="Times New Roman"/>
          <w:i/>
          <w:iCs/>
          <w:color w:val="auto"/>
        </w:rPr>
        <w:t>Cross-Media Electronic Reporting Rule</w:t>
      </w:r>
      <w:r w:rsidRPr="00C270C5">
        <w:rPr>
          <w:rFonts w:ascii="Times New Roman" w:hAnsi="Times New Roman" w:cs="Times New Roman"/>
          <w:color w:val="auto"/>
        </w:rPr>
        <w:t xml:space="preserve">” </w:t>
      </w:r>
      <w:r w:rsidRPr="00C270C5" w:rsidR="00C52AF3">
        <w:rPr>
          <w:rFonts w:ascii="Times New Roman" w:hAnsi="Times New Roman" w:cs="Times New Roman"/>
          <w:color w:val="auto"/>
        </w:rPr>
        <w:t>ICR, OMB</w:t>
      </w:r>
      <w:r w:rsidRPr="00C270C5">
        <w:rPr>
          <w:rFonts w:ascii="Times New Roman" w:hAnsi="Times New Roman" w:cs="Times New Roman"/>
          <w:color w:val="auto"/>
        </w:rPr>
        <w:t xml:space="preserve"> No. 2025-0003.</w:t>
      </w:r>
    </w:p>
    <w:p w:rsidRPr="00C270C5" w:rsidR="00C95E04" w:rsidP="009B774E" w:rsidRDefault="00C95E04" w14:paraId="502DEDBC" w14:textId="77777777">
      <w:pPr>
        <w:autoSpaceDE w:val="0"/>
        <w:autoSpaceDN w:val="0"/>
        <w:adjustRightInd w:val="0"/>
        <w:rPr>
          <w:rFonts w:eastAsiaTheme="minorHAnsi"/>
        </w:rPr>
      </w:pPr>
    </w:p>
    <w:p w:rsidRPr="00C270C5" w:rsidR="00767431" w:rsidP="009B774E" w:rsidRDefault="00767431" w14:paraId="2AD57E19" w14:textId="45D5F8E6">
      <w:pPr>
        <w:autoSpaceDE w:val="0"/>
        <w:autoSpaceDN w:val="0"/>
        <w:adjustRightInd w:val="0"/>
        <w:ind w:firstLine="720"/>
      </w:pPr>
      <w:r w:rsidRPr="00C270C5">
        <w:t xml:space="preserve">Application packages and files for pesticide registration can be submitted via PSP. This includes forms, studies, and draft product labeling. Applicants need not submit multiple electronic copies of any pieces of their applications. In PR Notice 2011-3, EPA made clear that the requirement to submit multiple copies of data is applicable only to paper submissions. Similarly, EPA interprets the requirement to submit five copies of draft labeling in 40 CFR </w:t>
      </w:r>
      <w:r w:rsidR="00301C21">
        <w:t xml:space="preserve">§ </w:t>
      </w:r>
      <w:r w:rsidRPr="00C270C5">
        <w:t>152.50(e) to apply only to applications made on paper. As electronic submissions are easily reproducible, EPA will accept electronic applications containing one</w:t>
      </w:r>
      <w:r w:rsidRPr="00C270C5" w:rsidR="007B2652">
        <w:t xml:space="preserve"> electronic</w:t>
      </w:r>
      <w:r w:rsidRPr="00C270C5">
        <w:t xml:space="preserve"> copy of all the required elements.</w:t>
      </w:r>
    </w:p>
    <w:p w:rsidR="00C44244" w:rsidP="009B774E" w:rsidRDefault="00C44244" w14:paraId="560FACCE" w14:textId="77777777">
      <w:pPr>
        <w:autoSpaceDE w:val="0"/>
        <w:autoSpaceDN w:val="0"/>
        <w:adjustRightInd w:val="0"/>
        <w:rPr>
          <w:rFonts w:eastAsiaTheme="minorHAnsi"/>
        </w:rPr>
      </w:pPr>
    </w:p>
    <w:p w:rsidRPr="00C270C5" w:rsidR="00FC65BE" w:rsidP="009B774E" w:rsidRDefault="00C95E04" w14:paraId="6B892789" w14:textId="73671EA6">
      <w:pPr>
        <w:autoSpaceDE w:val="0"/>
        <w:autoSpaceDN w:val="0"/>
        <w:adjustRightInd w:val="0"/>
        <w:ind w:firstLine="720"/>
        <w:rPr>
          <w:rFonts w:eastAsiaTheme="minorHAnsi"/>
        </w:rPr>
      </w:pPr>
      <w:r w:rsidRPr="00C270C5">
        <w:rPr>
          <w:rFonts w:eastAsiaTheme="minorHAnsi"/>
        </w:rPr>
        <w:t xml:space="preserve">EPA will continue to accept paper applications but encourages applicants to take advantage of this new, more efficient option and forego the courier costs to send to EPA. For electronic submissions, applicants do not need to submit multiple copies of any pieces of their application, the requirement for multiple copies of data and five copies draft labeling only applies to paper submissions. </w:t>
      </w:r>
    </w:p>
    <w:p w:rsidRPr="00C270C5" w:rsidR="00FC65BE" w:rsidP="009B774E" w:rsidRDefault="00FC65BE" w14:paraId="39CAED72" w14:textId="77777777">
      <w:pPr>
        <w:autoSpaceDE w:val="0"/>
        <w:autoSpaceDN w:val="0"/>
        <w:adjustRightInd w:val="0"/>
        <w:ind w:firstLine="720"/>
        <w:rPr>
          <w:rFonts w:eastAsiaTheme="minorHAnsi"/>
        </w:rPr>
      </w:pPr>
    </w:p>
    <w:p w:rsidRPr="00C270C5" w:rsidR="00FC65BE" w:rsidP="009B774E" w:rsidRDefault="00FC65BE" w14:paraId="635D752F" w14:textId="66BA9451">
      <w:pPr>
        <w:ind w:firstLine="720"/>
      </w:pPr>
      <w:r w:rsidRPr="00C270C5">
        <w:t xml:space="preserve">Whereas existing registration application forms </w:t>
      </w:r>
      <w:r w:rsidRPr="00C270C5">
        <w:rPr>
          <w:iCs/>
        </w:rPr>
        <w:t>require</w:t>
      </w:r>
      <w:r w:rsidRPr="00C270C5">
        <w:rPr>
          <w:b/>
          <w:iCs/>
        </w:rPr>
        <w:t xml:space="preserve"> </w:t>
      </w:r>
      <w:r w:rsidRPr="00C270C5">
        <w:rPr>
          <w:rStyle w:val="Strong"/>
          <w:b w:val="0"/>
          <w:lang w:val="en"/>
        </w:rPr>
        <w:t xml:space="preserve">an ink signature, the web-based portal uses </w:t>
      </w:r>
      <w:r w:rsidRPr="00C270C5">
        <w:t xml:space="preserve">EPA’s Central Data Exchange (CDX) to allow </w:t>
      </w:r>
      <w:r w:rsidRPr="00C270C5">
        <w:rPr>
          <w:rStyle w:val="Strong"/>
          <w:b w:val="0"/>
          <w:lang w:val="en"/>
        </w:rPr>
        <w:t>applicants to electronically sign and securely submit the required information</w:t>
      </w:r>
      <w:r w:rsidRPr="00C270C5">
        <w:t xml:space="preserve">. The use of CDX is intended to save </w:t>
      </w:r>
      <w:r w:rsidR="00233734">
        <w:t xml:space="preserve">the </w:t>
      </w:r>
      <w:r w:rsidRPr="00C270C5">
        <w:t xml:space="preserve">registrants’ and Agency’s time and resources by simplifying data submissions, receipt confirmation, information access and reporting. The electronic reporting option for CBI-related data through EPA’s CDX reporting site has been in place for </w:t>
      </w:r>
      <w:r w:rsidRPr="00C270C5" w:rsidR="003465CC">
        <w:t>three years</w:t>
      </w:r>
      <w:r w:rsidRPr="00C270C5">
        <w:t xml:space="preserve">. Therefore, the Agency has not yet evaluated whether respondents are more inclined to </w:t>
      </w:r>
      <w:r w:rsidRPr="00C270C5" w:rsidR="00FD6598">
        <w:t>use</w:t>
      </w:r>
      <w:r w:rsidRPr="00C270C5">
        <w:t xml:space="preserve"> the new submission portal, PSP</w:t>
      </w:r>
      <w:r w:rsidRPr="00C270C5" w:rsidR="00FD6598">
        <w:t>, for that purpose</w:t>
      </w:r>
      <w:r w:rsidRPr="00C270C5">
        <w:t>.</w:t>
      </w:r>
    </w:p>
    <w:p w:rsidRPr="00C270C5" w:rsidR="00FC65BE" w:rsidP="009B774E" w:rsidRDefault="00FC65BE" w14:paraId="13657DAB" w14:textId="77777777">
      <w:pPr>
        <w:autoSpaceDE w:val="0"/>
        <w:autoSpaceDN w:val="0"/>
        <w:adjustRightInd w:val="0"/>
        <w:ind w:firstLine="720"/>
        <w:rPr>
          <w:rFonts w:eastAsiaTheme="minorHAnsi"/>
        </w:rPr>
      </w:pPr>
    </w:p>
    <w:p w:rsidRPr="00C270C5" w:rsidR="00FC65BE" w:rsidP="009B774E" w:rsidRDefault="00FC65BE" w14:paraId="2B17814E" w14:textId="709A0500">
      <w:pPr>
        <w:autoSpaceDE w:val="0"/>
        <w:autoSpaceDN w:val="0"/>
        <w:adjustRightInd w:val="0"/>
        <w:ind w:firstLine="720"/>
      </w:pPr>
      <w:r w:rsidRPr="00C270C5">
        <w:rPr>
          <w:rFonts w:eastAsiaTheme="minorHAnsi"/>
        </w:rPr>
        <w:t>While it is too early to be able to quantify any change in burden, the Agency's pesticide program, along with the pesticide industry, recognizes the advantages in terms of accuracy, speed</w:t>
      </w:r>
      <w:r w:rsidRPr="00C270C5" w:rsidR="009B77FE">
        <w:rPr>
          <w:rFonts w:eastAsiaTheme="minorHAnsi"/>
        </w:rPr>
        <w:t xml:space="preserve"> and</w:t>
      </w:r>
      <w:r w:rsidRPr="00C270C5">
        <w:rPr>
          <w:rFonts w:eastAsiaTheme="minorHAnsi"/>
        </w:rPr>
        <w:t xml:space="preserve"> cost</w:t>
      </w:r>
      <w:r w:rsidRPr="00C270C5" w:rsidR="009B77FE">
        <w:rPr>
          <w:rFonts w:eastAsiaTheme="minorHAnsi"/>
        </w:rPr>
        <w:t>s</w:t>
      </w:r>
      <w:r w:rsidRPr="00C270C5">
        <w:rPr>
          <w:rFonts w:eastAsiaTheme="minorHAnsi"/>
        </w:rPr>
        <w:t xml:space="preserve"> from electronic data transfer technologies. </w:t>
      </w:r>
      <w:r w:rsidRPr="00C270C5">
        <w:t xml:space="preserve">The Agency believes that the ability to electronically submit information required for registration reduces the burden of sending, receiving, and archiving paper submissions, minimizes errors, and eliminates the need for multiple data entries across forms. </w:t>
      </w:r>
    </w:p>
    <w:p w:rsidRPr="00C270C5" w:rsidR="00FC65BE" w:rsidP="009B774E" w:rsidRDefault="00FC65BE" w14:paraId="04988D21" w14:textId="77777777">
      <w:pPr>
        <w:autoSpaceDE w:val="0"/>
        <w:autoSpaceDN w:val="0"/>
        <w:adjustRightInd w:val="0"/>
        <w:ind w:firstLine="720"/>
      </w:pPr>
    </w:p>
    <w:p w:rsidRPr="00C270C5" w:rsidR="00EB48F9" w:rsidP="009B774E" w:rsidRDefault="00C95E04" w14:paraId="5666DD8A" w14:textId="31F32692">
      <w:pPr>
        <w:autoSpaceDE w:val="0"/>
        <w:autoSpaceDN w:val="0"/>
        <w:adjustRightInd w:val="0"/>
        <w:ind w:firstLine="720"/>
      </w:pPr>
      <w:r w:rsidRPr="00C270C5">
        <w:rPr>
          <w:rFonts w:eastAsiaTheme="minorHAnsi"/>
        </w:rPr>
        <w:t xml:space="preserve">Additional benefits of using the Portal include a status indicator that allows registrants to track the movement of their submissions and automatically generated MRID numbers. </w:t>
      </w:r>
      <w:r w:rsidRPr="00C270C5" w:rsidR="00B96BE0">
        <w:t>Extensive guidance regarding available electronic submission option</w:t>
      </w:r>
      <w:r w:rsidRPr="00C270C5" w:rsidR="0006236F">
        <w:t>s</w:t>
      </w:r>
      <w:r w:rsidRPr="00C270C5" w:rsidR="00B96BE0">
        <w:t xml:space="preserve"> is available to registrants via </w:t>
      </w:r>
      <w:r w:rsidRPr="00C270C5" w:rsidR="003626ED">
        <w:t>the Office of Pesticide Program</w:t>
      </w:r>
      <w:r w:rsidRPr="00C270C5" w:rsidR="00832560">
        <w:t>’s</w:t>
      </w:r>
      <w:r w:rsidRPr="00C270C5" w:rsidR="003626ED">
        <w:t xml:space="preserve"> (OPP)</w:t>
      </w:r>
      <w:r w:rsidRPr="00C270C5" w:rsidR="00B96BE0">
        <w:t xml:space="preserve"> </w:t>
      </w:r>
      <w:r w:rsidRPr="00C270C5" w:rsidR="00832560">
        <w:t>web</w:t>
      </w:r>
      <w:r w:rsidRPr="00C270C5" w:rsidR="00B96BE0">
        <w:t xml:space="preserve">site at </w:t>
      </w:r>
      <w:hyperlink w:history="1" r:id="rId19">
        <w:r w:rsidRPr="00C270C5" w:rsidR="0006236F">
          <w:rPr>
            <w:rStyle w:val="Hyperlink"/>
            <w:color w:val="auto"/>
          </w:rPr>
          <w:t>http://www2.epa.gov/pesticide-registration/electronic-submissions-pesticide-applications</w:t>
        </w:r>
      </w:hyperlink>
      <w:r w:rsidRPr="00C270C5" w:rsidR="00B96BE0">
        <w:t>.</w:t>
      </w:r>
    </w:p>
    <w:p w:rsidRPr="00C270C5" w:rsidR="0006236F" w:rsidP="009B774E" w:rsidRDefault="0006236F" w14:paraId="2A29D75C" w14:textId="2FF76C60">
      <w:pPr>
        <w:autoSpaceDE w:val="0"/>
        <w:autoSpaceDN w:val="0"/>
        <w:adjustRightInd w:val="0"/>
      </w:pPr>
    </w:p>
    <w:p w:rsidR="005F37A7" w:rsidP="009B774E" w:rsidRDefault="00D06142" w14:paraId="7A18AA3A" w14:textId="7E0BDB6F">
      <w:pPr>
        <w:ind w:firstLine="720"/>
      </w:pPr>
      <w:r w:rsidRPr="00C270C5">
        <w:t>Overall, the EPA is continuing to investigate opportunities for technological improvements which focus on using fully electronic tools</w:t>
      </w:r>
      <w:r w:rsidRPr="00C270C5" w:rsidR="000D359F">
        <w:t xml:space="preserve"> for information collections</w:t>
      </w:r>
      <w:r w:rsidRPr="00C270C5">
        <w:t xml:space="preserve">. </w:t>
      </w:r>
      <w:r w:rsidRPr="00C270C5">
        <w:rPr>
          <w:rFonts w:eastAsiaTheme="minorHAnsi"/>
        </w:rPr>
        <w:t>OPP continues to consult with industry associations and other federal agencies</w:t>
      </w:r>
      <w:r w:rsidRPr="00C270C5" w:rsidR="0032322A">
        <w:rPr>
          <w:rFonts w:eastAsiaTheme="minorHAnsi"/>
        </w:rPr>
        <w:t xml:space="preserve"> regarding this issue</w:t>
      </w:r>
      <w:r w:rsidRPr="00C270C5">
        <w:rPr>
          <w:rFonts w:eastAsiaTheme="minorHAnsi"/>
        </w:rPr>
        <w:t xml:space="preserve"> and is participating in an Agency-wide workgroup to develop electronic reporting standards</w:t>
      </w:r>
      <w:r w:rsidRPr="00C270C5">
        <w:t xml:space="preserve">. One of OPP’s priority areas in developing such electronic tools is related to electronic submission of data and labels. Some of the </w:t>
      </w:r>
      <w:r w:rsidRPr="00C270C5" w:rsidR="00695269">
        <w:t xml:space="preserve">electronic </w:t>
      </w:r>
      <w:r w:rsidRPr="00C270C5" w:rsidR="007823EA">
        <w:t>tools</w:t>
      </w:r>
      <w:r w:rsidRPr="00C270C5">
        <w:t xml:space="preserve"> </w:t>
      </w:r>
      <w:r w:rsidRPr="00C270C5" w:rsidR="00695269">
        <w:t xml:space="preserve">being developed </w:t>
      </w:r>
      <w:r w:rsidRPr="00C270C5">
        <w:t xml:space="preserve">under this initiative </w:t>
      </w:r>
      <w:proofErr w:type="gramStart"/>
      <w:r w:rsidRPr="00C270C5" w:rsidR="00DA172B">
        <w:t>include:</w:t>
      </w:r>
      <w:proofErr w:type="gramEnd"/>
      <w:r w:rsidRPr="00C270C5" w:rsidR="00DA172B">
        <w:t xml:space="preserve"> </w:t>
      </w:r>
      <w:r w:rsidRPr="00C270C5" w:rsidR="00216AA7">
        <w:t xml:space="preserve">software that supports a fully-online </w:t>
      </w:r>
      <w:r w:rsidRPr="00C270C5" w:rsidR="002620E3">
        <w:t xml:space="preserve">electronic </w:t>
      </w:r>
      <w:r w:rsidRPr="00C270C5">
        <w:t>Confidential Statement of Formula</w:t>
      </w:r>
      <w:r w:rsidRPr="00C270C5" w:rsidR="00FC24F9">
        <w:t xml:space="preserve"> (</w:t>
      </w:r>
      <w:proofErr w:type="spellStart"/>
      <w:r w:rsidRPr="00C270C5" w:rsidR="002620E3">
        <w:t>e</w:t>
      </w:r>
      <w:r w:rsidRPr="00C270C5" w:rsidR="00FC24F9">
        <w:t>CSF</w:t>
      </w:r>
      <w:proofErr w:type="spellEnd"/>
      <w:r w:rsidRPr="00C270C5" w:rsidR="00FC24F9">
        <w:t>)</w:t>
      </w:r>
      <w:r w:rsidRPr="00C270C5">
        <w:t>, formerly the Confidential Statement of Product Specifications (CSPS)</w:t>
      </w:r>
      <w:r w:rsidRPr="00C270C5" w:rsidR="00FE3BE1">
        <w:t>,</w:t>
      </w:r>
      <w:r w:rsidRPr="00C270C5">
        <w:t xml:space="preserve"> </w:t>
      </w:r>
      <w:r w:rsidR="00AF0E43">
        <w:t xml:space="preserve">and </w:t>
      </w:r>
      <w:r w:rsidRPr="00C270C5">
        <w:t>the Office of Pesticide Program</w:t>
      </w:r>
      <w:r w:rsidRPr="00C270C5" w:rsidR="0055732C">
        <w:t>s</w:t>
      </w:r>
      <w:r w:rsidRPr="00C270C5">
        <w:t xml:space="preserve"> Electronic Label (OPPEL), formerly </w:t>
      </w:r>
      <w:proofErr w:type="spellStart"/>
      <w:r w:rsidRPr="00C270C5">
        <w:t>SmartLabel</w:t>
      </w:r>
      <w:proofErr w:type="spellEnd"/>
      <w:r w:rsidR="00AF0E43">
        <w:t>.</w:t>
      </w:r>
      <w:r w:rsidRPr="00C270C5">
        <w:t xml:space="preserve"> The </w:t>
      </w:r>
      <w:r w:rsidRPr="00C270C5" w:rsidR="007F5BC6">
        <w:t xml:space="preserve">former </w:t>
      </w:r>
      <w:r w:rsidRPr="00C270C5">
        <w:t xml:space="preserve">CSPS was originally a </w:t>
      </w:r>
      <w:r w:rsidRPr="00C270C5">
        <w:rPr>
          <w:rFonts w:asciiTheme="majorBidi" w:hAnsiTheme="majorBidi" w:cstheme="majorBidi"/>
          <w:sz w:val="23"/>
          <w:szCs w:val="23"/>
        </w:rPr>
        <w:t xml:space="preserve">collaboration between </w:t>
      </w:r>
      <w:r w:rsidRPr="00C270C5">
        <w:t>Canada and the U.S. EPA with an effort toward a harmonized single portal usable for electronic submissions to either Agency. The</w:t>
      </w:r>
      <w:r w:rsidRPr="00C270C5" w:rsidR="00DC1743">
        <w:t xml:space="preserve"> joint</w:t>
      </w:r>
      <w:r w:rsidRPr="00C270C5">
        <w:t xml:space="preserve"> U.S. and Canadian efforts have </w:t>
      </w:r>
      <w:r w:rsidRPr="00C270C5" w:rsidR="00BA772A">
        <w:t xml:space="preserve">since </w:t>
      </w:r>
      <w:r w:rsidRPr="00C270C5" w:rsidR="008F4D9A">
        <w:t>ended;</w:t>
      </w:r>
      <w:r w:rsidRPr="00C270C5">
        <w:t xml:space="preserve"> </w:t>
      </w:r>
      <w:r w:rsidRPr="00C270C5" w:rsidR="008F4D9A">
        <w:t>h</w:t>
      </w:r>
      <w:r w:rsidRPr="00C270C5">
        <w:t>owever, the U.S.</w:t>
      </w:r>
      <w:r w:rsidRPr="00C270C5" w:rsidR="00032146">
        <w:t xml:space="preserve"> still</w:t>
      </w:r>
      <w:r w:rsidRPr="00C270C5">
        <w:t xml:space="preserve"> intends to</w:t>
      </w:r>
      <w:r w:rsidRPr="00C270C5" w:rsidR="00ED1F17">
        <w:t xml:space="preserve"> </w:t>
      </w:r>
      <w:r w:rsidRPr="00C270C5">
        <w:t>share the data schema with Canada once the software development is complete.</w:t>
      </w:r>
    </w:p>
    <w:p w:rsidRPr="00C270C5" w:rsidR="00D06142" w:rsidP="009B774E" w:rsidRDefault="00D06142" w14:paraId="65D28336" w14:textId="53C9A701">
      <w:pPr>
        <w:ind w:firstLine="720"/>
        <w:rPr>
          <w:rFonts w:asciiTheme="majorBidi" w:hAnsiTheme="majorBidi" w:cstheme="majorBidi"/>
        </w:rPr>
      </w:pPr>
      <w:r w:rsidRPr="00C270C5">
        <w:t xml:space="preserve"> </w:t>
      </w:r>
    </w:p>
    <w:p w:rsidR="00283C11" w:rsidP="003A7676" w:rsidRDefault="00D05E83" w14:paraId="283CC7E3" w14:textId="71D0DA5F">
      <w:pPr>
        <w:tabs>
          <w:tab w:val="left" w:pos="720"/>
          <w:tab w:val="left" w:pos="2160"/>
          <w:tab w:val="left" w:pos="2880"/>
          <w:tab w:val="left" w:pos="3600"/>
          <w:tab w:val="left" w:pos="4320"/>
          <w:tab w:val="center" w:pos="5040"/>
          <w:tab w:val="left" w:pos="5760"/>
          <w:tab w:val="left" w:pos="6480"/>
          <w:tab w:val="left" w:pos="7200"/>
          <w:tab w:val="left" w:pos="7920"/>
          <w:tab w:val="left" w:pos="8640"/>
          <w:tab w:val="left" w:pos="9360"/>
        </w:tabs>
        <w:ind w:firstLine="720"/>
        <w:rPr>
          <w:rFonts w:asciiTheme="majorBidi" w:hAnsiTheme="majorBidi" w:cstheme="majorBidi"/>
          <w:bCs/>
        </w:rPr>
      </w:pPr>
      <w:r w:rsidRPr="00D05E83">
        <w:rPr>
          <w:rFonts w:asciiTheme="majorBidi" w:hAnsiTheme="majorBidi" w:cstheme="majorBidi"/>
          <w:bCs/>
        </w:rPr>
        <w:t xml:space="preserve">The Agency anticipates using these electronic tools as they become fully operational. EPA anticipates that submissions via these electronic tools will take less time to prepare than paper or current web-based submissions. It is anticipated that the burden associated with these collections will decrease as these electronic tools become a part of standard business practice. Any burden modifications associated with the anticipated OPPEL and </w:t>
      </w:r>
      <w:proofErr w:type="spellStart"/>
      <w:r w:rsidRPr="00D05E83">
        <w:rPr>
          <w:rFonts w:asciiTheme="majorBidi" w:hAnsiTheme="majorBidi" w:cstheme="majorBidi"/>
          <w:bCs/>
        </w:rPr>
        <w:t>eCSF</w:t>
      </w:r>
      <w:proofErr w:type="spellEnd"/>
      <w:r w:rsidRPr="00D05E83">
        <w:rPr>
          <w:rFonts w:asciiTheme="majorBidi" w:hAnsiTheme="majorBidi" w:cstheme="majorBidi"/>
          <w:bCs/>
        </w:rPr>
        <w:t xml:space="preserve"> tools will be evaluated in future iterations of this ICR when the tools are fully implemented and once EPA has data on the frequency of use of these tools for electronic submissions and the time required to complete this type of submission</w:t>
      </w:r>
      <w:r>
        <w:rPr>
          <w:rFonts w:asciiTheme="majorBidi" w:hAnsiTheme="majorBidi" w:cstheme="majorBidi"/>
          <w:bCs/>
        </w:rPr>
        <w:t xml:space="preserve">. </w:t>
      </w:r>
      <w:r w:rsidR="00AF0E43">
        <w:rPr>
          <w:rFonts w:asciiTheme="majorBidi" w:hAnsiTheme="majorBidi" w:cstheme="majorBidi"/>
          <w:bCs/>
        </w:rPr>
        <w:t xml:space="preserve">It is important to note that </w:t>
      </w:r>
      <w:r w:rsidR="00AF0E43">
        <w:t xml:space="preserve">the proposed or draft changes to the PSP are not covered by the ICR until they are submitted to and approved by OMB. </w:t>
      </w:r>
    </w:p>
    <w:p w:rsidR="00283C11" w:rsidP="009B774E" w:rsidRDefault="00283C11" w14:paraId="5BB9F4EB" w14:textId="77777777">
      <w:pPr>
        <w:autoSpaceDE w:val="0"/>
        <w:autoSpaceDN w:val="0"/>
        <w:adjustRightInd w:val="0"/>
        <w:rPr>
          <w:rFonts w:asciiTheme="majorBidi" w:hAnsiTheme="majorBidi" w:cstheme="majorBidi"/>
        </w:rPr>
      </w:pPr>
    </w:p>
    <w:p w:rsidR="00553668" w:rsidP="009B774E" w:rsidRDefault="004445F4" w14:paraId="407934B6" w14:textId="3C42F08D">
      <w:pPr>
        <w:autoSpaceDE w:val="0"/>
        <w:autoSpaceDN w:val="0"/>
        <w:adjustRightInd w:val="0"/>
        <w:rPr>
          <w:rFonts w:asciiTheme="majorBidi" w:hAnsiTheme="majorBidi" w:cstheme="majorBidi"/>
        </w:rPr>
      </w:pPr>
      <w:r w:rsidRPr="00C270C5">
        <w:rPr>
          <w:rFonts w:asciiTheme="majorBidi" w:hAnsiTheme="majorBidi" w:cstheme="majorBidi"/>
          <w:b/>
          <w:bCs/>
        </w:rPr>
        <w:t>Other information submission methods</w:t>
      </w:r>
      <w:r w:rsidRPr="00C270C5" w:rsidR="00553668">
        <w:rPr>
          <w:rFonts w:asciiTheme="majorBidi" w:hAnsiTheme="majorBidi" w:cstheme="majorBidi"/>
          <w:b/>
          <w:bCs/>
        </w:rPr>
        <w:t xml:space="preserve"> include</w:t>
      </w:r>
      <w:r w:rsidRPr="00C270C5" w:rsidR="00C6044D">
        <w:rPr>
          <w:rFonts w:asciiTheme="majorBidi" w:hAnsiTheme="majorBidi" w:cstheme="majorBidi"/>
          <w:b/>
          <w:bCs/>
        </w:rPr>
        <w:t xml:space="preserve">: </w:t>
      </w:r>
      <w:r w:rsidRPr="00C270C5" w:rsidR="003A6E9A">
        <w:rPr>
          <w:rFonts w:asciiTheme="majorBidi" w:hAnsiTheme="majorBidi" w:cstheme="majorBidi"/>
        </w:rPr>
        <w:t xml:space="preserve"> </w:t>
      </w:r>
    </w:p>
    <w:p w:rsidRPr="00C270C5" w:rsidR="00492858" w:rsidP="009B774E" w:rsidRDefault="00492858" w14:paraId="6F132105" w14:textId="77777777">
      <w:pPr>
        <w:autoSpaceDE w:val="0"/>
        <w:autoSpaceDN w:val="0"/>
        <w:adjustRightInd w:val="0"/>
        <w:rPr>
          <w:rFonts w:asciiTheme="majorBidi" w:hAnsiTheme="majorBidi" w:cstheme="majorBidi"/>
        </w:rPr>
      </w:pPr>
    </w:p>
    <w:p w:rsidRPr="00C270C5" w:rsidR="00B96BE0" w:rsidP="009B774E" w:rsidRDefault="00505187" w14:paraId="36BF25D5" w14:textId="7D17C59E">
      <w:pPr>
        <w:pStyle w:val="ListParagraph"/>
        <w:numPr>
          <w:ilvl w:val="0"/>
          <w:numId w:val="33"/>
        </w:numPr>
        <w:autoSpaceDE w:val="0"/>
        <w:autoSpaceDN w:val="0"/>
        <w:adjustRightInd w:val="0"/>
        <w:rPr>
          <w:rFonts w:asciiTheme="majorBidi" w:hAnsiTheme="majorBidi" w:cstheme="majorBidi"/>
        </w:rPr>
      </w:pPr>
      <w:r w:rsidRPr="00C270C5">
        <w:rPr>
          <w:rFonts w:asciiTheme="majorBidi" w:hAnsiTheme="majorBidi" w:cstheme="majorBidi"/>
        </w:rPr>
        <w:t>P</w:t>
      </w:r>
      <w:r w:rsidRPr="00C270C5" w:rsidR="003A6E9A">
        <w:rPr>
          <w:rFonts w:asciiTheme="majorBidi" w:hAnsiTheme="majorBidi" w:cstheme="majorBidi"/>
        </w:rPr>
        <w:t>aper submissions</w:t>
      </w:r>
      <w:r w:rsidRPr="00C270C5">
        <w:rPr>
          <w:rFonts w:asciiTheme="majorBidi" w:hAnsiTheme="majorBidi" w:cstheme="majorBidi"/>
        </w:rPr>
        <w:t>.</w:t>
      </w:r>
      <w:r w:rsidRPr="00C270C5" w:rsidR="005B2C0F">
        <w:rPr>
          <w:rFonts w:asciiTheme="majorBidi" w:hAnsiTheme="majorBidi" w:cstheme="majorBidi"/>
        </w:rPr>
        <w:t xml:space="preserve"> </w:t>
      </w:r>
      <w:r w:rsidRPr="00C270C5" w:rsidR="00823B55">
        <w:rPr>
          <w:rFonts w:asciiTheme="majorBidi" w:hAnsiTheme="majorBidi" w:cstheme="majorBidi"/>
        </w:rPr>
        <w:t>R</w:t>
      </w:r>
      <w:r w:rsidRPr="00C270C5" w:rsidR="005B2C0F">
        <w:rPr>
          <w:rFonts w:asciiTheme="majorBidi" w:hAnsiTheme="majorBidi" w:cstheme="majorBidi"/>
        </w:rPr>
        <w:t xml:space="preserve">egistrants </w:t>
      </w:r>
      <w:r w:rsidRPr="00C270C5" w:rsidR="002518D6">
        <w:rPr>
          <w:rFonts w:asciiTheme="majorBidi" w:hAnsiTheme="majorBidi" w:cstheme="majorBidi"/>
        </w:rPr>
        <w:t>are</w:t>
      </w:r>
      <w:r w:rsidRPr="00C270C5" w:rsidR="005B2C0F">
        <w:rPr>
          <w:rFonts w:asciiTheme="majorBidi" w:hAnsiTheme="majorBidi" w:cstheme="majorBidi"/>
        </w:rPr>
        <w:t xml:space="preserve"> required to submit three paper copies of study data to EPA, </w:t>
      </w:r>
      <w:r w:rsidRPr="00C270C5" w:rsidR="00832560">
        <w:rPr>
          <w:rFonts w:asciiTheme="majorBidi" w:hAnsiTheme="majorBidi" w:cstheme="majorBidi"/>
        </w:rPr>
        <w:t xml:space="preserve">or </w:t>
      </w:r>
      <w:r w:rsidRPr="00C270C5" w:rsidR="005B2C0F">
        <w:rPr>
          <w:rFonts w:asciiTheme="majorBidi" w:hAnsiTheme="majorBidi" w:cstheme="majorBidi"/>
        </w:rPr>
        <w:t xml:space="preserve">two paper copies if they submit the required study data in Adobe Acrobat Portable Document Format (PDF). </w:t>
      </w:r>
    </w:p>
    <w:p w:rsidRPr="00C270C5" w:rsidR="00B96BE0" w:rsidP="009B774E" w:rsidRDefault="00B96BE0" w14:paraId="542FBD32" w14:textId="77777777">
      <w:pPr>
        <w:autoSpaceDE w:val="0"/>
        <w:autoSpaceDN w:val="0"/>
        <w:adjustRightInd w:val="0"/>
        <w:ind w:firstLine="720"/>
        <w:rPr>
          <w:rFonts w:asciiTheme="majorBidi" w:hAnsiTheme="majorBidi" w:cstheme="majorBidi"/>
        </w:rPr>
      </w:pPr>
    </w:p>
    <w:p w:rsidRPr="00C270C5" w:rsidR="005B2C0F" w:rsidP="009B774E" w:rsidRDefault="005E06FB" w14:paraId="508EFC99" w14:textId="3B5943E5">
      <w:pPr>
        <w:pStyle w:val="ListParagraph"/>
        <w:numPr>
          <w:ilvl w:val="0"/>
          <w:numId w:val="33"/>
        </w:numPr>
        <w:autoSpaceDE w:val="0"/>
        <w:autoSpaceDN w:val="0"/>
        <w:adjustRightInd w:val="0"/>
        <w:rPr>
          <w:rFonts w:asciiTheme="majorBidi" w:hAnsiTheme="majorBidi" w:cstheme="majorBidi"/>
        </w:rPr>
      </w:pPr>
      <w:r w:rsidRPr="00C270C5">
        <w:rPr>
          <w:rFonts w:asciiTheme="majorBidi" w:hAnsiTheme="majorBidi" w:cstheme="majorBidi"/>
        </w:rPr>
        <w:lastRenderedPageBreak/>
        <w:t>XML file</w:t>
      </w:r>
      <w:r w:rsidRPr="00C270C5" w:rsidR="003D7B3D">
        <w:rPr>
          <w:rFonts w:asciiTheme="majorBidi" w:hAnsiTheme="majorBidi" w:cstheme="majorBidi"/>
        </w:rPr>
        <w:t>s</w:t>
      </w:r>
      <w:r w:rsidRPr="00C270C5">
        <w:rPr>
          <w:rFonts w:asciiTheme="majorBidi" w:hAnsiTheme="majorBidi" w:cstheme="majorBidi"/>
        </w:rPr>
        <w:t>.</w:t>
      </w:r>
      <w:r w:rsidRPr="00C270C5" w:rsidR="00A12965">
        <w:t xml:space="preserve"> </w:t>
      </w:r>
      <w:r w:rsidRPr="00C270C5" w:rsidR="00A12965">
        <w:rPr>
          <w:rFonts w:asciiTheme="majorBidi" w:hAnsiTheme="majorBidi" w:cstheme="majorBidi"/>
        </w:rPr>
        <w:t xml:space="preserve">Registrants </w:t>
      </w:r>
      <w:r w:rsidRPr="00C270C5" w:rsidR="00275FFE">
        <w:rPr>
          <w:rFonts w:asciiTheme="majorBidi" w:hAnsiTheme="majorBidi" w:cstheme="majorBidi"/>
        </w:rPr>
        <w:t xml:space="preserve">can </w:t>
      </w:r>
      <w:r w:rsidRPr="00C270C5" w:rsidR="00A12965">
        <w:rPr>
          <w:rFonts w:asciiTheme="majorBidi" w:hAnsiTheme="majorBidi" w:cstheme="majorBidi"/>
        </w:rPr>
        <w:t xml:space="preserve">construct an XML file for inclusion in an electronic submission package </w:t>
      </w:r>
      <w:r w:rsidRPr="00C270C5" w:rsidR="0058610A">
        <w:rPr>
          <w:rFonts w:asciiTheme="majorBidi" w:hAnsiTheme="majorBidi" w:cstheme="majorBidi"/>
        </w:rPr>
        <w:t xml:space="preserve">that can be submitted to the EPA </w:t>
      </w:r>
      <w:r w:rsidRPr="00C270C5" w:rsidR="00B96BE0">
        <w:rPr>
          <w:rFonts w:asciiTheme="majorBidi" w:hAnsiTheme="majorBidi" w:cstheme="majorBidi"/>
        </w:rPr>
        <w:t xml:space="preserve">via magnetic media-based submissions </w:t>
      </w:r>
      <w:r w:rsidRPr="00C270C5" w:rsidR="0058610A">
        <w:rPr>
          <w:rFonts w:asciiTheme="majorBidi" w:hAnsiTheme="majorBidi" w:cstheme="majorBidi"/>
        </w:rPr>
        <w:t>such as a</w:t>
      </w:r>
      <w:r w:rsidRPr="00C270C5" w:rsidR="00B96BE0">
        <w:rPr>
          <w:rFonts w:asciiTheme="majorBidi" w:hAnsiTheme="majorBidi" w:cstheme="majorBidi"/>
        </w:rPr>
        <w:t xml:space="preserve"> diskette, CD-ROM, etc. </w:t>
      </w:r>
    </w:p>
    <w:p w:rsidRPr="00C270C5" w:rsidR="00190AAE" w:rsidP="009B774E" w:rsidRDefault="00190AAE" w14:paraId="77F6C416" w14:textId="50CD86B6">
      <w:pPr>
        <w:rPr>
          <w:rFonts w:asciiTheme="majorBidi" w:hAnsiTheme="majorBidi" w:cstheme="majorBidi"/>
        </w:rPr>
      </w:pPr>
    </w:p>
    <w:p w:rsidRPr="00C270C5" w:rsidR="003D7B3D" w:rsidP="009B774E" w:rsidRDefault="00256B9A" w14:paraId="704798DD" w14:textId="77777777">
      <w:pPr>
        <w:pStyle w:val="ListParagraph"/>
        <w:numPr>
          <w:ilvl w:val="0"/>
          <w:numId w:val="33"/>
        </w:numPr>
        <w:rPr>
          <w:rFonts w:asciiTheme="majorBidi" w:hAnsiTheme="majorBidi" w:cstheme="majorBidi"/>
        </w:rPr>
      </w:pPr>
      <w:r w:rsidRPr="00C270C5">
        <w:rPr>
          <w:rFonts w:asciiTheme="majorBidi" w:hAnsiTheme="majorBidi" w:cstheme="majorBidi"/>
        </w:rPr>
        <w:t xml:space="preserve">e-Dossier Builder system. </w:t>
      </w:r>
      <w:r w:rsidRPr="00C270C5" w:rsidR="003D7B3D">
        <w:rPr>
          <w:rFonts w:asciiTheme="majorBidi" w:hAnsiTheme="majorBidi" w:cstheme="majorBidi"/>
        </w:rPr>
        <w:t>This system allows registrants to create packages for electronic</w:t>
      </w:r>
    </w:p>
    <w:p w:rsidRPr="00C270C5" w:rsidR="00190AAE" w:rsidP="009B774E" w:rsidRDefault="003D7B3D" w14:paraId="1814DA5D" w14:textId="36778DCB">
      <w:pPr>
        <w:pStyle w:val="ListParagraph"/>
        <w:rPr>
          <w:rFonts w:asciiTheme="majorBidi" w:hAnsiTheme="majorBidi" w:cstheme="majorBidi"/>
        </w:rPr>
      </w:pPr>
      <w:r w:rsidRPr="00C270C5">
        <w:rPr>
          <w:rFonts w:asciiTheme="majorBidi" w:hAnsiTheme="majorBidi" w:cstheme="majorBidi"/>
        </w:rPr>
        <w:t xml:space="preserve">submission </w:t>
      </w:r>
      <w:r w:rsidRPr="00C270C5" w:rsidR="00600E2E">
        <w:rPr>
          <w:rFonts w:asciiTheme="majorBidi" w:hAnsiTheme="majorBidi" w:cstheme="majorBidi"/>
        </w:rPr>
        <w:t>via</w:t>
      </w:r>
      <w:r w:rsidRPr="00C270C5" w:rsidR="007C35A3">
        <w:rPr>
          <w:rFonts w:asciiTheme="majorBidi" w:hAnsiTheme="majorBidi" w:cstheme="majorBidi"/>
        </w:rPr>
        <w:t xml:space="preserve"> a</w:t>
      </w:r>
      <w:r w:rsidRPr="00C270C5" w:rsidR="00C6127D">
        <w:rPr>
          <w:rFonts w:asciiTheme="majorBidi" w:hAnsiTheme="majorBidi" w:cstheme="majorBidi"/>
        </w:rPr>
        <w:t xml:space="preserve"> “builder” application </w:t>
      </w:r>
      <w:r w:rsidRPr="00C270C5">
        <w:rPr>
          <w:rFonts w:asciiTheme="majorBidi" w:hAnsiTheme="majorBidi" w:cstheme="majorBidi"/>
        </w:rPr>
        <w:t>and presents packages in a</w:t>
      </w:r>
      <w:r w:rsidRPr="00C270C5" w:rsidR="0088292C">
        <w:rPr>
          <w:rFonts w:asciiTheme="majorBidi" w:hAnsiTheme="majorBidi" w:cstheme="majorBidi"/>
        </w:rPr>
        <w:t xml:space="preserve"> </w:t>
      </w:r>
      <w:r w:rsidRPr="00C270C5">
        <w:rPr>
          <w:rFonts w:asciiTheme="majorBidi" w:hAnsiTheme="majorBidi" w:cstheme="majorBidi"/>
        </w:rPr>
        <w:t>specified forma</w:t>
      </w:r>
      <w:r w:rsidRPr="00C270C5" w:rsidR="0088292C">
        <w:rPr>
          <w:rFonts w:asciiTheme="majorBidi" w:hAnsiTheme="majorBidi" w:cstheme="majorBidi"/>
        </w:rPr>
        <w:t xml:space="preserve">t. </w:t>
      </w:r>
      <w:r w:rsidRPr="00C270C5" w:rsidR="00190AAE">
        <w:rPr>
          <w:rFonts w:asciiTheme="majorBidi" w:hAnsiTheme="majorBidi" w:cstheme="majorBidi"/>
        </w:rPr>
        <w:t xml:space="preserve">Additional information about e-submission methods can be </w:t>
      </w:r>
      <w:r w:rsidRPr="00C270C5" w:rsidR="00E2106C">
        <w:rPr>
          <w:rFonts w:asciiTheme="majorBidi" w:hAnsiTheme="majorBidi" w:cstheme="majorBidi"/>
        </w:rPr>
        <w:t xml:space="preserve">found </w:t>
      </w:r>
      <w:r w:rsidRPr="00C270C5" w:rsidR="00190AAE">
        <w:rPr>
          <w:rFonts w:asciiTheme="majorBidi" w:hAnsiTheme="majorBidi" w:cstheme="majorBidi"/>
        </w:rPr>
        <w:t xml:space="preserve">at: </w:t>
      </w:r>
      <w:hyperlink w:history="1" r:id="rId20">
        <w:r w:rsidRPr="00C270C5" w:rsidR="00190AAE">
          <w:rPr>
            <w:rStyle w:val="Hyperlink"/>
            <w:rFonts w:asciiTheme="majorBidi" w:hAnsiTheme="majorBidi" w:cstheme="majorBidi"/>
            <w:color w:val="auto"/>
          </w:rPr>
          <w:t>http://www2.epa.gov/pesticide-registration/assembly-electronic-packages-and-discs</w:t>
        </w:r>
      </w:hyperlink>
      <w:r w:rsidRPr="00C270C5" w:rsidR="00190AAE">
        <w:rPr>
          <w:rFonts w:asciiTheme="majorBidi" w:hAnsiTheme="majorBidi" w:cstheme="majorBidi"/>
        </w:rPr>
        <w:t>.</w:t>
      </w:r>
    </w:p>
    <w:p w:rsidRPr="00C270C5" w:rsidR="00190AAE" w:rsidP="009B774E" w:rsidRDefault="00190AAE" w14:paraId="77B5E4BB" w14:textId="77777777">
      <w:pPr>
        <w:rPr>
          <w:rFonts w:asciiTheme="majorBidi" w:hAnsiTheme="majorBidi" w:cstheme="majorBidi"/>
        </w:rPr>
      </w:pPr>
    </w:p>
    <w:p w:rsidRPr="00C270C5" w:rsidR="00C15D86" w:rsidP="009B774E" w:rsidRDefault="00C15D86" w14:paraId="4B670140" w14:textId="77777777">
      <w:pPr>
        <w:rPr>
          <w:rFonts w:asciiTheme="majorBidi" w:hAnsiTheme="majorBidi" w:cstheme="majorBidi"/>
        </w:rPr>
      </w:pPr>
    </w:p>
    <w:p w:rsidRPr="00C270C5" w:rsidR="00C15D86" w:rsidP="009B774E" w:rsidRDefault="00C47DDD" w14:paraId="49A7D62E" w14:textId="77777777">
      <w:pPr>
        <w:ind w:firstLine="720"/>
        <w:rPr>
          <w:rFonts w:asciiTheme="majorBidi" w:hAnsiTheme="majorBidi" w:cstheme="majorBidi"/>
          <w:b/>
        </w:rPr>
      </w:pPr>
      <w:r w:rsidRPr="00C270C5">
        <w:rPr>
          <w:rFonts w:asciiTheme="majorBidi" w:hAnsiTheme="majorBidi" w:cstheme="majorBidi"/>
          <w:b/>
        </w:rPr>
        <w:t>3(f)</w:t>
      </w:r>
      <w:r w:rsidRPr="00C270C5">
        <w:rPr>
          <w:rFonts w:asciiTheme="majorBidi" w:hAnsiTheme="majorBidi" w:cstheme="majorBidi"/>
          <w:b/>
        </w:rPr>
        <w:tab/>
        <w:t>Confidentiality</w:t>
      </w:r>
    </w:p>
    <w:p w:rsidRPr="00C270C5" w:rsidR="00C15D86" w:rsidP="009B774E" w:rsidRDefault="00C15D86" w14:paraId="46D08C0F" w14:textId="77777777">
      <w:pPr>
        <w:rPr>
          <w:rFonts w:asciiTheme="majorBidi" w:hAnsiTheme="majorBidi" w:cstheme="majorBidi"/>
        </w:rPr>
      </w:pPr>
    </w:p>
    <w:p w:rsidRPr="00C270C5" w:rsidR="00C15D86" w:rsidP="009B774E" w:rsidRDefault="00C47DDD" w14:paraId="499A0420" w14:textId="033EC09A">
      <w:pPr>
        <w:ind w:firstLine="720"/>
        <w:rPr>
          <w:rFonts w:asciiTheme="majorBidi" w:hAnsiTheme="majorBidi" w:cstheme="majorBidi"/>
        </w:rPr>
      </w:pPr>
      <w:r w:rsidRPr="00C270C5">
        <w:rPr>
          <w:rFonts w:asciiTheme="majorBidi" w:hAnsiTheme="majorBidi" w:cstheme="majorBidi"/>
        </w:rPr>
        <w:t xml:space="preserve">Although the EPA urges the submitter to minimize the amount of claimed Confidential Business Information (CBI), </w:t>
      </w:r>
      <w:r w:rsidRPr="00C270C5" w:rsidR="009E5FFA">
        <w:rPr>
          <w:rFonts w:asciiTheme="majorBidi" w:hAnsiTheme="majorBidi" w:cstheme="majorBidi"/>
        </w:rPr>
        <w:t xml:space="preserve">in accordance with FIFRA Section 10 and 40 CFR Part 2, Subpart B, the EPA will protect from disclosure </w:t>
      </w:r>
      <w:r w:rsidRPr="00C270C5">
        <w:rPr>
          <w:rFonts w:asciiTheme="majorBidi" w:hAnsiTheme="majorBidi" w:cstheme="majorBidi"/>
        </w:rPr>
        <w:t xml:space="preserve">all data and/or information brought to the Agency in conjunction with this </w:t>
      </w:r>
      <w:r w:rsidRPr="00C270C5" w:rsidR="009E5FFA">
        <w:rPr>
          <w:rFonts w:asciiTheme="majorBidi" w:hAnsiTheme="majorBidi" w:cstheme="majorBidi"/>
        </w:rPr>
        <w:t xml:space="preserve">information collection </w:t>
      </w:r>
      <w:r w:rsidRPr="00C270C5">
        <w:rPr>
          <w:rFonts w:asciiTheme="majorBidi" w:hAnsiTheme="majorBidi" w:cstheme="majorBidi"/>
        </w:rPr>
        <w:t>that may be claimed as trade secret, commercial, or financial information.</w:t>
      </w:r>
    </w:p>
    <w:p w:rsidRPr="00C270C5" w:rsidR="00C15D86" w:rsidP="009B774E" w:rsidRDefault="00C15D86" w14:paraId="349D0FF3" w14:textId="77777777">
      <w:pPr>
        <w:rPr>
          <w:rFonts w:asciiTheme="majorBidi" w:hAnsiTheme="majorBidi" w:cstheme="majorBidi"/>
        </w:rPr>
      </w:pPr>
    </w:p>
    <w:p w:rsidRPr="00C270C5" w:rsidR="00C15D86" w:rsidP="009B774E" w:rsidRDefault="00C47DDD" w14:paraId="0879AC55" w14:textId="298D3CEE">
      <w:pPr>
        <w:keepNext/>
        <w:rPr>
          <w:rFonts w:asciiTheme="majorBidi" w:hAnsiTheme="majorBidi" w:cstheme="majorBidi"/>
          <w:b/>
        </w:rPr>
      </w:pPr>
      <w:r w:rsidRPr="00C270C5">
        <w:rPr>
          <w:rFonts w:asciiTheme="majorBidi" w:hAnsiTheme="majorBidi" w:cstheme="majorBidi"/>
        </w:rPr>
        <w:tab/>
      </w:r>
      <w:r w:rsidRPr="00C270C5">
        <w:rPr>
          <w:rFonts w:asciiTheme="majorBidi" w:hAnsiTheme="majorBidi" w:cstheme="majorBidi"/>
          <w:b/>
        </w:rPr>
        <w:t>3(g)</w:t>
      </w:r>
      <w:r w:rsidRPr="00C270C5">
        <w:rPr>
          <w:rFonts w:asciiTheme="majorBidi" w:hAnsiTheme="majorBidi" w:cstheme="majorBidi"/>
          <w:b/>
        </w:rPr>
        <w:tab/>
        <w:t>Sensitive Question</w:t>
      </w:r>
      <w:r w:rsidRPr="00C270C5" w:rsidR="00A6653C">
        <w:rPr>
          <w:rFonts w:asciiTheme="majorBidi" w:hAnsiTheme="majorBidi" w:cstheme="majorBidi"/>
          <w:b/>
        </w:rPr>
        <w:t>s</w:t>
      </w:r>
    </w:p>
    <w:p w:rsidRPr="00C270C5" w:rsidR="00C15D86" w:rsidP="009B774E" w:rsidRDefault="00C15D86" w14:paraId="3ED4DE32" w14:textId="77777777">
      <w:pPr>
        <w:keepNext/>
        <w:rPr>
          <w:rFonts w:asciiTheme="majorBidi" w:hAnsiTheme="majorBidi" w:cstheme="majorBidi"/>
        </w:rPr>
      </w:pPr>
    </w:p>
    <w:p w:rsidRPr="00C270C5" w:rsidR="00C15D86" w:rsidP="009B774E" w:rsidRDefault="00C47DDD" w14:paraId="075CE92D" w14:textId="77777777">
      <w:pPr>
        <w:keepNext/>
        <w:ind w:firstLine="720"/>
        <w:rPr>
          <w:rFonts w:asciiTheme="majorBidi" w:hAnsiTheme="majorBidi" w:cstheme="majorBidi"/>
        </w:rPr>
      </w:pPr>
      <w:r w:rsidRPr="00C270C5">
        <w:rPr>
          <w:rFonts w:asciiTheme="majorBidi" w:hAnsiTheme="majorBidi" w:cstheme="majorBidi"/>
        </w:rPr>
        <w:t>Not applicable. No information of a sensitive or private nature is requested in conjunction with this collection activity. In addition, this information collection activity complies with the provisions of the Privacy Act of 1974 and OMB circular A-108.</w:t>
      </w:r>
    </w:p>
    <w:p w:rsidRPr="00C270C5" w:rsidR="00C15D86" w:rsidP="009B774E" w:rsidRDefault="00C15D86" w14:paraId="126A21FE" w14:textId="77777777">
      <w:pPr>
        <w:keepNext/>
        <w:ind w:firstLine="720"/>
        <w:rPr>
          <w:rFonts w:asciiTheme="majorBidi" w:hAnsiTheme="majorBidi" w:cstheme="majorBidi"/>
        </w:rPr>
      </w:pPr>
    </w:p>
    <w:p w:rsidRPr="00C270C5" w:rsidR="00C15D86" w:rsidP="009B774E" w:rsidRDefault="00762CD0" w14:paraId="0CA6BB0F" w14:textId="77777777">
      <w:pPr>
        <w:ind w:firstLine="720"/>
        <w:rPr>
          <w:rFonts w:asciiTheme="majorBidi" w:hAnsiTheme="majorBidi" w:cstheme="majorBidi"/>
          <w:b/>
        </w:rPr>
      </w:pPr>
      <w:r w:rsidRPr="00C270C5">
        <w:rPr>
          <w:rFonts w:asciiTheme="majorBidi" w:hAnsiTheme="majorBidi" w:cstheme="majorBidi"/>
          <w:b/>
        </w:rPr>
        <w:t>3(h)</w:t>
      </w:r>
      <w:r w:rsidRPr="00C270C5">
        <w:rPr>
          <w:rFonts w:asciiTheme="majorBidi" w:hAnsiTheme="majorBidi" w:cstheme="majorBidi"/>
          <w:b/>
        </w:rPr>
        <w:tab/>
        <w:t>OMB Terms of Clearance</w:t>
      </w:r>
    </w:p>
    <w:p w:rsidRPr="00C270C5" w:rsidR="00C15D86" w:rsidP="009B774E" w:rsidRDefault="00C15D86" w14:paraId="7362E13F" w14:textId="77777777">
      <w:pPr>
        <w:ind w:firstLine="720"/>
        <w:rPr>
          <w:rFonts w:asciiTheme="majorBidi" w:hAnsiTheme="majorBidi" w:cstheme="majorBidi"/>
        </w:rPr>
      </w:pPr>
    </w:p>
    <w:p w:rsidRPr="00C270C5" w:rsidR="00C15D86" w:rsidP="009B774E" w:rsidRDefault="00612EE7" w14:paraId="019B1F77" w14:textId="311C08A9">
      <w:pPr>
        <w:ind w:firstLine="720"/>
        <w:rPr>
          <w:rFonts w:asciiTheme="majorBidi" w:hAnsiTheme="majorBidi" w:cstheme="majorBidi"/>
        </w:rPr>
      </w:pPr>
      <w:r w:rsidRPr="00C270C5">
        <w:rPr>
          <w:rFonts w:asciiTheme="majorBidi" w:hAnsiTheme="majorBidi" w:cstheme="majorBidi"/>
        </w:rPr>
        <w:t xml:space="preserve">In September 2019, </w:t>
      </w:r>
      <w:r w:rsidRPr="00C270C5" w:rsidR="00676BE3">
        <w:rPr>
          <w:rFonts w:asciiTheme="majorBidi" w:hAnsiTheme="majorBidi" w:cstheme="majorBidi"/>
        </w:rPr>
        <w:t xml:space="preserve">OMB </w:t>
      </w:r>
      <w:r w:rsidRPr="00C270C5" w:rsidR="00B04FAA">
        <w:rPr>
          <w:rFonts w:asciiTheme="majorBidi" w:hAnsiTheme="majorBidi" w:cstheme="majorBidi"/>
        </w:rPr>
        <w:t>concluded on</w:t>
      </w:r>
      <w:r w:rsidRPr="00C270C5" w:rsidR="00676BE3">
        <w:rPr>
          <w:rFonts w:asciiTheme="majorBidi" w:hAnsiTheme="majorBidi" w:cstheme="majorBidi"/>
        </w:rPr>
        <w:t xml:space="preserve"> EPA’s “Non-Substantive Change Request Justification” </w:t>
      </w:r>
      <w:r w:rsidRPr="00C270C5" w:rsidR="00B04FAA">
        <w:rPr>
          <w:rFonts w:asciiTheme="majorBidi" w:hAnsiTheme="majorBidi" w:cstheme="majorBidi"/>
        </w:rPr>
        <w:t>approvin</w:t>
      </w:r>
      <w:r w:rsidRPr="00C270C5" w:rsidR="002F4016">
        <w:rPr>
          <w:rFonts w:asciiTheme="majorBidi" w:hAnsiTheme="majorBidi" w:cstheme="majorBidi"/>
        </w:rPr>
        <w:t>g</w:t>
      </w:r>
      <w:r w:rsidRPr="00C270C5" w:rsidR="00E76036">
        <w:rPr>
          <w:rFonts w:asciiTheme="majorBidi" w:hAnsiTheme="majorBidi" w:cstheme="majorBidi"/>
        </w:rPr>
        <w:t xml:space="preserve"> information collection activities</w:t>
      </w:r>
      <w:r w:rsidRPr="00C270C5" w:rsidR="008C5643">
        <w:rPr>
          <w:rFonts w:asciiTheme="majorBidi" w:hAnsiTheme="majorBidi" w:cstheme="majorBidi"/>
        </w:rPr>
        <w:t xml:space="preserve"> and </w:t>
      </w:r>
      <w:r w:rsidRPr="00C270C5" w:rsidR="00753E9B">
        <w:rPr>
          <w:rFonts w:asciiTheme="majorBidi" w:hAnsiTheme="majorBidi" w:cstheme="majorBidi"/>
        </w:rPr>
        <w:t>their associated burden</w:t>
      </w:r>
      <w:r w:rsidRPr="00C270C5" w:rsidR="009F3758">
        <w:rPr>
          <w:rFonts w:asciiTheme="majorBidi" w:hAnsiTheme="majorBidi" w:cstheme="majorBidi"/>
        </w:rPr>
        <w:t xml:space="preserve"> </w:t>
      </w:r>
      <w:r w:rsidRPr="00C270C5" w:rsidR="00730A38">
        <w:rPr>
          <w:rFonts w:asciiTheme="majorBidi" w:hAnsiTheme="majorBidi" w:cstheme="majorBidi"/>
        </w:rPr>
        <w:t xml:space="preserve">stemming </w:t>
      </w:r>
      <w:r w:rsidRPr="00C270C5" w:rsidR="005D1F0A">
        <w:rPr>
          <w:rFonts w:asciiTheme="majorBidi" w:hAnsiTheme="majorBidi" w:cstheme="majorBidi"/>
        </w:rPr>
        <w:t>from</w:t>
      </w:r>
      <w:r w:rsidRPr="00C270C5" w:rsidR="00730A38">
        <w:rPr>
          <w:rFonts w:asciiTheme="majorBidi" w:hAnsiTheme="majorBidi" w:cstheme="majorBidi"/>
        </w:rPr>
        <w:t xml:space="preserve"> new statutory </w:t>
      </w:r>
      <w:r w:rsidRPr="00C270C5" w:rsidR="008659D4">
        <w:rPr>
          <w:rFonts w:asciiTheme="majorBidi" w:hAnsiTheme="majorBidi" w:cstheme="majorBidi"/>
        </w:rPr>
        <w:t xml:space="preserve">requirements </w:t>
      </w:r>
      <w:r w:rsidRPr="00C270C5" w:rsidR="00BC06B4">
        <w:rPr>
          <w:rFonts w:asciiTheme="majorBidi" w:hAnsiTheme="majorBidi" w:cstheme="majorBidi"/>
        </w:rPr>
        <w:t>imposed on the Agency by</w:t>
      </w:r>
      <w:r w:rsidRPr="00C270C5" w:rsidR="008659D4">
        <w:rPr>
          <w:rFonts w:asciiTheme="majorBidi" w:hAnsiTheme="majorBidi" w:cstheme="majorBidi"/>
        </w:rPr>
        <w:t xml:space="preserve"> amendments to the recently reauthorized </w:t>
      </w:r>
      <w:r w:rsidRPr="00C270C5" w:rsidR="00BC06B4">
        <w:rPr>
          <w:rFonts w:asciiTheme="majorBidi" w:hAnsiTheme="majorBidi" w:cstheme="majorBidi"/>
        </w:rPr>
        <w:t>Pesticide Registration Improvement Act</w:t>
      </w:r>
      <w:r w:rsidRPr="00C270C5" w:rsidR="009F3758">
        <w:rPr>
          <w:rFonts w:asciiTheme="majorBidi" w:hAnsiTheme="majorBidi" w:cstheme="majorBidi"/>
        </w:rPr>
        <w:t xml:space="preserve"> ICR</w:t>
      </w:r>
      <w:r w:rsidRPr="00C270C5" w:rsidR="00024363">
        <w:t>.</w:t>
      </w:r>
    </w:p>
    <w:p w:rsidRPr="00C270C5" w:rsidR="00C15D86" w:rsidP="009B774E" w:rsidRDefault="00C15D86" w14:paraId="651E0772" w14:textId="77777777">
      <w:pPr>
        <w:rPr>
          <w:rFonts w:asciiTheme="majorBidi" w:hAnsiTheme="majorBidi" w:cstheme="majorBidi"/>
        </w:rPr>
      </w:pPr>
    </w:p>
    <w:p w:rsidRPr="00C270C5" w:rsidR="00C15D86" w:rsidP="009B774E" w:rsidRDefault="00C47DDD" w14:paraId="4C1089EA" w14:textId="77777777">
      <w:pPr>
        <w:rPr>
          <w:rFonts w:asciiTheme="majorBidi" w:hAnsiTheme="majorBidi" w:cstheme="majorBidi"/>
          <w:b/>
        </w:rPr>
      </w:pPr>
      <w:r w:rsidRPr="00C270C5">
        <w:rPr>
          <w:rFonts w:asciiTheme="majorBidi" w:hAnsiTheme="majorBidi" w:cstheme="majorBidi"/>
          <w:b/>
        </w:rPr>
        <w:t>4.</w:t>
      </w:r>
      <w:r w:rsidRPr="00C270C5">
        <w:rPr>
          <w:rFonts w:asciiTheme="majorBidi" w:hAnsiTheme="majorBidi" w:cstheme="majorBidi"/>
          <w:b/>
        </w:rPr>
        <w:tab/>
      </w:r>
      <w:r w:rsidRPr="00C270C5">
        <w:rPr>
          <w:rFonts w:asciiTheme="majorBidi" w:hAnsiTheme="majorBidi" w:cstheme="majorBidi"/>
          <w:b/>
          <w:u w:val="single"/>
        </w:rPr>
        <w:t>THE RESPONDENTS AND THE INFORMATION REQUESTED</w:t>
      </w:r>
    </w:p>
    <w:p w:rsidRPr="00C270C5" w:rsidR="00C15D86" w:rsidP="009B774E" w:rsidRDefault="00C15D86" w14:paraId="3187A642" w14:textId="77777777">
      <w:pPr>
        <w:rPr>
          <w:rFonts w:asciiTheme="majorBidi" w:hAnsiTheme="majorBidi" w:cstheme="majorBidi"/>
        </w:rPr>
      </w:pPr>
    </w:p>
    <w:p w:rsidRPr="00C270C5" w:rsidR="00C15D86" w:rsidP="009B774E" w:rsidRDefault="00C47DDD" w14:paraId="3C01FA0F" w14:textId="77777777">
      <w:pPr>
        <w:ind w:firstLine="720"/>
        <w:rPr>
          <w:rFonts w:asciiTheme="majorBidi" w:hAnsiTheme="majorBidi" w:cstheme="majorBidi"/>
          <w:b/>
        </w:rPr>
      </w:pPr>
      <w:r w:rsidRPr="00C270C5">
        <w:rPr>
          <w:rFonts w:asciiTheme="majorBidi" w:hAnsiTheme="majorBidi" w:cstheme="majorBidi"/>
          <w:b/>
        </w:rPr>
        <w:t>4(a)</w:t>
      </w:r>
      <w:r w:rsidRPr="00C270C5">
        <w:rPr>
          <w:rFonts w:asciiTheme="majorBidi" w:hAnsiTheme="majorBidi" w:cstheme="majorBidi"/>
          <w:b/>
        </w:rPr>
        <w:tab/>
        <w:t>Respondents - NAICS Codes</w:t>
      </w:r>
    </w:p>
    <w:p w:rsidRPr="00C270C5" w:rsidR="00C15D86" w:rsidP="009B774E" w:rsidRDefault="00C15D86" w14:paraId="32E2E140" w14:textId="77777777">
      <w:pPr>
        <w:rPr>
          <w:rFonts w:asciiTheme="majorBidi" w:hAnsiTheme="majorBidi" w:cstheme="majorBidi"/>
        </w:rPr>
      </w:pPr>
    </w:p>
    <w:p w:rsidRPr="00C270C5" w:rsidR="00C15D86" w:rsidP="009B774E" w:rsidRDefault="00AB2DE4" w14:paraId="44E818E2" w14:textId="5CE114C4">
      <w:pPr>
        <w:ind w:firstLine="720"/>
        <w:rPr>
          <w:rFonts w:asciiTheme="majorBidi" w:hAnsiTheme="majorBidi" w:cstheme="majorBidi"/>
        </w:rPr>
      </w:pPr>
      <w:r w:rsidRPr="00C270C5">
        <w:rPr>
          <w:rFonts w:asciiTheme="majorBidi" w:hAnsiTheme="majorBidi" w:cstheme="majorBidi"/>
        </w:rPr>
        <w:t>T</w:t>
      </w:r>
      <w:r w:rsidRPr="00C270C5" w:rsidR="00C47DDD">
        <w:rPr>
          <w:rFonts w:asciiTheme="majorBidi" w:hAnsiTheme="majorBidi" w:cstheme="majorBidi"/>
        </w:rPr>
        <w:t xml:space="preserve">he </w:t>
      </w:r>
      <w:r w:rsidRPr="00C270C5">
        <w:rPr>
          <w:rFonts w:asciiTheme="majorBidi" w:hAnsiTheme="majorBidi" w:cstheme="majorBidi"/>
        </w:rPr>
        <w:t xml:space="preserve">information </w:t>
      </w:r>
      <w:r w:rsidRPr="00C270C5" w:rsidR="00C47DDD">
        <w:rPr>
          <w:rFonts w:asciiTheme="majorBidi" w:hAnsiTheme="majorBidi" w:cstheme="majorBidi"/>
        </w:rPr>
        <w:t xml:space="preserve">collection under this ICR </w:t>
      </w:r>
      <w:r w:rsidRPr="00C270C5">
        <w:rPr>
          <w:rFonts w:asciiTheme="majorBidi" w:hAnsiTheme="majorBidi" w:cstheme="majorBidi"/>
        </w:rPr>
        <w:t xml:space="preserve">affects </w:t>
      </w:r>
      <w:r w:rsidRPr="00C270C5" w:rsidR="00C47DDD">
        <w:rPr>
          <w:rFonts w:asciiTheme="majorBidi" w:hAnsiTheme="majorBidi" w:cstheme="majorBidi"/>
        </w:rPr>
        <w:t xml:space="preserve">individuals or entities engaged in activities related to the registration of pesticide products. </w:t>
      </w:r>
      <w:r w:rsidRPr="00C270C5" w:rsidR="00C93BB0">
        <w:rPr>
          <w:rFonts w:asciiTheme="majorBidi" w:hAnsiTheme="majorBidi" w:cstheme="majorBidi"/>
        </w:rPr>
        <w:t>There are</w:t>
      </w:r>
      <w:r w:rsidRPr="00C270C5">
        <w:rPr>
          <w:rFonts w:asciiTheme="majorBidi" w:hAnsiTheme="majorBidi" w:cstheme="majorBidi"/>
        </w:rPr>
        <w:t xml:space="preserve"> approximately</w:t>
      </w:r>
      <w:r w:rsidRPr="00C270C5" w:rsidR="00C93BB0">
        <w:rPr>
          <w:rFonts w:asciiTheme="majorBidi" w:hAnsiTheme="majorBidi" w:cstheme="majorBidi"/>
        </w:rPr>
        <w:t xml:space="preserve"> </w:t>
      </w:r>
      <w:r w:rsidRPr="00C270C5" w:rsidR="000D678A">
        <w:rPr>
          <w:rFonts w:asciiTheme="majorBidi" w:hAnsiTheme="majorBidi" w:cstheme="majorBidi"/>
        </w:rPr>
        <w:t xml:space="preserve">1,751 </w:t>
      </w:r>
      <w:r w:rsidRPr="00C270C5" w:rsidR="00C93BB0">
        <w:rPr>
          <w:rFonts w:asciiTheme="majorBidi" w:hAnsiTheme="majorBidi" w:cstheme="majorBidi"/>
        </w:rPr>
        <w:t xml:space="preserve">pesticide </w:t>
      </w:r>
      <w:r w:rsidRPr="00C270C5">
        <w:rPr>
          <w:rFonts w:asciiTheme="majorBidi" w:hAnsiTheme="majorBidi" w:cstheme="majorBidi"/>
        </w:rPr>
        <w:t xml:space="preserve">respondents </w:t>
      </w:r>
      <w:r w:rsidRPr="00C270C5" w:rsidR="00C93BB0">
        <w:rPr>
          <w:rFonts w:asciiTheme="majorBidi" w:hAnsiTheme="majorBidi" w:cstheme="majorBidi"/>
        </w:rPr>
        <w:t xml:space="preserve">holding at least one pesticide registration. </w:t>
      </w:r>
      <w:r w:rsidRPr="00C270C5" w:rsidR="00C47DDD">
        <w:rPr>
          <w:rFonts w:asciiTheme="majorBidi" w:hAnsiTheme="majorBidi" w:cstheme="majorBidi"/>
        </w:rPr>
        <w:t>The North American Industrial Classification System (NAICS) assigned to the parties responding to this information are as follows:</w:t>
      </w:r>
    </w:p>
    <w:p w:rsidRPr="00C270C5" w:rsidR="00C15D86" w:rsidP="009B774E" w:rsidRDefault="00C15D86" w14:paraId="170F7EA1" w14:textId="77777777">
      <w:pPr>
        <w:rPr>
          <w:rFonts w:asciiTheme="majorBidi" w:hAnsiTheme="majorBidi" w:cstheme="majorBidi"/>
        </w:rPr>
      </w:pPr>
    </w:p>
    <w:tbl>
      <w:tblPr>
        <w:tblW w:w="0" w:type="auto"/>
        <w:tblCellMar>
          <w:left w:w="0" w:type="dxa"/>
          <w:right w:w="0" w:type="dxa"/>
        </w:tblCellMar>
        <w:tblLook w:val="0000" w:firstRow="0" w:lastRow="0" w:firstColumn="0" w:lastColumn="0" w:noHBand="0" w:noVBand="0"/>
      </w:tblPr>
      <w:tblGrid>
        <w:gridCol w:w="2697"/>
        <w:gridCol w:w="1170"/>
        <w:gridCol w:w="4277"/>
      </w:tblGrid>
      <w:tr w:rsidRPr="00C270C5" w:rsidR="00C270C5" w:rsidTr="00181384" w14:paraId="41F4CCDB" w14:textId="77777777">
        <w:trPr>
          <w:trHeight w:val="739" w:hRule="exact"/>
        </w:trPr>
        <w:tc>
          <w:tcPr>
            <w:tcW w:w="2697" w:type="dxa"/>
            <w:tcBorders>
              <w:top w:val="single" w:color="auto" w:sz="2" w:space="0"/>
              <w:left w:val="single" w:color="auto" w:sz="2" w:space="0"/>
              <w:bottom w:val="single" w:color="auto" w:sz="2" w:space="0"/>
              <w:right w:val="single" w:color="auto" w:sz="2" w:space="0"/>
            </w:tcBorders>
            <w:shd w:val="solid" w:color="CCCCCC" w:fill="auto"/>
            <w:tcMar>
              <w:top w:w="29" w:type="dxa"/>
              <w:left w:w="115" w:type="dxa"/>
              <w:right w:w="115" w:type="dxa"/>
            </w:tcMar>
            <w:vAlign w:val="bottom"/>
          </w:tcPr>
          <w:p w:rsidRPr="00C270C5" w:rsidR="00C15D86" w:rsidP="009B774E" w:rsidRDefault="00C47DDD" w14:paraId="4879A8E0" w14:textId="77777777">
            <w:pPr>
              <w:ind w:left="67"/>
              <w:rPr>
                <w:rFonts w:asciiTheme="majorBidi" w:hAnsiTheme="majorBidi" w:cstheme="majorBidi"/>
              </w:rPr>
            </w:pPr>
            <w:r w:rsidRPr="00C270C5">
              <w:rPr>
                <w:rFonts w:asciiTheme="majorBidi" w:hAnsiTheme="majorBidi" w:cstheme="majorBidi"/>
              </w:rPr>
              <w:t>Category</w:t>
            </w:r>
          </w:p>
        </w:tc>
        <w:tc>
          <w:tcPr>
            <w:tcW w:w="1170" w:type="dxa"/>
            <w:tcBorders>
              <w:top w:val="single" w:color="auto" w:sz="2" w:space="0"/>
              <w:left w:val="single" w:color="auto" w:sz="2" w:space="0"/>
              <w:bottom w:val="single" w:color="auto" w:sz="2" w:space="0"/>
              <w:right w:val="single" w:color="auto" w:sz="2" w:space="0"/>
            </w:tcBorders>
            <w:shd w:val="solid" w:color="CCCCCC" w:fill="auto"/>
            <w:tcMar>
              <w:top w:w="29" w:type="dxa"/>
              <w:left w:w="115" w:type="dxa"/>
              <w:right w:w="115" w:type="dxa"/>
            </w:tcMar>
            <w:vAlign w:val="bottom"/>
          </w:tcPr>
          <w:p w:rsidRPr="00C270C5" w:rsidR="00C15D86" w:rsidP="009B774E" w:rsidRDefault="00C47DDD" w14:paraId="7E5070AA" w14:textId="77777777">
            <w:pPr>
              <w:ind w:left="52"/>
              <w:rPr>
                <w:rFonts w:asciiTheme="majorBidi" w:hAnsiTheme="majorBidi" w:cstheme="majorBidi"/>
              </w:rPr>
            </w:pPr>
            <w:r w:rsidRPr="00C270C5">
              <w:rPr>
                <w:rFonts w:asciiTheme="majorBidi" w:hAnsiTheme="majorBidi" w:cstheme="majorBidi"/>
              </w:rPr>
              <w:t>NAICS codes</w:t>
            </w:r>
          </w:p>
        </w:tc>
        <w:tc>
          <w:tcPr>
            <w:tcW w:w="4277" w:type="dxa"/>
            <w:tcBorders>
              <w:top w:val="single" w:color="auto" w:sz="2" w:space="0"/>
              <w:left w:val="single" w:color="auto" w:sz="2" w:space="0"/>
              <w:bottom w:val="single" w:color="auto" w:sz="2" w:space="0"/>
              <w:right w:val="single" w:color="auto" w:sz="2" w:space="0"/>
            </w:tcBorders>
            <w:shd w:val="solid" w:color="CCCCCC" w:fill="auto"/>
            <w:tcMar>
              <w:top w:w="29" w:type="dxa"/>
              <w:left w:w="115" w:type="dxa"/>
              <w:right w:w="115" w:type="dxa"/>
            </w:tcMar>
            <w:vAlign w:val="bottom"/>
          </w:tcPr>
          <w:p w:rsidRPr="00C270C5" w:rsidR="00C47DDD" w:rsidP="009B774E" w:rsidRDefault="00C47DDD" w14:paraId="6EFF1B0C" w14:textId="77777777">
            <w:pPr>
              <w:ind w:left="72"/>
              <w:rPr>
                <w:rFonts w:asciiTheme="majorBidi" w:hAnsiTheme="majorBidi" w:cstheme="majorBidi"/>
              </w:rPr>
            </w:pPr>
            <w:r w:rsidRPr="00C270C5">
              <w:rPr>
                <w:rFonts w:asciiTheme="majorBidi" w:hAnsiTheme="majorBidi" w:cstheme="majorBidi"/>
              </w:rPr>
              <w:t>Examples of potentially affected</w:t>
            </w:r>
          </w:p>
          <w:p w:rsidRPr="00C270C5" w:rsidR="00C15D86" w:rsidP="009B774E" w:rsidRDefault="000B7DE2" w14:paraId="4BBD8DC6" w14:textId="0D2359FE">
            <w:pPr>
              <w:ind w:left="72"/>
              <w:rPr>
                <w:rFonts w:asciiTheme="majorBidi" w:hAnsiTheme="majorBidi" w:cstheme="majorBidi"/>
              </w:rPr>
            </w:pPr>
            <w:r w:rsidRPr="00C270C5">
              <w:rPr>
                <w:rFonts w:asciiTheme="majorBidi" w:hAnsiTheme="majorBidi" w:cstheme="majorBidi"/>
              </w:rPr>
              <w:t>E</w:t>
            </w:r>
            <w:r w:rsidRPr="00C270C5" w:rsidR="00C47DDD">
              <w:rPr>
                <w:rFonts w:asciiTheme="majorBidi" w:hAnsiTheme="majorBidi" w:cstheme="majorBidi"/>
              </w:rPr>
              <w:t>ntities</w:t>
            </w:r>
          </w:p>
        </w:tc>
      </w:tr>
      <w:tr w:rsidRPr="00C270C5" w:rsidR="00C47DDD" w:rsidTr="00381D02" w14:paraId="734FD685" w14:textId="77777777">
        <w:trPr>
          <w:trHeight w:val="1015" w:hRule="exact"/>
        </w:trPr>
        <w:tc>
          <w:tcPr>
            <w:tcW w:w="2697" w:type="dxa"/>
            <w:tcBorders>
              <w:top w:val="single" w:color="auto" w:sz="2" w:space="0"/>
              <w:left w:val="single" w:color="auto" w:sz="2" w:space="0"/>
              <w:bottom w:val="single" w:color="auto" w:sz="2" w:space="0"/>
              <w:right w:val="single" w:color="auto" w:sz="2" w:space="0"/>
            </w:tcBorders>
            <w:tcMar>
              <w:top w:w="29" w:type="dxa"/>
              <w:left w:w="115" w:type="dxa"/>
              <w:right w:w="115" w:type="dxa"/>
            </w:tcMar>
            <w:vAlign w:val="center"/>
          </w:tcPr>
          <w:p w:rsidRPr="00C270C5" w:rsidR="00C15D86" w:rsidP="009B774E" w:rsidRDefault="00C47DDD" w14:paraId="6763C4EC" w14:textId="77777777">
            <w:pPr>
              <w:ind w:left="67"/>
              <w:rPr>
                <w:rFonts w:asciiTheme="majorBidi" w:hAnsiTheme="majorBidi" w:cstheme="majorBidi"/>
              </w:rPr>
            </w:pPr>
            <w:r w:rsidRPr="00C270C5">
              <w:rPr>
                <w:rFonts w:asciiTheme="majorBidi" w:hAnsiTheme="majorBidi" w:cstheme="majorBidi"/>
              </w:rPr>
              <w:lastRenderedPageBreak/>
              <w:t>Pesticide and other agricultural</w:t>
            </w:r>
          </w:p>
          <w:p w:rsidRPr="00C270C5" w:rsidR="00C15D86" w:rsidP="009B774E" w:rsidRDefault="00C47DDD" w14:paraId="798689FE" w14:textId="77777777">
            <w:pPr>
              <w:ind w:left="67"/>
              <w:rPr>
                <w:rFonts w:asciiTheme="majorBidi" w:hAnsiTheme="majorBidi" w:cstheme="majorBidi"/>
              </w:rPr>
            </w:pPr>
            <w:r w:rsidRPr="00C270C5">
              <w:rPr>
                <w:rFonts w:asciiTheme="majorBidi" w:hAnsiTheme="majorBidi" w:cstheme="majorBidi"/>
              </w:rPr>
              <w:t>chemical manufacturing</w:t>
            </w:r>
          </w:p>
        </w:tc>
        <w:tc>
          <w:tcPr>
            <w:tcW w:w="1170" w:type="dxa"/>
            <w:tcBorders>
              <w:top w:val="single" w:color="auto" w:sz="2" w:space="0"/>
              <w:left w:val="single" w:color="auto" w:sz="2" w:space="0"/>
              <w:bottom w:val="single" w:color="auto" w:sz="2" w:space="0"/>
              <w:right w:val="single" w:color="auto" w:sz="2" w:space="0"/>
            </w:tcBorders>
            <w:tcMar>
              <w:top w:w="29" w:type="dxa"/>
              <w:left w:w="115" w:type="dxa"/>
              <w:right w:w="115" w:type="dxa"/>
            </w:tcMar>
            <w:vAlign w:val="center"/>
          </w:tcPr>
          <w:p w:rsidRPr="00C270C5" w:rsidR="00C15D86" w:rsidP="009B774E" w:rsidRDefault="00C47DDD" w14:paraId="3968C392" w14:textId="77777777">
            <w:pPr>
              <w:ind w:left="52"/>
              <w:rPr>
                <w:rFonts w:asciiTheme="majorBidi" w:hAnsiTheme="majorBidi" w:cstheme="majorBidi"/>
              </w:rPr>
            </w:pPr>
            <w:r w:rsidRPr="00C270C5">
              <w:rPr>
                <w:rFonts w:asciiTheme="majorBidi" w:hAnsiTheme="majorBidi" w:cstheme="majorBidi"/>
              </w:rPr>
              <w:t>32532</w:t>
            </w:r>
          </w:p>
        </w:tc>
        <w:tc>
          <w:tcPr>
            <w:tcW w:w="4277" w:type="dxa"/>
            <w:tcBorders>
              <w:top w:val="single" w:color="auto" w:sz="2" w:space="0"/>
              <w:left w:val="single" w:color="auto" w:sz="2" w:space="0"/>
              <w:bottom w:val="single" w:color="auto" w:sz="2" w:space="0"/>
              <w:right w:val="single" w:color="auto" w:sz="2" w:space="0"/>
            </w:tcBorders>
            <w:tcMar>
              <w:top w:w="29" w:type="dxa"/>
              <w:left w:w="115" w:type="dxa"/>
              <w:right w:w="115" w:type="dxa"/>
            </w:tcMar>
            <w:vAlign w:val="center"/>
          </w:tcPr>
          <w:p w:rsidRPr="00C270C5" w:rsidR="00C15D86" w:rsidP="009B774E" w:rsidRDefault="00C47DDD" w14:paraId="03085FCC" w14:textId="45D0CCAA">
            <w:pPr>
              <w:rPr>
                <w:rFonts w:asciiTheme="majorBidi" w:hAnsiTheme="majorBidi" w:cstheme="majorBidi"/>
              </w:rPr>
            </w:pPr>
            <w:r w:rsidRPr="00C270C5">
              <w:rPr>
                <w:rFonts w:asciiTheme="majorBidi" w:hAnsiTheme="majorBidi" w:cstheme="majorBidi"/>
              </w:rPr>
              <w:t>Individuals or entities engaged in</w:t>
            </w:r>
            <w:r w:rsidRPr="00C270C5" w:rsidR="00211C9E">
              <w:rPr>
                <w:rFonts w:asciiTheme="majorBidi" w:hAnsiTheme="majorBidi" w:cstheme="majorBidi"/>
              </w:rPr>
              <w:t xml:space="preserve"> </w:t>
            </w:r>
            <w:r w:rsidRPr="00C270C5">
              <w:rPr>
                <w:rFonts w:asciiTheme="majorBidi" w:hAnsiTheme="majorBidi" w:cstheme="majorBidi"/>
              </w:rPr>
              <w:t>activities related to the registration of</w:t>
            </w:r>
            <w:r w:rsidRPr="00C270C5" w:rsidR="00C93BB0">
              <w:rPr>
                <w:rFonts w:asciiTheme="majorBidi" w:hAnsiTheme="majorBidi" w:cstheme="majorBidi"/>
              </w:rPr>
              <w:t xml:space="preserve"> </w:t>
            </w:r>
            <w:r w:rsidRPr="00C270C5">
              <w:rPr>
                <w:rFonts w:asciiTheme="majorBidi" w:hAnsiTheme="majorBidi" w:cstheme="majorBidi"/>
              </w:rPr>
              <w:t>a pesticide product.</w:t>
            </w:r>
          </w:p>
        </w:tc>
      </w:tr>
    </w:tbl>
    <w:p w:rsidRPr="00C270C5" w:rsidR="00C47DDD" w:rsidP="009B774E" w:rsidRDefault="00C47DDD" w14:paraId="58E5B31B" w14:textId="77777777">
      <w:pPr>
        <w:rPr>
          <w:rFonts w:asciiTheme="majorBidi" w:hAnsiTheme="majorBidi" w:cstheme="majorBidi"/>
        </w:rPr>
      </w:pPr>
    </w:p>
    <w:p w:rsidRPr="00C270C5" w:rsidR="00C47DDD" w:rsidP="009B774E" w:rsidRDefault="00C47DDD" w14:paraId="7F1502AC" w14:textId="77777777">
      <w:pPr>
        <w:ind w:firstLine="720"/>
        <w:rPr>
          <w:rFonts w:asciiTheme="majorBidi" w:hAnsiTheme="majorBidi" w:cstheme="majorBidi"/>
          <w:b/>
        </w:rPr>
      </w:pPr>
      <w:r w:rsidRPr="00C270C5">
        <w:rPr>
          <w:rFonts w:asciiTheme="majorBidi" w:hAnsiTheme="majorBidi" w:cstheme="majorBidi"/>
          <w:b/>
        </w:rPr>
        <w:t>4(b)</w:t>
      </w:r>
      <w:r w:rsidRPr="00C270C5">
        <w:rPr>
          <w:rFonts w:asciiTheme="majorBidi" w:hAnsiTheme="majorBidi" w:cstheme="majorBidi"/>
          <w:b/>
        </w:rPr>
        <w:tab/>
        <w:t>Information Requested</w:t>
      </w:r>
    </w:p>
    <w:p w:rsidRPr="00C270C5" w:rsidR="00C15D86" w:rsidP="009B774E" w:rsidRDefault="00C15D86" w14:paraId="641487F4" w14:textId="77777777">
      <w:pPr>
        <w:rPr>
          <w:rFonts w:asciiTheme="majorBidi" w:hAnsiTheme="majorBidi" w:cstheme="majorBidi"/>
        </w:rPr>
      </w:pPr>
    </w:p>
    <w:p w:rsidRPr="00C270C5" w:rsidR="00C15D86" w:rsidP="009B774E" w:rsidRDefault="00C47DDD" w14:paraId="02B08512" w14:textId="463E5867">
      <w:pPr>
        <w:rPr>
          <w:rFonts w:asciiTheme="majorBidi" w:hAnsiTheme="majorBidi" w:cstheme="majorBidi"/>
          <w:i/>
        </w:rPr>
      </w:pPr>
      <w:r w:rsidRPr="00C270C5">
        <w:rPr>
          <w:rFonts w:asciiTheme="majorBidi" w:hAnsiTheme="majorBidi" w:cstheme="majorBidi"/>
        </w:rPr>
        <w:tab/>
      </w:r>
      <w:r w:rsidRPr="00C270C5">
        <w:rPr>
          <w:rFonts w:asciiTheme="majorBidi" w:hAnsiTheme="majorBidi" w:cstheme="majorBidi"/>
        </w:rPr>
        <w:tab/>
      </w:r>
      <w:r w:rsidRPr="00C270C5">
        <w:rPr>
          <w:rFonts w:asciiTheme="majorBidi" w:hAnsiTheme="majorBidi" w:cstheme="majorBidi"/>
          <w:i/>
        </w:rPr>
        <w:t>(</w:t>
      </w:r>
      <w:proofErr w:type="spellStart"/>
      <w:r w:rsidRPr="00C270C5">
        <w:rPr>
          <w:rFonts w:asciiTheme="majorBidi" w:hAnsiTheme="majorBidi" w:cstheme="majorBidi"/>
          <w:i/>
        </w:rPr>
        <w:t>i</w:t>
      </w:r>
      <w:proofErr w:type="spellEnd"/>
      <w:r w:rsidRPr="00C270C5">
        <w:rPr>
          <w:rFonts w:asciiTheme="majorBidi" w:hAnsiTheme="majorBidi" w:cstheme="majorBidi"/>
          <w:i/>
        </w:rPr>
        <w:t>)</w:t>
      </w:r>
      <w:r w:rsidRPr="00C270C5">
        <w:rPr>
          <w:rFonts w:asciiTheme="majorBidi" w:hAnsiTheme="majorBidi" w:cstheme="majorBidi"/>
          <w:i/>
        </w:rPr>
        <w:tab/>
        <w:t>Data items, including recordkeeping requirements</w:t>
      </w:r>
    </w:p>
    <w:p w:rsidRPr="00C270C5" w:rsidR="00F36CA8" w:rsidP="009B774E" w:rsidRDefault="00F36CA8" w14:paraId="69D7C2BD" w14:textId="1556C423">
      <w:pPr>
        <w:spacing w:before="100" w:beforeAutospacing="1" w:after="100" w:afterAutospacing="1"/>
        <w:rPr>
          <w:rFonts w:asciiTheme="majorBidi" w:hAnsiTheme="majorBidi" w:cstheme="majorBidi"/>
          <w:lang w:val="en"/>
        </w:rPr>
      </w:pPr>
      <w:r w:rsidRPr="00C270C5">
        <w:rPr>
          <w:rFonts w:asciiTheme="majorBidi" w:hAnsiTheme="majorBidi" w:cstheme="majorBidi"/>
          <w:lang w:val="en"/>
        </w:rPr>
        <w:t>Application Materials</w:t>
      </w:r>
    </w:p>
    <w:p w:rsidRPr="00C270C5" w:rsidR="0006236F" w:rsidP="009B774E" w:rsidRDefault="00F204D4" w14:paraId="1F9E690B" w14:textId="6B5F920A">
      <w:pPr>
        <w:numPr>
          <w:ilvl w:val="0"/>
          <w:numId w:val="27"/>
        </w:numPr>
        <w:spacing w:before="100" w:beforeAutospacing="1" w:after="100" w:afterAutospacing="1"/>
        <w:rPr>
          <w:rFonts w:asciiTheme="majorBidi" w:hAnsiTheme="majorBidi" w:cstheme="majorBidi"/>
          <w:lang w:val="en"/>
        </w:rPr>
      </w:pPr>
      <w:r w:rsidRPr="00C270C5">
        <w:rPr>
          <w:rFonts w:asciiTheme="majorBidi" w:hAnsiTheme="majorBidi" w:cstheme="majorBidi"/>
          <w:lang w:val="en"/>
        </w:rPr>
        <w:t>Forms for pesticide registration applications</w:t>
      </w:r>
      <w:r w:rsidRPr="00C270C5" w:rsidR="0006236F">
        <w:rPr>
          <w:rFonts w:asciiTheme="majorBidi" w:hAnsiTheme="majorBidi" w:cstheme="majorBidi"/>
          <w:lang w:val="en"/>
        </w:rPr>
        <w:t>.</w:t>
      </w:r>
    </w:p>
    <w:p w:rsidRPr="00C270C5" w:rsidR="0006236F" w:rsidP="009B774E" w:rsidRDefault="0006236F" w14:paraId="1B3085D1" w14:textId="77777777">
      <w:pPr>
        <w:numPr>
          <w:ilvl w:val="0"/>
          <w:numId w:val="27"/>
        </w:numPr>
        <w:spacing w:before="100" w:beforeAutospacing="1" w:after="100" w:afterAutospacing="1"/>
        <w:rPr>
          <w:rFonts w:asciiTheme="majorBidi" w:hAnsiTheme="majorBidi" w:cstheme="majorBidi"/>
          <w:lang w:val="en"/>
        </w:rPr>
      </w:pPr>
      <w:r w:rsidRPr="00C270C5">
        <w:rPr>
          <w:rFonts w:asciiTheme="majorBidi" w:hAnsiTheme="majorBidi" w:cstheme="majorBidi"/>
          <w:lang w:val="en"/>
        </w:rPr>
        <w:t xml:space="preserve">Supporting data may be required as part of the submission. </w:t>
      </w:r>
    </w:p>
    <w:p w:rsidRPr="00C270C5" w:rsidR="0006236F" w:rsidP="009B774E" w:rsidRDefault="0006236F" w14:paraId="0ECB6945" w14:textId="58B47EFB">
      <w:pPr>
        <w:numPr>
          <w:ilvl w:val="0"/>
          <w:numId w:val="27"/>
        </w:numPr>
        <w:spacing w:before="100" w:beforeAutospacing="1" w:after="100" w:afterAutospacing="1"/>
        <w:rPr>
          <w:rFonts w:asciiTheme="majorBidi" w:hAnsiTheme="majorBidi" w:cstheme="majorBidi"/>
          <w:lang w:val="en"/>
        </w:rPr>
      </w:pPr>
      <w:r w:rsidRPr="00C270C5">
        <w:rPr>
          <w:rFonts w:asciiTheme="majorBidi" w:hAnsiTheme="majorBidi" w:cstheme="majorBidi"/>
          <w:lang w:val="en"/>
        </w:rPr>
        <w:t xml:space="preserve">Draft labeling that meets the regulatory requirements set out in 40 CFR </w:t>
      </w:r>
      <w:r w:rsidR="00301C21">
        <w:rPr>
          <w:rFonts w:asciiTheme="majorBidi" w:hAnsiTheme="majorBidi" w:cstheme="majorBidi"/>
          <w:lang w:val="en"/>
        </w:rPr>
        <w:t xml:space="preserve">§ </w:t>
      </w:r>
      <w:r w:rsidRPr="00C270C5">
        <w:rPr>
          <w:rFonts w:asciiTheme="majorBidi" w:hAnsiTheme="majorBidi" w:cstheme="majorBidi"/>
          <w:lang w:val="en"/>
        </w:rPr>
        <w:t>152.50.</w:t>
      </w:r>
    </w:p>
    <w:p w:rsidRPr="00C270C5" w:rsidR="00CE44AE" w:rsidP="009B774E" w:rsidRDefault="00C47DDD" w14:paraId="0B241A91" w14:textId="61AB829E">
      <w:pPr>
        <w:ind w:firstLine="720"/>
        <w:rPr>
          <w:rFonts w:asciiTheme="majorBidi" w:hAnsiTheme="majorBidi" w:cstheme="majorBidi"/>
        </w:rPr>
      </w:pPr>
      <w:r w:rsidRPr="00C270C5">
        <w:rPr>
          <w:rFonts w:asciiTheme="majorBidi" w:hAnsiTheme="majorBidi" w:cstheme="majorBidi"/>
        </w:rPr>
        <w:t xml:space="preserve">There are two main categories of applicants for registration: those requiring submission of a full complement of supporting data (e.g., new active ingredients); and those requiring submission of </w:t>
      </w:r>
      <w:r w:rsidRPr="00C270C5" w:rsidR="00610311">
        <w:rPr>
          <w:rFonts w:asciiTheme="majorBidi" w:hAnsiTheme="majorBidi" w:cstheme="majorBidi"/>
        </w:rPr>
        <w:t xml:space="preserve">less data </w:t>
      </w:r>
      <w:r w:rsidRPr="00C270C5" w:rsidR="008D79E5">
        <w:rPr>
          <w:rFonts w:asciiTheme="majorBidi" w:hAnsiTheme="majorBidi" w:cstheme="majorBidi"/>
        </w:rPr>
        <w:t>(</w:t>
      </w:r>
      <w:r w:rsidRPr="00C270C5">
        <w:rPr>
          <w:rFonts w:asciiTheme="majorBidi" w:hAnsiTheme="majorBidi" w:cstheme="majorBidi"/>
        </w:rPr>
        <w:t xml:space="preserve">e.g., </w:t>
      </w:r>
      <w:r w:rsidRPr="00C270C5" w:rsidR="00610311">
        <w:rPr>
          <w:rFonts w:asciiTheme="majorBidi" w:hAnsiTheme="majorBidi" w:cstheme="majorBidi"/>
        </w:rPr>
        <w:t>amendments,</w:t>
      </w:r>
      <w:r w:rsidRPr="00C270C5">
        <w:rPr>
          <w:rFonts w:asciiTheme="majorBidi" w:hAnsiTheme="majorBidi" w:cstheme="majorBidi"/>
        </w:rPr>
        <w:t xml:space="preserve"> for currently registered chemicals</w:t>
      </w:r>
      <w:r w:rsidRPr="00C270C5" w:rsidR="008D79E5">
        <w:rPr>
          <w:rFonts w:asciiTheme="majorBidi" w:hAnsiTheme="majorBidi" w:cstheme="majorBidi"/>
        </w:rPr>
        <w:t>)</w:t>
      </w:r>
      <w:r w:rsidRPr="00C270C5">
        <w:rPr>
          <w:rFonts w:asciiTheme="majorBidi" w:hAnsiTheme="majorBidi" w:cstheme="majorBidi"/>
        </w:rPr>
        <w:t>.</w:t>
      </w:r>
      <w:r w:rsidRPr="00C270C5" w:rsidR="00610311">
        <w:rPr>
          <w:rFonts w:asciiTheme="majorBidi" w:hAnsiTheme="majorBidi" w:cstheme="majorBidi"/>
        </w:rPr>
        <w:t xml:space="preserve"> </w:t>
      </w:r>
      <w:r w:rsidRPr="00C270C5" w:rsidR="00D87ACC">
        <w:rPr>
          <w:rFonts w:asciiTheme="majorBidi" w:hAnsiTheme="majorBidi" w:cstheme="majorBidi"/>
        </w:rPr>
        <w:t>These have been described as Types A and B, respectively. In “Type A” activities, a</w:t>
      </w:r>
      <w:r w:rsidRPr="00C270C5" w:rsidR="00CE44AE">
        <w:rPr>
          <w:rFonts w:asciiTheme="majorBidi" w:hAnsiTheme="majorBidi" w:cstheme="majorBidi"/>
        </w:rPr>
        <w:t xml:space="preserve">pplicants for new active ingredients will be required to submit </w:t>
      </w:r>
      <w:r w:rsidRPr="00C270C5" w:rsidR="00D67BE5">
        <w:rPr>
          <w:rFonts w:asciiTheme="majorBidi" w:hAnsiTheme="majorBidi" w:cstheme="majorBidi"/>
        </w:rPr>
        <w:t xml:space="preserve">administrative forms, product labeling, a CSF, as well as </w:t>
      </w:r>
      <w:r w:rsidRPr="00C270C5" w:rsidR="00CE44AE">
        <w:rPr>
          <w:rFonts w:asciiTheme="majorBidi" w:hAnsiTheme="majorBidi" w:cstheme="majorBidi"/>
        </w:rPr>
        <w:t>a full complement of physical chemistry, toxicology, environmental fate, ecological effects, worker exposure, residue chemistry, environmental chemistry, and product performance</w:t>
      </w:r>
      <w:r w:rsidRPr="00C270C5" w:rsidR="003E3CC0">
        <w:rPr>
          <w:rFonts w:asciiTheme="majorBidi" w:hAnsiTheme="majorBidi" w:cstheme="majorBidi"/>
        </w:rPr>
        <w:t xml:space="preserve"> data</w:t>
      </w:r>
      <w:r w:rsidRPr="00C270C5" w:rsidR="00CE44AE">
        <w:rPr>
          <w:rFonts w:asciiTheme="majorBidi" w:hAnsiTheme="majorBidi" w:cstheme="majorBidi"/>
        </w:rPr>
        <w:t xml:space="preserve">, as identified in 40 CFR </w:t>
      </w:r>
      <w:r w:rsidR="00301C21">
        <w:rPr>
          <w:rFonts w:asciiTheme="majorBidi" w:hAnsiTheme="majorBidi" w:cstheme="majorBidi"/>
        </w:rPr>
        <w:t xml:space="preserve">part </w:t>
      </w:r>
      <w:r w:rsidRPr="00C270C5" w:rsidR="00CE44AE">
        <w:rPr>
          <w:rFonts w:asciiTheme="majorBidi" w:hAnsiTheme="majorBidi" w:cstheme="majorBidi"/>
        </w:rPr>
        <w:t>158.</w:t>
      </w:r>
      <w:r w:rsidRPr="00C270C5" w:rsidR="00EB5198">
        <w:rPr>
          <w:rFonts w:asciiTheme="majorBidi" w:hAnsiTheme="majorBidi" w:cstheme="majorBidi"/>
        </w:rPr>
        <w:t xml:space="preserve"> (Note: Residue chemistry study development is accounted for in a separate ICR for tolerance petitions, as explained in Sections 1(b), 3(a) and 6 of this ICR.)</w:t>
      </w:r>
    </w:p>
    <w:p w:rsidRPr="00C270C5" w:rsidR="00CE44AE" w:rsidP="009B774E" w:rsidRDefault="00CE44AE" w14:paraId="5FC0A659" w14:textId="77777777">
      <w:pPr>
        <w:ind w:firstLine="720"/>
        <w:rPr>
          <w:rFonts w:asciiTheme="majorBidi" w:hAnsiTheme="majorBidi" w:cstheme="majorBidi"/>
        </w:rPr>
      </w:pPr>
    </w:p>
    <w:p w:rsidRPr="00C270C5" w:rsidR="0084521B" w:rsidP="009B774E" w:rsidRDefault="008115AE" w14:paraId="08E2A6B5" w14:textId="0312E20B">
      <w:pPr>
        <w:keepNext/>
        <w:ind w:firstLine="720"/>
        <w:rPr>
          <w:rFonts w:asciiTheme="majorBidi" w:hAnsiTheme="majorBidi" w:cstheme="majorBidi"/>
        </w:rPr>
      </w:pPr>
      <w:r w:rsidRPr="00C270C5">
        <w:rPr>
          <w:rFonts w:asciiTheme="majorBidi" w:hAnsiTheme="majorBidi" w:cstheme="majorBidi"/>
        </w:rPr>
        <w:t>"Type B" activities involve a registrant or applicant assembling and submitting an application for registration of a new or amended product that contains a currently registered active ingredient. Generally, "Type B" activities involve less data and complexity than "Type A" activities. “Type B” activities include a range of actions from Fee</w:t>
      </w:r>
      <w:r w:rsidRPr="00C270C5" w:rsidR="001E7D32">
        <w:rPr>
          <w:rFonts w:asciiTheme="majorBidi" w:hAnsiTheme="majorBidi" w:cstheme="majorBidi"/>
        </w:rPr>
        <w:t>-</w:t>
      </w:r>
      <w:r w:rsidRPr="00C270C5">
        <w:rPr>
          <w:rFonts w:asciiTheme="majorBidi" w:hAnsiTheme="majorBidi" w:cstheme="majorBidi"/>
        </w:rPr>
        <w:t>for</w:t>
      </w:r>
      <w:r w:rsidRPr="00C270C5" w:rsidR="001E7D32">
        <w:rPr>
          <w:rFonts w:asciiTheme="majorBidi" w:hAnsiTheme="majorBidi" w:cstheme="majorBidi"/>
        </w:rPr>
        <w:t>-</w:t>
      </w:r>
      <w:r w:rsidRPr="00C270C5">
        <w:rPr>
          <w:rFonts w:asciiTheme="majorBidi" w:hAnsiTheme="majorBidi" w:cstheme="majorBidi"/>
        </w:rPr>
        <w:t xml:space="preserve">Service to the less involved label amendments and notifications. The items that must be submitted or cited in this application include product specific data, administrative forms, product labeling, and a CSF. The product specific data specified in 40 CFR </w:t>
      </w:r>
      <w:r w:rsidR="00301C21">
        <w:rPr>
          <w:rFonts w:asciiTheme="majorBidi" w:hAnsiTheme="majorBidi" w:cstheme="majorBidi"/>
        </w:rPr>
        <w:t xml:space="preserve">part </w:t>
      </w:r>
      <w:r w:rsidRPr="00C270C5">
        <w:rPr>
          <w:rFonts w:asciiTheme="majorBidi" w:hAnsiTheme="majorBidi" w:cstheme="majorBidi"/>
        </w:rPr>
        <w:t>158 must be generated by the registrant/applicant or cited from an identical or substantially similar product.</w:t>
      </w:r>
      <w:r w:rsidRPr="00C270C5">
        <w:rPr>
          <w:rFonts w:asciiTheme="majorBidi" w:hAnsiTheme="majorBidi" w:cstheme="majorBidi"/>
          <w:sz w:val="22"/>
          <w:szCs w:val="22"/>
        </w:rPr>
        <w:t xml:space="preserve"> </w:t>
      </w:r>
      <w:r w:rsidRPr="00C270C5" w:rsidR="00610311">
        <w:rPr>
          <w:rFonts w:asciiTheme="majorBidi" w:hAnsiTheme="majorBidi" w:cstheme="majorBidi"/>
        </w:rPr>
        <w:t xml:space="preserve">There are several types of amendments, </w:t>
      </w:r>
      <w:r w:rsidRPr="00C270C5" w:rsidR="00D87ACC">
        <w:rPr>
          <w:rFonts w:asciiTheme="majorBidi" w:hAnsiTheme="majorBidi" w:cstheme="majorBidi"/>
        </w:rPr>
        <w:t xml:space="preserve">or “Type B” activities, </w:t>
      </w:r>
      <w:r w:rsidRPr="00C270C5" w:rsidR="00610311">
        <w:rPr>
          <w:rFonts w:asciiTheme="majorBidi" w:hAnsiTheme="majorBidi" w:cstheme="majorBidi"/>
        </w:rPr>
        <w:t xml:space="preserve">including “me-too” products that require little or no data. </w:t>
      </w:r>
      <w:r w:rsidRPr="00C270C5" w:rsidR="00C47DDD">
        <w:rPr>
          <w:rFonts w:asciiTheme="majorBidi" w:hAnsiTheme="majorBidi" w:cstheme="majorBidi"/>
        </w:rPr>
        <w:t>Applicants for “me-too” products (i.e., pesticide products claimed to be identical or substantially similar in composition and use to a product currently registered by the EPA) may be required only to use the forms listed below to certify that the applicant intends to rely on data previously submitted to the EPA by another producer, has contacted the appropriate company (owning the data that the applicant is referencing)</w:t>
      </w:r>
      <w:r w:rsidRPr="00C270C5" w:rsidR="00124475">
        <w:rPr>
          <w:rFonts w:asciiTheme="majorBidi" w:hAnsiTheme="majorBidi" w:cstheme="majorBidi"/>
        </w:rPr>
        <w:t>,</w:t>
      </w:r>
      <w:r w:rsidRPr="00C270C5" w:rsidR="00C47DDD">
        <w:rPr>
          <w:rFonts w:asciiTheme="majorBidi" w:hAnsiTheme="majorBidi" w:cstheme="majorBidi"/>
        </w:rPr>
        <w:t xml:space="preserve"> and offered to pay reasonable compensation for the use of the data.</w:t>
      </w:r>
      <w:r w:rsidRPr="00C270C5" w:rsidR="0084521B">
        <w:rPr>
          <w:rFonts w:asciiTheme="majorBidi" w:hAnsiTheme="majorBidi" w:cstheme="majorBidi"/>
        </w:rPr>
        <w:t xml:space="preserve"> </w:t>
      </w:r>
    </w:p>
    <w:p w:rsidRPr="00C270C5" w:rsidR="00C15D86" w:rsidP="009B774E" w:rsidRDefault="00C15D86" w14:paraId="172064DA" w14:textId="17606CAA">
      <w:pPr>
        <w:rPr>
          <w:rFonts w:asciiTheme="majorBidi" w:hAnsiTheme="majorBidi" w:cstheme="majorBidi"/>
        </w:rPr>
      </w:pPr>
    </w:p>
    <w:p w:rsidRPr="00C270C5" w:rsidR="00E306EF" w:rsidP="009B774E" w:rsidRDefault="00A865E4" w14:paraId="69F33293" w14:textId="248F4E1A">
      <w:pPr>
        <w:ind w:firstLine="720"/>
        <w:rPr>
          <w:rFonts w:asciiTheme="majorBidi" w:hAnsiTheme="majorBidi" w:cstheme="majorBidi"/>
          <w:sz w:val="22"/>
          <w:szCs w:val="22"/>
        </w:rPr>
      </w:pPr>
      <w:r w:rsidRPr="00C270C5">
        <w:rPr>
          <w:rFonts w:asciiTheme="majorBidi" w:hAnsiTheme="majorBidi" w:cstheme="majorBidi"/>
        </w:rPr>
        <w:t xml:space="preserve">In addition to the two main categories, </w:t>
      </w:r>
      <w:r w:rsidRPr="00C270C5" w:rsidR="00B005C9">
        <w:rPr>
          <w:rFonts w:asciiTheme="majorBidi" w:hAnsiTheme="majorBidi" w:cstheme="majorBidi"/>
        </w:rPr>
        <w:t xml:space="preserve">as described in Section 1(b) of this ICR, the </w:t>
      </w:r>
      <w:r w:rsidRPr="00C270C5" w:rsidR="00CE44AE">
        <w:rPr>
          <w:rFonts w:asciiTheme="majorBidi" w:hAnsiTheme="majorBidi" w:cstheme="majorBidi"/>
        </w:rPr>
        <w:t>EPA operates a reduced risk program</w:t>
      </w:r>
      <w:r w:rsidRPr="00C270C5">
        <w:rPr>
          <w:rFonts w:asciiTheme="majorBidi" w:hAnsiTheme="majorBidi" w:cstheme="majorBidi"/>
        </w:rPr>
        <w:t xml:space="preserve"> </w:t>
      </w:r>
      <w:r w:rsidRPr="00C270C5" w:rsidR="00CE44AE">
        <w:rPr>
          <w:rFonts w:asciiTheme="majorBidi" w:hAnsiTheme="majorBidi" w:cstheme="majorBidi"/>
        </w:rPr>
        <w:t>that offers an incentive through a</w:t>
      </w:r>
      <w:r w:rsidRPr="00C270C5">
        <w:rPr>
          <w:rFonts w:asciiTheme="majorBidi" w:hAnsiTheme="majorBidi" w:cstheme="majorBidi"/>
        </w:rPr>
        <w:t>n expedited re</w:t>
      </w:r>
      <w:r w:rsidRPr="00C270C5" w:rsidR="00CE44AE">
        <w:rPr>
          <w:rFonts w:asciiTheme="majorBidi" w:hAnsiTheme="majorBidi" w:cstheme="majorBidi"/>
        </w:rPr>
        <w:t xml:space="preserve">view </w:t>
      </w:r>
      <w:r w:rsidRPr="00C270C5">
        <w:rPr>
          <w:rFonts w:asciiTheme="majorBidi" w:hAnsiTheme="majorBidi" w:cstheme="majorBidi"/>
        </w:rPr>
        <w:t>timeframe</w:t>
      </w:r>
      <w:r w:rsidRPr="00C270C5" w:rsidR="00CE44AE">
        <w:rPr>
          <w:rFonts w:asciiTheme="majorBidi" w:hAnsiTheme="majorBidi" w:cstheme="majorBidi"/>
        </w:rPr>
        <w:t xml:space="preserve"> for </w:t>
      </w:r>
      <w:r w:rsidRPr="00C270C5" w:rsidR="009B29CB">
        <w:rPr>
          <w:rFonts w:asciiTheme="majorBidi" w:hAnsiTheme="majorBidi" w:cstheme="majorBidi"/>
        </w:rPr>
        <w:t xml:space="preserve">new ingredients or </w:t>
      </w:r>
      <w:r w:rsidRPr="00C270C5" w:rsidR="00CE44AE">
        <w:rPr>
          <w:rFonts w:asciiTheme="majorBidi" w:hAnsiTheme="majorBidi" w:cstheme="majorBidi"/>
        </w:rPr>
        <w:t xml:space="preserve">proposed </w:t>
      </w:r>
      <w:r w:rsidRPr="00C270C5" w:rsidR="009B29CB">
        <w:rPr>
          <w:rFonts w:asciiTheme="majorBidi" w:hAnsiTheme="majorBidi" w:cstheme="majorBidi"/>
        </w:rPr>
        <w:t xml:space="preserve">new </w:t>
      </w:r>
      <w:r w:rsidRPr="00C270C5" w:rsidR="00CE44AE">
        <w:rPr>
          <w:rFonts w:asciiTheme="majorBidi" w:hAnsiTheme="majorBidi" w:cstheme="majorBidi"/>
        </w:rPr>
        <w:t xml:space="preserve">uses </w:t>
      </w:r>
      <w:r w:rsidRPr="00C270C5">
        <w:rPr>
          <w:rFonts w:asciiTheme="majorBidi" w:hAnsiTheme="majorBidi" w:cstheme="majorBidi"/>
        </w:rPr>
        <w:t xml:space="preserve">of conventional pesticides </w:t>
      </w:r>
      <w:r w:rsidRPr="00C270C5" w:rsidR="00CE44AE">
        <w:rPr>
          <w:rFonts w:asciiTheme="majorBidi" w:hAnsiTheme="majorBidi" w:cstheme="majorBidi"/>
        </w:rPr>
        <w:t>that might be beneficial to the public and the environment owing to their risk profile, compared to alternatives for pest control.</w:t>
      </w:r>
      <w:r w:rsidRPr="00C270C5" w:rsidR="00124475">
        <w:rPr>
          <w:rFonts w:asciiTheme="majorBidi" w:hAnsiTheme="majorBidi" w:cstheme="majorBidi"/>
        </w:rPr>
        <w:t xml:space="preserve"> </w:t>
      </w:r>
      <w:r w:rsidRPr="00C270C5" w:rsidR="00D87ACC">
        <w:rPr>
          <w:rFonts w:asciiTheme="majorBidi" w:hAnsiTheme="majorBidi" w:cstheme="majorBidi"/>
        </w:rPr>
        <w:t>The</w:t>
      </w:r>
      <w:r w:rsidRPr="00C270C5" w:rsidR="00E306EF">
        <w:rPr>
          <w:rFonts w:asciiTheme="majorBidi" w:hAnsiTheme="majorBidi" w:cstheme="majorBidi"/>
        </w:rPr>
        <w:t xml:space="preserve">se activities are described as </w:t>
      </w:r>
      <w:r w:rsidRPr="00C270C5" w:rsidR="00D87ACC">
        <w:rPr>
          <w:rFonts w:asciiTheme="majorBidi" w:hAnsiTheme="majorBidi" w:cstheme="majorBidi"/>
        </w:rPr>
        <w:t xml:space="preserve">“Type C” in this ICR. </w:t>
      </w:r>
    </w:p>
    <w:p w:rsidRPr="00C270C5" w:rsidR="00E306EF" w:rsidP="009B774E" w:rsidRDefault="00E306EF" w14:paraId="322BAB59" w14:textId="77777777">
      <w:pPr>
        <w:ind w:firstLine="720"/>
        <w:rPr>
          <w:rFonts w:asciiTheme="majorBidi" w:hAnsiTheme="majorBidi" w:cstheme="majorBidi"/>
          <w:sz w:val="22"/>
          <w:szCs w:val="22"/>
        </w:rPr>
      </w:pPr>
    </w:p>
    <w:p w:rsidRPr="00C270C5" w:rsidR="00E306EF" w:rsidP="009B774E" w:rsidRDefault="00E306EF" w14:paraId="2C9E63EC" w14:textId="016E13F7">
      <w:pPr>
        <w:ind w:firstLine="720"/>
        <w:rPr>
          <w:rFonts w:asciiTheme="majorBidi" w:hAnsiTheme="majorBidi" w:cstheme="majorBidi"/>
          <w:sz w:val="22"/>
          <w:szCs w:val="22"/>
        </w:rPr>
      </w:pPr>
      <w:r w:rsidRPr="00C270C5">
        <w:rPr>
          <w:rFonts w:asciiTheme="majorBidi" w:hAnsiTheme="majorBidi" w:cstheme="majorBidi"/>
        </w:rPr>
        <w:lastRenderedPageBreak/>
        <w:t xml:space="preserve">"Type C" activities involve a registrant or applicant assembling and submitting </w:t>
      </w:r>
      <w:proofErr w:type="gramStart"/>
      <w:r w:rsidRPr="00C270C5">
        <w:rPr>
          <w:rFonts w:asciiTheme="majorBidi" w:hAnsiTheme="majorBidi" w:cstheme="majorBidi"/>
        </w:rPr>
        <w:t>an</w:t>
      </w:r>
      <w:proofErr w:type="gramEnd"/>
      <w:r w:rsidRPr="00C270C5">
        <w:rPr>
          <w:rFonts w:asciiTheme="majorBidi" w:hAnsiTheme="majorBidi" w:cstheme="majorBidi"/>
        </w:rPr>
        <w:t xml:space="preserve"> </w:t>
      </w:r>
      <w:r w:rsidR="00525DA3">
        <w:rPr>
          <w:rFonts w:asciiTheme="majorBidi" w:hAnsiTheme="majorBidi" w:cstheme="majorBidi"/>
        </w:rPr>
        <w:t xml:space="preserve">reduced risk </w:t>
      </w:r>
      <w:r w:rsidRPr="00C270C5">
        <w:rPr>
          <w:rFonts w:asciiTheme="majorBidi" w:hAnsiTheme="majorBidi" w:cstheme="majorBidi"/>
        </w:rPr>
        <w:t>application for registration of a new active ingredient or a new</w:t>
      </w:r>
      <w:r w:rsidR="00525DA3">
        <w:rPr>
          <w:rFonts w:asciiTheme="majorBidi" w:hAnsiTheme="majorBidi" w:cstheme="majorBidi"/>
        </w:rPr>
        <w:t xml:space="preserve"> </w:t>
      </w:r>
      <w:r w:rsidRPr="00C270C5">
        <w:rPr>
          <w:rFonts w:asciiTheme="majorBidi" w:hAnsiTheme="majorBidi" w:cstheme="majorBidi"/>
        </w:rPr>
        <w:t xml:space="preserve">use for a currently registered active ingredient. </w:t>
      </w:r>
      <w:r w:rsidRPr="00C270C5" w:rsidR="0021329B">
        <w:rPr>
          <w:rFonts w:asciiTheme="majorBidi" w:hAnsiTheme="majorBidi" w:cstheme="majorBidi"/>
        </w:rPr>
        <w:t xml:space="preserve">In addition to the registration application itself, “Type C” activities require that the registrant provide a “reduced risk” rationale document addressing risk reduction parameters described in PR Notice 97-3. </w:t>
      </w:r>
      <w:r w:rsidRPr="00C270C5">
        <w:rPr>
          <w:rFonts w:asciiTheme="majorBidi" w:hAnsiTheme="majorBidi" w:cstheme="majorBidi"/>
        </w:rPr>
        <w:t xml:space="preserve">The items required to be submitted in </w:t>
      </w:r>
      <w:r w:rsidRPr="00C270C5" w:rsidR="005C06EA">
        <w:rPr>
          <w:rFonts w:asciiTheme="majorBidi" w:hAnsiTheme="majorBidi" w:cstheme="majorBidi"/>
        </w:rPr>
        <w:t xml:space="preserve">applications for “reduced risk” chemicals </w:t>
      </w:r>
      <w:r w:rsidRPr="00C270C5">
        <w:rPr>
          <w:rFonts w:asciiTheme="majorBidi" w:hAnsiTheme="majorBidi" w:cstheme="majorBidi"/>
        </w:rPr>
        <w:t xml:space="preserve">include generic data, product specific data, administrative forms, product labeling, and a CSF. Administrative forms usually include the application for registration, data compensation form, a data matrix, the CSF, and copies of the complete labeling. </w:t>
      </w:r>
      <w:r w:rsidRPr="00C270C5" w:rsidR="005C06EA">
        <w:rPr>
          <w:rFonts w:asciiTheme="majorBidi" w:hAnsiTheme="majorBidi" w:cstheme="majorBidi"/>
        </w:rPr>
        <w:t xml:space="preserve">Applicants for “Type C” registrations provide an explanation accompanied by relevant supporting information, including associated tolerance petitions for special consideration based on these factors. (The paperwork burden for tolerance petitions is covered in a separate ICR under OMB No. 2070-0024.) Products that are successfully classified as presenting potentially reduced risk will </w:t>
      </w:r>
      <w:r w:rsidR="0094634E">
        <w:rPr>
          <w:rFonts w:asciiTheme="majorBidi" w:hAnsiTheme="majorBidi" w:cstheme="majorBidi"/>
        </w:rPr>
        <w:t xml:space="preserve">likely </w:t>
      </w:r>
      <w:r w:rsidRPr="00C270C5" w:rsidR="005C06EA">
        <w:rPr>
          <w:rFonts w:asciiTheme="majorBidi" w:hAnsiTheme="majorBidi" w:cstheme="majorBidi"/>
        </w:rPr>
        <w:t>receive earlier registration and consequent earlier marketability.</w:t>
      </w:r>
    </w:p>
    <w:p w:rsidRPr="00C270C5" w:rsidR="00E306EF" w:rsidP="009B774E" w:rsidRDefault="00E306EF" w14:paraId="536C1B8A" w14:textId="77777777">
      <w:pPr>
        <w:ind w:firstLine="720"/>
        <w:rPr>
          <w:rFonts w:asciiTheme="majorBidi" w:hAnsiTheme="majorBidi" w:cstheme="majorBidi"/>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88"/>
        <w:gridCol w:w="7962"/>
      </w:tblGrid>
      <w:tr w:rsidRPr="00C270C5" w:rsidR="00C270C5" w:rsidTr="00141E89" w14:paraId="599075D6" w14:textId="77777777">
        <w:tc>
          <w:tcPr>
            <w:tcW w:w="742" w:type="pct"/>
            <w:tcMar>
              <w:top w:w="29" w:type="dxa"/>
              <w:left w:w="115" w:type="dxa"/>
              <w:bottom w:w="29" w:type="dxa"/>
              <w:right w:w="115" w:type="dxa"/>
            </w:tcMar>
          </w:tcPr>
          <w:p w:rsidRPr="00C270C5" w:rsidR="00E306EF" w:rsidP="009B774E" w:rsidRDefault="00E306EF" w14:paraId="3B9C071D" w14:textId="77777777">
            <w:pPr>
              <w:rPr>
                <w:rFonts w:asciiTheme="majorBidi" w:hAnsiTheme="majorBidi" w:cstheme="majorBidi"/>
                <w:b/>
              </w:rPr>
            </w:pPr>
            <w:r w:rsidRPr="00C270C5">
              <w:rPr>
                <w:rFonts w:asciiTheme="majorBidi" w:hAnsiTheme="majorBidi" w:cstheme="majorBidi"/>
                <w:b/>
                <w:sz w:val="22"/>
                <w:szCs w:val="22"/>
              </w:rPr>
              <w:t>Response Type</w:t>
            </w:r>
          </w:p>
          <w:p w:rsidRPr="00C270C5" w:rsidR="00E306EF" w:rsidP="009B774E" w:rsidRDefault="00E306EF" w14:paraId="6BC9BD12" w14:textId="77777777">
            <w:pPr>
              <w:rPr>
                <w:rFonts w:asciiTheme="majorBidi" w:hAnsiTheme="majorBidi" w:cstheme="majorBidi"/>
                <w:b/>
                <w:sz w:val="8"/>
                <w:szCs w:val="8"/>
              </w:rPr>
            </w:pPr>
          </w:p>
        </w:tc>
        <w:tc>
          <w:tcPr>
            <w:tcW w:w="4258" w:type="pct"/>
            <w:tcMar>
              <w:top w:w="29" w:type="dxa"/>
              <w:left w:w="115" w:type="dxa"/>
              <w:bottom w:w="29" w:type="dxa"/>
              <w:right w:w="115" w:type="dxa"/>
            </w:tcMar>
          </w:tcPr>
          <w:p w:rsidRPr="00C270C5" w:rsidR="00E306EF" w:rsidP="009B774E" w:rsidRDefault="00E306EF" w14:paraId="35675E11" w14:textId="77777777">
            <w:pPr>
              <w:rPr>
                <w:rFonts w:asciiTheme="majorBidi" w:hAnsiTheme="majorBidi" w:cstheme="majorBidi"/>
                <w:b/>
              </w:rPr>
            </w:pPr>
            <w:r w:rsidRPr="00C270C5">
              <w:rPr>
                <w:rFonts w:asciiTheme="majorBidi" w:hAnsiTheme="majorBidi" w:cstheme="majorBidi"/>
                <w:b/>
                <w:sz w:val="22"/>
                <w:szCs w:val="22"/>
              </w:rPr>
              <w:t>Description/Example</w:t>
            </w:r>
          </w:p>
        </w:tc>
      </w:tr>
      <w:tr w:rsidRPr="00C270C5" w:rsidR="00C270C5" w:rsidTr="00141E89" w14:paraId="677B2866" w14:textId="77777777">
        <w:tc>
          <w:tcPr>
            <w:tcW w:w="742" w:type="pct"/>
            <w:vMerge w:val="restart"/>
            <w:tcMar>
              <w:top w:w="29" w:type="dxa"/>
              <w:left w:w="115" w:type="dxa"/>
              <w:bottom w:w="29" w:type="dxa"/>
              <w:right w:w="115" w:type="dxa"/>
            </w:tcMar>
          </w:tcPr>
          <w:p w:rsidRPr="00C270C5" w:rsidR="00E306EF" w:rsidP="009B774E" w:rsidRDefault="00E306EF" w14:paraId="16056D69" w14:textId="77777777">
            <w:pPr>
              <w:rPr>
                <w:rFonts w:asciiTheme="majorBidi" w:hAnsiTheme="majorBidi" w:cstheme="majorBidi"/>
                <w:b/>
              </w:rPr>
            </w:pPr>
            <w:r w:rsidRPr="00C270C5">
              <w:rPr>
                <w:rFonts w:asciiTheme="majorBidi" w:hAnsiTheme="majorBidi" w:cstheme="majorBidi"/>
                <w:b/>
                <w:sz w:val="22"/>
                <w:szCs w:val="22"/>
              </w:rPr>
              <w:t>Type A</w:t>
            </w:r>
          </w:p>
          <w:p w:rsidRPr="00C270C5" w:rsidR="00E306EF" w:rsidP="009B774E" w:rsidRDefault="00E306EF" w14:paraId="69430060" w14:textId="77777777">
            <w:pPr>
              <w:rPr>
                <w:rFonts w:asciiTheme="majorBidi" w:hAnsiTheme="majorBidi" w:cstheme="majorBidi"/>
                <w:b/>
              </w:rPr>
            </w:pPr>
          </w:p>
          <w:p w:rsidRPr="00C270C5" w:rsidR="00E306EF" w:rsidP="009B774E" w:rsidRDefault="00E306EF" w14:paraId="4A725BA9" w14:textId="64CDC0A7">
            <w:pPr>
              <w:rPr>
                <w:rFonts w:asciiTheme="majorBidi" w:hAnsiTheme="majorBidi" w:cstheme="majorBidi"/>
                <w:b/>
              </w:rPr>
            </w:pPr>
            <w:r w:rsidRPr="00C270C5">
              <w:rPr>
                <w:rFonts w:asciiTheme="majorBidi" w:hAnsiTheme="majorBidi" w:cstheme="majorBidi"/>
                <w:b/>
                <w:sz w:val="22"/>
                <w:szCs w:val="22"/>
              </w:rPr>
              <w:t>New A</w:t>
            </w:r>
            <w:r w:rsidR="00960BAF">
              <w:rPr>
                <w:rFonts w:asciiTheme="majorBidi" w:hAnsiTheme="majorBidi" w:cstheme="majorBidi"/>
                <w:b/>
                <w:sz w:val="22"/>
                <w:szCs w:val="22"/>
              </w:rPr>
              <w:t>I</w:t>
            </w:r>
            <w:r w:rsidRPr="00C270C5">
              <w:rPr>
                <w:rFonts w:asciiTheme="majorBidi" w:hAnsiTheme="majorBidi" w:cstheme="majorBidi"/>
                <w:b/>
                <w:sz w:val="22"/>
                <w:szCs w:val="22"/>
              </w:rPr>
              <w:t>s &amp; New Uses</w:t>
            </w:r>
          </w:p>
        </w:tc>
        <w:tc>
          <w:tcPr>
            <w:tcW w:w="4258" w:type="pct"/>
            <w:tcMar>
              <w:top w:w="29" w:type="dxa"/>
              <w:left w:w="115" w:type="dxa"/>
              <w:bottom w:w="29" w:type="dxa"/>
              <w:right w:w="115" w:type="dxa"/>
            </w:tcMar>
          </w:tcPr>
          <w:p w:rsidRPr="00C270C5" w:rsidR="00E306EF" w:rsidP="009B774E" w:rsidRDefault="00E306EF" w14:paraId="203334BE" w14:textId="355656C4">
            <w:pPr>
              <w:rPr>
                <w:rFonts w:asciiTheme="majorBidi" w:hAnsiTheme="majorBidi" w:cstheme="majorBidi"/>
                <w:b/>
              </w:rPr>
            </w:pPr>
            <w:r w:rsidRPr="00C270C5">
              <w:rPr>
                <w:rFonts w:asciiTheme="majorBidi" w:hAnsiTheme="majorBidi" w:cstheme="majorBidi"/>
                <w:b/>
                <w:sz w:val="22"/>
                <w:szCs w:val="22"/>
              </w:rPr>
              <w:t>Description:</w:t>
            </w:r>
            <w:r w:rsidRPr="00C270C5">
              <w:rPr>
                <w:rFonts w:asciiTheme="majorBidi" w:hAnsiTheme="majorBidi" w:cstheme="majorBidi"/>
                <w:sz w:val="22"/>
                <w:szCs w:val="22"/>
              </w:rPr>
              <w:t xml:space="preserve"> “Type A” activities support the registration of new active ingredients and new uses. </w:t>
            </w:r>
            <w:r w:rsidRPr="00C270C5" w:rsidR="005C06EA">
              <w:rPr>
                <w:rFonts w:asciiTheme="majorBidi" w:hAnsiTheme="majorBidi" w:cstheme="majorBidi"/>
                <w:sz w:val="22"/>
                <w:szCs w:val="22"/>
              </w:rPr>
              <w:t>They</w:t>
            </w:r>
            <w:r w:rsidRPr="00C270C5">
              <w:rPr>
                <w:rFonts w:asciiTheme="majorBidi" w:hAnsiTheme="majorBidi" w:cstheme="majorBidi"/>
                <w:sz w:val="22"/>
                <w:szCs w:val="22"/>
              </w:rPr>
              <w:t xml:space="preserve"> involve a registrant or applicant assembling and submitting an application for registration of a new active ingredient or a new use for a currently registered active ingredient. The items required to be submitted in this application include generic data, product specific data,</w:t>
            </w:r>
            <w:r w:rsidRPr="00C270C5" w:rsidR="005C06EA">
              <w:rPr>
                <w:rFonts w:asciiTheme="majorBidi" w:hAnsiTheme="majorBidi" w:cstheme="majorBidi"/>
                <w:sz w:val="22"/>
                <w:szCs w:val="22"/>
              </w:rPr>
              <w:t xml:space="preserve"> as specified in 40 CFR </w:t>
            </w:r>
            <w:r w:rsidR="00301C21">
              <w:rPr>
                <w:rFonts w:asciiTheme="majorBidi" w:hAnsiTheme="majorBidi" w:cstheme="majorBidi"/>
                <w:sz w:val="22"/>
                <w:szCs w:val="22"/>
              </w:rPr>
              <w:t xml:space="preserve">part </w:t>
            </w:r>
            <w:r w:rsidRPr="00C270C5" w:rsidR="005C06EA">
              <w:rPr>
                <w:rFonts w:asciiTheme="majorBidi" w:hAnsiTheme="majorBidi" w:cstheme="majorBidi"/>
                <w:sz w:val="22"/>
                <w:szCs w:val="22"/>
              </w:rPr>
              <w:t xml:space="preserve">158. </w:t>
            </w:r>
            <w:r w:rsidRPr="00C270C5">
              <w:rPr>
                <w:rFonts w:asciiTheme="majorBidi" w:hAnsiTheme="majorBidi" w:cstheme="majorBidi"/>
                <w:sz w:val="22"/>
                <w:szCs w:val="22"/>
              </w:rPr>
              <w:t>Administrative forms usually include the application for registration</w:t>
            </w:r>
            <w:r w:rsidRPr="00C270C5" w:rsidR="005C06EA">
              <w:rPr>
                <w:rFonts w:asciiTheme="majorBidi" w:hAnsiTheme="majorBidi" w:cstheme="majorBidi"/>
                <w:sz w:val="22"/>
                <w:szCs w:val="22"/>
              </w:rPr>
              <w:t xml:space="preserve"> and the</w:t>
            </w:r>
            <w:r w:rsidRPr="00C270C5">
              <w:rPr>
                <w:rFonts w:asciiTheme="majorBidi" w:hAnsiTheme="majorBidi" w:cstheme="majorBidi"/>
                <w:sz w:val="22"/>
                <w:szCs w:val="22"/>
              </w:rPr>
              <w:t xml:space="preserve"> data compensation form</w:t>
            </w:r>
            <w:r w:rsidRPr="00C270C5" w:rsidR="005C06EA">
              <w:rPr>
                <w:rFonts w:asciiTheme="majorBidi" w:hAnsiTheme="majorBidi" w:cstheme="majorBidi"/>
                <w:sz w:val="22"/>
                <w:szCs w:val="22"/>
              </w:rPr>
              <w:t>s</w:t>
            </w:r>
            <w:r w:rsidRPr="00C270C5">
              <w:rPr>
                <w:rFonts w:asciiTheme="majorBidi" w:hAnsiTheme="majorBidi" w:cstheme="majorBidi"/>
                <w:sz w:val="22"/>
                <w:szCs w:val="22"/>
              </w:rPr>
              <w:t>, a data matrix, the CSF, and copies of the complete labeling. EPA encourages electronic submission of these application types.</w:t>
            </w:r>
          </w:p>
        </w:tc>
      </w:tr>
      <w:tr w:rsidRPr="00C270C5" w:rsidR="00C270C5" w:rsidTr="00141E89" w14:paraId="36107EC9" w14:textId="77777777">
        <w:tc>
          <w:tcPr>
            <w:tcW w:w="742" w:type="pct"/>
            <w:vMerge/>
            <w:tcMar>
              <w:top w:w="29" w:type="dxa"/>
              <w:left w:w="115" w:type="dxa"/>
              <w:bottom w:w="29" w:type="dxa"/>
              <w:right w:w="115" w:type="dxa"/>
            </w:tcMar>
          </w:tcPr>
          <w:p w:rsidRPr="00C270C5" w:rsidR="00E306EF" w:rsidP="009B774E" w:rsidRDefault="00E306EF" w14:paraId="7AC9C6EA" w14:textId="77777777">
            <w:pPr>
              <w:rPr>
                <w:rFonts w:asciiTheme="majorBidi" w:hAnsiTheme="majorBidi" w:cstheme="majorBidi"/>
                <w:b/>
              </w:rPr>
            </w:pPr>
          </w:p>
        </w:tc>
        <w:tc>
          <w:tcPr>
            <w:tcW w:w="4258" w:type="pct"/>
            <w:tcMar>
              <w:top w:w="29" w:type="dxa"/>
              <w:left w:w="115" w:type="dxa"/>
              <w:bottom w:w="29" w:type="dxa"/>
              <w:right w:w="115" w:type="dxa"/>
            </w:tcMar>
          </w:tcPr>
          <w:p w:rsidRPr="00C270C5" w:rsidR="00E306EF" w:rsidP="009B774E" w:rsidRDefault="00E306EF" w14:paraId="29E0F47F" w14:textId="011FFC22">
            <w:pPr>
              <w:rPr>
                <w:rFonts w:asciiTheme="majorBidi" w:hAnsiTheme="majorBidi" w:cstheme="majorBidi"/>
                <w:b/>
              </w:rPr>
            </w:pPr>
            <w:r w:rsidRPr="00C270C5">
              <w:rPr>
                <w:rFonts w:asciiTheme="majorBidi" w:hAnsiTheme="majorBidi" w:cstheme="majorBidi"/>
                <w:b/>
                <w:i/>
                <w:sz w:val="22"/>
                <w:szCs w:val="22"/>
              </w:rPr>
              <w:t>Example:</w:t>
            </w:r>
            <w:r w:rsidRPr="00C270C5">
              <w:rPr>
                <w:rFonts w:asciiTheme="majorBidi" w:hAnsiTheme="majorBidi" w:cstheme="majorBidi"/>
                <w:sz w:val="22"/>
                <w:szCs w:val="22"/>
              </w:rPr>
              <w:t xml:space="preserve"> An example of a "Type A" activity would be an application for registration of a new active ingredient (</w:t>
            </w:r>
            <w:r w:rsidR="00960BAF">
              <w:rPr>
                <w:rFonts w:asciiTheme="majorBidi" w:hAnsiTheme="majorBidi" w:cstheme="majorBidi"/>
                <w:sz w:val="22"/>
                <w:szCs w:val="22"/>
              </w:rPr>
              <w:t>AI</w:t>
            </w:r>
            <w:r w:rsidRPr="00C270C5">
              <w:rPr>
                <w:rFonts w:asciiTheme="majorBidi" w:hAnsiTheme="majorBidi" w:cstheme="majorBidi"/>
                <w:sz w:val="22"/>
                <w:szCs w:val="22"/>
              </w:rPr>
              <w:t xml:space="preserve">). Typically, for new </w:t>
            </w:r>
            <w:r w:rsidR="009A00B5">
              <w:rPr>
                <w:rFonts w:asciiTheme="majorBidi" w:hAnsiTheme="majorBidi" w:cstheme="majorBidi"/>
                <w:sz w:val="22"/>
                <w:szCs w:val="22"/>
              </w:rPr>
              <w:t>AI</w:t>
            </w:r>
            <w:r w:rsidRPr="00C270C5">
              <w:rPr>
                <w:rFonts w:asciiTheme="majorBidi" w:hAnsiTheme="majorBidi" w:cstheme="majorBidi"/>
                <w:sz w:val="22"/>
                <w:szCs w:val="22"/>
              </w:rPr>
              <w:t xml:space="preserve">s, applications must be submitted for at least two new products -- the manufacturing use product (either imported or made in the U.S. that may be formulated into end-use products) and at least one end-use product (that bears directions for the intended end uses). An applicant would need to determine generic and product specific data required by 40 CFR </w:t>
            </w:r>
            <w:r w:rsidR="00301C21">
              <w:rPr>
                <w:rFonts w:asciiTheme="majorBidi" w:hAnsiTheme="majorBidi" w:cstheme="majorBidi"/>
                <w:sz w:val="22"/>
                <w:szCs w:val="22"/>
              </w:rPr>
              <w:t xml:space="preserve">part </w:t>
            </w:r>
            <w:r w:rsidRPr="00C270C5">
              <w:rPr>
                <w:rFonts w:asciiTheme="majorBidi" w:hAnsiTheme="majorBidi" w:cstheme="majorBidi"/>
                <w:sz w:val="22"/>
                <w:szCs w:val="22"/>
              </w:rPr>
              <w:t xml:space="preserve">158 for the new </w:t>
            </w:r>
            <w:r w:rsidR="00960BAF">
              <w:rPr>
                <w:rFonts w:asciiTheme="majorBidi" w:hAnsiTheme="majorBidi" w:cstheme="majorBidi"/>
                <w:sz w:val="22"/>
                <w:szCs w:val="22"/>
              </w:rPr>
              <w:t>AI</w:t>
            </w:r>
            <w:r w:rsidRPr="00C270C5">
              <w:rPr>
                <w:rFonts w:asciiTheme="majorBidi" w:hAnsiTheme="majorBidi" w:cstheme="majorBidi"/>
                <w:sz w:val="22"/>
                <w:szCs w:val="22"/>
              </w:rPr>
              <w:t xml:space="preserve"> (taking into account the use patterns sought), generate those data, and submit them with the application. For a new </w:t>
            </w:r>
            <w:r w:rsidR="00960BAF">
              <w:rPr>
                <w:rFonts w:asciiTheme="majorBidi" w:hAnsiTheme="majorBidi" w:cstheme="majorBidi"/>
                <w:sz w:val="22"/>
                <w:szCs w:val="22"/>
              </w:rPr>
              <w:t>AI</w:t>
            </w:r>
            <w:r w:rsidRPr="00C270C5">
              <w:rPr>
                <w:rFonts w:asciiTheme="majorBidi" w:hAnsiTheme="majorBidi" w:cstheme="majorBidi"/>
                <w:sz w:val="22"/>
                <w:szCs w:val="22"/>
              </w:rPr>
              <w:t xml:space="preserve"> the generic data consists of certain acute, sub-chronic, and chronic toxicology; environmental fate; ecological effects (birds, fish, invertebrates); and product chemistry. The applicant would format the complete data and submit along with the other items required for an application, as described above.</w:t>
            </w:r>
          </w:p>
        </w:tc>
      </w:tr>
      <w:tr w:rsidRPr="00C270C5" w:rsidR="00C270C5" w:rsidTr="00141E89" w14:paraId="43C2785F" w14:textId="77777777">
        <w:tc>
          <w:tcPr>
            <w:tcW w:w="742" w:type="pct"/>
            <w:vMerge w:val="restart"/>
            <w:tcMar>
              <w:top w:w="29" w:type="dxa"/>
              <w:left w:w="115" w:type="dxa"/>
              <w:bottom w:w="29" w:type="dxa"/>
              <w:right w:w="115" w:type="dxa"/>
            </w:tcMar>
          </w:tcPr>
          <w:p w:rsidRPr="00C270C5" w:rsidR="00E306EF" w:rsidP="009B774E" w:rsidRDefault="00E306EF" w14:paraId="31DCA5E9" w14:textId="77777777">
            <w:pPr>
              <w:rPr>
                <w:rFonts w:asciiTheme="majorBidi" w:hAnsiTheme="majorBidi" w:cstheme="majorBidi"/>
                <w:b/>
              </w:rPr>
            </w:pPr>
            <w:r w:rsidRPr="00C270C5">
              <w:rPr>
                <w:rFonts w:asciiTheme="majorBidi" w:hAnsiTheme="majorBidi" w:cstheme="majorBidi"/>
                <w:b/>
                <w:sz w:val="22"/>
                <w:szCs w:val="22"/>
              </w:rPr>
              <w:t>Type B</w:t>
            </w:r>
          </w:p>
          <w:p w:rsidRPr="00C270C5" w:rsidR="00E306EF" w:rsidP="009B774E" w:rsidRDefault="00E306EF" w14:paraId="78D59AA8" w14:textId="77777777">
            <w:pPr>
              <w:rPr>
                <w:rFonts w:asciiTheme="majorBidi" w:hAnsiTheme="majorBidi" w:cstheme="majorBidi"/>
                <w:b/>
              </w:rPr>
            </w:pPr>
          </w:p>
          <w:p w:rsidRPr="00C270C5" w:rsidR="00E306EF" w:rsidP="009B774E" w:rsidRDefault="00E306EF" w14:paraId="359B1605" w14:textId="77777777">
            <w:pPr>
              <w:rPr>
                <w:rFonts w:asciiTheme="majorBidi" w:hAnsiTheme="majorBidi" w:cstheme="majorBidi"/>
                <w:b/>
              </w:rPr>
            </w:pPr>
            <w:r w:rsidRPr="00C270C5">
              <w:rPr>
                <w:rFonts w:asciiTheme="majorBidi" w:hAnsiTheme="majorBidi" w:cstheme="majorBidi"/>
                <w:b/>
                <w:sz w:val="22"/>
                <w:szCs w:val="22"/>
              </w:rPr>
              <w:t>New or Amended Products Using Currently</w:t>
            </w:r>
          </w:p>
          <w:p w:rsidRPr="00C270C5" w:rsidR="00E306EF" w:rsidP="009B774E" w:rsidRDefault="00E306EF" w14:paraId="19A88261" w14:textId="77777777">
            <w:pPr>
              <w:rPr>
                <w:rFonts w:asciiTheme="majorBidi" w:hAnsiTheme="majorBidi" w:cstheme="majorBidi"/>
                <w:b/>
              </w:rPr>
            </w:pPr>
            <w:r w:rsidRPr="00C270C5">
              <w:rPr>
                <w:rFonts w:asciiTheme="majorBidi" w:hAnsiTheme="majorBidi" w:cstheme="majorBidi"/>
                <w:b/>
                <w:sz w:val="22"/>
                <w:szCs w:val="22"/>
              </w:rPr>
              <w:t>Registered</w:t>
            </w:r>
          </w:p>
          <w:p w:rsidRPr="00C270C5" w:rsidR="00E306EF" w:rsidP="009B774E" w:rsidRDefault="00E306EF" w14:paraId="709E7E6E" w14:textId="62DB7D71">
            <w:pPr>
              <w:rPr>
                <w:rFonts w:asciiTheme="majorBidi" w:hAnsiTheme="majorBidi" w:cstheme="majorBidi"/>
                <w:b/>
              </w:rPr>
            </w:pPr>
            <w:r w:rsidRPr="00C270C5">
              <w:rPr>
                <w:rFonts w:asciiTheme="majorBidi" w:hAnsiTheme="majorBidi" w:cstheme="majorBidi"/>
                <w:b/>
                <w:sz w:val="22"/>
                <w:szCs w:val="22"/>
              </w:rPr>
              <w:t>A</w:t>
            </w:r>
            <w:r w:rsidR="009A00B5">
              <w:rPr>
                <w:rFonts w:asciiTheme="majorBidi" w:hAnsiTheme="majorBidi" w:cstheme="majorBidi"/>
                <w:b/>
                <w:sz w:val="22"/>
                <w:szCs w:val="22"/>
              </w:rPr>
              <w:t>I</w:t>
            </w:r>
            <w:r w:rsidRPr="00C270C5">
              <w:rPr>
                <w:rFonts w:asciiTheme="majorBidi" w:hAnsiTheme="majorBidi" w:cstheme="majorBidi"/>
                <w:b/>
                <w:sz w:val="22"/>
                <w:szCs w:val="22"/>
              </w:rPr>
              <w:t>s</w:t>
            </w:r>
          </w:p>
        </w:tc>
        <w:tc>
          <w:tcPr>
            <w:tcW w:w="4258" w:type="pct"/>
            <w:tcMar>
              <w:top w:w="29" w:type="dxa"/>
              <w:left w:w="115" w:type="dxa"/>
              <w:bottom w:w="29" w:type="dxa"/>
              <w:right w:w="115" w:type="dxa"/>
            </w:tcMar>
          </w:tcPr>
          <w:p w:rsidRPr="00C270C5" w:rsidR="00E306EF" w:rsidP="009B774E" w:rsidRDefault="00E306EF" w14:paraId="0B652ED6" w14:textId="7F623616">
            <w:pPr>
              <w:rPr>
                <w:rFonts w:asciiTheme="majorBidi" w:hAnsiTheme="majorBidi" w:cstheme="majorBidi"/>
                <w:b/>
              </w:rPr>
            </w:pPr>
            <w:r w:rsidRPr="00C270C5">
              <w:rPr>
                <w:rFonts w:asciiTheme="majorBidi" w:hAnsiTheme="majorBidi" w:cstheme="majorBidi"/>
                <w:b/>
                <w:sz w:val="22"/>
                <w:szCs w:val="22"/>
              </w:rPr>
              <w:t xml:space="preserve">Description: </w:t>
            </w:r>
            <w:r w:rsidRPr="00C270C5">
              <w:rPr>
                <w:rFonts w:asciiTheme="majorBidi" w:hAnsiTheme="majorBidi" w:cstheme="majorBidi"/>
                <w:sz w:val="22"/>
                <w:szCs w:val="22"/>
              </w:rPr>
              <w:t>"Type B" activities involve a registrant or applicant assembling and submitting an application for</w:t>
            </w:r>
            <w:r w:rsidRPr="00C270C5" w:rsidR="007A6A0D">
              <w:t xml:space="preserve"> </w:t>
            </w:r>
            <w:r w:rsidRPr="00C270C5" w:rsidR="007A6A0D">
              <w:rPr>
                <w:rFonts w:asciiTheme="majorBidi" w:hAnsiTheme="majorBidi" w:cstheme="majorBidi"/>
                <w:sz w:val="22"/>
                <w:szCs w:val="22"/>
              </w:rPr>
              <w:t>a pre</w:t>
            </w:r>
            <w:r w:rsidRPr="00C270C5" w:rsidR="00714163">
              <w:rPr>
                <w:rFonts w:asciiTheme="majorBidi" w:hAnsiTheme="majorBidi" w:cstheme="majorBidi"/>
                <w:sz w:val="22"/>
                <w:szCs w:val="22"/>
              </w:rPr>
              <w:t>-</w:t>
            </w:r>
            <w:r w:rsidRPr="00C270C5" w:rsidR="007A6A0D">
              <w:rPr>
                <w:rFonts w:asciiTheme="majorBidi" w:hAnsiTheme="majorBidi" w:cstheme="majorBidi"/>
                <w:sz w:val="22"/>
                <w:szCs w:val="22"/>
              </w:rPr>
              <w:t>application determination or a</w:t>
            </w:r>
            <w:r w:rsidRPr="00C270C5">
              <w:rPr>
                <w:rFonts w:asciiTheme="majorBidi" w:hAnsiTheme="majorBidi" w:cstheme="majorBidi"/>
                <w:sz w:val="22"/>
                <w:szCs w:val="22"/>
              </w:rPr>
              <w:t xml:space="preserve"> registration of a new or amended product that contains a currently registered active ingredient. Generally, "Type B" activities involve less data and complexity than "Type A" activities. “Type B” activities include both Fee</w:t>
            </w:r>
            <w:r w:rsidR="00844E2D">
              <w:rPr>
                <w:rFonts w:asciiTheme="majorBidi" w:hAnsiTheme="majorBidi" w:cstheme="majorBidi"/>
                <w:sz w:val="22"/>
                <w:szCs w:val="22"/>
              </w:rPr>
              <w:t>-</w:t>
            </w:r>
            <w:r w:rsidRPr="00C270C5">
              <w:rPr>
                <w:rFonts w:asciiTheme="majorBidi" w:hAnsiTheme="majorBidi" w:cstheme="majorBidi"/>
                <w:sz w:val="22"/>
                <w:szCs w:val="22"/>
              </w:rPr>
              <w:t>for</w:t>
            </w:r>
            <w:r w:rsidR="00844E2D">
              <w:rPr>
                <w:rFonts w:asciiTheme="majorBidi" w:hAnsiTheme="majorBidi" w:cstheme="majorBidi"/>
                <w:sz w:val="22"/>
                <w:szCs w:val="22"/>
              </w:rPr>
              <w:t>-</w:t>
            </w:r>
            <w:r w:rsidRPr="00C270C5">
              <w:rPr>
                <w:rFonts w:asciiTheme="majorBidi" w:hAnsiTheme="majorBidi" w:cstheme="majorBidi"/>
                <w:sz w:val="22"/>
                <w:szCs w:val="22"/>
              </w:rPr>
              <w:t xml:space="preserve">Service actions, as well as less involved label amendments and notifications. Individually, “Type B” activities often present low burden, but the number of such submissions is high, translating to a large </w:t>
            </w:r>
            <w:proofErr w:type="gramStart"/>
            <w:r w:rsidRPr="00C270C5">
              <w:rPr>
                <w:rFonts w:asciiTheme="majorBidi" w:hAnsiTheme="majorBidi" w:cstheme="majorBidi"/>
                <w:sz w:val="22"/>
                <w:szCs w:val="22"/>
              </w:rPr>
              <w:t>work load</w:t>
            </w:r>
            <w:proofErr w:type="gramEnd"/>
            <w:r w:rsidRPr="00C270C5">
              <w:rPr>
                <w:rFonts w:asciiTheme="majorBidi" w:hAnsiTheme="majorBidi" w:cstheme="majorBidi"/>
                <w:sz w:val="22"/>
                <w:szCs w:val="22"/>
              </w:rPr>
              <w:t xml:space="preserve"> for the Agency. The items that must be submitted or cited in this application include product specific data, administrative forms, product labeling, and a CSF. The product specific data specified in 40 CFR </w:t>
            </w:r>
            <w:r w:rsidR="00301C21">
              <w:rPr>
                <w:rFonts w:asciiTheme="majorBidi" w:hAnsiTheme="majorBidi" w:cstheme="majorBidi"/>
                <w:sz w:val="22"/>
                <w:szCs w:val="22"/>
              </w:rPr>
              <w:t xml:space="preserve">part </w:t>
            </w:r>
            <w:r w:rsidRPr="00C270C5">
              <w:rPr>
                <w:rFonts w:asciiTheme="majorBidi" w:hAnsiTheme="majorBidi" w:cstheme="majorBidi"/>
                <w:sz w:val="22"/>
                <w:szCs w:val="22"/>
              </w:rPr>
              <w:t xml:space="preserve">158 must be generated by the registrant/applicant or cited from an identical or substantially similar product. If submitted, the data must be formatted properly and with the correct number of copies. Administrative forms usually include the application for registration, data compensation form, a data matrix, </w:t>
            </w:r>
            <w:r w:rsidRPr="00C270C5">
              <w:rPr>
                <w:rFonts w:asciiTheme="majorBidi" w:hAnsiTheme="majorBidi" w:cstheme="majorBidi"/>
                <w:sz w:val="22"/>
                <w:szCs w:val="22"/>
              </w:rPr>
              <w:lastRenderedPageBreak/>
              <w:t>the CSF, and copies of the complete labeling. EPA encourages electronic submission of these application types.</w:t>
            </w:r>
          </w:p>
        </w:tc>
      </w:tr>
      <w:tr w:rsidRPr="00C270C5" w:rsidR="00C270C5" w:rsidTr="00141E89" w14:paraId="4B117BFD" w14:textId="77777777">
        <w:tc>
          <w:tcPr>
            <w:tcW w:w="742" w:type="pct"/>
            <w:vMerge/>
            <w:tcMar>
              <w:top w:w="29" w:type="dxa"/>
              <w:left w:w="115" w:type="dxa"/>
              <w:bottom w:w="29" w:type="dxa"/>
              <w:right w:w="115" w:type="dxa"/>
            </w:tcMar>
          </w:tcPr>
          <w:p w:rsidRPr="00C270C5" w:rsidR="00E306EF" w:rsidP="009B774E" w:rsidRDefault="00E306EF" w14:paraId="1690A9EF" w14:textId="77777777">
            <w:pPr>
              <w:rPr>
                <w:rFonts w:asciiTheme="majorBidi" w:hAnsiTheme="majorBidi" w:cstheme="majorBidi"/>
                <w:b/>
              </w:rPr>
            </w:pPr>
          </w:p>
        </w:tc>
        <w:tc>
          <w:tcPr>
            <w:tcW w:w="4258" w:type="pct"/>
            <w:tcMar>
              <w:top w:w="29" w:type="dxa"/>
              <w:left w:w="115" w:type="dxa"/>
              <w:bottom w:w="29" w:type="dxa"/>
              <w:right w:w="115" w:type="dxa"/>
            </w:tcMar>
          </w:tcPr>
          <w:p w:rsidRPr="00C270C5" w:rsidR="00E306EF" w:rsidP="009B774E" w:rsidRDefault="00E306EF" w14:paraId="46D3EBFF" w14:textId="4536C6F0">
            <w:pPr>
              <w:rPr>
                <w:rFonts w:asciiTheme="majorBidi" w:hAnsiTheme="majorBidi" w:cstheme="majorBidi"/>
                <w:b/>
              </w:rPr>
            </w:pPr>
            <w:r w:rsidRPr="00C270C5">
              <w:rPr>
                <w:rFonts w:asciiTheme="majorBidi" w:hAnsiTheme="majorBidi" w:cstheme="majorBidi"/>
                <w:b/>
                <w:i/>
                <w:sz w:val="22"/>
                <w:szCs w:val="22"/>
              </w:rPr>
              <w:t>Example:</w:t>
            </w:r>
            <w:r w:rsidRPr="00C270C5">
              <w:rPr>
                <w:rFonts w:asciiTheme="majorBidi" w:hAnsiTheme="majorBidi" w:cstheme="majorBidi"/>
                <w:b/>
                <w:sz w:val="22"/>
                <w:szCs w:val="22"/>
              </w:rPr>
              <w:t xml:space="preserve"> </w:t>
            </w:r>
            <w:r w:rsidRPr="00C270C5">
              <w:rPr>
                <w:rFonts w:asciiTheme="majorBidi" w:hAnsiTheme="majorBidi" w:cstheme="majorBidi"/>
                <w:sz w:val="22"/>
                <w:szCs w:val="22"/>
              </w:rPr>
              <w:t xml:space="preserve">An applicant might seek registration of a new product containing an active ingredient that is already registered. Often, the formulation of this product is identical or substantially similar to that of a currently registered end-use product. This is called a "me-too" registration. In this case, the applicant only needs to cite data from another product (selective method) or from all products containing that </w:t>
            </w:r>
            <w:r w:rsidR="00960BAF">
              <w:rPr>
                <w:rFonts w:asciiTheme="majorBidi" w:hAnsiTheme="majorBidi" w:cstheme="majorBidi"/>
                <w:sz w:val="22"/>
                <w:szCs w:val="22"/>
              </w:rPr>
              <w:t xml:space="preserve">AI </w:t>
            </w:r>
            <w:r w:rsidRPr="00C270C5">
              <w:rPr>
                <w:rFonts w:asciiTheme="majorBidi" w:hAnsiTheme="majorBidi" w:cstheme="majorBidi"/>
                <w:sz w:val="22"/>
                <w:szCs w:val="22"/>
              </w:rPr>
              <w:t>(cite-all method) to support the new product. The applicant also submits the labeling and other administrative forms without submitting any data. If a product is not substantially similar to another product, the applicant must submit product specific data (acute toxicity and product chemistry) for that product. Nevertheless, this kind of application is far less complicated than a "Type A" application.</w:t>
            </w:r>
          </w:p>
        </w:tc>
      </w:tr>
      <w:tr w:rsidRPr="00C270C5" w:rsidR="00C270C5" w:rsidTr="00141E89" w14:paraId="23FF6654" w14:textId="77777777">
        <w:tc>
          <w:tcPr>
            <w:tcW w:w="742" w:type="pct"/>
            <w:vMerge w:val="restart"/>
            <w:tcMar>
              <w:top w:w="29" w:type="dxa"/>
              <w:left w:w="115" w:type="dxa"/>
              <w:bottom w:w="29" w:type="dxa"/>
              <w:right w:w="115" w:type="dxa"/>
            </w:tcMar>
          </w:tcPr>
          <w:p w:rsidRPr="00C270C5" w:rsidR="00E306EF" w:rsidP="009B774E" w:rsidRDefault="00E306EF" w14:paraId="78CE7764" w14:textId="77777777">
            <w:pPr>
              <w:rPr>
                <w:rFonts w:asciiTheme="majorBidi" w:hAnsiTheme="majorBidi" w:cstheme="majorBidi"/>
                <w:b/>
              </w:rPr>
            </w:pPr>
            <w:r w:rsidRPr="00C270C5">
              <w:rPr>
                <w:rFonts w:asciiTheme="majorBidi" w:hAnsiTheme="majorBidi" w:cstheme="majorBidi"/>
                <w:b/>
                <w:sz w:val="22"/>
                <w:szCs w:val="22"/>
              </w:rPr>
              <w:t>Type C</w:t>
            </w:r>
          </w:p>
          <w:p w:rsidRPr="00C270C5" w:rsidR="00E306EF" w:rsidP="009B774E" w:rsidRDefault="00E306EF" w14:paraId="23C73968" w14:textId="77777777">
            <w:pPr>
              <w:rPr>
                <w:rFonts w:asciiTheme="majorBidi" w:hAnsiTheme="majorBidi" w:cstheme="majorBidi"/>
                <w:b/>
              </w:rPr>
            </w:pPr>
          </w:p>
          <w:p w:rsidRPr="00C270C5" w:rsidR="00E306EF" w:rsidP="009B774E" w:rsidRDefault="00E306EF" w14:paraId="2CF20AD9" w14:textId="2874B58E">
            <w:pPr>
              <w:rPr>
                <w:rFonts w:asciiTheme="majorBidi" w:hAnsiTheme="majorBidi" w:cstheme="majorBidi"/>
                <w:b/>
              </w:rPr>
            </w:pPr>
            <w:r w:rsidRPr="00C270C5">
              <w:rPr>
                <w:rFonts w:asciiTheme="majorBidi" w:hAnsiTheme="majorBidi" w:cstheme="majorBidi"/>
                <w:b/>
                <w:sz w:val="22"/>
                <w:szCs w:val="22"/>
              </w:rPr>
              <w:t>Reduced Risk A</w:t>
            </w:r>
            <w:r w:rsidR="009A00B5">
              <w:rPr>
                <w:rFonts w:asciiTheme="majorBidi" w:hAnsiTheme="majorBidi" w:cstheme="majorBidi"/>
                <w:b/>
                <w:sz w:val="22"/>
                <w:szCs w:val="22"/>
              </w:rPr>
              <w:t>I</w:t>
            </w:r>
            <w:r w:rsidRPr="00C270C5">
              <w:rPr>
                <w:rFonts w:asciiTheme="majorBidi" w:hAnsiTheme="majorBidi" w:cstheme="majorBidi"/>
                <w:b/>
                <w:sz w:val="22"/>
                <w:szCs w:val="22"/>
              </w:rPr>
              <w:t>s &amp; Uses</w:t>
            </w:r>
          </w:p>
        </w:tc>
        <w:tc>
          <w:tcPr>
            <w:tcW w:w="4258" w:type="pct"/>
            <w:tcMar>
              <w:top w:w="29" w:type="dxa"/>
              <w:left w:w="115" w:type="dxa"/>
              <w:bottom w:w="29" w:type="dxa"/>
              <w:right w:w="115" w:type="dxa"/>
            </w:tcMar>
          </w:tcPr>
          <w:p w:rsidRPr="00C270C5" w:rsidR="00E306EF" w:rsidP="009B774E" w:rsidRDefault="00E306EF" w14:paraId="5C96E5EC" w14:textId="7C9A31B1">
            <w:pPr>
              <w:rPr>
                <w:rFonts w:asciiTheme="majorBidi" w:hAnsiTheme="majorBidi" w:cstheme="majorBidi"/>
                <w:b/>
              </w:rPr>
            </w:pPr>
            <w:r w:rsidRPr="00C270C5">
              <w:rPr>
                <w:rFonts w:asciiTheme="majorBidi" w:hAnsiTheme="majorBidi" w:cstheme="majorBidi"/>
                <w:b/>
                <w:sz w:val="22"/>
                <w:szCs w:val="22"/>
              </w:rPr>
              <w:t xml:space="preserve">Description: </w:t>
            </w:r>
            <w:r w:rsidRPr="00C270C5">
              <w:rPr>
                <w:rFonts w:asciiTheme="majorBidi" w:hAnsiTheme="majorBidi" w:cstheme="majorBidi"/>
                <w:sz w:val="22"/>
                <w:szCs w:val="22"/>
              </w:rPr>
              <w:t xml:space="preserve">“Type C” activities support the registration of new active ingredients and new uses that may qualify as "reduced risk" and be given expedited processing. "Type C" activities involve a registrant or applicant assembling and submitting an application for registration of a new active ingredient or a new use for a currently registered active ingredient. The items required to be submitted in this application include generic data, product specific data, administrative forms, product labeling, and a CSF. The generic and product specific data specified in 40 CFR </w:t>
            </w:r>
            <w:r w:rsidR="00301C21">
              <w:rPr>
                <w:rFonts w:asciiTheme="majorBidi" w:hAnsiTheme="majorBidi" w:cstheme="majorBidi"/>
                <w:sz w:val="22"/>
                <w:szCs w:val="22"/>
              </w:rPr>
              <w:t xml:space="preserve">part </w:t>
            </w:r>
            <w:r w:rsidRPr="00C270C5">
              <w:rPr>
                <w:rFonts w:asciiTheme="majorBidi" w:hAnsiTheme="majorBidi" w:cstheme="majorBidi"/>
                <w:sz w:val="22"/>
                <w:szCs w:val="22"/>
              </w:rPr>
              <w:t>158 must be generated by the registrants, formatted properly, and submitted with the correct number of copies. Administrative forms usually include the application for registration, data compensation form, a data matrix, the CSF, and copies of the complete labeling. In addition to the registration application itself, “Type C” activities require that the registrant provide a “reduced risk” rationale document addressing risk reduction parameters described in PR Notice 97-3. EPA encourages electronic submission of these application types.</w:t>
            </w:r>
          </w:p>
        </w:tc>
      </w:tr>
      <w:tr w:rsidRPr="00C270C5" w:rsidR="00AD2449" w:rsidTr="00141E89" w14:paraId="4614B863" w14:textId="77777777">
        <w:tc>
          <w:tcPr>
            <w:tcW w:w="742" w:type="pct"/>
            <w:vMerge/>
            <w:tcMar>
              <w:top w:w="29" w:type="dxa"/>
              <w:left w:w="115" w:type="dxa"/>
              <w:bottom w:w="29" w:type="dxa"/>
              <w:right w:w="115" w:type="dxa"/>
            </w:tcMar>
          </w:tcPr>
          <w:p w:rsidRPr="00C270C5" w:rsidR="00E306EF" w:rsidP="009B774E" w:rsidRDefault="00E306EF" w14:paraId="180564F5" w14:textId="77777777">
            <w:pPr>
              <w:rPr>
                <w:rFonts w:asciiTheme="majorBidi" w:hAnsiTheme="majorBidi" w:cstheme="majorBidi"/>
                <w:b/>
              </w:rPr>
            </w:pPr>
          </w:p>
        </w:tc>
        <w:tc>
          <w:tcPr>
            <w:tcW w:w="4258" w:type="pct"/>
            <w:tcMar>
              <w:top w:w="29" w:type="dxa"/>
              <w:left w:w="115" w:type="dxa"/>
              <w:bottom w:w="29" w:type="dxa"/>
              <w:right w:w="115" w:type="dxa"/>
            </w:tcMar>
          </w:tcPr>
          <w:p w:rsidRPr="00C270C5" w:rsidR="00E306EF" w:rsidP="009B774E" w:rsidRDefault="00E306EF" w14:paraId="21FEC693" w14:textId="415CFE21">
            <w:pPr>
              <w:rPr>
                <w:rFonts w:asciiTheme="majorBidi" w:hAnsiTheme="majorBidi" w:cstheme="majorBidi"/>
                <w:sz w:val="22"/>
                <w:szCs w:val="22"/>
              </w:rPr>
            </w:pPr>
            <w:r w:rsidRPr="00C270C5">
              <w:rPr>
                <w:rFonts w:asciiTheme="majorBidi" w:hAnsiTheme="majorBidi" w:cstheme="majorBidi"/>
                <w:b/>
                <w:i/>
                <w:sz w:val="22"/>
                <w:szCs w:val="22"/>
              </w:rPr>
              <w:t>Example:</w:t>
            </w:r>
            <w:r w:rsidRPr="00C270C5">
              <w:rPr>
                <w:rFonts w:asciiTheme="majorBidi" w:hAnsiTheme="majorBidi" w:cstheme="majorBidi"/>
                <w:b/>
                <w:sz w:val="22"/>
                <w:szCs w:val="22"/>
              </w:rPr>
              <w:t xml:space="preserve"> </w:t>
            </w:r>
            <w:r w:rsidRPr="00C270C5">
              <w:rPr>
                <w:rFonts w:asciiTheme="majorBidi" w:hAnsiTheme="majorBidi" w:cstheme="majorBidi"/>
                <w:sz w:val="22"/>
                <w:szCs w:val="22"/>
              </w:rPr>
              <w:t>An example of a "Type C" activity would be an application for registration of a new active ingredient (</w:t>
            </w:r>
            <w:r w:rsidR="00960BAF">
              <w:rPr>
                <w:rFonts w:asciiTheme="majorBidi" w:hAnsiTheme="majorBidi" w:cstheme="majorBidi"/>
                <w:sz w:val="22"/>
                <w:szCs w:val="22"/>
              </w:rPr>
              <w:t>AI</w:t>
            </w:r>
            <w:r w:rsidRPr="00C270C5">
              <w:rPr>
                <w:rFonts w:asciiTheme="majorBidi" w:hAnsiTheme="majorBidi" w:cstheme="majorBidi"/>
                <w:sz w:val="22"/>
                <w:szCs w:val="22"/>
              </w:rPr>
              <w:t>) where a “reduced risk” rationale per PR Notice 97-3 is also submitted with the registration application. All of the data requirements and administrative forms described under “Type A” applications must be addressed for “Type C” applications, and in addition the “reduced risk” rationale document must be provided.</w:t>
            </w:r>
            <w:r w:rsidRPr="00C270C5" w:rsidR="007841AD">
              <w:rPr>
                <w:rFonts w:asciiTheme="majorBidi" w:hAnsiTheme="majorBidi" w:cstheme="majorBidi"/>
                <w:sz w:val="22"/>
                <w:szCs w:val="22"/>
              </w:rPr>
              <w:t xml:space="preserve"> </w:t>
            </w:r>
            <w:r w:rsidRPr="00C270C5">
              <w:rPr>
                <w:rFonts w:asciiTheme="majorBidi" w:hAnsiTheme="majorBidi" w:cstheme="majorBidi"/>
                <w:sz w:val="22"/>
                <w:szCs w:val="22"/>
              </w:rPr>
              <w:t xml:space="preserve">A new </w:t>
            </w:r>
            <w:r w:rsidR="00960BAF">
              <w:rPr>
                <w:rFonts w:asciiTheme="majorBidi" w:hAnsiTheme="majorBidi" w:cstheme="majorBidi"/>
                <w:sz w:val="22"/>
                <w:szCs w:val="22"/>
              </w:rPr>
              <w:t>AI</w:t>
            </w:r>
            <w:r w:rsidRPr="00C270C5">
              <w:rPr>
                <w:rFonts w:asciiTheme="majorBidi" w:hAnsiTheme="majorBidi" w:cstheme="majorBidi"/>
                <w:sz w:val="22"/>
                <w:szCs w:val="22"/>
              </w:rPr>
              <w:t xml:space="preserve"> or new use associated with “Type C” activity is less likely to have risk concerns that would require refined risk assessment on the Agency’s </w:t>
            </w:r>
            <w:r w:rsidRPr="00C270C5" w:rsidR="004435FE">
              <w:rPr>
                <w:rFonts w:asciiTheme="majorBidi" w:hAnsiTheme="majorBidi" w:cstheme="majorBidi"/>
                <w:sz w:val="22"/>
                <w:szCs w:val="22"/>
              </w:rPr>
              <w:t>part or</w:t>
            </w:r>
            <w:r w:rsidRPr="00C270C5">
              <w:rPr>
                <w:rFonts w:asciiTheme="majorBidi" w:hAnsiTheme="majorBidi" w:cstheme="majorBidi"/>
                <w:sz w:val="22"/>
                <w:szCs w:val="22"/>
              </w:rPr>
              <w:t xml:space="preserve"> require additional information on the registrant’s part to address risk concerns. An application determined by the Agency to be "reduced risk” is provided an expedited decision time frame under PRIA. This kind of application is of equal complexity to the "Type A" activity, but more complex than "Type B."</w:t>
            </w:r>
          </w:p>
        </w:tc>
      </w:tr>
    </w:tbl>
    <w:p w:rsidRPr="00C270C5" w:rsidR="00E306EF" w:rsidP="009B774E" w:rsidRDefault="00E306EF" w14:paraId="23F296A4" w14:textId="77777777">
      <w:pPr>
        <w:ind w:firstLine="720"/>
        <w:rPr>
          <w:rFonts w:asciiTheme="majorBidi" w:hAnsiTheme="majorBidi" w:cstheme="majorBidi"/>
        </w:rPr>
      </w:pPr>
    </w:p>
    <w:p w:rsidRPr="00C270C5" w:rsidR="00753F7E" w:rsidP="009B774E" w:rsidRDefault="00753F7E" w14:paraId="2D6A38D8" w14:textId="77777777">
      <w:pPr>
        <w:ind w:firstLine="720"/>
        <w:rPr>
          <w:rFonts w:asciiTheme="majorBidi" w:hAnsiTheme="majorBidi" w:cstheme="majorBidi"/>
        </w:rPr>
      </w:pPr>
    </w:p>
    <w:p w:rsidRPr="00C270C5" w:rsidR="00753F7E" w:rsidP="009B774E" w:rsidRDefault="00C47DDD" w14:paraId="11BE733B" w14:textId="50139F32">
      <w:pPr>
        <w:widowControl w:val="0"/>
        <w:tabs>
          <w:tab w:val="left" w:pos="1473"/>
        </w:tabs>
        <w:autoSpaceDE w:val="0"/>
        <w:autoSpaceDN w:val="0"/>
        <w:ind w:firstLine="720"/>
        <w:rPr>
          <w:rFonts w:asciiTheme="majorBidi" w:hAnsiTheme="majorBidi" w:cstheme="majorBidi"/>
        </w:rPr>
      </w:pPr>
      <w:r w:rsidRPr="00C270C5">
        <w:rPr>
          <w:rFonts w:asciiTheme="majorBidi" w:hAnsiTheme="majorBidi" w:cstheme="majorBidi"/>
          <w:spacing w:val="-2"/>
        </w:rPr>
        <w:t>The completion and submission of the following forms</w:t>
      </w:r>
      <w:r w:rsidRPr="00C270C5" w:rsidR="00753F7E">
        <w:rPr>
          <w:rFonts w:asciiTheme="majorBidi" w:hAnsiTheme="majorBidi" w:cstheme="majorBidi"/>
          <w:spacing w:val="-2"/>
        </w:rPr>
        <w:t xml:space="preserve"> is</w:t>
      </w:r>
      <w:r w:rsidRPr="00C270C5">
        <w:rPr>
          <w:rFonts w:asciiTheme="majorBidi" w:hAnsiTheme="majorBidi" w:cstheme="majorBidi"/>
          <w:spacing w:val="-2"/>
        </w:rPr>
        <w:t xml:space="preserve"> necessary</w:t>
      </w:r>
      <w:r w:rsidRPr="00C270C5">
        <w:rPr>
          <w:rFonts w:asciiTheme="majorBidi" w:hAnsiTheme="majorBidi" w:cstheme="majorBidi"/>
        </w:rPr>
        <w:t xml:space="preserve"> to register a pesticide product</w:t>
      </w:r>
      <w:r w:rsidRPr="00C270C5" w:rsidR="00753F7E">
        <w:rPr>
          <w:rFonts w:asciiTheme="majorBidi" w:hAnsiTheme="majorBidi" w:cstheme="majorBidi"/>
        </w:rPr>
        <w:t xml:space="preserve"> (</w:t>
      </w:r>
      <w:r w:rsidRPr="00C270C5" w:rsidR="00753F7E">
        <w:rPr>
          <w:rFonts w:asciiTheme="majorBidi" w:hAnsiTheme="majorBidi" w:cstheme="majorBidi"/>
          <w:spacing w:val="-2"/>
        </w:rPr>
        <w:t xml:space="preserve">see </w:t>
      </w:r>
      <w:r w:rsidRPr="00C270C5" w:rsidR="00753F7E">
        <w:rPr>
          <w:rFonts w:asciiTheme="majorBidi" w:hAnsiTheme="majorBidi" w:cstheme="majorBidi"/>
          <w:b/>
          <w:spacing w:val="-2"/>
        </w:rPr>
        <w:t>Attachment C</w:t>
      </w:r>
      <w:r w:rsidRPr="00C270C5" w:rsidR="00753F7E">
        <w:rPr>
          <w:rFonts w:asciiTheme="majorBidi" w:hAnsiTheme="majorBidi" w:cstheme="majorBidi"/>
        </w:rPr>
        <w:t>)</w:t>
      </w:r>
      <w:r w:rsidRPr="00C270C5">
        <w:rPr>
          <w:rFonts w:asciiTheme="majorBidi" w:hAnsiTheme="majorBidi" w:cstheme="majorBidi"/>
        </w:rPr>
        <w:t>:</w:t>
      </w:r>
    </w:p>
    <w:p w:rsidRPr="00C270C5" w:rsidR="00753F7E" w:rsidP="009B774E" w:rsidRDefault="00753F7E" w14:paraId="05022AFB" w14:textId="77777777">
      <w:pPr>
        <w:widowControl w:val="0"/>
        <w:tabs>
          <w:tab w:val="left" w:pos="1473"/>
        </w:tabs>
        <w:autoSpaceDE w:val="0"/>
        <w:autoSpaceDN w:val="0"/>
        <w:rPr>
          <w:rFonts w:asciiTheme="majorBidi" w:hAnsiTheme="majorBidi" w:cstheme="majorBidi"/>
        </w:rPr>
      </w:pPr>
    </w:p>
    <w:p w:rsidRPr="00C270C5" w:rsidR="00753F7E" w:rsidP="009B774E" w:rsidRDefault="00753F7E" w14:paraId="1AAD3F8D" w14:textId="52574F70">
      <w:pPr>
        <w:pStyle w:val="ListParagraph"/>
        <w:widowControl w:val="0"/>
        <w:numPr>
          <w:ilvl w:val="0"/>
          <w:numId w:val="22"/>
        </w:numPr>
        <w:tabs>
          <w:tab w:val="left" w:pos="1473"/>
        </w:tabs>
        <w:autoSpaceDE w:val="0"/>
        <w:autoSpaceDN w:val="0"/>
        <w:rPr>
          <w:rFonts w:asciiTheme="majorBidi" w:hAnsiTheme="majorBidi" w:cstheme="majorBidi"/>
        </w:rPr>
      </w:pPr>
      <w:r w:rsidRPr="00C270C5">
        <w:rPr>
          <w:rFonts w:asciiTheme="majorBidi" w:hAnsiTheme="majorBidi" w:cstheme="majorBidi"/>
        </w:rPr>
        <w:t>EPA Form 8570-1, Application for Pesticide Registration, Amendment, Other;</w:t>
      </w:r>
    </w:p>
    <w:p w:rsidRPr="00C270C5" w:rsidR="00C47DDD" w:rsidP="009B774E" w:rsidRDefault="00C47DDD" w14:paraId="0213EBF6" w14:textId="036BC0D8">
      <w:pPr>
        <w:pStyle w:val="ListParagraph"/>
        <w:widowControl w:val="0"/>
        <w:numPr>
          <w:ilvl w:val="0"/>
          <w:numId w:val="22"/>
        </w:numPr>
        <w:tabs>
          <w:tab w:val="left" w:pos="1473"/>
        </w:tabs>
        <w:autoSpaceDE w:val="0"/>
        <w:autoSpaceDN w:val="0"/>
        <w:rPr>
          <w:rFonts w:asciiTheme="majorBidi" w:hAnsiTheme="majorBidi" w:cstheme="majorBidi"/>
        </w:rPr>
      </w:pPr>
      <w:r w:rsidRPr="00C270C5">
        <w:rPr>
          <w:rFonts w:asciiTheme="majorBidi" w:hAnsiTheme="majorBidi" w:cstheme="majorBidi"/>
        </w:rPr>
        <w:t>EPA Form 8570-4, Confidential Statement of Formula (CSF)</w:t>
      </w:r>
    </w:p>
    <w:p w:rsidRPr="00C270C5" w:rsidR="00C15D86" w:rsidP="009B774E" w:rsidRDefault="00C47DDD" w14:paraId="514FE50D" w14:textId="0C7CD345">
      <w:pPr>
        <w:pStyle w:val="ListParagraph"/>
        <w:widowControl w:val="0"/>
        <w:numPr>
          <w:ilvl w:val="0"/>
          <w:numId w:val="22"/>
        </w:numPr>
        <w:tabs>
          <w:tab w:val="left" w:pos="1473"/>
        </w:tabs>
        <w:autoSpaceDE w:val="0"/>
        <w:autoSpaceDN w:val="0"/>
        <w:rPr>
          <w:rFonts w:asciiTheme="majorBidi" w:hAnsiTheme="majorBidi" w:cstheme="majorBidi"/>
        </w:rPr>
      </w:pPr>
      <w:r w:rsidRPr="00C270C5">
        <w:rPr>
          <w:rFonts w:asciiTheme="majorBidi" w:hAnsiTheme="majorBidi" w:cstheme="majorBidi"/>
        </w:rPr>
        <w:t>EPA Form 8570-27, Formulator’s Exemption Statement</w:t>
      </w:r>
    </w:p>
    <w:p w:rsidRPr="00C270C5" w:rsidR="00C15D86" w:rsidP="009B774E" w:rsidRDefault="00C47DDD" w14:paraId="011315C5" w14:textId="7B0356F0">
      <w:pPr>
        <w:pStyle w:val="ListParagraph"/>
        <w:widowControl w:val="0"/>
        <w:numPr>
          <w:ilvl w:val="0"/>
          <w:numId w:val="22"/>
        </w:numPr>
        <w:tabs>
          <w:tab w:val="left" w:pos="1473"/>
        </w:tabs>
        <w:autoSpaceDE w:val="0"/>
        <w:autoSpaceDN w:val="0"/>
        <w:rPr>
          <w:rFonts w:asciiTheme="majorBidi" w:hAnsiTheme="majorBidi" w:cstheme="majorBidi"/>
        </w:rPr>
      </w:pPr>
      <w:r w:rsidRPr="00C270C5">
        <w:rPr>
          <w:rFonts w:asciiTheme="majorBidi" w:hAnsiTheme="majorBidi" w:cstheme="majorBidi"/>
        </w:rPr>
        <w:t xml:space="preserve">EPA Form 8570-34, Certification </w:t>
      </w:r>
      <w:r w:rsidRPr="00C270C5" w:rsidR="009A00B5">
        <w:rPr>
          <w:rFonts w:asciiTheme="majorBidi" w:hAnsiTheme="majorBidi" w:cstheme="majorBidi"/>
        </w:rPr>
        <w:t>with</w:t>
      </w:r>
      <w:r w:rsidRPr="00C270C5">
        <w:rPr>
          <w:rFonts w:asciiTheme="majorBidi" w:hAnsiTheme="majorBidi" w:cstheme="majorBidi"/>
        </w:rPr>
        <w:t xml:space="preserve"> Respect to Citation of Data</w:t>
      </w:r>
    </w:p>
    <w:p w:rsidRPr="00C270C5" w:rsidR="00C15D86" w:rsidP="009B774E" w:rsidRDefault="00C47DDD" w14:paraId="5436DC37" w14:textId="40ADF434">
      <w:pPr>
        <w:pStyle w:val="ListParagraph"/>
        <w:widowControl w:val="0"/>
        <w:numPr>
          <w:ilvl w:val="0"/>
          <w:numId w:val="22"/>
        </w:numPr>
        <w:tabs>
          <w:tab w:val="left" w:pos="1473"/>
        </w:tabs>
        <w:autoSpaceDE w:val="0"/>
        <w:autoSpaceDN w:val="0"/>
        <w:rPr>
          <w:rFonts w:asciiTheme="majorBidi" w:hAnsiTheme="majorBidi" w:cstheme="majorBidi"/>
        </w:rPr>
      </w:pPr>
      <w:r w:rsidRPr="00C270C5">
        <w:rPr>
          <w:rFonts w:asciiTheme="majorBidi" w:hAnsiTheme="majorBidi" w:cstheme="majorBidi"/>
        </w:rPr>
        <w:t>EPA Form 8570-35, Data Matrix</w:t>
      </w:r>
    </w:p>
    <w:p w:rsidRPr="00C270C5" w:rsidR="00C15D86" w:rsidP="009B774E" w:rsidRDefault="00C47DDD" w14:paraId="57AB05EB" w14:textId="6C7E42E2">
      <w:pPr>
        <w:pStyle w:val="ListParagraph"/>
        <w:widowControl w:val="0"/>
        <w:numPr>
          <w:ilvl w:val="0"/>
          <w:numId w:val="22"/>
        </w:numPr>
        <w:tabs>
          <w:tab w:val="left" w:pos="1473"/>
        </w:tabs>
        <w:autoSpaceDE w:val="0"/>
        <w:autoSpaceDN w:val="0"/>
        <w:rPr>
          <w:rFonts w:asciiTheme="majorBidi" w:hAnsiTheme="majorBidi" w:cstheme="majorBidi"/>
        </w:rPr>
      </w:pPr>
      <w:r w:rsidRPr="00C270C5">
        <w:rPr>
          <w:rFonts w:asciiTheme="majorBidi" w:hAnsiTheme="majorBidi" w:cstheme="majorBidi"/>
        </w:rPr>
        <w:t>EPA Form 8570-36, Summary of the Physical/chemical Properties</w:t>
      </w:r>
    </w:p>
    <w:p w:rsidRPr="00DA216C" w:rsidR="00C15D86" w:rsidP="009B774E" w:rsidRDefault="00C47DDD" w14:paraId="7205F7E8" w14:textId="64D6C401">
      <w:pPr>
        <w:pStyle w:val="ListParagraph"/>
        <w:widowControl w:val="0"/>
        <w:numPr>
          <w:ilvl w:val="0"/>
          <w:numId w:val="22"/>
        </w:numPr>
        <w:tabs>
          <w:tab w:val="left" w:pos="1473"/>
        </w:tabs>
        <w:autoSpaceDE w:val="0"/>
        <w:autoSpaceDN w:val="0"/>
        <w:ind w:right="648"/>
        <w:rPr>
          <w:rFonts w:asciiTheme="majorBidi" w:hAnsiTheme="majorBidi" w:cstheme="majorBidi"/>
        </w:rPr>
      </w:pPr>
      <w:r w:rsidRPr="00C270C5">
        <w:rPr>
          <w:rFonts w:asciiTheme="majorBidi" w:hAnsiTheme="majorBidi" w:cstheme="majorBidi"/>
          <w:spacing w:val="-2"/>
        </w:rPr>
        <w:lastRenderedPageBreak/>
        <w:t>EPA Form 8570-37, Self-certification Statement for the Physical/Chemical</w:t>
      </w:r>
      <w:r w:rsidRPr="00C270C5">
        <w:rPr>
          <w:rFonts w:asciiTheme="majorBidi" w:hAnsiTheme="majorBidi" w:cstheme="majorBidi"/>
        </w:rPr>
        <w:t xml:space="preserve"> Properties</w:t>
      </w:r>
      <w:r w:rsidR="009B25FA">
        <w:rPr>
          <w:rStyle w:val="FootnoteReference"/>
          <w:rFonts w:asciiTheme="majorBidi" w:hAnsiTheme="majorBidi" w:cstheme="majorBidi"/>
        </w:rPr>
        <w:footnoteReference w:id="2"/>
      </w:r>
    </w:p>
    <w:p w:rsidR="00B7108A" w:rsidP="00B7108A" w:rsidRDefault="00B7108A" w14:paraId="7062A038" w14:textId="77777777">
      <w:pPr>
        <w:rPr>
          <w:rFonts w:asciiTheme="majorBidi" w:hAnsiTheme="majorBidi" w:cstheme="majorBidi"/>
          <w:i/>
        </w:rPr>
      </w:pPr>
    </w:p>
    <w:p w:rsidRPr="00C270C5" w:rsidR="00C15D86" w:rsidP="00B7108A" w:rsidRDefault="00C47DDD" w14:paraId="6A046DA6" w14:textId="2F790BDF">
      <w:pPr>
        <w:rPr>
          <w:rFonts w:asciiTheme="majorBidi" w:hAnsiTheme="majorBidi" w:cstheme="majorBidi"/>
          <w:i/>
        </w:rPr>
      </w:pPr>
      <w:r w:rsidRPr="00C270C5">
        <w:rPr>
          <w:rFonts w:asciiTheme="majorBidi" w:hAnsiTheme="majorBidi" w:cstheme="majorBidi"/>
          <w:i/>
        </w:rPr>
        <w:t xml:space="preserve">(ii) </w:t>
      </w:r>
      <w:r w:rsidRPr="00C270C5">
        <w:rPr>
          <w:rFonts w:asciiTheme="majorBidi" w:hAnsiTheme="majorBidi" w:cstheme="majorBidi"/>
          <w:i/>
        </w:rPr>
        <w:tab/>
        <w:t>Respondent Activities</w:t>
      </w:r>
    </w:p>
    <w:p w:rsidRPr="00C270C5" w:rsidR="00C15D86" w:rsidP="009B774E" w:rsidRDefault="00C15D86" w14:paraId="46EF6893" w14:textId="77777777">
      <w:pPr>
        <w:rPr>
          <w:rFonts w:asciiTheme="majorBidi" w:hAnsiTheme="majorBidi" w:cstheme="majorBid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08"/>
        <w:gridCol w:w="6642"/>
      </w:tblGrid>
      <w:tr w:rsidRPr="00C270C5" w:rsidR="00C270C5" w:rsidTr="00EF027D" w14:paraId="248F5D51" w14:textId="77777777">
        <w:tc>
          <w:tcPr>
            <w:tcW w:w="2708" w:type="dxa"/>
            <w:shd w:val="clear" w:color="auto" w:fill="E6E6E6"/>
            <w:tcMar>
              <w:top w:w="29" w:type="dxa"/>
              <w:left w:w="115" w:type="dxa"/>
              <w:bottom w:w="29" w:type="dxa"/>
              <w:right w:w="115" w:type="dxa"/>
            </w:tcMar>
          </w:tcPr>
          <w:p w:rsidRPr="00C270C5" w:rsidR="00C15D86" w:rsidP="009B774E" w:rsidRDefault="00C47DDD" w14:paraId="698B9F20" w14:textId="77777777">
            <w:pPr>
              <w:rPr>
                <w:rFonts w:asciiTheme="majorBidi" w:hAnsiTheme="majorBidi" w:cstheme="majorBidi"/>
                <w:b/>
              </w:rPr>
            </w:pPr>
            <w:r w:rsidRPr="00C270C5">
              <w:rPr>
                <w:rFonts w:asciiTheme="majorBidi" w:hAnsiTheme="majorBidi" w:cstheme="majorBidi"/>
                <w:b/>
                <w:sz w:val="22"/>
                <w:szCs w:val="22"/>
              </w:rPr>
              <w:t>Respondent Paperwork Activity</w:t>
            </w:r>
          </w:p>
        </w:tc>
        <w:tc>
          <w:tcPr>
            <w:tcW w:w="6642" w:type="dxa"/>
            <w:shd w:val="clear" w:color="auto" w:fill="E6E6E6"/>
            <w:tcMar>
              <w:top w:w="29" w:type="dxa"/>
              <w:left w:w="115" w:type="dxa"/>
              <w:bottom w:w="29" w:type="dxa"/>
              <w:right w:w="115" w:type="dxa"/>
            </w:tcMar>
          </w:tcPr>
          <w:p w:rsidRPr="00C270C5" w:rsidR="00C15D86" w:rsidP="009B774E" w:rsidRDefault="00C47DDD" w14:paraId="2C6472A8" w14:textId="77777777">
            <w:pPr>
              <w:rPr>
                <w:rFonts w:asciiTheme="majorBidi" w:hAnsiTheme="majorBidi" w:cstheme="majorBidi"/>
                <w:b/>
              </w:rPr>
            </w:pPr>
            <w:r w:rsidRPr="00C270C5">
              <w:rPr>
                <w:rFonts w:asciiTheme="majorBidi" w:hAnsiTheme="majorBidi" w:cstheme="majorBidi"/>
                <w:b/>
                <w:sz w:val="22"/>
                <w:szCs w:val="22"/>
              </w:rPr>
              <w:t>Description</w:t>
            </w:r>
          </w:p>
        </w:tc>
      </w:tr>
      <w:tr w:rsidRPr="00C270C5" w:rsidR="00C270C5" w:rsidTr="00EF027D" w14:paraId="613D9A72" w14:textId="77777777">
        <w:trPr>
          <w:trHeight w:val="890"/>
        </w:trPr>
        <w:tc>
          <w:tcPr>
            <w:tcW w:w="2708" w:type="dxa"/>
            <w:tcMar>
              <w:top w:w="29" w:type="dxa"/>
              <w:left w:w="115" w:type="dxa"/>
              <w:bottom w:w="29" w:type="dxa"/>
              <w:right w:w="115" w:type="dxa"/>
            </w:tcMar>
          </w:tcPr>
          <w:p w:rsidRPr="00C270C5" w:rsidR="00C47DDD" w:rsidP="009B774E" w:rsidRDefault="00C47DDD" w14:paraId="2AFBAE70" w14:textId="77777777">
            <w:pPr>
              <w:rPr>
                <w:rFonts w:asciiTheme="majorBidi" w:hAnsiTheme="majorBidi" w:cstheme="majorBidi"/>
                <w:b/>
              </w:rPr>
            </w:pPr>
            <w:r w:rsidRPr="00C270C5">
              <w:rPr>
                <w:rFonts w:asciiTheme="majorBidi" w:hAnsiTheme="majorBidi" w:cstheme="majorBidi"/>
                <w:b/>
                <w:sz w:val="22"/>
                <w:szCs w:val="22"/>
              </w:rPr>
              <w:t>1. Read instructions</w:t>
            </w:r>
          </w:p>
        </w:tc>
        <w:tc>
          <w:tcPr>
            <w:tcW w:w="6642" w:type="dxa"/>
            <w:tcMar>
              <w:top w:w="29" w:type="dxa"/>
              <w:left w:w="115" w:type="dxa"/>
              <w:bottom w:w="29" w:type="dxa"/>
              <w:right w:w="115" w:type="dxa"/>
            </w:tcMar>
          </w:tcPr>
          <w:p w:rsidRPr="00C270C5" w:rsidR="00C47DDD" w:rsidP="009B774E" w:rsidRDefault="00C47DDD" w14:paraId="145FD981" w14:textId="77777777">
            <w:pPr>
              <w:rPr>
                <w:rFonts w:asciiTheme="majorBidi" w:hAnsiTheme="majorBidi" w:cstheme="majorBidi"/>
              </w:rPr>
            </w:pPr>
            <w:r w:rsidRPr="00C270C5">
              <w:rPr>
                <w:rFonts w:asciiTheme="majorBidi" w:hAnsiTheme="majorBidi" w:cstheme="majorBidi"/>
                <w:sz w:val="22"/>
                <w:szCs w:val="22"/>
              </w:rPr>
              <w:t>Read germane FIFRA legislation, 40 CFR regulations, application form instructions, the Reduced-Risk policy, applicable guidance and correspondence, and germane labeling PR and FR notices;</w:t>
            </w:r>
          </w:p>
          <w:p w:rsidRPr="00C270C5" w:rsidR="00C15D86" w:rsidP="009B774E" w:rsidRDefault="00C47DDD" w14:paraId="3C27E309" w14:textId="77777777">
            <w:pPr>
              <w:rPr>
                <w:rFonts w:asciiTheme="majorBidi" w:hAnsiTheme="majorBidi" w:cstheme="majorBidi"/>
                <w:sz w:val="8"/>
                <w:szCs w:val="8"/>
              </w:rPr>
            </w:pPr>
            <w:r w:rsidRPr="00C270C5">
              <w:rPr>
                <w:rFonts w:asciiTheme="majorBidi" w:hAnsiTheme="majorBidi" w:cstheme="majorBidi"/>
                <w:sz w:val="22"/>
                <w:szCs w:val="22"/>
              </w:rPr>
              <w:t xml:space="preserve"> </w:t>
            </w:r>
          </w:p>
        </w:tc>
      </w:tr>
      <w:tr w:rsidRPr="00C270C5" w:rsidR="00C270C5" w:rsidTr="00EF027D" w14:paraId="5B4D9F70" w14:textId="77777777">
        <w:tc>
          <w:tcPr>
            <w:tcW w:w="2708" w:type="dxa"/>
            <w:tcMar>
              <w:top w:w="29" w:type="dxa"/>
              <w:left w:w="115" w:type="dxa"/>
              <w:bottom w:w="29" w:type="dxa"/>
              <w:right w:w="115" w:type="dxa"/>
            </w:tcMar>
          </w:tcPr>
          <w:p w:rsidRPr="00C270C5" w:rsidR="00C47DDD" w:rsidP="009B774E" w:rsidRDefault="00C47DDD" w14:paraId="135B00E0" w14:textId="77777777">
            <w:pPr>
              <w:rPr>
                <w:rFonts w:asciiTheme="majorBidi" w:hAnsiTheme="majorBidi" w:cstheme="majorBidi"/>
                <w:b/>
              </w:rPr>
            </w:pPr>
            <w:r w:rsidRPr="00C270C5">
              <w:rPr>
                <w:rFonts w:asciiTheme="majorBidi" w:hAnsiTheme="majorBidi" w:cstheme="majorBidi"/>
                <w:b/>
                <w:sz w:val="22"/>
                <w:szCs w:val="22"/>
              </w:rPr>
              <w:t>2. Plan activities</w:t>
            </w:r>
          </w:p>
        </w:tc>
        <w:tc>
          <w:tcPr>
            <w:tcW w:w="6642" w:type="dxa"/>
            <w:tcMar>
              <w:top w:w="29" w:type="dxa"/>
              <w:left w:w="115" w:type="dxa"/>
              <w:bottom w:w="29" w:type="dxa"/>
              <w:right w:w="115" w:type="dxa"/>
            </w:tcMar>
          </w:tcPr>
          <w:p w:rsidRPr="00C270C5" w:rsidR="00C15D86" w:rsidP="009B774E" w:rsidRDefault="006525B3" w14:paraId="3D0DF3C5" w14:textId="3113CE03">
            <w:pPr>
              <w:rPr>
                <w:rFonts w:asciiTheme="majorBidi" w:hAnsiTheme="majorBidi" w:cstheme="majorBidi"/>
                <w:sz w:val="8"/>
                <w:szCs w:val="8"/>
              </w:rPr>
            </w:pPr>
            <w:r w:rsidRPr="00C270C5">
              <w:rPr>
                <w:rFonts w:asciiTheme="majorBidi" w:hAnsiTheme="majorBidi" w:cstheme="majorBidi"/>
                <w:sz w:val="22"/>
                <w:szCs w:val="22"/>
              </w:rPr>
              <w:t>Decide whether the product is a pesticide seeking registration, a “me-too” pesticide,</w:t>
            </w:r>
            <w:r w:rsidRPr="00C270C5" w:rsidR="00B75549">
              <w:rPr>
                <w:rFonts w:asciiTheme="majorBidi" w:hAnsiTheme="majorBidi" w:cstheme="majorBidi"/>
                <w:sz w:val="22"/>
                <w:szCs w:val="22"/>
              </w:rPr>
              <w:t xml:space="preserve"> </w:t>
            </w:r>
            <w:r w:rsidRPr="00C270C5">
              <w:rPr>
                <w:rFonts w:asciiTheme="majorBidi" w:hAnsiTheme="majorBidi" w:cstheme="majorBidi"/>
                <w:sz w:val="22"/>
                <w:szCs w:val="22"/>
              </w:rPr>
              <w:t xml:space="preserve">or </w:t>
            </w:r>
            <w:r w:rsidRPr="00C270C5" w:rsidR="00CC785E">
              <w:rPr>
                <w:rFonts w:asciiTheme="majorBidi" w:hAnsiTheme="majorBidi" w:cstheme="majorBidi"/>
                <w:sz w:val="22"/>
                <w:szCs w:val="22"/>
              </w:rPr>
              <w:t xml:space="preserve">a product </w:t>
            </w:r>
            <w:r w:rsidRPr="00C270C5">
              <w:rPr>
                <w:rFonts w:asciiTheme="majorBidi" w:hAnsiTheme="majorBidi" w:cstheme="majorBidi"/>
                <w:sz w:val="22"/>
                <w:szCs w:val="22"/>
              </w:rPr>
              <w:t>seeking a</w:t>
            </w:r>
            <w:r w:rsidRPr="00C270C5" w:rsidR="0082135C">
              <w:rPr>
                <w:rFonts w:asciiTheme="majorBidi" w:hAnsiTheme="majorBidi" w:cstheme="majorBidi"/>
                <w:sz w:val="22"/>
                <w:szCs w:val="22"/>
              </w:rPr>
              <w:t xml:space="preserve"> </w:t>
            </w:r>
            <w:r w:rsidRPr="00C270C5">
              <w:rPr>
                <w:rFonts w:asciiTheme="majorBidi" w:hAnsiTheme="majorBidi" w:cstheme="majorBidi"/>
                <w:sz w:val="22"/>
                <w:szCs w:val="22"/>
              </w:rPr>
              <w:t xml:space="preserve">determination </w:t>
            </w:r>
            <w:r w:rsidRPr="00C270C5" w:rsidR="0082135C">
              <w:rPr>
                <w:rFonts w:asciiTheme="majorBidi" w:hAnsiTheme="majorBidi" w:cstheme="majorBidi"/>
                <w:sz w:val="22"/>
                <w:szCs w:val="22"/>
              </w:rPr>
              <w:t>i</w:t>
            </w:r>
            <w:r w:rsidRPr="00C270C5">
              <w:rPr>
                <w:rFonts w:asciiTheme="majorBidi" w:hAnsiTheme="majorBidi" w:cstheme="majorBidi"/>
                <w:sz w:val="22"/>
                <w:szCs w:val="22"/>
              </w:rPr>
              <w:t xml:space="preserve">f </w:t>
            </w:r>
            <w:r w:rsidRPr="00C270C5" w:rsidR="0082135C">
              <w:rPr>
                <w:rFonts w:asciiTheme="majorBidi" w:hAnsiTheme="majorBidi" w:cstheme="majorBidi"/>
                <w:sz w:val="22"/>
                <w:szCs w:val="22"/>
              </w:rPr>
              <w:t>FIFRA registration is required</w:t>
            </w:r>
            <w:r w:rsidRPr="00C270C5">
              <w:rPr>
                <w:rFonts w:asciiTheme="majorBidi" w:hAnsiTheme="majorBidi" w:cstheme="majorBidi"/>
                <w:sz w:val="22"/>
                <w:szCs w:val="22"/>
              </w:rPr>
              <w:t>;</w:t>
            </w:r>
            <w:r w:rsidRPr="00C270C5" w:rsidR="00B75549">
              <w:t xml:space="preserve"> </w:t>
            </w:r>
            <w:r w:rsidRPr="00C270C5" w:rsidR="00B75549">
              <w:rPr>
                <w:rFonts w:asciiTheme="majorBidi" w:hAnsiTheme="majorBidi" w:cstheme="majorBidi"/>
                <w:sz w:val="22"/>
                <w:szCs w:val="22"/>
              </w:rPr>
              <w:t>this will determine succeeding activities</w:t>
            </w:r>
            <w:r w:rsidRPr="00C270C5" w:rsidR="004B447D">
              <w:rPr>
                <w:rFonts w:asciiTheme="majorBidi" w:hAnsiTheme="majorBidi" w:cstheme="majorBidi"/>
                <w:sz w:val="22"/>
                <w:szCs w:val="22"/>
              </w:rPr>
              <w:t>;</w:t>
            </w:r>
          </w:p>
        </w:tc>
      </w:tr>
      <w:tr w:rsidRPr="00C270C5" w:rsidR="00C270C5" w:rsidTr="00EF027D" w14:paraId="7D584B1B" w14:textId="77777777">
        <w:tc>
          <w:tcPr>
            <w:tcW w:w="2708" w:type="dxa"/>
            <w:tcMar>
              <w:top w:w="29" w:type="dxa"/>
              <w:left w:w="115" w:type="dxa"/>
              <w:bottom w:w="29" w:type="dxa"/>
              <w:right w:w="115" w:type="dxa"/>
            </w:tcMar>
          </w:tcPr>
          <w:p w:rsidRPr="00C270C5" w:rsidR="00EF027D" w:rsidP="009B774E" w:rsidRDefault="002004E1" w14:paraId="1BAAA7D8" w14:textId="233513BE">
            <w:pPr>
              <w:rPr>
                <w:rFonts w:asciiTheme="majorBidi" w:hAnsiTheme="majorBidi" w:cstheme="majorBidi"/>
                <w:b/>
              </w:rPr>
            </w:pPr>
            <w:r w:rsidRPr="00C270C5">
              <w:rPr>
                <w:rFonts w:asciiTheme="majorBidi" w:hAnsiTheme="majorBidi" w:cstheme="majorBidi"/>
                <w:b/>
                <w:sz w:val="22"/>
                <w:szCs w:val="22"/>
              </w:rPr>
              <w:t>3</w:t>
            </w:r>
            <w:r w:rsidRPr="00C270C5" w:rsidR="00EF027D">
              <w:rPr>
                <w:rFonts w:asciiTheme="majorBidi" w:hAnsiTheme="majorBidi" w:cstheme="majorBidi"/>
                <w:b/>
                <w:sz w:val="22"/>
                <w:szCs w:val="22"/>
              </w:rPr>
              <w:t>. Gather information</w:t>
            </w:r>
          </w:p>
        </w:tc>
        <w:tc>
          <w:tcPr>
            <w:tcW w:w="6642" w:type="dxa"/>
            <w:tcMar>
              <w:top w:w="29" w:type="dxa"/>
              <w:left w:w="115" w:type="dxa"/>
              <w:bottom w:w="29" w:type="dxa"/>
              <w:right w:w="115" w:type="dxa"/>
            </w:tcMar>
          </w:tcPr>
          <w:p w:rsidRPr="00C270C5" w:rsidR="00EF027D" w:rsidP="009B774E" w:rsidRDefault="004B447D" w14:paraId="7F15AB44" w14:textId="15EAC155">
            <w:pPr>
              <w:rPr>
                <w:rFonts w:asciiTheme="majorBidi" w:hAnsiTheme="majorBidi" w:cstheme="majorBidi"/>
                <w:sz w:val="8"/>
                <w:szCs w:val="8"/>
              </w:rPr>
            </w:pPr>
            <w:r w:rsidRPr="00C270C5">
              <w:rPr>
                <w:rFonts w:asciiTheme="majorBidi" w:hAnsiTheme="majorBidi" w:cstheme="majorBidi"/>
                <w:sz w:val="22"/>
                <w:szCs w:val="22"/>
              </w:rPr>
              <w:t xml:space="preserve">Canvass/contact other companies holding EPA registrations or marketing similar products, if any, to determine whether it would be appropriate to share or rely on testing data already submitted by another company;  </w:t>
            </w:r>
          </w:p>
        </w:tc>
      </w:tr>
      <w:tr w:rsidRPr="00C270C5" w:rsidR="00C270C5" w:rsidTr="00EF027D" w14:paraId="413EC45D" w14:textId="77777777">
        <w:tc>
          <w:tcPr>
            <w:tcW w:w="2708" w:type="dxa"/>
            <w:tcMar>
              <w:top w:w="29" w:type="dxa"/>
              <w:left w:w="115" w:type="dxa"/>
              <w:bottom w:w="29" w:type="dxa"/>
              <w:right w:w="115" w:type="dxa"/>
            </w:tcMar>
          </w:tcPr>
          <w:p w:rsidRPr="00C270C5" w:rsidR="00C47DDD" w:rsidP="009B774E" w:rsidRDefault="002004E1" w14:paraId="4BEA617B" w14:textId="464334D8">
            <w:pPr>
              <w:rPr>
                <w:rFonts w:asciiTheme="majorBidi" w:hAnsiTheme="majorBidi" w:cstheme="majorBidi"/>
                <w:b/>
              </w:rPr>
            </w:pPr>
            <w:r w:rsidRPr="00C270C5">
              <w:rPr>
                <w:rFonts w:asciiTheme="majorBidi" w:hAnsiTheme="majorBidi" w:cstheme="majorBidi"/>
                <w:b/>
                <w:sz w:val="22"/>
                <w:szCs w:val="22"/>
              </w:rPr>
              <w:t>4</w:t>
            </w:r>
            <w:r w:rsidRPr="00C270C5" w:rsidR="00C47DDD">
              <w:rPr>
                <w:rFonts w:asciiTheme="majorBidi" w:hAnsiTheme="majorBidi" w:cstheme="majorBidi"/>
                <w:b/>
                <w:sz w:val="22"/>
                <w:szCs w:val="22"/>
              </w:rPr>
              <w:t>. Create information</w:t>
            </w:r>
          </w:p>
        </w:tc>
        <w:tc>
          <w:tcPr>
            <w:tcW w:w="6642" w:type="dxa"/>
            <w:tcMar>
              <w:top w:w="29" w:type="dxa"/>
              <w:left w:w="115" w:type="dxa"/>
              <w:bottom w:w="29" w:type="dxa"/>
              <w:right w:w="115" w:type="dxa"/>
            </w:tcMar>
          </w:tcPr>
          <w:p w:rsidRPr="00C270C5" w:rsidR="00C47DDD" w:rsidP="009B774E" w:rsidRDefault="002004E1" w14:paraId="79AA84B2" w14:textId="048EFE43">
            <w:pPr>
              <w:rPr>
                <w:rFonts w:asciiTheme="majorBidi" w:hAnsiTheme="majorBidi" w:cstheme="majorBidi"/>
              </w:rPr>
            </w:pPr>
            <w:r w:rsidRPr="00C270C5">
              <w:rPr>
                <w:rFonts w:asciiTheme="majorBidi" w:hAnsiTheme="majorBidi" w:cstheme="majorBidi"/>
                <w:sz w:val="22"/>
                <w:szCs w:val="22"/>
              </w:rPr>
              <w:t xml:space="preserve">If </w:t>
            </w:r>
            <w:r w:rsidRPr="00C270C5" w:rsidR="00AD7532">
              <w:rPr>
                <w:rFonts w:asciiTheme="majorBidi" w:hAnsiTheme="majorBidi" w:cstheme="majorBidi"/>
                <w:sz w:val="22"/>
                <w:szCs w:val="22"/>
              </w:rPr>
              <w:t>submitting</w:t>
            </w:r>
            <w:r w:rsidRPr="00C270C5">
              <w:rPr>
                <w:rFonts w:asciiTheme="majorBidi" w:hAnsiTheme="majorBidi" w:cstheme="majorBidi"/>
                <w:sz w:val="22"/>
                <w:szCs w:val="22"/>
              </w:rPr>
              <w:t xml:space="preserve"> stud</w:t>
            </w:r>
            <w:r w:rsidRPr="00C270C5" w:rsidR="00AD7532">
              <w:rPr>
                <w:rFonts w:asciiTheme="majorBidi" w:hAnsiTheme="majorBidi" w:cstheme="majorBidi"/>
                <w:sz w:val="22"/>
                <w:szCs w:val="22"/>
              </w:rPr>
              <w:t>y data</w:t>
            </w:r>
            <w:r w:rsidRPr="00C270C5">
              <w:rPr>
                <w:rFonts w:asciiTheme="majorBidi" w:hAnsiTheme="majorBidi" w:cstheme="majorBidi"/>
                <w:sz w:val="22"/>
                <w:szCs w:val="22"/>
              </w:rPr>
              <w:t>, a</w:t>
            </w:r>
            <w:r w:rsidRPr="00C270C5" w:rsidR="00C47DDD">
              <w:rPr>
                <w:rFonts w:asciiTheme="majorBidi" w:hAnsiTheme="majorBidi" w:cstheme="majorBidi"/>
                <w:sz w:val="22"/>
                <w:szCs w:val="22"/>
              </w:rPr>
              <w:t>rrange for testing of any physical chemistry, toxicological, environmental fate, ecological effects, worker exposure, residue chemistry, environmental chemistry, product performance, and efficacy data required by germane regulations to support registration</w:t>
            </w:r>
            <w:r w:rsidRPr="00C270C5" w:rsidR="00FC7BFE">
              <w:rPr>
                <w:rFonts w:asciiTheme="majorBidi" w:hAnsiTheme="majorBidi" w:cstheme="majorBidi"/>
                <w:sz w:val="22"/>
                <w:szCs w:val="22"/>
              </w:rPr>
              <w:t>;</w:t>
            </w:r>
          </w:p>
          <w:p w:rsidRPr="00C270C5" w:rsidR="00C15D86" w:rsidP="009B774E" w:rsidRDefault="00C15D86" w14:paraId="1DB198C7" w14:textId="77777777">
            <w:pPr>
              <w:rPr>
                <w:rFonts w:asciiTheme="majorBidi" w:hAnsiTheme="majorBidi" w:cstheme="majorBidi"/>
                <w:sz w:val="8"/>
                <w:szCs w:val="8"/>
              </w:rPr>
            </w:pPr>
          </w:p>
        </w:tc>
      </w:tr>
      <w:tr w:rsidRPr="00C270C5" w:rsidR="00C270C5" w:rsidTr="00EF027D" w14:paraId="7797274E" w14:textId="77777777">
        <w:tc>
          <w:tcPr>
            <w:tcW w:w="2708" w:type="dxa"/>
            <w:tcMar>
              <w:top w:w="29" w:type="dxa"/>
              <w:left w:w="115" w:type="dxa"/>
              <w:bottom w:w="29" w:type="dxa"/>
              <w:right w:w="115" w:type="dxa"/>
            </w:tcMar>
          </w:tcPr>
          <w:p w:rsidRPr="00C270C5" w:rsidR="00C47DDD" w:rsidP="009B774E" w:rsidRDefault="00C47DDD" w14:paraId="3BDB5027" w14:textId="77777777">
            <w:pPr>
              <w:rPr>
                <w:rFonts w:asciiTheme="majorBidi" w:hAnsiTheme="majorBidi" w:cstheme="majorBidi"/>
                <w:b/>
              </w:rPr>
            </w:pPr>
            <w:r w:rsidRPr="00C270C5">
              <w:rPr>
                <w:rFonts w:asciiTheme="majorBidi" w:hAnsiTheme="majorBidi" w:cstheme="majorBidi"/>
                <w:b/>
                <w:sz w:val="22"/>
                <w:szCs w:val="22"/>
              </w:rPr>
              <w:t>5. Compile and review</w:t>
            </w:r>
          </w:p>
        </w:tc>
        <w:tc>
          <w:tcPr>
            <w:tcW w:w="6642" w:type="dxa"/>
            <w:tcMar>
              <w:top w:w="29" w:type="dxa"/>
              <w:left w:w="115" w:type="dxa"/>
              <w:bottom w:w="29" w:type="dxa"/>
              <w:right w:w="115" w:type="dxa"/>
            </w:tcMar>
          </w:tcPr>
          <w:p w:rsidRPr="00C270C5" w:rsidR="00C47DDD" w:rsidP="009B774E" w:rsidRDefault="00C47DDD" w14:paraId="679EAE39" w14:textId="77777777">
            <w:pPr>
              <w:rPr>
                <w:rFonts w:asciiTheme="majorBidi" w:hAnsiTheme="majorBidi" w:cstheme="majorBidi"/>
              </w:rPr>
            </w:pPr>
            <w:r w:rsidRPr="00C270C5">
              <w:rPr>
                <w:rFonts w:asciiTheme="majorBidi" w:hAnsiTheme="majorBidi" w:cstheme="majorBidi"/>
                <w:sz w:val="22"/>
                <w:szCs w:val="22"/>
              </w:rPr>
              <w:t>Assemble data, evaluate for accuracy, appropriateness, and completeness;</w:t>
            </w:r>
          </w:p>
          <w:p w:rsidRPr="00C270C5" w:rsidR="00C15D86" w:rsidP="009B774E" w:rsidRDefault="00C15D86" w14:paraId="4D8EBA8A" w14:textId="77777777">
            <w:pPr>
              <w:rPr>
                <w:rFonts w:asciiTheme="majorBidi" w:hAnsiTheme="majorBidi" w:cstheme="majorBidi"/>
                <w:sz w:val="8"/>
                <w:szCs w:val="8"/>
              </w:rPr>
            </w:pPr>
          </w:p>
        </w:tc>
      </w:tr>
      <w:tr w:rsidRPr="00C270C5" w:rsidR="00C270C5" w:rsidTr="00EF027D" w14:paraId="3D9C5189" w14:textId="77777777">
        <w:tc>
          <w:tcPr>
            <w:tcW w:w="2708" w:type="dxa"/>
            <w:tcMar>
              <w:top w:w="29" w:type="dxa"/>
              <w:left w:w="115" w:type="dxa"/>
              <w:bottom w:w="29" w:type="dxa"/>
              <w:right w:w="115" w:type="dxa"/>
            </w:tcMar>
          </w:tcPr>
          <w:p w:rsidRPr="00C270C5" w:rsidR="00C47DDD" w:rsidP="009B774E" w:rsidRDefault="00C47DDD" w14:paraId="7CCBE01B" w14:textId="77777777">
            <w:pPr>
              <w:rPr>
                <w:rFonts w:asciiTheme="majorBidi" w:hAnsiTheme="majorBidi" w:cstheme="majorBidi"/>
                <w:b/>
              </w:rPr>
            </w:pPr>
            <w:r w:rsidRPr="00C270C5">
              <w:rPr>
                <w:rFonts w:asciiTheme="majorBidi" w:hAnsiTheme="majorBidi" w:cstheme="majorBidi"/>
                <w:b/>
                <w:sz w:val="22"/>
                <w:szCs w:val="22"/>
              </w:rPr>
              <w:t>6. Complete paperwork</w:t>
            </w:r>
          </w:p>
        </w:tc>
        <w:tc>
          <w:tcPr>
            <w:tcW w:w="6642" w:type="dxa"/>
            <w:tcMar>
              <w:top w:w="29" w:type="dxa"/>
              <w:left w:w="115" w:type="dxa"/>
              <w:bottom w:w="29" w:type="dxa"/>
              <w:right w:w="115" w:type="dxa"/>
            </w:tcMar>
          </w:tcPr>
          <w:p w:rsidRPr="00C270C5" w:rsidR="00C47DDD" w:rsidP="009B774E" w:rsidRDefault="00C47DDD" w14:paraId="346166EB" w14:textId="77777777">
            <w:pPr>
              <w:rPr>
                <w:rFonts w:asciiTheme="majorBidi" w:hAnsiTheme="majorBidi" w:cstheme="majorBidi"/>
                <w:sz w:val="22"/>
                <w:szCs w:val="22"/>
              </w:rPr>
            </w:pPr>
            <w:r w:rsidRPr="00C270C5">
              <w:rPr>
                <w:rFonts w:asciiTheme="majorBidi" w:hAnsiTheme="majorBidi" w:cstheme="majorBidi"/>
                <w:sz w:val="22"/>
                <w:szCs w:val="22"/>
              </w:rPr>
              <w:t>Complete all appropriate application documents;</w:t>
            </w:r>
          </w:p>
          <w:p w:rsidRPr="00C270C5" w:rsidR="00791649" w:rsidP="009B774E" w:rsidRDefault="00791649" w14:paraId="1E106ED8" w14:textId="77777777">
            <w:pPr>
              <w:rPr>
                <w:rFonts w:asciiTheme="majorBidi" w:hAnsiTheme="majorBidi" w:cstheme="majorBidi"/>
              </w:rPr>
            </w:pPr>
          </w:p>
          <w:p w:rsidRPr="00C270C5" w:rsidR="00C15D86" w:rsidP="009B774E" w:rsidRDefault="00C15D86" w14:paraId="17B609A2" w14:textId="77777777">
            <w:pPr>
              <w:rPr>
                <w:rFonts w:asciiTheme="majorBidi" w:hAnsiTheme="majorBidi" w:cstheme="majorBidi"/>
                <w:sz w:val="8"/>
                <w:szCs w:val="8"/>
              </w:rPr>
            </w:pPr>
          </w:p>
        </w:tc>
      </w:tr>
      <w:tr w:rsidRPr="00C270C5" w:rsidR="00C270C5" w:rsidTr="004159E3" w14:paraId="76776FEB" w14:textId="77777777">
        <w:trPr>
          <w:trHeight w:val="528"/>
        </w:trPr>
        <w:tc>
          <w:tcPr>
            <w:tcW w:w="2708" w:type="dxa"/>
            <w:tcMar>
              <w:top w:w="29" w:type="dxa"/>
              <w:left w:w="115" w:type="dxa"/>
              <w:bottom w:w="29" w:type="dxa"/>
              <w:right w:w="115" w:type="dxa"/>
            </w:tcMar>
          </w:tcPr>
          <w:p w:rsidRPr="00C270C5" w:rsidR="00791649" w:rsidP="009B774E" w:rsidRDefault="00791649" w14:paraId="2BCAEBE3" w14:textId="037697D3">
            <w:pPr>
              <w:rPr>
                <w:rFonts w:asciiTheme="majorBidi" w:hAnsiTheme="majorBidi" w:cstheme="majorBidi"/>
                <w:b/>
                <w:sz w:val="22"/>
                <w:szCs w:val="22"/>
              </w:rPr>
            </w:pPr>
            <w:r w:rsidRPr="00C270C5">
              <w:rPr>
                <w:rFonts w:asciiTheme="majorBidi" w:hAnsiTheme="majorBidi" w:cstheme="majorBidi"/>
                <w:b/>
                <w:sz w:val="22"/>
                <w:szCs w:val="22"/>
              </w:rPr>
              <w:t>7. Submit registration information (application-related material)</w:t>
            </w:r>
          </w:p>
        </w:tc>
        <w:tc>
          <w:tcPr>
            <w:tcW w:w="6642" w:type="dxa"/>
            <w:tcMar>
              <w:top w:w="29" w:type="dxa"/>
              <w:left w:w="115" w:type="dxa"/>
              <w:bottom w:w="29" w:type="dxa"/>
              <w:right w:w="115" w:type="dxa"/>
            </w:tcMar>
          </w:tcPr>
          <w:p w:rsidRPr="00C270C5" w:rsidR="00791649" w:rsidP="009B774E" w:rsidRDefault="004445F4" w14:paraId="22C83A75" w14:textId="433E8EDF">
            <w:pPr>
              <w:rPr>
                <w:rFonts w:asciiTheme="majorBidi" w:hAnsiTheme="majorBidi" w:cstheme="majorBidi"/>
                <w:sz w:val="22"/>
                <w:szCs w:val="22"/>
              </w:rPr>
            </w:pPr>
            <w:r w:rsidRPr="00C270C5">
              <w:rPr>
                <w:rFonts w:asciiTheme="majorBidi" w:hAnsiTheme="majorBidi" w:cstheme="majorBidi"/>
                <w:sz w:val="22"/>
                <w:szCs w:val="22"/>
              </w:rPr>
              <w:t xml:space="preserve">Using </w:t>
            </w:r>
            <w:r w:rsidRPr="00C270C5" w:rsidR="00CB40F4">
              <w:rPr>
                <w:rFonts w:asciiTheme="majorBidi" w:hAnsiTheme="majorBidi" w:cstheme="majorBidi"/>
                <w:sz w:val="22"/>
                <w:szCs w:val="22"/>
              </w:rPr>
              <w:t>preferred option</w:t>
            </w:r>
            <w:r w:rsidRPr="00C270C5">
              <w:rPr>
                <w:rFonts w:asciiTheme="majorBidi" w:hAnsiTheme="majorBidi" w:cstheme="majorBidi"/>
                <w:sz w:val="22"/>
                <w:szCs w:val="22"/>
              </w:rPr>
              <w:t xml:space="preserve"> for registration </w:t>
            </w:r>
            <w:r w:rsidRPr="00C270C5" w:rsidR="00CB40F4">
              <w:rPr>
                <w:rFonts w:asciiTheme="majorBidi" w:hAnsiTheme="majorBidi" w:cstheme="majorBidi"/>
                <w:sz w:val="22"/>
                <w:szCs w:val="22"/>
              </w:rPr>
              <w:t xml:space="preserve">applications, submit required information to the EPA. </w:t>
            </w:r>
          </w:p>
        </w:tc>
      </w:tr>
      <w:tr w:rsidRPr="00C270C5" w:rsidR="00C47DDD" w:rsidTr="00EF027D" w14:paraId="5F603983" w14:textId="77777777">
        <w:trPr>
          <w:trHeight w:val="528"/>
        </w:trPr>
        <w:tc>
          <w:tcPr>
            <w:tcW w:w="2708" w:type="dxa"/>
            <w:tcMar>
              <w:top w:w="29" w:type="dxa"/>
              <w:left w:w="115" w:type="dxa"/>
              <w:bottom w:w="29" w:type="dxa"/>
              <w:right w:w="115" w:type="dxa"/>
            </w:tcMar>
          </w:tcPr>
          <w:p w:rsidRPr="00C270C5" w:rsidR="00C47DDD" w:rsidP="009B774E" w:rsidRDefault="00791649" w14:paraId="30F0CBC3" w14:textId="6990F0D0">
            <w:pPr>
              <w:pStyle w:val="ListParagraph"/>
              <w:numPr>
                <w:ilvl w:val="0"/>
                <w:numId w:val="22"/>
              </w:numPr>
              <w:rPr>
                <w:rFonts w:asciiTheme="majorBidi" w:hAnsiTheme="majorBidi" w:cstheme="majorBidi"/>
                <w:b/>
              </w:rPr>
            </w:pPr>
            <w:r w:rsidRPr="00C270C5">
              <w:rPr>
                <w:rFonts w:asciiTheme="majorBidi" w:hAnsiTheme="majorBidi" w:cstheme="majorBidi"/>
                <w:b/>
                <w:sz w:val="22"/>
                <w:szCs w:val="22"/>
              </w:rPr>
              <w:t>Store/maintain data</w:t>
            </w:r>
          </w:p>
        </w:tc>
        <w:tc>
          <w:tcPr>
            <w:tcW w:w="6642" w:type="dxa"/>
            <w:tcMar>
              <w:top w:w="29" w:type="dxa"/>
              <w:left w:w="115" w:type="dxa"/>
              <w:bottom w:w="29" w:type="dxa"/>
              <w:right w:w="115" w:type="dxa"/>
            </w:tcMar>
          </w:tcPr>
          <w:p w:rsidRPr="00C270C5" w:rsidR="00C47DDD" w:rsidP="009B774E" w:rsidRDefault="00791649" w14:paraId="20C5CD43" w14:textId="2E6D4912">
            <w:pPr>
              <w:rPr>
                <w:rFonts w:asciiTheme="majorBidi" w:hAnsiTheme="majorBidi" w:cstheme="majorBidi"/>
              </w:rPr>
            </w:pPr>
            <w:r w:rsidRPr="00C270C5">
              <w:rPr>
                <w:rFonts w:asciiTheme="majorBidi" w:hAnsiTheme="majorBidi" w:cstheme="majorBidi"/>
                <w:sz w:val="22"/>
                <w:szCs w:val="22"/>
              </w:rPr>
              <w:t>File and maintain copies of all registration data submitted to the Agency.</w:t>
            </w:r>
          </w:p>
        </w:tc>
      </w:tr>
    </w:tbl>
    <w:p w:rsidR="00B67581" w:rsidP="009B774E" w:rsidRDefault="00B67581" w14:paraId="5C4F9E08" w14:textId="77777777">
      <w:pPr>
        <w:rPr>
          <w:rFonts w:asciiTheme="majorBidi" w:hAnsiTheme="majorBidi" w:cstheme="majorBidi"/>
          <w:b/>
        </w:rPr>
      </w:pPr>
    </w:p>
    <w:p w:rsidR="00B67581" w:rsidP="009B774E" w:rsidRDefault="00B67581" w14:paraId="2ABEA958" w14:textId="77777777">
      <w:pPr>
        <w:ind w:left="720" w:hanging="720"/>
        <w:rPr>
          <w:rFonts w:asciiTheme="majorBidi" w:hAnsiTheme="majorBidi" w:cstheme="majorBidi"/>
          <w:b/>
        </w:rPr>
      </w:pPr>
    </w:p>
    <w:p w:rsidRPr="00C270C5" w:rsidR="00C15D86" w:rsidP="009B774E" w:rsidRDefault="00C47DDD" w14:paraId="0F1E753B" w14:textId="756E7D02">
      <w:pPr>
        <w:ind w:left="720" w:hanging="720"/>
        <w:rPr>
          <w:rFonts w:asciiTheme="majorBidi" w:hAnsiTheme="majorBidi" w:cstheme="majorBidi"/>
          <w:b/>
        </w:rPr>
      </w:pPr>
      <w:r w:rsidRPr="00C270C5">
        <w:rPr>
          <w:rFonts w:asciiTheme="majorBidi" w:hAnsiTheme="majorBidi" w:cstheme="majorBidi"/>
          <w:b/>
        </w:rPr>
        <w:t>5.</w:t>
      </w:r>
      <w:r w:rsidRPr="00C270C5">
        <w:rPr>
          <w:rFonts w:asciiTheme="majorBidi" w:hAnsiTheme="majorBidi" w:cstheme="majorBidi"/>
          <w:b/>
        </w:rPr>
        <w:tab/>
      </w:r>
      <w:r w:rsidRPr="00C270C5">
        <w:rPr>
          <w:rFonts w:asciiTheme="majorBidi" w:hAnsiTheme="majorBidi" w:cstheme="majorBidi"/>
          <w:b/>
          <w:u w:val="single"/>
        </w:rPr>
        <w:t>THE INFORMATION COLLECTED – AGENCY ACTIVITIES, COLLECTION METHODOLOGY, AND INFORMATION MANAGEMENT.</w:t>
      </w:r>
    </w:p>
    <w:p w:rsidRPr="00C270C5" w:rsidR="00C15D86" w:rsidP="009B774E" w:rsidRDefault="00C15D86" w14:paraId="1E840026" w14:textId="77777777">
      <w:pPr>
        <w:rPr>
          <w:rFonts w:asciiTheme="majorBidi" w:hAnsiTheme="majorBidi" w:cstheme="majorBidi"/>
        </w:rPr>
      </w:pPr>
    </w:p>
    <w:p w:rsidRPr="00C270C5" w:rsidR="00C15D86" w:rsidP="009B774E" w:rsidRDefault="00C47DDD" w14:paraId="49066F9F" w14:textId="77777777">
      <w:pPr>
        <w:ind w:firstLine="720"/>
        <w:rPr>
          <w:rFonts w:asciiTheme="majorBidi" w:hAnsiTheme="majorBidi" w:cstheme="majorBidi"/>
          <w:b/>
        </w:rPr>
      </w:pPr>
      <w:r w:rsidRPr="00C270C5">
        <w:rPr>
          <w:rFonts w:asciiTheme="majorBidi" w:hAnsiTheme="majorBidi" w:cstheme="majorBidi"/>
          <w:b/>
        </w:rPr>
        <w:t>5(a)</w:t>
      </w:r>
      <w:r w:rsidRPr="00C270C5">
        <w:rPr>
          <w:rFonts w:asciiTheme="majorBidi" w:hAnsiTheme="majorBidi" w:cstheme="majorBidi"/>
          <w:b/>
        </w:rPr>
        <w:tab/>
        <w:t>Agency Activities</w:t>
      </w:r>
    </w:p>
    <w:p w:rsidRPr="00C270C5" w:rsidR="00C15D86" w:rsidP="009B774E" w:rsidRDefault="00C15D86" w14:paraId="16F4FAFC" w14:textId="77777777">
      <w:pPr>
        <w:ind w:firstLine="720"/>
        <w:rPr>
          <w:rFonts w:asciiTheme="majorBidi" w:hAnsiTheme="majorBidi" w:cstheme="majorBidi"/>
          <w:b/>
        </w:rPr>
      </w:pPr>
    </w:p>
    <w:p w:rsidRPr="00C270C5" w:rsidR="00E475AD" w:rsidP="009B774E" w:rsidRDefault="00E475AD" w14:paraId="46B3CBC0" w14:textId="6032C316">
      <w:pPr>
        <w:ind w:firstLine="720"/>
        <w:rPr>
          <w:rFonts w:asciiTheme="majorBidi" w:hAnsiTheme="majorBidi" w:cstheme="majorBidi"/>
        </w:rPr>
      </w:pPr>
      <w:r w:rsidRPr="00C270C5">
        <w:rPr>
          <w:rFonts w:asciiTheme="majorBidi" w:hAnsiTheme="majorBidi" w:cstheme="majorBidi"/>
        </w:rPr>
        <w:t>In general, the degree</w:t>
      </w:r>
      <w:r w:rsidRPr="00C270C5" w:rsidR="004663F4">
        <w:rPr>
          <w:rFonts w:asciiTheme="majorBidi" w:hAnsiTheme="majorBidi" w:cstheme="majorBidi"/>
        </w:rPr>
        <w:t xml:space="preserve"> of</w:t>
      </w:r>
      <w:r w:rsidRPr="00C270C5">
        <w:rPr>
          <w:rFonts w:asciiTheme="majorBidi" w:hAnsiTheme="majorBidi" w:cstheme="majorBidi"/>
        </w:rPr>
        <w:t xml:space="preserve"> Agency activities in the review of data submissions will depend on the complexity of the product being registered, </w:t>
      </w:r>
      <w:r w:rsidRPr="00C270C5" w:rsidR="000C3135">
        <w:rPr>
          <w:rFonts w:asciiTheme="majorBidi" w:hAnsiTheme="majorBidi" w:cstheme="majorBidi"/>
        </w:rPr>
        <w:t xml:space="preserve">the </w:t>
      </w:r>
      <w:r w:rsidRPr="00C270C5" w:rsidR="0074306D">
        <w:rPr>
          <w:rFonts w:asciiTheme="majorBidi" w:hAnsiTheme="majorBidi" w:cstheme="majorBidi"/>
        </w:rPr>
        <w:t>pre</w:t>
      </w:r>
      <w:r w:rsidRPr="00C270C5" w:rsidR="00F46754">
        <w:rPr>
          <w:rFonts w:asciiTheme="majorBidi" w:hAnsiTheme="majorBidi" w:cstheme="majorBidi"/>
        </w:rPr>
        <w:t>-</w:t>
      </w:r>
      <w:r w:rsidRPr="00C270C5" w:rsidR="0074306D">
        <w:rPr>
          <w:rFonts w:asciiTheme="majorBidi" w:hAnsiTheme="majorBidi" w:cstheme="majorBidi"/>
        </w:rPr>
        <w:t xml:space="preserve">application determinations being made, </w:t>
      </w:r>
      <w:r w:rsidRPr="00C270C5">
        <w:rPr>
          <w:rFonts w:asciiTheme="majorBidi" w:hAnsiTheme="majorBidi" w:cstheme="majorBidi"/>
        </w:rPr>
        <w:t>and</w:t>
      </w:r>
      <w:r w:rsidRPr="00C270C5" w:rsidR="00C93EF3">
        <w:rPr>
          <w:rFonts w:asciiTheme="majorBidi" w:hAnsiTheme="majorBidi" w:cstheme="majorBidi"/>
        </w:rPr>
        <w:t>/or</w:t>
      </w:r>
      <w:r w:rsidRPr="00C270C5">
        <w:rPr>
          <w:rFonts w:asciiTheme="majorBidi" w:hAnsiTheme="majorBidi" w:cstheme="majorBidi"/>
        </w:rPr>
        <w:t xml:space="preserve"> whether it is identical or substantially similar to other products already registered. Products containing active ingredients present in currently registered products and proposed for uses currently registered (“me-too” registrations) may require only a minimal review for </w:t>
      </w:r>
      <w:r w:rsidRPr="00C270C5">
        <w:rPr>
          <w:rFonts w:asciiTheme="majorBidi" w:hAnsiTheme="majorBidi" w:cstheme="majorBidi"/>
        </w:rPr>
        <w:lastRenderedPageBreak/>
        <w:t xml:space="preserve">completeness of the application, the adequacy of the labeling, and the satisfaction of data compensation requirements. </w:t>
      </w:r>
    </w:p>
    <w:p w:rsidRPr="00C270C5" w:rsidR="00E475AD" w:rsidP="009B774E" w:rsidRDefault="00E475AD" w14:paraId="7A9C700B" w14:textId="77777777">
      <w:pPr>
        <w:ind w:firstLine="720"/>
        <w:rPr>
          <w:rFonts w:asciiTheme="majorBidi" w:hAnsiTheme="majorBidi" w:cstheme="majorBidi"/>
        </w:rPr>
      </w:pPr>
    </w:p>
    <w:p w:rsidRPr="00C270C5" w:rsidR="00791649" w:rsidP="00DA216C" w:rsidRDefault="00791649" w14:paraId="78735B50" w14:textId="48BCD26C">
      <w:pPr>
        <w:keepNext/>
        <w:rPr>
          <w:rFonts w:asciiTheme="majorBidi" w:hAnsiTheme="majorBidi" w:cstheme="majorBidi"/>
          <w:i/>
          <w:iCs/>
        </w:rPr>
      </w:pPr>
      <w:r w:rsidRPr="00C270C5">
        <w:rPr>
          <w:rFonts w:asciiTheme="majorBidi" w:hAnsiTheme="majorBidi" w:cstheme="majorBidi"/>
          <w:i/>
          <w:iCs/>
        </w:rPr>
        <w:t>New Registrations</w:t>
      </w:r>
    </w:p>
    <w:p w:rsidRPr="00C270C5" w:rsidR="00791649" w:rsidP="00DA216C" w:rsidRDefault="00791649" w14:paraId="7C8300A6" w14:textId="77777777">
      <w:pPr>
        <w:keepNext/>
        <w:ind w:firstLine="720"/>
        <w:rPr>
          <w:rFonts w:asciiTheme="majorBidi" w:hAnsiTheme="majorBidi" w:cstheme="majorBidi"/>
        </w:rPr>
      </w:pPr>
    </w:p>
    <w:p w:rsidRPr="00C270C5" w:rsidR="00E475AD" w:rsidP="009B774E" w:rsidRDefault="00E475AD" w14:paraId="5E835A65" w14:textId="6C0F400C">
      <w:pPr>
        <w:ind w:firstLine="720"/>
        <w:rPr>
          <w:rFonts w:asciiTheme="majorBidi" w:hAnsiTheme="majorBidi" w:cstheme="majorBidi"/>
        </w:rPr>
      </w:pPr>
      <w:r w:rsidRPr="00C270C5">
        <w:rPr>
          <w:rFonts w:asciiTheme="majorBidi" w:hAnsiTheme="majorBidi" w:cstheme="majorBidi"/>
        </w:rPr>
        <w:t xml:space="preserve">A product containing a new active ingredient will require multiple data reviews related to physical chemistry, toxicology, environmental fate, ecological effects, worker exposure, residue chemistry, environmental chemistry, and product performance prior to approval. </w:t>
      </w:r>
      <w:r w:rsidRPr="00C270C5" w:rsidR="005E4C96">
        <w:rPr>
          <w:rFonts w:asciiTheme="majorBidi" w:hAnsiTheme="majorBidi" w:cstheme="majorBidi"/>
        </w:rPr>
        <w:t>Therefore,</w:t>
      </w:r>
      <w:r w:rsidRPr="00C270C5">
        <w:rPr>
          <w:rFonts w:asciiTheme="majorBidi" w:hAnsiTheme="majorBidi" w:cstheme="majorBidi"/>
        </w:rPr>
        <w:t xml:space="preserve"> many divisions may be actively involved in the data analysis and </w:t>
      </w:r>
      <w:r w:rsidRPr="00C270C5" w:rsidR="003E2C2B">
        <w:rPr>
          <w:rFonts w:asciiTheme="majorBidi" w:hAnsiTheme="majorBidi" w:cstheme="majorBidi"/>
        </w:rPr>
        <w:t>A</w:t>
      </w:r>
      <w:r w:rsidRPr="00C270C5">
        <w:rPr>
          <w:rFonts w:asciiTheme="majorBidi" w:hAnsiTheme="majorBidi" w:cstheme="majorBidi"/>
        </w:rPr>
        <w:t>gency determination of OPP registration actions. For conventional pesticides, the application is reviewed by ITRMD, the Registration Division (RD), the Health Effects Division (HED), and the Environmental Fate and Effects Division (EFED), and Biological and Economic Analysis Division (BEAD).</w:t>
      </w:r>
      <w:r w:rsidRPr="00C270C5" w:rsidR="007841AD">
        <w:rPr>
          <w:rFonts w:asciiTheme="majorBidi" w:hAnsiTheme="majorBidi" w:cstheme="majorBidi"/>
        </w:rPr>
        <w:t xml:space="preserve"> </w:t>
      </w:r>
      <w:r w:rsidRPr="00C270C5">
        <w:rPr>
          <w:rFonts w:asciiTheme="majorBidi" w:hAnsiTheme="majorBidi" w:cstheme="majorBidi"/>
        </w:rPr>
        <w:t>For biological/biopesticide pesticides, the application is reviewed by ITRMD, and the Biopesticides and Pollution Prevention Division (BPPD). Applications for antimicrobial pesticide products are reviewed by ITRMD and the Antimicrobials Division (AD). The Agency notifies an applicant when an application is incomplete or is found to be deficient. The applicant is permitted to correct the deficiencies and submit the corrections.</w:t>
      </w:r>
    </w:p>
    <w:p w:rsidRPr="00C270C5" w:rsidR="00E475AD" w:rsidP="009B774E" w:rsidRDefault="00E475AD" w14:paraId="702FAD07" w14:textId="77777777">
      <w:pPr>
        <w:ind w:firstLine="720"/>
        <w:rPr>
          <w:rFonts w:asciiTheme="majorBidi" w:hAnsiTheme="majorBidi" w:cstheme="majorBidi"/>
        </w:rPr>
      </w:pPr>
    </w:p>
    <w:p w:rsidRPr="00C270C5" w:rsidR="00791649" w:rsidP="009B774E" w:rsidRDefault="00791649" w14:paraId="0EE1454A" w14:textId="274A0DBD">
      <w:pPr>
        <w:rPr>
          <w:rFonts w:asciiTheme="majorBidi" w:hAnsiTheme="majorBidi" w:cstheme="majorBidi"/>
          <w:i/>
          <w:iCs/>
        </w:rPr>
      </w:pPr>
      <w:r w:rsidRPr="00C270C5">
        <w:rPr>
          <w:rFonts w:asciiTheme="majorBidi" w:hAnsiTheme="majorBidi" w:cstheme="majorBidi"/>
          <w:i/>
          <w:iCs/>
        </w:rPr>
        <w:t>Reduced Risk Registrations</w:t>
      </w:r>
    </w:p>
    <w:p w:rsidRPr="00C270C5" w:rsidR="00791649" w:rsidP="009B774E" w:rsidRDefault="00791649" w14:paraId="76A4B1E8" w14:textId="77777777">
      <w:pPr>
        <w:rPr>
          <w:rFonts w:asciiTheme="majorBidi" w:hAnsiTheme="majorBidi" w:cstheme="majorBidi"/>
        </w:rPr>
      </w:pPr>
    </w:p>
    <w:p w:rsidRPr="00C270C5" w:rsidR="00E475AD" w:rsidP="009B774E" w:rsidRDefault="00E475AD" w14:paraId="700DEBA9" w14:textId="77777777">
      <w:pPr>
        <w:ind w:firstLine="720"/>
        <w:rPr>
          <w:rFonts w:asciiTheme="majorBidi" w:hAnsiTheme="majorBidi" w:cstheme="majorBidi"/>
        </w:rPr>
      </w:pPr>
      <w:r w:rsidRPr="00C270C5">
        <w:rPr>
          <w:rFonts w:asciiTheme="majorBidi" w:hAnsiTheme="majorBidi" w:cstheme="majorBidi"/>
        </w:rPr>
        <w:t>Registrants submitting registration applications for new pesticide products that may fall within the scope of the Reduced-Risk Initiative may provide a written rationale with any supporting information on why their pesticide may qualify for special consideration. This rationale with supporting information will be reviewed and evaluated and, if the pesticide demonstrates the opportunity for risk reduction, the EPA uses this finding as a factor in determining a shorter review time. This policy specifies the standard format for registrants to use when providing justification for a reduced-risk pesticide to facilitate efficient processing within OPP.</w:t>
      </w:r>
    </w:p>
    <w:p w:rsidRPr="00C270C5" w:rsidR="00E475AD" w:rsidP="009B774E" w:rsidRDefault="00E475AD" w14:paraId="6116B7FD" w14:textId="77777777">
      <w:pPr>
        <w:ind w:firstLine="720"/>
        <w:rPr>
          <w:rFonts w:asciiTheme="majorBidi" w:hAnsiTheme="majorBidi" w:cstheme="majorBidi"/>
        </w:rPr>
      </w:pPr>
    </w:p>
    <w:p w:rsidRPr="00C270C5" w:rsidR="00791649" w:rsidP="009B774E" w:rsidRDefault="00791649" w14:paraId="5EFDDA42" w14:textId="4637B8AF">
      <w:pPr>
        <w:rPr>
          <w:rFonts w:asciiTheme="majorBidi" w:hAnsiTheme="majorBidi" w:cstheme="majorBidi"/>
          <w:i/>
          <w:iCs/>
        </w:rPr>
      </w:pPr>
      <w:r w:rsidRPr="00C270C5">
        <w:rPr>
          <w:rFonts w:asciiTheme="majorBidi" w:hAnsiTheme="majorBidi" w:cstheme="majorBidi"/>
          <w:i/>
          <w:iCs/>
        </w:rPr>
        <w:t>Amendments</w:t>
      </w:r>
    </w:p>
    <w:p w:rsidRPr="00C270C5" w:rsidR="00791649" w:rsidP="009B774E" w:rsidRDefault="00791649" w14:paraId="7ADB32C5" w14:textId="77777777">
      <w:pPr>
        <w:rPr>
          <w:rFonts w:asciiTheme="majorBidi" w:hAnsiTheme="majorBidi" w:cstheme="majorBidi"/>
        </w:rPr>
      </w:pPr>
    </w:p>
    <w:p w:rsidRPr="00C270C5" w:rsidR="00E475AD" w:rsidP="009B774E" w:rsidRDefault="00E475AD" w14:paraId="3F9D6005" w14:textId="2C779335">
      <w:pPr>
        <w:ind w:firstLine="720"/>
        <w:rPr>
          <w:rFonts w:asciiTheme="majorBidi" w:hAnsiTheme="majorBidi" w:cstheme="majorBidi"/>
        </w:rPr>
      </w:pPr>
      <w:r w:rsidRPr="00C270C5">
        <w:rPr>
          <w:rFonts w:asciiTheme="majorBidi" w:hAnsiTheme="majorBidi" w:cstheme="majorBidi"/>
        </w:rPr>
        <w:t>Once issued, a registration also may be amended in various ways, such as adding or deleting uses, modifying the labeling, or altering the product composition in minor ways. To request these changes, the registrant is required to submit an application for amended registration on EPA Form 8570-1, along with all appropriate additional forms, labeling and supporting data.</w:t>
      </w:r>
      <w:r w:rsidRPr="00C270C5" w:rsidR="007841AD">
        <w:rPr>
          <w:rFonts w:asciiTheme="majorBidi" w:hAnsiTheme="majorBidi" w:cstheme="majorBidi"/>
        </w:rPr>
        <w:t xml:space="preserve"> </w:t>
      </w:r>
    </w:p>
    <w:p w:rsidRPr="00C270C5" w:rsidR="00E475AD" w:rsidP="009B774E" w:rsidRDefault="00E475AD" w14:paraId="13796401" w14:textId="77777777">
      <w:pPr>
        <w:rPr>
          <w:rFonts w:asciiTheme="majorBidi" w:hAnsiTheme="majorBidi" w:cstheme="majorBidi"/>
        </w:rPr>
      </w:pPr>
    </w:p>
    <w:p w:rsidRPr="00C270C5" w:rsidR="00791649" w:rsidP="009B774E" w:rsidRDefault="00791649" w14:paraId="62B4FAFF" w14:textId="36FAAE5C">
      <w:pPr>
        <w:rPr>
          <w:rFonts w:asciiTheme="majorBidi" w:hAnsiTheme="majorBidi" w:cstheme="majorBidi"/>
          <w:i/>
          <w:iCs/>
        </w:rPr>
      </w:pPr>
      <w:r w:rsidRPr="00C270C5">
        <w:rPr>
          <w:rFonts w:asciiTheme="majorBidi" w:hAnsiTheme="majorBidi" w:cstheme="majorBidi"/>
          <w:i/>
          <w:iCs/>
        </w:rPr>
        <w:t>Notifications</w:t>
      </w:r>
    </w:p>
    <w:p w:rsidRPr="00C270C5" w:rsidR="00791649" w:rsidP="009B774E" w:rsidRDefault="00791649" w14:paraId="540DF847" w14:textId="77777777">
      <w:pPr>
        <w:rPr>
          <w:rFonts w:asciiTheme="majorBidi" w:hAnsiTheme="majorBidi" w:cstheme="majorBidi"/>
        </w:rPr>
      </w:pPr>
    </w:p>
    <w:p w:rsidRPr="00C270C5" w:rsidR="00E475AD" w:rsidP="009B774E" w:rsidRDefault="00E475AD" w14:paraId="32FE3914" w14:textId="1D22FDA3">
      <w:pPr>
        <w:ind w:firstLine="720"/>
        <w:rPr>
          <w:rFonts w:asciiTheme="majorBidi" w:hAnsiTheme="majorBidi" w:cstheme="majorBidi"/>
        </w:rPr>
      </w:pPr>
      <w:r w:rsidRPr="00C270C5">
        <w:rPr>
          <w:rFonts w:asciiTheme="majorBidi" w:hAnsiTheme="majorBidi" w:cstheme="majorBidi"/>
        </w:rPr>
        <w:t>Notifications are registration modifications</w:t>
      </w:r>
      <w:r w:rsidRPr="00C270C5" w:rsidR="000E5B09">
        <w:rPr>
          <w:rFonts w:asciiTheme="majorBidi" w:hAnsiTheme="majorBidi" w:cstheme="majorBidi"/>
        </w:rPr>
        <w:t xml:space="preserve"> </w:t>
      </w:r>
      <w:r w:rsidRPr="00C270C5">
        <w:rPr>
          <w:rFonts w:asciiTheme="majorBidi" w:hAnsiTheme="majorBidi" w:cstheme="majorBidi"/>
        </w:rPr>
        <w:t>that require the shortest review and approval or denial time.</w:t>
      </w:r>
      <w:r w:rsidRPr="00C270C5" w:rsidR="007841AD">
        <w:rPr>
          <w:rFonts w:asciiTheme="majorBidi" w:hAnsiTheme="majorBidi" w:cstheme="majorBidi"/>
        </w:rPr>
        <w:t xml:space="preserve"> </w:t>
      </w:r>
      <w:r w:rsidRPr="00C270C5">
        <w:rPr>
          <w:rFonts w:asciiTheme="majorBidi" w:hAnsiTheme="majorBidi" w:cstheme="majorBidi"/>
        </w:rPr>
        <w:t>Unlike a new active ingredient or a new use, Notifications are reviewed only by the division responsible for registering the product.</w:t>
      </w:r>
    </w:p>
    <w:p w:rsidR="009974D2" w:rsidP="009B774E" w:rsidRDefault="009974D2" w14:paraId="1DEB87DF" w14:textId="6E064958">
      <w:pPr>
        <w:rPr>
          <w:rFonts w:asciiTheme="majorBidi" w:hAnsiTheme="majorBidi" w:cstheme="majorBidi"/>
        </w:rPr>
      </w:pPr>
    </w:p>
    <w:p w:rsidRPr="00C270C5" w:rsidR="003465CC" w:rsidP="009B774E" w:rsidRDefault="003465CC" w14:paraId="7D135708" w14:textId="77777777">
      <w:pPr>
        <w:rPr>
          <w:rFonts w:asciiTheme="majorBidi" w:hAnsiTheme="majorBidi" w:cstheme="majorBidi"/>
          <w:i/>
          <w:iCs/>
        </w:rPr>
      </w:pPr>
      <w:r w:rsidRPr="00C270C5">
        <w:rPr>
          <w:rFonts w:asciiTheme="majorBidi" w:hAnsiTheme="majorBidi" w:cstheme="majorBidi"/>
          <w:i/>
          <w:iCs/>
        </w:rPr>
        <w:t>Exemptions</w:t>
      </w:r>
      <w:r w:rsidRPr="00C270C5">
        <w:rPr>
          <w:rFonts w:asciiTheme="majorBidi" w:hAnsiTheme="majorBidi" w:cstheme="majorBidi"/>
          <w:i/>
          <w:iCs/>
        </w:rPr>
        <w:br/>
      </w:r>
    </w:p>
    <w:p w:rsidRPr="00C270C5" w:rsidR="003465CC" w:rsidP="009B774E" w:rsidRDefault="003465CC" w14:paraId="69FEBFCC" w14:textId="0D1D9B07">
      <w:pPr>
        <w:rPr>
          <w:rFonts w:asciiTheme="majorBidi" w:hAnsiTheme="majorBidi" w:cstheme="majorBidi"/>
          <w:iCs/>
        </w:rPr>
      </w:pPr>
      <w:r w:rsidRPr="00C270C5">
        <w:rPr>
          <w:rFonts w:asciiTheme="majorBidi" w:hAnsiTheme="majorBidi" w:cstheme="majorBidi"/>
          <w:iCs/>
        </w:rPr>
        <w:lastRenderedPageBreak/>
        <w:tab/>
      </w:r>
      <w:r w:rsidRPr="00C270C5" w:rsidR="00932424">
        <w:rPr>
          <w:rFonts w:asciiTheme="majorBidi" w:hAnsiTheme="majorBidi" w:cstheme="majorBidi"/>
          <w:iCs/>
        </w:rPr>
        <w:t xml:space="preserve">EPA </w:t>
      </w:r>
      <w:r w:rsidRPr="00C270C5">
        <w:rPr>
          <w:rFonts w:asciiTheme="majorBidi" w:hAnsiTheme="majorBidi" w:cstheme="majorBidi"/>
          <w:iCs/>
        </w:rPr>
        <w:t>review</w:t>
      </w:r>
      <w:r w:rsidRPr="00C270C5" w:rsidR="00932424">
        <w:rPr>
          <w:rFonts w:asciiTheme="majorBidi" w:hAnsiTheme="majorBidi" w:cstheme="majorBidi"/>
          <w:iCs/>
        </w:rPr>
        <w:t>s applications</w:t>
      </w:r>
      <w:r w:rsidRPr="00C270C5" w:rsidR="00AA7393">
        <w:rPr>
          <w:rFonts w:asciiTheme="majorBidi" w:hAnsiTheme="majorBidi" w:cstheme="majorBidi"/>
          <w:iCs/>
        </w:rPr>
        <w:t xml:space="preserve"> for exemptions</w:t>
      </w:r>
      <w:r w:rsidRPr="00C270C5" w:rsidR="00932424">
        <w:rPr>
          <w:rFonts w:asciiTheme="majorBidi" w:hAnsiTheme="majorBidi" w:cstheme="majorBidi"/>
          <w:iCs/>
        </w:rPr>
        <w:t xml:space="preserve"> and</w:t>
      </w:r>
      <w:r w:rsidRPr="00C270C5" w:rsidR="009522AA">
        <w:rPr>
          <w:rFonts w:asciiTheme="majorBidi" w:hAnsiTheme="majorBidi" w:cstheme="majorBidi"/>
          <w:iCs/>
        </w:rPr>
        <w:t>,</w:t>
      </w:r>
      <w:r w:rsidRPr="00C270C5" w:rsidR="00932424">
        <w:rPr>
          <w:rFonts w:asciiTheme="majorBidi" w:hAnsiTheme="majorBidi" w:cstheme="majorBidi"/>
          <w:iCs/>
        </w:rPr>
        <w:t xml:space="preserve"> </w:t>
      </w:r>
      <w:r w:rsidRPr="00C270C5" w:rsidR="000805A5">
        <w:rPr>
          <w:rFonts w:asciiTheme="majorBidi" w:hAnsiTheme="majorBidi" w:cstheme="majorBidi"/>
          <w:iCs/>
        </w:rPr>
        <w:t xml:space="preserve">if it is </w:t>
      </w:r>
      <w:r w:rsidRPr="00C270C5">
        <w:rPr>
          <w:rFonts w:asciiTheme="majorBidi" w:hAnsiTheme="majorBidi" w:cstheme="majorBidi"/>
          <w:iCs/>
        </w:rPr>
        <w:t>determined that the application qualifies, the product will be exempted from the requirements of registration under FIFRA and/or</w:t>
      </w:r>
      <w:r w:rsidRPr="00C270C5" w:rsidR="009522AA">
        <w:rPr>
          <w:rFonts w:asciiTheme="majorBidi" w:hAnsiTheme="majorBidi" w:cstheme="majorBidi"/>
          <w:iCs/>
        </w:rPr>
        <w:t xml:space="preserve"> receive</w:t>
      </w:r>
      <w:r w:rsidRPr="00C270C5">
        <w:rPr>
          <w:rFonts w:asciiTheme="majorBidi" w:hAnsiTheme="majorBidi" w:cstheme="majorBidi"/>
          <w:iCs/>
        </w:rPr>
        <w:t xml:space="preserve"> a tolerance or tolerance exemption under FFDCA.</w:t>
      </w:r>
    </w:p>
    <w:p w:rsidRPr="00C270C5" w:rsidR="00E475AD" w:rsidP="009B774E" w:rsidRDefault="00E475AD" w14:paraId="5DE08F60" w14:textId="77777777">
      <w:pPr>
        <w:rPr>
          <w:rFonts w:asciiTheme="majorBidi" w:hAnsiTheme="majorBidi" w:cstheme="majorBidi"/>
        </w:rPr>
      </w:pPr>
    </w:p>
    <w:p w:rsidRPr="00C270C5" w:rsidR="00791649" w:rsidP="00DA216C" w:rsidRDefault="00791649" w14:paraId="49FFCED8" w14:textId="5ADE1AAD">
      <w:pPr>
        <w:keepNext/>
        <w:rPr>
          <w:rFonts w:asciiTheme="majorBidi" w:hAnsiTheme="majorBidi" w:cstheme="majorBidi"/>
          <w:i/>
          <w:iCs/>
        </w:rPr>
      </w:pPr>
      <w:r w:rsidRPr="00C270C5">
        <w:rPr>
          <w:rFonts w:asciiTheme="majorBidi" w:hAnsiTheme="majorBidi" w:cstheme="majorBidi"/>
          <w:i/>
          <w:iCs/>
        </w:rPr>
        <w:t>Label Approvals</w:t>
      </w:r>
    </w:p>
    <w:p w:rsidRPr="00C270C5" w:rsidR="00791649" w:rsidP="009B774E" w:rsidRDefault="00791649" w14:paraId="75AF22FC" w14:textId="77777777">
      <w:pPr>
        <w:rPr>
          <w:rFonts w:asciiTheme="majorBidi" w:hAnsiTheme="majorBidi" w:cstheme="majorBidi"/>
        </w:rPr>
      </w:pPr>
    </w:p>
    <w:p w:rsidRPr="00C270C5" w:rsidR="00E475AD" w:rsidP="009B774E" w:rsidRDefault="00E475AD" w14:paraId="0AE95149" w14:textId="622C5CEC">
      <w:pPr>
        <w:ind w:firstLine="720"/>
        <w:rPr>
          <w:rFonts w:asciiTheme="majorBidi" w:hAnsiTheme="majorBidi" w:cstheme="majorBidi"/>
        </w:rPr>
      </w:pPr>
      <w:r w:rsidRPr="00C270C5">
        <w:rPr>
          <w:rFonts w:asciiTheme="majorBidi" w:hAnsiTheme="majorBidi" w:cstheme="majorBidi"/>
        </w:rPr>
        <w:t>Label reviews are most often accomplished by a Product Manager, or Team Leader, in one of the three regulatory divisions within EPA’s Office of Pesticide Programs responsible for pesticide registration: RD, AD, and BPPD.</w:t>
      </w:r>
      <w:r w:rsidRPr="00C270C5" w:rsidR="007841AD">
        <w:rPr>
          <w:rFonts w:asciiTheme="majorBidi" w:hAnsiTheme="majorBidi" w:cstheme="majorBidi"/>
        </w:rPr>
        <w:t xml:space="preserve"> </w:t>
      </w:r>
      <w:r w:rsidRPr="00C270C5">
        <w:rPr>
          <w:rFonts w:asciiTheme="majorBidi" w:hAnsiTheme="majorBidi" w:cstheme="majorBidi"/>
        </w:rPr>
        <w:t>These divisions ensure that revisions comply with the applicable labeling requirement or guidance.</w:t>
      </w:r>
    </w:p>
    <w:p w:rsidRPr="00C270C5" w:rsidR="00E475AD" w:rsidP="009B774E" w:rsidRDefault="00E475AD" w14:paraId="33E01737" w14:textId="77777777">
      <w:pPr>
        <w:ind w:firstLine="720"/>
        <w:rPr>
          <w:rFonts w:asciiTheme="majorBidi" w:hAnsiTheme="majorBidi" w:cstheme="majorBidi"/>
        </w:rPr>
      </w:pPr>
    </w:p>
    <w:p w:rsidRPr="00C270C5" w:rsidR="00C15D86" w:rsidP="009B774E" w:rsidRDefault="00F167B3" w14:paraId="4F4D4F51" w14:textId="1D25FC47">
      <w:pPr>
        <w:ind w:firstLine="720"/>
        <w:rPr>
          <w:rFonts w:asciiTheme="majorBidi" w:hAnsiTheme="majorBidi" w:cstheme="majorBidi"/>
        </w:rPr>
      </w:pPr>
      <w:r w:rsidRPr="00C270C5">
        <w:rPr>
          <w:rFonts w:asciiTheme="majorBidi" w:hAnsiTheme="majorBidi" w:cstheme="majorBidi"/>
        </w:rPr>
        <w:t xml:space="preserve">A general category of </w:t>
      </w:r>
      <w:r w:rsidRPr="00C270C5" w:rsidR="00C47DDD">
        <w:rPr>
          <w:rFonts w:asciiTheme="majorBidi" w:hAnsiTheme="majorBidi" w:cstheme="majorBidi"/>
        </w:rPr>
        <w:t>OPP</w:t>
      </w:r>
      <w:r w:rsidRPr="00C270C5" w:rsidR="00E82894">
        <w:rPr>
          <w:rFonts w:asciiTheme="majorBidi" w:hAnsiTheme="majorBidi" w:cstheme="majorBidi"/>
        </w:rPr>
        <w:t>’s</w:t>
      </w:r>
      <w:r w:rsidRPr="00C270C5" w:rsidR="00C47DDD">
        <w:rPr>
          <w:rFonts w:asciiTheme="majorBidi" w:hAnsiTheme="majorBidi" w:cstheme="majorBidi"/>
        </w:rPr>
        <w:t xml:space="preserve"> activities </w:t>
      </w:r>
      <w:r w:rsidRPr="00C270C5">
        <w:rPr>
          <w:rFonts w:asciiTheme="majorBidi" w:hAnsiTheme="majorBidi" w:cstheme="majorBidi"/>
        </w:rPr>
        <w:t xml:space="preserve">related to the </w:t>
      </w:r>
      <w:r w:rsidRPr="00C270C5" w:rsidR="00C47DDD">
        <w:rPr>
          <w:rFonts w:asciiTheme="majorBidi" w:hAnsiTheme="majorBidi" w:cstheme="majorBidi"/>
        </w:rPr>
        <w:t>information</w:t>
      </w:r>
      <w:r w:rsidRPr="00C270C5" w:rsidR="00E82894">
        <w:rPr>
          <w:rFonts w:asciiTheme="majorBidi" w:hAnsiTheme="majorBidi" w:cstheme="majorBidi"/>
        </w:rPr>
        <w:t xml:space="preserve"> collection </w:t>
      </w:r>
      <w:r w:rsidRPr="00C270C5">
        <w:rPr>
          <w:rFonts w:asciiTheme="majorBidi" w:hAnsiTheme="majorBidi" w:cstheme="majorBidi"/>
        </w:rPr>
        <w:t>described</w:t>
      </w:r>
      <w:r w:rsidRPr="00C270C5" w:rsidR="00C47DDD">
        <w:rPr>
          <w:rFonts w:asciiTheme="majorBidi" w:hAnsiTheme="majorBidi" w:cstheme="majorBidi"/>
        </w:rPr>
        <w:t xml:space="preserve"> in this ICR </w:t>
      </w:r>
      <w:r w:rsidRPr="00C270C5">
        <w:rPr>
          <w:rFonts w:asciiTheme="majorBidi" w:hAnsiTheme="majorBidi" w:cstheme="majorBidi"/>
        </w:rPr>
        <w:t xml:space="preserve">is </w:t>
      </w:r>
      <w:r w:rsidRPr="00C270C5" w:rsidR="00C47DDD">
        <w:rPr>
          <w:rFonts w:asciiTheme="majorBidi" w:hAnsiTheme="majorBidi" w:cstheme="majorBidi"/>
        </w:rPr>
        <w:t xml:space="preserve">summarized </w:t>
      </w:r>
      <w:r w:rsidRPr="00C270C5">
        <w:rPr>
          <w:rFonts w:asciiTheme="majorBidi" w:hAnsiTheme="majorBidi" w:cstheme="majorBidi"/>
        </w:rPr>
        <w:t>below</w:t>
      </w:r>
      <w:r w:rsidRPr="00C270C5" w:rsidR="00C47DDD">
        <w:rPr>
          <w:rFonts w:asciiTheme="majorBidi" w:hAnsiTheme="majorBidi" w:cstheme="majorBidi"/>
        </w:rPr>
        <w:t>:</w:t>
      </w:r>
    </w:p>
    <w:p w:rsidRPr="00C270C5" w:rsidR="00C15D86" w:rsidP="009B774E" w:rsidRDefault="00C15D86" w14:paraId="63E8B1FC" w14:textId="77777777">
      <w:pPr>
        <w:rPr>
          <w:rFonts w:asciiTheme="majorBidi" w:hAnsiTheme="majorBidi" w:cstheme="majorBidi"/>
        </w:rPr>
      </w:pPr>
    </w:p>
    <w:p w:rsidRPr="00C270C5" w:rsidR="00C15D86" w:rsidP="009B774E" w:rsidRDefault="00C47DDD" w14:paraId="71010F66" w14:textId="77777777">
      <w:pPr>
        <w:numPr>
          <w:ilvl w:val="0"/>
          <w:numId w:val="8"/>
        </w:numPr>
        <w:ind w:left="360"/>
        <w:rPr>
          <w:rFonts w:asciiTheme="majorBidi" w:hAnsiTheme="majorBidi" w:cstheme="majorBidi"/>
        </w:rPr>
      </w:pPr>
      <w:r w:rsidRPr="00C270C5">
        <w:rPr>
          <w:rFonts w:asciiTheme="majorBidi" w:hAnsiTheme="majorBidi" w:cstheme="majorBidi"/>
        </w:rPr>
        <w:t>Receive Application</w:t>
      </w:r>
    </w:p>
    <w:p w:rsidRPr="00C270C5" w:rsidR="007A6470" w:rsidP="009B774E" w:rsidRDefault="007A6470" w14:paraId="4F7B6607" w14:textId="77777777">
      <w:pPr>
        <w:rPr>
          <w:rFonts w:asciiTheme="majorBidi" w:hAnsiTheme="majorBidi" w:cstheme="majorBidi"/>
        </w:rPr>
      </w:pPr>
    </w:p>
    <w:p w:rsidRPr="00C270C5" w:rsidR="00C15D86" w:rsidP="009B774E" w:rsidRDefault="00C47DDD" w14:paraId="50B8A9C0" w14:textId="571C977C">
      <w:pPr>
        <w:ind w:left="360"/>
        <w:rPr>
          <w:rFonts w:asciiTheme="majorBidi" w:hAnsiTheme="majorBidi" w:cstheme="majorBidi"/>
        </w:rPr>
      </w:pPr>
      <w:r w:rsidRPr="00C270C5">
        <w:rPr>
          <w:rFonts w:asciiTheme="majorBidi" w:hAnsiTheme="majorBidi" w:cstheme="majorBidi"/>
        </w:rPr>
        <w:t>The pesticide registration application package, complete with the required forms, necessary data, and proposed labels, is received by the Front-End Processing Unit in the Information Technology and Resources Management Division (ITRMD).</w:t>
      </w:r>
      <w:r w:rsidRPr="00C270C5" w:rsidR="007841AD">
        <w:rPr>
          <w:rFonts w:asciiTheme="majorBidi" w:hAnsiTheme="majorBidi" w:cstheme="majorBidi"/>
        </w:rPr>
        <w:t xml:space="preserve"> </w:t>
      </w:r>
      <w:r w:rsidRPr="00C270C5">
        <w:rPr>
          <w:rFonts w:asciiTheme="majorBidi" w:hAnsiTheme="majorBidi" w:cstheme="majorBidi"/>
        </w:rPr>
        <w:t xml:space="preserve">After screening the application for administrative completeness, ITRMD refers the complete application and any accompanying data to the appropriate regulatory division. ITRMD is responsible for entering the registration action into </w:t>
      </w:r>
      <w:r w:rsidRPr="00C270C5" w:rsidR="001F216E">
        <w:rPr>
          <w:rFonts w:asciiTheme="majorBidi" w:hAnsiTheme="majorBidi" w:eastAsiaTheme="minorHAnsi" w:cstheme="majorBidi"/>
        </w:rPr>
        <w:t xml:space="preserve">OPP’s </w:t>
      </w:r>
      <w:r w:rsidRPr="00C270C5" w:rsidR="000D678A">
        <w:rPr>
          <w:rFonts w:asciiTheme="majorBidi" w:hAnsiTheme="majorBidi" w:eastAsiaTheme="minorHAnsi" w:cstheme="majorBidi"/>
        </w:rPr>
        <w:t xml:space="preserve">central </w:t>
      </w:r>
      <w:r w:rsidRPr="00C270C5" w:rsidR="000D678A">
        <w:rPr>
          <w:rFonts w:asciiTheme="majorBidi" w:hAnsiTheme="majorBidi" w:cstheme="majorBidi"/>
        </w:rPr>
        <w:t>tracking</w:t>
      </w:r>
      <w:r w:rsidRPr="00C270C5">
        <w:rPr>
          <w:rFonts w:asciiTheme="majorBidi" w:hAnsiTheme="majorBidi" w:cstheme="majorBidi"/>
        </w:rPr>
        <w:t xml:space="preserve"> </w:t>
      </w:r>
      <w:r w:rsidRPr="00C270C5" w:rsidR="001F216E">
        <w:rPr>
          <w:rFonts w:asciiTheme="majorBidi" w:hAnsiTheme="majorBidi" w:cstheme="majorBidi"/>
        </w:rPr>
        <w:t xml:space="preserve">database </w:t>
      </w:r>
      <w:r w:rsidRPr="00C270C5" w:rsidR="001F216E">
        <w:rPr>
          <w:rFonts w:asciiTheme="majorBidi" w:hAnsiTheme="majorBidi" w:eastAsiaTheme="minorHAnsi" w:cstheme="majorBidi"/>
        </w:rPr>
        <w:t>system, called OPPIN</w:t>
      </w:r>
      <w:r w:rsidRPr="00C270C5">
        <w:rPr>
          <w:rFonts w:asciiTheme="majorBidi" w:hAnsiTheme="majorBidi" w:cstheme="majorBidi"/>
        </w:rPr>
        <w:t>. If the application form is accompanied by data to support the registration application (e.g., new active ingredients and new uses), ITRMD will forward the registration data package to a contractor for inputting into the tracking database. After this is completed, the data package is routed to the appropriate regulatory division for processing.</w:t>
      </w:r>
    </w:p>
    <w:p w:rsidRPr="00C270C5" w:rsidR="00C15D86" w:rsidP="009B774E" w:rsidRDefault="00C15D86" w14:paraId="57550197" w14:textId="77777777">
      <w:pPr>
        <w:rPr>
          <w:rFonts w:asciiTheme="majorBidi" w:hAnsiTheme="majorBidi" w:cstheme="majorBidi"/>
        </w:rPr>
      </w:pPr>
    </w:p>
    <w:p w:rsidRPr="00C270C5" w:rsidR="00C15D86" w:rsidP="009B774E" w:rsidRDefault="00C47DDD" w14:paraId="732AEBB3" w14:textId="77777777">
      <w:pPr>
        <w:numPr>
          <w:ilvl w:val="0"/>
          <w:numId w:val="8"/>
        </w:numPr>
        <w:ind w:left="360"/>
        <w:rPr>
          <w:rFonts w:asciiTheme="majorBidi" w:hAnsiTheme="majorBidi" w:cstheme="majorBidi"/>
        </w:rPr>
      </w:pPr>
      <w:r w:rsidRPr="00C270C5">
        <w:rPr>
          <w:rFonts w:asciiTheme="majorBidi" w:hAnsiTheme="majorBidi" w:cstheme="majorBidi"/>
        </w:rPr>
        <w:t>Review Application</w:t>
      </w:r>
    </w:p>
    <w:p w:rsidRPr="00C270C5" w:rsidR="00F167B3" w:rsidP="009B774E" w:rsidRDefault="00F167B3" w14:paraId="28801178" w14:textId="77777777">
      <w:pPr>
        <w:ind w:left="360"/>
        <w:rPr>
          <w:rFonts w:asciiTheme="majorBidi" w:hAnsiTheme="majorBidi" w:cstheme="majorBidi"/>
        </w:rPr>
      </w:pPr>
    </w:p>
    <w:p w:rsidRPr="00C270C5" w:rsidR="00E475AD" w:rsidP="009B774E" w:rsidRDefault="00F167B3" w14:paraId="03AC9562" w14:textId="77777777">
      <w:pPr>
        <w:ind w:left="360"/>
        <w:rPr>
          <w:rFonts w:asciiTheme="majorBidi" w:hAnsiTheme="majorBidi" w:cstheme="majorBidi"/>
        </w:rPr>
      </w:pPr>
      <w:r w:rsidRPr="00C270C5">
        <w:rPr>
          <w:rFonts w:asciiTheme="majorBidi" w:hAnsiTheme="majorBidi" w:cstheme="majorBidi"/>
        </w:rPr>
        <w:t>The regulatory division</w:t>
      </w:r>
      <w:r w:rsidRPr="00C270C5" w:rsidR="00E475AD">
        <w:rPr>
          <w:rFonts w:asciiTheme="majorBidi" w:hAnsiTheme="majorBidi" w:cstheme="majorBidi"/>
        </w:rPr>
        <w:t xml:space="preserve">s, based on the registration action, assign the packages for appropriate evaluation. Each scientific discipline reviews the data and may develop a Data Evaluation Report (DER) and appropriate risk assessments that summarize the data review. </w:t>
      </w:r>
    </w:p>
    <w:p w:rsidRPr="00C270C5" w:rsidR="00E475AD" w:rsidP="009B774E" w:rsidRDefault="00E475AD" w14:paraId="60FB83D0" w14:textId="77777777">
      <w:pPr>
        <w:ind w:left="360"/>
        <w:rPr>
          <w:rFonts w:asciiTheme="majorBidi" w:hAnsiTheme="majorBidi" w:cstheme="majorBidi"/>
        </w:rPr>
      </w:pPr>
    </w:p>
    <w:p w:rsidRPr="00C270C5" w:rsidR="00C15D86" w:rsidP="009B774E" w:rsidRDefault="00C47DDD" w14:paraId="1ED70817" w14:textId="5914D55E">
      <w:pPr>
        <w:ind w:left="360"/>
        <w:rPr>
          <w:rFonts w:asciiTheme="majorBidi" w:hAnsiTheme="majorBidi" w:cstheme="majorBidi"/>
        </w:rPr>
      </w:pPr>
      <w:r w:rsidRPr="00C270C5">
        <w:rPr>
          <w:rFonts w:asciiTheme="majorBidi" w:hAnsiTheme="majorBidi" w:cstheme="majorBidi"/>
        </w:rPr>
        <w:t>If the registration application is clearly for a “me-too” pesticide product or use, then the product may be registered on an expedited basis by the reviewer. If its similarity to a pesticide currently registered by the EPA is questionable, it may be sent for a short interdisciplinary review. The Program Manager or Team Leader ensures that the database is updated by identifying where it is sent for review.</w:t>
      </w:r>
      <w:r w:rsidRPr="00C270C5" w:rsidR="00F167B3">
        <w:rPr>
          <w:rFonts w:asciiTheme="majorBidi" w:hAnsiTheme="majorBidi" w:cstheme="majorBidi"/>
        </w:rPr>
        <w:t xml:space="preserve"> </w:t>
      </w:r>
      <w:r w:rsidRPr="00C270C5">
        <w:rPr>
          <w:rFonts w:asciiTheme="majorBidi" w:hAnsiTheme="majorBidi" w:cstheme="majorBidi"/>
        </w:rPr>
        <w:t xml:space="preserve">If the registration action is clearly not for a “me-too” pesticide product or use, then </w:t>
      </w:r>
      <w:r w:rsidRPr="00C270C5" w:rsidR="00E92832">
        <w:rPr>
          <w:rFonts w:asciiTheme="majorBidi" w:hAnsiTheme="majorBidi" w:cstheme="majorBidi"/>
        </w:rPr>
        <w:t>action is taken to correct the assignment of the registration action and to route</w:t>
      </w:r>
      <w:r w:rsidRPr="00C270C5">
        <w:rPr>
          <w:rFonts w:asciiTheme="majorBidi" w:hAnsiTheme="majorBidi" w:cstheme="majorBidi"/>
        </w:rPr>
        <w:t xml:space="preserve"> the data to the appropriate scientific evaluation group for full data reviews. </w:t>
      </w:r>
    </w:p>
    <w:p w:rsidR="00C15D86" w:rsidP="009B774E" w:rsidRDefault="00C15D86" w14:paraId="3A5E0E6E" w14:textId="6C08E234">
      <w:pPr>
        <w:pStyle w:val="ListParagraph"/>
        <w:ind w:left="360"/>
        <w:rPr>
          <w:rFonts w:asciiTheme="majorBidi" w:hAnsiTheme="majorBidi" w:cstheme="majorBidi"/>
        </w:rPr>
      </w:pPr>
    </w:p>
    <w:p w:rsidRPr="00C270C5" w:rsidR="00C15D86" w:rsidP="009B774E" w:rsidRDefault="00C47DDD" w14:paraId="455C7504" w14:textId="74937229">
      <w:pPr>
        <w:numPr>
          <w:ilvl w:val="0"/>
          <w:numId w:val="8"/>
        </w:numPr>
        <w:ind w:left="360"/>
        <w:rPr>
          <w:rFonts w:asciiTheme="majorBidi" w:hAnsiTheme="majorBidi" w:cstheme="majorBidi"/>
        </w:rPr>
      </w:pPr>
      <w:r w:rsidRPr="00C270C5">
        <w:rPr>
          <w:rFonts w:asciiTheme="majorBidi" w:hAnsiTheme="majorBidi" w:cstheme="majorBidi"/>
        </w:rPr>
        <w:t>Make Registration Decision</w:t>
      </w:r>
    </w:p>
    <w:p w:rsidRPr="00C270C5" w:rsidR="00F167B3" w:rsidP="009B774E" w:rsidRDefault="00F167B3" w14:paraId="542AF34C" w14:textId="4E521C18">
      <w:pPr>
        <w:ind w:left="360"/>
        <w:rPr>
          <w:rFonts w:asciiTheme="majorBidi" w:hAnsiTheme="majorBidi" w:cstheme="majorBidi"/>
        </w:rPr>
      </w:pPr>
    </w:p>
    <w:p w:rsidRPr="00C270C5" w:rsidR="00C15D86" w:rsidP="009B774E" w:rsidRDefault="00C47DDD" w14:paraId="0701F93E" w14:textId="18DFF7D0">
      <w:pPr>
        <w:ind w:left="360"/>
        <w:rPr>
          <w:rFonts w:asciiTheme="majorBidi" w:hAnsiTheme="majorBidi" w:cstheme="majorBidi"/>
        </w:rPr>
      </w:pPr>
      <w:r w:rsidRPr="00C270C5">
        <w:rPr>
          <w:rFonts w:asciiTheme="majorBidi" w:hAnsiTheme="majorBidi" w:cstheme="majorBidi"/>
        </w:rPr>
        <w:t xml:space="preserve">The Program Manager or Team Leader examines </w:t>
      </w:r>
      <w:r w:rsidRPr="00C270C5" w:rsidR="007B5116">
        <w:rPr>
          <w:rFonts w:asciiTheme="majorBidi" w:hAnsiTheme="majorBidi" w:cstheme="majorBidi"/>
        </w:rPr>
        <w:t>all</w:t>
      </w:r>
      <w:r w:rsidRPr="00C270C5">
        <w:rPr>
          <w:rFonts w:asciiTheme="majorBidi" w:hAnsiTheme="majorBidi" w:cstheme="majorBidi"/>
        </w:rPr>
        <w:t xml:space="preserve"> the scientific reviews and proposed labeling and determines whether the product may be registered. If the product contains an </w:t>
      </w:r>
      <w:r w:rsidRPr="00C270C5">
        <w:rPr>
          <w:rFonts w:asciiTheme="majorBidi" w:hAnsiTheme="majorBidi" w:cstheme="majorBidi"/>
        </w:rPr>
        <w:lastRenderedPageBreak/>
        <w:t xml:space="preserve">active ingredient not currently registered by EPA, the review summary is included as part of a decision package and referred to the Director of OPP for a final decision on </w:t>
      </w:r>
      <w:r w:rsidRPr="00C270C5" w:rsidR="00D75A2F">
        <w:rPr>
          <w:rFonts w:asciiTheme="majorBidi" w:hAnsiTheme="majorBidi" w:cstheme="majorBidi"/>
        </w:rPr>
        <w:t>whether</w:t>
      </w:r>
      <w:r w:rsidRPr="00C270C5">
        <w:rPr>
          <w:rFonts w:asciiTheme="majorBidi" w:hAnsiTheme="majorBidi" w:cstheme="majorBidi"/>
        </w:rPr>
        <w:t xml:space="preserve"> to register a pesticide.</w:t>
      </w:r>
      <w:r w:rsidRPr="00C270C5" w:rsidR="007841AD">
        <w:rPr>
          <w:rFonts w:asciiTheme="majorBidi" w:hAnsiTheme="majorBidi" w:cstheme="majorBidi"/>
        </w:rPr>
        <w:t xml:space="preserve"> </w:t>
      </w:r>
      <w:r w:rsidRPr="00C270C5" w:rsidR="00BF5DC2">
        <w:rPr>
          <w:rFonts w:asciiTheme="majorBidi" w:hAnsiTheme="majorBidi" w:cstheme="majorBidi"/>
        </w:rPr>
        <w:t xml:space="preserve">When a new </w:t>
      </w:r>
      <w:r w:rsidRPr="00C270C5" w:rsidR="72F83891">
        <w:rPr>
          <w:rFonts w:asciiTheme="majorBidi" w:hAnsiTheme="majorBidi" w:cstheme="majorBidi"/>
        </w:rPr>
        <w:t xml:space="preserve">food use is sought, a </w:t>
      </w:r>
      <w:r w:rsidRPr="00C270C5" w:rsidR="00BF5DC2">
        <w:rPr>
          <w:rFonts w:asciiTheme="majorBidi" w:hAnsiTheme="majorBidi" w:cstheme="majorBidi"/>
        </w:rPr>
        <w:t xml:space="preserve">tolerance </w:t>
      </w:r>
      <w:r w:rsidRPr="00C270C5" w:rsidR="72F83891">
        <w:rPr>
          <w:rFonts w:asciiTheme="majorBidi" w:hAnsiTheme="majorBidi" w:cstheme="majorBidi"/>
        </w:rPr>
        <w:t>or exempt</w:t>
      </w:r>
      <w:r w:rsidRPr="00C270C5" w:rsidR="00BF5DC2">
        <w:rPr>
          <w:rFonts w:asciiTheme="majorBidi" w:hAnsiTheme="majorBidi" w:cstheme="majorBidi"/>
        </w:rPr>
        <w:t>i</w:t>
      </w:r>
      <w:r w:rsidRPr="00C270C5" w:rsidR="72F83891">
        <w:rPr>
          <w:rFonts w:asciiTheme="majorBidi" w:hAnsiTheme="majorBidi" w:cstheme="majorBidi"/>
        </w:rPr>
        <w:t>on</w:t>
      </w:r>
      <w:r w:rsidRPr="00C270C5" w:rsidR="00BF5DC2">
        <w:rPr>
          <w:rFonts w:asciiTheme="majorBidi" w:hAnsiTheme="majorBidi" w:cstheme="majorBidi"/>
        </w:rPr>
        <w:t xml:space="preserve"> is established for an already registered active ingred</w:t>
      </w:r>
      <w:r w:rsidRPr="00C270C5" w:rsidR="0023430D">
        <w:rPr>
          <w:rFonts w:asciiTheme="majorBidi" w:hAnsiTheme="majorBidi" w:cstheme="majorBidi"/>
        </w:rPr>
        <w:t>ient</w:t>
      </w:r>
      <w:r w:rsidRPr="00C270C5" w:rsidR="00BF5DC2">
        <w:rPr>
          <w:rFonts w:asciiTheme="majorBidi" w:hAnsiTheme="majorBidi" w:cstheme="majorBidi"/>
        </w:rPr>
        <w:t xml:space="preserve"> (e.g., new use), the </w:t>
      </w:r>
      <w:r w:rsidRPr="00C270C5" w:rsidR="0023430D">
        <w:rPr>
          <w:rFonts w:asciiTheme="majorBidi" w:hAnsiTheme="majorBidi" w:cstheme="majorBidi"/>
        </w:rPr>
        <w:t>final decision is made b</w:t>
      </w:r>
      <w:r w:rsidRPr="00C270C5" w:rsidR="00FB0A6E">
        <w:rPr>
          <w:rFonts w:asciiTheme="majorBidi" w:hAnsiTheme="majorBidi" w:cstheme="majorBidi"/>
        </w:rPr>
        <w:t>y the Division Director of the r</w:t>
      </w:r>
      <w:r w:rsidRPr="00C270C5" w:rsidR="0023430D">
        <w:rPr>
          <w:rFonts w:asciiTheme="majorBidi" w:hAnsiTheme="majorBidi" w:cstheme="majorBidi"/>
        </w:rPr>
        <w:t>egist</w:t>
      </w:r>
      <w:r w:rsidRPr="00C270C5" w:rsidR="00FB0A6E">
        <w:rPr>
          <w:rFonts w:asciiTheme="majorBidi" w:hAnsiTheme="majorBidi" w:cstheme="majorBidi"/>
        </w:rPr>
        <w:t>ering d</w:t>
      </w:r>
      <w:r w:rsidRPr="00C270C5" w:rsidR="0023430D">
        <w:rPr>
          <w:rFonts w:asciiTheme="majorBidi" w:hAnsiTheme="majorBidi" w:cstheme="majorBidi"/>
        </w:rPr>
        <w:t>ivision.</w:t>
      </w:r>
    </w:p>
    <w:p w:rsidRPr="00C270C5" w:rsidR="00C15D86" w:rsidP="009B774E" w:rsidRDefault="00C15D86" w14:paraId="71C36A61" w14:textId="77777777">
      <w:pPr>
        <w:ind w:left="720"/>
        <w:rPr>
          <w:rFonts w:asciiTheme="majorBidi" w:hAnsiTheme="majorBidi" w:cstheme="majorBidi"/>
        </w:rPr>
      </w:pPr>
    </w:p>
    <w:p w:rsidRPr="00C270C5" w:rsidR="00C15D86" w:rsidP="009B774E" w:rsidRDefault="00C47DDD" w14:paraId="70D5078B" w14:textId="77777777">
      <w:pPr>
        <w:ind w:left="360"/>
        <w:rPr>
          <w:rFonts w:asciiTheme="majorBidi" w:hAnsiTheme="majorBidi" w:cstheme="majorBidi"/>
        </w:rPr>
      </w:pPr>
      <w:r w:rsidRPr="00C270C5">
        <w:rPr>
          <w:rFonts w:asciiTheme="majorBidi" w:hAnsiTheme="majorBidi" w:cstheme="majorBidi"/>
        </w:rPr>
        <w:t>If the registration action is for revised labeling in response to a Pesticide Registration Notice, the revised labeling submitted along with appropriate EPA forms will be reviewed by a Program Manager or Team Leader for compliance with the applicable Pesticide Registration Notice and, following the registration decision, entered into the tracking database.</w:t>
      </w:r>
    </w:p>
    <w:p w:rsidRPr="00C270C5" w:rsidR="00C15D86" w:rsidP="009B774E" w:rsidRDefault="00C15D86" w14:paraId="378F4686" w14:textId="77777777">
      <w:pPr>
        <w:pStyle w:val="ListParagraph"/>
        <w:ind w:left="360"/>
        <w:rPr>
          <w:rFonts w:asciiTheme="majorBidi" w:hAnsiTheme="majorBidi" w:cstheme="majorBidi"/>
        </w:rPr>
      </w:pPr>
    </w:p>
    <w:p w:rsidRPr="00C270C5" w:rsidR="00C15D86" w:rsidP="009B774E" w:rsidRDefault="00C47DDD" w14:paraId="0E91533B" w14:textId="3C44A76D">
      <w:pPr>
        <w:numPr>
          <w:ilvl w:val="0"/>
          <w:numId w:val="8"/>
        </w:numPr>
        <w:ind w:left="360"/>
        <w:rPr>
          <w:rFonts w:asciiTheme="majorBidi" w:hAnsiTheme="majorBidi" w:cstheme="majorBidi"/>
        </w:rPr>
      </w:pPr>
      <w:r w:rsidRPr="00C270C5">
        <w:rPr>
          <w:rFonts w:asciiTheme="majorBidi" w:hAnsiTheme="majorBidi" w:cstheme="majorBidi"/>
        </w:rPr>
        <w:t>Notify Applicant</w:t>
      </w:r>
      <w:r w:rsidRPr="00C270C5" w:rsidR="00131D6C">
        <w:rPr>
          <w:rFonts w:asciiTheme="majorBidi" w:hAnsiTheme="majorBidi" w:cstheme="majorBidi"/>
        </w:rPr>
        <w:t>/Registrant</w:t>
      </w:r>
    </w:p>
    <w:p w:rsidRPr="00C270C5" w:rsidR="00F167B3" w:rsidP="009B774E" w:rsidRDefault="00F167B3" w14:paraId="0EC48820" w14:textId="77777777">
      <w:pPr>
        <w:ind w:left="360"/>
        <w:rPr>
          <w:rFonts w:asciiTheme="majorBidi" w:hAnsiTheme="majorBidi" w:cstheme="majorBidi"/>
        </w:rPr>
      </w:pPr>
    </w:p>
    <w:p w:rsidRPr="00C270C5" w:rsidR="00C15D86" w:rsidP="009B774E" w:rsidRDefault="00C47DDD" w14:paraId="7832BC06" w14:textId="6AE7EF2A">
      <w:pPr>
        <w:ind w:left="360"/>
        <w:rPr>
          <w:rFonts w:asciiTheme="majorBidi" w:hAnsiTheme="majorBidi" w:cstheme="majorBidi"/>
        </w:rPr>
      </w:pPr>
      <w:r w:rsidRPr="00C270C5">
        <w:rPr>
          <w:rFonts w:asciiTheme="majorBidi" w:hAnsiTheme="majorBidi" w:cstheme="majorBidi"/>
        </w:rPr>
        <w:t xml:space="preserve">OPP sends a Notice of Registration </w:t>
      </w:r>
      <w:r w:rsidRPr="00C270C5" w:rsidR="00131D6C">
        <w:rPr>
          <w:rFonts w:asciiTheme="majorBidi" w:hAnsiTheme="majorBidi" w:cstheme="majorBidi"/>
        </w:rPr>
        <w:t xml:space="preserve">or Determination </w:t>
      </w:r>
      <w:r w:rsidRPr="00C270C5">
        <w:rPr>
          <w:rFonts w:asciiTheme="majorBidi" w:hAnsiTheme="majorBidi" w:cstheme="majorBidi"/>
        </w:rPr>
        <w:t xml:space="preserve">to the applicant informing the applicant that the product has been registered and specifying any conditions of </w:t>
      </w:r>
      <w:r w:rsidRPr="00C270C5" w:rsidR="00560DF1">
        <w:rPr>
          <w:rFonts w:asciiTheme="majorBidi" w:hAnsiTheme="majorBidi" w:cstheme="majorBidi"/>
        </w:rPr>
        <w:t>registration or</w:t>
      </w:r>
      <w:r w:rsidRPr="00C270C5" w:rsidR="00131D6C">
        <w:rPr>
          <w:rFonts w:asciiTheme="majorBidi" w:hAnsiTheme="majorBidi" w:cstheme="majorBidi"/>
        </w:rPr>
        <w:t xml:space="preserve"> </w:t>
      </w:r>
      <w:r w:rsidRPr="00C270C5" w:rsidR="004C7F8E">
        <w:rPr>
          <w:rFonts w:asciiTheme="majorBidi" w:hAnsiTheme="majorBidi" w:cstheme="majorBidi"/>
        </w:rPr>
        <w:t>has received a determination</w:t>
      </w:r>
      <w:r w:rsidRPr="00C270C5" w:rsidR="00405556">
        <w:rPr>
          <w:rFonts w:asciiTheme="majorBidi" w:hAnsiTheme="majorBidi" w:cstheme="majorBidi"/>
        </w:rPr>
        <w:t xml:space="preserve"> on </w:t>
      </w:r>
      <w:r w:rsidRPr="00C270C5" w:rsidR="00E31880">
        <w:rPr>
          <w:rFonts w:asciiTheme="majorBidi" w:hAnsiTheme="majorBidi" w:cstheme="majorBidi"/>
        </w:rPr>
        <w:t>whether</w:t>
      </w:r>
      <w:r w:rsidRPr="00C270C5" w:rsidR="00765390">
        <w:rPr>
          <w:rFonts w:asciiTheme="majorBidi" w:hAnsiTheme="majorBidi" w:cstheme="majorBidi"/>
        </w:rPr>
        <w:t xml:space="preserve"> it requires regulation under FIFRA</w:t>
      </w:r>
      <w:r w:rsidRPr="00C270C5">
        <w:rPr>
          <w:rFonts w:asciiTheme="majorBidi" w:hAnsiTheme="majorBidi" w:cstheme="majorBidi"/>
        </w:rPr>
        <w:t>. For labeling amendments, a letter is sent to the applicant stating approval/disapproval</w:t>
      </w:r>
      <w:r w:rsidRPr="00C270C5" w:rsidR="00927A09">
        <w:rPr>
          <w:rFonts w:asciiTheme="majorBidi" w:hAnsiTheme="majorBidi" w:cstheme="majorBidi"/>
        </w:rPr>
        <w:t xml:space="preserve">. If the label amendment is approved, a stamped master label is sent to the </w:t>
      </w:r>
      <w:r w:rsidRPr="00C270C5" w:rsidR="00E82894">
        <w:rPr>
          <w:rFonts w:asciiTheme="majorBidi" w:hAnsiTheme="majorBidi" w:cstheme="majorBidi"/>
        </w:rPr>
        <w:t>r</w:t>
      </w:r>
      <w:r w:rsidRPr="00C270C5" w:rsidR="00927A09">
        <w:rPr>
          <w:rFonts w:asciiTheme="majorBidi" w:hAnsiTheme="majorBidi" w:cstheme="majorBidi"/>
        </w:rPr>
        <w:t>egistrant.</w:t>
      </w:r>
      <w:r w:rsidRPr="00C270C5">
        <w:rPr>
          <w:rFonts w:asciiTheme="majorBidi" w:hAnsiTheme="majorBidi" w:cstheme="majorBidi"/>
        </w:rPr>
        <w:t xml:space="preserve"> </w:t>
      </w:r>
      <w:r w:rsidRPr="00C270C5" w:rsidR="005B1813">
        <w:rPr>
          <w:rFonts w:asciiTheme="majorBidi" w:hAnsiTheme="majorBidi" w:cstheme="majorBidi"/>
        </w:rPr>
        <w:t>For exemptions, a letter will be sen</w:t>
      </w:r>
      <w:r w:rsidRPr="00C270C5" w:rsidR="00E20FC6">
        <w:rPr>
          <w:rFonts w:asciiTheme="majorBidi" w:hAnsiTheme="majorBidi" w:cstheme="majorBidi"/>
        </w:rPr>
        <w:t>t</w:t>
      </w:r>
      <w:r w:rsidRPr="00C270C5" w:rsidR="005B1813">
        <w:rPr>
          <w:rFonts w:asciiTheme="majorBidi" w:hAnsiTheme="majorBidi" w:cstheme="majorBidi"/>
        </w:rPr>
        <w:t xml:space="preserve"> to the applicant that the product is exempt from the requirements of registration under FIFRA and/or a tolerance or tolerance exemption under FFDCA.</w:t>
      </w:r>
    </w:p>
    <w:p w:rsidRPr="00C270C5" w:rsidR="00131D6C" w:rsidP="009B774E" w:rsidRDefault="00131D6C" w14:paraId="1CF44701" w14:textId="6254BDDD">
      <w:pPr>
        <w:ind w:left="360"/>
        <w:rPr>
          <w:rFonts w:asciiTheme="majorBidi" w:hAnsiTheme="majorBidi" w:cstheme="majorBidi"/>
        </w:rPr>
      </w:pPr>
    </w:p>
    <w:p w:rsidRPr="00C270C5" w:rsidR="00131D6C" w:rsidP="009B774E" w:rsidRDefault="00131D6C" w14:paraId="6804B295" w14:textId="51EE04FF">
      <w:pPr>
        <w:ind w:left="360"/>
        <w:rPr>
          <w:rFonts w:asciiTheme="majorBidi" w:hAnsiTheme="majorBidi" w:cstheme="majorBidi"/>
        </w:rPr>
      </w:pPr>
      <w:r w:rsidRPr="00C270C5">
        <w:rPr>
          <w:rFonts w:asciiTheme="majorBidi" w:hAnsiTheme="majorBidi" w:cstheme="majorBidi"/>
        </w:rPr>
        <w:t>Under APEP, OPP will notify and work with the registrant to address and resolve failures.</w:t>
      </w:r>
      <w:r w:rsidRPr="00C270C5" w:rsidR="00792343">
        <w:rPr>
          <w:rFonts w:asciiTheme="majorBidi" w:hAnsiTheme="majorBidi" w:cstheme="majorBidi"/>
        </w:rPr>
        <w:t xml:space="preserve"> A</w:t>
      </w:r>
      <w:r w:rsidR="004D2530">
        <w:rPr>
          <w:rFonts w:asciiTheme="majorBidi" w:hAnsiTheme="majorBidi" w:cstheme="majorBidi"/>
        </w:rPr>
        <w:t>s proposed, a</w:t>
      </w:r>
      <w:r w:rsidRPr="00C270C5" w:rsidR="00792343">
        <w:rPr>
          <w:rFonts w:asciiTheme="majorBidi" w:hAnsiTheme="majorBidi" w:cstheme="majorBidi"/>
        </w:rPr>
        <w:t xml:space="preserve"> “failure” is defined as a product </w:t>
      </w:r>
      <w:r w:rsidRPr="00C270C5" w:rsidR="004F1A89">
        <w:rPr>
          <w:rFonts w:asciiTheme="majorBidi" w:hAnsiTheme="majorBidi" w:cstheme="majorBidi"/>
        </w:rPr>
        <w:t xml:space="preserve">not meeting newly set efficacy standards for </w:t>
      </w:r>
      <w:r w:rsidRPr="00C270C5" w:rsidR="003526C0">
        <w:t>hospital disinfectants with hospital-level disinfectant public health label claims.</w:t>
      </w:r>
      <w:r w:rsidRPr="00C270C5">
        <w:rPr>
          <w:rFonts w:asciiTheme="majorBidi" w:hAnsiTheme="majorBidi" w:cstheme="majorBidi"/>
        </w:rPr>
        <w:t xml:space="preserve"> To resolve failures</w:t>
      </w:r>
      <w:r w:rsidRPr="00C270C5" w:rsidR="00027994">
        <w:rPr>
          <w:rFonts w:asciiTheme="majorBidi" w:hAnsiTheme="majorBidi" w:cstheme="majorBidi"/>
        </w:rPr>
        <w:t>,</w:t>
      </w:r>
      <w:r w:rsidRPr="00C270C5">
        <w:rPr>
          <w:rFonts w:asciiTheme="majorBidi" w:hAnsiTheme="majorBidi" w:cstheme="majorBidi"/>
        </w:rPr>
        <w:t xml:space="preserve"> the Agency may utilize processes such as: reformulations, label amendments, removal of use sites, modifications of use directions, retesting, product cancellations, and/or removal of product from marketplace, etc. For any outstanding unaddressed failures, OPP will coordinate and consult with OECA and the Office of General Counsel (OGC) as needed.</w:t>
      </w:r>
    </w:p>
    <w:p w:rsidRPr="00C270C5" w:rsidR="00CA36C0" w:rsidP="009B774E" w:rsidRDefault="00CA36C0" w14:paraId="7BCA2891" w14:textId="77777777">
      <w:pPr>
        <w:rPr>
          <w:rFonts w:asciiTheme="majorBidi" w:hAnsiTheme="majorBidi" w:cstheme="majorBidi"/>
        </w:rPr>
      </w:pPr>
    </w:p>
    <w:p w:rsidRPr="00CA36C0" w:rsidR="00C15D86" w:rsidP="009B774E" w:rsidRDefault="00C47DDD" w14:paraId="13F41922" w14:textId="611EE828">
      <w:pPr>
        <w:numPr>
          <w:ilvl w:val="0"/>
          <w:numId w:val="8"/>
        </w:numPr>
        <w:ind w:left="360"/>
        <w:rPr>
          <w:rFonts w:asciiTheme="majorBidi" w:hAnsiTheme="majorBidi" w:cstheme="majorBidi"/>
        </w:rPr>
      </w:pPr>
      <w:r w:rsidRPr="00CA36C0">
        <w:rPr>
          <w:rFonts w:asciiTheme="majorBidi" w:hAnsiTheme="majorBidi" w:cstheme="majorBidi"/>
        </w:rPr>
        <w:t>Store and Maintain Data</w:t>
      </w:r>
    </w:p>
    <w:p w:rsidRPr="00C270C5" w:rsidR="00F167B3" w:rsidP="009B774E" w:rsidRDefault="00F167B3" w14:paraId="24A6DB1D" w14:textId="77777777">
      <w:pPr>
        <w:ind w:left="360"/>
        <w:rPr>
          <w:rFonts w:asciiTheme="majorBidi" w:hAnsiTheme="majorBidi" w:cstheme="majorBidi"/>
        </w:rPr>
      </w:pPr>
    </w:p>
    <w:p w:rsidRPr="00C270C5" w:rsidR="00C15D86" w:rsidP="009B774E" w:rsidRDefault="00C47DDD" w14:paraId="1674E866" w14:textId="77777777">
      <w:pPr>
        <w:ind w:left="360"/>
        <w:rPr>
          <w:rFonts w:asciiTheme="majorBidi" w:hAnsiTheme="majorBidi" w:cstheme="majorBidi"/>
        </w:rPr>
      </w:pPr>
      <w:r w:rsidRPr="00C270C5">
        <w:rPr>
          <w:rFonts w:asciiTheme="majorBidi" w:hAnsiTheme="majorBidi" w:cstheme="majorBidi"/>
        </w:rPr>
        <w:t>OPP stores, files, and maintains copies of any registration notices and labeling information.</w:t>
      </w:r>
    </w:p>
    <w:p w:rsidRPr="00C270C5" w:rsidR="00C15D86" w:rsidP="009B774E" w:rsidRDefault="00C15D86" w14:paraId="1E0449A1" w14:textId="77777777">
      <w:pPr>
        <w:rPr>
          <w:rFonts w:asciiTheme="majorBidi" w:hAnsiTheme="majorBidi" w:cstheme="majorBidi"/>
        </w:rPr>
      </w:pPr>
    </w:p>
    <w:p w:rsidRPr="00C270C5" w:rsidR="00C15D86" w:rsidP="009B774E" w:rsidRDefault="00C47DDD" w14:paraId="5F65ACBC" w14:textId="77777777">
      <w:pPr>
        <w:keepNext/>
        <w:ind w:firstLine="720"/>
        <w:rPr>
          <w:rFonts w:asciiTheme="majorBidi" w:hAnsiTheme="majorBidi" w:cstheme="majorBidi"/>
          <w:b/>
        </w:rPr>
      </w:pPr>
      <w:r w:rsidRPr="00C270C5">
        <w:rPr>
          <w:rFonts w:asciiTheme="majorBidi" w:hAnsiTheme="majorBidi" w:cstheme="majorBidi"/>
          <w:b/>
        </w:rPr>
        <w:t>5(b)</w:t>
      </w:r>
      <w:r w:rsidRPr="00C270C5">
        <w:rPr>
          <w:rFonts w:asciiTheme="majorBidi" w:hAnsiTheme="majorBidi" w:cstheme="majorBidi"/>
          <w:b/>
        </w:rPr>
        <w:tab/>
        <w:t>Collection Methodology and Management</w:t>
      </w:r>
    </w:p>
    <w:p w:rsidRPr="00C270C5" w:rsidR="00C15D86" w:rsidP="009B774E" w:rsidRDefault="00C15D86" w14:paraId="5AA08E7F" w14:textId="77777777">
      <w:pPr>
        <w:keepNext/>
        <w:rPr>
          <w:rFonts w:asciiTheme="majorBidi" w:hAnsiTheme="majorBidi" w:cstheme="majorBidi"/>
        </w:rPr>
      </w:pPr>
    </w:p>
    <w:p w:rsidRPr="00C270C5" w:rsidR="001F216E" w:rsidP="009B774E" w:rsidRDefault="00C47DDD" w14:paraId="51B5CA85" w14:textId="7680A992">
      <w:pPr>
        <w:keepNext/>
        <w:ind w:firstLine="720"/>
        <w:rPr>
          <w:rFonts w:asciiTheme="majorBidi" w:hAnsiTheme="majorBidi" w:cstheme="majorBidi"/>
        </w:rPr>
      </w:pPr>
      <w:r w:rsidRPr="00C270C5">
        <w:rPr>
          <w:rFonts w:asciiTheme="majorBidi" w:hAnsiTheme="majorBidi" w:cstheme="majorBidi"/>
        </w:rPr>
        <w:t>All registration actions are entered into</w:t>
      </w:r>
      <w:r w:rsidRPr="00C270C5" w:rsidR="001F216E">
        <w:rPr>
          <w:rFonts w:asciiTheme="majorBidi" w:hAnsiTheme="majorBidi" w:cstheme="majorBidi"/>
        </w:rPr>
        <w:t xml:space="preserve"> OPP’s central database system, called OPPIN,</w:t>
      </w:r>
      <w:r w:rsidRPr="00C270C5">
        <w:rPr>
          <w:rFonts w:asciiTheme="majorBidi" w:hAnsiTheme="majorBidi" w:cstheme="majorBidi"/>
        </w:rPr>
        <w:t xml:space="preserve"> to track progress toward registration. Registration actions accompanied by data (e.g., products containing new active ingredients or new uses) are also entered into </w:t>
      </w:r>
      <w:r w:rsidRPr="00C270C5" w:rsidR="001F216E">
        <w:rPr>
          <w:rFonts w:asciiTheme="majorBidi" w:hAnsiTheme="majorBidi" w:cstheme="majorBidi"/>
        </w:rPr>
        <w:t xml:space="preserve">the </w:t>
      </w:r>
      <w:r w:rsidRPr="00C270C5">
        <w:rPr>
          <w:rFonts w:asciiTheme="majorBidi" w:hAnsiTheme="majorBidi" w:cstheme="majorBidi"/>
        </w:rPr>
        <w:t xml:space="preserve">database to track progress toward registration. Once a product has been registered, pertinent status information regarding the product is revised in the tracking database. </w:t>
      </w:r>
    </w:p>
    <w:p w:rsidRPr="00C270C5" w:rsidR="001F216E" w:rsidP="009B774E" w:rsidRDefault="001F216E" w14:paraId="68358A71" w14:textId="77777777">
      <w:pPr>
        <w:keepNext/>
        <w:ind w:firstLine="720"/>
        <w:rPr>
          <w:rFonts w:asciiTheme="majorBidi" w:hAnsiTheme="majorBidi" w:cstheme="majorBidi"/>
        </w:rPr>
      </w:pPr>
    </w:p>
    <w:p w:rsidRPr="00C270C5" w:rsidR="00C15D86" w:rsidP="009B774E" w:rsidRDefault="00C47DDD" w14:paraId="5C87950C" w14:textId="18E01514">
      <w:pPr>
        <w:keepNext/>
        <w:ind w:firstLine="720"/>
        <w:rPr>
          <w:rFonts w:asciiTheme="majorBidi" w:hAnsiTheme="majorBidi" w:cstheme="majorBidi"/>
        </w:rPr>
      </w:pPr>
      <w:r w:rsidRPr="00C270C5">
        <w:rPr>
          <w:rFonts w:asciiTheme="majorBidi" w:hAnsiTheme="majorBidi" w:cstheme="majorBidi"/>
        </w:rPr>
        <w:t>The system contains the following types of information: new or amended product registrations, suspensions, cancellations, product active ingredients, product uses,</w:t>
      </w:r>
      <w:r w:rsidRPr="00C270C5" w:rsidR="006934CC">
        <w:rPr>
          <w:rFonts w:asciiTheme="majorBidi" w:hAnsiTheme="majorBidi" w:cstheme="majorBidi"/>
        </w:rPr>
        <w:t xml:space="preserve"> </w:t>
      </w:r>
      <w:r w:rsidRPr="00C270C5">
        <w:rPr>
          <w:rFonts w:asciiTheme="majorBidi" w:hAnsiTheme="majorBidi" w:cstheme="majorBidi"/>
        </w:rPr>
        <w:t>use deletions</w:t>
      </w:r>
      <w:r w:rsidRPr="00C270C5" w:rsidR="00131D6C">
        <w:rPr>
          <w:rFonts w:asciiTheme="majorBidi" w:hAnsiTheme="majorBidi" w:cstheme="majorBidi"/>
        </w:rPr>
        <w:t xml:space="preserve"> and preapplication determinations</w:t>
      </w:r>
      <w:r w:rsidRPr="00C270C5">
        <w:rPr>
          <w:rFonts w:asciiTheme="majorBidi" w:hAnsiTheme="majorBidi" w:cstheme="majorBidi"/>
        </w:rPr>
        <w:t xml:space="preserve">. ITRMD maintains official registration file jackets, in which </w:t>
      </w:r>
      <w:r w:rsidRPr="00C270C5">
        <w:rPr>
          <w:rFonts w:asciiTheme="majorBidi" w:hAnsiTheme="majorBidi" w:cstheme="majorBidi"/>
        </w:rPr>
        <w:lastRenderedPageBreak/>
        <w:t xml:space="preserve">copies of the application, EPA’s reviews, registration approvals, correspondence, </w:t>
      </w:r>
      <w:r w:rsidRPr="00C270C5" w:rsidR="0023430D">
        <w:rPr>
          <w:rFonts w:asciiTheme="majorBidi" w:hAnsiTheme="majorBidi" w:cstheme="majorBidi"/>
        </w:rPr>
        <w:t>label,</w:t>
      </w:r>
      <w:r w:rsidRPr="00C270C5">
        <w:rPr>
          <w:rFonts w:asciiTheme="majorBidi" w:hAnsiTheme="majorBidi" w:cstheme="majorBidi"/>
        </w:rPr>
        <w:t xml:space="preserve"> the CSF and other related information are all retained</w:t>
      </w:r>
      <w:r w:rsidRPr="00C270C5" w:rsidR="00E5662B">
        <w:rPr>
          <w:rFonts w:asciiTheme="majorBidi" w:hAnsiTheme="majorBidi" w:cstheme="majorBidi"/>
        </w:rPr>
        <w:t>.</w:t>
      </w:r>
    </w:p>
    <w:p w:rsidRPr="00C270C5" w:rsidR="00C47DDD" w:rsidP="009B774E" w:rsidRDefault="00C47DDD" w14:paraId="586DD150" w14:textId="77777777">
      <w:pPr>
        <w:rPr>
          <w:rFonts w:asciiTheme="majorBidi" w:hAnsiTheme="majorBidi" w:cstheme="majorBidi"/>
        </w:rPr>
      </w:pPr>
    </w:p>
    <w:p w:rsidRPr="00C270C5" w:rsidR="00C15D86" w:rsidP="00DA216C" w:rsidRDefault="004150FB" w14:paraId="0803CFBE" w14:textId="77777777">
      <w:pPr>
        <w:keepNext/>
        <w:ind w:firstLine="720"/>
        <w:rPr>
          <w:rFonts w:asciiTheme="majorBidi" w:hAnsiTheme="majorBidi" w:cstheme="majorBidi"/>
          <w:b/>
        </w:rPr>
      </w:pPr>
      <w:r w:rsidRPr="00C270C5">
        <w:rPr>
          <w:rFonts w:asciiTheme="majorBidi" w:hAnsiTheme="majorBidi" w:cstheme="majorBidi"/>
          <w:b/>
        </w:rPr>
        <w:t>5(c)</w:t>
      </w:r>
      <w:r w:rsidRPr="00C270C5">
        <w:rPr>
          <w:rFonts w:asciiTheme="majorBidi" w:hAnsiTheme="majorBidi" w:cstheme="majorBidi"/>
          <w:b/>
        </w:rPr>
        <w:tab/>
      </w:r>
      <w:r w:rsidRPr="00C270C5" w:rsidR="00C47DDD">
        <w:rPr>
          <w:rFonts w:asciiTheme="majorBidi" w:hAnsiTheme="majorBidi" w:cstheme="majorBidi"/>
          <w:b/>
        </w:rPr>
        <w:t>Small Entity Flexibility</w:t>
      </w:r>
    </w:p>
    <w:p w:rsidRPr="00C270C5" w:rsidR="00C15D86" w:rsidP="00DA216C" w:rsidRDefault="00C15D86" w14:paraId="15457229" w14:textId="77777777">
      <w:pPr>
        <w:keepNext/>
        <w:rPr>
          <w:rFonts w:asciiTheme="majorBidi" w:hAnsiTheme="majorBidi" w:cstheme="majorBidi"/>
        </w:rPr>
      </w:pPr>
    </w:p>
    <w:p w:rsidRPr="00C270C5" w:rsidR="00C15D86" w:rsidP="009B774E" w:rsidRDefault="00CC45EE" w14:paraId="243942F9" w14:textId="7287D066">
      <w:pPr>
        <w:ind w:firstLine="720"/>
        <w:rPr>
          <w:rFonts w:asciiTheme="majorBidi" w:hAnsiTheme="majorBidi" w:cstheme="majorBidi"/>
        </w:rPr>
      </w:pPr>
      <w:r>
        <w:rPr>
          <w:iCs/>
        </w:rPr>
        <w:t>Per</w:t>
      </w:r>
      <w:r w:rsidR="00DA216C">
        <w:rPr>
          <w:iCs/>
        </w:rPr>
        <w:t xml:space="preserve"> </w:t>
      </w:r>
      <w:r w:rsidR="00CE78E2">
        <w:rPr>
          <w:iCs/>
        </w:rPr>
        <w:t>40 CFR § 152.85(c)</w:t>
      </w:r>
      <w:r w:rsidR="00BC6AB1">
        <w:rPr>
          <w:iCs/>
        </w:rPr>
        <w:t>, the formulator’s exemption provision</w:t>
      </w:r>
      <w:r>
        <w:rPr>
          <w:iCs/>
        </w:rPr>
        <w:t xml:space="preserve"> </w:t>
      </w:r>
      <w:r w:rsidRPr="00C270C5" w:rsidR="00C47DDD">
        <w:rPr>
          <w:rFonts w:asciiTheme="majorBidi" w:hAnsiTheme="majorBidi" w:cstheme="majorBidi"/>
        </w:rPr>
        <w:t xml:space="preserve">reduces the data submission burden on an applicant for registration of a product that uses an EPA-registered pesticide product as the source of its active ingredient. </w:t>
      </w:r>
      <w:r>
        <w:rPr>
          <w:rFonts w:asciiTheme="majorBidi" w:hAnsiTheme="majorBidi" w:cstheme="majorBidi"/>
        </w:rPr>
        <w:t xml:space="preserve">Submission of </w:t>
      </w:r>
      <w:r w:rsidRPr="00C270C5">
        <w:rPr>
          <w:rFonts w:asciiTheme="majorBidi" w:hAnsiTheme="majorBidi" w:cstheme="majorBidi"/>
        </w:rPr>
        <w:t xml:space="preserve">EPA Form 8570-27 (“Formulator’s Exemption Statement”) </w:t>
      </w:r>
      <w:r w:rsidRPr="00C270C5" w:rsidR="00C47DDD">
        <w:rPr>
          <w:rFonts w:asciiTheme="majorBidi" w:hAnsiTheme="majorBidi" w:cstheme="majorBidi"/>
        </w:rPr>
        <w:t>exempts the applicant from furnishing the generic data that already were submitted by the company registering the source product.</w:t>
      </w:r>
    </w:p>
    <w:p w:rsidRPr="00C270C5" w:rsidR="00C15D86" w:rsidP="009B774E" w:rsidRDefault="00C15D86" w14:paraId="43CB0726" w14:textId="77777777">
      <w:pPr>
        <w:rPr>
          <w:rFonts w:asciiTheme="majorBidi" w:hAnsiTheme="majorBidi" w:cstheme="majorBidi"/>
        </w:rPr>
      </w:pPr>
    </w:p>
    <w:p w:rsidRPr="00C270C5" w:rsidR="00C15D86" w:rsidP="009B774E" w:rsidRDefault="00C47DDD" w14:paraId="5EDE1B96" w14:textId="1521914E">
      <w:pPr>
        <w:ind w:firstLine="720"/>
        <w:rPr>
          <w:rFonts w:asciiTheme="majorBidi" w:hAnsiTheme="majorBidi" w:cstheme="majorBidi"/>
        </w:rPr>
      </w:pPr>
      <w:r w:rsidRPr="00C270C5">
        <w:rPr>
          <w:rFonts w:asciiTheme="majorBidi" w:hAnsiTheme="majorBidi" w:cstheme="majorBidi"/>
        </w:rPr>
        <w:t>The Agency also</w:t>
      </w:r>
      <w:r w:rsidR="00050117">
        <w:rPr>
          <w:rFonts w:asciiTheme="majorBidi" w:hAnsiTheme="majorBidi" w:cstheme="majorBidi"/>
        </w:rPr>
        <w:t xml:space="preserve"> </w:t>
      </w:r>
      <w:r w:rsidRPr="00C270C5">
        <w:rPr>
          <w:rFonts w:asciiTheme="majorBidi" w:hAnsiTheme="majorBidi" w:cstheme="majorBidi"/>
        </w:rPr>
        <w:t>cataloged and computerized its pesticide database so that one can easily determine whether a particular study has been submitted, by whom it was submitted</w:t>
      </w:r>
      <w:r w:rsidR="007624C0">
        <w:rPr>
          <w:rFonts w:asciiTheme="majorBidi" w:hAnsiTheme="majorBidi" w:cstheme="majorBidi"/>
        </w:rPr>
        <w:t>, and what product or active ingredient it supports</w:t>
      </w:r>
      <w:r w:rsidRPr="00C270C5">
        <w:rPr>
          <w:rFonts w:asciiTheme="majorBidi" w:hAnsiTheme="majorBidi" w:cstheme="majorBidi"/>
        </w:rPr>
        <w:t>. This identifies, by chemical each item of data in the EPA files. As a result, applicants encounter little difficulty in identifying available data needed to support an application for registration.</w:t>
      </w:r>
    </w:p>
    <w:p w:rsidRPr="00C270C5" w:rsidR="00C15D86" w:rsidP="009B774E" w:rsidRDefault="00C15D86" w14:paraId="09D54115" w14:textId="77777777">
      <w:pPr>
        <w:rPr>
          <w:rFonts w:asciiTheme="majorBidi" w:hAnsiTheme="majorBidi" w:cstheme="majorBidi"/>
        </w:rPr>
      </w:pPr>
    </w:p>
    <w:p w:rsidRPr="00C270C5" w:rsidR="00C15D86" w:rsidP="009B774E" w:rsidRDefault="00C47DDD" w14:paraId="552E7235" w14:textId="77777777">
      <w:pPr>
        <w:ind w:firstLine="720"/>
        <w:rPr>
          <w:rFonts w:asciiTheme="majorBidi" w:hAnsiTheme="majorBidi" w:cstheme="majorBidi"/>
          <w:b/>
        </w:rPr>
      </w:pPr>
      <w:r w:rsidRPr="00C270C5">
        <w:rPr>
          <w:rFonts w:asciiTheme="majorBidi" w:hAnsiTheme="majorBidi" w:cstheme="majorBidi"/>
          <w:b/>
        </w:rPr>
        <w:t>5(d)</w:t>
      </w:r>
      <w:r w:rsidRPr="00C270C5">
        <w:rPr>
          <w:rFonts w:asciiTheme="majorBidi" w:hAnsiTheme="majorBidi" w:cstheme="majorBidi"/>
          <w:b/>
        </w:rPr>
        <w:tab/>
        <w:t>Collection Schedule</w:t>
      </w:r>
    </w:p>
    <w:p w:rsidRPr="00C270C5" w:rsidR="00C15D86" w:rsidP="009B774E" w:rsidRDefault="00C15D86" w14:paraId="71E04234" w14:textId="77777777">
      <w:pPr>
        <w:rPr>
          <w:rFonts w:asciiTheme="majorBidi" w:hAnsiTheme="majorBidi" w:cstheme="majorBidi"/>
        </w:rPr>
      </w:pPr>
    </w:p>
    <w:p w:rsidRPr="00C270C5" w:rsidR="00C15D86" w:rsidP="009B774E" w:rsidRDefault="00C47DDD" w14:paraId="4358B4C2" w14:textId="4885F3C1">
      <w:pPr>
        <w:ind w:firstLine="720"/>
        <w:rPr>
          <w:rFonts w:asciiTheme="majorBidi" w:hAnsiTheme="majorBidi" w:cstheme="majorBidi"/>
        </w:rPr>
      </w:pPr>
      <w:r w:rsidRPr="00C270C5">
        <w:rPr>
          <w:rFonts w:asciiTheme="majorBidi" w:hAnsiTheme="majorBidi" w:cstheme="majorBidi"/>
        </w:rPr>
        <w:t xml:space="preserve">Not applicable. The activity is conducted only as a registration application is received for consideration. There is no set schedule for the </w:t>
      </w:r>
      <w:r w:rsidRPr="00C270C5" w:rsidR="0A322B60">
        <w:rPr>
          <w:rFonts w:asciiTheme="majorBidi" w:hAnsiTheme="majorBidi" w:cstheme="majorBidi"/>
        </w:rPr>
        <w:t xml:space="preserve">submission </w:t>
      </w:r>
      <w:r w:rsidRPr="00C270C5">
        <w:rPr>
          <w:rFonts w:asciiTheme="majorBidi" w:hAnsiTheme="majorBidi" w:cstheme="majorBidi"/>
        </w:rPr>
        <w:t>of this information</w:t>
      </w:r>
      <w:r w:rsidRPr="00C270C5" w:rsidR="0A322B60">
        <w:rPr>
          <w:rFonts w:asciiTheme="majorBidi" w:hAnsiTheme="majorBidi" w:cstheme="majorBidi"/>
        </w:rPr>
        <w:t xml:space="preserve"> to EPA</w:t>
      </w:r>
      <w:r w:rsidRPr="00C270C5">
        <w:rPr>
          <w:rFonts w:asciiTheme="majorBidi" w:hAnsiTheme="majorBidi" w:cstheme="majorBidi"/>
        </w:rPr>
        <w:t>.</w:t>
      </w:r>
    </w:p>
    <w:p w:rsidRPr="00C270C5" w:rsidR="00C15D86" w:rsidP="009B774E" w:rsidRDefault="00C15D86" w14:paraId="3D1B57A9" w14:textId="77777777">
      <w:pPr>
        <w:rPr>
          <w:rFonts w:asciiTheme="majorBidi" w:hAnsiTheme="majorBidi" w:cstheme="majorBidi"/>
          <w:b/>
        </w:rPr>
      </w:pPr>
    </w:p>
    <w:p w:rsidRPr="00C270C5" w:rsidR="00C15D86" w:rsidP="009B774E" w:rsidRDefault="00C15D86" w14:paraId="5CFEB86C" w14:textId="77777777">
      <w:pPr>
        <w:rPr>
          <w:rFonts w:asciiTheme="majorBidi" w:hAnsiTheme="majorBidi" w:cstheme="majorBidi"/>
          <w:b/>
        </w:rPr>
      </w:pPr>
    </w:p>
    <w:p w:rsidRPr="00C270C5" w:rsidR="00C15D86" w:rsidP="009B774E" w:rsidRDefault="00C47DDD" w14:paraId="32F5F2C2" w14:textId="77777777">
      <w:pPr>
        <w:rPr>
          <w:rFonts w:asciiTheme="majorBidi" w:hAnsiTheme="majorBidi" w:cstheme="majorBidi"/>
          <w:b/>
          <w:u w:val="single"/>
        </w:rPr>
      </w:pPr>
      <w:r w:rsidRPr="00C270C5">
        <w:rPr>
          <w:rFonts w:asciiTheme="majorBidi" w:hAnsiTheme="majorBidi" w:cstheme="majorBidi"/>
          <w:b/>
        </w:rPr>
        <w:t>6.</w:t>
      </w:r>
      <w:r w:rsidRPr="00C270C5">
        <w:rPr>
          <w:rFonts w:asciiTheme="majorBidi" w:hAnsiTheme="majorBidi" w:cstheme="majorBidi"/>
          <w:b/>
        </w:rPr>
        <w:tab/>
      </w:r>
      <w:r w:rsidRPr="00C270C5">
        <w:rPr>
          <w:rFonts w:asciiTheme="majorBidi" w:hAnsiTheme="majorBidi" w:cstheme="majorBidi"/>
          <w:b/>
          <w:u w:val="single"/>
        </w:rPr>
        <w:t>ESTIMATING BURDEN AND COST OF THE COLLECTION</w:t>
      </w:r>
    </w:p>
    <w:p w:rsidRPr="00C270C5" w:rsidR="00C15D86" w:rsidP="009B774E" w:rsidRDefault="00C15D86" w14:paraId="206EC90E" w14:textId="77777777">
      <w:pPr>
        <w:rPr>
          <w:rFonts w:asciiTheme="majorBidi" w:hAnsiTheme="majorBidi" w:cstheme="majorBidi"/>
        </w:rPr>
      </w:pPr>
    </w:p>
    <w:p w:rsidRPr="00C270C5" w:rsidR="00532D61" w:rsidP="009B774E" w:rsidRDefault="00B005C9" w14:paraId="526E6019" w14:textId="295DC9BF">
      <w:pPr>
        <w:keepNext/>
        <w:ind w:firstLine="720"/>
        <w:rPr>
          <w:rFonts w:asciiTheme="majorBidi" w:hAnsiTheme="majorBidi" w:cstheme="majorBidi"/>
        </w:rPr>
      </w:pPr>
      <w:r w:rsidRPr="00C270C5">
        <w:rPr>
          <w:rFonts w:asciiTheme="majorBidi" w:hAnsiTheme="majorBidi" w:cstheme="majorBidi"/>
        </w:rPr>
        <w:t>The p</w:t>
      </w:r>
      <w:r w:rsidRPr="00C270C5" w:rsidR="001D3F10">
        <w:rPr>
          <w:rFonts w:asciiTheme="majorBidi" w:hAnsiTheme="majorBidi" w:cstheme="majorBidi"/>
        </w:rPr>
        <w:t>aperwork burden from pesticide registration come</w:t>
      </w:r>
      <w:r w:rsidRPr="00C270C5" w:rsidR="006A38F5">
        <w:rPr>
          <w:rFonts w:asciiTheme="majorBidi" w:hAnsiTheme="majorBidi" w:cstheme="majorBidi"/>
        </w:rPr>
        <w:t>s</w:t>
      </w:r>
      <w:r w:rsidRPr="00C270C5" w:rsidR="001D3F10">
        <w:rPr>
          <w:rFonts w:asciiTheme="majorBidi" w:hAnsiTheme="majorBidi" w:cstheme="majorBidi"/>
        </w:rPr>
        <w:t xml:space="preserve"> from </w:t>
      </w:r>
      <w:r w:rsidRPr="00C270C5" w:rsidR="001963DA">
        <w:rPr>
          <w:rFonts w:asciiTheme="majorBidi" w:hAnsiTheme="majorBidi" w:cstheme="majorBidi"/>
        </w:rPr>
        <w:t xml:space="preserve">two </w:t>
      </w:r>
      <w:r w:rsidRPr="00C270C5" w:rsidR="001D3F10">
        <w:rPr>
          <w:rFonts w:asciiTheme="majorBidi" w:hAnsiTheme="majorBidi" w:cstheme="majorBidi"/>
        </w:rPr>
        <w:t xml:space="preserve">sources: </w:t>
      </w:r>
      <w:r w:rsidRPr="00C270C5">
        <w:rPr>
          <w:rFonts w:asciiTheme="majorBidi" w:hAnsiTheme="majorBidi" w:cstheme="majorBidi"/>
        </w:rPr>
        <w:t>the</w:t>
      </w:r>
      <w:r w:rsidRPr="00C270C5" w:rsidR="007C6BD9">
        <w:rPr>
          <w:rFonts w:asciiTheme="majorBidi" w:hAnsiTheme="majorBidi" w:cstheme="majorBidi"/>
        </w:rPr>
        <w:t xml:space="preserve"> </w:t>
      </w:r>
      <w:r w:rsidRPr="00C270C5" w:rsidR="001D3F10">
        <w:rPr>
          <w:rFonts w:asciiTheme="majorBidi" w:hAnsiTheme="majorBidi" w:cstheme="majorBidi"/>
        </w:rPr>
        <w:t xml:space="preserve">burden </w:t>
      </w:r>
      <w:r w:rsidRPr="00C270C5">
        <w:rPr>
          <w:rFonts w:asciiTheme="majorBidi" w:hAnsiTheme="majorBidi" w:cstheme="majorBidi"/>
        </w:rPr>
        <w:t xml:space="preserve">that results </w:t>
      </w:r>
      <w:r w:rsidRPr="00C270C5" w:rsidR="001D3F10">
        <w:rPr>
          <w:rFonts w:asciiTheme="majorBidi" w:hAnsiTheme="majorBidi" w:cstheme="majorBidi"/>
        </w:rPr>
        <w:t xml:space="preserve">from preparing and filing the registration </w:t>
      </w:r>
      <w:r w:rsidRPr="00C270C5" w:rsidR="007C6BD9">
        <w:rPr>
          <w:rFonts w:asciiTheme="majorBidi" w:hAnsiTheme="majorBidi" w:cstheme="majorBidi"/>
        </w:rPr>
        <w:t xml:space="preserve">application </w:t>
      </w:r>
      <w:r w:rsidRPr="00C270C5" w:rsidR="001963DA">
        <w:rPr>
          <w:rFonts w:asciiTheme="majorBidi" w:hAnsiTheme="majorBidi" w:cstheme="majorBidi"/>
        </w:rPr>
        <w:t xml:space="preserve">and </w:t>
      </w:r>
      <w:r w:rsidRPr="00C270C5">
        <w:rPr>
          <w:rFonts w:asciiTheme="majorBidi" w:hAnsiTheme="majorBidi" w:cstheme="majorBidi"/>
        </w:rPr>
        <w:t xml:space="preserve">the </w:t>
      </w:r>
      <w:r w:rsidRPr="00C270C5" w:rsidR="001963DA">
        <w:rPr>
          <w:rFonts w:asciiTheme="majorBidi" w:hAnsiTheme="majorBidi" w:cstheme="majorBidi"/>
        </w:rPr>
        <w:t xml:space="preserve">PRA </w:t>
      </w:r>
      <w:r w:rsidRPr="00C270C5" w:rsidR="001D3F10">
        <w:rPr>
          <w:rFonts w:asciiTheme="majorBidi" w:hAnsiTheme="majorBidi" w:cstheme="majorBidi"/>
        </w:rPr>
        <w:t>burden associated with</w:t>
      </w:r>
      <w:r w:rsidRPr="00C270C5">
        <w:rPr>
          <w:rFonts w:asciiTheme="majorBidi" w:hAnsiTheme="majorBidi" w:cstheme="majorBidi"/>
        </w:rPr>
        <w:t xml:space="preserve"> scientific study</w:t>
      </w:r>
      <w:r w:rsidRPr="00C270C5" w:rsidR="001D3F10">
        <w:rPr>
          <w:rFonts w:asciiTheme="majorBidi" w:hAnsiTheme="majorBidi" w:cstheme="majorBidi"/>
        </w:rPr>
        <w:t xml:space="preserve"> data generation.</w:t>
      </w:r>
      <w:r w:rsidRPr="00C270C5" w:rsidR="007841AD">
        <w:rPr>
          <w:rFonts w:asciiTheme="majorBidi" w:hAnsiTheme="majorBidi" w:cstheme="majorBidi"/>
        </w:rPr>
        <w:t xml:space="preserve"> </w:t>
      </w:r>
      <w:r w:rsidR="00802289">
        <w:rPr>
          <w:rFonts w:asciiTheme="majorBidi" w:hAnsiTheme="majorBidi" w:cstheme="majorBidi"/>
        </w:rPr>
        <w:t>Most of the p</w:t>
      </w:r>
      <w:r w:rsidRPr="00C270C5" w:rsidR="00532D61">
        <w:rPr>
          <w:rFonts w:asciiTheme="majorBidi" w:hAnsiTheme="majorBidi" w:cstheme="majorBidi"/>
        </w:rPr>
        <w:t xml:space="preserve">revious versions of this ICR did not </w:t>
      </w:r>
      <w:r w:rsidRPr="00C270C5" w:rsidR="00443F8D">
        <w:rPr>
          <w:rFonts w:asciiTheme="majorBidi" w:hAnsiTheme="majorBidi" w:cstheme="majorBidi"/>
        </w:rPr>
        <w:t>contain estimates of burden associated with data generation</w:t>
      </w:r>
      <w:r w:rsidR="002911EC">
        <w:rPr>
          <w:rFonts w:asciiTheme="majorBidi" w:hAnsiTheme="majorBidi" w:cstheme="majorBidi"/>
        </w:rPr>
        <w:t>; the previous ICR renewal was the first one to include this burden component</w:t>
      </w:r>
      <w:r w:rsidRPr="00C270C5" w:rsidR="00443F8D">
        <w:rPr>
          <w:rFonts w:asciiTheme="majorBidi" w:hAnsiTheme="majorBidi" w:cstheme="majorBidi"/>
        </w:rPr>
        <w:t>.</w:t>
      </w:r>
      <w:r w:rsidRPr="00C270C5" w:rsidR="007841AD">
        <w:rPr>
          <w:rFonts w:asciiTheme="majorBidi" w:hAnsiTheme="majorBidi" w:cstheme="majorBidi"/>
        </w:rPr>
        <w:t xml:space="preserve"> </w:t>
      </w:r>
      <w:r w:rsidRPr="00C270C5" w:rsidR="001D3F10">
        <w:rPr>
          <w:rFonts w:asciiTheme="majorBidi" w:hAnsiTheme="majorBidi" w:cstheme="majorBidi"/>
        </w:rPr>
        <w:t xml:space="preserve">Estimates of </w:t>
      </w:r>
      <w:r w:rsidRPr="00C270C5">
        <w:rPr>
          <w:rFonts w:asciiTheme="majorBidi" w:hAnsiTheme="majorBidi" w:cstheme="majorBidi"/>
        </w:rPr>
        <w:t xml:space="preserve">the </w:t>
      </w:r>
      <w:r w:rsidRPr="00C270C5" w:rsidR="001D3F10">
        <w:rPr>
          <w:rFonts w:asciiTheme="majorBidi" w:hAnsiTheme="majorBidi" w:cstheme="majorBidi"/>
        </w:rPr>
        <w:t xml:space="preserve">paperwork burden hours and costs from </w:t>
      </w:r>
      <w:r w:rsidRPr="00C270C5" w:rsidR="001963DA">
        <w:rPr>
          <w:rFonts w:asciiTheme="majorBidi" w:hAnsiTheme="majorBidi" w:cstheme="majorBidi"/>
        </w:rPr>
        <w:t xml:space="preserve">both </w:t>
      </w:r>
      <w:r w:rsidRPr="00C270C5" w:rsidR="001D3F10">
        <w:rPr>
          <w:rFonts w:asciiTheme="majorBidi" w:hAnsiTheme="majorBidi" w:cstheme="majorBidi"/>
        </w:rPr>
        <w:t xml:space="preserve">sources are </w:t>
      </w:r>
      <w:r w:rsidRPr="00C270C5" w:rsidR="006A38F5">
        <w:rPr>
          <w:rFonts w:asciiTheme="majorBidi" w:hAnsiTheme="majorBidi" w:cstheme="majorBidi"/>
        </w:rPr>
        <w:t xml:space="preserve">provided </w:t>
      </w:r>
      <w:r w:rsidRPr="00C270C5" w:rsidR="001D3F10">
        <w:rPr>
          <w:rFonts w:asciiTheme="majorBidi" w:hAnsiTheme="majorBidi" w:cstheme="majorBidi"/>
        </w:rPr>
        <w:t>in this section.</w:t>
      </w:r>
      <w:r w:rsidRPr="00C270C5" w:rsidR="00280076">
        <w:rPr>
          <w:rFonts w:asciiTheme="majorBidi" w:hAnsiTheme="majorBidi" w:cstheme="majorBidi"/>
        </w:rPr>
        <w:t xml:space="preserve"> Tables 1-A</w:t>
      </w:r>
      <w:r w:rsidRPr="00C270C5" w:rsidR="001963DA">
        <w:rPr>
          <w:rFonts w:asciiTheme="majorBidi" w:hAnsiTheme="majorBidi" w:cstheme="majorBidi"/>
        </w:rPr>
        <w:t xml:space="preserve"> and</w:t>
      </w:r>
      <w:r w:rsidRPr="00C270C5" w:rsidR="00280076">
        <w:rPr>
          <w:rFonts w:asciiTheme="majorBidi" w:hAnsiTheme="majorBidi" w:cstheme="majorBidi"/>
        </w:rPr>
        <w:t xml:space="preserve"> 1-B</w:t>
      </w:r>
      <w:r w:rsidRPr="00C270C5" w:rsidR="001963DA">
        <w:rPr>
          <w:rFonts w:asciiTheme="majorBidi" w:hAnsiTheme="majorBidi" w:cstheme="majorBidi"/>
        </w:rPr>
        <w:t xml:space="preserve"> </w:t>
      </w:r>
      <w:r w:rsidRPr="00C270C5" w:rsidR="00280076">
        <w:rPr>
          <w:rFonts w:asciiTheme="majorBidi" w:hAnsiTheme="majorBidi" w:cstheme="majorBidi"/>
        </w:rPr>
        <w:t>show the total annual paperwork burden estimates (hours) for this information collection. It should be noted that the number of responses for the application process paperwork burden do not directly correlate with the number of responses for the data generation burden.</w:t>
      </w:r>
    </w:p>
    <w:p w:rsidRPr="00C270C5" w:rsidR="00532D61" w:rsidP="009B774E" w:rsidRDefault="00532D61" w14:paraId="3B035669" w14:textId="77777777">
      <w:pPr>
        <w:keepNext/>
        <w:ind w:firstLine="720"/>
        <w:rPr>
          <w:rFonts w:asciiTheme="majorBidi" w:hAnsiTheme="majorBidi" w:cstheme="majorBidi"/>
        </w:rPr>
      </w:pPr>
    </w:p>
    <w:p w:rsidRPr="00C270C5" w:rsidR="00472724" w:rsidP="009B774E" w:rsidRDefault="00B005C9" w14:paraId="12F810CF" w14:textId="1602AA8C">
      <w:pPr>
        <w:keepNext/>
        <w:ind w:firstLine="720"/>
        <w:rPr>
          <w:rFonts w:asciiTheme="majorBidi" w:hAnsiTheme="majorBidi" w:cstheme="majorBidi"/>
        </w:rPr>
      </w:pPr>
      <w:r w:rsidRPr="00C270C5">
        <w:rPr>
          <w:rFonts w:asciiTheme="majorBidi" w:hAnsiTheme="majorBidi" w:cstheme="majorBidi"/>
        </w:rPr>
        <w:t>The p</w:t>
      </w:r>
      <w:r w:rsidRPr="00C270C5" w:rsidR="001D3F10">
        <w:rPr>
          <w:rFonts w:asciiTheme="majorBidi" w:hAnsiTheme="majorBidi" w:cstheme="majorBidi"/>
        </w:rPr>
        <w:t>aperwork burden from the application process and from data generation varies by the type of application.</w:t>
      </w:r>
      <w:r w:rsidRPr="00C270C5" w:rsidR="007841AD">
        <w:rPr>
          <w:rFonts w:asciiTheme="majorBidi" w:hAnsiTheme="majorBidi" w:cstheme="majorBidi"/>
        </w:rPr>
        <w:t xml:space="preserve"> </w:t>
      </w:r>
      <w:r w:rsidRPr="00C270C5" w:rsidR="001D3F10">
        <w:rPr>
          <w:rFonts w:asciiTheme="majorBidi" w:hAnsiTheme="majorBidi" w:cstheme="majorBidi"/>
        </w:rPr>
        <w:t xml:space="preserve">For </w:t>
      </w:r>
      <w:r w:rsidRPr="00C270C5">
        <w:rPr>
          <w:rFonts w:asciiTheme="majorBidi" w:hAnsiTheme="majorBidi" w:cstheme="majorBidi"/>
        </w:rPr>
        <w:t xml:space="preserve">the </w:t>
      </w:r>
      <w:r w:rsidRPr="00C270C5" w:rsidR="001D3F10">
        <w:rPr>
          <w:rFonts w:asciiTheme="majorBidi" w:hAnsiTheme="majorBidi" w:cstheme="majorBidi"/>
        </w:rPr>
        <w:t>burden from the application process, applications are grouped into three types—Type A, Type B, and Type C—as previously described.</w:t>
      </w:r>
      <w:r w:rsidRPr="00C270C5" w:rsidR="007841AD">
        <w:rPr>
          <w:rFonts w:asciiTheme="majorBidi" w:hAnsiTheme="majorBidi" w:cstheme="majorBidi"/>
        </w:rPr>
        <w:t xml:space="preserve"> </w:t>
      </w:r>
      <w:r w:rsidRPr="00C270C5" w:rsidR="00472724">
        <w:rPr>
          <w:rFonts w:asciiTheme="majorBidi" w:hAnsiTheme="majorBidi" w:cstheme="majorBidi"/>
        </w:rPr>
        <w:t xml:space="preserve">Estimates of </w:t>
      </w:r>
      <w:r w:rsidRPr="00C270C5">
        <w:rPr>
          <w:rFonts w:asciiTheme="majorBidi" w:hAnsiTheme="majorBidi" w:cstheme="majorBidi"/>
        </w:rPr>
        <w:t xml:space="preserve">the </w:t>
      </w:r>
      <w:r w:rsidRPr="00C270C5" w:rsidR="00472724">
        <w:rPr>
          <w:rFonts w:asciiTheme="majorBidi" w:hAnsiTheme="majorBidi" w:cstheme="majorBidi"/>
        </w:rPr>
        <w:t>b</w:t>
      </w:r>
      <w:r w:rsidRPr="00C270C5" w:rsidR="001D3F10">
        <w:rPr>
          <w:rFonts w:asciiTheme="majorBidi" w:hAnsiTheme="majorBidi" w:cstheme="majorBidi"/>
        </w:rPr>
        <w:t xml:space="preserve">urden </w:t>
      </w:r>
      <w:r w:rsidRPr="00C270C5" w:rsidR="00472724">
        <w:rPr>
          <w:rFonts w:asciiTheme="majorBidi" w:hAnsiTheme="majorBidi" w:cstheme="majorBidi"/>
        </w:rPr>
        <w:t xml:space="preserve">and cost </w:t>
      </w:r>
      <w:r w:rsidRPr="00C270C5" w:rsidR="001D3F10">
        <w:rPr>
          <w:rFonts w:asciiTheme="majorBidi" w:hAnsiTheme="majorBidi" w:cstheme="majorBidi"/>
        </w:rPr>
        <w:t>from the application process is described for each of these three categories in Section 6(</w:t>
      </w:r>
      <w:r w:rsidRPr="00C270C5" w:rsidR="006A38F5">
        <w:rPr>
          <w:rFonts w:asciiTheme="majorBidi" w:hAnsiTheme="majorBidi" w:cstheme="majorBidi"/>
        </w:rPr>
        <w:t>a</w:t>
      </w:r>
      <w:r w:rsidRPr="00C270C5" w:rsidR="001D3F10">
        <w:rPr>
          <w:rFonts w:asciiTheme="majorBidi" w:hAnsiTheme="majorBidi" w:cstheme="majorBidi"/>
        </w:rPr>
        <w:t>)</w:t>
      </w:r>
      <w:r w:rsidR="00802D09">
        <w:rPr>
          <w:rFonts w:asciiTheme="majorBidi" w:hAnsiTheme="majorBidi" w:cstheme="majorBidi"/>
        </w:rPr>
        <w:t xml:space="preserve"> of this ICR</w:t>
      </w:r>
      <w:r w:rsidRPr="00C270C5" w:rsidR="001D3F10">
        <w:rPr>
          <w:rFonts w:asciiTheme="majorBidi" w:hAnsiTheme="majorBidi" w:cstheme="majorBidi"/>
        </w:rPr>
        <w:t>.</w:t>
      </w:r>
      <w:r w:rsidRPr="00C270C5" w:rsidR="007841AD">
        <w:rPr>
          <w:rFonts w:asciiTheme="majorBidi" w:hAnsiTheme="majorBidi" w:cstheme="majorBidi"/>
        </w:rPr>
        <w:t xml:space="preserve"> </w:t>
      </w:r>
    </w:p>
    <w:p w:rsidRPr="00C270C5" w:rsidR="00472724" w:rsidP="009B774E" w:rsidRDefault="00472724" w14:paraId="72FD9781" w14:textId="77777777">
      <w:pPr>
        <w:keepNext/>
        <w:ind w:firstLine="720"/>
        <w:rPr>
          <w:rFonts w:asciiTheme="majorBidi" w:hAnsiTheme="majorBidi" w:cstheme="majorBidi"/>
        </w:rPr>
      </w:pPr>
    </w:p>
    <w:p w:rsidRPr="00C270C5" w:rsidR="00683917" w:rsidP="009B774E" w:rsidRDefault="00B005C9" w14:paraId="1802EBA5" w14:textId="1054BC12">
      <w:pPr>
        <w:ind w:firstLine="720"/>
        <w:rPr>
          <w:rFonts w:asciiTheme="majorBidi" w:hAnsiTheme="majorBidi" w:cstheme="majorBidi"/>
        </w:rPr>
      </w:pPr>
      <w:r w:rsidRPr="00C270C5">
        <w:rPr>
          <w:rFonts w:asciiTheme="majorBidi" w:hAnsiTheme="majorBidi" w:cstheme="majorBidi"/>
        </w:rPr>
        <w:t>The p</w:t>
      </w:r>
      <w:r w:rsidRPr="00C270C5" w:rsidR="001D3F10">
        <w:rPr>
          <w:rFonts w:asciiTheme="majorBidi" w:hAnsiTheme="majorBidi" w:cstheme="majorBidi"/>
        </w:rPr>
        <w:t xml:space="preserve">aperwork burden from </w:t>
      </w:r>
      <w:r w:rsidRPr="00C270C5">
        <w:rPr>
          <w:rFonts w:asciiTheme="majorBidi" w:hAnsiTheme="majorBidi" w:cstheme="majorBidi"/>
        </w:rPr>
        <w:t xml:space="preserve">study </w:t>
      </w:r>
      <w:r w:rsidRPr="00C270C5" w:rsidR="001D3F10">
        <w:rPr>
          <w:rFonts w:asciiTheme="majorBidi" w:hAnsiTheme="majorBidi" w:cstheme="majorBidi"/>
        </w:rPr>
        <w:t>data generation does not occu</w:t>
      </w:r>
      <w:r w:rsidRPr="00C270C5" w:rsidR="00472724">
        <w:rPr>
          <w:rFonts w:asciiTheme="majorBidi" w:hAnsiTheme="majorBidi" w:cstheme="majorBidi"/>
        </w:rPr>
        <w:t xml:space="preserve">r with all types of registrations, only those that require </w:t>
      </w:r>
      <w:r w:rsidRPr="00C270C5" w:rsidR="00CB2F03">
        <w:rPr>
          <w:rFonts w:asciiTheme="majorBidi" w:hAnsiTheme="majorBidi" w:cstheme="majorBidi"/>
        </w:rPr>
        <w:t xml:space="preserve">submission of </w:t>
      </w:r>
      <w:r w:rsidRPr="00C270C5" w:rsidR="00472724">
        <w:rPr>
          <w:rFonts w:asciiTheme="majorBidi" w:hAnsiTheme="majorBidi" w:cstheme="majorBidi"/>
        </w:rPr>
        <w:t>data</w:t>
      </w:r>
      <w:r w:rsidRPr="00C270C5" w:rsidR="001D3F10">
        <w:rPr>
          <w:rFonts w:asciiTheme="majorBidi" w:hAnsiTheme="majorBidi" w:cstheme="majorBidi"/>
        </w:rPr>
        <w:t>.</w:t>
      </w:r>
      <w:r w:rsidRPr="00C270C5" w:rsidR="007841AD">
        <w:rPr>
          <w:rFonts w:asciiTheme="majorBidi" w:hAnsiTheme="majorBidi" w:cstheme="majorBidi"/>
        </w:rPr>
        <w:t xml:space="preserve"> </w:t>
      </w:r>
      <w:r w:rsidRPr="00C270C5" w:rsidR="001D3F10">
        <w:rPr>
          <w:rFonts w:asciiTheme="majorBidi" w:hAnsiTheme="majorBidi" w:cstheme="majorBidi"/>
        </w:rPr>
        <w:t xml:space="preserve">Only new active ingredients (AI), new uses, new products, and some label amendments require </w:t>
      </w:r>
      <w:r w:rsidRPr="00C270C5" w:rsidR="00EA46C9">
        <w:rPr>
          <w:rFonts w:asciiTheme="majorBidi" w:hAnsiTheme="majorBidi" w:cstheme="majorBidi"/>
        </w:rPr>
        <w:t xml:space="preserve">such </w:t>
      </w:r>
      <w:r w:rsidRPr="00C270C5" w:rsidR="001D3F10">
        <w:rPr>
          <w:rFonts w:asciiTheme="majorBidi" w:hAnsiTheme="majorBidi" w:cstheme="majorBidi"/>
        </w:rPr>
        <w:t>data.</w:t>
      </w:r>
      <w:r w:rsidRPr="00C270C5" w:rsidR="007841AD">
        <w:rPr>
          <w:rFonts w:asciiTheme="majorBidi" w:hAnsiTheme="majorBidi" w:cstheme="majorBidi"/>
        </w:rPr>
        <w:t xml:space="preserve"> </w:t>
      </w:r>
      <w:r w:rsidRPr="00C270C5" w:rsidR="00EA46C9">
        <w:rPr>
          <w:rFonts w:asciiTheme="majorBidi" w:hAnsiTheme="majorBidi" w:cstheme="majorBidi"/>
        </w:rPr>
        <w:t>The majority of d</w:t>
      </w:r>
      <w:r w:rsidRPr="00C270C5" w:rsidR="001D3F10">
        <w:rPr>
          <w:rFonts w:asciiTheme="majorBidi" w:hAnsiTheme="majorBidi" w:cstheme="majorBidi"/>
        </w:rPr>
        <w:t>ata required for registration of new uses</w:t>
      </w:r>
      <w:r w:rsidRPr="00C270C5" w:rsidR="00CB2F03">
        <w:rPr>
          <w:rFonts w:asciiTheme="majorBidi" w:hAnsiTheme="majorBidi" w:cstheme="majorBidi"/>
        </w:rPr>
        <w:t xml:space="preserve"> </w:t>
      </w:r>
      <w:r w:rsidRPr="00C270C5" w:rsidR="00EA46C9">
        <w:rPr>
          <w:rFonts w:asciiTheme="majorBidi" w:hAnsiTheme="majorBidi" w:cstheme="majorBidi"/>
        </w:rPr>
        <w:t xml:space="preserve">are </w:t>
      </w:r>
      <w:r w:rsidRPr="00C270C5" w:rsidR="00CB2F03">
        <w:rPr>
          <w:rFonts w:asciiTheme="majorBidi" w:hAnsiTheme="majorBidi" w:cstheme="majorBidi"/>
        </w:rPr>
        <w:t xml:space="preserve">limited to residue </w:t>
      </w:r>
      <w:r w:rsidRPr="00C270C5" w:rsidR="00CB40F4">
        <w:rPr>
          <w:rFonts w:asciiTheme="majorBidi" w:hAnsiTheme="majorBidi" w:cstheme="majorBidi"/>
        </w:rPr>
        <w:t>chemistry</w:t>
      </w:r>
      <w:r w:rsidRPr="00C270C5" w:rsidR="00EA46C9">
        <w:rPr>
          <w:rFonts w:asciiTheme="majorBidi" w:hAnsiTheme="majorBidi" w:cstheme="majorBidi"/>
        </w:rPr>
        <w:t xml:space="preserve"> studies </w:t>
      </w:r>
      <w:r w:rsidRPr="00C270C5" w:rsidR="00CB2F03">
        <w:rPr>
          <w:rFonts w:asciiTheme="majorBidi" w:hAnsiTheme="majorBidi" w:cstheme="majorBidi"/>
        </w:rPr>
        <w:t>necessary</w:t>
      </w:r>
      <w:r w:rsidRPr="00C270C5" w:rsidR="001D3F10">
        <w:rPr>
          <w:rFonts w:asciiTheme="majorBidi" w:hAnsiTheme="majorBidi" w:cstheme="majorBidi"/>
        </w:rPr>
        <w:t xml:space="preserve"> to establish a new tolerance.</w:t>
      </w:r>
      <w:r w:rsidRPr="00C270C5" w:rsidR="007841AD">
        <w:rPr>
          <w:rFonts w:asciiTheme="majorBidi" w:hAnsiTheme="majorBidi" w:cstheme="majorBidi"/>
        </w:rPr>
        <w:t xml:space="preserve"> </w:t>
      </w:r>
      <w:r w:rsidRPr="00C270C5" w:rsidR="00683917">
        <w:rPr>
          <w:rFonts w:asciiTheme="majorBidi" w:hAnsiTheme="majorBidi" w:cstheme="majorBidi"/>
        </w:rPr>
        <w:t xml:space="preserve">As indicated in Sections 1(b) and 3(a) of this ICR, the Agency has chosen to account </w:t>
      </w:r>
      <w:r w:rsidRPr="00C270C5" w:rsidR="00683917">
        <w:rPr>
          <w:rFonts w:asciiTheme="majorBidi" w:hAnsiTheme="majorBidi" w:cstheme="majorBidi"/>
        </w:rPr>
        <w:lastRenderedPageBreak/>
        <w:t>for the burden for generation of residue chemistry data used for tolerances in the tolerance petition ICR, whether the data is submitted with an application for a new food use of a pesticide active ingredient or as part of a petition seeking a tolerance. The EPA believes that is the best place for it – as most of that data is generated with petitions and not for the initial application.</w:t>
      </w:r>
    </w:p>
    <w:p w:rsidRPr="00C270C5" w:rsidR="00683917" w:rsidP="009B774E" w:rsidRDefault="00683917" w14:paraId="4316DA21" w14:textId="77777777">
      <w:pPr>
        <w:rPr>
          <w:rFonts w:asciiTheme="majorBidi" w:hAnsiTheme="majorBidi" w:cstheme="majorBidi"/>
        </w:rPr>
      </w:pPr>
    </w:p>
    <w:p w:rsidRPr="00C270C5" w:rsidR="001D3F10" w:rsidP="009B774E" w:rsidRDefault="001D3F10" w14:paraId="433D0754" w14:textId="7C326BFF">
      <w:pPr>
        <w:keepNext/>
        <w:ind w:firstLine="720"/>
        <w:rPr>
          <w:rFonts w:asciiTheme="majorBidi" w:hAnsiTheme="majorBidi" w:cstheme="majorBidi"/>
        </w:rPr>
      </w:pPr>
      <w:r w:rsidRPr="00C270C5">
        <w:rPr>
          <w:rFonts w:asciiTheme="majorBidi" w:hAnsiTheme="majorBidi" w:cstheme="majorBidi"/>
        </w:rPr>
        <w:t xml:space="preserve">Therefore, </w:t>
      </w:r>
      <w:r w:rsidRPr="00C270C5" w:rsidR="00EA46C9">
        <w:rPr>
          <w:rFonts w:asciiTheme="majorBidi" w:hAnsiTheme="majorBidi" w:cstheme="majorBidi"/>
        </w:rPr>
        <w:t xml:space="preserve">the </w:t>
      </w:r>
      <w:r w:rsidRPr="00C270C5">
        <w:rPr>
          <w:rFonts w:asciiTheme="majorBidi" w:hAnsiTheme="majorBidi" w:cstheme="majorBidi"/>
        </w:rPr>
        <w:t xml:space="preserve">paperwork burden from generation </w:t>
      </w:r>
      <w:r w:rsidRPr="00C270C5" w:rsidR="00EA46C9">
        <w:rPr>
          <w:rFonts w:asciiTheme="majorBidi" w:hAnsiTheme="majorBidi" w:cstheme="majorBidi"/>
        </w:rPr>
        <w:t xml:space="preserve">study data </w:t>
      </w:r>
      <w:r w:rsidRPr="00C270C5" w:rsidR="00472724">
        <w:rPr>
          <w:rFonts w:asciiTheme="majorBidi" w:hAnsiTheme="majorBidi" w:cstheme="majorBidi"/>
        </w:rPr>
        <w:t xml:space="preserve">for new uses </w:t>
      </w:r>
      <w:r w:rsidRPr="00C270C5" w:rsidR="00443F8D">
        <w:rPr>
          <w:rFonts w:asciiTheme="majorBidi" w:hAnsiTheme="majorBidi" w:cstheme="majorBidi"/>
        </w:rPr>
        <w:t>would be covered by</w:t>
      </w:r>
      <w:r w:rsidRPr="00C270C5" w:rsidR="00472724">
        <w:rPr>
          <w:rFonts w:asciiTheme="majorBidi" w:hAnsiTheme="majorBidi" w:cstheme="majorBidi"/>
        </w:rPr>
        <w:t xml:space="preserve"> the T</w:t>
      </w:r>
      <w:r w:rsidRPr="00C270C5">
        <w:rPr>
          <w:rFonts w:asciiTheme="majorBidi" w:hAnsiTheme="majorBidi" w:cstheme="majorBidi"/>
        </w:rPr>
        <w:t xml:space="preserve">olerance ICR </w:t>
      </w:r>
      <w:r w:rsidRPr="00C270C5" w:rsidR="00CB2F03">
        <w:rPr>
          <w:rFonts w:asciiTheme="majorBidi" w:hAnsiTheme="majorBidi" w:cstheme="majorBidi"/>
        </w:rPr>
        <w:t xml:space="preserve">(OMB Control No. </w:t>
      </w:r>
      <w:r w:rsidRPr="00C270C5" w:rsidR="00BB69C2">
        <w:rPr>
          <w:rFonts w:asciiTheme="majorBidi" w:hAnsiTheme="majorBidi" w:cstheme="majorBidi"/>
        </w:rPr>
        <w:t>2070-0024</w:t>
      </w:r>
      <w:r w:rsidRPr="00C270C5" w:rsidR="00595637">
        <w:rPr>
          <w:rFonts w:asciiTheme="majorBidi" w:hAnsiTheme="majorBidi" w:cstheme="majorBidi"/>
        </w:rPr>
        <w:t>)</w:t>
      </w:r>
      <w:r w:rsidRPr="00C270C5" w:rsidR="00CB2F03">
        <w:rPr>
          <w:rFonts w:asciiTheme="majorBidi" w:hAnsiTheme="majorBidi" w:cstheme="majorBidi"/>
        </w:rPr>
        <w:t xml:space="preserve"> </w:t>
      </w:r>
      <w:r w:rsidRPr="00C270C5">
        <w:rPr>
          <w:rFonts w:asciiTheme="majorBidi" w:hAnsiTheme="majorBidi" w:cstheme="majorBidi"/>
        </w:rPr>
        <w:t>and is not discussed in this ICR.</w:t>
      </w:r>
      <w:r w:rsidRPr="00C270C5" w:rsidR="007841AD">
        <w:rPr>
          <w:rFonts w:asciiTheme="majorBidi" w:hAnsiTheme="majorBidi" w:cstheme="majorBidi"/>
        </w:rPr>
        <w:t xml:space="preserve"> </w:t>
      </w:r>
      <w:r w:rsidRPr="00C270C5" w:rsidR="00472724">
        <w:rPr>
          <w:rFonts w:asciiTheme="majorBidi" w:hAnsiTheme="majorBidi" w:cstheme="majorBidi"/>
        </w:rPr>
        <w:t xml:space="preserve">Estimates of </w:t>
      </w:r>
      <w:r w:rsidRPr="00C270C5" w:rsidR="00EA46C9">
        <w:rPr>
          <w:rFonts w:asciiTheme="majorBidi" w:hAnsiTheme="majorBidi" w:cstheme="majorBidi"/>
        </w:rPr>
        <w:t xml:space="preserve">the </w:t>
      </w:r>
      <w:r w:rsidRPr="00C270C5" w:rsidR="00472724">
        <w:rPr>
          <w:rFonts w:asciiTheme="majorBidi" w:hAnsiTheme="majorBidi" w:cstheme="majorBidi"/>
        </w:rPr>
        <w:t>p</w:t>
      </w:r>
      <w:r w:rsidRPr="00C270C5">
        <w:rPr>
          <w:rFonts w:asciiTheme="majorBidi" w:hAnsiTheme="majorBidi" w:cstheme="majorBidi"/>
        </w:rPr>
        <w:t xml:space="preserve">aperwork burden </w:t>
      </w:r>
      <w:r w:rsidRPr="00C270C5" w:rsidR="00472724">
        <w:rPr>
          <w:rFonts w:asciiTheme="majorBidi" w:hAnsiTheme="majorBidi" w:cstheme="majorBidi"/>
        </w:rPr>
        <w:t xml:space="preserve">and </w:t>
      </w:r>
      <w:r w:rsidRPr="00C270C5" w:rsidR="00141E89">
        <w:rPr>
          <w:rFonts w:asciiTheme="majorBidi" w:hAnsiTheme="majorBidi" w:cstheme="majorBidi"/>
        </w:rPr>
        <w:t xml:space="preserve">the </w:t>
      </w:r>
      <w:r w:rsidRPr="00C270C5" w:rsidR="00472724">
        <w:rPr>
          <w:rFonts w:asciiTheme="majorBidi" w:hAnsiTheme="majorBidi" w:cstheme="majorBidi"/>
        </w:rPr>
        <w:t xml:space="preserve">costs </w:t>
      </w:r>
      <w:r w:rsidRPr="00C270C5" w:rsidR="00141E89">
        <w:rPr>
          <w:rFonts w:asciiTheme="majorBidi" w:hAnsiTheme="majorBidi" w:cstheme="majorBidi"/>
        </w:rPr>
        <w:t>of</w:t>
      </w:r>
      <w:r w:rsidRPr="00C270C5" w:rsidR="002F15CC">
        <w:rPr>
          <w:rFonts w:asciiTheme="majorBidi" w:hAnsiTheme="majorBidi" w:cstheme="majorBidi"/>
        </w:rPr>
        <w:t xml:space="preserve"> </w:t>
      </w:r>
      <w:r w:rsidRPr="00C270C5">
        <w:rPr>
          <w:rFonts w:asciiTheme="majorBidi" w:hAnsiTheme="majorBidi" w:cstheme="majorBidi"/>
        </w:rPr>
        <w:t>data gen</w:t>
      </w:r>
      <w:r w:rsidRPr="00C270C5" w:rsidR="00472724">
        <w:rPr>
          <w:rFonts w:asciiTheme="majorBidi" w:hAnsiTheme="majorBidi" w:cstheme="majorBidi"/>
        </w:rPr>
        <w:t xml:space="preserve">eration associated with new AIs and </w:t>
      </w:r>
      <w:r w:rsidRPr="00C270C5">
        <w:rPr>
          <w:rFonts w:asciiTheme="majorBidi" w:hAnsiTheme="majorBidi" w:cstheme="majorBidi"/>
        </w:rPr>
        <w:t xml:space="preserve">new products is discussed in </w:t>
      </w:r>
      <w:r w:rsidRPr="00C270C5" w:rsidR="00472724">
        <w:rPr>
          <w:rFonts w:asciiTheme="majorBidi" w:hAnsiTheme="majorBidi" w:cstheme="majorBidi"/>
        </w:rPr>
        <w:t>Section 6(b</w:t>
      </w:r>
      <w:r w:rsidRPr="00C270C5" w:rsidR="006A38F5">
        <w:rPr>
          <w:rFonts w:asciiTheme="majorBidi" w:hAnsiTheme="majorBidi" w:cstheme="majorBidi"/>
        </w:rPr>
        <w:t>)</w:t>
      </w:r>
      <w:r w:rsidR="00802D09">
        <w:rPr>
          <w:rFonts w:asciiTheme="majorBidi" w:hAnsiTheme="majorBidi" w:cstheme="majorBidi"/>
        </w:rPr>
        <w:t xml:space="preserve"> of this ICR</w:t>
      </w:r>
      <w:r w:rsidRPr="00C270C5" w:rsidR="006A38F5">
        <w:rPr>
          <w:rFonts w:asciiTheme="majorBidi" w:hAnsiTheme="majorBidi" w:cstheme="majorBidi"/>
        </w:rPr>
        <w:t>.</w:t>
      </w:r>
      <w:r w:rsidRPr="00C270C5" w:rsidR="007841AD">
        <w:rPr>
          <w:rFonts w:asciiTheme="majorBidi" w:hAnsiTheme="majorBidi" w:cstheme="majorBidi"/>
        </w:rPr>
        <w:t xml:space="preserve"> </w:t>
      </w:r>
    </w:p>
    <w:p w:rsidRPr="00C270C5" w:rsidR="006A38F5" w:rsidP="009B774E" w:rsidRDefault="006A38F5" w14:paraId="6CFBE375" w14:textId="77777777">
      <w:pPr>
        <w:keepNext/>
        <w:ind w:firstLine="720"/>
        <w:rPr>
          <w:rFonts w:asciiTheme="majorBidi" w:hAnsiTheme="majorBidi" w:cstheme="majorBidi"/>
        </w:rPr>
      </w:pPr>
    </w:p>
    <w:p w:rsidRPr="00B7108A" w:rsidR="008253DD" w:rsidP="002A3F04" w:rsidRDefault="008253DD" w14:paraId="3F45B545" w14:textId="4F80A4FF">
      <w:pPr>
        <w:keepNext/>
        <w:ind w:firstLine="720"/>
        <w:rPr>
          <w:rFonts w:asciiTheme="majorBidi" w:hAnsiTheme="majorBidi" w:cstheme="majorBidi"/>
        </w:rPr>
      </w:pPr>
      <w:r w:rsidRPr="00B7108A">
        <w:rPr>
          <w:rFonts w:asciiTheme="majorBidi" w:hAnsiTheme="majorBidi" w:cstheme="majorBidi"/>
        </w:rPr>
        <w:t xml:space="preserve">Annual aggregate paperwork burden for all respondent Section 3 activities is estimated to be </w:t>
      </w:r>
      <w:r w:rsidRPr="00B7108A" w:rsidR="003A6F3A">
        <w:rPr>
          <w:rFonts w:asciiTheme="majorBidi" w:hAnsiTheme="majorBidi" w:cstheme="majorBidi"/>
        </w:rPr>
        <w:t>1</w:t>
      </w:r>
      <w:r w:rsidRPr="00B7108A" w:rsidR="00FE0BA5">
        <w:rPr>
          <w:rFonts w:asciiTheme="majorBidi" w:hAnsiTheme="majorBidi" w:cstheme="majorBidi"/>
        </w:rPr>
        <w:t>.</w:t>
      </w:r>
      <w:r w:rsidRPr="00B7108A" w:rsidR="00105D34">
        <w:rPr>
          <w:rFonts w:asciiTheme="majorBidi" w:hAnsiTheme="majorBidi" w:cstheme="majorBidi"/>
        </w:rPr>
        <w:t>6</w:t>
      </w:r>
      <w:r w:rsidRPr="00B7108A">
        <w:rPr>
          <w:rFonts w:asciiTheme="majorBidi" w:hAnsiTheme="majorBidi" w:cstheme="majorBidi"/>
        </w:rPr>
        <w:t xml:space="preserve"> million hours:</w:t>
      </w:r>
      <w:r w:rsidRPr="00B7108A" w:rsidR="00E06F82">
        <w:rPr>
          <w:rFonts w:asciiTheme="majorBidi" w:hAnsiTheme="majorBidi" w:cstheme="majorBidi"/>
        </w:rPr>
        <w:t xml:space="preserve"> </w:t>
      </w:r>
      <w:r w:rsidRPr="00B7108A" w:rsidR="00105D34">
        <w:rPr>
          <w:rFonts w:asciiTheme="majorBidi" w:hAnsiTheme="majorBidi" w:cstheme="majorBidi"/>
        </w:rPr>
        <w:t>145,</w:t>
      </w:r>
      <w:r w:rsidRPr="00B7108A" w:rsidR="00C80D61">
        <w:rPr>
          <w:rFonts w:asciiTheme="majorBidi" w:hAnsiTheme="majorBidi" w:cstheme="majorBidi"/>
        </w:rPr>
        <w:t>646</w:t>
      </w:r>
      <w:r w:rsidRPr="00B7108A">
        <w:rPr>
          <w:rFonts w:asciiTheme="majorBidi" w:hAnsiTheme="majorBidi" w:cstheme="majorBidi"/>
        </w:rPr>
        <w:t xml:space="preserve"> hours for application activities and 1.</w:t>
      </w:r>
      <w:r w:rsidRPr="00B7108A" w:rsidR="00105D34">
        <w:rPr>
          <w:rFonts w:asciiTheme="majorBidi" w:hAnsiTheme="majorBidi" w:cstheme="majorBidi"/>
        </w:rPr>
        <w:t>4</w:t>
      </w:r>
      <w:r w:rsidRPr="00B7108A" w:rsidR="00C80D61">
        <w:rPr>
          <w:rFonts w:asciiTheme="majorBidi" w:hAnsiTheme="majorBidi" w:cstheme="majorBidi"/>
        </w:rPr>
        <w:t>2</w:t>
      </w:r>
      <w:r w:rsidRPr="00B7108A">
        <w:rPr>
          <w:rFonts w:asciiTheme="majorBidi" w:hAnsiTheme="majorBidi" w:cstheme="majorBidi"/>
        </w:rPr>
        <w:t xml:space="preserve"> million hours from data generation.</w:t>
      </w:r>
      <w:r w:rsidRPr="00B7108A" w:rsidR="007841AD">
        <w:rPr>
          <w:rFonts w:asciiTheme="majorBidi" w:hAnsiTheme="majorBidi" w:cstheme="majorBidi"/>
        </w:rPr>
        <w:t xml:space="preserve"> </w:t>
      </w:r>
      <w:r w:rsidRPr="00B7108A">
        <w:rPr>
          <w:rFonts w:asciiTheme="majorBidi" w:hAnsiTheme="majorBidi" w:cstheme="majorBidi"/>
        </w:rPr>
        <w:t xml:space="preserve">There are currently an estimated </w:t>
      </w:r>
      <w:r w:rsidRPr="00B7108A" w:rsidR="009143BE">
        <w:rPr>
          <w:rFonts w:asciiTheme="majorBidi" w:hAnsiTheme="majorBidi" w:cstheme="majorBidi"/>
        </w:rPr>
        <w:t>1,808</w:t>
      </w:r>
      <w:r w:rsidRPr="00B7108A">
        <w:rPr>
          <w:rFonts w:asciiTheme="majorBidi" w:hAnsiTheme="majorBidi" w:cstheme="majorBidi"/>
        </w:rPr>
        <w:t xml:space="preserve"> pesticide registrants holding at least one pesticide registration.</w:t>
      </w:r>
      <w:r w:rsidRPr="00B7108A" w:rsidR="007841AD">
        <w:rPr>
          <w:rFonts w:asciiTheme="majorBidi" w:hAnsiTheme="majorBidi" w:cstheme="majorBidi"/>
        </w:rPr>
        <w:t xml:space="preserve"> </w:t>
      </w:r>
      <w:r w:rsidRPr="00B7108A">
        <w:rPr>
          <w:rFonts w:asciiTheme="majorBidi" w:hAnsiTheme="majorBidi" w:cstheme="majorBidi"/>
        </w:rPr>
        <w:t xml:space="preserve">The number of pesticide registrants has increased since the last ICR renewal from </w:t>
      </w:r>
      <w:r w:rsidRPr="00B7108A" w:rsidR="009143BE">
        <w:rPr>
          <w:rFonts w:asciiTheme="majorBidi" w:hAnsiTheme="majorBidi" w:cstheme="majorBidi"/>
        </w:rPr>
        <w:t>1,751</w:t>
      </w:r>
      <w:r w:rsidRPr="00B7108A">
        <w:rPr>
          <w:rFonts w:asciiTheme="majorBidi" w:hAnsiTheme="majorBidi" w:cstheme="majorBidi"/>
        </w:rPr>
        <w:t xml:space="preserve"> to </w:t>
      </w:r>
      <w:r w:rsidRPr="00B7108A" w:rsidR="009143BE">
        <w:rPr>
          <w:rFonts w:asciiTheme="majorBidi" w:hAnsiTheme="majorBidi" w:cstheme="majorBidi"/>
        </w:rPr>
        <w:t>1,808</w:t>
      </w:r>
      <w:r w:rsidRPr="00B7108A">
        <w:rPr>
          <w:rFonts w:asciiTheme="majorBidi" w:hAnsiTheme="majorBidi" w:cstheme="majorBidi"/>
        </w:rPr>
        <w:t xml:space="preserve">, an increase of </w:t>
      </w:r>
      <w:r w:rsidRPr="00B7108A" w:rsidR="009143BE">
        <w:rPr>
          <w:rFonts w:asciiTheme="majorBidi" w:hAnsiTheme="majorBidi" w:cstheme="majorBidi"/>
        </w:rPr>
        <w:t>57</w:t>
      </w:r>
      <w:r w:rsidRPr="00B7108A">
        <w:rPr>
          <w:rFonts w:asciiTheme="majorBidi" w:hAnsiTheme="majorBidi" w:cstheme="majorBidi"/>
        </w:rPr>
        <w:t xml:space="preserve"> registrants.</w:t>
      </w:r>
      <w:r w:rsidRPr="00B7108A" w:rsidR="007841AD">
        <w:rPr>
          <w:rFonts w:asciiTheme="majorBidi" w:hAnsiTheme="majorBidi" w:cstheme="majorBidi"/>
        </w:rPr>
        <w:t xml:space="preserve"> </w:t>
      </w:r>
    </w:p>
    <w:p w:rsidRPr="00B7108A" w:rsidR="008253DD" w:rsidP="002A3F04" w:rsidRDefault="008253DD" w14:paraId="7047EA7C" w14:textId="77777777">
      <w:pPr>
        <w:rPr>
          <w:rFonts w:asciiTheme="majorBidi" w:hAnsiTheme="majorBidi" w:cstheme="majorBidi"/>
        </w:rPr>
      </w:pPr>
    </w:p>
    <w:p w:rsidRPr="00B7108A" w:rsidR="008253DD" w:rsidP="002A3F04" w:rsidRDefault="008253DD" w14:paraId="11FB8FC2" w14:textId="1546A168">
      <w:pPr>
        <w:ind w:firstLine="720"/>
        <w:rPr>
          <w:rFonts w:asciiTheme="majorBidi" w:hAnsiTheme="majorBidi" w:cstheme="majorBidi"/>
        </w:rPr>
      </w:pPr>
      <w:r w:rsidRPr="00B7108A">
        <w:rPr>
          <w:rFonts w:asciiTheme="majorBidi" w:hAnsiTheme="majorBidi" w:cstheme="majorBidi"/>
        </w:rPr>
        <w:t>The total annual costs associated with paperwork burden from the application process are estimated to be approximately $</w:t>
      </w:r>
      <w:r w:rsidRPr="00B7108A" w:rsidR="00105D34">
        <w:rPr>
          <w:rFonts w:asciiTheme="majorBidi" w:hAnsiTheme="majorBidi" w:cstheme="majorBidi"/>
        </w:rPr>
        <w:t>14.</w:t>
      </w:r>
      <w:r w:rsidRPr="00B7108A" w:rsidR="00C80D61">
        <w:rPr>
          <w:rFonts w:asciiTheme="majorBidi" w:hAnsiTheme="majorBidi" w:cstheme="majorBidi"/>
        </w:rPr>
        <w:t>2</w:t>
      </w:r>
      <w:r w:rsidRPr="00B7108A">
        <w:rPr>
          <w:rFonts w:asciiTheme="majorBidi" w:hAnsiTheme="majorBidi" w:cstheme="majorBidi"/>
        </w:rPr>
        <w:t xml:space="preserve"> million per year.</w:t>
      </w:r>
    </w:p>
    <w:p w:rsidRPr="00B7108A" w:rsidR="008253DD" w:rsidP="002A3F04" w:rsidRDefault="008253DD" w14:paraId="7AC6D0ED" w14:textId="77777777">
      <w:pPr>
        <w:ind w:firstLine="720"/>
        <w:rPr>
          <w:rFonts w:asciiTheme="majorBidi" w:hAnsiTheme="majorBidi" w:cstheme="majorBidi"/>
        </w:rPr>
      </w:pPr>
    </w:p>
    <w:p w:rsidRPr="00B7108A" w:rsidR="008253DD" w:rsidP="002A3F04" w:rsidRDefault="008253DD" w14:paraId="384A10EE" w14:textId="51AAD34B">
      <w:pPr>
        <w:numPr>
          <w:ilvl w:val="0"/>
          <w:numId w:val="3"/>
        </w:numPr>
        <w:tabs>
          <w:tab w:val="clear" w:pos="1440"/>
          <w:tab w:val="num" w:pos="1080"/>
        </w:tabs>
        <w:ind w:left="1080"/>
        <w:rPr>
          <w:rFonts w:asciiTheme="majorBidi" w:hAnsiTheme="majorBidi" w:cstheme="majorBidi"/>
        </w:rPr>
      </w:pPr>
      <w:r w:rsidRPr="00B7108A">
        <w:rPr>
          <w:rFonts w:asciiTheme="majorBidi" w:hAnsiTheme="majorBidi" w:cstheme="majorBidi"/>
        </w:rPr>
        <w:t>“Type A” activities are estimated to cost approximately $</w:t>
      </w:r>
      <w:r w:rsidRPr="00B7108A" w:rsidR="00FE0BA5">
        <w:rPr>
          <w:rFonts w:asciiTheme="majorBidi" w:hAnsiTheme="majorBidi" w:cstheme="majorBidi"/>
        </w:rPr>
        <w:t>3.</w:t>
      </w:r>
      <w:r w:rsidRPr="00B7108A" w:rsidR="00105D34">
        <w:rPr>
          <w:rFonts w:asciiTheme="majorBidi" w:hAnsiTheme="majorBidi" w:cstheme="majorBidi"/>
        </w:rPr>
        <w:t>2</w:t>
      </w:r>
      <w:r w:rsidRPr="00B7108A" w:rsidR="00C80D61">
        <w:rPr>
          <w:rFonts w:asciiTheme="majorBidi" w:hAnsiTheme="majorBidi" w:cstheme="majorBidi"/>
        </w:rPr>
        <w:t>4</w:t>
      </w:r>
      <w:r w:rsidRPr="00B7108A">
        <w:rPr>
          <w:rFonts w:asciiTheme="majorBidi" w:hAnsiTheme="majorBidi" w:cstheme="majorBidi"/>
        </w:rPr>
        <w:t xml:space="preserve"> million per year.</w:t>
      </w:r>
    </w:p>
    <w:p w:rsidRPr="00B7108A" w:rsidR="008253DD" w:rsidP="002A3F04" w:rsidRDefault="008253DD" w14:paraId="0C78459E" w14:textId="2DA24113">
      <w:pPr>
        <w:numPr>
          <w:ilvl w:val="0"/>
          <w:numId w:val="3"/>
        </w:numPr>
        <w:tabs>
          <w:tab w:val="clear" w:pos="1440"/>
          <w:tab w:val="num" w:pos="1080"/>
        </w:tabs>
        <w:ind w:left="1080"/>
        <w:rPr>
          <w:rFonts w:asciiTheme="majorBidi" w:hAnsiTheme="majorBidi" w:cstheme="majorBidi"/>
        </w:rPr>
      </w:pPr>
      <w:r w:rsidRPr="00B7108A">
        <w:rPr>
          <w:rFonts w:asciiTheme="majorBidi" w:hAnsiTheme="majorBidi" w:cstheme="majorBidi"/>
        </w:rPr>
        <w:t>“Type B” activities are estimated to cost approximately $</w:t>
      </w:r>
      <w:r w:rsidRPr="00B7108A" w:rsidR="00FE0BA5">
        <w:rPr>
          <w:rFonts w:asciiTheme="majorBidi" w:hAnsiTheme="majorBidi" w:cstheme="majorBidi"/>
        </w:rPr>
        <w:t>10.</w:t>
      </w:r>
      <w:r w:rsidRPr="00B7108A" w:rsidR="00105D34">
        <w:rPr>
          <w:rFonts w:asciiTheme="majorBidi" w:hAnsiTheme="majorBidi" w:cstheme="majorBidi"/>
        </w:rPr>
        <w:t>74</w:t>
      </w:r>
      <w:r w:rsidRPr="00B7108A">
        <w:rPr>
          <w:rFonts w:asciiTheme="majorBidi" w:hAnsiTheme="majorBidi" w:cstheme="majorBidi"/>
        </w:rPr>
        <w:t xml:space="preserve"> million per year.</w:t>
      </w:r>
    </w:p>
    <w:p w:rsidRPr="00B7108A" w:rsidR="008253DD" w:rsidP="002A3F04" w:rsidRDefault="008253DD" w14:paraId="7D1378FD" w14:textId="625A5EB8">
      <w:pPr>
        <w:numPr>
          <w:ilvl w:val="0"/>
          <w:numId w:val="3"/>
        </w:numPr>
        <w:tabs>
          <w:tab w:val="clear" w:pos="1440"/>
          <w:tab w:val="num" w:pos="1080"/>
        </w:tabs>
        <w:ind w:left="1080"/>
        <w:rPr>
          <w:rFonts w:asciiTheme="majorBidi" w:hAnsiTheme="majorBidi" w:cstheme="majorBidi"/>
        </w:rPr>
      </w:pPr>
      <w:r w:rsidRPr="00B7108A">
        <w:rPr>
          <w:rFonts w:asciiTheme="majorBidi" w:hAnsiTheme="majorBidi" w:cstheme="majorBidi"/>
        </w:rPr>
        <w:t>“Type C” activities are estimated to cost approximately $</w:t>
      </w:r>
      <w:r w:rsidRPr="00B7108A" w:rsidR="00FE0BA5">
        <w:rPr>
          <w:rFonts w:asciiTheme="majorBidi" w:hAnsiTheme="majorBidi" w:cstheme="majorBidi"/>
        </w:rPr>
        <w:t>264</w:t>
      </w:r>
      <w:r w:rsidRPr="00B7108A">
        <w:rPr>
          <w:rFonts w:asciiTheme="majorBidi" w:hAnsiTheme="majorBidi" w:cstheme="majorBidi"/>
        </w:rPr>
        <w:t xml:space="preserve"> thousand per year.</w:t>
      </w:r>
    </w:p>
    <w:p w:rsidRPr="00B7108A" w:rsidR="008253DD" w:rsidP="002A3F04" w:rsidRDefault="008253DD" w14:paraId="6F1583C2" w14:textId="77777777">
      <w:pPr>
        <w:keepNext/>
        <w:rPr>
          <w:rFonts w:asciiTheme="majorBidi" w:hAnsiTheme="majorBidi" w:cstheme="majorBidi"/>
        </w:rPr>
      </w:pPr>
    </w:p>
    <w:p w:rsidRPr="00B7108A" w:rsidR="00A0113A" w:rsidP="002A3F04" w:rsidRDefault="00A0113A" w14:paraId="17764ABB" w14:textId="77777777">
      <w:pPr>
        <w:keepNext/>
        <w:rPr>
          <w:rFonts w:asciiTheme="majorBidi" w:hAnsiTheme="majorBidi" w:cstheme="majorBidi"/>
        </w:rPr>
      </w:pPr>
    </w:p>
    <w:p w:rsidRPr="00B7108A" w:rsidR="008253DD" w:rsidP="002A3F04" w:rsidRDefault="008253DD" w14:paraId="0D7A1830" w14:textId="58E0D677">
      <w:pPr>
        <w:keepNext/>
        <w:keepLines/>
        <w:rPr>
          <w:rFonts w:asciiTheme="majorBidi" w:hAnsiTheme="majorBidi" w:cstheme="majorBidi"/>
          <w:sz w:val="22"/>
          <w:szCs w:val="22"/>
        </w:rPr>
      </w:pPr>
      <w:r w:rsidRPr="00B7108A">
        <w:rPr>
          <w:rFonts w:asciiTheme="majorBidi" w:hAnsiTheme="majorBidi" w:cstheme="majorBidi"/>
          <w:b/>
          <w:sz w:val="22"/>
          <w:szCs w:val="22"/>
        </w:rPr>
        <w:t xml:space="preserve">Table 1-A: Annual Information Collection Paperwork Burden Estimates for </w:t>
      </w:r>
      <w:r w:rsidRPr="00B7108A" w:rsidR="004F1F2A">
        <w:rPr>
          <w:rFonts w:asciiTheme="majorBidi" w:hAnsiTheme="majorBidi" w:cstheme="majorBidi"/>
          <w:b/>
          <w:sz w:val="22"/>
          <w:szCs w:val="22"/>
        </w:rPr>
        <w:t xml:space="preserve">Registration </w:t>
      </w:r>
      <w:r w:rsidRPr="00B7108A">
        <w:rPr>
          <w:rFonts w:asciiTheme="majorBidi" w:hAnsiTheme="majorBidi" w:cstheme="majorBidi"/>
          <w:b/>
          <w:sz w:val="22"/>
          <w:szCs w:val="22"/>
        </w:rPr>
        <w:t>Application Process</w:t>
      </w:r>
    </w:p>
    <w:tbl>
      <w:tblPr>
        <w:tblW w:w="5000" w:type="pct"/>
        <w:tblBorders>
          <w:top w:val="double" w:color="808080" w:sz="4" w:space="0"/>
          <w:left w:val="double" w:color="808080" w:sz="4" w:space="0"/>
          <w:bottom w:val="double" w:color="808080" w:sz="4" w:space="0"/>
          <w:right w:val="double" w:color="808080" w:sz="4" w:space="0"/>
          <w:insideH w:val="single" w:color="808080" w:sz="6" w:space="0"/>
          <w:insideV w:val="single" w:color="808080" w:sz="6" w:space="0"/>
        </w:tblBorders>
        <w:tblLook w:val="04A0" w:firstRow="1" w:lastRow="0" w:firstColumn="1" w:lastColumn="0" w:noHBand="0" w:noVBand="1"/>
      </w:tblPr>
      <w:tblGrid>
        <w:gridCol w:w="1219"/>
        <w:gridCol w:w="1385"/>
        <w:gridCol w:w="1181"/>
        <w:gridCol w:w="1181"/>
        <w:gridCol w:w="1181"/>
        <w:gridCol w:w="1181"/>
        <w:gridCol w:w="2002"/>
      </w:tblGrid>
      <w:tr w:rsidRPr="00B7108A" w:rsidR="00C270C5" w:rsidTr="00966B68" w14:paraId="6DD18823" w14:textId="77777777">
        <w:trPr>
          <w:trHeight w:val="810"/>
        </w:trPr>
        <w:tc>
          <w:tcPr>
            <w:tcW w:w="653" w:type="pct"/>
            <w:shd w:val="clear" w:color="auto" w:fill="auto"/>
            <w:vAlign w:val="center"/>
            <w:hideMark/>
          </w:tcPr>
          <w:p w:rsidRPr="00B7108A" w:rsidR="008253DD" w:rsidP="002A3F04" w:rsidRDefault="008253DD" w14:paraId="1FFE9C64" w14:textId="77777777">
            <w:pPr>
              <w:keepNext/>
              <w:keepLines/>
              <w:jc w:val="center"/>
              <w:rPr>
                <w:rFonts w:asciiTheme="majorBidi" w:hAnsiTheme="majorBidi" w:cstheme="majorBidi"/>
                <w:b/>
                <w:sz w:val="20"/>
                <w:szCs w:val="20"/>
              </w:rPr>
            </w:pPr>
            <w:r w:rsidRPr="00B7108A">
              <w:rPr>
                <w:rFonts w:asciiTheme="majorBidi" w:hAnsiTheme="majorBidi" w:cstheme="majorBidi"/>
                <w:b/>
                <w:sz w:val="20"/>
                <w:szCs w:val="20"/>
              </w:rPr>
              <w:t>Application Category</w:t>
            </w:r>
          </w:p>
        </w:tc>
        <w:tc>
          <w:tcPr>
            <w:tcW w:w="742" w:type="pct"/>
            <w:shd w:val="clear" w:color="auto" w:fill="auto"/>
            <w:vAlign w:val="center"/>
            <w:hideMark/>
          </w:tcPr>
          <w:p w:rsidRPr="00B7108A" w:rsidR="008253DD" w:rsidP="002A3F04" w:rsidRDefault="008253DD" w14:paraId="05C26F97" w14:textId="77777777">
            <w:pPr>
              <w:keepNext/>
              <w:keepLines/>
              <w:jc w:val="center"/>
              <w:rPr>
                <w:rFonts w:asciiTheme="majorBidi" w:hAnsiTheme="majorBidi" w:cstheme="majorBidi"/>
                <w:b/>
                <w:sz w:val="20"/>
                <w:szCs w:val="20"/>
              </w:rPr>
            </w:pPr>
            <w:r w:rsidRPr="00B7108A">
              <w:rPr>
                <w:rFonts w:asciiTheme="majorBidi" w:hAnsiTheme="majorBidi" w:cstheme="majorBidi"/>
                <w:b/>
                <w:sz w:val="20"/>
                <w:szCs w:val="20"/>
              </w:rPr>
              <w:t>Number of registrants (respondents)</w:t>
            </w:r>
          </w:p>
        </w:tc>
        <w:tc>
          <w:tcPr>
            <w:tcW w:w="633" w:type="pct"/>
            <w:shd w:val="clear" w:color="auto" w:fill="auto"/>
            <w:vAlign w:val="center"/>
            <w:hideMark/>
          </w:tcPr>
          <w:p w:rsidRPr="00B7108A" w:rsidR="008253DD" w:rsidP="002A3F04" w:rsidRDefault="008253DD" w14:paraId="0F3F9D5E" w14:textId="77777777">
            <w:pPr>
              <w:keepNext/>
              <w:keepLines/>
              <w:jc w:val="center"/>
              <w:rPr>
                <w:rFonts w:asciiTheme="majorBidi" w:hAnsiTheme="majorBidi" w:cstheme="majorBidi"/>
                <w:b/>
                <w:sz w:val="20"/>
                <w:szCs w:val="20"/>
              </w:rPr>
            </w:pPr>
            <w:r w:rsidRPr="00B7108A">
              <w:rPr>
                <w:rFonts w:asciiTheme="majorBidi" w:hAnsiTheme="majorBidi" w:cstheme="majorBidi"/>
                <w:b/>
                <w:sz w:val="20"/>
                <w:szCs w:val="20"/>
              </w:rPr>
              <w:t>Average annual responses</w:t>
            </w:r>
          </w:p>
        </w:tc>
        <w:tc>
          <w:tcPr>
            <w:tcW w:w="633" w:type="pct"/>
            <w:shd w:val="clear" w:color="auto" w:fill="auto"/>
            <w:vAlign w:val="center"/>
            <w:hideMark/>
          </w:tcPr>
          <w:p w:rsidRPr="00B7108A" w:rsidR="008253DD" w:rsidP="002A3F04" w:rsidRDefault="008253DD" w14:paraId="1684EAC1" w14:textId="77777777">
            <w:pPr>
              <w:keepNext/>
              <w:keepLines/>
              <w:jc w:val="center"/>
              <w:rPr>
                <w:rFonts w:asciiTheme="majorBidi" w:hAnsiTheme="majorBidi" w:cstheme="majorBidi"/>
                <w:b/>
                <w:sz w:val="20"/>
                <w:szCs w:val="20"/>
              </w:rPr>
            </w:pPr>
            <w:r w:rsidRPr="00B7108A">
              <w:rPr>
                <w:rFonts w:asciiTheme="majorBidi" w:hAnsiTheme="majorBidi" w:cstheme="majorBidi"/>
                <w:b/>
                <w:sz w:val="20"/>
                <w:szCs w:val="20"/>
              </w:rPr>
              <w:t>Average annual responses per respondent</w:t>
            </w:r>
          </w:p>
        </w:tc>
        <w:tc>
          <w:tcPr>
            <w:tcW w:w="633" w:type="pct"/>
            <w:shd w:val="clear" w:color="auto" w:fill="auto"/>
            <w:vAlign w:val="center"/>
            <w:hideMark/>
          </w:tcPr>
          <w:p w:rsidRPr="00B7108A" w:rsidR="008253DD" w:rsidP="002A3F04" w:rsidRDefault="008253DD" w14:paraId="042EAC28" w14:textId="77777777">
            <w:pPr>
              <w:keepNext/>
              <w:keepLines/>
              <w:jc w:val="center"/>
              <w:rPr>
                <w:rFonts w:asciiTheme="majorBidi" w:hAnsiTheme="majorBidi" w:cstheme="majorBidi"/>
                <w:b/>
                <w:sz w:val="20"/>
                <w:szCs w:val="20"/>
              </w:rPr>
            </w:pPr>
            <w:r w:rsidRPr="00B7108A">
              <w:rPr>
                <w:rFonts w:asciiTheme="majorBidi" w:hAnsiTheme="majorBidi" w:cstheme="majorBidi"/>
                <w:b/>
                <w:sz w:val="20"/>
                <w:szCs w:val="20"/>
              </w:rPr>
              <w:t>Burden per response (hours)</w:t>
            </w:r>
          </w:p>
        </w:tc>
        <w:tc>
          <w:tcPr>
            <w:tcW w:w="633" w:type="pct"/>
            <w:shd w:val="clear" w:color="auto" w:fill="auto"/>
            <w:vAlign w:val="center"/>
            <w:hideMark/>
          </w:tcPr>
          <w:p w:rsidRPr="00B7108A" w:rsidR="008253DD" w:rsidP="002A3F04" w:rsidRDefault="008253DD" w14:paraId="0D8F3D4C" w14:textId="77777777">
            <w:pPr>
              <w:keepNext/>
              <w:keepLines/>
              <w:jc w:val="center"/>
              <w:rPr>
                <w:rFonts w:asciiTheme="majorBidi" w:hAnsiTheme="majorBidi" w:cstheme="majorBidi"/>
                <w:b/>
                <w:sz w:val="20"/>
                <w:szCs w:val="20"/>
              </w:rPr>
            </w:pPr>
            <w:r w:rsidRPr="00B7108A">
              <w:rPr>
                <w:rFonts w:asciiTheme="majorBidi" w:hAnsiTheme="majorBidi" w:cstheme="majorBidi"/>
                <w:b/>
                <w:sz w:val="20"/>
                <w:szCs w:val="20"/>
              </w:rPr>
              <w:t>Average annual burden per respondent</w:t>
            </w:r>
          </w:p>
        </w:tc>
        <w:tc>
          <w:tcPr>
            <w:tcW w:w="1073" w:type="pct"/>
            <w:shd w:val="clear" w:color="auto" w:fill="auto"/>
            <w:vAlign w:val="center"/>
            <w:hideMark/>
          </w:tcPr>
          <w:p w:rsidRPr="00B7108A" w:rsidR="008253DD" w:rsidP="002A3F04" w:rsidRDefault="008253DD" w14:paraId="4B2F3A04" w14:textId="77777777">
            <w:pPr>
              <w:keepNext/>
              <w:keepLines/>
              <w:jc w:val="center"/>
              <w:rPr>
                <w:rFonts w:asciiTheme="majorBidi" w:hAnsiTheme="majorBidi" w:cstheme="majorBidi"/>
                <w:b/>
                <w:sz w:val="20"/>
                <w:szCs w:val="20"/>
              </w:rPr>
            </w:pPr>
            <w:r w:rsidRPr="00B7108A">
              <w:rPr>
                <w:rFonts w:asciiTheme="majorBidi" w:hAnsiTheme="majorBidi" w:cstheme="majorBidi"/>
                <w:b/>
                <w:sz w:val="20"/>
                <w:szCs w:val="20"/>
              </w:rPr>
              <w:t>Average annual burden (hours)</w:t>
            </w:r>
          </w:p>
        </w:tc>
      </w:tr>
      <w:tr w:rsidRPr="00B7108A" w:rsidR="00966B68" w:rsidTr="00966B68" w14:paraId="5123FCE9" w14:textId="77777777">
        <w:trPr>
          <w:trHeight w:val="360"/>
        </w:trPr>
        <w:tc>
          <w:tcPr>
            <w:tcW w:w="653" w:type="pct"/>
            <w:shd w:val="clear" w:color="auto" w:fill="auto"/>
            <w:vAlign w:val="center"/>
            <w:hideMark/>
          </w:tcPr>
          <w:p w:rsidRPr="00B7108A" w:rsidR="00966B68" w:rsidP="002A3F04" w:rsidRDefault="00966B68" w14:paraId="1A609B02" w14:textId="77777777">
            <w:pPr>
              <w:keepNext/>
              <w:keepLines/>
              <w:jc w:val="center"/>
              <w:rPr>
                <w:rFonts w:asciiTheme="majorBidi" w:hAnsiTheme="majorBidi" w:cstheme="majorBidi"/>
                <w:b/>
                <w:sz w:val="20"/>
                <w:szCs w:val="20"/>
              </w:rPr>
            </w:pPr>
            <w:r w:rsidRPr="00B7108A">
              <w:rPr>
                <w:rFonts w:asciiTheme="majorBidi" w:hAnsiTheme="majorBidi" w:cstheme="majorBidi"/>
                <w:b/>
                <w:sz w:val="20"/>
                <w:szCs w:val="20"/>
              </w:rPr>
              <w:t>Type A</w:t>
            </w:r>
          </w:p>
        </w:tc>
        <w:tc>
          <w:tcPr>
            <w:tcW w:w="742" w:type="pct"/>
            <w:shd w:val="clear" w:color="auto" w:fill="auto"/>
            <w:vAlign w:val="center"/>
            <w:hideMark/>
          </w:tcPr>
          <w:p w:rsidRPr="00B7108A" w:rsidR="00966B68" w:rsidP="002A3F04" w:rsidRDefault="00966B68" w14:paraId="07274B9C" w14:textId="44A72E53">
            <w:pPr>
              <w:keepNext/>
              <w:keepLines/>
              <w:jc w:val="center"/>
              <w:rPr>
                <w:rFonts w:asciiTheme="majorBidi" w:hAnsiTheme="majorBidi" w:cstheme="majorBidi"/>
                <w:sz w:val="20"/>
                <w:szCs w:val="20"/>
              </w:rPr>
            </w:pPr>
            <w:r w:rsidRPr="00B7108A">
              <w:rPr>
                <w:sz w:val="20"/>
                <w:szCs w:val="20"/>
              </w:rPr>
              <w:t>1,808</w:t>
            </w:r>
          </w:p>
        </w:tc>
        <w:tc>
          <w:tcPr>
            <w:tcW w:w="633" w:type="pct"/>
            <w:shd w:val="clear" w:color="auto" w:fill="auto"/>
            <w:vAlign w:val="center"/>
            <w:hideMark/>
          </w:tcPr>
          <w:p w:rsidRPr="00B7108A" w:rsidR="00966B68" w:rsidP="002A3F04" w:rsidRDefault="00966B68" w14:paraId="098C55C6" w14:textId="2178CD26">
            <w:pPr>
              <w:keepNext/>
              <w:keepLines/>
              <w:jc w:val="center"/>
              <w:rPr>
                <w:rFonts w:asciiTheme="majorBidi" w:hAnsiTheme="majorBidi" w:cstheme="majorBidi"/>
                <w:sz w:val="20"/>
                <w:szCs w:val="20"/>
              </w:rPr>
            </w:pPr>
            <w:r w:rsidRPr="00B7108A">
              <w:rPr>
                <w:sz w:val="20"/>
                <w:szCs w:val="20"/>
              </w:rPr>
              <w:t>21</w:t>
            </w:r>
            <w:r w:rsidRPr="00B7108A" w:rsidR="00C80D61">
              <w:rPr>
                <w:sz w:val="20"/>
                <w:szCs w:val="20"/>
              </w:rPr>
              <w:t>3</w:t>
            </w:r>
          </w:p>
        </w:tc>
        <w:tc>
          <w:tcPr>
            <w:tcW w:w="633" w:type="pct"/>
            <w:shd w:val="clear" w:color="auto" w:fill="auto"/>
            <w:vAlign w:val="center"/>
            <w:hideMark/>
          </w:tcPr>
          <w:p w:rsidRPr="00B7108A" w:rsidR="00966B68" w:rsidP="002A3F04" w:rsidRDefault="00966B68" w14:paraId="67C345F3" w14:textId="5926F3D1">
            <w:pPr>
              <w:keepNext/>
              <w:keepLines/>
              <w:jc w:val="center"/>
              <w:rPr>
                <w:rFonts w:asciiTheme="majorBidi" w:hAnsiTheme="majorBidi" w:cstheme="majorBidi"/>
                <w:sz w:val="20"/>
                <w:szCs w:val="20"/>
              </w:rPr>
            </w:pPr>
            <w:r w:rsidRPr="00B7108A">
              <w:rPr>
                <w:sz w:val="20"/>
                <w:szCs w:val="20"/>
              </w:rPr>
              <w:t>0.118</w:t>
            </w:r>
          </w:p>
        </w:tc>
        <w:tc>
          <w:tcPr>
            <w:tcW w:w="633" w:type="pct"/>
            <w:shd w:val="clear" w:color="auto" w:fill="auto"/>
            <w:vAlign w:val="center"/>
            <w:hideMark/>
          </w:tcPr>
          <w:p w:rsidRPr="00B7108A" w:rsidR="00966B68" w:rsidP="002A3F04" w:rsidRDefault="00966B68" w14:paraId="495F5DE2" w14:textId="46647FE1">
            <w:pPr>
              <w:keepNext/>
              <w:keepLines/>
              <w:jc w:val="center"/>
              <w:rPr>
                <w:rFonts w:asciiTheme="majorBidi" w:hAnsiTheme="majorBidi" w:cstheme="majorBidi"/>
                <w:sz w:val="20"/>
                <w:szCs w:val="20"/>
              </w:rPr>
            </w:pPr>
            <w:r w:rsidRPr="00B7108A">
              <w:rPr>
                <w:sz w:val="20"/>
                <w:szCs w:val="20"/>
              </w:rPr>
              <w:t>194</w:t>
            </w:r>
          </w:p>
        </w:tc>
        <w:tc>
          <w:tcPr>
            <w:tcW w:w="633" w:type="pct"/>
            <w:shd w:val="clear" w:color="auto" w:fill="auto"/>
            <w:vAlign w:val="center"/>
            <w:hideMark/>
          </w:tcPr>
          <w:p w:rsidRPr="00B7108A" w:rsidR="00966B68" w:rsidP="002A3F04" w:rsidRDefault="00966B68" w14:paraId="6AA18270" w14:textId="188AA43F">
            <w:pPr>
              <w:keepNext/>
              <w:keepLines/>
              <w:jc w:val="center"/>
              <w:rPr>
                <w:rFonts w:asciiTheme="majorBidi" w:hAnsiTheme="majorBidi" w:cstheme="majorBidi"/>
                <w:sz w:val="20"/>
                <w:szCs w:val="20"/>
              </w:rPr>
            </w:pPr>
            <w:r w:rsidRPr="00B7108A">
              <w:rPr>
                <w:sz w:val="20"/>
                <w:szCs w:val="20"/>
              </w:rPr>
              <w:t>23</w:t>
            </w:r>
          </w:p>
        </w:tc>
        <w:tc>
          <w:tcPr>
            <w:tcW w:w="1073" w:type="pct"/>
            <w:shd w:val="clear" w:color="auto" w:fill="auto"/>
            <w:vAlign w:val="center"/>
            <w:hideMark/>
          </w:tcPr>
          <w:p w:rsidRPr="00B7108A" w:rsidR="00966B68" w:rsidP="002A3F04" w:rsidRDefault="00966B68" w14:paraId="5115ECA3" w14:textId="3262E9AC">
            <w:pPr>
              <w:keepNext/>
              <w:keepLines/>
              <w:jc w:val="center"/>
              <w:rPr>
                <w:rFonts w:asciiTheme="majorBidi" w:hAnsiTheme="majorBidi" w:cstheme="majorBidi"/>
                <w:sz w:val="20"/>
                <w:szCs w:val="20"/>
              </w:rPr>
            </w:pPr>
            <w:r w:rsidRPr="00B7108A">
              <w:rPr>
                <w:sz w:val="20"/>
                <w:szCs w:val="20"/>
              </w:rPr>
              <w:t>41,</w:t>
            </w:r>
            <w:r w:rsidRPr="00B7108A" w:rsidR="00050C03">
              <w:rPr>
                <w:sz w:val="20"/>
                <w:szCs w:val="20"/>
              </w:rPr>
              <w:t>322</w:t>
            </w:r>
          </w:p>
        </w:tc>
      </w:tr>
      <w:tr w:rsidRPr="00B7108A" w:rsidR="00966B68" w:rsidTr="00966B68" w14:paraId="030D919C" w14:textId="77777777">
        <w:trPr>
          <w:trHeight w:val="360"/>
        </w:trPr>
        <w:tc>
          <w:tcPr>
            <w:tcW w:w="653" w:type="pct"/>
            <w:shd w:val="clear" w:color="auto" w:fill="auto"/>
            <w:vAlign w:val="center"/>
            <w:hideMark/>
          </w:tcPr>
          <w:p w:rsidRPr="00B7108A" w:rsidR="00966B68" w:rsidP="002A3F04" w:rsidRDefault="00966B68" w14:paraId="6CAA4C5C" w14:textId="77777777">
            <w:pPr>
              <w:keepNext/>
              <w:keepLines/>
              <w:jc w:val="center"/>
              <w:rPr>
                <w:rFonts w:asciiTheme="majorBidi" w:hAnsiTheme="majorBidi" w:cstheme="majorBidi"/>
                <w:b/>
                <w:sz w:val="20"/>
                <w:szCs w:val="20"/>
              </w:rPr>
            </w:pPr>
            <w:r w:rsidRPr="00B7108A">
              <w:rPr>
                <w:rFonts w:asciiTheme="majorBidi" w:hAnsiTheme="majorBidi" w:cstheme="majorBidi"/>
                <w:b/>
                <w:sz w:val="20"/>
                <w:szCs w:val="20"/>
              </w:rPr>
              <w:t>Type B</w:t>
            </w:r>
          </w:p>
        </w:tc>
        <w:tc>
          <w:tcPr>
            <w:tcW w:w="742" w:type="pct"/>
            <w:shd w:val="clear" w:color="auto" w:fill="auto"/>
            <w:vAlign w:val="center"/>
            <w:hideMark/>
          </w:tcPr>
          <w:p w:rsidRPr="00B7108A" w:rsidR="00966B68" w:rsidP="002A3F04" w:rsidRDefault="00966B68" w14:paraId="5C405DD5" w14:textId="38836CEA">
            <w:pPr>
              <w:keepNext/>
              <w:keepLines/>
              <w:jc w:val="center"/>
              <w:rPr>
                <w:rFonts w:asciiTheme="majorBidi" w:hAnsiTheme="majorBidi" w:cstheme="majorBidi"/>
                <w:sz w:val="20"/>
                <w:szCs w:val="20"/>
              </w:rPr>
            </w:pPr>
            <w:r w:rsidRPr="00B7108A">
              <w:rPr>
                <w:sz w:val="20"/>
                <w:szCs w:val="20"/>
              </w:rPr>
              <w:t>1,808</w:t>
            </w:r>
          </w:p>
        </w:tc>
        <w:tc>
          <w:tcPr>
            <w:tcW w:w="633" w:type="pct"/>
            <w:shd w:val="clear" w:color="auto" w:fill="auto"/>
            <w:vAlign w:val="center"/>
            <w:hideMark/>
          </w:tcPr>
          <w:p w:rsidRPr="00B7108A" w:rsidR="00966B68" w:rsidP="002A3F04" w:rsidRDefault="00966B68" w14:paraId="2C5C8A53" w14:textId="24F6164A">
            <w:pPr>
              <w:keepNext/>
              <w:keepLines/>
              <w:jc w:val="center"/>
              <w:rPr>
                <w:rFonts w:asciiTheme="majorBidi" w:hAnsiTheme="majorBidi" w:cstheme="majorBidi"/>
                <w:sz w:val="20"/>
                <w:szCs w:val="20"/>
              </w:rPr>
            </w:pPr>
            <w:r w:rsidRPr="00B7108A">
              <w:rPr>
                <w:sz w:val="20"/>
                <w:szCs w:val="20"/>
              </w:rPr>
              <w:t>7,221</w:t>
            </w:r>
          </w:p>
        </w:tc>
        <w:tc>
          <w:tcPr>
            <w:tcW w:w="633" w:type="pct"/>
            <w:shd w:val="clear" w:color="auto" w:fill="auto"/>
            <w:vAlign w:val="center"/>
            <w:hideMark/>
          </w:tcPr>
          <w:p w:rsidRPr="00B7108A" w:rsidR="00966B68" w:rsidP="002A3F04" w:rsidRDefault="00966B68" w14:paraId="753352BD" w14:textId="0FC1E117">
            <w:pPr>
              <w:keepNext/>
              <w:keepLines/>
              <w:jc w:val="center"/>
              <w:rPr>
                <w:rFonts w:asciiTheme="majorBidi" w:hAnsiTheme="majorBidi" w:cstheme="majorBidi"/>
                <w:sz w:val="20"/>
                <w:szCs w:val="20"/>
              </w:rPr>
            </w:pPr>
            <w:r w:rsidRPr="00B7108A">
              <w:rPr>
                <w:sz w:val="20"/>
                <w:szCs w:val="20"/>
              </w:rPr>
              <w:t>3.994</w:t>
            </w:r>
          </w:p>
        </w:tc>
        <w:tc>
          <w:tcPr>
            <w:tcW w:w="633" w:type="pct"/>
            <w:shd w:val="clear" w:color="auto" w:fill="auto"/>
            <w:vAlign w:val="center"/>
            <w:hideMark/>
          </w:tcPr>
          <w:p w:rsidRPr="00B7108A" w:rsidR="00966B68" w:rsidP="002A3F04" w:rsidRDefault="00966B68" w14:paraId="4CFA0C87" w14:textId="1BE4D86B">
            <w:pPr>
              <w:keepNext/>
              <w:keepLines/>
              <w:jc w:val="center"/>
              <w:rPr>
                <w:rFonts w:asciiTheme="majorBidi" w:hAnsiTheme="majorBidi" w:cstheme="majorBidi"/>
                <w:sz w:val="20"/>
                <w:szCs w:val="20"/>
              </w:rPr>
            </w:pPr>
            <w:r w:rsidRPr="00B7108A">
              <w:rPr>
                <w:sz w:val="20"/>
                <w:szCs w:val="20"/>
              </w:rPr>
              <w:t>14</w:t>
            </w:r>
          </w:p>
        </w:tc>
        <w:tc>
          <w:tcPr>
            <w:tcW w:w="633" w:type="pct"/>
            <w:shd w:val="clear" w:color="auto" w:fill="auto"/>
            <w:vAlign w:val="center"/>
            <w:hideMark/>
          </w:tcPr>
          <w:p w:rsidRPr="00B7108A" w:rsidR="00966B68" w:rsidP="002A3F04" w:rsidRDefault="00966B68" w14:paraId="2FBF783A" w14:textId="354F4907">
            <w:pPr>
              <w:keepNext/>
              <w:keepLines/>
              <w:jc w:val="center"/>
              <w:rPr>
                <w:rFonts w:asciiTheme="majorBidi" w:hAnsiTheme="majorBidi" w:cstheme="majorBidi"/>
                <w:sz w:val="20"/>
                <w:szCs w:val="20"/>
              </w:rPr>
            </w:pPr>
            <w:r w:rsidRPr="00B7108A">
              <w:rPr>
                <w:sz w:val="20"/>
                <w:szCs w:val="20"/>
              </w:rPr>
              <w:t>56</w:t>
            </w:r>
          </w:p>
        </w:tc>
        <w:tc>
          <w:tcPr>
            <w:tcW w:w="1073" w:type="pct"/>
            <w:shd w:val="clear" w:color="auto" w:fill="auto"/>
            <w:vAlign w:val="center"/>
            <w:hideMark/>
          </w:tcPr>
          <w:p w:rsidRPr="00B7108A" w:rsidR="00966B68" w:rsidP="002A3F04" w:rsidRDefault="00966B68" w14:paraId="5F741319" w14:textId="3DB1684F">
            <w:pPr>
              <w:keepNext/>
              <w:keepLines/>
              <w:jc w:val="center"/>
              <w:rPr>
                <w:rFonts w:asciiTheme="majorBidi" w:hAnsiTheme="majorBidi" w:cstheme="majorBidi"/>
                <w:sz w:val="20"/>
                <w:szCs w:val="20"/>
              </w:rPr>
            </w:pPr>
            <w:r w:rsidRPr="00B7108A">
              <w:rPr>
                <w:sz w:val="20"/>
                <w:szCs w:val="20"/>
              </w:rPr>
              <w:t>101,094</w:t>
            </w:r>
          </w:p>
        </w:tc>
      </w:tr>
      <w:tr w:rsidRPr="00B7108A" w:rsidR="00966B68" w:rsidTr="00966B68" w14:paraId="1967CC90" w14:textId="77777777">
        <w:trPr>
          <w:trHeight w:val="360"/>
        </w:trPr>
        <w:tc>
          <w:tcPr>
            <w:tcW w:w="653" w:type="pct"/>
            <w:shd w:val="clear" w:color="auto" w:fill="auto"/>
            <w:vAlign w:val="center"/>
            <w:hideMark/>
          </w:tcPr>
          <w:p w:rsidRPr="00B7108A" w:rsidR="00966B68" w:rsidP="002A3F04" w:rsidRDefault="00966B68" w14:paraId="3A97B3E3" w14:textId="77777777">
            <w:pPr>
              <w:keepNext/>
              <w:keepLines/>
              <w:jc w:val="center"/>
              <w:rPr>
                <w:rFonts w:asciiTheme="majorBidi" w:hAnsiTheme="majorBidi" w:cstheme="majorBidi"/>
                <w:b/>
                <w:sz w:val="20"/>
                <w:szCs w:val="20"/>
              </w:rPr>
            </w:pPr>
            <w:r w:rsidRPr="00B7108A">
              <w:rPr>
                <w:rFonts w:asciiTheme="majorBidi" w:hAnsiTheme="majorBidi" w:cstheme="majorBidi"/>
                <w:b/>
                <w:sz w:val="20"/>
                <w:szCs w:val="20"/>
              </w:rPr>
              <w:t>Type C</w:t>
            </w:r>
          </w:p>
        </w:tc>
        <w:tc>
          <w:tcPr>
            <w:tcW w:w="742" w:type="pct"/>
            <w:shd w:val="clear" w:color="auto" w:fill="auto"/>
            <w:vAlign w:val="center"/>
            <w:hideMark/>
          </w:tcPr>
          <w:p w:rsidRPr="00B7108A" w:rsidR="00966B68" w:rsidP="002A3F04" w:rsidRDefault="00966B68" w14:paraId="68DCD75E" w14:textId="59FB8593">
            <w:pPr>
              <w:keepNext/>
              <w:keepLines/>
              <w:jc w:val="center"/>
              <w:rPr>
                <w:rFonts w:asciiTheme="majorBidi" w:hAnsiTheme="majorBidi" w:cstheme="majorBidi"/>
                <w:sz w:val="20"/>
                <w:szCs w:val="20"/>
              </w:rPr>
            </w:pPr>
            <w:r w:rsidRPr="00B7108A">
              <w:rPr>
                <w:sz w:val="20"/>
                <w:szCs w:val="20"/>
              </w:rPr>
              <w:t>1,808</w:t>
            </w:r>
          </w:p>
        </w:tc>
        <w:tc>
          <w:tcPr>
            <w:tcW w:w="633" w:type="pct"/>
            <w:shd w:val="clear" w:color="auto" w:fill="auto"/>
            <w:vAlign w:val="center"/>
            <w:hideMark/>
          </w:tcPr>
          <w:p w:rsidRPr="00B7108A" w:rsidR="00966B68" w:rsidP="002A3F04" w:rsidRDefault="00966B68" w14:paraId="7B3F2210" w14:textId="2140414E">
            <w:pPr>
              <w:keepNext/>
              <w:keepLines/>
              <w:jc w:val="center"/>
              <w:rPr>
                <w:rFonts w:asciiTheme="majorBidi" w:hAnsiTheme="majorBidi" w:cstheme="majorBidi"/>
                <w:sz w:val="20"/>
                <w:szCs w:val="20"/>
              </w:rPr>
            </w:pPr>
            <w:r w:rsidRPr="00B7108A">
              <w:rPr>
                <w:sz w:val="20"/>
                <w:szCs w:val="20"/>
              </w:rPr>
              <w:t>5</w:t>
            </w:r>
          </w:p>
        </w:tc>
        <w:tc>
          <w:tcPr>
            <w:tcW w:w="633" w:type="pct"/>
            <w:shd w:val="clear" w:color="auto" w:fill="auto"/>
            <w:vAlign w:val="center"/>
            <w:hideMark/>
          </w:tcPr>
          <w:p w:rsidRPr="00B7108A" w:rsidR="00966B68" w:rsidP="002A3F04" w:rsidRDefault="00966B68" w14:paraId="400AB5C0" w14:textId="39160C34">
            <w:pPr>
              <w:keepNext/>
              <w:keepLines/>
              <w:jc w:val="center"/>
              <w:rPr>
                <w:rFonts w:asciiTheme="majorBidi" w:hAnsiTheme="majorBidi" w:cstheme="majorBidi"/>
                <w:sz w:val="20"/>
                <w:szCs w:val="20"/>
              </w:rPr>
            </w:pPr>
            <w:r w:rsidRPr="00B7108A">
              <w:rPr>
                <w:sz w:val="20"/>
                <w:szCs w:val="20"/>
              </w:rPr>
              <w:t>0.003</w:t>
            </w:r>
          </w:p>
        </w:tc>
        <w:tc>
          <w:tcPr>
            <w:tcW w:w="633" w:type="pct"/>
            <w:shd w:val="clear" w:color="auto" w:fill="auto"/>
            <w:vAlign w:val="center"/>
            <w:hideMark/>
          </w:tcPr>
          <w:p w:rsidRPr="00B7108A" w:rsidR="00966B68" w:rsidP="002A3F04" w:rsidRDefault="00966B68" w14:paraId="75EB5CFD" w14:textId="1DDEE994">
            <w:pPr>
              <w:keepNext/>
              <w:keepLines/>
              <w:jc w:val="center"/>
              <w:rPr>
                <w:rFonts w:asciiTheme="majorBidi" w:hAnsiTheme="majorBidi" w:cstheme="majorBidi"/>
                <w:sz w:val="20"/>
                <w:szCs w:val="20"/>
              </w:rPr>
            </w:pPr>
            <w:r w:rsidRPr="00B7108A">
              <w:rPr>
                <w:sz w:val="20"/>
                <w:szCs w:val="20"/>
              </w:rPr>
              <w:t>646</w:t>
            </w:r>
          </w:p>
        </w:tc>
        <w:tc>
          <w:tcPr>
            <w:tcW w:w="633" w:type="pct"/>
            <w:shd w:val="clear" w:color="auto" w:fill="auto"/>
            <w:vAlign w:val="center"/>
            <w:hideMark/>
          </w:tcPr>
          <w:p w:rsidRPr="00B7108A" w:rsidR="00966B68" w:rsidP="002A3F04" w:rsidRDefault="00966B68" w14:paraId="615B58BC" w14:textId="0BB39F92">
            <w:pPr>
              <w:keepNext/>
              <w:keepLines/>
              <w:jc w:val="center"/>
              <w:rPr>
                <w:rFonts w:asciiTheme="majorBidi" w:hAnsiTheme="majorBidi" w:cstheme="majorBidi"/>
                <w:sz w:val="20"/>
                <w:szCs w:val="20"/>
              </w:rPr>
            </w:pPr>
            <w:r w:rsidRPr="00B7108A">
              <w:rPr>
                <w:sz w:val="20"/>
                <w:szCs w:val="20"/>
              </w:rPr>
              <w:t>2</w:t>
            </w:r>
          </w:p>
        </w:tc>
        <w:tc>
          <w:tcPr>
            <w:tcW w:w="1073" w:type="pct"/>
            <w:shd w:val="clear" w:color="auto" w:fill="auto"/>
            <w:vAlign w:val="center"/>
            <w:hideMark/>
          </w:tcPr>
          <w:p w:rsidRPr="00B7108A" w:rsidR="00966B68" w:rsidP="002A3F04" w:rsidRDefault="00966B68" w14:paraId="086803D6" w14:textId="04FD5E7D">
            <w:pPr>
              <w:keepNext/>
              <w:keepLines/>
              <w:jc w:val="center"/>
              <w:rPr>
                <w:rFonts w:asciiTheme="majorBidi" w:hAnsiTheme="majorBidi" w:cstheme="majorBidi"/>
                <w:sz w:val="20"/>
                <w:szCs w:val="20"/>
              </w:rPr>
            </w:pPr>
            <w:r w:rsidRPr="00B7108A">
              <w:rPr>
                <w:sz w:val="20"/>
                <w:szCs w:val="20"/>
              </w:rPr>
              <w:t>3,230</w:t>
            </w:r>
          </w:p>
        </w:tc>
      </w:tr>
      <w:tr w:rsidRPr="00B7108A" w:rsidR="00966B68" w:rsidTr="00966B68" w14:paraId="7DCBE7E5" w14:textId="77777777">
        <w:trPr>
          <w:trHeight w:val="360"/>
        </w:trPr>
        <w:tc>
          <w:tcPr>
            <w:tcW w:w="653" w:type="pct"/>
            <w:shd w:val="clear" w:color="auto" w:fill="auto"/>
            <w:vAlign w:val="center"/>
          </w:tcPr>
          <w:p w:rsidRPr="00B7108A" w:rsidR="00966B68" w:rsidP="002A3F04" w:rsidRDefault="00966B68" w14:paraId="3E1F5D0C" w14:textId="77777777">
            <w:pPr>
              <w:keepNext/>
              <w:keepLines/>
              <w:jc w:val="center"/>
              <w:rPr>
                <w:rFonts w:asciiTheme="majorBidi" w:hAnsiTheme="majorBidi" w:cstheme="majorBidi"/>
                <w:b/>
                <w:sz w:val="20"/>
                <w:szCs w:val="20"/>
              </w:rPr>
            </w:pPr>
            <w:r w:rsidRPr="00B7108A">
              <w:rPr>
                <w:rFonts w:asciiTheme="majorBidi" w:hAnsiTheme="majorBidi" w:cstheme="majorBidi"/>
                <w:b/>
                <w:sz w:val="20"/>
                <w:szCs w:val="20"/>
              </w:rPr>
              <w:t>All Types</w:t>
            </w:r>
          </w:p>
        </w:tc>
        <w:tc>
          <w:tcPr>
            <w:tcW w:w="742" w:type="pct"/>
            <w:shd w:val="clear" w:color="auto" w:fill="auto"/>
            <w:vAlign w:val="center"/>
          </w:tcPr>
          <w:p w:rsidRPr="00B7108A" w:rsidR="00966B68" w:rsidP="002A3F04" w:rsidRDefault="00966B68" w14:paraId="544159B1" w14:textId="071E889A">
            <w:pPr>
              <w:keepNext/>
              <w:keepLines/>
              <w:jc w:val="center"/>
              <w:rPr>
                <w:rFonts w:asciiTheme="majorBidi" w:hAnsiTheme="majorBidi" w:cstheme="majorBidi"/>
                <w:b/>
                <w:sz w:val="20"/>
                <w:szCs w:val="20"/>
              </w:rPr>
            </w:pPr>
            <w:r w:rsidRPr="00B7108A">
              <w:rPr>
                <w:sz w:val="20"/>
                <w:szCs w:val="20"/>
              </w:rPr>
              <w:t>1,808</w:t>
            </w:r>
          </w:p>
        </w:tc>
        <w:tc>
          <w:tcPr>
            <w:tcW w:w="633" w:type="pct"/>
            <w:shd w:val="clear" w:color="auto" w:fill="auto"/>
            <w:vAlign w:val="center"/>
          </w:tcPr>
          <w:p w:rsidRPr="00B7108A" w:rsidR="00966B68" w:rsidP="002A3F04" w:rsidRDefault="00966B68" w14:paraId="6A1ACE50" w14:textId="17AB2E2C">
            <w:pPr>
              <w:keepNext/>
              <w:keepLines/>
              <w:jc w:val="center"/>
              <w:rPr>
                <w:rFonts w:asciiTheme="majorBidi" w:hAnsiTheme="majorBidi" w:cstheme="majorBidi"/>
                <w:b/>
                <w:sz w:val="20"/>
                <w:szCs w:val="20"/>
              </w:rPr>
            </w:pPr>
            <w:r w:rsidRPr="00B7108A">
              <w:rPr>
                <w:sz w:val="20"/>
                <w:szCs w:val="20"/>
              </w:rPr>
              <w:t>7,4</w:t>
            </w:r>
            <w:r w:rsidRPr="00B7108A" w:rsidR="00050C03">
              <w:rPr>
                <w:sz w:val="20"/>
                <w:szCs w:val="20"/>
              </w:rPr>
              <w:t>39</w:t>
            </w:r>
          </w:p>
        </w:tc>
        <w:tc>
          <w:tcPr>
            <w:tcW w:w="633" w:type="pct"/>
            <w:shd w:val="clear" w:color="auto" w:fill="auto"/>
            <w:vAlign w:val="center"/>
          </w:tcPr>
          <w:p w:rsidRPr="00B7108A" w:rsidR="00966B68" w:rsidP="002A3F04" w:rsidRDefault="00966B68" w14:paraId="2169CC4C" w14:textId="1D171ACA">
            <w:pPr>
              <w:keepNext/>
              <w:keepLines/>
              <w:jc w:val="center"/>
              <w:rPr>
                <w:rFonts w:asciiTheme="majorBidi" w:hAnsiTheme="majorBidi" w:cstheme="majorBidi"/>
                <w:b/>
                <w:sz w:val="20"/>
                <w:szCs w:val="20"/>
              </w:rPr>
            </w:pPr>
            <w:r w:rsidRPr="00B7108A">
              <w:rPr>
                <w:sz w:val="20"/>
                <w:szCs w:val="20"/>
              </w:rPr>
              <w:t>4.11</w:t>
            </w:r>
            <w:r w:rsidRPr="00B7108A" w:rsidR="00050C03">
              <w:rPr>
                <w:sz w:val="20"/>
                <w:szCs w:val="20"/>
              </w:rPr>
              <w:t>4</w:t>
            </w:r>
          </w:p>
        </w:tc>
        <w:tc>
          <w:tcPr>
            <w:tcW w:w="633" w:type="pct"/>
            <w:shd w:val="clear" w:color="auto" w:fill="auto"/>
            <w:vAlign w:val="center"/>
          </w:tcPr>
          <w:p w:rsidRPr="00B7108A" w:rsidR="00966B68" w:rsidP="002A3F04" w:rsidRDefault="00966B68" w14:paraId="72CF5566" w14:textId="1C4D1AC8">
            <w:pPr>
              <w:keepNext/>
              <w:keepLines/>
              <w:jc w:val="center"/>
              <w:rPr>
                <w:rFonts w:asciiTheme="majorBidi" w:hAnsiTheme="majorBidi" w:cstheme="majorBidi"/>
                <w:b/>
                <w:sz w:val="20"/>
                <w:szCs w:val="20"/>
              </w:rPr>
            </w:pPr>
            <w:r w:rsidRPr="00B7108A">
              <w:rPr>
                <w:sz w:val="20"/>
                <w:szCs w:val="20"/>
              </w:rPr>
              <w:t> </w:t>
            </w:r>
          </w:p>
        </w:tc>
        <w:tc>
          <w:tcPr>
            <w:tcW w:w="633" w:type="pct"/>
            <w:shd w:val="clear" w:color="auto" w:fill="auto"/>
            <w:vAlign w:val="center"/>
          </w:tcPr>
          <w:p w:rsidRPr="00B7108A" w:rsidR="00966B68" w:rsidP="002A3F04" w:rsidRDefault="00966B68" w14:paraId="170C2970" w14:textId="55093881">
            <w:pPr>
              <w:keepNext/>
              <w:keepLines/>
              <w:jc w:val="center"/>
              <w:rPr>
                <w:rFonts w:asciiTheme="majorBidi" w:hAnsiTheme="majorBidi" w:cstheme="majorBidi"/>
                <w:b/>
                <w:sz w:val="20"/>
                <w:szCs w:val="20"/>
              </w:rPr>
            </w:pPr>
            <w:r w:rsidRPr="00B7108A">
              <w:rPr>
                <w:sz w:val="20"/>
                <w:szCs w:val="20"/>
              </w:rPr>
              <w:t>81</w:t>
            </w:r>
          </w:p>
        </w:tc>
        <w:tc>
          <w:tcPr>
            <w:tcW w:w="1073" w:type="pct"/>
            <w:shd w:val="clear" w:color="auto" w:fill="auto"/>
            <w:vAlign w:val="center"/>
          </w:tcPr>
          <w:p w:rsidRPr="00B7108A" w:rsidR="00966B68" w:rsidP="002A3F04" w:rsidRDefault="00966B68" w14:paraId="489E5912" w14:textId="1A6B71D4">
            <w:pPr>
              <w:keepNext/>
              <w:keepLines/>
              <w:jc w:val="center"/>
              <w:rPr>
                <w:rFonts w:asciiTheme="majorBidi" w:hAnsiTheme="majorBidi" w:cstheme="majorBidi"/>
                <w:b/>
                <w:sz w:val="20"/>
                <w:szCs w:val="20"/>
              </w:rPr>
            </w:pPr>
            <w:r w:rsidRPr="00B7108A">
              <w:rPr>
                <w:sz w:val="20"/>
                <w:szCs w:val="20"/>
              </w:rPr>
              <w:t>145,</w:t>
            </w:r>
            <w:r w:rsidRPr="00B7108A" w:rsidR="00050C03">
              <w:rPr>
                <w:sz w:val="20"/>
                <w:szCs w:val="20"/>
              </w:rPr>
              <w:t>646</w:t>
            </w:r>
          </w:p>
        </w:tc>
      </w:tr>
    </w:tbl>
    <w:p w:rsidRPr="00B7108A" w:rsidR="005459DF" w:rsidP="002A3F04" w:rsidRDefault="005459DF" w14:paraId="35F096DF" w14:textId="77777777">
      <w:pPr>
        <w:rPr>
          <w:rFonts w:asciiTheme="majorBidi" w:hAnsiTheme="majorBidi" w:cstheme="majorBidi"/>
          <w:sz w:val="20"/>
        </w:rPr>
      </w:pPr>
      <w:r w:rsidRPr="00B7108A">
        <w:rPr>
          <w:rFonts w:asciiTheme="majorBidi" w:hAnsiTheme="majorBidi" w:cstheme="majorBidi"/>
          <w:sz w:val="20"/>
        </w:rPr>
        <w:t>*Numbers may not sum due to rounding.</w:t>
      </w:r>
    </w:p>
    <w:p w:rsidRPr="00B7108A" w:rsidR="008253DD" w:rsidP="002A3F04" w:rsidRDefault="008253DD" w14:paraId="269A1B99" w14:textId="77777777">
      <w:pPr>
        <w:keepNext/>
        <w:rPr>
          <w:rFonts w:asciiTheme="majorBidi" w:hAnsiTheme="majorBidi" w:cstheme="majorBidi"/>
        </w:rPr>
      </w:pPr>
    </w:p>
    <w:p w:rsidRPr="00B7108A" w:rsidR="008253DD" w:rsidP="002A3F04" w:rsidRDefault="008253DD" w14:paraId="01218C03" w14:textId="26FA9F91">
      <w:pPr>
        <w:ind w:firstLine="720"/>
        <w:rPr>
          <w:rFonts w:asciiTheme="majorBidi" w:hAnsiTheme="majorBidi" w:cstheme="majorBidi"/>
        </w:rPr>
      </w:pPr>
      <w:r w:rsidRPr="00B7108A">
        <w:rPr>
          <w:rFonts w:asciiTheme="majorBidi" w:hAnsiTheme="majorBidi" w:cstheme="majorBidi"/>
        </w:rPr>
        <w:t xml:space="preserve">The total annual costs associated with </w:t>
      </w:r>
      <w:r w:rsidRPr="00B7108A" w:rsidR="00EA46C9">
        <w:rPr>
          <w:rFonts w:asciiTheme="majorBidi" w:hAnsiTheme="majorBidi" w:cstheme="majorBidi"/>
        </w:rPr>
        <w:t xml:space="preserve">the </w:t>
      </w:r>
      <w:r w:rsidRPr="00B7108A">
        <w:rPr>
          <w:rFonts w:asciiTheme="majorBidi" w:hAnsiTheme="majorBidi" w:cstheme="majorBidi"/>
        </w:rPr>
        <w:t>paperwork burden from data generation are estimated to be approximately $</w:t>
      </w:r>
      <w:r w:rsidRPr="00B7108A" w:rsidR="00050C03">
        <w:rPr>
          <w:rFonts w:asciiTheme="majorBidi" w:hAnsiTheme="majorBidi" w:cstheme="majorBidi"/>
        </w:rPr>
        <w:t>106.32</w:t>
      </w:r>
      <w:r w:rsidRPr="00B7108A">
        <w:rPr>
          <w:rFonts w:asciiTheme="majorBidi" w:hAnsiTheme="majorBidi" w:cstheme="majorBidi"/>
        </w:rPr>
        <w:t xml:space="preserve"> million per year.</w:t>
      </w:r>
    </w:p>
    <w:p w:rsidRPr="00B7108A" w:rsidR="008253DD" w:rsidP="002A3F04" w:rsidRDefault="008253DD" w14:paraId="7F04F0E1" w14:textId="77777777">
      <w:pPr>
        <w:ind w:firstLine="720"/>
        <w:rPr>
          <w:rFonts w:asciiTheme="majorBidi" w:hAnsiTheme="majorBidi" w:cstheme="majorBidi"/>
        </w:rPr>
      </w:pPr>
    </w:p>
    <w:p w:rsidRPr="00B7108A" w:rsidR="008253DD" w:rsidP="002A3F04" w:rsidRDefault="00EA46C9" w14:paraId="7B99E4DE" w14:textId="5BCF54C1">
      <w:pPr>
        <w:numPr>
          <w:ilvl w:val="0"/>
          <w:numId w:val="3"/>
        </w:numPr>
        <w:tabs>
          <w:tab w:val="clear" w:pos="1440"/>
          <w:tab w:val="num" w:pos="1080"/>
        </w:tabs>
        <w:ind w:left="1080"/>
        <w:rPr>
          <w:rFonts w:asciiTheme="majorBidi" w:hAnsiTheme="majorBidi" w:cstheme="majorBidi"/>
        </w:rPr>
      </w:pPr>
      <w:r w:rsidRPr="00B7108A">
        <w:rPr>
          <w:rFonts w:asciiTheme="majorBidi" w:hAnsiTheme="majorBidi" w:cstheme="majorBidi"/>
        </w:rPr>
        <w:t>The p</w:t>
      </w:r>
      <w:r w:rsidRPr="00B7108A" w:rsidR="008253DD">
        <w:rPr>
          <w:rFonts w:asciiTheme="majorBidi" w:hAnsiTheme="majorBidi" w:cstheme="majorBidi"/>
        </w:rPr>
        <w:t xml:space="preserve">aperwork burden </w:t>
      </w:r>
      <w:r w:rsidRPr="00B7108A" w:rsidR="003338A5">
        <w:rPr>
          <w:rFonts w:asciiTheme="majorBidi" w:hAnsiTheme="majorBidi" w:cstheme="majorBidi"/>
        </w:rPr>
        <w:t xml:space="preserve">from </w:t>
      </w:r>
      <w:r w:rsidRPr="00B7108A" w:rsidR="008253DD">
        <w:rPr>
          <w:rFonts w:asciiTheme="majorBidi" w:hAnsiTheme="majorBidi" w:cstheme="majorBidi"/>
        </w:rPr>
        <w:t>data generation for new active ingredients (AI) is estimated to cost approximately $</w:t>
      </w:r>
      <w:r w:rsidRPr="00B7108A" w:rsidR="00050C03">
        <w:rPr>
          <w:rFonts w:asciiTheme="majorBidi" w:hAnsiTheme="majorBidi" w:cstheme="majorBidi"/>
        </w:rPr>
        <w:t>62.64</w:t>
      </w:r>
      <w:r w:rsidRPr="00B7108A" w:rsidR="008253DD">
        <w:rPr>
          <w:rFonts w:asciiTheme="majorBidi" w:hAnsiTheme="majorBidi" w:cstheme="majorBidi"/>
        </w:rPr>
        <w:t xml:space="preserve"> million per year.</w:t>
      </w:r>
    </w:p>
    <w:p w:rsidRPr="00B7108A" w:rsidR="008253DD" w:rsidP="002A3F04" w:rsidRDefault="00EA46C9" w14:paraId="59EE0B10" w14:textId="72A5D18C">
      <w:pPr>
        <w:numPr>
          <w:ilvl w:val="0"/>
          <w:numId w:val="3"/>
        </w:numPr>
        <w:tabs>
          <w:tab w:val="clear" w:pos="1440"/>
          <w:tab w:val="num" w:pos="1080"/>
        </w:tabs>
        <w:ind w:left="1080"/>
        <w:rPr>
          <w:rFonts w:asciiTheme="majorBidi" w:hAnsiTheme="majorBidi" w:cstheme="majorBidi"/>
        </w:rPr>
      </w:pPr>
      <w:r w:rsidRPr="00B7108A">
        <w:rPr>
          <w:rFonts w:asciiTheme="majorBidi" w:hAnsiTheme="majorBidi" w:cstheme="majorBidi"/>
        </w:rPr>
        <w:t>The p</w:t>
      </w:r>
      <w:r w:rsidRPr="00B7108A" w:rsidR="008253DD">
        <w:rPr>
          <w:rFonts w:asciiTheme="majorBidi" w:hAnsiTheme="majorBidi" w:cstheme="majorBidi"/>
        </w:rPr>
        <w:t>aperwork burden f</w:t>
      </w:r>
      <w:r w:rsidRPr="00B7108A" w:rsidR="003338A5">
        <w:rPr>
          <w:rFonts w:asciiTheme="majorBidi" w:hAnsiTheme="majorBidi" w:cstheme="majorBidi"/>
        </w:rPr>
        <w:t>rom</w:t>
      </w:r>
      <w:r w:rsidRPr="00B7108A" w:rsidR="008253DD">
        <w:rPr>
          <w:rFonts w:asciiTheme="majorBidi" w:hAnsiTheme="majorBidi" w:cstheme="majorBidi"/>
        </w:rPr>
        <w:t xml:space="preserve"> data generation for new products is estimated to cost approximately $</w:t>
      </w:r>
      <w:r w:rsidRPr="00B7108A" w:rsidR="00105D34">
        <w:rPr>
          <w:rFonts w:asciiTheme="majorBidi" w:hAnsiTheme="majorBidi" w:cstheme="majorBidi"/>
        </w:rPr>
        <w:t>43.68</w:t>
      </w:r>
      <w:r w:rsidRPr="00B7108A" w:rsidR="008253DD">
        <w:rPr>
          <w:rFonts w:asciiTheme="majorBidi" w:hAnsiTheme="majorBidi" w:cstheme="majorBidi"/>
        </w:rPr>
        <w:t xml:space="preserve"> million per year. </w:t>
      </w:r>
    </w:p>
    <w:p w:rsidRPr="002A3F04" w:rsidR="008253DD" w:rsidP="009B774E" w:rsidRDefault="008253DD" w14:paraId="1C2B4CBE" w14:textId="77777777">
      <w:pPr>
        <w:keepNext/>
        <w:rPr>
          <w:rFonts w:asciiTheme="majorBidi" w:hAnsiTheme="majorBidi" w:cstheme="majorBidi"/>
        </w:rPr>
      </w:pPr>
    </w:p>
    <w:p w:rsidRPr="00B7108A" w:rsidR="008253DD" w:rsidP="009B774E" w:rsidRDefault="008253DD" w14:paraId="5E58CC70" w14:textId="77777777">
      <w:pPr>
        <w:keepNext/>
        <w:rPr>
          <w:rFonts w:asciiTheme="majorBidi" w:hAnsiTheme="majorBidi" w:cstheme="majorBidi"/>
          <w:b/>
          <w:sz w:val="22"/>
          <w:szCs w:val="22"/>
        </w:rPr>
      </w:pPr>
      <w:r w:rsidRPr="00B7108A">
        <w:rPr>
          <w:rFonts w:asciiTheme="majorBidi" w:hAnsiTheme="majorBidi" w:cstheme="majorBidi"/>
          <w:b/>
          <w:sz w:val="22"/>
          <w:szCs w:val="22"/>
        </w:rPr>
        <w:t>Table 1-B: Annual Information Collection Paperwork Burden Estimates for Data Generation</w:t>
      </w:r>
    </w:p>
    <w:tbl>
      <w:tblPr>
        <w:tblW w:w="5000" w:type="pct"/>
        <w:tblBorders>
          <w:top w:val="double" w:color="808080" w:sz="4" w:space="0"/>
          <w:left w:val="double" w:color="808080" w:sz="4" w:space="0"/>
          <w:bottom w:val="double" w:color="808080" w:sz="4" w:space="0"/>
          <w:right w:val="double" w:color="808080" w:sz="4" w:space="0"/>
          <w:insideH w:val="single" w:color="808080" w:sz="6" w:space="0"/>
          <w:insideV w:val="single" w:color="808080" w:sz="6" w:space="0"/>
        </w:tblBorders>
        <w:tblLook w:val="04A0" w:firstRow="1" w:lastRow="0" w:firstColumn="1" w:lastColumn="0" w:noHBand="0" w:noVBand="1"/>
      </w:tblPr>
      <w:tblGrid>
        <w:gridCol w:w="1272"/>
        <w:gridCol w:w="1383"/>
        <w:gridCol w:w="1039"/>
        <w:gridCol w:w="1172"/>
        <w:gridCol w:w="1172"/>
        <w:gridCol w:w="1172"/>
        <w:gridCol w:w="2120"/>
      </w:tblGrid>
      <w:tr w:rsidRPr="00B7108A" w:rsidR="00C270C5" w:rsidTr="00966B68" w14:paraId="54B5DF7C" w14:textId="77777777">
        <w:trPr>
          <w:trHeight w:val="810"/>
        </w:trPr>
        <w:tc>
          <w:tcPr>
            <w:tcW w:w="682" w:type="pct"/>
            <w:shd w:val="clear" w:color="auto" w:fill="auto"/>
            <w:vAlign w:val="center"/>
            <w:hideMark/>
          </w:tcPr>
          <w:p w:rsidRPr="00B7108A" w:rsidR="008253DD" w:rsidP="009B774E" w:rsidRDefault="008253DD" w14:paraId="0FA7D2FC" w14:textId="77777777">
            <w:pPr>
              <w:keepNext/>
              <w:keepLines/>
              <w:jc w:val="center"/>
              <w:rPr>
                <w:rFonts w:asciiTheme="majorBidi" w:hAnsiTheme="majorBidi" w:cstheme="majorBidi"/>
                <w:b/>
                <w:sz w:val="20"/>
                <w:szCs w:val="20"/>
              </w:rPr>
            </w:pPr>
            <w:r w:rsidRPr="00B7108A">
              <w:rPr>
                <w:rFonts w:asciiTheme="majorBidi" w:hAnsiTheme="majorBidi" w:cstheme="majorBidi"/>
                <w:b/>
                <w:sz w:val="20"/>
                <w:szCs w:val="20"/>
              </w:rPr>
              <w:t>Registration Type</w:t>
            </w:r>
          </w:p>
        </w:tc>
        <w:tc>
          <w:tcPr>
            <w:tcW w:w="741" w:type="pct"/>
            <w:shd w:val="clear" w:color="auto" w:fill="auto"/>
            <w:vAlign w:val="center"/>
            <w:hideMark/>
          </w:tcPr>
          <w:p w:rsidRPr="00B7108A" w:rsidR="008253DD" w:rsidP="009B774E" w:rsidRDefault="008253DD" w14:paraId="3455CF69" w14:textId="77777777">
            <w:pPr>
              <w:keepNext/>
              <w:keepLines/>
              <w:jc w:val="center"/>
              <w:rPr>
                <w:rFonts w:asciiTheme="majorBidi" w:hAnsiTheme="majorBidi" w:cstheme="majorBidi"/>
                <w:b/>
                <w:sz w:val="20"/>
                <w:szCs w:val="20"/>
              </w:rPr>
            </w:pPr>
            <w:r w:rsidRPr="00B7108A">
              <w:rPr>
                <w:rFonts w:asciiTheme="majorBidi" w:hAnsiTheme="majorBidi" w:cstheme="majorBidi"/>
                <w:b/>
                <w:sz w:val="20"/>
                <w:szCs w:val="20"/>
              </w:rPr>
              <w:t>Number of registrants (respondents)</w:t>
            </w:r>
          </w:p>
        </w:tc>
        <w:tc>
          <w:tcPr>
            <w:tcW w:w="557" w:type="pct"/>
            <w:shd w:val="clear" w:color="auto" w:fill="auto"/>
            <w:vAlign w:val="center"/>
            <w:hideMark/>
          </w:tcPr>
          <w:p w:rsidRPr="00B7108A" w:rsidR="008253DD" w:rsidP="009B774E" w:rsidRDefault="008253DD" w14:paraId="5B02BC05" w14:textId="77777777">
            <w:pPr>
              <w:keepNext/>
              <w:keepLines/>
              <w:jc w:val="center"/>
              <w:rPr>
                <w:rFonts w:asciiTheme="majorBidi" w:hAnsiTheme="majorBidi" w:cstheme="majorBidi"/>
                <w:b/>
                <w:sz w:val="20"/>
                <w:szCs w:val="20"/>
              </w:rPr>
            </w:pPr>
            <w:r w:rsidRPr="00B7108A">
              <w:rPr>
                <w:rFonts w:asciiTheme="majorBidi" w:hAnsiTheme="majorBidi" w:cstheme="majorBidi"/>
                <w:b/>
                <w:sz w:val="20"/>
                <w:szCs w:val="20"/>
              </w:rPr>
              <w:t>Average annual responses</w:t>
            </w:r>
          </w:p>
        </w:tc>
        <w:tc>
          <w:tcPr>
            <w:tcW w:w="628" w:type="pct"/>
            <w:shd w:val="clear" w:color="auto" w:fill="auto"/>
            <w:vAlign w:val="center"/>
            <w:hideMark/>
          </w:tcPr>
          <w:p w:rsidRPr="00B7108A" w:rsidR="008253DD" w:rsidP="009B774E" w:rsidRDefault="008253DD" w14:paraId="12F3F398" w14:textId="77777777">
            <w:pPr>
              <w:keepNext/>
              <w:keepLines/>
              <w:jc w:val="center"/>
              <w:rPr>
                <w:rFonts w:asciiTheme="majorBidi" w:hAnsiTheme="majorBidi" w:cstheme="majorBidi"/>
                <w:b/>
                <w:sz w:val="20"/>
                <w:szCs w:val="20"/>
              </w:rPr>
            </w:pPr>
            <w:r w:rsidRPr="00B7108A">
              <w:rPr>
                <w:rFonts w:asciiTheme="majorBidi" w:hAnsiTheme="majorBidi" w:cstheme="majorBidi"/>
                <w:b/>
                <w:sz w:val="20"/>
                <w:szCs w:val="20"/>
              </w:rPr>
              <w:t>Average annual responses per respondent</w:t>
            </w:r>
          </w:p>
        </w:tc>
        <w:tc>
          <w:tcPr>
            <w:tcW w:w="628" w:type="pct"/>
            <w:shd w:val="clear" w:color="auto" w:fill="auto"/>
            <w:vAlign w:val="center"/>
            <w:hideMark/>
          </w:tcPr>
          <w:p w:rsidRPr="00B7108A" w:rsidR="008253DD" w:rsidP="009B774E" w:rsidRDefault="00773105" w14:paraId="33D4D7A6" w14:textId="3441B4E9">
            <w:pPr>
              <w:keepNext/>
              <w:keepLines/>
              <w:jc w:val="center"/>
              <w:rPr>
                <w:rFonts w:asciiTheme="majorBidi" w:hAnsiTheme="majorBidi" w:cstheme="majorBidi"/>
                <w:b/>
                <w:sz w:val="20"/>
                <w:szCs w:val="20"/>
              </w:rPr>
            </w:pPr>
            <w:r w:rsidRPr="00B7108A">
              <w:rPr>
                <w:rFonts w:asciiTheme="majorBidi" w:hAnsiTheme="majorBidi" w:cstheme="majorBidi"/>
                <w:b/>
                <w:sz w:val="20"/>
                <w:szCs w:val="20"/>
              </w:rPr>
              <w:t xml:space="preserve">Average </w:t>
            </w:r>
            <w:r w:rsidRPr="00B7108A" w:rsidR="008253DD">
              <w:rPr>
                <w:rFonts w:asciiTheme="majorBidi" w:hAnsiTheme="majorBidi" w:cstheme="majorBidi"/>
                <w:b/>
                <w:sz w:val="20"/>
                <w:szCs w:val="20"/>
              </w:rPr>
              <w:t>Burden per response (hours)</w:t>
            </w:r>
            <w:r w:rsidRPr="00B7108A" w:rsidR="008253DD">
              <w:rPr>
                <w:rFonts w:asciiTheme="majorBidi" w:hAnsiTheme="majorBidi" w:cstheme="majorBidi"/>
                <w:b/>
                <w:sz w:val="20"/>
                <w:szCs w:val="20"/>
                <w:vertAlign w:val="superscript"/>
              </w:rPr>
              <w:t xml:space="preserve"> 1</w:t>
            </w:r>
          </w:p>
        </w:tc>
        <w:tc>
          <w:tcPr>
            <w:tcW w:w="628" w:type="pct"/>
            <w:shd w:val="clear" w:color="auto" w:fill="auto"/>
            <w:vAlign w:val="center"/>
            <w:hideMark/>
          </w:tcPr>
          <w:p w:rsidRPr="00B7108A" w:rsidR="008253DD" w:rsidP="009B774E" w:rsidRDefault="008253DD" w14:paraId="0761D572" w14:textId="77777777">
            <w:pPr>
              <w:keepNext/>
              <w:keepLines/>
              <w:jc w:val="center"/>
              <w:rPr>
                <w:rFonts w:asciiTheme="majorBidi" w:hAnsiTheme="majorBidi" w:cstheme="majorBidi"/>
                <w:b/>
                <w:sz w:val="20"/>
                <w:szCs w:val="20"/>
              </w:rPr>
            </w:pPr>
            <w:r w:rsidRPr="00B7108A">
              <w:rPr>
                <w:rFonts w:asciiTheme="majorBidi" w:hAnsiTheme="majorBidi" w:cstheme="majorBidi"/>
                <w:b/>
                <w:sz w:val="20"/>
                <w:szCs w:val="20"/>
              </w:rPr>
              <w:t>Average annual burden per respondent (hours)</w:t>
            </w:r>
          </w:p>
        </w:tc>
        <w:tc>
          <w:tcPr>
            <w:tcW w:w="1136" w:type="pct"/>
            <w:shd w:val="clear" w:color="auto" w:fill="auto"/>
            <w:vAlign w:val="center"/>
            <w:hideMark/>
          </w:tcPr>
          <w:p w:rsidRPr="00B7108A" w:rsidR="008253DD" w:rsidP="009B774E" w:rsidRDefault="008253DD" w14:paraId="4F463D98" w14:textId="02D46B43">
            <w:pPr>
              <w:keepNext/>
              <w:keepLines/>
              <w:jc w:val="center"/>
              <w:rPr>
                <w:rFonts w:asciiTheme="majorBidi" w:hAnsiTheme="majorBidi" w:cstheme="majorBidi"/>
                <w:b/>
                <w:sz w:val="20"/>
                <w:szCs w:val="20"/>
                <w:vertAlign w:val="superscript"/>
              </w:rPr>
            </w:pPr>
            <w:r w:rsidRPr="00B7108A">
              <w:rPr>
                <w:rFonts w:asciiTheme="majorBidi" w:hAnsiTheme="majorBidi" w:cstheme="majorBidi"/>
                <w:b/>
                <w:sz w:val="20"/>
                <w:szCs w:val="20"/>
              </w:rPr>
              <w:t>Average annual burden (hours)</w:t>
            </w:r>
            <w:r w:rsidRPr="00B7108A" w:rsidR="008640E9">
              <w:rPr>
                <w:rFonts w:asciiTheme="majorBidi" w:hAnsiTheme="majorBidi" w:cstheme="majorBidi"/>
                <w:b/>
                <w:sz w:val="20"/>
                <w:szCs w:val="20"/>
                <w:vertAlign w:val="superscript"/>
              </w:rPr>
              <w:t xml:space="preserve"> 2</w:t>
            </w:r>
          </w:p>
        </w:tc>
      </w:tr>
      <w:tr w:rsidRPr="00B7108A" w:rsidR="00966B68" w:rsidTr="00966B68" w14:paraId="62278A3D" w14:textId="77777777">
        <w:trPr>
          <w:trHeight w:val="360"/>
        </w:trPr>
        <w:tc>
          <w:tcPr>
            <w:tcW w:w="682" w:type="pct"/>
            <w:shd w:val="clear" w:color="auto" w:fill="auto"/>
            <w:vAlign w:val="center"/>
            <w:hideMark/>
          </w:tcPr>
          <w:p w:rsidRPr="00B7108A" w:rsidR="00966B68" w:rsidP="009B774E" w:rsidRDefault="00966B68" w14:paraId="604B8E22" w14:textId="77777777">
            <w:pPr>
              <w:keepNext/>
              <w:keepLines/>
              <w:jc w:val="center"/>
              <w:rPr>
                <w:rFonts w:asciiTheme="majorBidi" w:hAnsiTheme="majorBidi" w:cstheme="majorBidi"/>
                <w:b/>
                <w:sz w:val="20"/>
                <w:szCs w:val="20"/>
              </w:rPr>
            </w:pPr>
            <w:r w:rsidRPr="00B7108A">
              <w:rPr>
                <w:rFonts w:asciiTheme="majorBidi" w:hAnsiTheme="majorBidi" w:cstheme="majorBidi"/>
                <w:b/>
                <w:sz w:val="20"/>
                <w:szCs w:val="20"/>
              </w:rPr>
              <w:t>New AI</w:t>
            </w:r>
          </w:p>
        </w:tc>
        <w:tc>
          <w:tcPr>
            <w:tcW w:w="741" w:type="pct"/>
            <w:shd w:val="clear" w:color="auto" w:fill="auto"/>
            <w:vAlign w:val="center"/>
            <w:hideMark/>
          </w:tcPr>
          <w:p w:rsidRPr="00B7108A" w:rsidR="00966B68" w:rsidP="009B774E" w:rsidRDefault="00966B68" w14:paraId="4D989261" w14:textId="5E64CFEF">
            <w:pPr>
              <w:keepNext/>
              <w:keepLines/>
              <w:jc w:val="center"/>
              <w:rPr>
                <w:rFonts w:asciiTheme="majorBidi" w:hAnsiTheme="majorBidi" w:cstheme="majorBidi"/>
                <w:sz w:val="20"/>
                <w:szCs w:val="20"/>
              </w:rPr>
            </w:pPr>
            <w:r w:rsidRPr="00B7108A">
              <w:rPr>
                <w:sz w:val="20"/>
                <w:szCs w:val="20"/>
              </w:rPr>
              <w:t>1,808</w:t>
            </w:r>
          </w:p>
        </w:tc>
        <w:tc>
          <w:tcPr>
            <w:tcW w:w="557" w:type="pct"/>
            <w:shd w:val="clear" w:color="auto" w:fill="auto"/>
            <w:vAlign w:val="center"/>
            <w:hideMark/>
          </w:tcPr>
          <w:p w:rsidRPr="00B7108A" w:rsidR="00966B68" w:rsidP="009B774E" w:rsidRDefault="00C80D61" w14:paraId="71347FE2" w14:textId="3BF34DB3">
            <w:pPr>
              <w:keepNext/>
              <w:keepLines/>
              <w:jc w:val="center"/>
              <w:rPr>
                <w:rFonts w:asciiTheme="majorBidi" w:hAnsiTheme="majorBidi" w:cstheme="majorBidi"/>
                <w:sz w:val="20"/>
                <w:szCs w:val="20"/>
              </w:rPr>
            </w:pPr>
            <w:r w:rsidRPr="00B7108A">
              <w:rPr>
                <w:sz w:val="20"/>
                <w:szCs w:val="20"/>
              </w:rPr>
              <w:t>27</w:t>
            </w:r>
          </w:p>
        </w:tc>
        <w:tc>
          <w:tcPr>
            <w:tcW w:w="628" w:type="pct"/>
            <w:shd w:val="clear" w:color="auto" w:fill="auto"/>
            <w:vAlign w:val="center"/>
            <w:hideMark/>
          </w:tcPr>
          <w:p w:rsidRPr="00B7108A" w:rsidR="00966B68" w:rsidP="009B774E" w:rsidRDefault="00966B68" w14:paraId="061AE97B" w14:textId="31C44084">
            <w:pPr>
              <w:keepNext/>
              <w:keepLines/>
              <w:jc w:val="center"/>
              <w:rPr>
                <w:rFonts w:asciiTheme="majorBidi" w:hAnsiTheme="majorBidi" w:cstheme="majorBidi"/>
                <w:sz w:val="20"/>
                <w:szCs w:val="20"/>
              </w:rPr>
            </w:pPr>
            <w:r w:rsidRPr="00B7108A">
              <w:rPr>
                <w:sz w:val="20"/>
                <w:szCs w:val="20"/>
              </w:rPr>
              <w:t>0.015</w:t>
            </w:r>
          </w:p>
        </w:tc>
        <w:tc>
          <w:tcPr>
            <w:tcW w:w="628" w:type="pct"/>
            <w:shd w:val="clear" w:color="auto" w:fill="auto"/>
            <w:vAlign w:val="center"/>
            <w:hideMark/>
          </w:tcPr>
          <w:p w:rsidRPr="00B7108A" w:rsidR="00966B68" w:rsidP="009B774E" w:rsidRDefault="00966B68" w14:paraId="517BC835" w14:textId="50EBCC83">
            <w:pPr>
              <w:keepNext/>
              <w:keepLines/>
              <w:jc w:val="center"/>
              <w:rPr>
                <w:rFonts w:asciiTheme="majorBidi" w:hAnsiTheme="majorBidi" w:cstheme="majorBidi"/>
                <w:sz w:val="20"/>
                <w:szCs w:val="20"/>
              </w:rPr>
            </w:pPr>
            <w:r w:rsidRPr="00B7108A">
              <w:rPr>
                <w:sz w:val="20"/>
                <w:szCs w:val="20"/>
              </w:rPr>
              <w:t>38,057</w:t>
            </w:r>
          </w:p>
        </w:tc>
        <w:tc>
          <w:tcPr>
            <w:tcW w:w="628" w:type="pct"/>
            <w:shd w:val="clear" w:color="auto" w:fill="auto"/>
            <w:vAlign w:val="center"/>
            <w:hideMark/>
          </w:tcPr>
          <w:p w:rsidRPr="00B7108A" w:rsidR="00966B68" w:rsidP="009B774E" w:rsidRDefault="00C80D61" w14:paraId="14BC7FC2" w14:textId="7FF8A0D8">
            <w:pPr>
              <w:keepNext/>
              <w:keepLines/>
              <w:jc w:val="center"/>
              <w:rPr>
                <w:rFonts w:asciiTheme="majorBidi" w:hAnsiTheme="majorBidi" w:cstheme="majorBidi"/>
                <w:sz w:val="20"/>
                <w:szCs w:val="20"/>
              </w:rPr>
            </w:pPr>
            <w:r w:rsidRPr="00B7108A">
              <w:rPr>
                <w:sz w:val="20"/>
                <w:szCs w:val="20"/>
              </w:rPr>
              <w:t>568</w:t>
            </w:r>
          </w:p>
        </w:tc>
        <w:tc>
          <w:tcPr>
            <w:tcW w:w="1136" w:type="pct"/>
            <w:shd w:val="clear" w:color="auto" w:fill="auto"/>
            <w:vAlign w:val="center"/>
            <w:hideMark/>
          </w:tcPr>
          <w:p w:rsidRPr="00B7108A" w:rsidR="00966B68" w:rsidP="009B774E" w:rsidRDefault="00C80D61" w14:paraId="1E7DFB89" w14:textId="003F6FFD">
            <w:pPr>
              <w:keepNext/>
              <w:keepLines/>
              <w:jc w:val="center"/>
              <w:rPr>
                <w:rFonts w:asciiTheme="majorBidi" w:hAnsiTheme="majorBidi" w:cstheme="majorBidi"/>
                <w:sz w:val="20"/>
                <w:szCs w:val="20"/>
              </w:rPr>
            </w:pPr>
            <w:r w:rsidRPr="00B7108A">
              <w:rPr>
                <w:sz w:val="20"/>
                <w:szCs w:val="20"/>
              </w:rPr>
              <w:t>1,027,536</w:t>
            </w:r>
          </w:p>
        </w:tc>
      </w:tr>
      <w:tr w:rsidRPr="00B7108A" w:rsidR="00966B68" w:rsidTr="00966B68" w14:paraId="0181B4DF" w14:textId="77777777">
        <w:trPr>
          <w:trHeight w:val="360"/>
        </w:trPr>
        <w:tc>
          <w:tcPr>
            <w:tcW w:w="682" w:type="pct"/>
            <w:shd w:val="clear" w:color="auto" w:fill="auto"/>
            <w:vAlign w:val="center"/>
            <w:hideMark/>
          </w:tcPr>
          <w:p w:rsidRPr="00B7108A" w:rsidR="00966B68" w:rsidP="009B774E" w:rsidRDefault="00966B68" w14:paraId="21EF2D57" w14:textId="77777777">
            <w:pPr>
              <w:keepNext/>
              <w:keepLines/>
              <w:jc w:val="center"/>
              <w:rPr>
                <w:rFonts w:asciiTheme="majorBidi" w:hAnsiTheme="majorBidi" w:cstheme="majorBidi"/>
                <w:b/>
                <w:sz w:val="20"/>
                <w:szCs w:val="20"/>
              </w:rPr>
            </w:pPr>
            <w:r w:rsidRPr="00B7108A">
              <w:rPr>
                <w:rFonts w:asciiTheme="majorBidi" w:hAnsiTheme="majorBidi" w:cstheme="majorBidi"/>
                <w:b/>
                <w:sz w:val="20"/>
                <w:szCs w:val="20"/>
              </w:rPr>
              <w:t>New Product</w:t>
            </w:r>
          </w:p>
        </w:tc>
        <w:tc>
          <w:tcPr>
            <w:tcW w:w="741" w:type="pct"/>
            <w:shd w:val="clear" w:color="auto" w:fill="auto"/>
            <w:vAlign w:val="center"/>
            <w:hideMark/>
          </w:tcPr>
          <w:p w:rsidRPr="00B7108A" w:rsidR="00966B68" w:rsidP="009B774E" w:rsidRDefault="00966B68" w14:paraId="6FAB1AA6" w14:textId="28D742FB">
            <w:pPr>
              <w:keepNext/>
              <w:keepLines/>
              <w:jc w:val="center"/>
              <w:rPr>
                <w:rFonts w:asciiTheme="majorBidi" w:hAnsiTheme="majorBidi" w:cstheme="majorBidi"/>
                <w:sz w:val="20"/>
                <w:szCs w:val="20"/>
              </w:rPr>
            </w:pPr>
            <w:r w:rsidRPr="00B7108A">
              <w:rPr>
                <w:sz w:val="20"/>
                <w:szCs w:val="20"/>
              </w:rPr>
              <w:t>1,808</w:t>
            </w:r>
          </w:p>
        </w:tc>
        <w:tc>
          <w:tcPr>
            <w:tcW w:w="557" w:type="pct"/>
            <w:shd w:val="clear" w:color="auto" w:fill="auto"/>
            <w:vAlign w:val="center"/>
            <w:hideMark/>
          </w:tcPr>
          <w:p w:rsidRPr="00B7108A" w:rsidR="00966B68" w:rsidP="009B774E" w:rsidRDefault="00966B68" w14:paraId="122A4D6A" w14:textId="65317122">
            <w:pPr>
              <w:keepNext/>
              <w:keepLines/>
              <w:jc w:val="center"/>
              <w:rPr>
                <w:rFonts w:asciiTheme="majorBidi" w:hAnsiTheme="majorBidi" w:cstheme="majorBidi"/>
                <w:sz w:val="20"/>
                <w:szCs w:val="20"/>
              </w:rPr>
            </w:pPr>
            <w:r w:rsidRPr="00B7108A">
              <w:rPr>
                <w:sz w:val="20"/>
                <w:szCs w:val="20"/>
              </w:rPr>
              <w:t>762</w:t>
            </w:r>
          </w:p>
        </w:tc>
        <w:tc>
          <w:tcPr>
            <w:tcW w:w="628" w:type="pct"/>
            <w:shd w:val="clear" w:color="auto" w:fill="auto"/>
            <w:vAlign w:val="center"/>
            <w:hideMark/>
          </w:tcPr>
          <w:p w:rsidRPr="00B7108A" w:rsidR="00966B68" w:rsidP="009B774E" w:rsidRDefault="00966B68" w14:paraId="7BE89FC4" w14:textId="34CE14A9">
            <w:pPr>
              <w:keepNext/>
              <w:keepLines/>
              <w:jc w:val="center"/>
              <w:rPr>
                <w:rFonts w:asciiTheme="majorBidi" w:hAnsiTheme="majorBidi" w:cstheme="majorBidi"/>
                <w:sz w:val="20"/>
                <w:szCs w:val="20"/>
              </w:rPr>
            </w:pPr>
            <w:r w:rsidRPr="00B7108A">
              <w:rPr>
                <w:sz w:val="20"/>
                <w:szCs w:val="20"/>
              </w:rPr>
              <w:t>0.421</w:t>
            </w:r>
          </w:p>
        </w:tc>
        <w:tc>
          <w:tcPr>
            <w:tcW w:w="628" w:type="pct"/>
            <w:shd w:val="clear" w:color="auto" w:fill="auto"/>
            <w:vAlign w:val="center"/>
            <w:hideMark/>
          </w:tcPr>
          <w:p w:rsidRPr="00B7108A" w:rsidR="00966B68" w:rsidP="009B774E" w:rsidRDefault="00966B68" w14:paraId="26460E40" w14:textId="60FB5762">
            <w:pPr>
              <w:keepNext/>
              <w:keepLines/>
              <w:jc w:val="center"/>
              <w:rPr>
                <w:rFonts w:asciiTheme="majorBidi" w:hAnsiTheme="majorBidi" w:cstheme="majorBidi"/>
                <w:sz w:val="20"/>
                <w:szCs w:val="20"/>
              </w:rPr>
            </w:pPr>
            <w:r w:rsidRPr="00B7108A">
              <w:rPr>
                <w:sz w:val="20"/>
                <w:szCs w:val="20"/>
              </w:rPr>
              <w:t>695</w:t>
            </w:r>
          </w:p>
        </w:tc>
        <w:tc>
          <w:tcPr>
            <w:tcW w:w="628" w:type="pct"/>
            <w:shd w:val="clear" w:color="auto" w:fill="auto"/>
            <w:vAlign w:val="center"/>
            <w:hideMark/>
          </w:tcPr>
          <w:p w:rsidRPr="00B7108A" w:rsidR="00966B68" w:rsidP="009B774E" w:rsidRDefault="00966B68" w14:paraId="689D8464" w14:textId="25542917">
            <w:pPr>
              <w:keepNext/>
              <w:keepLines/>
              <w:jc w:val="center"/>
              <w:rPr>
                <w:rFonts w:asciiTheme="majorBidi" w:hAnsiTheme="majorBidi" w:cstheme="majorBidi"/>
                <w:sz w:val="20"/>
                <w:szCs w:val="20"/>
              </w:rPr>
            </w:pPr>
            <w:r w:rsidRPr="00B7108A">
              <w:rPr>
                <w:sz w:val="20"/>
                <w:szCs w:val="20"/>
              </w:rPr>
              <w:t>293</w:t>
            </w:r>
          </w:p>
        </w:tc>
        <w:tc>
          <w:tcPr>
            <w:tcW w:w="1136" w:type="pct"/>
            <w:shd w:val="clear" w:color="auto" w:fill="auto"/>
            <w:vAlign w:val="center"/>
            <w:hideMark/>
          </w:tcPr>
          <w:p w:rsidRPr="00B7108A" w:rsidR="00966B68" w:rsidP="009B774E" w:rsidRDefault="00966B68" w14:paraId="7DECD3AE" w14:textId="28B90CB5">
            <w:pPr>
              <w:keepNext/>
              <w:keepLines/>
              <w:jc w:val="center"/>
              <w:rPr>
                <w:rFonts w:asciiTheme="majorBidi" w:hAnsiTheme="majorBidi" w:cstheme="majorBidi"/>
                <w:sz w:val="20"/>
                <w:szCs w:val="20"/>
              </w:rPr>
            </w:pPr>
            <w:r w:rsidRPr="00B7108A">
              <w:rPr>
                <w:sz w:val="20"/>
                <w:szCs w:val="20"/>
              </w:rPr>
              <w:t>529,714</w:t>
            </w:r>
          </w:p>
        </w:tc>
      </w:tr>
      <w:tr w:rsidRPr="00B7108A" w:rsidR="00966B68" w:rsidTr="00966B68" w14:paraId="0017ADA9" w14:textId="77777777">
        <w:trPr>
          <w:trHeight w:val="360"/>
        </w:trPr>
        <w:tc>
          <w:tcPr>
            <w:tcW w:w="682" w:type="pct"/>
            <w:shd w:val="clear" w:color="auto" w:fill="auto"/>
            <w:vAlign w:val="center"/>
          </w:tcPr>
          <w:p w:rsidRPr="00B7108A" w:rsidR="00966B68" w:rsidP="009B774E" w:rsidRDefault="00966B68" w14:paraId="68048FD3" w14:textId="77777777">
            <w:pPr>
              <w:keepNext/>
              <w:keepLines/>
              <w:jc w:val="center"/>
              <w:rPr>
                <w:rFonts w:asciiTheme="majorBidi" w:hAnsiTheme="majorBidi" w:cstheme="majorBidi"/>
                <w:b/>
                <w:sz w:val="20"/>
                <w:szCs w:val="20"/>
              </w:rPr>
            </w:pPr>
            <w:r w:rsidRPr="00B7108A">
              <w:rPr>
                <w:rFonts w:asciiTheme="majorBidi" w:hAnsiTheme="majorBidi" w:cstheme="majorBidi"/>
                <w:b/>
                <w:sz w:val="20"/>
                <w:szCs w:val="20"/>
              </w:rPr>
              <w:t>All Types</w:t>
            </w:r>
          </w:p>
        </w:tc>
        <w:tc>
          <w:tcPr>
            <w:tcW w:w="741" w:type="pct"/>
            <w:shd w:val="clear" w:color="auto" w:fill="auto"/>
            <w:vAlign w:val="center"/>
          </w:tcPr>
          <w:p w:rsidRPr="00B7108A" w:rsidR="00966B68" w:rsidP="009B774E" w:rsidRDefault="00966B68" w14:paraId="120E7011" w14:textId="5E293BD1">
            <w:pPr>
              <w:keepNext/>
              <w:keepLines/>
              <w:jc w:val="center"/>
              <w:rPr>
                <w:rFonts w:asciiTheme="majorBidi" w:hAnsiTheme="majorBidi" w:cstheme="majorBidi"/>
                <w:b/>
                <w:sz w:val="20"/>
                <w:szCs w:val="20"/>
              </w:rPr>
            </w:pPr>
            <w:r w:rsidRPr="00B7108A">
              <w:rPr>
                <w:sz w:val="20"/>
                <w:szCs w:val="20"/>
              </w:rPr>
              <w:t>1,808</w:t>
            </w:r>
          </w:p>
        </w:tc>
        <w:tc>
          <w:tcPr>
            <w:tcW w:w="557" w:type="pct"/>
            <w:shd w:val="clear" w:color="auto" w:fill="auto"/>
            <w:vAlign w:val="center"/>
          </w:tcPr>
          <w:p w:rsidRPr="00B7108A" w:rsidR="00966B68" w:rsidP="009B774E" w:rsidRDefault="00966B68" w14:paraId="4EEDF605" w14:textId="1CB7F795">
            <w:pPr>
              <w:keepNext/>
              <w:keepLines/>
              <w:jc w:val="center"/>
              <w:rPr>
                <w:rFonts w:asciiTheme="majorBidi" w:hAnsiTheme="majorBidi" w:cstheme="majorBidi"/>
                <w:b/>
                <w:sz w:val="20"/>
                <w:szCs w:val="20"/>
              </w:rPr>
            </w:pPr>
            <w:r w:rsidRPr="00B7108A">
              <w:rPr>
                <w:sz w:val="20"/>
                <w:szCs w:val="20"/>
              </w:rPr>
              <w:t>7</w:t>
            </w:r>
            <w:r w:rsidRPr="00B7108A" w:rsidR="00C80D61">
              <w:rPr>
                <w:sz w:val="20"/>
                <w:szCs w:val="20"/>
              </w:rPr>
              <w:t>89</w:t>
            </w:r>
          </w:p>
        </w:tc>
        <w:tc>
          <w:tcPr>
            <w:tcW w:w="628" w:type="pct"/>
            <w:shd w:val="clear" w:color="auto" w:fill="auto"/>
            <w:vAlign w:val="center"/>
          </w:tcPr>
          <w:p w:rsidRPr="00B7108A" w:rsidR="00966B68" w:rsidP="009B774E" w:rsidRDefault="00966B68" w14:paraId="1A04005A" w14:textId="58A1CB39">
            <w:pPr>
              <w:keepNext/>
              <w:keepLines/>
              <w:jc w:val="center"/>
              <w:rPr>
                <w:rFonts w:asciiTheme="majorBidi" w:hAnsiTheme="majorBidi" w:cstheme="majorBidi"/>
                <w:b/>
                <w:sz w:val="20"/>
                <w:szCs w:val="20"/>
              </w:rPr>
            </w:pPr>
            <w:r w:rsidRPr="00B7108A">
              <w:rPr>
                <w:sz w:val="20"/>
                <w:szCs w:val="20"/>
              </w:rPr>
              <w:t>0.43</w:t>
            </w:r>
            <w:r w:rsidRPr="00B7108A" w:rsidR="00C80D61">
              <w:rPr>
                <w:sz w:val="20"/>
                <w:szCs w:val="20"/>
              </w:rPr>
              <w:t>6</w:t>
            </w:r>
          </w:p>
        </w:tc>
        <w:tc>
          <w:tcPr>
            <w:tcW w:w="628" w:type="pct"/>
            <w:shd w:val="clear" w:color="auto" w:fill="auto"/>
            <w:vAlign w:val="center"/>
          </w:tcPr>
          <w:p w:rsidRPr="00B7108A" w:rsidR="00966B68" w:rsidP="009B774E" w:rsidRDefault="00966B68" w14:paraId="268E2AB4" w14:textId="3596E1E5">
            <w:pPr>
              <w:keepNext/>
              <w:keepLines/>
              <w:jc w:val="center"/>
              <w:rPr>
                <w:rFonts w:asciiTheme="majorBidi" w:hAnsiTheme="majorBidi" w:cstheme="majorBidi"/>
                <w:b/>
                <w:sz w:val="20"/>
                <w:szCs w:val="20"/>
              </w:rPr>
            </w:pPr>
            <w:r w:rsidRPr="00B7108A">
              <w:rPr>
                <w:sz w:val="20"/>
                <w:szCs w:val="20"/>
              </w:rPr>
              <w:t> </w:t>
            </w:r>
          </w:p>
        </w:tc>
        <w:tc>
          <w:tcPr>
            <w:tcW w:w="628" w:type="pct"/>
            <w:shd w:val="clear" w:color="auto" w:fill="auto"/>
            <w:vAlign w:val="center"/>
          </w:tcPr>
          <w:p w:rsidRPr="00B7108A" w:rsidR="00966B68" w:rsidP="009B774E" w:rsidRDefault="00966B68" w14:paraId="37090319" w14:textId="51FE257E">
            <w:pPr>
              <w:keepNext/>
              <w:keepLines/>
              <w:jc w:val="center"/>
              <w:rPr>
                <w:rFonts w:asciiTheme="majorBidi" w:hAnsiTheme="majorBidi" w:cstheme="majorBidi"/>
                <w:b/>
                <w:sz w:val="20"/>
                <w:szCs w:val="20"/>
              </w:rPr>
            </w:pPr>
            <w:r w:rsidRPr="00B7108A">
              <w:rPr>
                <w:sz w:val="20"/>
                <w:szCs w:val="20"/>
              </w:rPr>
              <w:t>8</w:t>
            </w:r>
            <w:r w:rsidRPr="00B7108A" w:rsidR="00C80D61">
              <w:rPr>
                <w:sz w:val="20"/>
                <w:szCs w:val="20"/>
              </w:rPr>
              <w:t>61</w:t>
            </w:r>
          </w:p>
        </w:tc>
        <w:tc>
          <w:tcPr>
            <w:tcW w:w="1136" w:type="pct"/>
            <w:shd w:val="clear" w:color="auto" w:fill="auto"/>
            <w:vAlign w:val="center"/>
          </w:tcPr>
          <w:p w:rsidRPr="00B7108A" w:rsidR="00966B68" w:rsidP="009B774E" w:rsidRDefault="00C80D61" w14:paraId="6FC8A966" w14:textId="1DF1402C">
            <w:pPr>
              <w:keepNext/>
              <w:keepLines/>
              <w:jc w:val="center"/>
              <w:rPr>
                <w:rFonts w:asciiTheme="majorBidi" w:hAnsiTheme="majorBidi" w:cstheme="majorBidi"/>
                <w:b/>
                <w:sz w:val="20"/>
                <w:szCs w:val="20"/>
              </w:rPr>
            </w:pPr>
            <w:r w:rsidRPr="00B7108A">
              <w:rPr>
                <w:sz w:val="20"/>
                <w:szCs w:val="20"/>
              </w:rPr>
              <w:t>1,557,250</w:t>
            </w:r>
          </w:p>
        </w:tc>
      </w:tr>
    </w:tbl>
    <w:p w:rsidRPr="00B7108A" w:rsidR="008253DD" w:rsidP="009B774E" w:rsidRDefault="008253DD" w14:paraId="276DECC2" w14:textId="77777777">
      <w:pPr>
        <w:keepNext/>
        <w:rPr>
          <w:rFonts w:asciiTheme="majorBidi" w:hAnsiTheme="majorBidi" w:cstheme="majorBidi"/>
          <w:sz w:val="2"/>
          <w:szCs w:val="2"/>
        </w:rPr>
      </w:pPr>
    </w:p>
    <w:tbl>
      <w:tblPr>
        <w:tblStyle w:val="TableGrid"/>
        <w:tblW w:w="0" w:type="auto"/>
        <w:tblLook w:val="04A0" w:firstRow="1" w:lastRow="0" w:firstColumn="1" w:lastColumn="0" w:noHBand="0" w:noVBand="1"/>
      </w:tblPr>
      <w:tblGrid>
        <w:gridCol w:w="9360"/>
      </w:tblGrid>
      <w:tr w:rsidRPr="00C270C5" w:rsidR="008253DD" w:rsidTr="002A3F04" w14:paraId="631128CB" w14:textId="77777777">
        <w:trPr>
          <w:trHeight w:val="1197"/>
        </w:trPr>
        <w:tc>
          <w:tcPr>
            <w:tcW w:w="10070" w:type="dxa"/>
            <w:tcBorders>
              <w:top w:val="nil"/>
              <w:left w:val="nil"/>
              <w:right w:val="nil"/>
            </w:tcBorders>
          </w:tcPr>
          <w:p w:rsidRPr="00B7108A" w:rsidR="005459DF" w:rsidP="009B774E" w:rsidRDefault="005459DF" w14:paraId="476EA616" w14:textId="13E5418E">
            <w:pPr>
              <w:rPr>
                <w:rFonts w:asciiTheme="majorBidi" w:hAnsiTheme="majorBidi" w:cstheme="majorBidi"/>
                <w:sz w:val="20"/>
              </w:rPr>
            </w:pPr>
            <w:r w:rsidRPr="00B7108A">
              <w:rPr>
                <w:rFonts w:asciiTheme="majorBidi" w:hAnsiTheme="majorBidi" w:cstheme="majorBidi"/>
                <w:sz w:val="20"/>
              </w:rPr>
              <w:t>*Numbers may not sum due to rounding.</w:t>
            </w:r>
          </w:p>
          <w:p w:rsidRPr="00B7108A" w:rsidR="008253DD" w:rsidP="009B774E" w:rsidRDefault="008253DD" w14:paraId="2A23A92E" w14:textId="3F6CAE7C">
            <w:pPr>
              <w:keepNext/>
              <w:rPr>
                <w:rFonts w:asciiTheme="majorBidi" w:hAnsiTheme="majorBidi" w:cstheme="majorBidi"/>
                <w:sz w:val="21"/>
                <w:szCs w:val="21"/>
              </w:rPr>
            </w:pPr>
            <w:r w:rsidRPr="00B7108A">
              <w:rPr>
                <w:rFonts w:asciiTheme="majorBidi" w:hAnsiTheme="majorBidi" w:cstheme="majorBidi"/>
                <w:sz w:val="21"/>
                <w:szCs w:val="21"/>
                <w:vertAlign w:val="superscript"/>
              </w:rPr>
              <w:t xml:space="preserve">1 </w:t>
            </w:r>
            <w:r w:rsidRPr="00B7108A">
              <w:rPr>
                <w:rFonts w:asciiTheme="majorBidi" w:hAnsiTheme="majorBidi" w:cstheme="majorBidi"/>
                <w:sz w:val="21"/>
                <w:szCs w:val="21"/>
              </w:rPr>
              <w:t>Average burden hours per response across the three registering divisions. See Tables 6-A and 6-B for details.</w:t>
            </w:r>
          </w:p>
          <w:p w:rsidRPr="00C270C5" w:rsidR="008640E9" w:rsidP="009B774E" w:rsidRDefault="008640E9" w14:paraId="3F20A971" w14:textId="57C60FC2">
            <w:pPr>
              <w:keepNext/>
              <w:rPr>
                <w:rFonts w:asciiTheme="majorBidi" w:hAnsiTheme="majorBidi" w:cstheme="majorBidi"/>
                <w:sz w:val="21"/>
                <w:szCs w:val="21"/>
              </w:rPr>
            </w:pPr>
            <w:r w:rsidRPr="00B7108A">
              <w:rPr>
                <w:rFonts w:asciiTheme="majorBidi" w:hAnsiTheme="majorBidi" w:cstheme="majorBidi"/>
                <w:sz w:val="21"/>
                <w:szCs w:val="21"/>
                <w:vertAlign w:val="superscript"/>
              </w:rPr>
              <w:t xml:space="preserve">2 </w:t>
            </w:r>
            <w:r w:rsidRPr="00B7108A" w:rsidR="00773105">
              <w:rPr>
                <w:rFonts w:asciiTheme="majorBidi" w:hAnsiTheme="majorBidi" w:cstheme="majorBidi"/>
                <w:sz w:val="21"/>
                <w:szCs w:val="21"/>
              </w:rPr>
              <w:t>Average annual burden hours are calculated as the sum of average annual burden hours for each registration type and cannot be computed from the values in this table. See Tables 6-B and 7-B for details.</w:t>
            </w:r>
          </w:p>
        </w:tc>
      </w:tr>
    </w:tbl>
    <w:p w:rsidRPr="00C270C5" w:rsidR="008253DD" w:rsidP="009B774E" w:rsidRDefault="008253DD" w14:paraId="2456DE4C" w14:textId="77777777">
      <w:pPr>
        <w:keepNext/>
        <w:rPr>
          <w:rFonts w:asciiTheme="majorBidi" w:hAnsiTheme="majorBidi" w:cstheme="majorBidi"/>
        </w:rPr>
      </w:pPr>
    </w:p>
    <w:p w:rsidRPr="00C270C5" w:rsidR="008253DD" w:rsidP="009B774E" w:rsidRDefault="008253DD" w14:paraId="339AC853" w14:textId="11EF5A01">
      <w:pPr>
        <w:ind w:firstLine="720"/>
        <w:rPr>
          <w:rFonts w:asciiTheme="majorBidi" w:hAnsiTheme="majorBidi" w:cstheme="majorBidi"/>
          <w:bCs/>
        </w:rPr>
      </w:pPr>
      <w:r w:rsidRPr="00C270C5">
        <w:rPr>
          <w:rFonts w:asciiTheme="majorBidi" w:hAnsiTheme="majorBidi" w:cstheme="majorBidi"/>
          <w:bCs/>
        </w:rPr>
        <w:t xml:space="preserve">To calculate the costs of </w:t>
      </w:r>
      <w:r w:rsidRPr="00C270C5" w:rsidR="00EA46C9">
        <w:rPr>
          <w:rFonts w:asciiTheme="majorBidi" w:hAnsiTheme="majorBidi" w:cstheme="majorBidi"/>
          <w:bCs/>
        </w:rPr>
        <w:t xml:space="preserve">the </w:t>
      </w:r>
      <w:r w:rsidRPr="00C270C5">
        <w:rPr>
          <w:rFonts w:asciiTheme="majorBidi" w:hAnsiTheme="majorBidi" w:cstheme="majorBidi"/>
          <w:bCs/>
        </w:rPr>
        <w:t>paperwork burden from the application process and from data generation, the burden hours were multiplied by current wages.</w:t>
      </w:r>
      <w:r w:rsidRPr="00C270C5" w:rsidR="007841AD">
        <w:rPr>
          <w:rFonts w:asciiTheme="majorBidi" w:hAnsiTheme="majorBidi" w:cstheme="majorBidi"/>
          <w:bCs/>
        </w:rPr>
        <w:t xml:space="preserve"> </w:t>
      </w:r>
      <w:r w:rsidRPr="00C270C5">
        <w:rPr>
          <w:rFonts w:asciiTheme="majorBidi" w:hAnsiTheme="majorBidi" w:cstheme="majorBidi"/>
          <w:bCs/>
        </w:rPr>
        <w:t>Agency economists revised the estimated wages, benefits and overhead for all labor categories for the affected industry and EPA employees based on publicly available data from the US Bureau of Labor Statistics.</w:t>
      </w:r>
      <w:r w:rsidRPr="00C270C5" w:rsidR="007841AD">
        <w:rPr>
          <w:rFonts w:asciiTheme="majorBidi" w:hAnsiTheme="majorBidi" w:cstheme="majorBidi"/>
          <w:bCs/>
        </w:rPr>
        <w:t xml:space="preserve"> </w:t>
      </w:r>
      <w:r w:rsidRPr="00C270C5">
        <w:rPr>
          <w:rFonts w:asciiTheme="majorBidi" w:hAnsiTheme="majorBidi" w:cstheme="majorBidi"/>
          <w:bCs/>
        </w:rPr>
        <w:t xml:space="preserve">The formulas used to estimate the labor rates and formulas used to derive the fully loaded wage rates and overhead costs for this ICR renewal are presented in </w:t>
      </w:r>
      <w:r w:rsidRPr="00C270C5">
        <w:rPr>
          <w:rFonts w:asciiTheme="majorBidi" w:hAnsiTheme="majorBidi" w:cstheme="majorBidi"/>
          <w:b/>
          <w:bCs/>
        </w:rPr>
        <w:t xml:space="preserve">Attachment </w:t>
      </w:r>
      <w:r w:rsidRPr="00C270C5" w:rsidR="007A6470">
        <w:rPr>
          <w:rFonts w:asciiTheme="majorBidi" w:hAnsiTheme="majorBidi" w:cstheme="majorBidi"/>
          <w:b/>
          <w:bCs/>
        </w:rPr>
        <w:t>J</w:t>
      </w:r>
      <w:r w:rsidRPr="00C270C5">
        <w:rPr>
          <w:rFonts w:asciiTheme="majorBidi" w:hAnsiTheme="majorBidi" w:cstheme="majorBidi"/>
          <w:b/>
          <w:bCs/>
        </w:rPr>
        <w:t>.</w:t>
      </w:r>
      <w:r w:rsidRPr="00C270C5" w:rsidR="007841AD">
        <w:rPr>
          <w:rFonts w:asciiTheme="majorBidi" w:hAnsiTheme="majorBidi" w:cstheme="majorBidi"/>
          <w:bCs/>
        </w:rPr>
        <w:t xml:space="preserve"> </w:t>
      </w:r>
      <w:r w:rsidRPr="00C270C5">
        <w:rPr>
          <w:rFonts w:asciiTheme="majorBidi" w:hAnsiTheme="majorBidi" w:cstheme="majorBidi"/>
          <w:bCs/>
        </w:rPr>
        <w:t>Cost estimates are provided in the following sections.</w:t>
      </w:r>
    </w:p>
    <w:p w:rsidRPr="00C270C5" w:rsidR="008253DD" w:rsidP="009B774E" w:rsidRDefault="008253DD" w14:paraId="5403F344" w14:textId="5A57CF2D">
      <w:pPr>
        <w:rPr>
          <w:rFonts w:asciiTheme="majorBidi" w:hAnsiTheme="majorBidi" w:cstheme="majorBidi"/>
          <w:b/>
        </w:rPr>
      </w:pPr>
    </w:p>
    <w:p w:rsidRPr="00C270C5" w:rsidR="008253DD" w:rsidP="009B774E" w:rsidRDefault="008253DD" w14:paraId="36984CBF" w14:textId="77777777">
      <w:pPr>
        <w:pStyle w:val="Heading3"/>
        <w:ind w:left="360"/>
      </w:pPr>
      <w:r w:rsidRPr="00C270C5">
        <w:t>6(a)</w:t>
      </w:r>
      <w:r w:rsidRPr="00C270C5">
        <w:tab/>
        <w:t>Respondent Paperwork Burden Hours and Cost from Application Process</w:t>
      </w:r>
    </w:p>
    <w:p w:rsidRPr="00C270C5" w:rsidR="008253DD" w:rsidP="009B774E" w:rsidRDefault="008253DD" w14:paraId="0BC51B73" w14:textId="77777777">
      <w:pPr>
        <w:rPr>
          <w:rFonts w:asciiTheme="majorBidi" w:hAnsiTheme="majorBidi" w:cstheme="majorBidi"/>
          <w:b/>
        </w:rPr>
      </w:pPr>
    </w:p>
    <w:p w:rsidRPr="00C270C5" w:rsidR="008253DD" w:rsidP="009B774E" w:rsidRDefault="008253DD" w14:paraId="23BAB903" w14:textId="22262A49">
      <w:pPr>
        <w:rPr>
          <w:rFonts w:asciiTheme="majorBidi" w:hAnsiTheme="majorBidi" w:cstheme="majorBidi"/>
        </w:rPr>
      </w:pPr>
      <w:r w:rsidRPr="00C270C5">
        <w:rPr>
          <w:rFonts w:asciiTheme="majorBidi" w:hAnsiTheme="majorBidi" w:cstheme="majorBidi"/>
        </w:rPr>
        <w:tab/>
        <w:t>This section describes the methodologies and provides estimates of respondent paperwork burden hours and costs from the application process.</w:t>
      </w:r>
      <w:r w:rsidRPr="00C270C5" w:rsidR="007841AD">
        <w:rPr>
          <w:rFonts w:asciiTheme="majorBidi" w:hAnsiTheme="majorBidi" w:cstheme="majorBidi"/>
        </w:rPr>
        <w:t xml:space="preserve"> </w:t>
      </w:r>
      <w:r w:rsidRPr="00C270C5">
        <w:rPr>
          <w:rFonts w:asciiTheme="majorBidi" w:hAnsiTheme="majorBidi" w:cstheme="majorBidi"/>
        </w:rPr>
        <w:t>The reporting and recordkeeping burden associated with the Section 3 application process for registering of pesticides may be thought of in terms of three general categories of burden (including most registration actions except those pertaining to setting tolerances and inert ingredients).</w:t>
      </w:r>
      <w:r w:rsidRPr="00C270C5" w:rsidR="007841AD">
        <w:rPr>
          <w:rFonts w:asciiTheme="majorBidi" w:hAnsiTheme="majorBidi" w:cstheme="majorBidi"/>
        </w:rPr>
        <w:t xml:space="preserve"> </w:t>
      </w:r>
    </w:p>
    <w:p w:rsidRPr="00C270C5" w:rsidR="008253DD" w:rsidP="009B774E" w:rsidRDefault="008253DD" w14:paraId="4D585E56" w14:textId="77777777">
      <w:pPr>
        <w:ind w:firstLine="720"/>
        <w:rPr>
          <w:rFonts w:asciiTheme="majorBidi" w:hAnsiTheme="majorBidi" w:cstheme="majorBidi"/>
        </w:rPr>
      </w:pPr>
    </w:p>
    <w:p w:rsidRPr="00C270C5" w:rsidR="008253DD" w:rsidP="009B774E" w:rsidRDefault="008253DD" w14:paraId="5227F690" w14:textId="4D1DAE67">
      <w:pPr>
        <w:ind w:firstLine="720"/>
        <w:rPr>
          <w:rFonts w:asciiTheme="majorBidi" w:hAnsiTheme="majorBidi" w:cstheme="majorBidi"/>
        </w:rPr>
      </w:pPr>
      <w:r w:rsidRPr="00C270C5">
        <w:rPr>
          <w:rFonts w:asciiTheme="majorBidi" w:hAnsiTheme="majorBidi" w:cstheme="majorBidi"/>
        </w:rPr>
        <w:t xml:space="preserve">To determine the appropriate number of applications (responses) for each category, </w:t>
      </w:r>
      <w:r w:rsidRPr="00C270C5" w:rsidR="00EA46C9">
        <w:rPr>
          <w:rFonts w:asciiTheme="majorBidi" w:hAnsiTheme="majorBidi" w:cstheme="majorBidi"/>
        </w:rPr>
        <w:t xml:space="preserve">the </w:t>
      </w:r>
      <w:r w:rsidRPr="00C270C5">
        <w:rPr>
          <w:rFonts w:asciiTheme="majorBidi" w:hAnsiTheme="majorBidi" w:cstheme="majorBidi"/>
        </w:rPr>
        <w:t>EPA averaged data on pesticide registration activities from 201</w:t>
      </w:r>
      <w:r w:rsidR="009143BE">
        <w:rPr>
          <w:rFonts w:asciiTheme="majorBidi" w:hAnsiTheme="majorBidi" w:cstheme="majorBidi"/>
        </w:rPr>
        <w:t>5</w:t>
      </w:r>
      <w:r w:rsidRPr="00C270C5">
        <w:rPr>
          <w:rFonts w:asciiTheme="majorBidi" w:hAnsiTheme="majorBidi" w:cstheme="majorBidi"/>
        </w:rPr>
        <w:t>-201</w:t>
      </w:r>
      <w:r w:rsidR="009143BE">
        <w:rPr>
          <w:rFonts w:asciiTheme="majorBidi" w:hAnsiTheme="majorBidi" w:cstheme="majorBidi"/>
        </w:rPr>
        <w:t>7</w:t>
      </w:r>
      <w:r w:rsidRPr="00C270C5">
        <w:rPr>
          <w:rFonts w:asciiTheme="majorBidi" w:hAnsiTheme="majorBidi" w:cstheme="majorBidi"/>
        </w:rPr>
        <w:t>.</w:t>
      </w:r>
      <w:r w:rsidRPr="00C270C5" w:rsidR="007841AD">
        <w:rPr>
          <w:rFonts w:asciiTheme="majorBidi" w:hAnsiTheme="majorBidi" w:cstheme="majorBidi"/>
        </w:rPr>
        <w:t xml:space="preserve"> </w:t>
      </w:r>
      <w:r w:rsidRPr="00C270C5">
        <w:rPr>
          <w:rFonts w:asciiTheme="majorBidi" w:hAnsiTheme="majorBidi" w:eastAsiaTheme="minorHAnsi" w:cstheme="majorBidi"/>
        </w:rPr>
        <w:t xml:space="preserve">When the Agency receives applications for registrations and amendments to registrations, these actions are tracked in </w:t>
      </w:r>
      <w:r w:rsidRPr="00C270C5" w:rsidR="00EA46C9">
        <w:rPr>
          <w:rFonts w:asciiTheme="majorBidi" w:hAnsiTheme="majorBidi" w:eastAsiaTheme="minorHAnsi" w:cstheme="majorBidi"/>
        </w:rPr>
        <w:t>OPP’</w:t>
      </w:r>
      <w:r w:rsidRPr="00C270C5">
        <w:rPr>
          <w:rFonts w:asciiTheme="majorBidi" w:hAnsiTheme="majorBidi" w:eastAsiaTheme="minorHAnsi" w:cstheme="majorBidi"/>
        </w:rPr>
        <w:t>s central database system, called OPPIN.</w:t>
      </w:r>
      <w:r w:rsidRPr="00C270C5" w:rsidR="007841AD">
        <w:rPr>
          <w:rFonts w:asciiTheme="majorBidi" w:hAnsiTheme="majorBidi" w:eastAsiaTheme="minorHAnsi" w:cstheme="majorBidi"/>
        </w:rPr>
        <w:t xml:space="preserve"> </w:t>
      </w:r>
      <w:r w:rsidRPr="00C270C5">
        <w:rPr>
          <w:rFonts w:asciiTheme="majorBidi" w:hAnsiTheme="majorBidi" w:eastAsiaTheme="minorHAnsi" w:cstheme="majorBidi"/>
        </w:rPr>
        <w:t>From this system, the Agency can provide reporting on actual numbers of applications, broken down by several major types.</w:t>
      </w:r>
      <w:r w:rsidRPr="00C270C5" w:rsidR="007841AD">
        <w:rPr>
          <w:rFonts w:asciiTheme="majorBidi" w:hAnsiTheme="majorBidi" w:eastAsiaTheme="minorHAnsi" w:cstheme="majorBidi"/>
        </w:rPr>
        <w:t xml:space="preserve"> </w:t>
      </w:r>
      <w:r w:rsidRPr="00C270C5">
        <w:rPr>
          <w:rFonts w:asciiTheme="majorBidi" w:hAnsiTheme="majorBidi" w:eastAsiaTheme="minorHAnsi" w:cstheme="majorBidi"/>
        </w:rPr>
        <w:t xml:space="preserve">Each registering division further tracks </w:t>
      </w:r>
      <w:r w:rsidRPr="00C270C5" w:rsidR="00EA46C9">
        <w:rPr>
          <w:rFonts w:asciiTheme="majorBidi" w:hAnsiTheme="majorBidi" w:eastAsiaTheme="minorHAnsi" w:cstheme="majorBidi"/>
        </w:rPr>
        <w:t xml:space="preserve">registration-related </w:t>
      </w:r>
      <w:r w:rsidRPr="00C270C5">
        <w:rPr>
          <w:rFonts w:asciiTheme="majorBidi" w:hAnsiTheme="majorBidi" w:eastAsiaTheme="minorHAnsi" w:cstheme="majorBidi"/>
        </w:rPr>
        <w:t>applications in greater detail.</w:t>
      </w:r>
      <w:r w:rsidRPr="00C270C5" w:rsidR="007841AD">
        <w:rPr>
          <w:rFonts w:asciiTheme="majorBidi" w:hAnsiTheme="majorBidi" w:eastAsiaTheme="minorHAnsi" w:cstheme="majorBidi"/>
        </w:rPr>
        <w:t xml:space="preserve"> </w:t>
      </w:r>
      <w:r w:rsidRPr="00C270C5">
        <w:rPr>
          <w:rFonts w:asciiTheme="majorBidi" w:hAnsiTheme="majorBidi" w:eastAsiaTheme="minorHAnsi" w:cstheme="majorBidi"/>
        </w:rPr>
        <w:t>Information from the central database and supplemental divisional tracking is used as the basis of the burden estimates.</w:t>
      </w:r>
    </w:p>
    <w:p w:rsidRPr="00C270C5" w:rsidR="008253DD" w:rsidP="009B774E" w:rsidRDefault="008253DD" w14:paraId="622ACCAD" w14:textId="77777777">
      <w:pPr>
        <w:keepNext/>
        <w:ind w:firstLine="720"/>
        <w:rPr>
          <w:rFonts w:asciiTheme="majorBidi" w:hAnsiTheme="majorBidi" w:cstheme="majorBidi"/>
        </w:rPr>
      </w:pPr>
    </w:p>
    <w:p w:rsidRPr="00910D48" w:rsidR="00DB0ABB" w:rsidP="009B774E" w:rsidRDefault="008253DD" w14:paraId="51A5AED2" w14:textId="4B3792F4">
      <w:pPr>
        <w:keepNext/>
        <w:ind w:firstLine="720"/>
        <w:rPr>
          <w:rFonts w:asciiTheme="majorBidi" w:hAnsiTheme="majorBidi" w:cstheme="majorBidi"/>
        </w:rPr>
      </w:pPr>
      <w:bookmarkStart w:name="_Hlk51798429" w:id="7"/>
      <w:r w:rsidRPr="00910D48">
        <w:rPr>
          <w:rFonts w:asciiTheme="majorBidi" w:hAnsiTheme="majorBidi" w:cstheme="majorBidi"/>
        </w:rPr>
        <w:t xml:space="preserve">The average number of responses annually has changed </w:t>
      </w:r>
      <w:r w:rsidRPr="00910D48" w:rsidR="003338A5">
        <w:rPr>
          <w:rFonts w:asciiTheme="majorBidi" w:hAnsiTheme="majorBidi" w:cstheme="majorBidi"/>
        </w:rPr>
        <w:t xml:space="preserve">since </w:t>
      </w:r>
      <w:r w:rsidRPr="00910D48">
        <w:rPr>
          <w:rFonts w:asciiTheme="majorBidi" w:hAnsiTheme="majorBidi" w:cstheme="majorBidi"/>
        </w:rPr>
        <w:t xml:space="preserve">the last ICR renewal from </w:t>
      </w:r>
      <w:r w:rsidRPr="00910D48" w:rsidR="002472E5">
        <w:rPr>
          <w:rFonts w:asciiTheme="majorBidi" w:hAnsiTheme="majorBidi" w:cstheme="majorBidi"/>
        </w:rPr>
        <w:t>7,478 to 7,</w:t>
      </w:r>
      <w:r w:rsidRPr="00910D48" w:rsidR="00FE059A">
        <w:rPr>
          <w:rFonts w:asciiTheme="majorBidi" w:hAnsiTheme="majorBidi" w:cstheme="majorBidi"/>
        </w:rPr>
        <w:t>4</w:t>
      </w:r>
      <w:r w:rsidRPr="00910D48" w:rsidR="003F0348">
        <w:rPr>
          <w:rFonts w:asciiTheme="majorBidi" w:hAnsiTheme="majorBidi" w:cstheme="majorBidi"/>
        </w:rPr>
        <w:t>39</w:t>
      </w:r>
      <w:r w:rsidRPr="00910D48">
        <w:rPr>
          <w:rFonts w:asciiTheme="majorBidi" w:hAnsiTheme="majorBidi" w:cstheme="majorBidi"/>
        </w:rPr>
        <w:t xml:space="preserve">, a decrease of </w:t>
      </w:r>
      <w:r w:rsidRPr="00910D48" w:rsidR="00FE059A">
        <w:rPr>
          <w:rFonts w:asciiTheme="majorBidi" w:hAnsiTheme="majorBidi" w:cstheme="majorBidi"/>
        </w:rPr>
        <w:t xml:space="preserve">less than one </w:t>
      </w:r>
      <w:r w:rsidRPr="00910D48" w:rsidR="00C52AF3">
        <w:rPr>
          <w:rFonts w:asciiTheme="majorBidi" w:hAnsiTheme="majorBidi" w:cstheme="majorBidi"/>
        </w:rPr>
        <w:t>percent.</w:t>
      </w:r>
      <w:r w:rsidRPr="00910D48" w:rsidR="007841AD">
        <w:rPr>
          <w:rFonts w:asciiTheme="majorBidi" w:hAnsiTheme="majorBidi" w:cstheme="majorBidi"/>
        </w:rPr>
        <w:t xml:space="preserve"> </w:t>
      </w:r>
      <w:r w:rsidRPr="00910D48">
        <w:rPr>
          <w:rFonts w:asciiTheme="majorBidi" w:hAnsiTheme="majorBidi" w:cstheme="majorBidi"/>
        </w:rPr>
        <w:t xml:space="preserve">Table 2 shows the average number of </w:t>
      </w:r>
      <w:r w:rsidRPr="00910D48">
        <w:rPr>
          <w:rFonts w:asciiTheme="majorBidi" w:hAnsiTheme="majorBidi" w:cstheme="majorBidi"/>
        </w:rPr>
        <w:lastRenderedPageBreak/>
        <w:t>applications per year by type and division.</w:t>
      </w:r>
      <w:r w:rsidRPr="00910D48" w:rsidR="007841AD">
        <w:rPr>
          <w:rFonts w:asciiTheme="majorBidi" w:hAnsiTheme="majorBidi" w:cstheme="majorBidi"/>
        </w:rPr>
        <w:t xml:space="preserve"> </w:t>
      </w:r>
      <w:r w:rsidRPr="00910D48">
        <w:rPr>
          <w:rFonts w:asciiTheme="majorBidi" w:hAnsiTheme="majorBidi" w:cstheme="majorBidi"/>
        </w:rPr>
        <w:t>Across all registering divisions, there were 7,</w:t>
      </w:r>
      <w:r w:rsidRPr="00910D48" w:rsidR="002472E5">
        <w:rPr>
          <w:rFonts w:asciiTheme="majorBidi" w:hAnsiTheme="majorBidi" w:cstheme="majorBidi"/>
        </w:rPr>
        <w:t>2</w:t>
      </w:r>
      <w:r w:rsidRPr="00910D48" w:rsidR="00B27331">
        <w:rPr>
          <w:rFonts w:asciiTheme="majorBidi" w:hAnsiTheme="majorBidi" w:cstheme="majorBidi"/>
        </w:rPr>
        <w:t>9</w:t>
      </w:r>
      <w:r w:rsidRPr="00910D48" w:rsidR="005B037A">
        <w:rPr>
          <w:rFonts w:asciiTheme="majorBidi" w:hAnsiTheme="majorBidi" w:cstheme="majorBidi"/>
        </w:rPr>
        <w:t>2</w:t>
      </w:r>
      <w:r w:rsidRPr="00910D48">
        <w:rPr>
          <w:rFonts w:asciiTheme="majorBidi" w:hAnsiTheme="majorBidi" w:cstheme="majorBidi"/>
        </w:rPr>
        <w:t xml:space="preserve"> Section 3 registration actions annually</w:t>
      </w:r>
      <w:r w:rsidRPr="00910D48" w:rsidR="00423CF3">
        <w:rPr>
          <w:rFonts w:asciiTheme="majorBidi" w:hAnsiTheme="majorBidi" w:cstheme="majorBidi"/>
        </w:rPr>
        <w:t>,</w:t>
      </w:r>
      <w:r w:rsidRPr="00910D48">
        <w:rPr>
          <w:rFonts w:asciiTheme="majorBidi" w:hAnsiTheme="majorBidi" w:cstheme="majorBidi"/>
        </w:rPr>
        <w:t xml:space="preserve"> on average</w:t>
      </w:r>
      <w:r w:rsidRPr="00910D48" w:rsidR="00423CF3">
        <w:rPr>
          <w:rFonts w:asciiTheme="majorBidi" w:hAnsiTheme="majorBidi" w:cstheme="majorBidi"/>
        </w:rPr>
        <w:t>,</w:t>
      </w:r>
      <w:r w:rsidRPr="00910D48">
        <w:rPr>
          <w:rFonts w:asciiTheme="majorBidi" w:hAnsiTheme="majorBidi" w:cstheme="majorBidi"/>
        </w:rPr>
        <w:t xml:space="preserve"> </w:t>
      </w:r>
      <w:r w:rsidRPr="00910D48" w:rsidR="00423CF3">
        <w:rPr>
          <w:rFonts w:asciiTheme="majorBidi" w:hAnsiTheme="majorBidi" w:cstheme="majorBidi"/>
        </w:rPr>
        <w:t xml:space="preserve">during </w:t>
      </w:r>
      <w:r w:rsidRPr="00910D48">
        <w:rPr>
          <w:rFonts w:asciiTheme="majorBidi" w:hAnsiTheme="majorBidi" w:cstheme="majorBidi"/>
        </w:rPr>
        <w:t>the years 201</w:t>
      </w:r>
      <w:r w:rsidRPr="00910D48" w:rsidR="009143BE">
        <w:rPr>
          <w:rFonts w:asciiTheme="majorBidi" w:hAnsiTheme="majorBidi" w:cstheme="majorBidi"/>
        </w:rPr>
        <w:t>5</w:t>
      </w:r>
      <w:r w:rsidRPr="00910D48">
        <w:rPr>
          <w:rFonts w:asciiTheme="majorBidi" w:hAnsiTheme="majorBidi" w:cstheme="majorBidi"/>
        </w:rPr>
        <w:t>-201</w:t>
      </w:r>
      <w:r w:rsidRPr="00910D48" w:rsidR="009143BE">
        <w:rPr>
          <w:rFonts w:asciiTheme="majorBidi" w:hAnsiTheme="majorBidi" w:cstheme="majorBidi"/>
        </w:rPr>
        <w:t>7</w:t>
      </w:r>
      <w:r w:rsidRPr="00910D48">
        <w:rPr>
          <w:rFonts w:asciiTheme="majorBidi" w:hAnsiTheme="majorBidi" w:cstheme="majorBidi"/>
        </w:rPr>
        <w:t>.</w:t>
      </w:r>
      <w:r w:rsidRPr="00910D48" w:rsidR="007841AD">
        <w:rPr>
          <w:rFonts w:asciiTheme="majorBidi" w:hAnsiTheme="majorBidi" w:cstheme="majorBidi"/>
        </w:rPr>
        <w:t xml:space="preserve"> </w:t>
      </w:r>
      <w:r w:rsidRPr="00910D48">
        <w:rPr>
          <w:rFonts w:asciiTheme="majorBidi" w:hAnsiTheme="majorBidi" w:cstheme="majorBidi"/>
        </w:rPr>
        <w:t xml:space="preserve">These included an average of </w:t>
      </w:r>
      <w:r w:rsidRPr="00910D48" w:rsidR="00B27331">
        <w:rPr>
          <w:rFonts w:asciiTheme="majorBidi" w:hAnsiTheme="majorBidi" w:cstheme="majorBidi"/>
        </w:rPr>
        <w:t>20</w:t>
      </w:r>
      <w:r w:rsidRPr="00910D48" w:rsidR="005B037A">
        <w:rPr>
          <w:rFonts w:asciiTheme="majorBidi" w:hAnsiTheme="majorBidi" w:cstheme="majorBidi"/>
        </w:rPr>
        <w:t>5</w:t>
      </w:r>
      <w:r w:rsidRPr="00910D48" w:rsidR="002472E5">
        <w:rPr>
          <w:rFonts w:asciiTheme="majorBidi" w:hAnsiTheme="majorBidi" w:cstheme="majorBidi"/>
        </w:rPr>
        <w:t xml:space="preserve"> </w:t>
      </w:r>
      <w:r w:rsidRPr="00910D48">
        <w:rPr>
          <w:rFonts w:asciiTheme="majorBidi" w:hAnsiTheme="majorBidi" w:cstheme="majorBidi"/>
        </w:rPr>
        <w:t>“Type A” activities, 7,</w:t>
      </w:r>
      <w:r w:rsidRPr="00910D48" w:rsidR="002472E5">
        <w:rPr>
          <w:rFonts w:asciiTheme="majorBidi" w:hAnsiTheme="majorBidi" w:cstheme="majorBidi"/>
        </w:rPr>
        <w:t>082</w:t>
      </w:r>
      <w:r w:rsidRPr="00910D48">
        <w:rPr>
          <w:rFonts w:asciiTheme="majorBidi" w:hAnsiTheme="majorBidi" w:cstheme="majorBidi"/>
        </w:rPr>
        <w:t xml:space="preserve"> “Type B” activities, and </w:t>
      </w:r>
      <w:r w:rsidRPr="00910D48" w:rsidR="002472E5">
        <w:rPr>
          <w:rFonts w:asciiTheme="majorBidi" w:hAnsiTheme="majorBidi" w:cstheme="majorBidi"/>
        </w:rPr>
        <w:t>5</w:t>
      </w:r>
      <w:r w:rsidRPr="00910D48">
        <w:rPr>
          <w:rFonts w:asciiTheme="majorBidi" w:hAnsiTheme="majorBidi" w:cstheme="majorBidi"/>
        </w:rPr>
        <w:t xml:space="preserve"> “Type C” activities.</w:t>
      </w:r>
      <w:r w:rsidRPr="00910D48" w:rsidR="007841AD">
        <w:rPr>
          <w:rFonts w:asciiTheme="majorBidi" w:hAnsiTheme="majorBidi" w:cstheme="majorBidi"/>
        </w:rPr>
        <w:t xml:space="preserve"> </w:t>
      </w:r>
    </w:p>
    <w:p w:rsidR="00DB0ABB" w:rsidP="009B774E" w:rsidRDefault="00DB0ABB" w14:paraId="489CA264" w14:textId="2E0D729C">
      <w:pPr>
        <w:rPr>
          <w:rFonts w:asciiTheme="majorBidi" w:hAnsiTheme="majorBidi" w:cstheme="majorBidi"/>
        </w:rPr>
      </w:pPr>
      <w:r w:rsidRPr="00910D48">
        <w:rPr>
          <w:rFonts w:asciiTheme="majorBidi" w:hAnsiTheme="majorBidi" w:cstheme="majorBidi"/>
        </w:rPr>
        <w:t xml:space="preserve">Additionally, in this iteration of the ICR, the Agency calculates the expected annual application burden of </w:t>
      </w:r>
      <w:r w:rsidRPr="00910D48" w:rsidR="00450C12">
        <w:rPr>
          <w:rFonts w:asciiTheme="majorBidi" w:hAnsiTheme="majorBidi" w:cstheme="majorBidi"/>
        </w:rPr>
        <w:t xml:space="preserve">three </w:t>
      </w:r>
      <w:r w:rsidRPr="00910D48">
        <w:rPr>
          <w:rFonts w:asciiTheme="majorBidi" w:hAnsiTheme="majorBidi" w:cstheme="majorBidi"/>
        </w:rPr>
        <w:t xml:space="preserve">proposed programs that </w:t>
      </w:r>
      <w:r w:rsidRPr="00910D48" w:rsidR="00303A80">
        <w:rPr>
          <w:rFonts w:asciiTheme="majorBidi" w:hAnsiTheme="majorBidi" w:cstheme="majorBidi"/>
        </w:rPr>
        <w:t>are anticipated to come</w:t>
      </w:r>
      <w:r w:rsidRPr="00910D48">
        <w:rPr>
          <w:rFonts w:asciiTheme="majorBidi" w:hAnsiTheme="majorBidi" w:cstheme="majorBidi"/>
        </w:rPr>
        <w:t xml:space="preserve"> online </w:t>
      </w:r>
      <w:r w:rsidRPr="00910D48" w:rsidR="00303A80">
        <w:rPr>
          <w:rFonts w:asciiTheme="majorBidi" w:hAnsiTheme="majorBidi" w:cstheme="majorBidi"/>
        </w:rPr>
        <w:t>in</w:t>
      </w:r>
      <w:r w:rsidRPr="00910D48">
        <w:rPr>
          <w:rFonts w:asciiTheme="majorBidi" w:hAnsiTheme="majorBidi" w:cstheme="majorBidi"/>
        </w:rPr>
        <w:t xml:space="preserve"> the next </w:t>
      </w:r>
      <w:r w:rsidRPr="00910D48" w:rsidR="002C31FC">
        <w:rPr>
          <w:rFonts w:asciiTheme="majorBidi" w:hAnsiTheme="majorBidi" w:cstheme="majorBidi"/>
        </w:rPr>
        <w:t>three years</w:t>
      </w:r>
      <w:r w:rsidRPr="00910D48">
        <w:rPr>
          <w:rFonts w:asciiTheme="majorBidi" w:hAnsiTheme="majorBidi" w:cstheme="majorBidi"/>
        </w:rPr>
        <w:t xml:space="preserve">.  </w:t>
      </w:r>
      <w:bookmarkEnd w:id="7"/>
      <w:r w:rsidRPr="00910D48">
        <w:rPr>
          <w:rFonts w:asciiTheme="majorBidi" w:hAnsiTheme="majorBidi" w:cstheme="majorBidi"/>
        </w:rPr>
        <w:t>As many of these programs are not finalized, the impact of these programs is estimated.  Further, many of the proposed programs do not fit neatly into Type A, Type B, or Type C actions.</w:t>
      </w:r>
      <w:r>
        <w:rPr>
          <w:rFonts w:asciiTheme="majorBidi" w:hAnsiTheme="majorBidi" w:cstheme="majorBidi"/>
        </w:rPr>
        <w:t xml:space="preserve">  When the description of a proposed program does not directly match any specific Type of action, the Agency calculates burden as equal to whichever Type of action most closely resembles the requirements of the proposed program.</w:t>
      </w:r>
    </w:p>
    <w:p w:rsidR="00DB0ABB" w:rsidP="009B774E" w:rsidRDefault="00DB0ABB" w14:paraId="3C0EBF61" w14:textId="77777777">
      <w:pPr>
        <w:rPr>
          <w:rFonts w:asciiTheme="majorBidi" w:hAnsiTheme="majorBidi" w:cstheme="majorBidi"/>
        </w:rPr>
      </w:pPr>
    </w:p>
    <w:p w:rsidRPr="00476D46" w:rsidR="003D16EF" w:rsidP="009B774E" w:rsidRDefault="00DB0ABB" w14:paraId="367C31D8" w14:textId="7A86F140">
      <w:pPr>
        <w:ind w:firstLine="720"/>
      </w:pPr>
      <w:bookmarkStart w:name="_Hlk51798466" w:id="8"/>
      <w:r w:rsidRPr="00910D48">
        <w:rPr>
          <w:rFonts w:asciiTheme="majorBidi" w:hAnsiTheme="majorBidi" w:cstheme="majorBidi"/>
        </w:rPr>
        <w:t xml:space="preserve">EPA estimates that the addition of several new fee-for-service </w:t>
      </w:r>
      <w:r w:rsidRPr="00910D48" w:rsidR="00F55BDE">
        <w:rPr>
          <w:rFonts w:asciiTheme="majorBidi" w:hAnsiTheme="majorBidi" w:cstheme="majorBidi"/>
        </w:rPr>
        <w:t xml:space="preserve">PRIA </w:t>
      </w:r>
      <w:r w:rsidRPr="00910D48">
        <w:rPr>
          <w:rFonts w:asciiTheme="majorBidi" w:hAnsiTheme="majorBidi" w:cstheme="majorBidi"/>
        </w:rPr>
        <w:t>categories will increase the annual number of Type B actions by 40</w:t>
      </w:r>
      <w:r>
        <w:rPr>
          <w:rFonts w:asciiTheme="majorBidi" w:hAnsiTheme="majorBidi" w:cstheme="majorBidi"/>
        </w:rPr>
        <w:t xml:space="preserve"> – the Agency expects BPPD to receive 20 actions, AD to receive 10 actions, and RD to receive 10 actions.  </w:t>
      </w:r>
      <w:r w:rsidRPr="00910D48">
        <w:rPr>
          <w:rFonts w:asciiTheme="majorBidi" w:hAnsiTheme="majorBidi" w:cstheme="majorBidi"/>
        </w:rPr>
        <w:t>The Antimicrobial Performance Evaluation Program</w:t>
      </w:r>
      <w:r>
        <w:rPr>
          <w:rFonts w:asciiTheme="majorBidi" w:hAnsiTheme="majorBidi" w:cstheme="majorBidi"/>
        </w:rPr>
        <w:t xml:space="preserve"> may impact up to 99 products annually, with an application burden for the registrant of each product</w:t>
      </w:r>
      <w:r w:rsidR="00F55BDE">
        <w:rPr>
          <w:rFonts w:asciiTheme="majorBidi" w:hAnsiTheme="majorBidi" w:cstheme="majorBidi"/>
        </w:rPr>
        <w:t>. T</w:t>
      </w:r>
      <w:r>
        <w:rPr>
          <w:rFonts w:asciiTheme="majorBidi" w:hAnsiTheme="majorBidi" w:cstheme="majorBidi"/>
        </w:rPr>
        <w:t xml:space="preserve">he Agency expects </w:t>
      </w:r>
      <w:r w:rsidR="00F55BDE">
        <w:rPr>
          <w:rFonts w:asciiTheme="majorBidi" w:hAnsiTheme="majorBidi" w:cstheme="majorBidi"/>
        </w:rPr>
        <w:t xml:space="preserve">this burden </w:t>
      </w:r>
      <w:r>
        <w:rPr>
          <w:rFonts w:asciiTheme="majorBidi" w:hAnsiTheme="majorBidi" w:cstheme="majorBidi"/>
        </w:rPr>
        <w:t xml:space="preserve">to be similar to a Type B action. The Agency anticipates that the </w:t>
      </w:r>
      <w:r w:rsidRPr="00910D48" w:rsidR="00303A80">
        <w:rPr>
          <w:rFonts w:asciiTheme="majorBidi" w:hAnsiTheme="majorBidi" w:cstheme="majorBidi"/>
        </w:rPr>
        <w:t>“Interim Process for Evaluating Potential Synergistic Effects of Pesticides During the Registration Process”</w:t>
      </w:r>
      <w:r w:rsidRPr="00303A80" w:rsidR="00303A80">
        <w:rPr>
          <w:rFonts w:asciiTheme="majorBidi" w:hAnsiTheme="majorBidi" w:cstheme="majorBidi"/>
        </w:rPr>
        <w:t xml:space="preserve"> </w:t>
      </w:r>
      <w:r>
        <w:rPr>
          <w:rFonts w:asciiTheme="majorBidi" w:hAnsiTheme="majorBidi" w:cstheme="majorBidi"/>
        </w:rPr>
        <w:t xml:space="preserve">will not cause a change in the number of </w:t>
      </w:r>
      <w:proofErr w:type="gramStart"/>
      <w:r>
        <w:rPr>
          <w:rFonts w:asciiTheme="majorBidi" w:hAnsiTheme="majorBidi" w:cstheme="majorBidi"/>
        </w:rPr>
        <w:t>product</w:t>
      </w:r>
      <w:proofErr w:type="gramEnd"/>
      <w:r>
        <w:rPr>
          <w:rFonts w:asciiTheme="majorBidi" w:hAnsiTheme="majorBidi" w:cstheme="majorBidi"/>
        </w:rPr>
        <w:t xml:space="preserve"> </w:t>
      </w:r>
      <w:r w:rsidR="00223A4E">
        <w:rPr>
          <w:rFonts w:asciiTheme="majorBidi" w:hAnsiTheme="majorBidi" w:cstheme="majorBidi"/>
        </w:rPr>
        <w:t>r</w:t>
      </w:r>
      <w:r>
        <w:rPr>
          <w:rFonts w:asciiTheme="majorBidi" w:hAnsiTheme="majorBidi" w:cstheme="majorBidi"/>
        </w:rPr>
        <w:t>egistrations, but will im</w:t>
      </w:r>
      <w:r w:rsidRPr="00476D46">
        <w:rPr>
          <w:rFonts w:asciiTheme="majorBidi" w:hAnsiTheme="majorBidi" w:cstheme="majorBidi"/>
        </w:rPr>
        <w:t xml:space="preserve">pose </w:t>
      </w:r>
      <w:r w:rsidRPr="00476D46" w:rsidR="00F53AFD">
        <w:rPr>
          <w:rFonts w:asciiTheme="majorBidi" w:hAnsiTheme="majorBidi" w:cstheme="majorBidi"/>
        </w:rPr>
        <w:t>an additional Type A burden on registrants equivalent to about 8 active ingredients annually</w:t>
      </w:r>
      <w:r w:rsidRPr="00476D46">
        <w:rPr>
          <w:rFonts w:asciiTheme="majorBidi" w:hAnsiTheme="majorBidi" w:cstheme="majorBidi"/>
        </w:rPr>
        <w:t>.</w:t>
      </w:r>
      <w:r w:rsidRPr="00476D46">
        <w:t xml:space="preserve">  </w:t>
      </w:r>
      <w:r w:rsidRPr="00910D48">
        <w:t>In total</w:t>
      </w:r>
      <w:r w:rsidRPr="00910D48" w:rsidR="00AE6B69">
        <w:t>,</w:t>
      </w:r>
      <w:r w:rsidRPr="00910D48">
        <w:t xml:space="preserve"> t</w:t>
      </w:r>
      <w:r w:rsidRPr="00910D48">
        <w:rPr>
          <w:rFonts w:asciiTheme="majorBidi" w:hAnsiTheme="majorBidi" w:cstheme="majorBidi"/>
        </w:rPr>
        <w:t xml:space="preserve">he Agency anticipates an additional </w:t>
      </w:r>
      <w:r w:rsidRPr="00910D48" w:rsidR="00205E3D">
        <w:rPr>
          <w:rFonts w:asciiTheme="majorBidi" w:hAnsiTheme="majorBidi" w:cstheme="majorBidi"/>
        </w:rPr>
        <w:t>8</w:t>
      </w:r>
      <w:r w:rsidRPr="00910D48">
        <w:rPr>
          <w:rFonts w:asciiTheme="majorBidi" w:hAnsiTheme="majorBidi" w:cstheme="majorBidi"/>
        </w:rPr>
        <w:t xml:space="preserve"> “Type A” activities and 139 “Type B” activities resulting from the</w:t>
      </w:r>
      <w:r w:rsidRPr="00910D48" w:rsidR="00F55BDE">
        <w:rPr>
          <w:rFonts w:asciiTheme="majorBidi" w:hAnsiTheme="majorBidi" w:cstheme="majorBidi"/>
        </w:rPr>
        <w:t xml:space="preserve"> </w:t>
      </w:r>
      <w:r w:rsidRPr="00910D48" w:rsidR="008A0B97">
        <w:rPr>
          <w:rFonts w:asciiTheme="majorBidi" w:hAnsiTheme="majorBidi" w:cstheme="majorBidi"/>
        </w:rPr>
        <w:t xml:space="preserve">three </w:t>
      </w:r>
      <w:r w:rsidRPr="00910D48">
        <w:rPr>
          <w:rFonts w:asciiTheme="majorBidi" w:hAnsiTheme="majorBidi" w:cstheme="majorBidi"/>
        </w:rPr>
        <w:t xml:space="preserve">new </w:t>
      </w:r>
      <w:r w:rsidRPr="00910D48">
        <w:t>programs.</w:t>
      </w:r>
      <w:r w:rsidRPr="00476D46">
        <w:t xml:space="preserve">  </w:t>
      </w:r>
    </w:p>
    <w:p w:rsidRPr="00476D46" w:rsidR="00AE6B69" w:rsidP="009B774E" w:rsidRDefault="00303A80" w14:paraId="01B297B4" w14:textId="55EBA6C9">
      <w:pPr>
        <w:tabs>
          <w:tab w:val="left" w:pos="6060"/>
        </w:tabs>
        <w:ind w:firstLine="720"/>
      </w:pPr>
      <w:r w:rsidRPr="00476D46">
        <w:tab/>
      </w:r>
    </w:p>
    <w:p w:rsidRPr="00476D46" w:rsidR="00DB0ABB" w:rsidP="009B774E" w:rsidRDefault="00100DFB" w14:paraId="1CD0B90B" w14:textId="41B79239">
      <w:pPr>
        <w:ind w:firstLine="720"/>
        <w:rPr>
          <w:rFonts w:asciiTheme="majorBidi" w:hAnsiTheme="majorBidi" w:cstheme="majorBidi"/>
          <w:i/>
        </w:rPr>
      </w:pPr>
      <w:r w:rsidRPr="00476D46">
        <w:t xml:space="preserve">The total </w:t>
      </w:r>
      <w:r w:rsidRPr="00476D46" w:rsidR="0009736B">
        <w:t xml:space="preserve">number of annual </w:t>
      </w:r>
      <w:r w:rsidRPr="00476D46">
        <w:t>responses from the established programs 7,292</w:t>
      </w:r>
      <w:r w:rsidRPr="00476D46" w:rsidR="0009736B">
        <w:t xml:space="preserve"> (205+7,082+5)</w:t>
      </w:r>
      <w:r w:rsidRPr="00476D46">
        <w:t xml:space="preserve"> and from the </w:t>
      </w:r>
      <w:r w:rsidRPr="00476D46" w:rsidR="006E3BE0">
        <w:t xml:space="preserve">three </w:t>
      </w:r>
      <w:r w:rsidRPr="00476D46" w:rsidR="006C79A8">
        <w:t>new</w:t>
      </w:r>
      <w:r w:rsidRPr="00476D46" w:rsidR="006E3BE0">
        <w:t xml:space="preserve"> </w:t>
      </w:r>
      <w:r w:rsidRPr="00476D46">
        <w:t>programs 1</w:t>
      </w:r>
      <w:r w:rsidRPr="00476D46" w:rsidR="0009736B">
        <w:t>4</w:t>
      </w:r>
      <w:r w:rsidRPr="00476D46" w:rsidR="00205E3D">
        <w:t>7</w:t>
      </w:r>
      <w:r w:rsidRPr="00476D46" w:rsidR="0009736B">
        <w:t xml:space="preserve"> (139 +</w:t>
      </w:r>
      <w:r w:rsidRPr="00476D46" w:rsidR="00205E3D">
        <w:t>8</w:t>
      </w:r>
      <w:r w:rsidRPr="00476D46" w:rsidR="0009736B">
        <w:t>)</w:t>
      </w:r>
      <w:r w:rsidRPr="00476D46">
        <w:t xml:space="preserve"> is 7,4</w:t>
      </w:r>
      <w:r w:rsidRPr="00476D46" w:rsidR="00205E3D">
        <w:t>39</w:t>
      </w:r>
      <w:r w:rsidRPr="00476D46">
        <w:t>.</w:t>
      </w:r>
    </w:p>
    <w:bookmarkEnd w:id="8"/>
    <w:p w:rsidRPr="00476D46" w:rsidR="002C31FC" w:rsidP="009B774E" w:rsidRDefault="002C31FC" w14:paraId="79233F1A" w14:textId="77777777">
      <w:pPr>
        <w:keepNext/>
        <w:rPr>
          <w:rFonts w:asciiTheme="majorBidi" w:hAnsiTheme="majorBidi" w:cstheme="majorBidi"/>
          <w:b/>
          <w:sz w:val="22"/>
          <w:szCs w:val="22"/>
        </w:rPr>
      </w:pPr>
    </w:p>
    <w:p w:rsidRPr="00476D46" w:rsidR="008253DD" w:rsidP="009B774E" w:rsidRDefault="008253DD" w14:paraId="6C2E8F1E" w14:textId="150843F1">
      <w:pPr>
        <w:keepNext/>
        <w:rPr>
          <w:rFonts w:asciiTheme="majorBidi" w:hAnsiTheme="majorBidi" w:cstheme="majorBidi"/>
          <w:u w:val="single"/>
        </w:rPr>
      </w:pPr>
      <w:r w:rsidRPr="00476D46">
        <w:rPr>
          <w:rFonts w:asciiTheme="majorBidi" w:hAnsiTheme="majorBidi" w:cstheme="majorBidi"/>
          <w:b/>
          <w:sz w:val="22"/>
          <w:szCs w:val="22"/>
        </w:rPr>
        <w:t xml:space="preserve">Table 2: Average Annual Number of Actions by Type and Division, </w:t>
      </w:r>
      <w:r w:rsidRPr="00476D46" w:rsidR="009143BE">
        <w:rPr>
          <w:rFonts w:asciiTheme="majorBidi" w:hAnsiTheme="majorBidi" w:cstheme="majorBidi"/>
          <w:b/>
          <w:sz w:val="22"/>
          <w:szCs w:val="22"/>
        </w:rPr>
        <w:t>2015-2017</w:t>
      </w:r>
      <w:r w:rsidRPr="00476D46">
        <w:rPr>
          <w:rFonts w:asciiTheme="majorBidi" w:hAnsiTheme="majorBidi" w:cstheme="majorBidi"/>
          <w:b/>
          <w:sz w:val="22"/>
          <w:szCs w:val="22"/>
        </w:rPr>
        <w:t xml:space="preserve"> </w:t>
      </w:r>
      <w:r w:rsidRPr="00476D46" w:rsidR="004F1F2A">
        <w:rPr>
          <w:rFonts w:asciiTheme="majorBidi" w:hAnsiTheme="majorBidi" w:cstheme="majorBidi"/>
          <w:b/>
          <w:sz w:val="22"/>
          <w:szCs w:val="22"/>
        </w:rPr>
        <w:t>Average</w:t>
      </w:r>
      <w:r w:rsidRPr="00476D46" w:rsidR="007A0E5F">
        <w:rPr>
          <w:rFonts w:asciiTheme="majorBidi" w:hAnsiTheme="majorBidi" w:cstheme="majorBidi"/>
          <w:b/>
          <w:sz w:val="22"/>
          <w:szCs w:val="22"/>
        </w:rPr>
        <w:t xml:space="preserve">, Plus Anticipated Actions Resulting </w:t>
      </w:r>
      <w:r w:rsidRPr="00476D46" w:rsidR="0009736B">
        <w:rPr>
          <w:rFonts w:asciiTheme="majorBidi" w:hAnsiTheme="majorBidi" w:cstheme="majorBidi"/>
          <w:b/>
          <w:sz w:val="22"/>
          <w:szCs w:val="22"/>
        </w:rPr>
        <w:t>f</w:t>
      </w:r>
      <w:r w:rsidRPr="00476D46" w:rsidR="007A0E5F">
        <w:rPr>
          <w:rFonts w:asciiTheme="majorBidi" w:hAnsiTheme="majorBidi" w:cstheme="majorBidi"/>
          <w:b/>
          <w:sz w:val="22"/>
          <w:szCs w:val="22"/>
        </w:rPr>
        <w:t>rom Proposed Activities</w:t>
      </w:r>
    </w:p>
    <w:tbl>
      <w:tblPr>
        <w:tblW w:w="7550" w:type="dxa"/>
        <w:tblInd w:w="-5" w:type="dxa"/>
        <w:tblBorders>
          <w:top w:val="double" w:color="808080" w:sz="4" w:space="0"/>
          <w:left w:val="double" w:color="808080" w:sz="4" w:space="0"/>
          <w:bottom w:val="double" w:color="808080" w:sz="4" w:space="0"/>
          <w:right w:val="double" w:color="808080" w:sz="4" w:space="0"/>
          <w:insideH w:val="single" w:color="808080" w:sz="6" w:space="0"/>
          <w:insideV w:val="single" w:color="808080" w:sz="6" w:space="0"/>
        </w:tblBorders>
        <w:tblLayout w:type="fixed"/>
        <w:tblLook w:val="04A0" w:firstRow="1" w:lastRow="0" w:firstColumn="1" w:lastColumn="0" w:noHBand="0" w:noVBand="1"/>
      </w:tblPr>
      <w:tblGrid>
        <w:gridCol w:w="1910"/>
        <w:gridCol w:w="1410"/>
        <w:gridCol w:w="1410"/>
        <w:gridCol w:w="1410"/>
        <w:gridCol w:w="1410"/>
      </w:tblGrid>
      <w:tr w:rsidRPr="00476D46" w:rsidR="00C270C5" w:rsidTr="00650B2D" w14:paraId="712D321D" w14:textId="77777777">
        <w:trPr>
          <w:trHeight w:val="300"/>
        </w:trPr>
        <w:tc>
          <w:tcPr>
            <w:tcW w:w="1910" w:type="dxa"/>
            <w:shd w:val="clear" w:color="auto" w:fill="auto"/>
            <w:noWrap/>
            <w:vAlign w:val="center"/>
            <w:hideMark/>
          </w:tcPr>
          <w:p w:rsidRPr="00476D46" w:rsidR="008253DD" w:rsidP="009B774E" w:rsidRDefault="008253DD" w14:paraId="51356D74" w14:textId="77777777">
            <w:pPr>
              <w:jc w:val="center"/>
              <w:rPr>
                <w:rFonts w:asciiTheme="majorBidi" w:hAnsiTheme="majorBidi" w:cstheme="majorBidi"/>
                <w:sz w:val="22"/>
                <w:szCs w:val="22"/>
              </w:rPr>
            </w:pPr>
          </w:p>
        </w:tc>
        <w:tc>
          <w:tcPr>
            <w:tcW w:w="1410" w:type="dxa"/>
            <w:shd w:val="clear" w:color="auto" w:fill="auto"/>
            <w:noWrap/>
            <w:vAlign w:val="center"/>
            <w:hideMark/>
          </w:tcPr>
          <w:p w:rsidRPr="00476D46" w:rsidR="008253DD" w:rsidP="009B774E" w:rsidRDefault="008253DD" w14:paraId="09B4E937" w14:textId="77777777">
            <w:pPr>
              <w:jc w:val="center"/>
              <w:rPr>
                <w:rFonts w:asciiTheme="majorBidi" w:hAnsiTheme="majorBidi" w:cstheme="majorBidi"/>
                <w:b/>
                <w:sz w:val="22"/>
                <w:szCs w:val="22"/>
              </w:rPr>
            </w:pPr>
            <w:r w:rsidRPr="00476D46">
              <w:rPr>
                <w:rFonts w:asciiTheme="majorBidi" w:hAnsiTheme="majorBidi" w:cstheme="majorBidi"/>
                <w:b/>
                <w:sz w:val="22"/>
                <w:szCs w:val="22"/>
              </w:rPr>
              <w:t>AD</w:t>
            </w:r>
          </w:p>
        </w:tc>
        <w:tc>
          <w:tcPr>
            <w:tcW w:w="1410" w:type="dxa"/>
            <w:shd w:val="clear" w:color="auto" w:fill="auto"/>
            <w:noWrap/>
            <w:vAlign w:val="center"/>
            <w:hideMark/>
          </w:tcPr>
          <w:p w:rsidRPr="00476D46" w:rsidR="008253DD" w:rsidP="009B774E" w:rsidRDefault="008253DD" w14:paraId="7C638FEF" w14:textId="77777777">
            <w:pPr>
              <w:jc w:val="center"/>
              <w:rPr>
                <w:rFonts w:asciiTheme="majorBidi" w:hAnsiTheme="majorBidi" w:cstheme="majorBidi"/>
                <w:b/>
                <w:sz w:val="22"/>
                <w:szCs w:val="22"/>
              </w:rPr>
            </w:pPr>
            <w:r w:rsidRPr="00476D46">
              <w:rPr>
                <w:rFonts w:asciiTheme="majorBidi" w:hAnsiTheme="majorBidi" w:cstheme="majorBidi"/>
                <w:b/>
                <w:sz w:val="22"/>
                <w:szCs w:val="22"/>
              </w:rPr>
              <w:t>BPPD</w:t>
            </w:r>
          </w:p>
        </w:tc>
        <w:tc>
          <w:tcPr>
            <w:tcW w:w="1410" w:type="dxa"/>
            <w:shd w:val="clear" w:color="auto" w:fill="auto"/>
            <w:noWrap/>
            <w:vAlign w:val="center"/>
            <w:hideMark/>
          </w:tcPr>
          <w:p w:rsidRPr="00476D46" w:rsidR="008253DD" w:rsidP="009B774E" w:rsidRDefault="008253DD" w14:paraId="1295C36E" w14:textId="77777777">
            <w:pPr>
              <w:jc w:val="center"/>
              <w:rPr>
                <w:rFonts w:asciiTheme="majorBidi" w:hAnsiTheme="majorBidi" w:cstheme="majorBidi"/>
                <w:b/>
                <w:sz w:val="22"/>
                <w:szCs w:val="22"/>
              </w:rPr>
            </w:pPr>
            <w:r w:rsidRPr="00476D46">
              <w:rPr>
                <w:rFonts w:asciiTheme="majorBidi" w:hAnsiTheme="majorBidi" w:cstheme="majorBidi"/>
                <w:b/>
                <w:sz w:val="22"/>
                <w:szCs w:val="22"/>
              </w:rPr>
              <w:t>RD</w:t>
            </w:r>
          </w:p>
        </w:tc>
        <w:tc>
          <w:tcPr>
            <w:tcW w:w="1410" w:type="dxa"/>
            <w:vAlign w:val="center"/>
          </w:tcPr>
          <w:p w:rsidRPr="00476D46" w:rsidR="008253DD" w:rsidP="009B774E" w:rsidRDefault="008253DD" w14:paraId="16771354" w14:textId="77777777">
            <w:pPr>
              <w:jc w:val="center"/>
              <w:rPr>
                <w:rFonts w:asciiTheme="majorBidi" w:hAnsiTheme="majorBidi" w:cstheme="majorBidi"/>
                <w:b/>
                <w:sz w:val="22"/>
                <w:szCs w:val="22"/>
              </w:rPr>
            </w:pPr>
            <w:r w:rsidRPr="00476D46">
              <w:rPr>
                <w:rFonts w:asciiTheme="majorBidi" w:hAnsiTheme="majorBidi" w:cstheme="majorBidi"/>
                <w:b/>
                <w:sz w:val="22"/>
                <w:szCs w:val="22"/>
              </w:rPr>
              <w:t>All Divisions</w:t>
            </w:r>
          </w:p>
        </w:tc>
      </w:tr>
      <w:tr w:rsidRPr="00476D46" w:rsidR="00FE3DA7" w:rsidTr="00650B2D" w14:paraId="0D259B04" w14:textId="77777777">
        <w:trPr>
          <w:trHeight w:val="300"/>
        </w:trPr>
        <w:tc>
          <w:tcPr>
            <w:tcW w:w="1910" w:type="dxa"/>
            <w:shd w:val="clear" w:color="auto" w:fill="auto"/>
            <w:noWrap/>
            <w:vAlign w:val="center"/>
            <w:hideMark/>
          </w:tcPr>
          <w:p w:rsidRPr="00476D46" w:rsidR="00FE3DA7" w:rsidP="009B774E" w:rsidRDefault="00FE3DA7" w14:paraId="6DE87001" w14:textId="77777777">
            <w:pPr>
              <w:jc w:val="center"/>
              <w:rPr>
                <w:rFonts w:asciiTheme="majorBidi" w:hAnsiTheme="majorBidi" w:cstheme="majorBidi"/>
                <w:b/>
                <w:sz w:val="22"/>
                <w:szCs w:val="22"/>
              </w:rPr>
            </w:pPr>
            <w:r w:rsidRPr="00476D46">
              <w:rPr>
                <w:rFonts w:asciiTheme="majorBidi" w:hAnsiTheme="majorBidi" w:cstheme="majorBidi"/>
                <w:b/>
                <w:sz w:val="22"/>
                <w:szCs w:val="22"/>
              </w:rPr>
              <w:t>Type A</w:t>
            </w:r>
          </w:p>
        </w:tc>
        <w:tc>
          <w:tcPr>
            <w:tcW w:w="1410" w:type="dxa"/>
            <w:shd w:val="clear" w:color="auto" w:fill="auto"/>
            <w:noWrap/>
            <w:vAlign w:val="center"/>
            <w:hideMark/>
          </w:tcPr>
          <w:p w:rsidRPr="00476D46" w:rsidR="00FE3DA7" w:rsidP="009B774E" w:rsidRDefault="00FE3DA7" w14:paraId="091DBEBE" w14:textId="656D49AA">
            <w:pPr>
              <w:jc w:val="center"/>
              <w:rPr>
                <w:rFonts w:asciiTheme="majorBidi" w:hAnsiTheme="majorBidi" w:cstheme="majorBidi"/>
                <w:sz w:val="22"/>
                <w:szCs w:val="22"/>
              </w:rPr>
            </w:pPr>
            <w:r w:rsidRPr="00476D46">
              <w:rPr>
                <w:sz w:val="20"/>
                <w:szCs w:val="20"/>
              </w:rPr>
              <w:t>11</w:t>
            </w:r>
          </w:p>
        </w:tc>
        <w:tc>
          <w:tcPr>
            <w:tcW w:w="1410" w:type="dxa"/>
            <w:shd w:val="clear" w:color="auto" w:fill="auto"/>
            <w:noWrap/>
            <w:vAlign w:val="center"/>
            <w:hideMark/>
          </w:tcPr>
          <w:p w:rsidRPr="00476D46" w:rsidR="00FE3DA7" w:rsidP="009B774E" w:rsidRDefault="00EF7E4D" w14:paraId="552B338C" w14:textId="2E349C47">
            <w:pPr>
              <w:jc w:val="center"/>
              <w:rPr>
                <w:rFonts w:asciiTheme="majorBidi" w:hAnsiTheme="majorBidi" w:cstheme="majorBidi"/>
                <w:sz w:val="22"/>
                <w:szCs w:val="22"/>
              </w:rPr>
            </w:pPr>
            <w:r w:rsidRPr="00476D46">
              <w:rPr>
                <w:sz w:val="20"/>
                <w:szCs w:val="20"/>
              </w:rPr>
              <w:t>23</w:t>
            </w:r>
          </w:p>
        </w:tc>
        <w:tc>
          <w:tcPr>
            <w:tcW w:w="1410" w:type="dxa"/>
            <w:shd w:val="clear" w:color="auto" w:fill="auto"/>
            <w:noWrap/>
            <w:vAlign w:val="center"/>
            <w:hideMark/>
          </w:tcPr>
          <w:p w:rsidRPr="00476D46" w:rsidR="00FE3DA7" w:rsidP="009B774E" w:rsidRDefault="00FE3DA7" w14:paraId="7565685C" w14:textId="75A162E0">
            <w:pPr>
              <w:jc w:val="center"/>
              <w:rPr>
                <w:rFonts w:asciiTheme="majorBidi" w:hAnsiTheme="majorBidi" w:cstheme="majorBidi"/>
                <w:sz w:val="22"/>
                <w:szCs w:val="22"/>
              </w:rPr>
            </w:pPr>
            <w:r w:rsidRPr="00476D46">
              <w:rPr>
                <w:sz w:val="20"/>
                <w:szCs w:val="20"/>
              </w:rPr>
              <w:t>179</w:t>
            </w:r>
          </w:p>
        </w:tc>
        <w:tc>
          <w:tcPr>
            <w:tcW w:w="1410" w:type="dxa"/>
            <w:vAlign w:val="center"/>
          </w:tcPr>
          <w:p w:rsidRPr="00476D46" w:rsidR="00FE3DA7" w:rsidP="009B774E" w:rsidRDefault="00FE3DA7" w14:paraId="4E617DD8" w14:textId="335C2C08">
            <w:pPr>
              <w:jc w:val="center"/>
              <w:rPr>
                <w:rFonts w:asciiTheme="majorBidi" w:hAnsiTheme="majorBidi" w:cstheme="majorBidi"/>
                <w:sz w:val="22"/>
                <w:szCs w:val="22"/>
              </w:rPr>
            </w:pPr>
            <w:r w:rsidRPr="00476D46">
              <w:rPr>
                <w:sz w:val="20"/>
                <w:szCs w:val="20"/>
              </w:rPr>
              <w:t>21</w:t>
            </w:r>
            <w:r w:rsidRPr="00476D46" w:rsidR="00205E3D">
              <w:rPr>
                <w:sz w:val="20"/>
                <w:szCs w:val="20"/>
              </w:rPr>
              <w:t>3</w:t>
            </w:r>
          </w:p>
        </w:tc>
      </w:tr>
      <w:tr w:rsidRPr="00476D46" w:rsidR="00FE3DA7" w:rsidTr="00650B2D" w14:paraId="6A183C30" w14:textId="77777777">
        <w:trPr>
          <w:trHeight w:val="300"/>
        </w:trPr>
        <w:tc>
          <w:tcPr>
            <w:tcW w:w="1910" w:type="dxa"/>
            <w:shd w:val="clear" w:color="auto" w:fill="auto"/>
            <w:noWrap/>
            <w:vAlign w:val="center"/>
            <w:hideMark/>
          </w:tcPr>
          <w:p w:rsidRPr="00476D46" w:rsidR="00FE3DA7" w:rsidP="009B774E" w:rsidRDefault="00FE3DA7" w14:paraId="76B8B03B" w14:textId="77777777">
            <w:pPr>
              <w:jc w:val="center"/>
              <w:rPr>
                <w:rFonts w:asciiTheme="majorBidi" w:hAnsiTheme="majorBidi" w:cstheme="majorBidi"/>
                <w:b/>
                <w:sz w:val="22"/>
                <w:szCs w:val="22"/>
              </w:rPr>
            </w:pPr>
            <w:r w:rsidRPr="00476D46">
              <w:rPr>
                <w:rFonts w:asciiTheme="majorBidi" w:hAnsiTheme="majorBidi" w:cstheme="majorBidi"/>
                <w:b/>
                <w:sz w:val="22"/>
                <w:szCs w:val="22"/>
              </w:rPr>
              <w:t>Type B</w:t>
            </w:r>
          </w:p>
        </w:tc>
        <w:tc>
          <w:tcPr>
            <w:tcW w:w="1410" w:type="dxa"/>
            <w:shd w:val="clear" w:color="auto" w:fill="auto"/>
            <w:noWrap/>
            <w:vAlign w:val="center"/>
            <w:hideMark/>
          </w:tcPr>
          <w:p w:rsidRPr="00476D46" w:rsidR="00FE3DA7" w:rsidP="009B774E" w:rsidRDefault="00FE3DA7" w14:paraId="264DC816" w14:textId="00A9E0DD">
            <w:pPr>
              <w:jc w:val="center"/>
              <w:rPr>
                <w:rFonts w:asciiTheme="majorBidi" w:hAnsiTheme="majorBidi" w:cstheme="majorBidi"/>
                <w:sz w:val="22"/>
                <w:szCs w:val="22"/>
              </w:rPr>
            </w:pPr>
            <w:r w:rsidRPr="00476D46">
              <w:rPr>
                <w:sz w:val="20"/>
                <w:szCs w:val="20"/>
              </w:rPr>
              <w:t>2,670</w:t>
            </w:r>
          </w:p>
        </w:tc>
        <w:tc>
          <w:tcPr>
            <w:tcW w:w="1410" w:type="dxa"/>
            <w:shd w:val="clear" w:color="auto" w:fill="auto"/>
            <w:noWrap/>
            <w:vAlign w:val="center"/>
            <w:hideMark/>
          </w:tcPr>
          <w:p w:rsidRPr="00476D46" w:rsidR="00FE3DA7" w:rsidP="009B774E" w:rsidRDefault="00FE3DA7" w14:paraId="1101C930" w14:textId="10242ACC">
            <w:pPr>
              <w:jc w:val="center"/>
              <w:rPr>
                <w:rFonts w:asciiTheme="majorBidi" w:hAnsiTheme="majorBidi" w:cstheme="majorBidi"/>
                <w:sz w:val="22"/>
                <w:szCs w:val="22"/>
              </w:rPr>
            </w:pPr>
            <w:r w:rsidRPr="00476D46">
              <w:rPr>
                <w:sz w:val="20"/>
                <w:szCs w:val="20"/>
              </w:rPr>
              <w:t>663</w:t>
            </w:r>
          </w:p>
        </w:tc>
        <w:tc>
          <w:tcPr>
            <w:tcW w:w="1410" w:type="dxa"/>
            <w:shd w:val="clear" w:color="auto" w:fill="auto"/>
            <w:noWrap/>
            <w:vAlign w:val="center"/>
            <w:hideMark/>
          </w:tcPr>
          <w:p w:rsidRPr="00476D46" w:rsidR="00FE3DA7" w:rsidP="009B774E" w:rsidRDefault="00FE3DA7" w14:paraId="0C8FFE13" w14:textId="568A838A">
            <w:pPr>
              <w:jc w:val="center"/>
              <w:rPr>
                <w:rFonts w:asciiTheme="majorBidi" w:hAnsiTheme="majorBidi" w:cstheme="majorBidi"/>
                <w:sz w:val="22"/>
                <w:szCs w:val="22"/>
              </w:rPr>
            </w:pPr>
            <w:r w:rsidRPr="00476D46">
              <w:rPr>
                <w:sz w:val="20"/>
                <w:szCs w:val="20"/>
              </w:rPr>
              <w:t>3,888</w:t>
            </w:r>
          </w:p>
        </w:tc>
        <w:tc>
          <w:tcPr>
            <w:tcW w:w="1410" w:type="dxa"/>
            <w:vAlign w:val="center"/>
          </w:tcPr>
          <w:p w:rsidRPr="00476D46" w:rsidR="00FE3DA7" w:rsidP="009B774E" w:rsidRDefault="00FE3DA7" w14:paraId="0B12C4E5" w14:textId="1AE529A7">
            <w:pPr>
              <w:jc w:val="center"/>
              <w:rPr>
                <w:rFonts w:asciiTheme="majorBidi" w:hAnsiTheme="majorBidi" w:cstheme="majorBidi"/>
                <w:sz w:val="22"/>
                <w:szCs w:val="22"/>
              </w:rPr>
            </w:pPr>
            <w:r w:rsidRPr="00476D46">
              <w:rPr>
                <w:sz w:val="20"/>
                <w:szCs w:val="20"/>
              </w:rPr>
              <w:t>7,221</w:t>
            </w:r>
          </w:p>
        </w:tc>
      </w:tr>
      <w:tr w:rsidRPr="00476D46" w:rsidR="00FE3DA7" w:rsidTr="00650B2D" w14:paraId="03E1C835" w14:textId="77777777">
        <w:trPr>
          <w:trHeight w:val="300"/>
        </w:trPr>
        <w:tc>
          <w:tcPr>
            <w:tcW w:w="1910" w:type="dxa"/>
            <w:shd w:val="clear" w:color="auto" w:fill="auto"/>
            <w:noWrap/>
            <w:vAlign w:val="center"/>
            <w:hideMark/>
          </w:tcPr>
          <w:p w:rsidRPr="00476D46" w:rsidR="00FE3DA7" w:rsidP="009B774E" w:rsidRDefault="00FE3DA7" w14:paraId="3EC9E3B7" w14:textId="77777777">
            <w:pPr>
              <w:jc w:val="center"/>
              <w:rPr>
                <w:rFonts w:asciiTheme="majorBidi" w:hAnsiTheme="majorBidi" w:cstheme="majorBidi"/>
                <w:b/>
                <w:sz w:val="22"/>
                <w:szCs w:val="22"/>
              </w:rPr>
            </w:pPr>
            <w:r w:rsidRPr="00476D46">
              <w:rPr>
                <w:rFonts w:asciiTheme="majorBidi" w:hAnsiTheme="majorBidi" w:cstheme="majorBidi"/>
                <w:b/>
                <w:sz w:val="22"/>
                <w:szCs w:val="22"/>
              </w:rPr>
              <w:t>Type C</w:t>
            </w:r>
          </w:p>
        </w:tc>
        <w:tc>
          <w:tcPr>
            <w:tcW w:w="1410" w:type="dxa"/>
            <w:shd w:val="clear" w:color="auto" w:fill="auto"/>
            <w:noWrap/>
            <w:vAlign w:val="center"/>
            <w:hideMark/>
          </w:tcPr>
          <w:p w:rsidRPr="00476D46" w:rsidR="00FE3DA7" w:rsidP="009B774E" w:rsidRDefault="00FE3DA7" w14:paraId="6231BAFF" w14:textId="647BA5A9">
            <w:pPr>
              <w:jc w:val="center"/>
              <w:rPr>
                <w:rFonts w:asciiTheme="majorBidi" w:hAnsiTheme="majorBidi" w:cstheme="majorBidi"/>
                <w:sz w:val="22"/>
                <w:szCs w:val="22"/>
              </w:rPr>
            </w:pPr>
            <w:r w:rsidRPr="00476D46">
              <w:rPr>
                <w:sz w:val="20"/>
                <w:szCs w:val="20"/>
              </w:rPr>
              <w:t>0</w:t>
            </w:r>
          </w:p>
        </w:tc>
        <w:tc>
          <w:tcPr>
            <w:tcW w:w="1410" w:type="dxa"/>
            <w:shd w:val="clear" w:color="auto" w:fill="auto"/>
            <w:noWrap/>
            <w:vAlign w:val="center"/>
            <w:hideMark/>
          </w:tcPr>
          <w:p w:rsidRPr="00476D46" w:rsidR="00FE3DA7" w:rsidP="009B774E" w:rsidRDefault="00FE3DA7" w14:paraId="28DFA879" w14:textId="768F34DC">
            <w:pPr>
              <w:jc w:val="center"/>
              <w:rPr>
                <w:rFonts w:asciiTheme="majorBidi" w:hAnsiTheme="majorBidi" w:cstheme="majorBidi"/>
                <w:sz w:val="22"/>
                <w:szCs w:val="22"/>
              </w:rPr>
            </w:pPr>
            <w:r w:rsidRPr="00476D46">
              <w:rPr>
                <w:sz w:val="20"/>
                <w:szCs w:val="20"/>
              </w:rPr>
              <w:t>0</w:t>
            </w:r>
          </w:p>
        </w:tc>
        <w:tc>
          <w:tcPr>
            <w:tcW w:w="1410" w:type="dxa"/>
            <w:shd w:val="clear" w:color="auto" w:fill="auto"/>
            <w:noWrap/>
            <w:vAlign w:val="center"/>
            <w:hideMark/>
          </w:tcPr>
          <w:p w:rsidRPr="00476D46" w:rsidR="00FE3DA7" w:rsidP="009B774E" w:rsidRDefault="00FE3DA7" w14:paraId="274EE9A6" w14:textId="6EEBCE69">
            <w:pPr>
              <w:jc w:val="center"/>
              <w:rPr>
                <w:rFonts w:asciiTheme="majorBidi" w:hAnsiTheme="majorBidi" w:cstheme="majorBidi"/>
                <w:sz w:val="22"/>
                <w:szCs w:val="22"/>
              </w:rPr>
            </w:pPr>
            <w:r w:rsidRPr="00476D46">
              <w:rPr>
                <w:sz w:val="20"/>
                <w:szCs w:val="20"/>
              </w:rPr>
              <w:t>5</w:t>
            </w:r>
          </w:p>
        </w:tc>
        <w:tc>
          <w:tcPr>
            <w:tcW w:w="1410" w:type="dxa"/>
            <w:vAlign w:val="center"/>
          </w:tcPr>
          <w:p w:rsidRPr="00476D46" w:rsidR="00FE3DA7" w:rsidP="009B774E" w:rsidRDefault="00FE3DA7" w14:paraId="196647EB" w14:textId="675A80F6">
            <w:pPr>
              <w:jc w:val="center"/>
              <w:rPr>
                <w:rFonts w:asciiTheme="majorBidi" w:hAnsiTheme="majorBidi" w:cstheme="majorBidi"/>
                <w:sz w:val="22"/>
                <w:szCs w:val="22"/>
              </w:rPr>
            </w:pPr>
            <w:r w:rsidRPr="00476D46">
              <w:rPr>
                <w:sz w:val="20"/>
                <w:szCs w:val="20"/>
              </w:rPr>
              <w:t>5</w:t>
            </w:r>
          </w:p>
        </w:tc>
      </w:tr>
      <w:tr w:rsidRPr="00476D46" w:rsidR="00FE3DA7" w:rsidTr="00650B2D" w14:paraId="0F804A1E" w14:textId="77777777">
        <w:trPr>
          <w:trHeight w:val="300"/>
        </w:trPr>
        <w:tc>
          <w:tcPr>
            <w:tcW w:w="1910" w:type="dxa"/>
            <w:shd w:val="clear" w:color="auto" w:fill="auto"/>
            <w:noWrap/>
            <w:vAlign w:val="center"/>
          </w:tcPr>
          <w:p w:rsidRPr="00476D46" w:rsidR="00FE3DA7" w:rsidP="009B774E" w:rsidRDefault="00FE3DA7" w14:paraId="07CA57D3" w14:textId="77777777">
            <w:pPr>
              <w:jc w:val="center"/>
              <w:rPr>
                <w:rFonts w:asciiTheme="majorBidi" w:hAnsiTheme="majorBidi" w:cstheme="majorBidi"/>
                <w:b/>
                <w:sz w:val="22"/>
                <w:szCs w:val="22"/>
              </w:rPr>
            </w:pPr>
            <w:r w:rsidRPr="00476D46">
              <w:rPr>
                <w:rFonts w:asciiTheme="majorBidi" w:hAnsiTheme="majorBidi" w:cstheme="majorBidi"/>
                <w:b/>
                <w:sz w:val="22"/>
                <w:szCs w:val="22"/>
              </w:rPr>
              <w:t>All Action Types</w:t>
            </w:r>
          </w:p>
        </w:tc>
        <w:tc>
          <w:tcPr>
            <w:tcW w:w="1410" w:type="dxa"/>
            <w:shd w:val="clear" w:color="auto" w:fill="auto"/>
            <w:noWrap/>
            <w:vAlign w:val="center"/>
          </w:tcPr>
          <w:p w:rsidRPr="00476D46" w:rsidR="00FE3DA7" w:rsidP="009B774E" w:rsidRDefault="00FE3DA7" w14:paraId="7897E076" w14:textId="16125016">
            <w:pPr>
              <w:jc w:val="center"/>
              <w:rPr>
                <w:rFonts w:asciiTheme="majorBidi" w:hAnsiTheme="majorBidi" w:cstheme="majorBidi"/>
                <w:sz w:val="22"/>
                <w:szCs w:val="22"/>
              </w:rPr>
            </w:pPr>
            <w:r w:rsidRPr="00476D46">
              <w:rPr>
                <w:sz w:val="20"/>
                <w:szCs w:val="20"/>
              </w:rPr>
              <w:t>2,681</w:t>
            </w:r>
          </w:p>
        </w:tc>
        <w:tc>
          <w:tcPr>
            <w:tcW w:w="1410" w:type="dxa"/>
            <w:shd w:val="clear" w:color="auto" w:fill="auto"/>
            <w:noWrap/>
            <w:vAlign w:val="center"/>
          </w:tcPr>
          <w:p w:rsidRPr="00476D46" w:rsidR="00FE3DA7" w:rsidP="009B774E" w:rsidRDefault="00EF7E4D" w14:paraId="758B1283" w14:textId="7211F962">
            <w:pPr>
              <w:jc w:val="center"/>
              <w:rPr>
                <w:rFonts w:asciiTheme="majorBidi" w:hAnsiTheme="majorBidi" w:cstheme="majorBidi"/>
                <w:sz w:val="22"/>
                <w:szCs w:val="22"/>
              </w:rPr>
            </w:pPr>
            <w:r w:rsidRPr="00476D46">
              <w:rPr>
                <w:sz w:val="20"/>
                <w:szCs w:val="20"/>
              </w:rPr>
              <w:t>686</w:t>
            </w:r>
          </w:p>
        </w:tc>
        <w:tc>
          <w:tcPr>
            <w:tcW w:w="1410" w:type="dxa"/>
            <w:shd w:val="clear" w:color="auto" w:fill="auto"/>
            <w:noWrap/>
            <w:vAlign w:val="center"/>
          </w:tcPr>
          <w:p w:rsidRPr="00476D46" w:rsidR="00FE3DA7" w:rsidP="009B774E" w:rsidRDefault="00FE3DA7" w14:paraId="73523156" w14:textId="59C05A30">
            <w:pPr>
              <w:jc w:val="center"/>
              <w:rPr>
                <w:rFonts w:asciiTheme="majorBidi" w:hAnsiTheme="majorBidi" w:cstheme="majorBidi"/>
                <w:sz w:val="22"/>
                <w:szCs w:val="22"/>
              </w:rPr>
            </w:pPr>
            <w:r w:rsidRPr="00476D46">
              <w:rPr>
                <w:sz w:val="20"/>
                <w:szCs w:val="20"/>
              </w:rPr>
              <w:t>4,072</w:t>
            </w:r>
          </w:p>
        </w:tc>
        <w:tc>
          <w:tcPr>
            <w:tcW w:w="1410" w:type="dxa"/>
            <w:vAlign w:val="center"/>
          </w:tcPr>
          <w:p w:rsidRPr="00476D46" w:rsidR="00FE3DA7" w:rsidP="009B774E" w:rsidRDefault="00FE3DA7" w14:paraId="333B92ED" w14:textId="36991392">
            <w:pPr>
              <w:jc w:val="center"/>
              <w:rPr>
                <w:rFonts w:asciiTheme="majorBidi" w:hAnsiTheme="majorBidi" w:cstheme="majorBidi"/>
                <w:sz w:val="22"/>
                <w:szCs w:val="22"/>
              </w:rPr>
            </w:pPr>
            <w:r w:rsidRPr="00476D46">
              <w:rPr>
                <w:sz w:val="20"/>
                <w:szCs w:val="20"/>
              </w:rPr>
              <w:t>7,4</w:t>
            </w:r>
            <w:r w:rsidRPr="00476D46" w:rsidR="00205E3D">
              <w:rPr>
                <w:sz w:val="20"/>
                <w:szCs w:val="20"/>
              </w:rPr>
              <w:t>39</w:t>
            </w:r>
          </w:p>
        </w:tc>
      </w:tr>
    </w:tbl>
    <w:p w:rsidR="008253DD" w:rsidP="009B774E" w:rsidRDefault="005459DF" w14:paraId="47A82755" w14:textId="18E83B64">
      <w:pPr>
        <w:rPr>
          <w:rFonts w:asciiTheme="majorBidi" w:hAnsiTheme="majorBidi" w:cstheme="majorBidi"/>
          <w:sz w:val="20"/>
        </w:rPr>
      </w:pPr>
      <w:r w:rsidRPr="00476D46">
        <w:rPr>
          <w:rFonts w:asciiTheme="majorBidi" w:hAnsiTheme="majorBidi" w:cstheme="majorBidi"/>
          <w:sz w:val="20"/>
        </w:rPr>
        <w:t>*Numbers may not sum due to rounding.</w:t>
      </w:r>
    </w:p>
    <w:p w:rsidRPr="00C270C5" w:rsidR="002B68A6" w:rsidP="009B774E" w:rsidRDefault="002B68A6" w14:paraId="55495DD5" w14:textId="5C308BE0">
      <w:pPr>
        <w:rPr>
          <w:rFonts w:asciiTheme="majorBidi" w:hAnsiTheme="majorBidi" w:cstheme="majorBidi"/>
          <w:i/>
        </w:rPr>
      </w:pPr>
    </w:p>
    <w:p w:rsidRPr="00C270C5" w:rsidR="00914A9A" w:rsidP="009B774E" w:rsidRDefault="00914A9A" w14:paraId="793EB51F" w14:textId="77777777">
      <w:pPr>
        <w:rPr>
          <w:rFonts w:asciiTheme="majorBidi" w:hAnsiTheme="majorBidi" w:cstheme="majorBidi"/>
        </w:rPr>
      </w:pPr>
    </w:p>
    <w:p w:rsidRPr="00C270C5" w:rsidR="008253DD" w:rsidP="009B774E" w:rsidRDefault="008253DD" w14:paraId="18F9B7D5" w14:textId="14075190">
      <w:pPr>
        <w:ind w:firstLine="720"/>
        <w:rPr>
          <w:rFonts w:asciiTheme="majorBidi" w:hAnsiTheme="majorBidi" w:cstheme="majorBidi"/>
        </w:rPr>
      </w:pPr>
      <w:r w:rsidRPr="00991FE5">
        <w:rPr>
          <w:rFonts w:asciiTheme="majorBidi" w:hAnsiTheme="majorBidi" w:cstheme="majorBidi"/>
        </w:rPr>
        <w:t>Table 3-A presents estimates for burden hours and costs per “Type A” registration application.</w:t>
      </w:r>
      <w:r w:rsidRPr="00991FE5" w:rsidR="007841AD">
        <w:rPr>
          <w:rFonts w:asciiTheme="majorBidi" w:hAnsiTheme="majorBidi" w:cstheme="majorBidi"/>
        </w:rPr>
        <w:t xml:space="preserve"> </w:t>
      </w:r>
      <w:r w:rsidRPr="00991FE5">
        <w:rPr>
          <w:rFonts w:asciiTheme="majorBidi" w:hAnsiTheme="majorBidi" w:cstheme="majorBidi"/>
        </w:rPr>
        <w:t xml:space="preserve">Each “Type A” application is estimated to require 26 management hours, 128 technical hours, and 40 clerical hours for a total of 194 hours per application at a cost of </w:t>
      </w:r>
      <w:r w:rsidRPr="00991FE5" w:rsidR="00C948AD">
        <w:rPr>
          <w:rFonts w:asciiTheme="majorBidi" w:hAnsiTheme="majorBidi" w:cstheme="majorBidi"/>
        </w:rPr>
        <w:t>$</w:t>
      </w:r>
      <w:r w:rsidRPr="00991FE5" w:rsidR="002472E5">
        <w:rPr>
          <w:rFonts w:asciiTheme="majorBidi" w:hAnsiTheme="majorBidi" w:cstheme="majorBidi"/>
        </w:rPr>
        <w:t>15,230</w:t>
      </w:r>
      <w:r w:rsidRPr="00991FE5">
        <w:rPr>
          <w:rFonts w:asciiTheme="majorBidi" w:hAnsiTheme="majorBidi" w:cstheme="majorBidi"/>
        </w:rPr>
        <w:t>.</w:t>
      </w:r>
    </w:p>
    <w:p w:rsidRPr="00C270C5" w:rsidR="008253DD" w:rsidP="009B774E" w:rsidRDefault="008253DD" w14:paraId="3F0E1296" w14:textId="77777777">
      <w:pPr>
        <w:rPr>
          <w:rFonts w:asciiTheme="majorBidi" w:hAnsiTheme="majorBidi" w:cstheme="majorBidi"/>
          <w:b/>
        </w:rPr>
      </w:pPr>
    </w:p>
    <w:p w:rsidRPr="00C270C5" w:rsidR="00A0113A" w:rsidP="009B774E" w:rsidRDefault="00A0113A" w14:paraId="065BD170" w14:textId="77777777">
      <w:pPr>
        <w:rPr>
          <w:rFonts w:asciiTheme="majorBidi" w:hAnsiTheme="majorBidi" w:cstheme="majorBidi"/>
          <w:b/>
        </w:rPr>
      </w:pPr>
    </w:p>
    <w:p w:rsidRPr="00704E80" w:rsidR="008253DD" w:rsidP="009B774E" w:rsidRDefault="008253DD" w14:paraId="19EBE4C7" w14:textId="56E9AB1A">
      <w:pPr>
        <w:keepNext/>
        <w:keepLines/>
        <w:rPr>
          <w:rFonts w:asciiTheme="majorBidi" w:hAnsiTheme="majorBidi" w:cstheme="majorBidi"/>
          <w:b/>
          <w:sz w:val="22"/>
          <w:szCs w:val="22"/>
        </w:rPr>
      </w:pPr>
      <w:r w:rsidRPr="00704E80">
        <w:rPr>
          <w:rFonts w:asciiTheme="majorBidi" w:hAnsiTheme="majorBidi" w:cstheme="majorBidi"/>
          <w:b/>
          <w:sz w:val="22"/>
          <w:szCs w:val="22"/>
        </w:rPr>
        <w:lastRenderedPageBreak/>
        <w:t>Table 3-A: Estimated Burden/Cost per “Type A” Registration Application</w:t>
      </w:r>
    </w:p>
    <w:tbl>
      <w:tblPr>
        <w:tblW w:w="5000" w:type="pct"/>
        <w:tblBorders>
          <w:top w:val="double" w:color="808080" w:themeColor="background1" w:themeShade="80" w:sz="4" w:space="0"/>
          <w:left w:val="double" w:color="808080" w:themeColor="background1" w:themeShade="80" w:sz="4" w:space="0"/>
          <w:bottom w:val="doub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000" w:firstRow="0" w:lastRow="0" w:firstColumn="0" w:lastColumn="0" w:noHBand="0" w:noVBand="0"/>
      </w:tblPr>
      <w:tblGrid>
        <w:gridCol w:w="4295"/>
        <w:gridCol w:w="1176"/>
        <w:gridCol w:w="1084"/>
        <w:gridCol w:w="1080"/>
        <w:gridCol w:w="756"/>
        <w:gridCol w:w="939"/>
      </w:tblGrid>
      <w:tr w:rsidRPr="00704E80" w:rsidR="00C270C5" w:rsidTr="009C2537" w14:paraId="57815ED3" w14:textId="77777777">
        <w:trPr>
          <w:trHeight w:val="330"/>
        </w:trPr>
        <w:tc>
          <w:tcPr>
            <w:tcW w:w="2302" w:type="pct"/>
            <w:vMerge w:val="restart"/>
            <w:shd w:val="clear" w:color="auto" w:fill="auto"/>
            <w:vAlign w:val="center"/>
          </w:tcPr>
          <w:p w:rsidRPr="00704E80" w:rsidR="008253DD" w:rsidP="009B774E" w:rsidRDefault="008253DD" w14:paraId="09B4696F" w14:textId="77777777">
            <w:pPr>
              <w:keepNext/>
              <w:keepLines/>
              <w:jc w:val="center"/>
              <w:rPr>
                <w:rFonts w:asciiTheme="majorBidi" w:hAnsiTheme="majorBidi" w:cstheme="majorBidi"/>
                <w:b/>
                <w:bCs/>
              </w:rPr>
            </w:pPr>
            <w:r w:rsidRPr="00704E80">
              <w:rPr>
                <w:rFonts w:asciiTheme="majorBidi" w:hAnsiTheme="majorBidi" w:cstheme="majorBidi"/>
                <w:b/>
                <w:bCs/>
                <w:sz w:val="22"/>
                <w:szCs w:val="22"/>
              </w:rPr>
              <w:t>Collection Activities,</w:t>
            </w:r>
            <w:r w:rsidRPr="00704E80">
              <w:rPr>
                <w:rFonts w:asciiTheme="majorBidi" w:hAnsiTheme="majorBidi" w:cstheme="majorBidi"/>
                <w:b/>
                <w:bCs/>
                <w:sz w:val="22"/>
                <w:szCs w:val="22"/>
              </w:rPr>
              <w:br/>
              <w:t>Type A</w:t>
            </w:r>
          </w:p>
        </w:tc>
        <w:tc>
          <w:tcPr>
            <w:tcW w:w="1790" w:type="pct"/>
            <w:gridSpan w:val="3"/>
            <w:shd w:val="clear" w:color="auto" w:fill="auto"/>
            <w:vAlign w:val="center"/>
          </w:tcPr>
          <w:p w:rsidRPr="00704E80" w:rsidR="008253DD" w:rsidP="009B774E" w:rsidRDefault="008253DD" w14:paraId="693D7135" w14:textId="6E8C3419">
            <w:pPr>
              <w:keepNext/>
              <w:keepLines/>
              <w:jc w:val="center"/>
              <w:rPr>
                <w:rFonts w:asciiTheme="majorBidi" w:hAnsiTheme="majorBidi" w:cstheme="majorBidi"/>
                <w:b/>
                <w:bCs/>
              </w:rPr>
            </w:pPr>
            <w:r w:rsidRPr="00704E80">
              <w:rPr>
                <w:rFonts w:asciiTheme="majorBidi" w:hAnsiTheme="majorBidi" w:cstheme="majorBidi"/>
                <w:b/>
                <w:bCs/>
                <w:sz w:val="22"/>
                <w:szCs w:val="22"/>
              </w:rPr>
              <w:t xml:space="preserve">Burden </w:t>
            </w:r>
            <w:r w:rsidR="008C3AB1">
              <w:rPr>
                <w:rFonts w:asciiTheme="majorBidi" w:hAnsiTheme="majorBidi" w:cstheme="majorBidi"/>
                <w:b/>
                <w:bCs/>
                <w:sz w:val="22"/>
                <w:szCs w:val="22"/>
              </w:rPr>
              <w:t>(</w:t>
            </w:r>
            <w:r w:rsidRPr="00704E80">
              <w:rPr>
                <w:rFonts w:asciiTheme="majorBidi" w:hAnsiTheme="majorBidi" w:cstheme="majorBidi"/>
                <w:b/>
                <w:bCs/>
                <w:sz w:val="22"/>
                <w:szCs w:val="22"/>
              </w:rPr>
              <w:t>Hours</w:t>
            </w:r>
            <w:r w:rsidR="008C3AB1">
              <w:rPr>
                <w:rFonts w:asciiTheme="majorBidi" w:hAnsiTheme="majorBidi" w:cstheme="majorBidi"/>
                <w:b/>
                <w:bCs/>
                <w:sz w:val="22"/>
                <w:szCs w:val="22"/>
              </w:rPr>
              <w:t>)</w:t>
            </w:r>
          </w:p>
        </w:tc>
        <w:tc>
          <w:tcPr>
            <w:tcW w:w="908" w:type="pct"/>
            <w:gridSpan w:val="2"/>
            <w:tcBorders>
              <w:top w:val="double" w:color="808080" w:themeColor="background1" w:themeShade="80" w:sz="4" w:space="0"/>
              <w:bottom w:val="single" w:color="808080" w:themeColor="background1" w:themeShade="80" w:sz="4" w:space="0"/>
              <w:right w:val="double" w:color="808080" w:themeColor="background1" w:themeShade="80" w:sz="4" w:space="0"/>
            </w:tcBorders>
            <w:shd w:val="clear" w:color="auto" w:fill="auto"/>
            <w:vAlign w:val="center"/>
          </w:tcPr>
          <w:p w:rsidRPr="00704E80" w:rsidR="008253DD" w:rsidP="009B774E" w:rsidRDefault="008253DD" w14:paraId="752CECB2" w14:textId="77777777">
            <w:pPr>
              <w:keepNext/>
              <w:keepLines/>
              <w:jc w:val="center"/>
              <w:rPr>
                <w:rFonts w:asciiTheme="majorBidi" w:hAnsiTheme="majorBidi" w:cstheme="majorBidi"/>
                <w:b/>
                <w:bCs/>
              </w:rPr>
            </w:pPr>
            <w:r w:rsidRPr="00704E80">
              <w:rPr>
                <w:rFonts w:asciiTheme="majorBidi" w:hAnsiTheme="majorBidi" w:cstheme="majorBidi"/>
                <w:b/>
                <w:bCs/>
                <w:sz w:val="22"/>
                <w:szCs w:val="22"/>
              </w:rPr>
              <w:t>Total</w:t>
            </w:r>
          </w:p>
        </w:tc>
      </w:tr>
      <w:tr w:rsidRPr="00704E80" w:rsidR="00C270C5" w:rsidTr="009C2537" w14:paraId="2816D648" w14:textId="77777777">
        <w:trPr>
          <w:trHeight w:val="315"/>
        </w:trPr>
        <w:tc>
          <w:tcPr>
            <w:tcW w:w="2302" w:type="pct"/>
            <w:vMerge/>
            <w:vAlign w:val="center"/>
          </w:tcPr>
          <w:p w:rsidRPr="00704E80" w:rsidR="008253DD" w:rsidP="009B774E" w:rsidRDefault="008253DD" w14:paraId="191FAFBA" w14:textId="77777777">
            <w:pPr>
              <w:keepNext/>
              <w:keepLines/>
              <w:rPr>
                <w:rFonts w:asciiTheme="majorBidi" w:hAnsiTheme="majorBidi" w:cstheme="majorBidi"/>
                <w:b/>
                <w:bCs/>
              </w:rPr>
            </w:pPr>
          </w:p>
        </w:tc>
        <w:tc>
          <w:tcPr>
            <w:tcW w:w="630" w:type="pct"/>
            <w:tcBorders>
              <w:bottom w:val="single" w:color="808080" w:themeColor="background1" w:themeShade="80" w:sz="4" w:space="0"/>
            </w:tcBorders>
            <w:shd w:val="clear" w:color="auto" w:fill="auto"/>
            <w:vAlign w:val="center"/>
          </w:tcPr>
          <w:p w:rsidRPr="00704E80" w:rsidR="008253DD" w:rsidP="009B774E" w:rsidRDefault="00CB40F4" w14:paraId="6FA53BB3" w14:textId="0DD6F890">
            <w:pPr>
              <w:keepNext/>
              <w:keepLines/>
              <w:jc w:val="center"/>
              <w:rPr>
                <w:rFonts w:asciiTheme="majorBidi" w:hAnsiTheme="majorBidi" w:cstheme="majorBidi"/>
              </w:rPr>
            </w:pPr>
            <w:r w:rsidRPr="00704E80">
              <w:rPr>
                <w:rFonts w:asciiTheme="majorBidi" w:hAnsiTheme="majorBidi" w:cstheme="majorBidi"/>
                <w:sz w:val="22"/>
                <w:szCs w:val="22"/>
              </w:rPr>
              <w:t>Mgmt.</w:t>
            </w:r>
          </w:p>
        </w:tc>
        <w:tc>
          <w:tcPr>
            <w:tcW w:w="581" w:type="pct"/>
            <w:tcBorders>
              <w:bottom w:val="single" w:color="808080" w:themeColor="background1" w:themeShade="80" w:sz="4" w:space="0"/>
            </w:tcBorders>
            <w:shd w:val="clear" w:color="auto" w:fill="auto"/>
            <w:vAlign w:val="center"/>
          </w:tcPr>
          <w:p w:rsidRPr="00704E80" w:rsidR="008253DD" w:rsidP="009B774E" w:rsidRDefault="008253DD" w14:paraId="30F026A8" w14:textId="77777777">
            <w:pPr>
              <w:keepNext/>
              <w:keepLines/>
              <w:jc w:val="center"/>
              <w:rPr>
                <w:rFonts w:asciiTheme="majorBidi" w:hAnsiTheme="majorBidi" w:cstheme="majorBidi"/>
              </w:rPr>
            </w:pPr>
            <w:r w:rsidRPr="00704E80">
              <w:rPr>
                <w:rFonts w:asciiTheme="majorBidi" w:hAnsiTheme="majorBidi" w:cstheme="majorBidi"/>
                <w:sz w:val="22"/>
                <w:szCs w:val="22"/>
              </w:rPr>
              <w:t>Technical</w:t>
            </w:r>
          </w:p>
        </w:tc>
        <w:tc>
          <w:tcPr>
            <w:tcW w:w="579" w:type="pct"/>
            <w:tcBorders>
              <w:bottom w:val="single" w:color="808080" w:themeColor="background1" w:themeShade="80" w:sz="4" w:space="0"/>
            </w:tcBorders>
            <w:shd w:val="clear" w:color="auto" w:fill="auto"/>
            <w:vAlign w:val="center"/>
          </w:tcPr>
          <w:p w:rsidRPr="00704E80" w:rsidR="008253DD" w:rsidP="009B774E" w:rsidRDefault="008253DD" w14:paraId="0807D2C7" w14:textId="77777777">
            <w:pPr>
              <w:keepNext/>
              <w:keepLines/>
              <w:jc w:val="center"/>
              <w:rPr>
                <w:rFonts w:asciiTheme="majorBidi" w:hAnsiTheme="majorBidi" w:cstheme="majorBidi"/>
              </w:rPr>
            </w:pPr>
            <w:r w:rsidRPr="00704E80">
              <w:rPr>
                <w:rFonts w:asciiTheme="majorBidi" w:hAnsiTheme="majorBidi" w:cstheme="majorBidi"/>
                <w:sz w:val="22"/>
                <w:szCs w:val="22"/>
              </w:rPr>
              <w:t>Clerical</w:t>
            </w:r>
          </w:p>
        </w:tc>
        <w:tc>
          <w:tcPr>
            <w:tcW w:w="405" w:type="pct"/>
            <w:vMerge w:val="restart"/>
            <w:tcBorders>
              <w:top w:val="single" w:color="808080" w:themeColor="background1" w:themeShade="80" w:sz="4" w:space="0"/>
              <w:bottom w:val="single" w:color="808080" w:themeColor="background1" w:themeShade="80" w:sz="4" w:space="0"/>
            </w:tcBorders>
            <w:shd w:val="clear" w:color="auto" w:fill="auto"/>
            <w:vAlign w:val="center"/>
          </w:tcPr>
          <w:p w:rsidRPr="00704E80" w:rsidR="008253DD" w:rsidP="009B774E" w:rsidRDefault="008253DD" w14:paraId="2F2DC44E" w14:textId="77777777">
            <w:pPr>
              <w:keepNext/>
              <w:keepLines/>
              <w:jc w:val="center"/>
              <w:rPr>
                <w:rFonts w:asciiTheme="majorBidi" w:hAnsiTheme="majorBidi" w:cstheme="majorBidi"/>
              </w:rPr>
            </w:pPr>
            <w:r w:rsidRPr="00704E80">
              <w:rPr>
                <w:rFonts w:asciiTheme="majorBidi" w:hAnsiTheme="majorBidi" w:cstheme="majorBidi"/>
                <w:sz w:val="22"/>
                <w:szCs w:val="22"/>
              </w:rPr>
              <w:t>Hours</w:t>
            </w:r>
          </w:p>
        </w:tc>
        <w:tc>
          <w:tcPr>
            <w:tcW w:w="503" w:type="pct"/>
            <w:vMerge w:val="restart"/>
            <w:tcBorders>
              <w:top w:val="single" w:color="808080" w:themeColor="background1" w:themeShade="80" w:sz="4" w:space="0"/>
              <w:bottom w:val="single" w:color="808080" w:themeColor="background1" w:themeShade="80" w:sz="4" w:space="0"/>
              <w:right w:val="double" w:color="808080" w:themeColor="background1" w:themeShade="80" w:sz="4" w:space="0"/>
            </w:tcBorders>
            <w:shd w:val="clear" w:color="auto" w:fill="auto"/>
            <w:vAlign w:val="center"/>
          </w:tcPr>
          <w:p w:rsidRPr="00704E80" w:rsidR="008253DD" w:rsidP="009B774E" w:rsidRDefault="008253DD" w14:paraId="09D0BE07" w14:textId="77777777">
            <w:pPr>
              <w:keepNext/>
              <w:keepLines/>
              <w:jc w:val="center"/>
              <w:rPr>
                <w:rFonts w:asciiTheme="majorBidi" w:hAnsiTheme="majorBidi" w:cstheme="majorBidi"/>
              </w:rPr>
            </w:pPr>
            <w:r w:rsidRPr="00704E80">
              <w:rPr>
                <w:rFonts w:asciiTheme="majorBidi" w:hAnsiTheme="majorBidi" w:cstheme="majorBidi"/>
                <w:sz w:val="22"/>
                <w:szCs w:val="22"/>
              </w:rPr>
              <w:t>Costs</w:t>
            </w:r>
          </w:p>
        </w:tc>
      </w:tr>
      <w:tr w:rsidRPr="00704E80" w:rsidR="002472E5" w:rsidTr="009C2537" w14:paraId="1DFFDB69" w14:textId="77777777">
        <w:trPr>
          <w:trHeight w:val="224"/>
        </w:trPr>
        <w:tc>
          <w:tcPr>
            <w:tcW w:w="2302" w:type="pct"/>
            <w:vMerge/>
            <w:vAlign w:val="center"/>
          </w:tcPr>
          <w:p w:rsidRPr="00704E80" w:rsidR="002472E5" w:rsidP="009B774E" w:rsidRDefault="002472E5" w14:paraId="0F27436E" w14:textId="77777777">
            <w:pPr>
              <w:keepNext/>
              <w:keepLines/>
              <w:rPr>
                <w:rFonts w:asciiTheme="majorBidi" w:hAnsiTheme="majorBidi" w:cstheme="majorBidi"/>
                <w:b/>
                <w:bCs/>
              </w:rPr>
            </w:pPr>
          </w:p>
        </w:tc>
        <w:tc>
          <w:tcPr>
            <w:tcW w:w="630" w:type="pct"/>
            <w:tcBorders>
              <w:top w:val="single" w:color="808080" w:themeColor="background1" w:themeShade="80" w:sz="4" w:space="0"/>
            </w:tcBorders>
            <w:shd w:val="clear" w:color="auto" w:fill="auto"/>
            <w:vAlign w:val="center"/>
          </w:tcPr>
          <w:p w:rsidRPr="00704E80" w:rsidR="002472E5" w:rsidP="009B774E" w:rsidRDefault="002472E5" w14:paraId="70527A12" w14:textId="77D0CABD">
            <w:pPr>
              <w:keepNext/>
              <w:keepLines/>
              <w:jc w:val="center"/>
              <w:rPr>
                <w:rFonts w:asciiTheme="majorBidi" w:hAnsiTheme="majorBidi" w:cstheme="majorBidi"/>
              </w:rPr>
            </w:pPr>
            <w:r w:rsidRPr="00704E80">
              <w:rPr>
                <w:sz w:val="22"/>
                <w:szCs w:val="22"/>
              </w:rPr>
              <w:t>$143.29/</w:t>
            </w:r>
            <w:proofErr w:type="spellStart"/>
            <w:r w:rsidRPr="00704E80">
              <w:rPr>
                <w:sz w:val="22"/>
                <w:szCs w:val="22"/>
              </w:rPr>
              <w:t>hr</w:t>
            </w:r>
            <w:proofErr w:type="spellEnd"/>
            <w:r w:rsidRPr="00704E80">
              <w:rPr>
                <w:sz w:val="22"/>
                <w:szCs w:val="22"/>
              </w:rPr>
              <w:t xml:space="preserve"> </w:t>
            </w:r>
          </w:p>
        </w:tc>
        <w:tc>
          <w:tcPr>
            <w:tcW w:w="581" w:type="pct"/>
            <w:tcBorders>
              <w:top w:val="single" w:color="808080" w:themeColor="background1" w:themeShade="80" w:sz="4" w:space="0"/>
            </w:tcBorders>
            <w:shd w:val="clear" w:color="auto" w:fill="auto"/>
            <w:vAlign w:val="center"/>
          </w:tcPr>
          <w:p w:rsidRPr="00704E80" w:rsidR="002472E5" w:rsidP="009B774E" w:rsidRDefault="002472E5" w14:paraId="2721FDB3" w14:textId="1FFEB52A">
            <w:pPr>
              <w:keepNext/>
              <w:keepLines/>
              <w:jc w:val="center"/>
              <w:rPr>
                <w:rFonts w:asciiTheme="majorBidi" w:hAnsiTheme="majorBidi" w:cstheme="majorBidi"/>
              </w:rPr>
            </w:pPr>
            <w:r w:rsidRPr="00704E80">
              <w:rPr>
                <w:sz w:val="22"/>
                <w:szCs w:val="22"/>
              </w:rPr>
              <w:t>$74.95/</w:t>
            </w:r>
            <w:proofErr w:type="spellStart"/>
            <w:r w:rsidRPr="00704E80">
              <w:rPr>
                <w:sz w:val="22"/>
                <w:szCs w:val="22"/>
              </w:rPr>
              <w:t>hr</w:t>
            </w:r>
            <w:proofErr w:type="spellEnd"/>
            <w:r w:rsidRPr="00704E80">
              <w:rPr>
                <w:sz w:val="22"/>
                <w:szCs w:val="22"/>
              </w:rPr>
              <w:t xml:space="preserve"> </w:t>
            </w:r>
          </w:p>
        </w:tc>
        <w:tc>
          <w:tcPr>
            <w:tcW w:w="579" w:type="pct"/>
            <w:tcBorders>
              <w:top w:val="single" w:color="808080" w:themeColor="background1" w:themeShade="80" w:sz="4" w:space="0"/>
            </w:tcBorders>
            <w:shd w:val="clear" w:color="auto" w:fill="auto"/>
            <w:vAlign w:val="center"/>
          </w:tcPr>
          <w:p w:rsidRPr="00704E80" w:rsidR="002472E5" w:rsidP="009B774E" w:rsidRDefault="002472E5" w14:paraId="5E0E8AED" w14:textId="0978D385">
            <w:pPr>
              <w:keepNext/>
              <w:keepLines/>
              <w:jc w:val="center"/>
              <w:rPr>
                <w:rFonts w:asciiTheme="majorBidi" w:hAnsiTheme="majorBidi" w:cstheme="majorBidi"/>
              </w:rPr>
            </w:pPr>
            <w:r w:rsidRPr="00704E80">
              <w:rPr>
                <w:sz w:val="22"/>
                <w:szCs w:val="22"/>
              </w:rPr>
              <w:t>$47.78/</w:t>
            </w:r>
            <w:proofErr w:type="spellStart"/>
            <w:r w:rsidRPr="00704E80">
              <w:rPr>
                <w:sz w:val="22"/>
                <w:szCs w:val="22"/>
              </w:rPr>
              <w:t>hr</w:t>
            </w:r>
            <w:proofErr w:type="spellEnd"/>
            <w:r w:rsidRPr="00704E80">
              <w:rPr>
                <w:sz w:val="22"/>
                <w:szCs w:val="22"/>
              </w:rPr>
              <w:t xml:space="preserve"> </w:t>
            </w:r>
          </w:p>
        </w:tc>
        <w:tc>
          <w:tcPr>
            <w:tcW w:w="405" w:type="pct"/>
            <w:vMerge/>
            <w:tcBorders>
              <w:top w:val="single" w:color="808080" w:themeColor="background1" w:themeShade="80" w:sz="4" w:space="0"/>
              <w:bottom w:val="single" w:color="808080" w:themeColor="background1" w:themeShade="80" w:sz="4" w:space="0"/>
            </w:tcBorders>
            <w:vAlign w:val="center"/>
          </w:tcPr>
          <w:p w:rsidRPr="00704E80" w:rsidR="002472E5" w:rsidP="009B774E" w:rsidRDefault="002472E5" w14:paraId="6EF48A33" w14:textId="77777777">
            <w:pPr>
              <w:keepNext/>
              <w:keepLines/>
              <w:rPr>
                <w:rFonts w:asciiTheme="majorBidi" w:hAnsiTheme="majorBidi" w:cstheme="majorBidi"/>
              </w:rPr>
            </w:pPr>
          </w:p>
        </w:tc>
        <w:tc>
          <w:tcPr>
            <w:tcW w:w="503" w:type="pct"/>
            <w:vMerge/>
            <w:tcBorders>
              <w:top w:val="single" w:color="808080" w:themeColor="background1" w:themeShade="80" w:sz="4" w:space="0"/>
              <w:bottom w:val="single" w:color="808080" w:themeColor="background1" w:themeShade="80" w:sz="4" w:space="0"/>
              <w:right w:val="double" w:color="808080" w:themeColor="background1" w:themeShade="80" w:sz="4" w:space="0"/>
            </w:tcBorders>
            <w:vAlign w:val="center"/>
          </w:tcPr>
          <w:p w:rsidRPr="00704E80" w:rsidR="002472E5" w:rsidP="009B774E" w:rsidRDefault="002472E5" w14:paraId="3666BA25" w14:textId="77777777">
            <w:pPr>
              <w:keepNext/>
              <w:keepLines/>
              <w:jc w:val="center"/>
              <w:rPr>
                <w:rFonts w:asciiTheme="majorBidi" w:hAnsiTheme="majorBidi" w:cstheme="majorBidi"/>
              </w:rPr>
            </w:pPr>
          </w:p>
        </w:tc>
      </w:tr>
      <w:tr w:rsidRPr="00704E80" w:rsidR="002472E5" w:rsidTr="009C2537" w14:paraId="50207F0A" w14:textId="77777777">
        <w:trPr>
          <w:trHeight w:val="315"/>
        </w:trPr>
        <w:tc>
          <w:tcPr>
            <w:tcW w:w="2302" w:type="pct"/>
            <w:shd w:val="clear" w:color="auto" w:fill="auto"/>
            <w:vAlign w:val="center"/>
          </w:tcPr>
          <w:p w:rsidRPr="00704E80" w:rsidR="002472E5" w:rsidP="009B774E" w:rsidRDefault="002472E5" w14:paraId="561A5ED2" w14:textId="77777777">
            <w:pPr>
              <w:keepNext/>
              <w:keepLines/>
              <w:rPr>
                <w:rFonts w:asciiTheme="majorBidi" w:hAnsiTheme="majorBidi" w:cstheme="majorBidi"/>
              </w:rPr>
            </w:pPr>
            <w:r w:rsidRPr="00704E80">
              <w:rPr>
                <w:rFonts w:asciiTheme="majorBidi" w:hAnsiTheme="majorBidi" w:cstheme="majorBidi"/>
                <w:sz w:val="22"/>
                <w:szCs w:val="22"/>
              </w:rPr>
              <w:t>Read Instructions</w:t>
            </w:r>
          </w:p>
        </w:tc>
        <w:tc>
          <w:tcPr>
            <w:tcW w:w="630" w:type="pct"/>
            <w:tcBorders>
              <w:top w:val="single" w:color="808080" w:themeColor="background1" w:themeShade="80" w:sz="4" w:space="0"/>
            </w:tcBorders>
            <w:shd w:val="clear" w:color="auto" w:fill="auto"/>
            <w:vAlign w:val="center"/>
          </w:tcPr>
          <w:p w:rsidRPr="00704E80" w:rsidR="002472E5" w:rsidP="009B774E" w:rsidRDefault="002472E5" w14:paraId="4CB47222" w14:textId="77777777">
            <w:pPr>
              <w:keepNext/>
              <w:keepLines/>
              <w:jc w:val="center"/>
              <w:rPr>
                <w:rFonts w:asciiTheme="majorBidi" w:hAnsiTheme="majorBidi" w:cstheme="majorBidi"/>
              </w:rPr>
            </w:pPr>
            <w:r w:rsidRPr="00704E80">
              <w:rPr>
                <w:rFonts w:asciiTheme="majorBidi" w:hAnsiTheme="majorBidi" w:cstheme="majorBidi"/>
                <w:sz w:val="22"/>
                <w:szCs w:val="22"/>
              </w:rPr>
              <w:t>18</w:t>
            </w:r>
          </w:p>
        </w:tc>
        <w:tc>
          <w:tcPr>
            <w:tcW w:w="581" w:type="pct"/>
            <w:tcBorders>
              <w:top w:val="single" w:color="808080" w:themeColor="background1" w:themeShade="80" w:sz="4" w:space="0"/>
            </w:tcBorders>
            <w:shd w:val="clear" w:color="auto" w:fill="auto"/>
            <w:vAlign w:val="center"/>
          </w:tcPr>
          <w:p w:rsidRPr="00704E80" w:rsidR="002472E5" w:rsidP="009B774E" w:rsidRDefault="002472E5" w14:paraId="418B6602" w14:textId="77777777">
            <w:pPr>
              <w:keepNext/>
              <w:keepLines/>
              <w:jc w:val="center"/>
              <w:rPr>
                <w:rFonts w:asciiTheme="majorBidi" w:hAnsiTheme="majorBidi" w:cstheme="majorBidi"/>
              </w:rPr>
            </w:pPr>
            <w:r w:rsidRPr="00704E80">
              <w:rPr>
                <w:rFonts w:asciiTheme="majorBidi" w:hAnsiTheme="majorBidi" w:cstheme="majorBidi"/>
                <w:sz w:val="22"/>
                <w:szCs w:val="22"/>
              </w:rPr>
              <w:t>0</w:t>
            </w:r>
          </w:p>
        </w:tc>
        <w:tc>
          <w:tcPr>
            <w:tcW w:w="579" w:type="pct"/>
            <w:tcBorders>
              <w:top w:val="single" w:color="808080" w:themeColor="background1" w:themeShade="80" w:sz="4" w:space="0"/>
            </w:tcBorders>
            <w:shd w:val="clear" w:color="auto" w:fill="auto"/>
            <w:vAlign w:val="center"/>
          </w:tcPr>
          <w:p w:rsidRPr="00704E80" w:rsidR="002472E5" w:rsidP="009B774E" w:rsidRDefault="002472E5" w14:paraId="1BD52489" w14:textId="77777777">
            <w:pPr>
              <w:keepNext/>
              <w:keepLines/>
              <w:jc w:val="center"/>
              <w:rPr>
                <w:rFonts w:asciiTheme="majorBidi" w:hAnsiTheme="majorBidi" w:cstheme="majorBidi"/>
              </w:rPr>
            </w:pPr>
            <w:r w:rsidRPr="00704E80">
              <w:rPr>
                <w:rFonts w:asciiTheme="majorBidi" w:hAnsiTheme="majorBidi" w:cstheme="majorBidi"/>
                <w:sz w:val="22"/>
                <w:szCs w:val="22"/>
              </w:rPr>
              <w:t>0</w:t>
            </w:r>
          </w:p>
        </w:tc>
        <w:tc>
          <w:tcPr>
            <w:tcW w:w="405" w:type="pct"/>
            <w:tcBorders>
              <w:top w:val="single" w:color="808080" w:themeColor="background1" w:themeShade="80" w:sz="4" w:space="0"/>
              <w:bottom w:val="single" w:color="808080" w:themeColor="background1" w:themeShade="80" w:sz="4" w:space="0"/>
            </w:tcBorders>
            <w:shd w:val="clear" w:color="auto" w:fill="auto"/>
            <w:vAlign w:val="center"/>
          </w:tcPr>
          <w:p w:rsidRPr="00704E80" w:rsidR="002472E5" w:rsidP="009B774E" w:rsidRDefault="002472E5" w14:paraId="5AE74C06" w14:textId="77777777">
            <w:pPr>
              <w:keepNext/>
              <w:keepLines/>
              <w:jc w:val="center"/>
              <w:rPr>
                <w:rFonts w:asciiTheme="majorBidi" w:hAnsiTheme="majorBidi" w:cstheme="majorBidi"/>
              </w:rPr>
            </w:pPr>
            <w:r w:rsidRPr="00704E80">
              <w:rPr>
                <w:rFonts w:asciiTheme="majorBidi" w:hAnsiTheme="majorBidi" w:cstheme="majorBidi"/>
                <w:sz w:val="22"/>
                <w:szCs w:val="22"/>
              </w:rPr>
              <w:t>18</w:t>
            </w:r>
          </w:p>
        </w:tc>
        <w:tc>
          <w:tcPr>
            <w:tcW w:w="503" w:type="pct"/>
            <w:tcBorders>
              <w:top w:val="single" w:color="808080" w:themeColor="background1" w:themeShade="80" w:sz="4" w:space="0"/>
              <w:bottom w:val="single" w:color="808080" w:themeColor="background1" w:themeShade="80" w:sz="4" w:space="0"/>
              <w:right w:val="double" w:color="808080" w:themeColor="background1" w:themeShade="80" w:sz="4" w:space="0"/>
            </w:tcBorders>
            <w:shd w:val="clear" w:color="auto" w:fill="auto"/>
            <w:vAlign w:val="center"/>
          </w:tcPr>
          <w:p w:rsidRPr="00704E80" w:rsidR="002472E5" w:rsidP="009B774E" w:rsidRDefault="002472E5" w14:paraId="765C5B1E" w14:textId="7B573ED3">
            <w:pPr>
              <w:keepNext/>
              <w:keepLines/>
              <w:jc w:val="center"/>
              <w:rPr>
                <w:rFonts w:asciiTheme="majorBidi" w:hAnsiTheme="majorBidi" w:cstheme="majorBidi"/>
              </w:rPr>
            </w:pPr>
            <w:r w:rsidRPr="00704E80">
              <w:rPr>
                <w:sz w:val="22"/>
                <w:szCs w:val="22"/>
              </w:rPr>
              <w:t xml:space="preserve">$2,579 </w:t>
            </w:r>
          </w:p>
        </w:tc>
      </w:tr>
      <w:tr w:rsidRPr="00704E80" w:rsidR="002472E5" w:rsidTr="009C2537" w14:paraId="3650964E" w14:textId="77777777">
        <w:trPr>
          <w:trHeight w:val="315"/>
        </w:trPr>
        <w:tc>
          <w:tcPr>
            <w:tcW w:w="2302" w:type="pct"/>
            <w:shd w:val="clear" w:color="auto" w:fill="auto"/>
            <w:vAlign w:val="center"/>
          </w:tcPr>
          <w:p w:rsidRPr="00704E80" w:rsidR="002472E5" w:rsidP="009B774E" w:rsidRDefault="002472E5" w14:paraId="09B68744" w14:textId="77777777">
            <w:pPr>
              <w:keepNext/>
              <w:keepLines/>
              <w:rPr>
                <w:rFonts w:asciiTheme="majorBidi" w:hAnsiTheme="majorBidi" w:cstheme="majorBidi"/>
              </w:rPr>
            </w:pPr>
            <w:r w:rsidRPr="00704E80">
              <w:rPr>
                <w:rFonts w:asciiTheme="majorBidi" w:hAnsiTheme="majorBidi" w:cstheme="majorBidi"/>
                <w:sz w:val="22"/>
                <w:szCs w:val="22"/>
              </w:rPr>
              <w:t>Plan activities</w:t>
            </w:r>
          </w:p>
        </w:tc>
        <w:tc>
          <w:tcPr>
            <w:tcW w:w="630" w:type="pct"/>
            <w:shd w:val="clear" w:color="auto" w:fill="auto"/>
            <w:vAlign w:val="center"/>
          </w:tcPr>
          <w:p w:rsidRPr="00704E80" w:rsidR="002472E5" w:rsidP="009B774E" w:rsidRDefault="002472E5" w14:paraId="3A6FED02" w14:textId="77777777">
            <w:pPr>
              <w:keepNext/>
              <w:keepLines/>
              <w:jc w:val="center"/>
              <w:rPr>
                <w:rFonts w:asciiTheme="majorBidi" w:hAnsiTheme="majorBidi" w:cstheme="majorBidi"/>
              </w:rPr>
            </w:pPr>
            <w:r w:rsidRPr="00704E80">
              <w:rPr>
                <w:rFonts w:asciiTheme="majorBidi" w:hAnsiTheme="majorBidi" w:cstheme="majorBidi"/>
                <w:sz w:val="22"/>
                <w:szCs w:val="22"/>
              </w:rPr>
              <w:t>4</w:t>
            </w:r>
          </w:p>
        </w:tc>
        <w:tc>
          <w:tcPr>
            <w:tcW w:w="581" w:type="pct"/>
            <w:shd w:val="clear" w:color="auto" w:fill="auto"/>
            <w:vAlign w:val="center"/>
          </w:tcPr>
          <w:p w:rsidRPr="00704E80" w:rsidR="002472E5" w:rsidP="009B774E" w:rsidRDefault="002472E5" w14:paraId="72E42D21" w14:textId="77777777">
            <w:pPr>
              <w:keepNext/>
              <w:keepLines/>
              <w:jc w:val="center"/>
              <w:rPr>
                <w:rFonts w:asciiTheme="majorBidi" w:hAnsiTheme="majorBidi" w:cstheme="majorBidi"/>
              </w:rPr>
            </w:pPr>
            <w:r w:rsidRPr="00704E80">
              <w:rPr>
                <w:rFonts w:asciiTheme="majorBidi" w:hAnsiTheme="majorBidi" w:cstheme="majorBidi"/>
                <w:sz w:val="22"/>
                <w:szCs w:val="22"/>
              </w:rPr>
              <w:t>0</w:t>
            </w:r>
          </w:p>
        </w:tc>
        <w:tc>
          <w:tcPr>
            <w:tcW w:w="579" w:type="pct"/>
            <w:shd w:val="clear" w:color="auto" w:fill="auto"/>
            <w:vAlign w:val="center"/>
          </w:tcPr>
          <w:p w:rsidRPr="00704E80" w:rsidR="002472E5" w:rsidP="009B774E" w:rsidRDefault="002472E5" w14:paraId="36A44F2A" w14:textId="77777777">
            <w:pPr>
              <w:keepNext/>
              <w:keepLines/>
              <w:jc w:val="center"/>
              <w:rPr>
                <w:rFonts w:asciiTheme="majorBidi" w:hAnsiTheme="majorBidi" w:cstheme="majorBidi"/>
              </w:rPr>
            </w:pPr>
            <w:r w:rsidRPr="00704E80">
              <w:rPr>
                <w:rFonts w:asciiTheme="majorBidi" w:hAnsiTheme="majorBidi" w:cstheme="majorBidi"/>
                <w:sz w:val="22"/>
                <w:szCs w:val="22"/>
              </w:rPr>
              <w:t>0</w:t>
            </w:r>
          </w:p>
        </w:tc>
        <w:tc>
          <w:tcPr>
            <w:tcW w:w="405" w:type="pct"/>
            <w:tcBorders>
              <w:top w:val="single" w:color="808080" w:themeColor="background1" w:themeShade="80" w:sz="4" w:space="0"/>
              <w:bottom w:val="single" w:color="808080" w:themeColor="background1" w:themeShade="80" w:sz="4" w:space="0"/>
            </w:tcBorders>
            <w:shd w:val="clear" w:color="auto" w:fill="auto"/>
            <w:vAlign w:val="center"/>
          </w:tcPr>
          <w:p w:rsidRPr="00704E80" w:rsidR="002472E5" w:rsidP="009B774E" w:rsidRDefault="002472E5" w14:paraId="587DC19E" w14:textId="77777777">
            <w:pPr>
              <w:keepNext/>
              <w:keepLines/>
              <w:jc w:val="center"/>
              <w:rPr>
                <w:rFonts w:asciiTheme="majorBidi" w:hAnsiTheme="majorBidi" w:cstheme="majorBidi"/>
              </w:rPr>
            </w:pPr>
            <w:r w:rsidRPr="00704E80">
              <w:rPr>
                <w:rFonts w:asciiTheme="majorBidi" w:hAnsiTheme="majorBidi" w:cstheme="majorBidi"/>
                <w:sz w:val="22"/>
                <w:szCs w:val="22"/>
              </w:rPr>
              <w:t>4</w:t>
            </w:r>
          </w:p>
        </w:tc>
        <w:tc>
          <w:tcPr>
            <w:tcW w:w="503" w:type="pct"/>
            <w:tcBorders>
              <w:top w:val="single" w:color="808080" w:themeColor="background1" w:themeShade="80" w:sz="4" w:space="0"/>
              <w:bottom w:val="single" w:color="808080" w:themeColor="background1" w:themeShade="80" w:sz="4" w:space="0"/>
              <w:right w:val="double" w:color="808080" w:themeColor="background1" w:themeShade="80" w:sz="4" w:space="0"/>
            </w:tcBorders>
            <w:shd w:val="clear" w:color="auto" w:fill="auto"/>
            <w:vAlign w:val="center"/>
          </w:tcPr>
          <w:p w:rsidRPr="00704E80" w:rsidR="002472E5" w:rsidP="009B774E" w:rsidRDefault="002472E5" w14:paraId="6B79AF8D" w14:textId="5D12169E">
            <w:pPr>
              <w:keepNext/>
              <w:keepLines/>
              <w:jc w:val="center"/>
              <w:rPr>
                <w:rFonts w:asciiTheme="majorBidi" w:hAnsiTheme="majorBidi" w:cstheme="majorBidi"/>
              </w:rPr>
            </w:pPr>
            <w:r w:rsidRPr="00704E80">
              <w:rPr>
                <w:sz w:val="22"/>
                <w:szCs w:val="22"/>
              </w:rPr>
              <w:t xml:space="preserve">$573 </w:t>
            </w:r>
          </w:p>
        </w:tc>
      </w:tr>
      <w:tr w:rsidRPr="00704E80" w:rsidR="002472E5" w:rsidTr="009C2537" w14:paraId="7E33D269" w14:textId="77777777">
        <w:trPr>
          <w:trHeight w:val="315"/>
        </w:trPr>
        <w:tc>
          <w:tcPr>
            <w:tcW w:w="2302" w:type="pct"/>
            <w:shd w:val="clear" w:color="auto" w:fill="auto"/>
            <w:vAlign w:val="center"/>
          </w:tcPr>
          <w:p w:rsidRPr="00704E80" w:rsidR="002472E5" w:rsidP="009B774E" w:rsidRDefault="002472E5" w14:paraId="4CA2FF55" w14:textId="77777777">
            <w:pPr>
              <w:keepNext/>
              <w:keepLines/>
              <w:rPr>
                <w:rFonts w:asciiTheme="majorBidi" w:hAnsiTheme="majorBidi" w:cstheme="majorBidi"/>
              </w:rPr>
            </w:pPr>
            <w:r w:rsidRPr="00704E80">
              <w:rPr>
                <w:rFonts w:asciiTheme="majorBidi" w:hAnsiTheme="majorBidi" w:cstheme="majorBidi"/>
                <w:sz w:val="22"/>
                <w:szCs w:val="22"/>
              </w:rPr>
              <w:t>Gather/create information</w:t>
            </w:r>
          </w:p>
        </w:tc>
        <w:tc>
          <w:tcPr>
            <w:tcW w:w="630" w:type="pct"/>
            <w:shd w:val="clear" w:color="auto" w:fill="auto"/>
            <w:vAlign w:val="center"/>
          </w:tcPr>
          <w:p w:rsidRPr="00704E80" w:rsidR="002472E5" w:rsidP="009B774E" w:rsidRDefault="002472E5" w14:paraId="242A4748" w14:textId="77777777">
            <w:pPr>
              <w:keepNext/>
              <w:keepLines/>
              <w:jc w:val="center"/>
              <w:rPr>
                <w:rFonts w:asciiTheme="majorBidi" w:hAnsiTheme="majorBidi" w:cstheme="majorBidi"/>
              </w:rPr>
            </w:pPr>
            <w:r w:rsidRPr="00704E80">
              <w:rPr>
                <w:rFonts w:asciiTheme="majorBidi" w:hAnsiTheme="majorBidi" w:cstheme="majorBidi"/>
                <w:sz w:val="22"/>
                <w:szCs w:val="22"/>
              </w:rPr>
              <w:t>0</w:t>
            </w:r>
          </w:p>
        </w:tc>
        <w:tc>
          <w:tcPr>
            <w:tcW w:w="581" w:type="pct"/>
            <w:shd w:val="clear" w:color="auto" w:fill="auto"/>
            <w:vAlign w:val="center"/>
          </w:tcPr>
          <w:p w:rsidRPr="00704E80" w:rsidR="002472E5" w:rsidP="009B774E" w:rsidRDefault="002472E5" w14:paraId="04FD621D" w14:textId="77777777">
            <w:pPr>
              <w:keepNext/>
              <w:keepLines/>
              <w:jc w:val="center"/>
              <w:rPr>
                <w:rFonts w:asciiTheme="majorBidi" w:hAnsiTheme="majorBidi" w:cstheme="majorBidi"/>
              </w:rPr>
            </w:pPr>
            <w:r w:rsidRPr="00704E80">
              <w:rPr>
                <w:rFonts w:asciiTheme="majorBidi" w:hAnsiTheme="majorBidi" w:cstheme="majorBidi"/>
                <w:sz w:val="22"/>
                <w:szCs w:val="22"/>
              </w:rPr>
              <w:t>120</w:t>
            </w:r>
          </w:p>
        </w:tc>
        <w:tc>
          <w:tcPr>
            <w:tcW w:w="579" w:type="pct"/>
            <w:shd w:val="clear" w:color="auto" w:fill="auto"/>
            <w:vAlign w:val="center"/>
          </w:tcPr>
          <w:p w:rsidRPr="00704E80" w:rsidR="002472E5" w:rsidP="009B774E" w:rsidRDefault="002472E5" w14:paraId="07A9948E" w14:textId="77777777">
            <w:pPr>
              <w:keepNext/>
              <w:keepLines/>
              <w:jc w:val="center"/>
              <w:rPr>
                <w:rFonts w:asciiTheme="majorBidi" w:hAnsiTheme="majorBidi" w:cstheme="majorBidi"/>
              </w:rPr>
            </w:pPr>
            <w:r w:rsidRPr="00704E80">
              <w:rPr>
                <w:rFonts w:asciiTheme="majorBidi" w:hAnsiTheme="majorBidi" w:cstheme="majorBidi"/>
                <w:sz w:val="22"/>
                <w:szCs w:val="22"/>
              </w:rPr>
              <w:t>0</w:t>
            </w:r>
          </w:p>
        </w:tc>
        <w:tc>
          <w:tcPr>
            <w:tcW w:w="405" w:type="pct"/>
            <w:tcBorders>
              <w:top w:val="single" w:color="808080" w:themeColor="background1" w:themeShade="80" w:sz="4" w:space="0"/>
              <w:bottom w:val="single" w:color="808080" w:themeColor="background1" w:themeShade="80" w:sz="4" w:space="0"/>
            </w:tcBorders>
            <w:shd w:val="clear" w:color="auto" w:fill="auto"/>
            <w:vAlign w:val="center"/>
          </w:tcPr>
          <w:p w:rsidRPr="00704E80" w:rsidR="002472E5" w:rsidP="009B774E" w:rsidRDefault="002472E5" w14:paraId="0FB4D0E6" w14:textId="77777777">
            <w:pPr>
              <w:keepNext/>
              <w:keepLines/>
              <w:jc w:val="center"/>
              <w:rPr>
                <w:rFonts w:asciiTheme="majorBidi" w:hAnsiTheme="majorBidi" w:cstheme="majorBidi"/>
              </w:rPr>
            </w:pPr>
            <w:r w:rsidRPr="00704E80">
              <w:rPr>
                <w:rFonts w:asciiTheme="majorBidi" w:hAnsiTheme="majorBidi" w:cstheme="majorBidi"/>
                <w:sz w:val="22"/>
                <w:szCs w:val="22"/>
              </w:rPr>
              <w:t>120</w:t>
            </w:r>
          </w:p>
        </w:tc>
        <w:tc>
          <w:tcPr>
            <w:tcW w:w="503" w:type="pct"/>
            <w:tcBorders>
              <w:top w:val="single" w:color="808080" w:themeColor="background1" w:themeShade="80" w:sz="4" w:space="0"/>
              <w:bottom w:val="single" w:color="808080" w:themeColor="background1" w:themeShade="80" w:sz="4" w:space="0"/>
              <w:right w:val="double" w:color="808080" w:themeColor="background1" w:themeShade="80" w:sz="4" w:space="0"/>
            </w:tcBorders>
            <w:shd w:val="clear" w:color="auto" w:fill="auto"/>
            <w:vAlign w:val="center"/>
          </w:tcPr>
          <w:p w:rsidRPr="00704E80" w:rsidR="002472E5" w:rsidP="009B774E" w:rsidRDefault="002472E5" w14:paraId="26BEBBB5" w14:textId="19FA8FE1">
            <w:pPr>
              <w:keepNext/>
              <w:keepLines/>
              <w:jc w:val="center"/>
              <w:rPr>
                <w:rFonts w:asciiTheme="majorBidi" w:hAnsiTheme="majorBidi" w:cstheme="majorBidi"/>
              </w:rPr>
            </w:pPr>
            <w:r w:rsidRPr="00704E80">
              <w:rPr>
                <w:sz w:val="22"/>
                <w:szCs w:val="22"/>
              </w:rPr>
              <w:t xml:space="preserve">$8,994 </w:t>
            </w:r>
          </w:p>
        </w:tc>
      </w:tr>
      <w:tr w:rsidRPr="00704E80" w:rsidR="002472E5" w:rsidTr="009C2537" w14:paraId="23A5BE73" w14:textId="77777777">
        <w:trPr>
          <w:trHeight w:val="315"/>
        </w:trPr>
        <w:tc>
          <w:tcPr>
            <w:tcW w:w="2302" w:type="pct"/>
            <w:shd w:val="clear" w:color="auto" w:fill="auto"/>
            <w:vAlign w:val="center"/>
          </w:tcPr>
          <w:p w:rsidRPr="00704E80" w:rsidR="002472E5" w:rsidP="009B774E" w:rsidRDefault="002472E5" w14:paraId="251C072C" w14:textId="77777777">
            <w:pPr>
              <w:keepNext/>
              <w:keepLines/>
              <w:rPr>
                <w:rFonts w:asciiTheme="majorBidi" w:hAnsiTheme="majorBidi" w:cstheme="majorBidi"/>
              </w:rPr>
            </w:pPr>
            <w:r w:rsidRPr="00704E80">
              <w:rPr>
                <w:rFonts w:asciiTheme="majorBidi" w:hAnsiTheme="majorBidi" w:cstheme="majorBidi"/>
                <w:sz w:val="22"/>
                <w:szCs w:val="22"/>
              </w:rPr>
              <w:t>Compile and review</w:t>
            </w:r>
          </w:p>
        </w:tc>
        <w:tc>
          <w:tcPr>
            <w:tcW w:w="630" w:type="pct"/>
            <w:shd w:val="clear" w:color="auto" w:fill="auto"/>
            <w:vAlign w:val="center"/>
          </w:tcPr>
          <w:p w:rsidRPr="00704E80" w:rsidR="002472E5" w:rsidP="009B774E" w:rsidRDefault="002472E5" w14:paraId="3F4BF4BB" w14:textId="77777777">
            <w:pPr>
              <w:keepNext/>
              <w:keepLines/>
              <w:jc w:val="center"/>
              <w:rPr>
                <w:rFonts w:asciiTheme="majorBidi" w:hAnsiTheme="majorBidi" w:cstheme="majorBidi"/>
              </w:rPr>
            </w:pPr>
            <w:r w:rsidRPr="00704E80">
              <w:rPr>
                <w:rFonts w:asciiTheme="majorBidi" w:hAnsiTheme="majorBidi" w:cstheme="majorBidi"/>
                <w:sz w:val="22"/>
                <w:szCs w:val="22"/>
              </w:rPr>
              <w:t>4</w:t>
            </w:r>
          </w:p>
        </w:tc>
        <w:tc>
          <w:tcPr>
            <w:tcW w:w="581" w:type="pct"/>
            <w:shd w:val="clear" w:color="auto" w:fill="auto"/>
            <w:vAlign w:val="center"/>
          </w:tcPr>
          <w:p w:rsidRPr="00704E80" w:rsidR="002472E5" w:rsidP="009B774E" w:rsidRDefault="002472E5" w14:paraId="5FF88A4A" w14:textId="77777777">
            <w:pPr>
              <w:keepNext/>
              <w:keepLines/>
              <w:jc w:val="center"/>
              <w:rPr>
                <w:rFonts w:asciiTheme="majorBidi" w:hAnsiTheme="majorBidi" w:cstheme="majorBidi"/>
              </w:rPr>
            </w:pPr>
            <w:r w:rsidRPr="00704E80">
              <w:rPr>
                <w:rFonts w:asciiTheme="majorBidi" w:hAnsiTheme="majorBidi" w:cstheme="majorBidi"/>
                <w:sz w:val="22"/>
                <w:szCs w:val="22"/>
              </w:rPr>
              <w:t>8</w:t>
            </w:r>
          </w:p>
        </w:tc>
        <w:tc>
          <w:tcPr>
            <w:tcW w:w="579" w:type="pct"/>
            <w:shd w:val="clear" w:color="auto" w:fill="auto"/>
            <w:vAlign w:val="center"/>
          </w:tcPr>
          <w:p w:rsidRPr="00704E80" w:rsidR="002472E5" w:rsidP="009B774E" w:rsidRDefault="002472E5" w14:paraId="5CDE2959" w14:textId="77777777">
            <w:pPr>
              <w:keepNext/>
              <w:keepLines/>
              <w:jc w:val="center"/>
              <w:rPr>
                <w:rFonts w:asciiTheme="majorBidi" w:hAnsiTheme="majorBidi" w:cstheme="majorBidi"/>
              </w:rPr>
            </w:pPr>
            <w:r w:rsidRPr="00704E80">
              <w:rPr>
                <w:rFonts w:asciiTheme="majorBidi" w:hAnsiTheme="majorBidi" w:cstheme="majorBidi"/>
                <w:sz w:val="22"/>
                <w:szCs w:val="22"/>
              </w:rPr>
              <w:t>0</w:t>
            </w:r>
          </w:p>
        </w:tc>
        <w:tc>
          <w:tcPr>
            <w:tcW w:w="405" w:type="pct"/>
            <w:tcBorders>
              <w:top w:val="single" w:color="808080" w:themeColor="background1" w:themeShade="80" w:sz="4" w:space="0"/>
              <w:bottom w:val="single" w:color="808080" w:themeColor="background1" w:themeShade="80" w:sz="4" w:space="0"/>
            </w:tcBorders>
            <w:shd w:val="clear" w:color="auto" w:fill="auto"/>
            <w:vAlign w:val="center"/>
          </w:tcPr>
          <w:p w:rsidRPr="00704E80" w:rsidR="002472E5" w:rsidP="009B774E" w:rsidRDefault="002472E5" w14:paraId="51E52DD2" w14:textId="77777777">
            <w:pPr>
              <w:keepNext/>
              <w:keepLines/>
              <w:jc w:val="center"/>
              <w:rPr>
                <w:rFonts w:asciiTheme="majorBidi" w:hAnsiTheme="majorBidi" w:cstheme="majorBidi"/>
              </w:rPr>
            </w:pPr>
            <w:r w:rsidRPr="00704E80">
              <w:rPr>
                <w:rFonts w:asciiTheme="majorBidi" w:hAnsiTheme="majorBidi" w:cstheme="majorBidi"/>
                <w:sz w:val="22"/>
                <w:szCs w:val="22"/>
              </w:rPr>
              <w:t>12</w:t>
            </w:r>
          </w:p>
        </w:tc>
        <w:tc>
          <w:tcPr>
            <w:tcW w:w="503" w:type="pct"/>
            <w:tcBorders>
              <w:top w:val="single" w:color="808080" w:themeColor="background1" w:themeShade="80" w:sz="4" w:space="0"/>
              <w:bottom w:val="single" w:color="808080" w:themeColor="background1" w:themeShade="80" w:sz="4" w:space="0"/>
              <w:right w:val="double" w:color="808080" w:themeColor="background1" w:themeShade="80" w:sz="4" w:space="0"/>
            </w:tcBorders>
            <w:shd w:val="clear" w:color="auto" w:fill="auto"/>
            <w:vAlign w:val="center"/>
          </w:tcPr>
          <w:p w:rsidRPr="00704E80" w:rsidR="002472E5" w:rsidP="009B774E" w:rsidRDefault="002472E5" w14:paraId="601BC01B" w14:textId="3C6E7478">
            <w:pPr>
              <w:keepNext/>
              <w:keepLines/>
              <w:jc w:val="center"/>
              <w:rPr>
                <w:rFonts w:asciiTheme="majorBidi" w:hAnsiTheme="majorBidi" w:cstheme="majorBidi"/>
              </w:rPr>
            </w:pPr>
            <w:r w:rsidRPr="00704E80">
              <w:rPr>
                <w:sz w:val="22"/>
                <w:szCs w:val="22"/>
              </w:rPr>
              <w:t xml:space="preserve">$1,173 </w:t>
            </w:r>
          </w:p>
        </w:tc>
      </w:tr>
      <w:tr w:rsidRPr="00704E80" w:rsidR="002472E5" w:rsidTr="009C2537" w14:paraId="5AE99392" w14:textId="77777777">
        <w:trPr>
          <w:trHeight w:val="315"/>
        </w:trPr>
        <w:tc>
          <w:tcPr>
            <w:tcW w:w="2302" w:type="pct"/>
            <w:shd w:val="clear" w:color="auto" w:fill="auto"/>
            <w:vAlign w:val="center"/>
          </w:tcPr>
          <w:p w:rsidRPr="00704E80" w:rsidR="002472E5" w:rsidP="009B774E" w:rsidRDefault="002472E5" w14:paraId="2888182C" w14:textId="77777777">
            <w:pPr>
              <w:keepNext/>
              <w:keepLines/>
              <w:rPr>
                <w:rFonts w:asciiTheme="majorBidi" w:hAnsiTheme="majorBidi" w:cstheme="majorBidi"/>
              </w:rPr>
            </w:pPr>
            <w:r w:rsidRPr="00704E80">
              <w:rPr>
                <w:rFonts w:asciiTheme="majorBidi" w:hAnsiTheme="majorBidi" w:cstheme="majorBidi"/>
                <w:sz w:val="22"/>
                <w:szCs w:val="22"/>
              </w:rPr>
              <w:t>Complete paperwork</w:t>
            </w:r>
          </w:p>
        </w:tc>
        <w:tc>
          <w:tcPr>
            <w:tcW w:w="630" w:type="pct"/>
            <w:shd w:val="clear" w:color="auto" w:fill="auto"/>
            <w:vAlign w:val="center"/>
          </w:tcPr>
          <w:p w:rsidRPr="00704E80" w:rsidR="002472E5" w:rsidP="009B774E" w:rsidRDefault="002472E5" w14:paraId="08141406" w14:textId="77777777">
            <w:pPr>
              <w:keepNext/>
              <w:keepLines/>
              <w:jc w:val="center"/>
              <w:rPr>
                <w:rFonts w:asciiTheme="majorBidi" w:hAnsiTheme="majorBidi" w:cstheme="majorBidi"/>
              </w:rPr>
            </w:pPr>
            <w:r w:rsidRPr="00704E80">
              <w:rPr>
                <w:rFonts w:asciiTheme="majorBidi" w:hAnsiTheme="majorBidi" w:cstheme="majorBidi"/>
                <w:sz w:val="22"/>
                <w:szCs w:val="22"/>
              </w:rPr>
              <w:t>0</w:t>
            </w:r>
          </w:p>
        </w:tc>
        <w:tc>
          <w:tcPr>
            <w:tcW w:w="581" w:type="pct"/>
            <w:shd w:val="clear" w:color="auto" w:fill="auto"/>
            <w:vAlign w:val="center"/>
          </w:tcPr>
          <w:p w:rsidRPr="00704E80" w:rsidR="002472E5" w:rsidP="009B774E" w:rsidRDefault="002472E5" w14:paraId="0550DAF6" w14:textId="77777777">
            <w:pPr>
              <w:keepNext/>
              <w:keepLines/>
              <w:jc w:val="center"/>
              <w:rPr>
                <w:rFonts w:asciiTheme="majorBidi" w:hAnsiTheme="majorBidi" w:cstheme="majorBidi"/>
              </w:rPr>
            </w:pPr>
            <w:r w:rsidRPr="00704E80">
              <w:rPr>
                <w:rFonts w:asciiTheme="majorBidi" w:hAnsiTheme="majorBidi" w:cstheme="majorBidi"/>
                <w:sz w:val="22"/>
                <w:szCs w:val="22"/>
              </w:rPr>
              <w:t>0</w:t>
            </w:r>
          </w:p>
        </w:tc>
        <w:tc>
          <w:tcPr>
            <w:tcW w:w="579" w:type="pct"/>
            <w:shd w:val="clear" w:color="auto" w:fill="auto"/>
            <w:vAlign w:val="center"/>
          </w:tcPr>
          <w:p w:rsidRPr="00704E80" w:rsidR="002472E5" w:rsidP="009B774E" w:rsidRDefault="002472E5" w14:paraId="09ECCC5D" w14:textId="77777777">
            <w:pPr>
              <w:keepNext/>
              <w:keepLines/>
              <w:jc w:val="center"/>
              <w:rPr>
                <w:rFonts w:asciiTheme="majorBidi" w:hAnsiTheme="majorBidi" w:cstheme="majorBidi"/>
              </w:rPr>
            </w:pPr>
            <w:r w:rsidRPr="00704E80">
              <w:rPr>
                <w:rFonts w:asciiTheme="majorBidi" w:hAnsiTheme="majorBidi" w:cstheme="majorBidi"/>
                <w:sz w:val="22"/>
                <w:szCs w:val="22"/>
              </w:rPr>
              <w:t>30</w:t>
            </w:r>
          </w:p>
        </w:tc>
        <w:tc>
          <w:tcPr>
            <w:tcW w:w="405" w:type="pct"/>
            <w:tcBorders>
              <w:top w:val="single" w:color="808080" w:themeColor="background1" w:themeShade="80" w:sz="4" w:space="0"/>
              <w:bottom w:val="single" w:color="808080" w:themeColor="background1" w:themeShade="80" w:sz="4" w:space="0"/>
            </w:tcBorders>
            <w:shd w:val="clear" w:color="auto" w:fill="auto"/>
            <w:vAlign w:val="center"/>
          </w:tcPr>
          <w:p w:rsidRPr="00704E80" w:rsidR="002472E5" w:rsidP="009B774E" w:rsidRDefault="002472E5" w14:paraId="5C68B9B7" w14:textId="77777777">
            <w:pPr>
              <w:keepNext/>
              <w:keepLines/>
              <w:jc w:val="center"/>
              <w:rPr>
                <w:rFonts w:asciiTheme="majorBidi" w:hAnsiTheme="majorBidi" w:cstheme="majorBidi"/>
              </w:rPr>
            </w:pPr>
            <w:r w:rsidRPr="00704E80">
              <w:rPr>
                <w:rFonts w:asciiTheme="majorBidi" w:hAnsiTheme="majorBidi" w:cstheme="majorBidi"/>
                <w:sz w:val="22"/>
                <w:szCs w:val="22"/>
              </w:rPr>
              <w:t>30</w:t>
            </w:r>
          </w:p>
        </w:tc>
        <w:tc>
          <w:tcPr>
            <w:tcW w:w="503" w:type="pct"/>
            <w:tcBorders>
              <w:top w:val="single" w:color="808080" w:themeColor="background1" w:themeShade="80" w:sz="4" w:space="0"/>
              <w:bottom w:val="single" w:color="808080" w:themeColor="background1" w:themeShade="80" w:sz="4" w:space="0"/>
              <w:right w:val="double" w:color="808080" w:themeColor="background1" w:themeShade="80" w:sz="4" w:space="0"/>
            </w:tcBorders>
            <w:shd w:val="clear" w:color="auto" w:fill="auto"/>
            <w:vAlign w:val="center"/>
          </w:tcPr>
          <w:p w:rsidRPr="00704E80" w:rsidR="002472E5" w:rsidP="009B774E" w:rsidRDefault="002472E5" w14:paraId="38A98895" w14:textId="7476EF3D">
            <w:pPr>
              <w:keepNext/>
              <w:keepLines/>
              <w:jc w:val="center"/>
              <w:rPr>
                <w:rFonts w:asciiTheme="majorBidi" w:hAnsiTheme="majorBidi" w:cstheme="majorBidi"/>
              </w:rPr>
            </w:pPr>
            <w:r w:rsidRPr="00704E80">
              <w:rPr>
                <w:sz w:val="22"/>
                <w:szCs w:val="22"/>
              </w:rPr>
              <w:t xml:space="preserve">$1,434 </w:t>
            </w:r>
          </w:p>
        </w:tc>
      </w:tr>
      <w:tr w:rsidRPr="00704E80" w:rsidR="002472E5" w:rsidTr="009C2537" w14:paraId="50542E4C" w14:textId="77777777">
        <w:trPr>
          <w:trHeight w:val="330"/>
        </w:trPr>
        <w:tc>
          <w:tcPr>
            <w:tcW w:w="2302" w:type="pct"/>
            <w:shd w:val="clear" w:color="auto" w:fill="auto"/>
            <w:vAlign w:val="center"/>
          </w:tcPr>
          <w:p w:rsidRPr="00704E80" w:rsidR="002472E5" w:rsidP="009B774E" w:rsidRDefault="002472E5" w14:paraId="580B3FA1" w14:textId="1744863A">
            <w:pPr>
              <w:keepNext/>
              <w:keepLines/>
              <w:rPr>
                <w:rFonts w:asciiTheme="majorBidi" w:hAnsiTheme="majorBidi" w:cstheme="majorBidi"/>
                <w:sz w:val="22"/>
                <w:szCs w:val="22"/>
              </w:rPr>
            </w:pPr>
            <w:r w:rsidRPr="00704E80">
              <w:rPr>
                <w:rFonts w:asciiTheme="majorBidi" w:hAnsiTheme="majorBidi" w:cstheme="majorBidi"/>
                <w:sz w:val="22"/>
                <w:szCs w:val="22"/>
              </w:rPr>
              <w:t>Submit information</w:t>
            </w:r>
          </w:p>
        </w:tc>
        <w:tc>
          <w:tcPr>
            <w:tcW w:w="630" w:type="pct"/>
            <w:shd w:val="clear" w:color="auto" w:fill="auto"/>
            <w:vAlign w:val="center"/>
          </w:tcPr>
          <w:p w:rsidRPr="00704E80" w:rsidR="002472E5" w:rsidP="009B774E" w:rsidRDefault="002472E5" w14:paraId="4294E81E" w14:textId="77777777">
            <w:pPr>
              <w:keepNext/>
              <w:keepLines/>
              <w:jc w:val="center"/>
              <w:rPr>
                <w:rFonts w:asciiTheme="majorBidi" w:hAnsiTheme="majorBidi" w:cstheme="majorBidi"/>
                <w:sz w:val="22"/>
                <w:szCs w:val="22"/>
              </w:rPr>
            </w:pPr>
          </w:p>
        </w:tc>
        <w:tc>
          <w:tcPr>
            <w:tcW w:w="581" w:type="pct"/>
            <w:shd w:val="clear" w:color="auto" w:fill="auto"/>
            <w:vAlign w:val="center"/>
          </w:tcPr>
          <w:p w:rsidRPr="00704E80" w:rsidR="002472E5" w:rsidP="009B774E" w:rsidRDefault="002472E5" w14:paraId="65999E90" w14:textId="77777777">
            <w:pPr>
              <w:keepNext/>
              <w:keepLines/>
              <w:jc w:val="center"/>
              <w:rPr>
                <w:rFonts w:asciiTheme="majorBidi" w:hAnsiTheme="majorBidi" w:cstheme="majorBidi"/>
                <w:sz w:val="22"/>
                <w:szCs w:val="22"/>
              </w:rPr>
            </w:pPr>
          </w:p>
        </w:tc>
        <w:tc>
          <w:tcPr>
            <w:tcW w:w="579" w:type="pct"/>
            <w:shd w:val="clear" w:color="auto" w:fill="auto"/>
            <w:vAlign w:val="center"/>
          </w:tcPr>
          <w:p w:rsidRPr="00704E80" w:rsidR="002472E5" w:rsidP="009B774E" w:rsidRDefault="002472E5" w14:paraId="5164E815" w14:textId="77777777">
            <w:pPr>
              <w:keepNext/>
              <w:keepLines/>
              <w:jc w:val="center"/>
              <w:rPr>
                <w:rFonts w:asciiTheme="majorBidi" w:hAnsiTheme="majorBidi" w:cstheme="majorBidi"/>
                <w:sz w:val="22"/>
                <w:szCs w:val="22"/>
              </w:rPr>
            </w:pPr>
          </w:p>
        </w:tc>
        <w:tc>
          <w:tcPr>
            <w:tcW w:w="405" w:type="pct"/>
            <w:tcBorders>
              <w:top w:val="single" w:color="808080" w:themeColor="background1" w:themeShade="80" w:sz="4" w:space="0"/>
              <w:bottom w:val="single" w:color="808080" w:themeColor="background1" w:themeShade="80" w:sz="4" w:space="0"/>
            </w:tcBorders>
            <w:shd w:val="clear" w:color="auto" w:fill="auto"/>
            <w:vAlign w:val="center"/>
          </w:tcPr>
          <w:p w:rsidRPr="00704E80" w:rsidR="002472E5" w:rsidP="009B774E" w:rsidRDefault="002472E5" w14:paraId="27284B71" w14:textId="77777777">
            <w:pPr>
              <w:keepNext/>
              <w:keepLines/>
              <w:jc w:val="center"/>
              <w:rPr>
                <w:rFonts w:asciiTheme="majorBidi" w:hAnsiTheme="majorBidi" w:cstheme="majorBidi"/>
                <w:sz w:val="22"/>
                <w:szCs w:val="22"/>
              </w:rPr>
            </w:pPr>
          </w:p>
        </w:tc>
        <w:tc>
          <w:tcPr>
            <w:tcW w:w="503" w:type="pct"/>
            <w:tcBorders>
              <w:top w:val="single" w:color="808080" w:themeColor="background1" w:themeShade="80" w:sz="4" w:space="0"/>
              <w:bottom w:val="single" w:color="808080" w:themeColor="background1" w:themeShade="80" w:sz="4" w:space="0"/>
              <w:right w:val="double" w:color="808080" w:themeColor="background1" w:themeShade="80" w:sz="4" w:space="0"/>
            </w:tcBorders>
            <w:shd w:val="clear" w:color="auto" w:fill="auto"/>
            <w:vAlign w:val="center"/>
          </w:tcPr>
          <w:p w:rsidRPr="00704E80" w:rsidR="002472E5" w:rsidP="009B774E" w:rsidRDefault="002472E5" w14:paraId="4FE2F169" w14:textId="033286B7">
            <w:pPr>
              <w:keepNext/>
              <w:keepLines/>
              <w:jc w:val="center"/>
              <w:rPr>
                <w:rFonts w:asciiTheme="majorBidi" w:hAnsiTheme="majorBidi" w:cstheme="majorBidi"/>
                <w:sz w:val="22"/>
                <w:szCs w:val="22"/>
              </w:rPr>
            </w:pPr>
          </w:p>
        </w:tc>
      </w:tr>
      <w:tr w:rsidRPr="00704E80" w:rsidR="002472E5" w:rsidTr="009C2537" w14:paraId="24B4AF0C" w14:textId="77777777">
        <w:trPr>
          <w:trHeight w:val="330"/>
        </w:trPr>
        <w:tc>
          <w:tcPr>
            <w:tcW w:w="2302" w:type="pct"/>
            <w:shd w:val="clear" w:color="auto" w:fill="auto"/>
            <w:vAlign w:val="center"/>
          </w:tcPr>
          <w:p w:rsidRPr="00704E80" w:rsidR="002472E5" w:rsidP="009B774E" w:rsidRDefault="002472E5" w14:paraId="4DCF20E7" w14:textId="77777777">
            <w:pPr>
              <w:keepNext/>
              <w:keepLines/>
              <w:rPr>
                <w:rFonts w:asciiTheme="majorBidi" w:hAnsiTheme="majorBidi" w:cstheme="majorBidi"/>
              </w:rPr>
            </w:pPr>
            <w:r w:rsidRPr="00704E80">
              <w:rPr>
                <w:rFonts w:asciiTheme="majorBidi" w:hAnsiTheme="majorBidi" w:cstheme="majorBidi"/>
                <w:sz w:val="22"/>
                <w:szCs w:val="22"/>
              </w:rPr>
              <w:t>Store/maintain data</w:t>
            </w:r>
          </w:p>
        </w:tc>
        <w:tc>
          <w:tcPr>
            <w:tcW w:w="630" w:type="pct"/>
            <w:shd w:val="clear" w:color="auto" w:fill="auto"/>
            <w:vAlign w:val="center"/>
          </w:tcPr>
          <w:p w:rsidRPr="00704E80" w:rsidR="002472E5" w:rsidP="009B774E" w:rsidRDefault="002472E5" w14:paraId="1E2E2818" w14:textId="77777777">
            <w:pPr>
              <w:keepNext/>
              <w:keepLines/>
              <w:jc w:val="center"/>
              <w:rPr>
                <w:rFonts w:asciiTheme="majorBidi" w:hAnsiTheme="majorBidi" w:cstheme="majorBidi"/>
              </w:rPr>
            </w:pPr>
            <w:r w:rsidRPr="00704E80">
              <w:rPr>
                <w:rFonts w:asciiTheme="majorBidi" w:hAnsiTheme="majorBidi" w:cstheme="majorBidi"/>
                <w:sz w:val="22"/>
                <w:szCs w:val="22"/>
              </w:rPr>
              <w:t>0</w:t>
            </w:r>
          </w:p>
        </w:tc>
        <w:tc>
          <w:tcPr>
            <w:tcW w:w="581" w:type="pct"/>
            <w:shd w:val="clear" w:color="auto" w:fill="auto"/>
            <w:vAlign w:val="center"/>
          </w:tcPr>
          <w:p w:rsidRPr="00704E80" w:rsidR="002472E5" w:rsidP="009B774E" w:rsidRDefault="002472E5" w14:paraId="6BC4E2F4" w14:textId="77777777">
            <w:pPr>
              <w:keepNext/>
              <w:keepLines/>
              <w:jc w:val="center"/>
              <w:rPr>
                <w:rFonts w:asciiTheme="majorBidi" w:hAnsiTheme="majorBidi" w:cstheme="majorBidi"/>
              </w:rPr>
            </w:pPr>
            <w:r w:rsidRPr="00704E80">
              <w:rPr>
                <w:rFonts w:asciiTheme="majorBidi" w:hAnsiTheme="majorBidi" w:cstheme="majorBidi"/>
                <w:sz w:val="22"/>
                <w:szCs w:val="22"/>
              </w:rPr>
              <w:t>0</w:t>
            </w:r>
          </w:p>
        </w:tc>
        <w:tc>
          <w:tcPr>
            <w:tcW w:w="579" w:type="pct"/>
            <w:shd w:val="clear" w:color="auto" w:fill="auto"/>
            <w:vAlign w:val="center"/>
          </w:tcPr>
          <w:p w:rsidRPr="00704E80" w:rsidR="002472E5" w:rsidP="009B774E" w:rsidRDefault="002472E5" w14:paraId="7B439A5B" w14:textId="77777777">
            <w:pPr>
              <w:keepNext/>
              <w:keepLines/>
              <w:jc w:val="center"/>
              <w:rPr>
                <w:rFonts w:asciiTheme="majorBidi" w:hAnsiTheme="majorBidi" w:cstheme="majorBidi"/>
              </w:rPr>
            </w:pPr>
            <w:r w:rsidRPr="00704E80">
              <w:rPr>
                <w:rFonts w:asciiTheme="majorBidi" w:hAnsiTheme="majorBidi" w:cstheme="majorBidi"/>
                <w:sz w:val="22"/>
                <w:szCs w:val="22"/>
              </w:rPr>
              <w:t>10</w:t>
            </w:r>
          </w:p>
        </w:tc>
        <w:tc>
          <w:tcPr>
            <w:tcW w:w="405" w:type="pct"/>
            <w:tcBorders>
              <w:top w:val="single" w:color="808080" w:themeColor="background1" w:themeShade="80" w:sz="4" w:space="0"/>
              <w:bottom w:val="single" w:color="808080" w:themeColor="background1" w:themeShade="80" w:sz="4" w:space="0"/>
            </w:tcBorders>
            <w:shd w:val="clear" w:color="auto" w:fill="auto"/>
            <w:vAlign w:val="center"/>
          </w:tcPr>
          <w:p w:rsidRPr="00704E80" w:rsidR="002472E5" w:rsidP="009B774E" w:rsidRDefault="002472E5" w14:paraId="6B858EAA" w14:textId="77777777">
            <w:pPr>
              <w:keepNext/>
              <w:keepLines/>
              <w:jc w:val="center"/>
              <w:rPr>
                <w:rFonts w:asciiTheme="majorBidi" w:hAnsiTheme="majorBidi" w:cstheme="majorBidi"/>
              </w:rPr>
            </w:pPr>
            <w:r w:rsidRPr="00704E80">
              <w:rPr>
                <w:rFonts w:asciiTheme="majorBidi" w:hAnsiTheme="majorBidi" w:cstheme="majorBidi"/>
                <w:sz w:val="22"/>
                <w:szCs w:val="22"/>
              </w:rPr>
              <w:t>10</w:t>
            </w:r>
          </w:p>
        </w:tc>
        <w:tc>
          <w:tcPr>
            <w:tcW w:w="503" w:type="pct"/>
            <w:tcBorders>
              <w:top w:val="single" w:color="808080" w:themeColor="background1" w:themeShade="80" w:sz="4" w:space="0"/>
              <w:bottom w:val="single" w:color="808080" w:themeColor="background1" w:themeShade="80" w:sz="4" w:space="0"/>
              <w:right w:val="double" w:color="808080" w:themeColor="background1" w:themeShade="80" w:sz="4" w:space="0"/>
            </w:tcBorders>
            <w:shd w:val="clear" w:color="auto" w:fill="auto"/>
            <w:vAlign w:val="center"/>
          </w:tcPr>
          <w:p w:rsidRPr="00704E80" w:rsidR="002472E5" w:rsidP="009B774E" w:rsidRDefault="00C5555A" w14:paraId="7DBF0877" w14:textId="11C4FA96">
            <w:pPr>
              <w:keepNext/>
              <w:keepLines/>
              <w:jc w:val="center"/>
              <w:rPr>
                <w:rFonts w:asciiTheme="majorBidi" w:hAnsiTheme="majorBidi" w:cstheme="majorBidi"/>
              </w:rPr>
            </w:pPr>
            <w:r w:rsidRPr="00704E80">
              <w:rPr>
                <w:sz w:val="22"/>
                <w:szCs w:val="22"/>
              </w:rPr>
              <w:t>$478</w:t>
            </w:r>
          </w:p>
        </w:tc>
      </w:tr>
      <w:tr w:rsidRPr="00704E80" w:rsidR="002472E5" w:rsidTr="009C2537" w14:paraId="5F671448" w14:textId="77777777">
        <w:trPr>
          <w:trHeight w:val="330"/>
        </w:trPr>
        <w:tc>
          <w:tcPr>
            <w:tcW w:w="2302" w:type="pct"/>
            <w:shd w:val="clear" w:color="auto" w:fill="auto"/>
            <w:vAlign w:val="center"/>
          </w:tcPr>
          <w:p w:rsidRPr="00704E80" w:rsidR="002472E5" w:rsidP="009B774E" w:rsidRDefault="002472E5" w14:paraId="4E083F79" w14:textId="1081F09E">
            <w:pPr>
              <w:keepNext/>
              <w:keepLines/>
              <w:rPr>
                <w:rFonts w:asciiTheme="majorBidi" w:hAnsiTheme="majorBidi" w:cstheme="majorBidi"/>
                <w:sz w:val="22"/>
                <w:szCs w:val="22"/>
              </w:rPr>
            </w:pPr>
            <w:r w:rsidRPr="00704E80">
              <w:rPr>
                <w:rFonts w:asciiTheme="majorBidi" w:hAnsiTheme="majorBidi" w:cstheme="majorBidi"/>
                <w:sz w:val="22"/>
                <w:szCs w:val="22"/>
              </w:rPr>
              <w:t>Third party disclosure</w:t>
            </w:r>
          </w:p>
        </w:tc>
        <w:tc>
          <w:tcPr>
            <w:tcW w:w="630" w:type="pct"/>
            <w:shd w:val="clear" w:color="auto" w:fill="auto"/>
            <w:vAlign w:val="center"/>
          </w:tcPr>
          <w:p w:rsidRPr="00704E80" w:rsidR="002472E5" w:rsidP="009B774E" w:rsidRDefault="002472E5" w14:paraId="2D77E996" w14:textId="77777777">
            <w:pPr>
              <w:keepNext/>
              <w:keepLines/>
              <w:jc w:val="center"/>
              <w:rPr>
                <w:rFonts w:asciiTheme="majorBidi" w:hAnsiTheme="majorBidi" w:cstheme="majorBidi"/>
                <w:sz w:val="22"/>
                <w:szCs w:val="22"/>
              </w:rPr>
            </w:pPr>
          </w:p>
        </w:tc>
        <w:tc>
          <w:tcPr>
            <w:tcW w:w="581" w:type="pct"/>
            <w:shd w:val="clear" w:color="auto" w:fill="auto"/>
            <w:vAlign w:val="center"/>
          </w:tcPr>
          <w:p w:rsidRPr="00704E80" w:rsidR="002472E5" w:rsidP="009B774E" w:rsidRDefault="002472E5" w14:paraId="6C48F728" w14:textId="77777777">
            <w:pPr>
              <w:keepNext/>
              <w:keepLines/>
              <w:jc w:val="center"/>
              <w:rPr>
                <w:rFonts w:asciiTheme="majorBidi" w:hAnsiTheme="majorBidi" w:cstheme="majorBidi"/>
                <w:sz w:val="22"/>
                <w:szCs w:val="22"/>
              </w:rPr>
            </w:pPr>
          </w:p>
        </w:tc>
        <w:tc>
          <w:tcPr>
            <w:tcW w:w="579" w:type="pct"/>
            <w:shd w:val="clear" w:color="auto" w:fill="auto"/>
            <w:vAlign w:val="center"/>
          </w:tcPr>
          <w:p w:rsidRPr="00704E80" w:rsidR="002472E5" w:rsidP="009B774E" w:rsidRDefault="002472E5" w14:paraId="463EA74D" w14:textId="77777777">
            <w:pPr>
              <w:keepNext/>
              <w:keepLines/>
              <w:jc w:val="center"/>
              <w:rPr>
                <w:rFonts w:asciiTheme="majorBidi" w:hAnsiTheme="majorBidi" w:cstheme="majorBidi"/>
                <w:sz w:val="22"/>
                <w:szCs w:val="22"/>
              </w:rPr>
            </w:pPr>
          </w:p>
        </w:tc>
        <w:tc>
          <w:tcPr>
            <w:tcW w:w="405" w:type="pct"/>
            <w:tcBorders>
              <w:top w:val="single" w:color="808080" w:themeColor="background1" w:themeShade="80" w:sz="4" w:space="0"/>
              <w:bottom w:val="double" w:color="808080" w:themeColor="background1" w:themeShade="80" w:sz="4" w:space="0"/>
            </w:tcBorders>
            <w:shd w:val="clear" w:color="auto" w:fill="auto"/>
            <w:vAlign w:val="center"/>
          </w:tcPr>
          <w:p w:rsidRPr="00704E80" w:rsidR="002472E5" w:rsidP="009B774E" w:rsidRDefault="002472E5" w14:paraId="6CA512DB" w14:textId="77777777">
            <w:pPr>
              <w:keepNext/>
              <w:keepLines/>
              <w:jc w:val="center"/>
              <w:rPr>
                <w:rFonts w:asciiTheme="majorBidi" w:hAnsiTheme="majorBidi" w:cstheme="majorBidi"/>
                <w:b/>
                <w:sz w:val="22"/>
                <w:szCs w:val="22"/>
              </w:rPr>
            </w:pPr>
          </w:p>
        </w:tc>
        <w:tc>
          <w:tcPr>
            <w:tcW w:w="503" w:type="pct"/>
            <w:tcBorders>
              <w:top w:val="single" w:color="808080" w:themeColor="background1" w:themeShade="80" w:sz="4" w:space="0"/>
              <w:bottom w:val="double" w:color="808080" w:themeColor="background1" w:themeShade="80" w:sz="4" w:space="0"/>
              <w:right w:val="double" w:color="808080" w:themeColor="background1" w:themeShade="80" w:sz="4" w:space="0"/>
            </w:tcBorders>
            <w:shd w:val="clear" w:color="auto" w:fill="auto"/>
            <w:vAlign w:val="center"/>
          </w:tcPr>
          <w:p w:rsidRPr="00704E80" w:rsidR="002472E5" w:rsidP="009B774E" w:rsidRDefault="002472E5" w14:paraId="13D14C41" w14:textId="28C75C74">
            <w:pPr>
              <w:keepNext/>
              <w:keepLines/>
              <w:jc w:val="center"/>
              <w:rPr>
                <w:rFonts w:asciiTheme="majorBidi" w:hAnsiTheme="majorBidi" w:cstheme="majorBidi"/>
                <w:b/>
                <w:sz w:val="22"/>
                <w:szCs w:val="22"/>
              </w:rPr>
            </w:pPr>
          </w:p>
        </w:tc>
      </w:tr>
      <w:tr w:rsidRPr="00704E80" w:rsidR="002472E5" w:rsidTr="009C2537" w14:paraId="510C076E" w14:textId="77777777">
        <w:trPr>
          <w:trHeight w:val="330"/>
        </w:trPr>
        <w:tc>
          <w:tcPr>
            <w:tcW w:w="2302" w:type="pct"/>
            <w:shd w:val="clear" w:color="auto" w:fill="auto"/>
            <w:vAlign w:val="center"/>
          </w:tcPr>
          <w:p w:rsidRPr="00704E80" w:rsidR="002472E5" w:rsidP="009B774E" w:rsidRDefault="002472E5" w14:paraId="42AC35E7" w14:textId="77777777">
            <w:pPr>
              <w:keepNext/>
              <w:keepLines/>
              <w:jc w:val="center"/>
              <w:rPr>
                <w:rFonts w:asciiTheme="majorBidi" w:hAnsiTheme="majorBidi" w:cstheme="majorBidi"/>
                <w:b/>
                <w:bCs/>
              </w:rPr>
            </w:pPr>
            <w:r w:rsidRPr="00704E80">
              <w:rPr>
                <w:rFonts w:asciiTheme="majorBidi" w:hAnsiTheme="majorBidi" w:cstheme="majorBidi"/>
                <w:b/>
                <w:bCs/>
                <w:sz w:val="22"/>
                <w:szCs w:val="22"/>
              </w:rPr>
              <w:t>TOTAL</w:t>
            </w:r>
          </w:p>
        </w:tc>
        <w:tc>
          <w:tcPr>
            <w:tcW w:w="630" w:type="pct"/>
            <w:shd w:val="clear" w:color="auto" w:fill="auto"/>
            <w:vAlign w:val="center"/>
          </w:tcPr>
          <w:p w:rsidRPr="00704E80" w:rsidR="002472E5" w:rsidP="009B774E" w:rsidRDefault="002472E5" w14:paraId="639CB0E3" w14:textId="77777777">
            <w:pPr>
              <w:keepNext/>
              <w:keepLines/>
              <w:jc w:val="center"/>
              <w:rPr>
                <w:rFonts w:asciiTheme="majorBidi" w:hAnsiTheme="majorBidi" w:cstheme="majorBidi"/>
              </w:rPr>
            </w:pPr>
            <w:r w:rsidRPr="00704E80">
              <w:rPr>
                <w:rFonts w:asciiTheme="majorBidi" w:hAnsiTheme="majorBidi" w:cstheme="majorBidi"/>
                <w:sz w:val="22"/>
                <w:szCs w:val="22"/>
              </w:rPr>
              <w:t>26</w:t>
            </w:r>
          </w:p>
        </w:tc>
        <w:tc>
          <w:tcPr>
            <w:tcW w:w="581" w:type="pct"/>
            <w:shd w:val="clear" w:color="auto" w:fill="auto"/>
            <w:vAlign w:val="center"/>
          </w:tcPr>
          <w:p w:rsidRPr="00704E80" w:rsidR="002472E5" w:rsidP="009B774E" w:rsidRDefault="002472E5" w14:paraId="0D3AE9BB" w14:textId="77777777">
            <w:pPr>
              <w:keepNext/>
              <w:keepLines/>
              <w:jc w:val="center"/>
              <w:rPr>
                <w:rFonts w:asciiTheme="majorBidi" w:hAnsiTheme="majorBidi" w:cstheme="majorBidi"/>
              </w:rPr>
            </w:pPr>
            <w:r w:rsidRPr="00704E80">
              <w:rPr>
                <w:rFonts w:asciiTheme="majorBidi" w:hAnsiTheme="majorBidi" w:cstheme="majorBidi"/>
                <w:sz w:val="22"/>
                <w:szCs w:val="22"/>
              </w:rPr>
              <w:t>128</w:t>
            </w:r>
          </w:p>
        </w:tc>
        <w:tc>
          <w:tcPr>
            <w:tcW w:w="579" w:type="pct"/>
            <w:shd w:val="clear" w:color="auto" w:fill="auto"/>
            <w:vAlign w:val="center"/>
          </w:tcPr>
          <w:p w:rsidRPr="00704E80" w:rsidR="002472E5" w:rsidP="009B774E" w:rsidRDefault="002472E5" w14:paraId="282568AD" w14:textId="77777777">
            <w:pPr>
              <w:keepNext/>
              <w:keepLines/>
              <w:jc w:val="center"/>
              <w:rPr>
                <w:rFonts w:asciiTheme="majorBidi" w:hAnsiTheme="majorBidi" w:cstheme="majorBidi"/>
              </w:rPr>
            </w:pPr>
            <w:r w:rsidRPr="00704E80">
              <w:rPr>
                <w:rFonts w:asciiTheme="majorBidi" w:hAnsiTheme="majorBidi" w:cstheme="majorBidi"/>
                <w:sz w:val="22"/>
                <w:szCs w:val="22"/>
              </w:rPr>
              <w:t>40</w:t>
            </w:r>
          </w:p>
        </w:tc>
        <w:tc>
          <w:tcPr>
            <w:tcW w:w="405" w:type="pct"/>
            <w:tcBorders>
              <w:top w:val="single" w:color="808080" w:themeColor="background1" w:themeShade="80" w:sz="4" w:space="0"/>
              <w:bottom w:val="double" w:color="808080" w:themeColor="background1" w:themeShade="80" w:sz="4" w:space="0"/>
            </w:tcBorders>
            <w:shd w:val="clear" w:color="auto" w:fill="auto"/>
            <w:vAlign w:val="center"/>
          </w:tcPr>
          <w:p w:rsidRPr="00704E80" w:rsidR="002472E5" w:rsidP="009B774E" w:rsidRDefault="002472E5" w14:paraId="3E2D8219" w14:textId="77777777">
            <w:pPr>
              <w:keepNext/>
              <w:keepLines/>
              <w:jc w:val="center"/>
              <w:rPr>
                <w:rFonts w:asciiTheme="majorBidi" w:hAnsiTheme="majorBidi" w:cstheme="majorBidi"/>
                <w:b/>
              </w:rPr>
            </w:pPr>
            <w:r w:rsidRPr="00704E80">
              <w:rPr>
                <w:rFonts w:asciiTheme="majorBidi" w:hAnsiTheme="majorBidi" w:cstheme="majorBidi"/>
                <w:b/>
                <w:sz w:val="22"/>
                <w:szCs w:val="22"/>
              </w:rPr>
              <w:t>194</w:t>
            </w:r>
          </w:p>
        </w:tc>
        <w:tc>
          <w:tcPr>
            <w:tcW w:w="503" w:type="pct"/>
            <w:tcBorders>
              <w:top w:val="single" w:color="808080" w:themeColor="background1" w:themeShade="80" w:sz="4" w:space="0"/>
              <w:bottom w:val="double" w:color="808080" w:themeColor="background1" w:themeShade="80" w:sz="4" w:space="0"/>
              <w:right w:val="double" w:color="808080" w:themeColor="background1" w:themeShade="80" w:sz="4" w:space="0"/>
            </w:tcBorders>
            <w:shd w:val="clear" w:color="auto" w:fill="auto"/>
            <w:vAlign w:val="center"/>
          </w:tcPr>
          <w:p w:rsidRPr="00D20DE4" w:rsidR="002472E5" w:rsidP="009B774E" w:rsidRDefault="00C5555A" w14:paraId="72E4DD55" w14:textId="4CCE170C">
            <w:pPr>
              <w:keepNext/>
              <w:keepLines/>
              <w:jc w:val="center"/>
              <w:rPr>
                <w:rFonts w:asciiTheme="majorBidi" w:hAnsiTheme="majorBidi" w:cstheme="majorBidi"/>
                <w:b/>
              </w:rPr>
            </w:pPr>
            <w:r w:rsidRPr="00D20DE4">
              <w:rPr>
                <w:b/>
                <w:sz w:val="22"/>
                <w:szCs w:val="22"/>
              </w:rPr>
              <w:t>$15,230</w:t>
            </w:r>
          </w:p>
        </w:tc>
      </w:tr>
    </w:tbl>
    <w:p w:rsidR="005459DF" w:rsidP="009B774E" w:rsidRDefault="005459DF" w14:paraId="5D10A506" w14:textId="77777777">
      <w:pPr>
        <w:rPr>
          <w:rFonts w:asciiTheme="majorBidi" w:hAnsiTheme="majorBidi" w:cstheme="majorBidi"/>
          <w:sz w:val="20"/>
        </w:rPr>
      </w:pPr>
      <w:r>
        <w:rPr>
          <w:rFonts w:asciiTheme="majorBidi" w:hAnsiTheme="majorBidi" w:cstheme="majorBidi"/>
          <w:sz w:val="20"/>
        </w:rPr>
        <w:t>*Numbers may not sum due to rounding.</w:t>
      </w:r>
    </w:p>
    <w:p w:rsidRPr="00704E80" w:rsidR="008253DD" w:rsidP="009B774E" w:rsidRDefault="008253DD" w14:paraId="5585E30C" w14:textId="77777777">
      <w:pPr>
        <w:rPr>
          <w:rFonts w:asciiTheme="majorBidi" w:hAnsiTheme="majorBidi" w:cstheme="majorBidi"/>
          <w:b/>
        </w:rPr>
      </w:pPr>
    </w:p>
    <w:p w:rsidRPr="00704E80" w:rsidR="008253DD" w:rsidP="009B774E" w:rsidRDefault="008253DD" w14:paraId="0C642645" w14:textId="77777777">
      <w:pPr>
        <w:rPr>
          <w:rFonts w:asciiTheme="majorBidi" w:hAnsiTheme="majorBidi" w:cstheme="majorBidi"/>
          <w:b/>
        </w:rPr>
      </w:pPr>
    </w:p>
    <w:p w:rsidRPr="00476D46" w:rsidR="008253DD" w:rsidP="009B774E" w:rsidRDefault="008253DD" w14:paraId="791CCF8C" w14:textId="2CEF0A9B">
      <w:pPr>
        <w:rPr>
          <w:rFonts w:asciiTheme="majorBidi" w:hAnsiTheme="majorBidi" w:cstheme="majorBidi"/>
        </w:rPr>
      </w:pPr>
      <w:r w:rsidRPr="00704E80">
        <w:rPr>
          <w:rFonts w:asciiTheme="majorBidi" w:hAnsiTheme="majorBidi" w:cstheme="majorBidi"/>
        </w:rPr>
        <w:tab/>
      </w:r>
      <w:r w:rsidRPr="00476D46">
        <w:rPr>
          <w:rFonts w:asciiTheme="majorBidi" w:hAnsiTheme="majorBidi" w:cstheme="majorBidi"/>
        </w:rPr>
        <w:t>Table 3-B presents the total annual burden hours and costs by division for “Type A” registration applications.</w:t>
      </w:r>
      <w:r w:rsidRPr="00476D46" w:rsidR="007841AD">
        <w:rPr>
          <w:rFonts w:asciiTheme="majorBidi" w:hAnsiTheme="majorBidi" w:cstheme="majorBidi"/>
        </w:rPr>
        <w:t xml:space="preserve"> </w:t>
      </w:r>
      <w:r w:rsidRPr="00476D46">
        <w:rPr>
          <w:rFonts w:asciiTheme="majorBidi" w:hAnsiTheme="majorBidi" w:cstheme="majorBidi"/>
        </w:rPr>
        <w:t xml:space="preserve">Registrants spend a total of </w:t>
      </w:r>
      <w:r w:rsidRPr="00476D46" w:rsidR="000C258B">
        <w:rPr>
          <w:rFonts w:asciiTheme="majorBidi" w:hAnsiTheme="majorBidi" w:cstheme="majorBidi"/>
        </w:rPr>
        <w:t>2,134</w:t>
      </w:r>
      <w:r w:rsidRPr="00476D46">
        <w:rPr>
          <w:rFonts w:asciiTheme="majorBidi" w:hAnsiTheme="majorBidi" w:cstheme="majorBidi"/>
        </w:rPr>
        <w:t xml:space="preserve"> burden hours at a cost of $</w:t>
      </w:r>
      <w:r w:rsidRPr="00476D46" w:rsidR="000C258B">
        <w:rPr>
          <w:rFonts w:asciiTheme="majorBidi" w:hAnsiTheme="majorBidi" w:cstheme="majorBidi"/>
        </w:rPr>
        <w:t>16</w:t>
      </w:r>
      <w:r w:rsidRPr="00476D46" w:rsidR="005B037A">
        <w:rPr>
          <w:rFonts w:asciiTheme="majorBidi" w:hAnsiTheme="majorBidi" w:cstheme="majorBidi"/>
        </w:rPr>
        <w:t>8</w:t>
      </w:r>
      <w:r w:rsidRPr="00476D46">
        <w:rPr>
          <w:rFonts w:asciiTheme="majorBidi" w:hAnsiTheme="majorBidi" w:cstheme="majorBidi"/>
        </w:rPr>
        <w:t xml:space="preserve"> thousand to prepare and submit “Type A” applications to the Antimicrobial Division, </w:t>
      </w:r>
      <w:r w:rsidRPr="00476D46" w:rsidR="000C258B">
        <w:rPr>
          <w:rFonts w:asciiTheme="majorBidi" w:hAnsiTheme="majorBidi" w:cstheme="majorBidi"/>
        </w:rPr>
        <w:t>4,</w:t>
      </w:r>
      <w:r w:rsidRPr="00476D46" w:rsidR="00205E3D">
        <w:rPr>
          <w:rFonts w:asciiTheme="majorBidi" w:hAnsiTheme="majorBidi" w:cstheme="majorBidi"/>
        </w:rPr>
        <w:t>462</w:t>
      </w:r>
      <w:r w:rsidRPr="00476D46">
        <w:rPr>
          <w:rFonts w:asciiTheme="majorBidi" w:hAnsiTheme="majorBidi" w:cstheme="majorBidi"/>
        </w:rPr>
        <w:t xml:space="preserve"> burden hours at a cost of $</w:t>
      </w:r>
      <w:r w:rsidRPr="00476D46" w:rsidR="000C258B">
        <w:rPr>
          <w:rFonts w:asciiTheme="majorBidi" w:hAnsiTheme="majorBidi" w:cstheme="majorBidi"/>
        </w:rPr>
        <w:t>3</w:t>
      </w:r>
      <w:r w:rsidRPr="00476D46" w:rsidR="005F77A0">
        <w:rPr>
          <w:rFonts w:asciiTheme="majorBidi" w:hAnsiTheme="majorBidi" w:cstheme="majorBidi"/>
        </w:rPr>
        <w:t>50</w:t>
      </w:r>
      <w:r w:rsidRPr="00476D46">
        <w:rPr>
          <w:rFonts w:asciiTheme="majorBidi" w:hAnsiTheme="majorBidi" w:cstheme="majorBidi"/>
        </w:rPr>
        <w:t xml:space="preserve"> thousand to prepare and submit “Type A” applications to the Biopesticides and Pollution Prevention Division, and </w:t>
      </w:r>
      <w:r w:rsidRPr="00476D46" w:rsidR="000C258B">
        <w:rPr>
          <w:rFonts w:asciiTheme="majorBidi" w:hAnsiTheme="majorBidi" w:cstheme="majorBidi"/>
        </w:rPr>
        <w:t>3</w:t>
      </w:r>
      <w:r w:rsidRPr="00476D46" w:rsidR="00BB3F3B">
        <w:rPr>
          <w:rFonts w:asciiTheme="majorBidi" w:hAnsiTheme="majorBidi" w:cstheme="majorBidi"/>
        </w:rPr>
        <w:t>4,726</w:t>
      </w:r>
      <w:r w:rsidRPr="00476D46">
        <w:rPr>
          <w:rFonts w:asciiTheme="majorBidi" w:hAnsiTheme="majorBidi" w:cstheme="majorBidi"/>
        </w:rPr>
        <w:t xml:space="preserve"> hours at a cost of $</w:t>
      </w:r>
      <w:r w:rsidRPr="00476D46" w:rsidR="000C258B">
        <w:rPr>
          <w:rFonts w:asciiTheme="majorBidi" w:hAnsiTheme="majorBidi" w:cstheme="majorBidi"/>
        </w:rPr>
        <w:t>2.</w:t>
      </w:r>
      <w:r w:rsidRPr="00476D46" w:rsidR="00BB3F3B">
        <w:rPr>
          <w:rFonts w:asciiTheme="majorBidi" w:hAnsiTheme="majorBidi" w:cstheme="majorBidi"/>
        </w:rPr>
        <w:t>726</w:t>
      </w:r>
      <w:r w:rsidRPr="00476D46">
        <w:rPr>
          <w:rFonts w:asciiTheme="majorBidi" w:hAnsiTheme="majorBidi" w:cstheme="majorBidi"/>
        </w:rPr>
        <w:t xml:space="preserve"> million to prepare and submit “Type A” applications to the Registration Division.</w:t>
      </w:r>
      <w:r w:rsidRPr="00476D46" w:rsidR="007841AD">
        <w:rPr>
          <w:rFonts w:asciiTheme="majorBidi" w:hAnsiTheme="majorBidi" w:cstheme="majorBidi"/>
        </w:rPr>
        <w:t xml:space="preserve"> </w:t>
      </w:r>
      <w:r w:rsidRPr="00476D46">
        <w:rPr>
          <w:rFonts w:asciiTheme="majorBidi" w:hAnsiTheme="majorBidi" w:cstheme="majorBidi"/>
        </w:rPr>
        <w:t>The total paperwork burden and cost associated with preparing and submitting “Type A” registration applications to EPA is estimated at $</w:t>
      </w:r>
      <w:r w:rsidRPr="00476D46" w:rsidR="000C258B">
        <w:rPr>
          <w:rFonts w:asciiTheme="majorBidi" w:hAnsiTheme="majorBidi" w:cstheme="majorBidi"/>
        </w:rPr>
        <w:t>3.</w:t>
      </w:r>
      <w:r w:rsidRPr="00476D46" w:rsidR="00BB3F3B">
        <w:rPr>
          <w:rFonts w:asciiTheme="majorBidi" w:hAnsiTheme="majorBidi" w:cstheme="majorBidi"/>
        </w:rPr>
        <w:t>2</w:t>
      </w:r>
      <w:r w:rsidRPr="00476D46" w:rsidR="00205E3D">
        <w:rPr>
          <w:rFonts w:asciiTheme="majorBidi" w:hAnsiTheme="majorBidi" w:cstheme="majorBidi"/>
        </w:rPr>
        <w:t>44</w:t>
      </w:r>
      <w:r w:rsidRPr="00476D46">
        <w:rPr>
          <w:rFonts w:asciiTheme="majorBidi" w:hAnsiTheme="majorBidi" w:cstheme="majorBidi"/>
        </w:rPr>
        <w:t xml:space="preserve"> million per year.</w:t>
      </w:r>
    </w:p>
    <w:p w:rsidRPr="00476D46" w:rsidR="00F204D4" w:rsidP="009B774E" w:rsidRDefault="00F204D4" w14:paraId="1BD469C8" w14:textId="77777777">
      <w:pPr>
        <w:rPr>
          <w:rFonts w:asciiTheme="majorBidi" w:hAnsiTheme="majorBidi" w:cstheme="majorBidi"/>
        </w:rPr>
      </w:pPr>
    </w:p>
    <w:p w:rsidRPr="00476D46" w:rsidR="00AE6B69" w:rsidP="009B774E" w:rsidRDefault="00AE6B69" w14:paraId="34969888" w14:textId="77777777">
      <w:pPr>
        <w:rPr>
          <w:rFonts w:asciiTheme="majorBidi" w:hAnsiTheme="majorBidi" w:cstheme="majorBidi"/>
          <w:b/>
          <w:sz w:val="22"/>
          <w:szCs w:val="22"/>
        </w:rPr>
      </w:pPr>
    </w:p>
    <w:p w:rsidRPr="00476D46" w:rsidR="008253DD" w:rsidP="009B774E" w:rsidRDefault="008253DD" w14:paraId="2FBB35BA" w14:textId="3B728CF6">
      <w:pPr>
        <w:rPr>
          <w:rFonts w:asciiTheme="majorBidi" w:hAnsiTheme="majorBidi" w:cstheme="majorBidi"/>
          <w:b/>
        </w:rPr>
      </w:pPr>
      <w:r w:rsidRPr="00476D46">
        <w:rPr>
          <w:rFonts w:asciiTheme="majorBidi" w:hAnsiTheme="majorBidi" w:cstheme="majorBidi"/>
          <w:b/>
          <w:sz w:val="22"/>
          <w:szCs w:val="22"/>
        </w:rPr>
        <w:t xml:space="preserve">Table 3-B: Total Annual Burden and Cost by Division for "Type A" </w:t>
      </w:r>
      <w:r w:rsidRPr="00476D46" w:rsidR="004F1F2A">
        <w:rPr>
          <w:rFonts w:asciiTheme="majorBidi" w:hAnsiTheme="majorBidi" w:cstheme="majorBidi"/>
          <w:b/>
          <w:sz w:val="22"/>
          <w:szCs w:val="22"/>
        </w:rPr>
        <w:t xml:space="preserve">Registration </w:t>
      </w:r>
      <w:r w:rsidRPr="00476D46">
        <w:rPr>
          <w:rFonts w:asciiTheme="majorBidi" w:hAnsiTheme="majorBidi" w:cstheme="majorBidi"/>
          <w:b/>
          <w:sz w:val="22"/>
          <w:szCs w:val="22"/>
        </w:rPr>
        <w:t>Applications</w:t>
      </w:r>
      <w:r w:rsidRPr="00476D46">
        <w:rPr>
          <w:rFonts w:asciiTheme="majorBidi" w:hAnsiTheme="majorBidi" w:cstheme="majorBidi"/>
          <w:b/>
          <w:sz w:val="22"/>
          <w:szCs w:val="22"/>
          <w:vertAlign w:val="superscript"/>
        </w:rPr>
        <w:t xml:space="preserve"> 1</w:t>
      </w:r>
    </w:p>
    <w:tbl>
      <w:tblPr>
        <w:tblW w:w="0" w:type="auto"/>
        <w:tblLayout w:type="fixed"/>
        <w:tblLook w:val="04A0" w:firstRow="1" w:lastRow="0" w:firstColumn="1" w:lastColumn="0" w:noHBand="0" w:noVBand="1"/>
      </w:tblPr>
      <w:tblGrid>
        <w:gridCol w:w="1327"/>
        <w:gridCol w:w="720"/>
        <w:gridCol w:w="1080"/>
        <w:gridCol w:w="810"/>
        <w:gridCol w:w="1080"/>
        <w:gridCol w:w="900"/>
        <w:gridCol w:w="1260"/>
        <w:gridCol w:w="900"/>
        <w:gridCol w:w="1237"/>
      </w:tblGrid>
      <w:tr w:rsidRPr="00476D46" w:rsidR="00C270C5" w:rsidTr="0096265D" w14:paraId="62171958" w14:textId="77777777">
        <w:trPr>
          <w:trHeight w:val="300"/>
        </w:trPr>
        <w:tc>
          <w:tcPr>
            <w:tcW w:w="1327" w:type="dxa"/>
            <w:vMerge w:val="restart"/>
            <w:tcBorders>
              <w:top w:val="double" w:color="808080" w:sz="6" w:space="0"/>
              <w:left w:val="double" w:color="808080" w:sz="6" w:space="0"/>
              <w:bottom w:val="single" w:color="808080" w:sz="4" w:space="0"/>
              <w:right w:val="single" w:color="808080" w:sz="4" w:space="0"/>
            </w:tcBorders>
            <w:shd w:val="clear" w:color="auto" w:fill="auto"/>
            <w:noWrap/>
            <w:vAlign w:val="center"/>
            <w:hideMark/>
          </w:tcPr>
          <w:p w:rsidRPr="00476D46" w:rsidR="008253DD" w:rsidP="009B774E" w:rsidRDefault="008253DD" w14:paraId="3C08E4AE" w14:textId="77777777">
            <w:pPr>
              <w:rPr>
                <w:rFonts w:asciiTheme="majorBidi" w:hAnsiTheme="majorBidi" w:cstheme="majorBidi"/>
                <w:b/>
                <w:sz w:val="22"/>
                <w:szCs w:val="22"/>
                <w:vertAlign w:val="superscript"/>
              </w:rPr>
            </w:pPr>
            <w:r w:rsidRPr="00476D46">
              <w:rPr>
                <w:rFonts w:asciiTheme="majorBidi" w:hAnsiTheme="majorBidi" w:cstheme="majorBidi"/>
                <w:b/>
                <w:sz w:val="22"/>
                <w:szCs w:val="22"/>
              </w:rPr>
              <w:t>Labor Category</w:t>
            </w:r>
            <w:r w:rsidRPr="00476D46">
              <w:rPr>
                <w:rFonts w:asciiTheme="majorBidi" w:hAnsiTheme="majorBidi" w:cstheme="majorBidi"/>
                <w:b/>
                <w:sz w:val="22"/>
                <w:szCs w:val="22"/>
                <w:vertAlign w:val="superscript"/>
              </w:rPr>
              <w:t xml:space="preserve"> 2</w:t>
            </w:r>
          </w:p>
        </w:tc>
        <w:tc>
          <w:tcPr>
            <w:tcW w:w="1800" w:type="dxa"/>
            <w:gridSpan w:val="2"/>
            <w:tcBorders>
              <w:top w:val="double" w:color="808080" w:sz="6" w:space="0"/>
              <w:left w:val="nil"/>
              <w:bottom w:val="single" w:color="808080" w:sz="4" w:space="0"/>
              <w:right w:val="single" w:color="808080" w:sz="4" w:space="0"/>
            </w:tcBorders>
            <w:shd w:val="clear" w:color="auto" w:fill="auto"/>
            <w:noWrap/>
            <w:vAlign w:val="center"/>
            <w:hideMark/>
          </w:tcPr>
          <w:p w:rsidRPr="00476D46" w:rsidR="008253DD" w:rsidP="009B774E" w:rsidRDefault="008253DD" w14:paraId="3C39C552" w14:textId="77777777">
            <w:pPr>
              <w:jc w:val="center"/>
              <w:rPr>
                <w:rFonts w:asciiTheme="majorBidi" w:hAnsiTheme="majorBidi" w:cstheme="majorBidi"/>
                <w:b/>
                <w:sz w:val="22"/>
                <w:szCs w:val="22"/>
              </w:rPr>
            </w:pPr>
            <w:r w:rsidRPr="00476D46">
              <w:rPr>
                <w:rFonts w:asciiTheme="majorBidi" w:hAnsiTheme="majorBidi" w:cstheme="majorBidi"/>
                <w:b/>
                <w:sz w:val="22"/>
                <w:szCs w:val="22"/>
              </w:rPr>
              <w:t>AD</w:t>
            </w:r>
          </w:p>
        </w:tc>
        <w:tc>
          <w:tcPr>
            <w:tcW w:w="1890" w:type="dxa"/>
            <w:gridSpan w:val="2"/>
            <w:tcBorders>
              <w:top w:val="double" w:color="808080" w:sz="6" w:space="0"/>
              <w:left w:val="nil"/>
              <w:bottom w:val="single" w:color="808080" w:sz="4" w:space="0"/>
              <w:right w:val="single" w:color="808080" w:sz="4" w:space="0"/>
            </w:tcBorders>
            <w:shd w:val="clear" w:color="auto" w:fill="auto"/>
            <w:noWrap/>
            <w:vAlign w:val="center"/>
            <w:hideMark/>
          </w:tcPr>
          <w:p w:rsidRPr="00476D46" w:rsidR="008253DD" w:rsidP="009B774E" w:rsidRDefault="008253DD" w14:paraId="0F53BA07" w14:textId="77777777">
            <w:pPr>
              <w:jc w:val="center"/>
              <w:rPr>
                <w:rFonts w:asciiTheme="majorBidi" w:hAnsiTheme="majorBidi" w:cstheme="majorBidi"/>
                <w:b/>
                <w:sz w:val="22"/>
                <w:szCs w:val="22"/>
              </w:rPr>
            </w:pPr>
            <w:r w:rsidRPr="00476D46">
              <w:rPr>
                <w:rFonts w:asciiTheme="majorBidi" w:hAnsiTheme="majorBidi" w:cstheme="majorBidi"/>
                <w:b/>
                <w:sz w:val="22"/>
                <w:szCs w:val="22"/>
              </w:rPr>
              <w:t>BPPD</w:t>
            </w:r>
          </w:p>
        </w:tc>
        <w:tc>
          <w:tcPr>
            <w:tcW w:w="2160" w:type="dxa"/>
            <w:gridSpan w:val="2"/>
            <w:tcBorders>
              <w:top w:val="double" w:color="808080" w:sz="6" w:space="0"/>
              <w:left w:val="nil"/>
              <w:bottom w:val="single" w:color="808080" w:sz="4" w:space="0"/>
              <w:right w:val="single" w:color="808080" w:sz="4" w:space="0"/>
            </w:tcBorders>
            <w:shd w:val="clear" w:color="auto" w:fill="auto"/>
            <w:noWrap/>
            <w:vAlign w:val="center"/>
            <w:hideMark/>
          </w:tcPr>
          <w:p w:rsidRPr="00476D46" w:rsidR="008253DD" w:rsidP="009B774E" w:rsidRDefault="008253DD" w14:paraId="1A144CDA" w14:textId="77777777">
            <w:pPr>
              <w:jc w:val="center"/>
              <w:rPr>
                <w:rFonts w:asciiTheme="majorBidi" w:hAnsiTheme="majorBidi" w:cstheme="majorBidi"/>
                <w:b/>
                <w:sz w:val="22"/>
                <w:szCs w:val="22"/>
              </w:rPr>
            </w:pPr>
            <w:r w:rsidRPr="00476D46">
              <w:rPr>
                <w:rFonts w:asciiTheme="majorBidi" w:hAnsiTheme="majorBidi" w:cstheme="majorBidi"/>
                <w:b/>
                <w:sz w:val="22"/>
                <w:szCs w:val="22"/>
              </w:rPr>
              <w:t>RD</w:t>
            </w:r>
          </w:p>
        </w:tc>
        <w:tc>
          <w:tcPr>
            <w:tcW w:w="2137" w:type="dxa"/>
            <w:gridSpan w:val="2"/>
            <w:tcBorders>
              <w:top w:val="double" w:color="808080" w:sz="6" w:space="0"/>
              <w:left w:val="nil"/>
              <w:bottom w:val="single" w:color="808080" w:sz="4" w:space="0"/>
              <w:right w:val="double" w:color="808080" w:sz="6" w:space="0"/>
            </w:tcBorders>
            <w:shd w:val="clear" w:color="auto" w:fill="auto"/>
            <w:noWrap/>
            <w:hideMark/>
          </w:tcPr>
          <w:p w:rsidRPr="00476D46" w:rsidR="008253DD" w:rsidP="009B774E" w:rsidRDefault="008253DD" w14:paraId="17D5046A" w14:textId="77777777">
            <w:pPr>
              <w:jc w:val="center"/>
              <w:rPr>
                <w:rFonts w:asciiTheme="majorBidi" w:hAnsiTheme="majorBidi" w:cstheme="majorBidi"/>
                <w:b/>
                <w:sz w:val="22"/>
                <w:szCs w:val="22"/>
              </w:rPr>
            </w:pPr>
            <w:r w:rsidRPr="00476D46">
              <w:rPr>
                <w:rFonts w:asciiTheme="majorBidi" w:hAnsiTheme="majorBidi" w:cstheme="majorBidi"/>
                <w:b/>
                <w:sz w:val="22"/>
                <w:szCs w:val="22"/>
              </w:rPr>
              <w:t>Total</w:t>
            </w:r>
          </w:p>
        </w:tc>
      </w:tr>
      <w:tr w:rsidRPr="00476D46" w:rsidR="00C270C5" w:rsidTr="0096265D" w14:paraId="6C4EDD74" w14:textId="77777777">
        <w:trPr>
          <w:trHeight w:val="285"/>
        </w:trPr>
        <w:tc>
          <w:tcPr>
            <w:tcW w:w="1327" w:type="dxa"/>
            <w:vMerge/>
            <w:tcBorders>
              <w:top w:val="double" w:color="808080" w:sz="6" w:space="0"/>
              <w:left w:val="double" w:color="808080" w:sz="6" w:space="0"/>
              <w:bottom w:val="single" w:color="808080" w:sz="4" w:space="0"/>
              <w:right w:val="single" w:color="808080" w:sz="4" w:space="0"/>
            </w:tcBorders>
            <w:shd w:val="clear" w:color="auto" w:fill="auto"/>
            <w:vAlign w:val="center"/>
            <w:hideMark/>
          </w:tcPr>
          <w:p w:rsidRPr="00476D46" w:rsidR="008253DD" w:rsidP="009B774E" w:rsidRDefault="008253DD" w14:paraId="2B341FB5" w14:textId="77777777">
            <w:pPr>
              <w:rPr>
                <w:rFonts w:asciiTheme="majorBidi" w:hAnsiTheme="majorBidi" w:cstheme="majorBidi"/>
                <w:sz w:val="22"/>
                <w:szCs w:val="22"/>
              </w:rPr>
            </w:pPr>
          </w:p>
        </w:tc>
        <w:tc>
          <w:tcPr>
            <w:tcW w:w="720" w:type="dxa"/>
            <w:tcBorders>
              <w:top w:val="nil"/>
              <w:left w:val="nil"/>
              <w:bottom w:val="single" w:color="808080" w:sz="4" w:space="0"/>
              <w:right w:val="single" w:color="808080" w:sz="4" w:space="0"/>
            </w:tcBorders>
            <w:shd w:val="clear" w:color="auto" w:fill="auto"/>
            <w:noWrap/>
            <w:vAlign w:val="center"/>
            <w:hideMark/>
          </w:tcPr>
          <w:p w:rsidRPr="00476D46" w:rsidR="008253DD" w:rsidP="009B774E" w:rsidRDefault="008253DD" w14:paraId="09B13B53" w14:textId="7CC62870">
            <w:pPr>
              <w:jc w:val="center"/>
              <w:rPr>
                <w:rFonts w:asciiTheme="majorBidi" w:hAnsiTheme="majorBidi" w:cstheme="majorBidi"/>
                <w:b/>
                <w:sz w:val="22"/>
                <w:szCs w:val="22"/>
              </w:rPr>
            </w:pPr>
            <w:r w:rsidRPr="00476D46">
              <w:rPr>
                <w:rFonts w:asciiTheme="majorBidi" w:hAnsiTheme="majorBidi" w:cstheme="majorBidi"/>
                <w:b/>
                <w:sz w:val="22"/>
                <w:szCs w:val="22"/>
              </w:rPr>
              <w:t>Hrs</w:t>
            </w:r>
            <w:r w:rsidRPr="00476D46" w:rsidR="007D140D">
              <w:rPr>
                <w:rFonts w:asciiTheme="majorBidi" w:hAnsiTheme="majorBidi" w:cstheme="majorBidi"/>
                <w:b/>
                <w:sz w:val="22"/>
                <w:szCs w:val="22"/>
              </w:rPr>
              <w:t>.</w:t>
            </w:r>
          </w:p>
        </w:tc>
        <w:tc>
          <w:tcPr>
            <w:tcW w:w="1080" w:type="dxa"/>
            <w:tcBorders>
              <w:top w:val="nil"/>
              <w:left w:val="nil"/>
              <w:bottom w:val="single" w:color="808080" w:sz="4" w:space="0"/>
              <w:right w:val="single" w:color="808080" w:sz="4" w:space="0"/>
            </w:tcBorders>
            <w:shd w:val="clear" w:color="auto" w:fill="auto"/>
            <w:noWrap/>
            <w:vAlign w:val="center"/>
            <w:hideMark/>
          </w:tcPr>
          <w:p w:rsidRPr="00476D46" w:rsidR="008253DD" w:rsidP="009B774E" w:rsidRDefault="008253DD" w14:paraId="6F3D8716" w14:textId="77777777">
            <w:pPr>
              <w:jc w:val="center"/>
              <w:rPr>
                <w:rFonts w:asciiTheme="majorBidi" w:hAnsiTheme="majorBidi" w:cstheme="majorBidi"/>
                <w:b/>
                <w:sz w:val="22"/>
                <w:szCs w:val="22"/>
              </w:rPr>
            </w:pPr>
            <w:r w:rsidRPr="00476D46">
              <w:rPr>
                <w:rFonts w:asciiTheme="majorBidi" w:hAnsiTheme="majorBidi" w:cstheme="majorBidi"/>
                <w:b/>
                <w:sz w:val="22"/>
                <w:szCs w:val="22"/>
              </w:rPr>
              <w:t>Cost</w:t>
            </w:r>
          </w:p>
        </w:tc>
        <w:tc>
          <w:tcPr>
            <w:tcW w:w="810" w:type="dxa"/>
            <w:tcBorders>
              <w:top w:val="nil"/>
              <w:left w:val="nil"/>
              <w:bottom w:val="single" w:color="808080" w:sz="4" w:space="0"/>
              <w:right w:val="single" w:color="808080" w:sz="4" w:space="0"/>
            </w:tcBorders>
            <w:shd w:val="clear" w:color="auto" w:fill="auto"/>
            <w:noWrap/>
            <w:vAlign w:val="center"/>
            <w:hideMark/>
          </w:tcPr>
          <w:p w:rsidRPr="00476D46" w:rsidR="008253DD" w:rsidP="009B774E" w:rsidRDefault="008253DD" w14:paraId="26745014" w14:textId="2B692BE8">
            <w:pPr>
              <w:jc w:val="center"/>
              <w:rPr>
                <w:rFonts w:asciiTheme="majorBidi" w:hAnsiTheme="majorBidi" w:cstheme="majorBidi"/>
                <w:b/>
                <w:sz w:val="22"/>
                <w:szCs w:val="22"/>
              </w:rPr>
            </w:pPr>
            <w:r w:rsidRPr="00476D46">
              <w:rPr>
                <w:rFonts w:asciiTheme="majorBidi" w:hAnsiTheme="majorBidi" w:cstheme="majorBidi"/>
                <w:b/>
                <w:sz w:val="22"/>
                <w:szCs w:val="22"/>
              </w:rPr>
              <w:t>Hrs</w:t>
            </w:r>
            <w:r w:rsidRPr="00476D46" w:rsidR="007D140D">
              <w:rPr>
                <w:rFonts w:asciiTheme="majorBidi" w:hAnsiTheme="majorBidi" w:cstheme="majorBidi"/>
                <w:b/>
                <w:sz w:val="22"/>
                <w:szCs w:val="22"/>
              </w:rPr>
              <w:t>.</w:t>
            </w:r>
          </w:p>
        </w:tc>
        <w:tc>
          <w:tcPr>
            <w:tcW w:w="1080" w:type="dxa"/>
            <w:tcBorders>
              <w:top w:val="nil"/>
              <w:left w:val="nil"/>
              <w:bottom w:val="single" w:color="808080" w:sz="4" w:space="0"/>
              <w:right w:val="single" w:color="808080" w:sz="4" w:space="0"/>
            </w:tcBorders>
            <w:shd w:val="clear" w:color="auto" w:fill="auto"/>
            <w:noWrap/>
            <w:vAlign w:val="center"/>
            <w:hideMark/>
          </w:tcPr>
          <w:p w:rsidRPr="00476D46" w:rsidR="008253DD" w:rsidP="009B774E" w:rsidRDefault="008253DD" w14:paraId="5730D71F" w14:textId="77777777">
            <w:pPr>
              <w:jc w:val="center"/>
              <w:rPr>
                <w:rFonts w:asciiTheme="majorBidi" w:hAnsiTheme="majorBidi" w:cstheme="majorBidi"/>
                <w:b/>
                <w:sz w:val="22"/>
                <w:szCs w:val="22"/>
              </w:rPr>
            </w:pPr>
            <w:r w:rsidRPr="00476D46">
              <w:rPr>
                <w:rFonts w:asciiTheme="majorBidi" w:hAnsiTheme="majorBidi" w:cstheme="majorBidi"/>
                <w:b/>
                <w:sz w:val="22"/>
                <w:szCs w:val="22"/>
              </w:rPr>
              <w:t>Cost</w:t>
            </w:r>
          </w:p>
        </w:tc>
        <w:tc>
          <w:tcPr>
            <w:tcW w:w="900" w:type="dxa"/>
            <w:tcBorders>
              <w:top w:val="nil"/>
              <w:left w:val="nil"/>
              <w:bottom w:val="single" w:color="808080" w:sz="4" w:space="0"/>
              <w:right w:val="single" w:color="808080" w:sz="4" w:space="0"/>
            </w:tcBorders>
            <w:shd w:val="clear" w:color="auto" w:fill="auto"/>
            <w:noWrap/>
            <w:vAlign w:val="center"/>
            <w:hideMark/>
          </w:tcPr>
          <w:p w:rsidRPr="00476D46" w:rsidR="008253DD" w:rsidP="009B774E" w:rsidRDefault="008253DD" w14:paraId="07B9A186" w14:textId="77777777">
            <w:pPr>
              <w:jc w:val="center"/>
              <w:rPr>
                <w:rFonts w:asciiTheme="majorBidi" w:hAnsiTheme="majorBidi" w:cstheme="majorBidi"/>
                <w:b/>
                <w:sz w:val="22"/>
                <w:szCs w:val="22"/>
              </w:rPr>
            </w:pPr>
            <w:r w:rsidRPr="00476D46">
              <w:rPr>
                <w:rFonts w:asciiTheme="majorBidi" w:hAnsiTheme="majorBidi" w:cstheme="majorBidi"/>
                <w:b/>
                <w:sz w:val="22"/>
                <w:szCs w:val="22"/>
              </w:rPr>
              <w:t>Hours</w:t>
            </w:r>
          </w:p>
        </w:tc>
        <w:tc>
          <w:tcPr>
            <w:tcW w:w="1260" w:type="dxa"/>
            <w:tcBorders>
              <w:top w:val="nil"/>
              <w:left w:val="nil"/>
              <w:bottom w:val="single" w:color="808080" w:sz="4" w:space="0"/>
              <w:right w:val="single" w:color="808080" w:sz="4" w:space="0"/>
            </w:tcBorders>
            <w:shd w:val="clear" w:color="auto" w:fill="auto"/>
            <w:noWrap/>
            <w:vAlign w:val="center"/>
            <w:hideMark/>
          </w:tcPr>
          <w:p w:rsidRPr="00476D46" w:rsidR="008253DD" w:rsidP="009B774E" w:rsidRDefault="008253DD" w14:paraId="77763C50" w14:textId="77777777">
            <w:pPr>
              <w:jc w:val="center"/>
              <w:rPr>
                <w:rFonts w:asciiTheme="majorBidi" w:hAnsiTheme="majorBidi" w:cstheme="majorBidi"/>
                <w:b/>
                <w:sz w:val="22"/>
                <w:szCs w:val="22"/>
              </w:rPr>
            </w:pPr>
            <w:r w:rsidRPr="00476D46">
              <w:rPr>
                <w:rFonts w:asciiTheme="majorBidi" w:hAnsiTheme="majorBidi" w:cstheme="majorBidi"/>
                <w:b/>
                <w:sz w:val="22"/>
                <w:szCs w:val="22"/>
              </w:rPr>
              <w:t>Cost</w:t>
            </w:r>
          </w:p>
        </w:tc>
        <w:tc>
          <w:tcPr>
            <w:tcW w:w="900" w:type="dxa"/>
            <w:tcBorders>
              <w:top w:val="nil"/>
              <w:left w:val="nil"/>
              <w:bottom w:val="single" w:color="808080" w:sz="4" w:space="0"/>
              <w:right w:val="single" w:color="808080" w:sz="4" w:space="0"/>
            </w:tcBorders>
            <w:shd w:val="clear" w:color="auto" w:fill="auto"/>
            <w:noWrap/>
            <w:vAlign w:val="center"/>
            <w:hideMark/>
          </w:tcPr>
          <w:p w:rsidRPr="00476D46" w:rsidR="008253DD" w:rsidP="009B774E" w:rsidRDefault="008253DD" w14:paraId="0DF4B078" w14:textId="77777777">
            <w:pPr>
              <w:jc w:val="center"/>
              <w:rPr>
                <w:rFonts w:asciiTheme="majorBidi" w:hAnsiTheme="majorBidi" w:cstheme="majorBidi"/>
                <w:b/>
                <w:sz w:val="22"/>
                <w:szCs w:val="22"/>
              </w:rPr>
            </w:pPr>
            <w:r w:rsidRPr="00476D46">
              <w:rPr>
                <w:rFonts w:asciiTheme="majorBidi" w:hAnsiTheme="majorBidi" w:cstheme="majorBidi"/>
                <w:b/>
                <w:sz w:val="22"/>
                <w:szCs w:val="22"/>
              </w:rPr>
              <w:t>Hours</w:t>
            </w:r>
          </w:p>
        </w:tc>
        <w:tc>
          <w:tcPr>
            <w:tcW w:w="1237" w:type="dxa"/>
            <w:tcBorders>
              <w:top w:val="nil"/>
              <w:left w:val="nil"/>
              <w:bottom w:val="single" w:color="808080" w:sz="4" w:space="0"/>
              <w:right w:val="double" w:color="808080" w:sz="6" w:space="0"/>
            </w:tcBorders>
            <w:shd w:val="clear" w:color="auto" w:fill="auto"/>
            <w:noWrap/>
            <w:vAlign w:val="center"/>
            <w:hideMark/>
          </w:tcPr>
          <w:p w:rsidRPr="00476D46" w:rsidR="008253DD" w:rsidP="009B774E" w:rsidRDefault="008253DD" w14:paraId="7F22922E" w14:textId="77777777">
            <w:pPr>
              <w:jc w:val="center"/>
              <w:rPr>
                <w:rFonts w:asciiTheme="majorBidi" w:hAnsiTheme="majorBidi" w:cstheme="majorBidi"/>
                <w:b/>
                <w:sz w:val="22"/>
                <w:szCs w:val="22"/>
              </w:rPr>
            </w:pPr>
            <w:r w:rsidRPr="00476D46">
              <w:rPr>
                <w:rFonts w:asciiTheme="majorBidi" w:hAnsiTheme="majorBidi" w:cstheme="majorBidi"/>
                <w:b/>
                <w:sz w:val="22"/>
                <w:szCs w:val="22"/>
              </w:rPr>
              <w:t>Cost</w:t>
            </w:r>
          </w:p>
        </w:tc>
      </w:tr>
      <w:tr w:rsidRPr="00476D46" w:rsidR="00BB3F3B" w:rsidTr="0096265D" w14:paraId="0916C314" w14:textId="77777777">
        <w:trPr>
          <w:trHeight w:val="300"/>
        </w:trPr>
        <w:tc>
          <w:tcPr>
            <w:tcW w:w="1327" w:type="dxa"/>
            <w:tcBorders>
              <w:top w:val="nil"/>
              <w:left w:val="double" w:color="808080" w:sz="6" w:space="0"/>
              <w:bottom w:val="single" w:color="808080" w:sz="4" w:space="0"/>
              <w:right w:val="single" w:color="808080" w:sz="4" w:space="0"/>
            </w:tcBorders>
            <w:shd w:val="clear" w:color="auto" w:fill="auto"/>
            <w:noWrap/>
            <w:vAlign w:val="bottom"/>
            <w:hideMark/>
          </w:tcPr>
          <w:p w:rsidRPr="00476D46" w:rsidR="00BB3F3B" w:rsidP="009B774E" w:rsidRDefault="00BB3F3B" w14:paraId="289296F7" w14:textId="77777777">
            <w:pPr>
              <w:rPr>
                <w:rFonts w:asciiTheme="majorBidi" w:hAnsiTheme="majorBidi" w:cstheme="majorBidi"/>
                <w:sz w:val="22"/>
                <w:szCs w:val="22"/>
              </w:rPr>
            </w:pPr>
            <w:r w:rsidRPr="00476D46">
              <w:rPr>
                <w:rFonts w:asciiTheme="majorBidi" w:hAnsiTheme="majorBidi" w:cstheme="majorBidi"/>
                <w:sz w:val="22"/>
                <w:szCs w:val="22"/>
              </w:rPr>
              <w:t>Management</w:t>
            </w:r>
          </w:p>
        </w:tc>
        <w:tc>
          <w:tcPr>
            <w:tcW w:w="720" w:type="dxa"/>
            <w:tcBorders>
              <w:top w:val="nil"/>
              <w:left w:val="nil"/>
              <w:bottom w:val="single" w:color="808080" w:sz="4" w:space="0"/>
              <w:right w:val="single" w:color="808080" w:sz="4" w:space="0"/>
            </w:tcBorders>
            <w:shd w:val="clear" w:color="auto" w:fill="auto"/>
            <w:noWrap/>
            <w:vAlign w:val="center"/>
            <w:hideMark/>
          </w:tcPr>
          <w:p w:rsidRPr="00476D46" w:rsidR="00BB3F3B" w:rsidP="009B774E" w:rsidRDefault="00BB3F3B" w14:paraId="1AB643E5" w14:textId="7877262C">
            <w:pPr>
              <w:jc w:val="center"/>
              <w:rPr>
                <w:rFonts w:asciiTheme="majorBidi" w:hAnsiTheme="majorBidi" w:cstheme="majorBidi"/>
                <w:sz w:val="22"/>
                <w:szCs w:val="22"/>
              </w:rPr>
            </w:pPr>
            <w:r w:rsidRPr="00476D46">
              <w:rPr>
                <w:sz w:val="22"/>
                <w:szCs w:val="22"/>
              </w:rPr>
              <w:t>286</w:t>
            </w:r>
          </w:p>
        </w:tc>
        <w:tc>
          <w:tcPr>
            <w:tcW w:w="1080" w:type="dxa"/>
            <w:tcBorders>
              <w:top w:val="nil"/>
              <w:left w:val="nil"/>
              <w:bottom w:val="single" w:color="808080" w:sz="4" w:space="0"/>
              <w:right w:val="single" w:color="808080" w:sz="4" w:space="0"/>
            </w:tcBorders>
            <w:shd w:val="clear" w:color="auto" w:fill="auto"/>
            <w:noWrap/>
            <w:vAlign w:val="center"/>
            <w:hideMark/>
          </w:tcPr>
          <w:p w:rsidRPr="00476D46" w:rsidR="00BB3F3B" w:rsidP="009B774E" w:rsidRDefault="00BB3F3B" w14:paraId="5D576A94" w14:textId="0E005B8D">
            <w:pPr>
              <w:jc w:val="center"/>
              <w:rPr>
                <w:rFonts w:asciiTheme="majorBidi" w:hAnsiTheme="majorBidi" w:cstheme="majorBidi"/>
                <w:sz w:val="22"/>
                <w:szCs w:val="22"/>
              </w:rPr>
            </w:pPr>
            <w:r w:rsidRPr="00476D46">
              <w:rPr>
                <w:sz w:val="22"/>
                <w:szCs w:val="22"/>
              </w:rPr>
              <w:t>$40,981</w:t>
            </w:r>
          </w:p>
        </w:tc>
        <w:tc>
          <w:tcPr>
            <w:tcW w:w="810" w:type="dxa"/>
            <w:tcBorders>
              <w:top w:val="nil"/>
              <w:left w:val="nil"/>
              <w:bottom w:val="single" w:color="808080" w:sz="4" w:space="0"/>
              <w:right w:val="single" w:color="808080" w:sz="4" w:space="0"/>
            </w:tcBorders>
            <w:shd w:val="clear" w:color="auto" w:fill="auto"/>
            <w:noWrap/>
            <w:vAlign w:val="center"/>
            <w:hideMark/>
          </w:tcPr>
          <w:p w:rsidRPr="00476D46" w:rsidR="00BB3F3B" w:rsidP="009B774E" w:rsidRDefault="00205E3D" w14:paraId="7DA0870E" w14:textId="6976AB3E">
            <w:pPr>
              <w:jc w:val="center"/>
              <w:rPr>
                <w:rFonts w:asciiTheme="majorBidi" w:hAnsiTheme="majorBidi" w:cstheme="majorBidi"/>
                <w:sz w:val="22"/>
                <w:szCs w:val="22"/>
              </w:rPr>
            </w:pPr>
            <w:r w:rsidRPr="00476D46">
              <w:rPr>
                <w:sz w:val="22"/>
                <w:szCs w:val="22"/>
              </w:rPr>
              <w:t>598</w:t>
            </w:r>
          </w:p>
        </w:tc>
        <w:tc>
          <w:tcPr>
            <w:tcW w:w="1080" w:type="dxa"/>
            <w:tcBorders>
              <w:top w:val="nil"/>
              <w:left w:val="nil"/>
              <w:bottom w:val="single" w:color="808080" w:sz="4" w:space="0"/>
              <w:right w:val="single" w:color="808080" w:sz="4" w:space="0"/>
            </w:tcBorders>
            <w:shd w:val="clear" w:color="auto" w:fill="auto"/>
            <w:noWrap/>
            <w:vAlign w:val="center"/>
            <w:hideMark/>
          </w:tcPr>
          <w:p w:rsidRPr="00476D46" w:rsidR="00BB3F3B" w:rsidP="009B774E" w:rsidRDefault="00205E3D" w14:paraId="126A1561" w14:textId="0894644C">
            <w:pPr>
              <w:jc w:val="center"/>
              <w:rPr>
                <w:rFonts w:asciiTheme="majorBidi" w:hAnsiTheme="majorBidi" w:cstheme="majorBidi"/>
                <w:sz w:val="22"/>
                <w:szCs w:val="22"/>
              </w:rPr>
            </w:pPr>
            <w:r w:rsidRPr="00476D46">
              <w:rPr>
                <w:sz w:val="22"/>
                <w:szCs w:val="22"/>
              </w:rPr>
              <w:t>$85,687</w:t>
            </w:r>
          </w:p>
        </w:tc>
        <w:tc>
          <w:tcPr>
            <w:tcW w:w="900" w:type="dxa"/>
            <w:tcBorders>
              <w:top w:val="nil"/>
              <w:left w:val="nil"/>
              <w:bottom w:val="single" w:color="808080" w:sz="4" w:space="0"/>
              <w:right w:val="single" w:color="808080" w:sz="4" w:space="0"/>
            </w:tcBorders>
            <w:shd w:val="clear" w:color="auto" w:fill="auto"/>
            <w:noWrap/>
            <w:vAlign w:val="center"/>
            <w:hideMark/>
          </w:tcPr>
          <w:p w:rsidRPr="00476D46" w:rsidR="00BB3F3B" w:rsidP="009B774E" w:rsidRDefault="00BB3F3B" w14:paraId="0AC2F64B" w14:textId="7F86A7A2">
            <w:pPr>
              <w:jc w:val="center"/>
              <w:rPr>
                <w:rFonts w:asciiTheme="majorBidi" w:hAnsiTheme="majorBidi" w:cstheme="majorBidi"/>
                <w:sz w:val="22"/>
                <w:szCs w:val="22"/>
              </w:rPr>
            </w:pPr>
            <w:r w:rsidRPr="00476D46">
              <w:rPr>
                <w:sz w:val="22"/>
                <w:szCs w:val="22"/>
              </w:rPr>
              <w:t>4,654</w:t>
            </w:r>
          </w:p>
        </w:tc>
        <w:tc>
          <w:tcPr>
            <w:tcW w:w="1260" w:type="dxa"/>
            <w:tcBorders>
              <w:top w:val="nil"/>
              <w:left w:val="nil"/>
              <w:bottom w:val="single" w:color="808080" w:sz="4" w:space="0"/>
              <w:right w:val="single" w:color="808080" w:sz="4" w:space="0"/>
            </w:tcBorders>
            <w:shd w:val="clear" w:color="auto" w:fill="auto"/>
            <w:noWrap/>
            <w:vAlign w:val="center"/>
            <w:hideMark/>
          </w:tcPr>
          <w:p w:rsidRPr="00476D46" w:rsidR="00BB3F3B" w:rsidP="009B774E" w:rsidRDefault="00BB3F3B" w14:paraId="746F5CBB" w14:textId="6BD9E5B0">
            <w:pPr>
              <w:jc w:val="center"/>
              <w:rPr>
                <w:rFonts w:asciiTheme="majorBidi" w:hAnsiTheme="majorBidi" w:cstheme="majorBidi"/>
                <w:sz w:val="22"/>
                <w:szCs w:val="22"/>
              </w:rPr>
            </w:pPr>
            <w:r w:rsidRPr="00476D46">
              <w:rPr>
                <w:sz w:val="22"/>
                <w:szCs w:val="22"/>
              </w:rPr>
              <w:t>$666,868</w:t>
            </w:r>
          </w:p>
        </w:tc>
        <w:tc>
          <w:tcPr>
            <w:tcW w:w="900" w:type="dxa"/>
            <w:tcBorders>
              <w:top w:val="nil"/>
              <w:left w:val="nil"/>
              <w:bottom w:val="single" w:color="808080" w:sz="4" w:space="0"/>
              <w:right w:val="single" w:color="808080" w:sz="4" w:space="0"/>
            </w:tcBorders>
            <w:shd w:val="clear" w:color="auto" w:fill="auto"/>
            <w:noWrap/>
            <w:vAlign w:val="center"/>
            <w:hideMark/>
          </w:tcPr>
          <w:p w:rsidRPr="00476D46" w:rsidR="00BB3F3B" w:rsidP="009B774E" w:rsidRDefault="00205E3D" w14:paraId="6F4568B1" w14:textId="3FD86FA8">
            <w:pPr>
              <w:jc w:val="center"/>
              <w:rPr>
                <w:rFonts w:asciiTheme="majorBidi" w:hAnsiTheme="majorBidi" w:cstheme="majorBidi"/>
                <w:sz w:val="22"/>
                <w:szCs w:val="22"/>
              </w:rPr>
            </w:pPr>
            <w:r w:rsidRPr="00476D46">
              <w:rPr>
                <w:sz w:val="22"/>
                <w:szCs w:val="22"/>
              </w:rPr>
              <w:t>5,538</w:t>
            </w:r>
          </w:p>
        </w:tc>
        <w:tc>
          <w:tcPr>
            <w:tcW w:w="1237" w:type="dxa"/>
            <w:tcBorders>
              <w:top w:val="nil"/>
              <w:left w:val="nil"/>
              <w:bottom w:val="single" w:color="808080" w:sz="4" w:space="0"/>
              <w:right w:val="double" w:color="808080" w:sz="6" w:space="0"/>
            </w:tcBorders>
            <w:shd w:val="clear" w:color="auto" w:fill="auto"/>
            <w:noWrap/>
            <w:vAlign w:val="center"/>
            <w:hideMark/>
          </w:tcPr>
          <w:p w:rsidRPr="00476D46" w:rsidR="00BB3F3B" w:rsidP="009B774E" w:rsidRDefault="00BB3F3B" w14:paraId="54CE4AC1" w14:textId="6D4054C6">
            <w:pPr>
              <w:jc w:val="center"/>
              <w:rPr>
                <w:rFonts w:asciiTheme="majorBidi" w:hAnsiTheme="majorBidi" w:cstheme="majorBidi"/>
                <w:sz w:val="22"/>
                <w:szCs w:val="22"/>
              </w:rPr>
            </w:pPr>
            <w:r w:rsidRPr="00476D46">
              <w:rPr>
                <w:sz w:val="22"/>
                <w:szCs w:val="22"/>
              </w:rPr>
              <w:t>$</w:t>
            </w:r>
            <w:r w:rsidRPr="00476D46" w:rsidR="00205E3D">
              <w:rPr>
                <w:sz w:val="22"/>
                <w:szCs w:val="22"/>
              </w:rPr>
              <w:t>793,536</w:t>
            </w:r>
          </w:p>
        </w:tc>
      </w:tr>
      <w:tr w:rsidRPr="00476D46" w:rsidR="00BB3F3B" w:rsidTr="0096265D" w14:paraId="2BD6A624" w14:textId="77777777">
        <w:trPr>
          <w:trHeight w:val="300"/>
        </w:trPr>
        <w:tc>
          <w:tcPr>
            <w:tcW w:w="1327" w:type="dxa"/>
            <w:tcBorders>
              <w:top w:val="nil"/>
              <w:left w:val="double" w:color="808080" w:sz="6" w:space="0"/>
              <w:bottom w:val="single" w:color="808080" w:sz="4" w:space="0"/>
              <w:right w:val="single" w:color="808080" w:sz="4" w:space="0"/>
            </w:tcBorders>
            <w:shd w:val="clear" w:color="auto" w:fill="auto"/>
            <w:noWrap/>
            <w:vAlign w:val="bottom"/>
            <w:hideMark/>
          </w:tcPr>
          <w:p w:rsidRPr="00476D46" w:rsidR="00BB3F3B" w:rsidP="009B774E" w:rsidRDefault="00BB3F3B" w14:paraId="49469E7F" w14:textId="77777777">
            <w:pPr>
              <w:rPr>
                <w:rFonts w:asciiTheme="majorBidi" w:hAnsiTheme="majorBidi" w:cstheme="majorBidi"/>
                <w:sz w:val="22"/>
                <w:szCs w:val="22"/>
              </w:rPr>
            </w:pPr>
            <w:r w:rsidRPr="00476D46">
              <w:rPr>
                <w:rFonts w:asciiTheme="majorBidi" w:hAnsiTheme="majorBidi" w:cstheme="majorBidi"/>
                <w:sz w:val="22"/>
                <w:szCs w:val="22"/>
              </w:rPr>
              <w:t>Technical</w:t>
            </w:r>
          </w:p>
        </w:tc>
        <w:tc>
          <w:tcPr>
            <w:tcW w:w="720" w:type="dxa"/>
            <w:tcBorders>
              <w:top w:val="nil"/>
              <w:left w:val="nil"/>
              <w:bottom w:val="single" w:color="808080" w:sz="4" w:space="0"/>
              <w:right w:val="single" w:color="808080" w:sz="4" w:space="0"/>
            </w:tcBorders>
            <w:shd w:val="clear" w:color="auto" w:fill="auto"/>
            <w:noWrap/>
            <w:vAlign w:val="center"/>
            <w:hideMark/>
          </w:tcPr>
          <w:p w:rsidRPr="00476D46" w:rsidR="00BB3F3B" w:rsidP="009B774E" w:rsidRDefault="00BB3F3B" w14:paraId="353B4BDF" w14:textId="1C73E812">
            <w:pPr>
              <w:jc w:val="center"/>
              <w:rPr>
                <w:rFonts w:asciiTheme="majorBidi" w:hAnsiTheme="majorBidi" w:cstheme="majorBidi"/>
                <w:sz w:val="22"/>
                <w:szCs w:val="22"/>
              </w:rPr>
            </w:pPr>
            <w:r w:rsidRPr="00476D46">
              <w:rPr>
                <w:sz w:val="22"/>
                <w:szCs w:val="22"/>
              </w:rPr>
              <w:t>1,408</w:t>
            </w:r>
          </w:p>
        </w:tc>
        <w:tc>
          <w:tcPr>
            <w:tcW w:w="1080" w:type="dxa"/>
            <w:tcBorders>
              <w:top w:val="nil"/>
              <w:left w:val="nil"/>
              <w:bottom w:val="single" w:color="808080" w:sz="4" w:space="0"/>
              <w:right w:val="single" w:color="808080" w:sz="4" w:space="0"/>
            </w:tcBorders>
            <w:shd w:val="clear" w:color="auto" w:fill="auto"/>
            <w:noWrap/>
            <w:vAlign w:val="center"/>
            <w:hideMark/>
          </w:tcPr>
          <w:p w:rsidRPr="00476D46" w:rsidR="00BB3F3B" w:rsidP="009B774E" w:rsidRDefault="00BB3F3B" w14:paraId="3EDA8CC5" w14:textId="259AC88B">
            <w:pPr>
              <w:jc w:val="center"/>
              <w:rPr>
                <w:rFonts w:asciiTheme="majorBidi" w:hAnsiTheme="majorBidi" w:cstheme="majorBidi"/>
                <w:sz w:val="22"/>
                <w:szCs w:val="22"/>
              </w:rPr>
            </w:pPr>
            <w:r w:rsidRPr="00476D46">
              <w:rPr>
                <w:sz w:val="22"/>
                <w:szCs w:val="22"/>
              </w:rPr>
              <w:t>$105,525</w:t>
            </w:r>
          </w:p>
        </w:tc>
        <w:tc>
          <w:tcPr>
            <w:tcW w:w="810" w:type="dxa"/>
            <w:tcBorders>
              <w:top w:val="nil"/>
              <w:left w:val="nil"/>
              <w:bottom w:val="single" w:color="808080" w:sz="4" w:space="0"/>
              <w:right w:val="single" w:color="808080" w:sz="4" w:space="0"/>
            </w:tcBorders>
            <w:shd w:val="clear" w:color="auto" w:fill="auto"/>
            <w:noWrap/>
            <w:vAlign w:val="center"/>
            <w:hideMark/>
          </w:tcPr>
          <w:p w:rsidRPr="00476D46" w:rsidR="00BB3F3B" w:rsidP="009B774E" w:rsidRDefault="00205E3D" w14:paraId="6157247A" w14:textId="58011A7A">
            <w:pPr>
              <w:jc w:val="center"/>
              <w:rPr>
                <w:rFonts w:asciiTheme="majorBidi" w:hAnsiTheme="majorBidi" w:cstheme="majorBidi"/>
                <w:sz w:val="22"/>
                <w:szCs w:val="22"/>
              </w:rPr>
            </w:pPr>
            <w:r w:rsidRPr="00476D46">
              <w:rPr>
                <w:sz w:val="22"/>
                <w:szCs w:val="22"/>
              </w:rPr>
              <w:t>2,944</w:t>
            </w:r>
          </w:p>
        </w:tc>
        <w:tc>
          <w:tcPr>
            <w:tcW w:w="1080" w:type="dxa"/>
            <w:tcBorders>
              <w:top w:val="nil"/>
              <w:left w:val="nil"/>
              <w:bottom w:val="single" w:color="808080" w:sz="4" w:space="0"/>
              <w:right w:val="single" w:color="808080" w:sz="4" w:space="0"/>
            </w:tcBorders>
            <w:shd w:val="clear" w:color="auto" w:fill="auto"/>
            <w:noWrap/>
            <w:vAlign w:val="center"/>
            <w:hideMark/>
          </w:tcPr>
          <w:p w:rsidRPr="00476D46" w:rsidR="00BB3F3B" w:rsidP="009B774E" w:rsidRDefault="00205E3D" w14:paraId="671F3E06" w14:textId="3D619F8D">
            <w:pPr>
              <w:jc w:val="center"/>
              <w:rPr>
                <w:rFonts w:asciiTheme="majorBidi" w:hAnsiTheme="majorBidi" w:cstheme="majorBidi"/>
                <w:sz w:val="22"/>
                <w:szCs w:val="22"/>
              </w:rPr>
            </w:pPr>
            <w:r w:rsidRPr="00476D46">
              <w:rPr>
                <w:sz w:val="22"/>
                <w:szCs w:val="22"/>
              </w:rPr>
              <w:t>$220,644</w:t>
            </w:r>
          </w:p>
        </w:tc>
        <w:tc>
          <w:tcPr>
            <w:tcW w:w="900" w:type="dxa"/>
            <w:tcBorders>
              <w:top w:val="nil"/>
              <w:left w:val="nil"/>
              <w:bottom w:val="single" w:color="808080" w:sz="4" w:space="0"/>
              <w:right w:val="single" w:color="808080" w:sz="4" w:space="0"/>
            </w:tcBorders>
            <w:shd w:val="clear" w:color="auto" w:fill="auto"/>
            <w:noWrap/>
            <w:vAlign w:val="center"/>
            <w:hideMark/>
          </w:tcPr>
          <w:p w:rsidRPr="00476D46" w:rsidR="00BB3F3B" w:rsidP="009B774E" w:rsidRDefault="00BB3F3B" w14:paraId="349B66FD" w14:textId="16F8A976">
            <w:pPr>
              <w:jc w:val="center"/>
              <w:rPr>
                <w:rFonts w:asciiTheme="majorBidi" w:hAnsiTheme="majorBidi" w:cstheme="majorBidi"/>
                <w:sz w:val="22"/>
                <w:szCs w:val="22"/>
              </w:rPr>
            </w:pPr>
            <w:r w:rsidRPr="00476D46">
              <w:rPr>
                <w:sz w:val="22"/>
                <w:szCs w:val="22"/>
              </w:rPr>
              <w:t>22,912</w:t>
            </w:r>
          </w:p>
        </w:tc>
        <w:tc>
          <w:tcPr>
            <w:tcW w:w="1260" w:type="dxa"/>
            <w:tcBorders>
              <w:top w:val="nil"/>
              <w:left w:val="nil"/>
              <w:bottom w:val="single" w:color="808080" w:sz="4" w:space="0"/>
              <w:right w:val="single" w:color="808080" w:sz="4" w:space="0"/>
            </w:tcBorders>
            <w:shd w:val="clear" w:color="auto" w:fill="auto"/>
            <w:noWrap/>
            <w:vAlign w:val="center"/>
            <w:hideMark/>
          </w:tcPr>
          <w:p w:rsidRPr="00476D46" w:rsidR="00BB3F3B" w:rsidP="009B774E" w:rsidRDefault="00BB3F3B" w14:paraId="48CAC696" w14:textId="5C89CCBD">
            <w:pPr>
              <w:jc w:val="center"/>
              <w:rPr>
                <w:rFonts w:asciiTheme="majorBidi" w:hAnsiTheme="majorBidi" w:cstheme="majorBidi"/>
                <w:sz w:val="22"/>
                <w:szCs w:val="22"/>
              </w:rPr>
            </w:pPr>
            <w:r w:rsidRPr="00476D46">
              <w:rPr>
                <w:sz w:val="22"/>
                <w:szCs w:val="22"/>
              </w:rPr>
              <w:t>$1,717,184</w:t>
            </w:r>
          </w:p>
        </w:tc>
        <w:tc>
          <w:tcPr>
            <w:tcW w:w="900" w:type="dxa"/>
            <w:tcBorders>
              <w:top w:val="nil"/>
              <w:left w:val="nil"/>
              <w:bottom w:val="single" w:color="808080" w:sz="4" w:space="0"/>
              <w:right w:val="single" w:color="808080" w:sz="4" w:space="0"/>
            </w:tcBorders>
            <w:shd w:val="clear" w:color="auto" w:fill="auto"/>
            <w:noWrap/>
            <w:vAlign w:val="center"/>
            <w:hideMark/>
          </w:tcPr>
          <w:p w:rsidRPr="00476D46" w:rsidR="00BB3F3B" w:rsidP="009B774E" w:rsidRDefault="00205E3D" w14:paraId="263137B1" w14:textId="6532A6E8">
            <w:pPr>
              <w:jc w:val="center"/>
              <w:rPr>
                <w:rFonts w:asciiTheme="majorBidi" w:hAnsiTheme="majorBidi" w:cstheme="majorBidi"/>
                <w:sz w:val="22"/>
                <w:szCs w:val="22"/>
              </w:rPr>
            </w:pPr>
            <w:r w:rsidRPr="00476D46">
              <w:rPr>
                <w:sz w:val="22"/>
                <w:szCs w:val="22"/>
              </w:rPr>
              <w:t>27,264</w:t>
            </w:r>
          </w:p>
        </w:tc>
        <w:tc>
          <w:tcPr>
            <w:tcW w:w="1237" w:type="dxa"/>
            <w:tcBorders>
              <w:top w:val="nil"/>
              <w:left w:val="nil"/>
              <w:bottom w:val="single" w:color="808080" w:sz="4" w:space="0"/>
              <w:right w:val="double" w:color="808080" w:sz="6" w:space="0"/>
            </w:tcBorders>
            <w:shd w:val="clear" w:color="auto" w:fill="auto"/>
            <w:noWrap/>
            <w:vAlign w:val="center"/>
            <w:hideMark/>
          </w:tcPr>
          <w:p w:rsidRPr="00476D46" w:rsidR="00BB3F3B" w:rsidP="009B774E" w:rsidRDefault="00BB3F3B" w14:paraId="49325AEA" w14:textId="43EFC739">
            <w:pPr>
              <w:jc w:val="center"/>
              <w:rPr>
                <w:rFonts w:asciiTheme="majorBidi" w:hAnsiTheme="majorBidi" w:cstheme="majorBidi"/>
                <w:sz w:val="22"/>
                <w:szCs w:val="22"/>
              </w:rPr>
            </w:pPr>
            <w:r w:rsidRPr="00476D46">
              <w:rPr>
                <w:sz w:val="22"/>
                <w:szCs w:val="22"/>
              </w:rPr>
              <w:t>$2,</w:t>
            </w:r>
            <w:r w:rsidRPr="00476D46" w:rsidR="00205E3D">
              <w:rPr>
                <w:sz w:val="22"/>
                <w:szCs w:val="22"/>
              </w:rPr>
              <w:t>043,353</w:t>
            </w:r>
          </w:p>
        </w:tc>
      </w:tr>
      <w:tr w:rsidRPr="00476D46" w:rsidR="00BB3F3B" w:rsidTr="0096265D" w14:paraId="4B42B79A" w14:textId="77777777">
        <w:trPr>
          <w:trHeight w:val="300"/>
        </w:trPr>
        <w:tc>
          <w:tcPr>
            <w:tcW w:w="1327" w:type="dxa"/>
            <w:tcBorders>
              <w:top w:val="nil"/>
              <w:left w:val="double" w:color="808080" w:sz="6" w:space="0"/>
              <w:bottom w:val="single" w:color="808080" w:sz="4" w:space="0"/>
              <w:right w:val="single" w:color="808080" w:sz="4" w:space="0"/>
            </w:tcBorders>
            <w:shd w:val="clear" w:color="auto" w:fill="auto"/>
            <w:noWrap/>
            <w:vAlign w:val="bottom"/>
            <w:hideMark/>
          </w:tcPr>
          <w:p w:rsidRPr="00476D46" w:rsidR="00BB3F3B" w:rsidP="009B774E" w:rsidRDefault="00BB3F3B" w14:paraId="64B07277" w14:textId="77777777">
            <w:pPr>
              <w:rPr>
                <w:rFonts w:asciiTheme="majorBidi" w:hAnsiTheme="majorBidi" w:cstheme="majorBidi"/>
                <w:sz w:val="22"/>
                <w:szCs w:val="22"/>
              </w:rPr>
            </w:pPr>
            <w:r w:rsidRPr="00476D46">
              <w:rPr>
                <w:rFonts w:asciiTheme="majorBidi" w:hAnsiTheme="majorBidi" w:cstheme="majorBidi"/>
                <w:sz w:val="22"/>
                <w:szCs w:val="22"/>
              </w:rPr>
              <w:t>Clerical</w:t>
            </w:r>
          </w:p>
        </w:tc>
        <w:tc>
          <w:tcPr>
            <w:tcW w:w="720" w:type="dxa"/>
            <w:tcBorders>
              <w:top w:val="nil"/>
              <w:left w:val="nil"/>
              <w:bottom w:val="single" w:color="808080" w:sz="4" w:space="0"/>
              <w:right w:val="single" w:color="808080" w:sz="4" w:space="0"/>
            </w:tcBorders>
            <w:shd w:val="clear" w:color="auto" w:fill="auto"/>
            <w:noWrap/>
            <w:vAlign w:val="center"/>
            <w:hideMark/>
          </w:tcPr>
          <w:p w:rsidRPr="00476D46" w:rsidR="00BB3F3B" w:rsidP="009B774E" w:rsidRDefault="00BB3F3B" w14:paraId="602432B1" w14:textId="23996EEC">
            <w:pPr>
              <w:jc w:val="center"/>
              <w:rPr>
                <w:rFonts w:asciiTheme="majorBidi" w:hAnsiTheme="majorBidi" w:cstheme="majorBidi"/>
                <w:sz w:val="22"/>
                <w:szCs w:val="22"/>
              </w:rPr>
            </w:pPr>
            <w:r w:rsidRPr="00476D46">
              <w:rPr>
                <w:sz w:val="22"/>
                <w:szCs w:val="22"/>
              </w:rPr>
              <w:t>440</w:t>
            </w:r>
          </w:p>
        </w:tc>
        <w:tc>
          <w:tcPr>
            <w:tcW w:w="1080" w:type="dxa"/>
            <w:tcBorders>
              <w:top w:val="nil"/>
              <w:left w:val="nil"/>
              <w:bottom w:val="single" w:color="808080" w:sz="4" w:space="0"/>
              <w:right w:val="single" w:color="808080" w:sz="4" w:space="0"/>
            </w:tcBorders>
            <w:shd w:val="clear" w:color="auto" w:fill="auto"/>
            <w:noWrap/>
            <w:vAlign w:val="center"/>
            <w:hideMark/>
          </w:tcPr>
          <w:p w:rsidRPr="00476D46" w:rsidR="00BB3F3B" w:rsidP="009B774E" w:rsidRDefault="00BB3F3B" w14:paraId="67B9ACFB" w14:textId="5041081C">
            <w:pPr>
              <w:jc w:val="center"/>
              <w:rPr>
                <w:rFonts w:asciiTheme="majorBidi" w:hAnsiTheme="majorBidi" w:cstheme="majorBidi"/>
                <w:sz w:val="22"/>
                <w:szCs w:val="22"/>
              </w:rPr>
            </w:pPr>
            <w:r w:rsidRPr="00476D46">
              <w:rPr>
                <w:sz w:val="22"/>
                <w:szCs w:val="22"/>
              </w:rPr>
              <w:t>$21,025</w:t>
            </w:r>
          </w:p>
        </w:tc>
        <w:tc>
          <w:tcPr>
            <w:tcW w:w="810" w:type="dxa"/>
            <w:tcBorders>
              <w:top w:val="nil"/>
              <w:left w:val="nil"/>
              <w:bottom w:val="single" w:color="808080" w:sz="4" w:space="0"/>
              <w:right w:val="single" w:color="808080" w:sz="4" w:space="0"/>
            </w:tcBorders>
            <w:shd w:val="clear" w:color="auto" w:fill="auto"/>
            <w:noWrap/>
            <w:vAlign w:val="center"/>
            <w:hideMark/>
          </w:tcPr>
          <w:p w:rsidRPr="00476D46" w:rsidR="00BB3F3B" w:rsidP="009B774E" w:rsidRDefault="00205E3D" w14:paraId="592DFC9D" w14:textId="60BAA342">
            <w:pPr>
              <w:jc w:val="center"/>
              <w:rPr>
                <w:rFonts w:asciiTheme="majorBidi" w:hAnsiTheme="majorBidi" w:cstheme="majorBidi"/>
                <w:sz w:val="22"/>
                <w:szCs w:val="22"/>
              </w:rPr>
            </w:pPr>
            <w:r w:rsidRPr="00476D46">
              <w:rPr>
                <w:sz w:val="22"/>
                <w:szCs w:val="22"/>
              </w:rPr>
              <w:t>920</w:t>
            </w:r>
          </w:p>
        </w:tc>
        <w:tc>
          <w:tcPr>
            <w:tcW w:w="1080" w:type="dxa"/>
            <w:tcBorders>
              <w:top w:val="nil"/>
              <w:left w:val="nil"/>
              <w:bottom w:val="single" w:color="808080" w:sz="4" w:space="0"/>
              <w:right w:val="single" w:color="808080" w:sz="4" w:space="0"/>
            </w:tcBorders>
            <w:shd w:val="clear" w:color="auto" w:fill="auto"/>
            <w:noWrap/>
            <w:vAlign w:val="center"/>
            <w:hideMark/>
          </w:tcPr>
          <w:p w:rsidRPr="00476D46" w:rsidR="00BB3F3B" w:rsidP="009B774E" w:rsidRDefault="00205E3D" w14:paraId="5440EE4C" w14:textId="7315F4BD">
            <w:pPr>
              <w:jc w:val="center"/>
              <w:rPr>
                <w:rFonts w:asciiTheme="majorBidi" w:hAnsiTheme="majorBidi" w:cstheme="majorBidi"/>
                <w:sz w:val="22"/>
                <w:szCs w:val="22"/>
              </w:rPr>
            </w:pPr>
            <w:r w:rsidRPr="00476D46">
              <w:rPr>
                <w:sz w:val="22"/>
                <w:szCs w:val="22"/>
              </w:rPr>
              <w:t>$43,962</w:t>
            </w:r>
          </w:p>
        </w:tc>
        <w:tc>
          <w:tcPr>
            <w:tcW w:w="900" w:type="dxa"/>
            <w:tcBorders>
              <w:top w:val="nil"/>
              <w:left w:val="nil"/>
              <w:bottom w:val="single" w:color="808080" w:sz="4" w:space="0"/>
              <w:right w:val="single" w:color="808080" w:sz="4" w:space="0"/>
            </w:tcBorders>
            <w:shd w:val="clear" w:color="auto" w:fill="auto"/>
            <w:noWrap/>
            <w:vAlign w:val="center"/>
            <w:hideMark/>
          </w:tcPr>
          <w:p w:rsidRPr="00476D46" w:rsidR="00BB3F3B" w:rsidP="009B774E" w:rsidRDefault="00BB3F3B" w14:paraId="5A02BC97" w14:textId="562A5216">
            <w:pPr>
              <w:jc w:val="center"/>
              <w:rPr>
                <w:rFonts w:asciiTheme="majorBidi" w:hAnsiTheme="majorBidi" w:cstheme="majorBidi"/>
                <w:sz w:val="22"/>
                <w:szCs w:val="22"/>
              </w:rPr>
            </w:pPr>
            <w:r w:rsidRPr="00476D46">
              <w:rPr>
                <w:sz w:val="22"/>
                <w:szCs w:val="22"/>
              </w:rPr>
              <w:t>7,160</w:t>
            </w:r>
          </w:p>
        </w:tc>
        <w:tc>
          <w:tcPr>
            <w:tcW w:w="1260" w:type="dxa"/>
            <w:tcBorders>
              <w:top w:val="nil"/>
              <w:left w:val="nil"/>
              <w:bottom w:val="single" w:color="808080" w:sz="4" w:space="0"/>
              <w:right w:val="single" w:color="808080" w:sz="4" w:space="0"/>
            </w:tcBorders>
            <w:shd w:val="clear" w:color="auto" w:fill="auto"/>
            <w:noWrap/>
            <w:vAlign w:val="center"/>
            <w:hideMark/>
          </w:tcPr>
          <w:p w:rsidRPr="00476D46" w:rsidR="00BB3F3B" w:rsidP="009B774E" w:rsidRDefault="00BB3F3B" w14:paraId="3609C4AC" w14:textId="309C0437">
            <w:pPr>
              <w:jc w:val="center"/>
              <w:rPr>
                <w:rFonts w:asciiTheme="majorBidi" w:hAnsiTheme="majorBidi" w:cstheme="majorBidi"/>
                <w:sz w:val="22"/>
                <w:szCs w:val="22"/>
              </w:rPr>
            </w:pPr>
            <w:r w:rsidRPr="00476D46">
              <w:rPr>
                <w:sz w:val="22"/>
                <w:szCs w:val="22"/>
              </w:rPr>
              <w:t>$342,140</w:t>
            </w:r>
          </w:p>
        </w:tc>
        <w:tc>
          <w:tcPr>
            <w:tcW w:w="900" w:type="dxa"/>
            <w:tcBorders>
              <w:top w:val="nil"/>
              <w:left w:val="nil"/>
              <w:bottom w:val="single" w:color="808080" w:sz="4" w:space="0"/>
              <w:right w:val="single" w:color="808080" w:sz="4" w:space="0"/>
            </w:tcBorders>
            <w:shd w:val="clear" w:color="auto" w:fill="auto"/>
            <w:noWrap/>
            <w:vAlign w:val="center"/>
            <w:hideMark/>
          </w:tcPr>
          <w:p w:rsidRPr="00476D46" w:rsidR="00BB3F3B" w:rsidP="009B774E" w:rsidRDefault="00205E3D" w14:paraId="2FCACFD4" w14:textId="2C5AE7BA">
            <w:pPr>
              <w:jc w:val="center"/>
              <w:rPr>
                <w:rFonts w:asciiTheme="majorBidi" w:hAnsiTheme="majorBidi" w:cstheme="majorBidi"/>
                <w:sz w:val="22"/>
                <w:szCs w:val="22"/>
              </w:rPr>
            </w:pPr>
            <w:r w:rsidRPr="00476D46">
              <w:rPr>
                <w:sz w:val="22"/>
                <w:szCs w:val="22"/>
              </w:rPr>
              <w:t>8,520</w:t>
            </w:r>
          </w:p>
        </w:tc>
        <w:tc>
          <w:tcPr>
            <w:tcW w:w="1237" w:type="dxa"/>
            <w:tcBorders>
              <w:top w:val="nil"/>
              <w:left w:val="nil"/>
              <w:bottom w:val="single" w:color="808080" w:sz="4" w:space="0"/>
              <w:right w:val="double" w:color="808080" w:sz="6" w:space="0"/>
            </w:tcBorders>
            <w:shd w:val="clear" w:color="auto" w:fill="auto"/>
            <w:noWrap/>
            <w:vAlign w:val="center"/>
            <w:hideMark/>
          </w:tcPr>
          <w:p w:rsidRPr="00476D46" w:rsidR="00BB3F3B" w:rsidP="009B774E" w:rsidRDefault="00BB3F3B" w14:paraId="1293CD96" w14:textId="3678A828">
            <w:pPr>
              <w:jc w:val="center"/>
              <w:rPr>
                <w:rFonts w:asciiTheme="majorBidi" w:hAnsiTheme="majorBidi" w:cstheme="majorBidi"/>
                <w:sz w:val="22"/>
                <w:szCs w:val="22"/>
              </w:rPr>
            </w:pPr>
            <w:r w:rsidRPr="00476D46">
              <w:rPr>
                <w:sz w:val="22"/>
                <w:szCs w:val="22"/>
              </w:rPr>
              <w:t>$</w:t>
            </w:r>
            <w:r w:rsidRPr="00476D46" w:rsidR="00205E3D">
              <w:rPr>
                <w:sz w:val="22"/>
                <w:szCs w:val="22"/>
              </w:rPr>
              <w:t>407,128</w:t>
            </w:r>
          </w:p>
        </w:tc>
      </w:tr>
      <w:tr w:rsidRPr="00476D46" w:rsidR="00BB3F3B" w:rsidTr="0096265D" w14:paraId="31A4A0D4" w14:textId="77777777">
        <w:trPr>
          <w:trHeight w:val="315"/>
        </w:trPr>
        <w:tc>
          <w:tcPr>
            <w:tcW w:w="1327" w:type="dxa"/>
            <w:tcBorders>
              <w:top w:val="nil"/>
              <w:left w:val="double" w:color="808080" w:sz="6" w:space="0"/>
              <w:bottom w:val="double" w:color="808080" w:sz="6" w:space="0"/>
              <w:right w:val="single" w:color="808080" w:sz="4" w:space="0"/>
            </w:tcBorders>
            <w:shd w:val="clear" w:color="auto" w:fill="auto"/>
            <w:noWrap/>
            <w:vAlign w:val="bottom"/>
            <w:hideMark/>
          </w:tcPr>
          <w:p w:rsidRPr="00476D46" w:rsidR="00BB3F3B" w:rsidP="009B774E" w:rsidRDefault="00BB3F3B" w14:paraId="598A6D0E" w14:textId="77777777">
            <w:pPr>
              <w:jc w:val="center"/>
              <w:rPr>
                <w:rFonts w:asciiTheme="majorBidi" w:hAnsiTheme="majorBidi" w:cstheme="majorBidi"/>
                <w:b/>
                <w:sz w:val="22"/>
                <w:szCs w:val="22"/>
              </w:rPr>
            </w:pPr>
            <w:r w:rsidRPr="00476D46">
              <w:rPr>
                <w:rFonts w:asciiTheme="majorBidi" w:hAnsiTheme="majorBidi" w:cstheme="majorBidi"/>
                <w:b/>
                <w:sz w:val="22"/>
                <w:szCs w:val="22"/>
              </w:rPr>
              <w:t>TOTAL</w:t>
            </w:r>
          </w:p>
        </w:tc>
        <w:tc>
          <w:tcPr>
            <w:tcW w:w="720" w:type="dxa"/>
            <w:tcBorders>
              <w:top w:val="nil"/>
              <w:left w:val="nil"/>
              <w:bottom w:val="double" w:color="808080" w:sz="6" w:space="0"/>
              <w:right w:val="single" w:color="808080" w:sz="4" w:space="0"/>
            </w:tcBorders>
            <w:shd w:val="clear" w:color="auto" w:fill="auto"/>
            <w:noWrap/>
            <w:vAlign w:val="center"/>
            <w:hideMark/>
          </w:tcPr>
          <w:p w:rsidRPr="00476D46" w:rsidR="00BB3F3B" w:rsidP="009B774E" w:rsidRDefault="00BB3F3B" w14:paraId="2E869152" w14:textId="463B89FD">
            <w:pPr>
              <w:jc w:val="center"/>
              <w:rPr>
                <w:rFonts w:asciiTheme="majorBidi" w:hAnsiTheme="majorBidi" w:cstheme="majorBidi"/>
                <w:sz w:val="22"/>
                <w:szCs w:val="22"/>
              </w:rPr>
            </w:pPr>
            <w:r w:rsidRPr="00476D46">
              <w:rPr>
                <w:sz w:val="22"/>
                <w:szCs w:val="22"/>
              </w:rPr>
              <w:t>2,134</w:t>
            </w:r>
          </w:p>
        </w:tc>
        <w:tc>
          <w:tcPr>
            <w:tcW w:w="1080" w:type="dxa"/>
            <w:tcBorders>
              <w:top w:val="nil"/>
              <w:left w:val="nil"/>
              <w:bottom w:val="double" w:color="808080" w:sz="6" w:space="0"/>
              <w:right w:val="single" w:color="808080" w:sz="4" w:space="0"/>
            </w:tcBorders>
            <w:shd w:val="clear" w:color="auto" w:fill="auto"/>
            <w:noWrap/>
            <w:vAlign w:val="center"/>
            <w:hideMark/>
          </w:tcPr>
          <w:p w:rsidRPr="00476D46" w:rsidR="00BB3F3B" w:rsidP="009B774E" w:rsidRDefault="00BB3F3B" w14:paraId="7B81CB74" w14:textId="752982D4">
            <w:pPr>
              <w:jc w:val="center"/>
              <w:rPr>
                <w:rFonts w:asciiTheme="majorBidi" w:hAnsiTheme="majorBidi" w:cstheme="majorBidi"/>
                <w:sz w:val="22"/>
                <w:szCs w:val="22"/>
              </w:rPr>
            </w:pPr>
            <w:r w:rsidRPr="00476D46">
              <w:rPr>
                <w:sz w:val="22"/>
                <w:szCs w:val="22"/>
              </w:rPr>
              <w:t>$167,531</w:t>
            </w:r>
          </w:p>
        </w:tc>
        <w:tc>
          <w:tcPr>
            <w:tcW w:w="810" w:type="dxa"/>
            <w:tcBorders>
              <w:top w:val="nil"/>
              <w:left w:val="nil"/>
              <w:bottom w:val="double" w:color="808080" w:sz="6" w:space="0"/>
              <w:right w:val="single" w:color="808080" w:sz="4" w:space="0"/>
            </w:tcBorders>
            <w:shd w:val="clear" w:color="auto" w:fill="auto"/>
            <w:noWrap/>
            <w:vAlign w:val="center"/>
            <w:hideMark/>
          </w:tcPr>
          <w:p w:rsidRPr="00476D46" w:rsidR="00BB3F3B" w:rsidP="009B774E" w:rsidRDefault="00205E3D" w14:paraId="3D672B16" w14:textId="4DD7DB59">
            <w:pPr>
              <w:jc w:val="center"/>
              <w:rPr>
                <w:rFonts w:asciiTheme="majorBidi" w:hAnsiTheme="majorBidi" w:cstheme="majorBidi"/>
                <w:sz w:val="22"/>
                <w:szCs w:val="22"/>
              </w:rPr>
            </w:pPr>
            <w:r w:rsidRPr="00476D46">
              <w:rPr>
                <w:sz w:val="22"/>
                <w:szCs w:val="22"/>
              </w:rPr>
              <w:t>4,462</w:t>
            </w:r>
          </w:p>
        </w:tc>
        <w:tc>
          <w:tcPr>
            <w:tcW w:w="1080" w:type="dxa"/>
            <w:tcBorders>
              <w:top w:val="nil"/>
              <w:left w:val="nil"/>
              <w:bottom w:val="double" w:color="808080" w:sz="6" w:space="0"/>
              <w:right w:val="single" w:color="808080" w:sz="4" w:space="0"/>
            </w:tcBorders>
            <w:shd w:val="clear" w:color="auto" w:fill="auto"/>
            <w:noWrap/>
            <w:vAlign w:val="center"/>
            <w:hideMark/>
          </w:tcPr>
          <w:p w:rsidRPr="00476D46" w:rsidR="00BB3F3B" w:rsidP="009B774E" w:rsidRDefault="00205E3D" w14:paraId="39ECADE7" w14:textId="6D06D6D9">
            <w:pPr>
              <w:jc w:val="center"/>
              <w:rPr>
                <w:rFonts w:asciiTheme="majorBidi" w:hAnsiTheme="majorBidi" w:cstheme="majorBidi"/>
                <w:sz w:val="22"/>
                <w:szCs w:val="22"/>
              </w:rPr>
            </w:pPr>
            <w:r w:rsidRPr="00476D46">
              <w:rPr>
                <w:sz w:val="22"/>
                <w:szCs w:val="22"/>
              </w:rPr>
              <w:t>$350,293</w:t>
            </w:r>
          </w:p>
        </w:tc>
        <w:tc>
          <w:tcPr>
            <w:tcW w:w="900" w:type="dxa"/>
            <w:tcBorders>
              <w:top w:val="nil"/>
              <w:left w:val="nil"/>
              <w:bottom w:val="double" w:color="808080" w:sz="6" w:space="0"/>
              <w:right w:val="single" w:color="808080" w:sz="4" w:space="0"/>
            </w:tcBorders>
            <w:shd w:val="clear" w:color="auto" w:fill="auto"/>
            <w:noWrap/>
            <w:vAlign w:val="center"/>
            <w:hideMark/>
          </w:tcPr>
          <w:p w:rsidRPr="00476D46" w:rsidR="00BB3F3B" w:rsidP="009B774E" w:rsidRDefault="00BB3F3B" w14:paraId="47D858A0" w14:textId="44890734">
            <w:pPr>
              <w:jc w:val="center"/>
              <w:rPr>
                <w:rFonts w:asciiTheme="majorBidi" w:hAnsiTheme="majorBidi" w:cstheme="majorBidi"/>
                <w:sz w:val="22"/>
                <w:szCs w:val="22"/>
              </w:rPr>
            </w:pPr>
            <w:r w:rsidRPr="00476D46">
              <w:rPr>
                <w:sz w:val="22"/>
                <w:szCs w:val="22"/>
              </w:rPr>
              <w:t>34,726</w:t>
            </w:r>
          </w:p>
        </w:tc>
        <w:tc>
          <w:tcPr>
            <w:tcW w:w="1260" w:type="dxa"/>
            <w:tcBorders>
              <w:top w:val="nil"/>
              <w:left w:val="nil"/>
              <w:bottom w:val="double" w:color="808080" w:sz="6" w:space="0"/>
              <w:right w:val="single" w:color="808080" w:sz="4" w:space="0"/>
            </w:tcBorders>
            <w:shd w:val="clear" w:color="auto" w:fill="auto"/>
            <w:noWrap/>
            <w:vAlign w:val="center"/>
            <w:hideMark/>
          </w:tcPr>
          <w:p w:rsidRPr="00476D46" w:rsidR="00BB3F3B" w:rsidP="009B774E" w:rsidRDefault="00BB3F3B" w14:paraId="51CCC692" w14:textId="57E62730">
            <w:pPr>
              <w:jc w:val="center"/>
              <w:rPr>
                <w:rFonts w:asciiTheme="majorBidi" w:hAnsiTheme="majorBidi" w:cstheme="majorBidi"/>
                <w:sz w:val="22"/>
                <w:szCs w:val="22"/>
              </w:rPr>
            </w:pPr>
            <w:r w:rsidRPr="00476D46">
              <w:rPr>
                <w:sz w:val="22"/>
                <w:szCs w:val="22"/>
              </w:rPr>
              <w:t>$2,726,193</w:t>
            </w:r>
          </w:p>
        </w:tc>
        <w:tc>
          <w:tcPr>
            <w:tcW w:w="900" w:type="dxa"/>
            <w:tcBorders>
              <w:top w:val="nil"/>
              <w:left w:val="nil"/>
              <w:bottom w:val="double" w:color="808080" w:sz="6" w:space="0"/>
              <w:right w:val="single" w:color="808080" w:sz="4" w:space="0"/>
            </w:tcBorders>
            <w:shd w:val="clear" w:color="auto" w:fill="auto"/>
            <w:noWrap/>
            <w:vAlign w:val="center"/>
            <w:hideMark/>
          </w:tcPr>
          <w:p w:rsidRPr="00476D46" w:rsidR="00BB3F3B" w:rsidP="009B774E" w:rsidRDefault="00205E3D" w14:paraId="37EA9DB7" w14:textId="3A6D23CA">
            <w:pPr>
              <w:jc w:val="center"/>
              <w:rPr>
                <w:rFonts w:asciiTheme="majorBidi" w:hAnsiTheme="majorBidi" w:cstheme="majorBidi"/>
                <w:b/>
                <w:sz w:val="22"/>
                <w:szCs w:val="22"/>
              </w:rPr>
            </w:pPr>
            <w:r w:rsidRPr="00476D46">
              <w:rPr>
                <w:sz w:val="22"/>
                <w:szCs w:val="22"/>
              </w:rPr>
              <w:t>41,322</w:t>
            </w:r>
          </w:p>
        </w:tc>
        <w:tc>
          <w:tcPr>
            <w:tcW w:w="1237" w:type="dxa"/>
            <w:tcBorders>
              <w:top w:val="nil"/>
              <w:left w:val="nil"/>
              <w:bottom w:val="double" w:color="808080" w:sz="6" w:space="0"/>
              <w:right w:val="double" w:color="808080" w:sz="6" w:space="0"/>
            </w:tcBorders>
            <w:shd w:val="clear" w:color="auto" w:fill="auto"/>
            <w:noWrap/>
            <w:vAlign w:val="center"/>
            <w:hideMark/>
          </w:tcPr>
          <w:p w:rsidRPr="00476D46" w:rsidR="00BB3F3B" w:rsidP="009B774E" w:rsidRDefault="00BB3F3B" w14:paraId="3EB144AE" w14:textId="70261746">
            <w:pPr>
              <w:jc w:val="center"/>
              <w:rPr>
                <w:rFonts w:asciiTheme="majorBidi" w:hAnsiTheme="majorBidi" w:cstheme="majorBidi"/>
                <w:b/>
                <w:sz w:val="22"/>
                <w:szCs w:val="22"/>
              </w:rPr>
            </w:pPr>
            <w:r w:rsidRPr="00476D46">
              <w:rPr>
                <w:sz w:val="22"/>
                <w:szCs w:val="22"/>
              </w:rPr>
              <w:t>$3,</w:t>
            </w:r>
            <w:r w:rsidRPr="00476D46" w:rsidR="00205E3D">
              <w:rPr>
                <w:sz w:val="22"/>
                <w:szCs w:val="22"/>
              </w:rPr>
              <w:t>244,017</w:t>
            </w:r>
          </w:p>
        </w:tc>
      </w:tr>
    </w:tbl>
    <w:p w:rsidRPr="00476D46" w:rsidR="008253DD" w:rsidP="009B774E" w:rsidRDefault="008253DD" w14:paraId="13BAA1C9" w14:textId="77777777">
      <w:pPr>
        <w:rPr>
          <w:rFonts w:asciiTheme="majorBidi" w:hAnsiTheme="majorBidi" w:cstheme="majorBidi"/>
          <w:b/>
          <w:sz w:val="2"/>
          <w:szCs w:val="2"/>
        </w:rPr>
      </w:pPr>
    </w:p>
    <w:tbl>
      <w:tblPr>
        <w:tblStyle w:val="TableGrid"/>
        <w:tblW w:w="0" w:type="auto"/>
        <w:tblLook w:val="04A0" w:firstRow="1" w:lastRow="0" w:firstColumn="1" w:lastColumn="0" w:noHBand="0" w:noVBand="1"/>
      </w:tblPr>
      <w:tblGrid>
        <w:gridCol w:w="9360"/>
      </w:tblGrid>
      <w:tr w:rsidRPr="00704E80" w:rsidR="008253DD" w:rsidTr="00650B2D" w14:paraId="30C57F48" w14:textId="77777777">
        <w:tc>
          <w:tcPr>
            <w:tcW w:w="10070" w:type="dxa"/>
            <w:tcBorders>
              <w:top w:val="nil"/>
              <w:left w:val="nil"/>
              <w:bottom w:val="single" w:color="808080" w:themeColor="background1" w:themeShade="80" w:sz="4" w:space="0"/>
              <w:right w:val="nil"/>
            </w:tcBorders>
          </w:tcPr>
          <w:p w:rsidRPr="00476D46" w:rsidR="005459DF" w:rsidP="009B774E" w:rsidRDefault="005459DF" w14:paraId="6297B91C" w14:textId="77777777">
            <w:pPr>
              <w:rPr>
                <w:rFonts w:asciiTheme="majorBidi" w:hAnsiTheme="majorBidi" w:cstheme="majorBidi"/>
                <w:sz w:val="20"/>
              </w:rPr>
            </w:pPr>
            <w:r w:rsidRPr="00476D46">
              <w:rPr>
                <w:rFonts w:asciiTheme="majorBidi" w:hAnsiTheme="majorBidi" w:cstheme="majorBidi"/>
                <w:sz w:val="20"/>
              </w:rPr>
              <w:t>*Numbers may not sum due to rounding.</w:t>
            </w:r>
          </w:p>
          <w:p w:rsidRPr="00476D46" w:rsidR="008253DD" w:rsidP="009B774E" w:rsidRDefault="008253DD" w14:paraId="79DD5B68" w14:textId="36D3A69C">
            <w:pPr>
              <w:rPr>
                <w:rFonts w:asciiTheme="majorBidi" w:hAnsiTheme="majorBidi" w:cstheme="majorBidi"/>
                <w:sz w:val="21"/>
                <w:szCs w:val="21"/>
              </w:rPr>
            </w:pPr>
            <w:r w:rsidRPr="00476D46">
              <w:rPr>
                <w:rFonts w:asciiTheme="majorBidi" w:hAnsiTheme="majorBidi" w:cstheme="majorBidi"/>
                <w:sz w:val="21"/>
                <w:szCs w:val="21"/>
                <w:vertAlign w:val="superscript"/>
              </w:rPr>
              <w:t xml:space="preserve">1 </w:t>
            </w:r>
            <w:r w:rsidRPr="00476D46">
              <w:rPr>
                <w:rFonts w:asciiTheme="majorBidi" w:hAnsiTheme="majorBidi" w:cstheme="majorBidi"/>
                <w:sz w:val="21"/>
                <w:szCs w:val="21"/>
              </w:rPr>
              <w:t>Hours are calculated by multiplying hours per labor category from Table 3-A by the average number of applications for that division from Table 2.</w:t>
            </w:r>
            <w:r w:rsidRPr="00476D46" w:rsidR="007841AD">
              <w:rPr>
                <w:rFonts w:asciiTheme="majorBidi" w:hAnsiTheme="majorBidi" w:cstheme="majorBidi"/>
                <w:sz w:val="21"/>
                <w:szCs w:val="21"/>
              </w:rPr>
              <w:t xml:space="preserve"> </w:t>
            </w:r>
            <w:r w:rsidRPr="00476D46">
              <w:rPr>
                <w:rFonts w:asciiTheme="majorBidi" w:hAnsiTheme="majorBidi" w:cstheme="majorBidi"/>
                <w:sz w:val="21"/>
                <w:szCs w:val="21"/>
              </w:rPr>
              <w:t xml:space="preserve">For example, </w:t>
            </w:r>
            <w:r w:rsidRPr="00476D46" w:rsidR="00E87F38">
              <w:rPr>
                <w:rFonts w:asciiTheme="majorBidi" w:hAnsiTheme="majorBidi" w:cstheme="majorBidi"/>
                <w:sz w:val="21"/>
                <w:szCs w:val="21"/>
              </w:rPr>
              <w:t>2</w:t>
            </w:r>
            <w:r w:rsidRPr="00476D46" w:rsidR="00F11E1C">
              <w:rPr>
                <w:rFonts w:asciiTheme="majorBidi" w:hAnsiTheme="majorBidi" w:cstheme="majorBidi"/>
                <w:sz w:val="21"/>
                <w:szCs w:val="21"/>
              </w:rPr>
              <w:t>86</w:t>
            </w:r>
            <w:r w:rsidRPr="00476D46">
              <w:rPr>
                <w:rFonts w:asciiTheme="majorBidi" w:hAnsiTheme="majorBidi" w:cstheme="majorBidi"/>
                <w:sz w:val="21"/>
                <w:szCs w:val="21"/>
              </w:rPr>
              <w:t xml:space="preserve"> management hours for AD is calculated as 26 management hours per “Type A” application </w:t>
            </w:r>
            <w:r w:rsidRPr="00476D46" w:rsidR="00650B2D">
              <w:rPr>
                <w:rFonts w:asciiTheme="majorBidi" w:hAnsiTheme="majorBidi" w:cstheme="majorBidi"/>
                <w:sz w:val="21"/>
                <w:szCs w:val="21"/>
              </w:rPr>
              <w:t xml:space="preserve">multiplied by </w:t>
            </w:r>
            <w:r w:rsidRPr="00476D46">
              <w:rPr>
                <w:rFonts w:asciiTheme="majorBidi" w:hAnsiTheme="majorBidi" w:cstheme="majorBidi"/>
                <w:sz w:val="21"/>
                <w:szCs w:val="21"/>
              </w:rPr>
              <w:t>1</w:t>
            </w:r>
            <w:r w:rsidRPr="00476D46" w:rsidR="00E87F38">
              <w:rPr>
                <w:rFonts w:asciiTheme="majorBidi" w:hAnsiTheme="majorBidi" w:cstheme="majorBidi"/>
                <w:sz w:val="21"/>
                <w:szCs w:val="21"/>
              </w:rPr>
              <w:t>1</w:t>
            </w:r>
            <w:r w:rsidRPr="00476D46">
              <w:rPr>
                <w:rFonts w:asciiTheme="majorBidi" w:hAnsiTheme="majorBidi" w:cstheme="majorBidi"/>
                <w:sz w:val="21"/>
                <w:szCs w:val="21"/>
              </w:rPr>
              <w:t xml:space="preserve"> “Type A” applications in AD per year. </w:t>
            </w:r>
          </w:p>
          <w:p w:rsidRPr="00704E80" w:rsidR="008253DD" w:rsidP="009B774E" w:rsidRDefault="008253DD" w14:paraId="3C08983F" w14:textId="77777777">
            <w:pPr>
              <w:rPr>
                <w:rFonts w:asciiTheme="majorBidi" w:hAnsiTheme="majorBidi" w:cstheme="majorBidi"/>
                <w:sz w:val="21"/>
                <w:szCs w:val="21"/>
              </w:rPr>
            </w:pPr>
            <w:r w:rsidRPr="00476D46">
              <w:rPr>
                <w:rFonts w:asciiTheme="majorBidi" w:hAnsiTheme="majorBidi" w:cstheme="majorBidi"/>
                <w:sz w:val="21"/>
                <w:szCs w:val="21"/>
                <w:vertAlign w:val="superscript"/>
              </w:rPr>
              <w:t xml:space="preserve">2 </w:t>
            </w:r>
            <w:r w:rsidRPr="00476D46">
              <w:rPr>
                <w:rFonts w:asciiTheme="majorBidi" w:hAnsiTheme="majorBidi" w:cstheme="majorBidi"/>
                <w:sz w:val="21"/>
                <w:szCs w:val="21"/>
              </w:rPr>
              <w:t>Hours and wages used to calculate the totals for each labor category are from Table 3-A.</w:t>
            </w:r>
          </w:p>
        </w:tc>
      </w:tr>
    </w:tbl>
    <w:p w:rsidRPr="00704E80" w:rsidR="009533FF" w:rsidP="009B774E" w:rsidRDefault="009533FF" w14:paraId="426778DC" w14:textId="77777777">
      <w:pPr>
        <w:rPr>
          <w:rFonts w:asciiTheme="majorBidi" w:hAnsiTheme="majorBidi" w:cstheme="majorBidi"/>
          <w:b/>
        </w:rPr>
      </w:pPr>
    </w:p>
    <w:p w:rsidRPr="00704E80" w:rsidR="008253DD" w:rsidP="009B774E" w:rsidRDefault="008253DD" w14:paraId="77C1AFE7" w14:textId="70AB836A">
      <w:pPr>
        <w:ind w:firstLine="720"/>
        <w:rPr>
          <w:rFonts w:asciiTheme="majorBidi" w:hAnsiTheme="majorBidi" w:cstheme="majorBidi"/>
        </w:rPr>
      </w:pPr>
      <w:r w:rsidRPr="00704E80">
        <w:rPr>
          <w:rFonts w:asciiTheme="majorBidi" w:hAnsiTheme="majorBidi" w:cstheme="majorBidi"/>
        </w:rPr>
        <w:t>Table 4-A presents estimates for burden hours and costs per “Type B” applications/notifications.</w:t>
      </w:r>
      <w:r w:rsidRPr="00704E80" w:rsidR="007841AD">
        <w:rPr>
          <w:rFonts w:asciiTheme="majorBidi" w:hAnsiTheme="majorBidi" w:cstheme="majorBidi"/>
        </w:rPr>
        <w:t xml:space="preserve"> </w:t>
      </w:r>
      <w:r w:rsidRPr="00704E80">
        <w:rPr>
          <w:rFonts w:asciiTheme="majorBidi" w:hAnsiTheme="majorBidi" w:cstheme="majorBidi"/>
        </w:rPr>
        <w:t xml:space="preserve">Each “Type B” application is estimated to require 8 management hours, 2 technical hours, and 4 clerical hours for a total of 14 hours per application at a cost of </w:t>
      </w:r>
      <w:r w:rsidRPr="00704E80" w:rsidR="00704E80">
        <w:rPr>
          <w:rFonts w:asciiTheme="majorBidi" w:hAnsiTheme="majorBidi" w:cstheme="majorBidi"/>
        </w:rPr>
        <w:t>$</w:t>
      </w:r>
      <w:r w:rsidRPr="00704E80">
        <w:rPr>
          <w:rFonts w:asciiTheme="majorBidi" w:hAnsiTheme="majorBidi" w:cstheme="majorBidi"/>
        </w:rPr>
        <w:t>1,</w:t>
      </w:r>
      <w:r w:rsidRPr="00704E80" w:rsidR="00704E80">
        <w:rPr>
          <w:rFonts w:asciiTheme="majorBidi" w:hAnsiTheme="majorBidi" w:cstheme="majorBidi"/>
        </w:rPr>
        <w:t>487</w:t>
      </w:r>
      <w:r w:rsidRPr="00704E80">
        <w:rPr>
          <w:rFonts w:asciiTheme="majorBidi" w:hAnsiTheme="majorBidi" w:cstheme="majorBidi"/>
        </w:rPr>
        <w:t>.</w:t>
      </w:r>
      <w:r w:rsidRPr="00704E80" w:rsidR="007841AD">
        <w:rPr>
          <w:rFonts w:asciiTheme="majorBidi" w:hAnsiTheme="majorBidi" w:cstheme="majorBidi"/>
        </w:rPr>
        <w:t xml:space="preserve"> </w:t>
      </w:r>
    </w:p>
    <w:p w:rsidRPr="00704E80" w:rsidR="008253DD" w:rsidP="009B774E" w:rsidRDefault="008253DD" w14:paraId="22428D95" w14:textId="77777777">
      <w:pPr>
        <w:rPr>
          <w:rFonts w:asciiTheme="majorBidi" w:hAnsiTheme="majorBidi" w:cstheme="majorBidi"/>
          <w:b/>
        </w:rPr>
      </w:pPr>
    </w:p>
    <w:p w:rsidRPr="00704E80" w:rsidR="008253DD" w:rsidP="009B774E" w:rsidRDefault="008253DD" w14:paraId="6E3E452C" w14:textId="62A41AE3">
      <w:pPr>
        <w:rPr>
          <w:rFonts w:asciiTheme="majorBidi" w:hAnsiTheme="majorBidi" w:cstheme="majorBidi"/>
          <w:b/>
          <w:sz w:val="22"/>
          <w:szCs w:val="22"/>
        </w:rPr>
      </w:pPr>
      <w:r w:rsidRPr="00704E80">
        <w:rPr>
          <w:rFonts w:asciiTheme="majorBidi" w:hAnsiTheme="majorBidi" w:cstheme="majorBidi"/>
          <w:b/>
          <w:sz w:val="22"/>
          <w:szCs w:val="22"/>
        </w:rPr>
        <w:t xml:space="preserve">Table 4-A: Estimated Burden/Cost per “Type B” </w:t>
      </w:r>
      <w:r w:rsidRPr="00704E80" w:rsidR="004F1F2A">
        <w:rPr>
          <w:rFonts w:asciiTheme="majorBidi" w:hAnsiTheme="majorBidi" w:cstheme="majorBidi"/>
          <w:b/>
          <w:sz w:val="22"/>
          <w:szCs w:val="22"/>
        </w:rPr>
        <w:t xml:space="preserve">Registration </w:t>
      </w:r>
      <w:r w:rsidRPr="00704E80">
        <w:rPr>
          <w:rFonts w:asciiTheme="majorBidi" w:hAnsiTheme="majorBidi" w:cstheme="majorBidi"/>
          <w:b/>
          <w:sz w:val="22"/>
          <w:szCs w:val="22"/>
        </w:rPr>
        <w:t>Application/Notification</w:t>
      </w:r>
    </w:p>
    <w:tbl>
      <w:tblPr>
        <w:tblW w:w="5000" w:type="pct"/>
        <w:tblBorders>
          <w:top w:val="double" w:color="808080" w:themeColor="background1" w:themeShade="80" w:sz="4" w:space="0"/>
          <w:left w:val="double" w:color="808080" w:themeColor="background1" w:themeShade="80" w:sz="4" w:space="0"/>
          <w:bottom w:val="double" w:color="808080" w:themeColor="background1" w:themeShade="80" w:sz="4" w:space="0"/>
          <w:right w:val="double" w:color="808080" w:themeColor="background1" w:themeShade="80" w:sz="4" w:space="0"/>
          <w:insideH w:val="single" w:color="808080" w:themeColor="background1" w:themeShade="80" w:sz="4" w:space="0"/>
          <w:insideV w:val="single" w:color="808080" w:themeColor="background1" w:themeShade="80" w:sz="4" w:space="0"/>
        </w:tblBorders>
        <w:tblLook w:val="0000" w:firstRow="0" w:lastRow="0" w:firstColumn="0" w:lastColumn="0" w:noHBand="0" w:noVBand="0"/>
      </w:tblPr>
      <w:tblGrid>
        <w:gridCol w:w="2701"/>
        <w:gridCol w:w="1362"/>
        <w:gridCol w:w="1362"/>
        <w:gridCol w:w="1362"/>
        <w:gridCol w:w="1181"/>
        <w:gridCol w:w="1362"/>
      </w:tblGrid>
      <w:tr w:rsidRPr="00704E80" w:rsidR="00C270C5" w:rsidTr="007D140D" w14:paraId="189F25A5" w14:textId="77777777">
        <w:trPr>
          <w:trHeight w:val="330"/>
        </w:trPr>
        <w:tc>
          <w:tcPr>
            <w:tcW w:w="1447" w:type="pct"/>
            <w:vMerge w:val="restart"/>
            <w:shd w:val="clear" w:color="auto" w:fill="auto"/>
            <w:vAlign w:val="center"/>
          </w:tcPr>
          <w:p w:rsidRPr="00704E80" w:rsidR="008253DD" w:rsidP="009B774E" w:rsidRDefault="008253DD" w14:paraId="65F0A417" w14:textId="77777777">
            <w:pPr>
              <w:jc w:val="center"/>
              <w:rPr>
                <w:rFonts w:asciiTheme="majorBidi" w:hAnsiTheme="majorBidi" w:cstheme="majorBidi"/>
                <w:b/>
                <w:bCs/>
                <w:sz w:val="21"/>
                <w:szCs w:val="21"/>
              </w:rPr>
            </w:pPr>
            <w:r w:rsidRPr="00704E80">
              <w:rPr>
                <w:rFonts w:asciiTheme="majorBidi" w:hAnsiTheme="majorBidi" w:cstheme="majorBidi"/>
                <w:b/>
                <w:bCs/>
                <w:sz w:val="21"/>
                <w:szCs w:val="21"/>
              </w:rPr>
              <w:t>Collection Activities,</w:t>
            </w:r>
            <w:r w:rsidRPr="00704E80">
              <w:rPr>
                <w:rFonts w:asciiTheme="majorBidi" w:hAnsiTheme="majorBidi" w:cstheme="majorBidi"/>
                <w:b/>
                <w:bCs/>
                <w:sz w:val="21"/>
                <w:szCs w:val="21"/>
              </w:rPr>
              <w:br/>
              <w:t>Type B</w:t>
            </w:r>
          </w:p>
        </w:tc>
        <w:tc>
          <w:tcPr>
            <w:tcW w:w="2190" w:type="pct"/>
            <w:gridSpan w:val="3"/>
            <w:shd w:val="clear" w:color="auto" w:fill="auto"/>
          </w:tcPr>
          <w:p w:rsidRPr="00704E80" w:rsidR="008253DD" w:rsidP="009B774E" w:rsidRDefault="008253DD" w14:paraId="5BD3F0FA" w14:textId="025CCEC2">
            <w:pPr>
              <w:jc w:val="center"/>
              <w:rPr>
                <w:rFonts w:asciiTheme="majorBidi" w:hAnsiTheme="majorBidi" w:cstheme="majorBidi"/>
                <w:b/>
                <w:bCs/>
                <w:sz w:val="21"/>
                <w:szCs w:val="21"/>
              </w:rPr>
            </w:pPr>
            <w:r w:rsidRPr="00704E80">
              <w:rPr>
                <w:rFonts w:asciiTheme="majorBidi" w:hAnsiTheme="majorBidi" w:cstheme="majorBidi"/>
                <w:b/>
                <w:bCs/>
                <w:sz w:val="21"/>
                <w:szCs w:val="21"/>
              </w:rPr>
              <w:t xml:space="preserve">Burden </w:t>
            </w:r>
            <w:r w:rsidR="008C3AB1">
              <w:rPr>
                <w:rFonts w:asciiTheme="majorBidi" w:hAnsiTheme="majorBidi" w:cstheme="majorBidi"/>
                <w:b/>
                <w:bCs/>
                <w:sz w:val="21"/>
                <w:szCs w:val="21"/>
              </w:rPr>
              <w:t>(</w:t>
            </w:r>
            <w:r w:rsidRPr="00704E80">
              <w:rPr>
                <w:rFonts w:asciiTheme="majorBidi" w:hAnsiTheme="majorBidi" w:cstheme="majorBidi"/>
                <w:b/>
                <w:bCs/>
                <w:sz w:val="21"/>
                <w:szCs w:val="21"/>
              </w:rPr>
              <w:t>Hours</w:t>
            </w:r>
            <w:r w:rsidR="008C3AB1">
              <w:rPr>
                <w:rFonts w:asciiTheme="majorBidi" w:hAnsiTheme="majorBidi" w:cstheme="majorBidi"/>
                <w:b/>
                <w:bCs/>
                <w:sz w:val="21"/>
                <w:szCs w:val="21"/>
              </w:rPr>
              <w:t>)</w:t>
            </w:r>
          </w:p>
        </w:tc>
        <w:tc>
          <w:tcPr>
            <w:tcW w:w="1363" w:type="pct"/>
            <w:gridSpan w:val="2"/>
            <w:shd w:val="clear" w:color="auto" w:fill="auto"/>
          </w:tcPr>
          <w:p w:rsidRPr="00704E80" w:rsidR="008253DD" w:rsidP="009B774E" w:rsidRDefault="008253DD" w14:paraId="6CD092DD" w14:textId="77777777">
            <w:pPr>
              <w:jc w:val="center"/>
              <w:rPr>
                <w:rFonts w:asciiTheme="majorBidi" w:hAnsiTheme="majorBidi" w:cstheme="majorBidi"/>
                <w:b/>
                <w:bCs/>
                <w:sz w:val="21"/>
                <w:szCs w:val="21"/>
              </w:rPr>
            </w:pPr>
            <w:r w:rsidRPr="00704E80">
              <w:rPr>
                <w:rFonts w:asciiTheme="majorBidi" w:hAnsiTheme="majorBidi" w:cstheme="majorBidi"/>
                <w:b/>
                <w:bCs/>
                <w:sz w:val="21"/>
                <w:szCs w:val="21"/>
              </w:rPr>
              <w:t>Total</w:t>
            </w:r>
          </w:p>
        </w:tc>
      </w:tr>
      <w:tr w:rsidRPr="00704E80" w:rsidR="00C270C5" w:rsidTr="007D140D" w14:paraId="1A0A77F1" w14:textId="77777777">
        <w:trPr>
          <w:trHeight w:val="315"/>
        </w:trPr>
        <w:tc>
          <w:tcPr>
            <w:tcW w:w="1447" w:type="pct"/>
            <w:vMerge/>
            <w:vAlign w:val="center"/>
          </w:tcPr>
          <w:p w:rsidRPr="00704E80" w:rsidR="008253DD" w:rsidP="009B774E" w:rsidRDefault="008253DD" w14:paraId="2C73DA13" w14:textId="77777777">
            <w:pPr>
              <w:rPr>
                <w:rFonts w:asciiTheme="majorBidi" w:hAnsiTheme="majorBidi" w:cstheme="majorBidi"/>
                <w:b/>
                <w:bCs/>
                <w:sz w:val="21"/>
                <w:szCs w:val="21"/>
              </w:rPr>
            </w:pPr>
          </w:p>
        </w:tc>
        <w:tc>
          <w:tcPr>
            <w:tcW w:w="730" w:type="pct"/>
            <w:shd w:val="clear" w:color="auto" w:fill="auto"/>
            <w:vAlign w:val="center"/>
          </w:tcPr>
          <w:p w:rsidRPr="00704E80" w:rsidR="008253DD" w:rsidP="009B774E" w:rsidRDefault="00CB40F4" w14:paraId="7381C80A" w14:textId="0B0A6111">
            <w:pPr>
              <w:jc w:val="center"/>
              <w:rPr>
                <w:rFonts w:asciiTheme="majorBidi" w:hAnsiTheme="majorBidi" w:cstheme="majorBidi"/>
                <w:sz w:val="21"/>
                <w:szCs w:val="21"/>
              </w:rPr>
            </w:pPr>
            <w:r w:rsidRPr="00704E80">
              <w:rPr>
                <w:rFonts w:asciiTheme="majorBidi" w:hAnsiTheme="majorBidi" w:cstheme="majorBidi"/>
                <w:sz w:val="22"/>
                <w:szCs w:val="22"/>
              </w:rPr>
              <w:t>Mgmt.</w:t>
            </w:r>
          </w:p>
        </w:tc>
        <w:tc>
          <w:tcPr>
            <w:tcW w:w="730" w:type="pct"/>
            <w:shd w:val="clear" w:color="auto" w:fill="auto"/>
            <w:vAlign w:val="center"/>
          </w:tcPr>
          <w:p w:rsidRPr="00704E80" w:rsidR="008253DD" w:rsidP="009B774E" w:rsidRDefault="008253DD" w14:paraId="54E4303A" w14:textId="77777777">
            <w:pPr>
              <w:jc w:val="center"/>
              <w:rPr>
                <w:rFonts w:asciiTheme="majorBidi" w:hAnsiTheme="majorBidi" w:cstheme="majorBidi"/>
                <w:sz w:val="21"/>
                <w:szCs w:val="21"/>
              </w:rPr>
            </w:pPr>
            <w:r w:rsidRPr="00704E80">
              <w:rPr>
                <w:rFonts w:asciiTheme="majorBidi" w:hAnsiTheme="majorBidi" w:cstheme="majorBidi"/>
                <w:sz w:val="22"/>
                <w:szCs w:val="22"/>
              </w:rPr>
              <w:t>Technical</w:t>
            </w:r>
          </w:p>
        </w:tc>
        <w:tc>
          <w:tcPr>
            <w:tcW w:w="730" w:type="pct"/>
            <w:shd w:val="clear" w:color="auto" w:fill="auto"/>
            <w:vAlign w:val="center"/>
          </w:tcPr>
          <w:p w:rsidRPr="00704E80" w:rsidR="008253DD" w:rsidP="009B774E" w:rsidRDefault="008253DD" w14:paraId="511B0001" w14:textId="77777777">
            <w:pPr>
              <w:jc w:val="center"/>
              <w:rPr>
                <w:rFonts w:asciiTheme="majorBidi" w:hAnsiTheme="majorBidi" w:cstheme="majorBidi"/>
                <w:sz w:val="21"/>
                <w:szCs w:val="21"/>
              </w:rPr>
            </w:pPr>
            <w:r w:rsidRPr="00704E80">
              <w:rPr>
                <w:rFonts w:asciiTheme="majorBidi" w:hAnsiTheme="majorBidi" w:cstheme="majorBidi"/>
                <w:sz w:val="22"/>
                <w:szCs w:val="22"/>
              </w:rPr>
              <w:t>Clerical</w:t>
            </w:r>
          </w:p>
        </w:tc>
        <w:tc>
          <w:tcPr>
            <w:tcW w:w="633" w:type="pct"/>
            <w:vMerge w:val="restart"/>
            <w:shd w:val="clear" w:color="auto" w:fill="auto"/>
            <w:vAlign w:val="center"/>
          </w:tcPr>
          <w:p w:rsidRPr="00704E80" w:rsidR="008253DD" w:rsidP="009B774E" w:rsidRDefault="008253DD" w14:paraId="13DC0586" w14:textId="77777777">
            <w:pPr>
              <w:jc w:val="center"/>
              <w:rPr>
                <w:rFonts w:asciiTheme="majorBidi" w:hAnsiTheme="majorBidi" w:cstheme="majorBidi"/>
                <w:sz w:val="21"/>
                <w:szCs w:val="21"/>
              </w:rPr>
            </w:pPr>
            <w:r w:rsidRPr="00704E80">
              <w:rPr>
                <w:rFonts w:asciiTheme="majorBidi" w:hAnsiTheme="majorBidi" w:cstheme="majorBidi"/>
                <w:sz w:val="21"/>
                <w:szCs w:val="21"/>
              </w:rPr>
              <w:t>Hours</w:t>
            </w:r>
          </w:p>
        </w:tc>
        <w:tc>
          <w:tcPr>
            <w:tcW w:w="730" w:type="pct"/>
            <w:vMerge w:val="restart"/>
            <w:shd w:val="clear" w:color="auto" w:fill="auto"/>
            <w:vAlign w:val="center"/>
          </w:tcPr>
          <w:p w:rsidRPr="00704E80" w:rsidR="008253DD" w:rsidP="009B774E" w:rsidRDefault="008253DD" w14:paraId="7ACCB361" w14:textId="77777777">
            <w:pPr>
              <w:jc w:val="center"/>
              <w:rPr>
                <w:rFonts w:asciiTheme="majorBidi" w:hAnsiTheme="majorBidi" w:cstheme="majorBidi"/>
                <w:sz w:val="21"/>
                <w:szCs w:val="21"/>
              </w:rPr>
            </w:pPr>
            <w:r w:rsidRPr="00704E80">
              <w:rPr>
                <w:rFonts w:asciiTheme="majorBidi" w:hAnsiTheme="majorBidi" w:cstheme="majorBidi"/>
                <w:sz w:val="21"/>
                <w:szCs w:val="21"/>
              </w:rPr>
              <w:t>Costs</w:t>
            </w:r>
          </w:p>
        </w:tc>
      </w:tr>
      <w:tr w:rsidRPr="00704E80" w:rsidR="00704E80" w:rsidTr="009C2537" w14:paraId="2FDB03D2" w14:textId="77777777">
        <w:trPr>
          <w:trHeight w:val="278"/>
        </w:trPr>
        <w:tc>
          <w:tcPr>
            <w:tcW w:w="1447" w:type="pct"/>
            <w:vMerge/>
            <w:vAlign w:val="center"/>
          </w:tcPr>
          <w:p w:rsidRPr="00704E80" w:rsidR="00704E80" w:rsidP="009B774E" w:rsidRDefault="00704E80" w14:paraId="1EA81B04" w14:textId="77777777">
            <w:pPr>
              <w:rPr>
                <w:rFonts w:asciiTheme="majorBidi" w:hAnsiTheme="majorBidi" w:cstheme="majorBidi"/>
                <w:b/>
                <w:bCs/>
                <w:sz w:val="21"/>
                <w:szCs w:val="21"/>
              </w:rPr>
            </w:pPr>
          </w:p>
        </w:tc>
        <w:tc>
          <w:tcPr>
            <w:tcW w:w="730" w:type="pct"/>
            <w:shd w:val="clear" w:color="auto" w:fill="auto"/>
            <w:vAlign w:val="center"/>
          </w:tcPr>
          <w:p w:rsidRPr="00704E80" w:rsidR="00704E80" w:rsidP="009B774E" w:rsidRDefault="00704E80" w14:paraId="3221205A" w14:textId="7EDD640D">
            <w:pPr>
              <w:jc w:val="center"/>
              <w:rPr>
                <w:rFonts w:asciiTheme="majorBidi" w:hAnsiTheme="majorBidi" w:cstheme="majorBidi"/>
                <w:sz w:val="21"/>
                <w:szCs w:val="21"/>
              </w:rPr>
            </w:pPr>
            <w:r w:rsidRPr="00704E80">
              <w:rPr>
                <w:sz w:val="22"/>
                <w:szCs w:val="22"/>
              </w:rPr>
              <w:t>$143.29/</w:t>
            </w:r>
            <w:proofErr w:type="spellStart"/>
            <w:r w:rsidRPr="00704E80">
              <w:rPr>
                <w:sz w:val="22"/>
                <w:szCs w:val="22"/>
              </w:rPr>
              <w:t>hr</w:t>
            </w:r>
            <w:proofErr w:type="spellEnd"/>
            <w:r w:rsidRPr="00704E80">
              <w:rPr>
                <w:sz w:val="22"/>
                <w:szCs w:val="22"/>
              </w:rPr>
              <w:t xml:space="preserve"> </w:t>
            </w:r>
          </w:p>
        </w:tc>
        <w:tc>
          <w:tcPr>
            <w:tcW w:w="730" w:type="pct"/>
            <w:shd w:val="clear" w:color="auto" w:fill="auto"/>
            <w:vAlign w:val="center"/>
          </w:tcPr>
          <w:p w:rsidRPr="00704E80" w:rsidR="00704E80" w:rsidP="009B774E" w:rsidRDefault="00704E80" w14:paraId="3BE2E381" w14:textId="0E545251">
            <w:pPr>
              <w:jc w:val="center"/>
              <w:rPr>
                <w:rFonts w:asciiTheme="majorBidi" w:hAnsiTheme="majorBidi" w:cstheme="majorBidi"/>
                <w:sz w:val="21"/>
                <w:szCs w:val="21"/>
              </w:rPr>
            </w:pPr>
            <w:r w:rsidRPr="00704E80">
              <w:rPr>
                <w:sz w:val="22"/>
                <w:szCs w:val="22"/>
              </w:rPr>
              <w:t>$74.95/</w:t>
            </w:r>
            <w:proofErr w:type="spellStart"/>
            <w:r w:rsidRPr="00704E80">
              <w:rPr>
                <w:sz w:val="22"/>
                <w:szCs w:val="22"/>
              </w:rPr>
              <w:t>hr</w:t>
            </w:r>
            <w:proofErr w:type="spellEnd"/>
            <w:r w:rsidRPr="00704E80">
              <w:rPr>
                <w:sz w:val="22"/>
                <w:szCs w:val="22"/>
              </w:rPr>
              <w:t xml:space="preserve"> </w:t>
            </w:r>
          </w:p>
        </w:tc>
        <w:tc>
          <w:tcPr>
            <w:tcW w:w="730" w:type="pct"/>
            <w:shd w:val="clear" w:color="auto" w:fill="auto"/>
            <w:vAlign w:val="center"/>
          </w:tcPr>
          <w:p w:rsidRPr="00704E80" w:rsidR="00704E80" w:rsidP="009B774E" w:rsidRDefault="00704E80" w14:paraId="0A3E984B" w14:textId="53E6B030">
            <w:pPr>
              <w:jc w:val="center"/>
              <w:rPr>
                <w:rFonts w:asciiTheme="majorBidi" w:hAnsiTheme="majorBidi" w:cstheme="majorBidi"/>
                <w:sz w:val="21"/>
                <w:szCs w:val="21"/>
              </w:rPr>
            </w:pPr>
            <w:r w:rsidRPr="00704E80">
              <w:rPr>
                <w:sz w:val="22"/>
                <w:szCs w:val="22"/>
              </w:rPr>
              <w:t>$47.78/</w:t>
            </w:r>
            <w:proofErr w:type="spellStart"/>
            <w:r w:rsidRPr="00704E80">
              <w:rPr>
                <w:sz w:val="22"/>
                <w:szCs w:val="22"/>
              </w:rPr>
              <w:t>hr</w:t>
            </w:r>
            <w:proofErr w:type="spellEnd"/>
            <w:r w:rsidRPr="00704E80">
              <w:rPr>
                <w:sz w:val="22"/>
                <w:szCs w:val="22"/>
              </w:rPr>
              <w:t xml:space="preserve"> </w:t>
            </w:r>
          </w:p>
        </w:tc>
        <w:tc>
          <w:tcPr>
            <w:tcW w:w="633" w:type="pct"/>
            <w:vMerge/>
            <w:vAlign w:val="center"/>
          </w:tcPr>
          <w:p w:rsidRPr="00704E80" w:rsidR="00704E80" w:rsidP="009B774E" w:rsidRDefault="00704E80" w14:paraId="1E653337" w14:textId="77777777">
            <w:pPr>
              <w:rPr>
                <w:rFonts w:asciiTheme="majorBidi" w:hAnsiTheme="majorBidi" w:cstheme="majorBidi"/>
                <w:sz w:val="21"/>
                <w:szCs w:val="21"/>
              </w:rPr>
            </w:pPr>
          </w:p>
        </w:tc>
        <w:tc>
          <w:tcPr>
            <w:tcW w:w="730" w:type="pct"/>
            <w:vMerge/>
            <w:vAlign w:val="center"/>
          </w:tcPr>
          <w:p w:rsidRPr="00704E80" w:rsidR="00704E80" w:rsidP="009B774E" w:rsidRDefault="00704E80" w14:paraId="2B6A80C6" w14:textId="77777777">
            <w:pPr>
              <w:rPr>
                <w:rFonts w:asciiTheme="majorBidi" w:hAnsiTheme="majorBidi" w:cstheme="majorBidi"/>
                <w:sz w:val="21"/>
                <w:szCs w:val="21"/>
              </w:rPr>
            </w:pPr>
          </w:p>
        </w:tc>
      </w:tr>
      <w:tr w:rsidRPr="00704E80" w:rsidR="00704E80" w:rsidTr="007D140D" w14:paraId="139B1C2B" w14:textId="77777777">
        <w:trPr>
          <w:trHeight w:val="315"/>
        </w:trPr>
        <w:tc>
          <w:tcPr>
            <w:tcW w:w="1447" w:type="pct"/>
            <w:shd w:val="clear" w:color="auto" w:fill="auto"/>
            <w:vAlign w:val="center"/>
          </w:tcPr>
          <w:p w:rsidRPr="00704E80" w:rsidR="00704E80" w:rsidP="009B774E" w:rsidRDefault="00704E80" w14:paraId="0940320E" w14:textId="77777777">
            <w:pPr>
              <w:rPr>
                <w:rFonts w:asciiTheme="majorBidi" w:hAnsiTheme="majorBidi" w:cstheme="majorBidi"/>
                <w:sz w:val="21"/>
                <w:szCs w:val="21"/>
              </w:rPr>
            </w:pPr>
            <w:r w:rsidRPr="00704E80">
              <w:rPr>
                <w:rFonts w:asciiTheme="majorBidi" w:hAnsiTheme="majorBidi" w:cstheme="majorBidi"/>
                <w:sz w:val="21"/>
                <w:szCs w:val="21"/>
              </w:rPr>
              <w:t>Read Instructions</w:t>
            </w:r>
          </w:p>
        </w:tc>
        <w:tc>
          <w:tcPr>
            <w:tcW w:w="730" w:type="pct"/>
            <w:shd w:val="clear" w:color="auto" w:fill="auto"/>
            <w:vAlign w:val="center"/>
          </w:tcPr>
          <w:p w:rsidRPr="00704E80" w:rsidR="00704E80" w:rsidP="009B774E" w:rsidRDefault="00704E80" w14:paraId="7ECD0ADD" w14:textId="77777777">
            <w:pPr>
              <w:jc w:val="center"/>
              <w:rPr>
                <w:rFonts w:asciiTheme="majorBidi" w:hAnsiTheme="majorBidi" w:cstheme="majorBidi"/>
                <w:sz w:val="21"/>
                <w:szCs w:val="21"/>
              </w:rPr>
            </w:pPr>
            <w:r w:rsidRPr="00704E80">
              <w:rPr>
                <w:rFonts w:asciiTheme="majorBidi" w:hAnsiTheme="majorBidi" w:cstheme="majorBidi"/>
                <w:sz w:val="21"/>
                <w:szCs w:val="21"/>
              </w:rPr>
              <w:t>7</w:t>
            </w:r>
          </w:p>
        </w:tc>
        <w:tc>
          <w:tcPr>
            <w:tcW w:w="730" w:type="pct"/>
            <w:shd w:val="clear" w:color="auto" w:fill="auto"/>
            <w:vAlign w:val="center"/>
          </w:tcPr>
          <w:p w:rsidRPr="00704E80" w:rsidR="00704E80" w:rsidP="009B774E" w:rsidRDefault="00704E80" w14:paraId="1B26C0F1" w14:textId="77777777">
            <w:pPr>
              <w:jc w:val="center"/>
              <w:rPr>
                <w:rFonts w:asciiTheme="majorBidi" w:hAnsiTheme="majorBidi" w:cstheme="majorBidi"/>
                <w:sz w:val="21"/>
                <w:szCs w:val="21"/>
              </w:rPr>
            </w:pPr>
            <w:r w:rsidRPr="00704E80">
              <w:rPr>
                <w:rFonts w:asciiTheme="majorBidi" w:hAnsiTheme="majorBidi" w:cstheme="majorBidi"/>
                <w:sz w:val="21"/>
                <w:szCs w:val="21"/>
              </w:rPr>
              <w:t>0</w:t>
            </w:r>
          </w:p>
        </w:tc>
        <w:tc>
          <w:tcPr>
            <w:tcW w:w="730" w:type="pct"/>
            <w:shd w:val="clear" w:color="auto" w:fill="auto"/>
            <w:vAlign w:val="center"/>
          </w:tcPr>
          <w:p w:rsidRPr="00704E80" w:rsidR="00704E80" w:rsidP="009B774E" w:rsidRDefault="00704E80" w14:paraId="38C48C62" w14:textId="77777777">
            <w:pPr>
              <w:jc w:val="center"/>
              <w:rPr>
                <w:rFonts w:asciiTheme="majorBidi" w:hAnsiTheme="majorBidi" w:cstheme="majorBidi"/>
                <w:sz w:val="21"/>
                <w:szCs w:val="21"/>
              </w:rPr>
            </w:pPr>
            <w:r w:rsidRPr="00704E80">
              <w:rPr>
                <w:rFonts w:asciiTheme="majorBidi" w:hAnsiTheme="majorBidi" w:cstheme="majorBidi"/>
                <w:sz w:val="21"/>
                <w:szCs w:val="21"/>
              </w:rPr>
              <w:t>0</w:t>
            </w:r>
          </w:p>
        </w:tc>
        <w:tc>
          <w:tcPr>
            <w:tcW w:w="633" w:type="pct"/>
            <w:shd w:val="clear" w:color="auto" w:fill="auto"/>
            <w:vAlign w:val="center"/>
          </w:tcPr>
          <w:p w:rsidRPr="00704E80" w:rsidR="00704E80" w:rsidP="009B774E" w:rsidRDefault="00704E80" w14:paraId="674A533B" w14:textId="77777777">
            <w:pPr>
              <w:jc w:val="center"/>
              <w:rPr>
                <w:rFonts w:asciiTheme="majorBidi" w:hAnsiTheme="majorBidi" w:cstheme="majorBidi"/>
                <w:sz w:val="21"/>
                <w:szCs w:val="21"/>
              </w:rPr>
            </w:pPr>
            <w:r w:rsidRPr="00704E80">
              <w:rPr>
                <w:rFonts w:asciiTheme="majorBidi" w:hAnsiTheme="majorBidi" w:cstheme="majorBidi"/>
                <w:sz w:val="21"/>
                <w:szCs w:val="21"/>
              </w:rPr>
              <w:t>7</w:t>
            </w:r>
          </w:p>
        </w:tc>
        <w:tc>
          <w:tcPr>
            <w:tcW w:w="730" w:type="pct"/>
            <w:shd w:val="clear" w:color="auto" w:fill="auto"/>
            <w:vAlign w:val="center"/>
          </w:tcPr>
          <w:p w:rsidRPr="00704E80" w:rsidR="00704E80" w:rsidP="009B774E" w:rsidRDefault="00704E80" w14:paraId="2967F127" w14:textId="5401F535">
            <w:pPr>
              <w:jc w:val="center"/>
              <w:rPr>
                <w:rFonts w:asciiTheme="majorBidi" w:hAnsiTheme="majorBidi" w:cstheme="majorBidi"/>
                <w:sz w:val="21"/>
                <w:szCs w:val="21"/>
              </w:rPr>
            </w:pPr>
            <w:r w:rsidRPr="00704E80">
              <w:rPr>
                <w:sz w:val="22"/>
                <w:szCs w:val="22"/>
              </w:rPr>
              <w:t xml:space="preserve">$1,003 </w:t>
            </w:r>
          </w:p>
        </w:tc>
      </w:tr>
      <w:tr w:rsidRPr="00704E80" w:rsidR="00704E80" w:rsidTr="007D140D" w14:paraId="59A4DD53" w14:textId="77777777">
        <w:trPr>
          <w:trHeight w:val="315"/>
        </w:trPr>
        <w:tc>
          <w:tcPr>
            <w:tcW w:w="1447" w:type="pct"/>
            <w:shd w:val="clear" w:color="auto" w:fill="auto"/>
            <w:vAlign w:val="center"/>
          </w:tcPr>
          <w:p w:rsidRPr="00704E80" w:rsidR="00704E80" w:rsidP="009B774E" w:rsidRDefault="00704E80" w14:paraId="40945D89" w14:textId="77777777">
            <w:pPr>
              <w:rPr>
                <w:rFonts w:asciiTheme="majorBidi" w:hAnsiTheme="majorBidi" w:cstheme="majorBidi"/>
                <w:sz w:val="21"/>
                <w:szCs w:val="21"/>
              </w:rPr>
            </w:pPr>
            <w:r w:rsidRPr="00704E80">
              <w:rPr>
                <w:rFonts w:asciiTheme="majorBidi" w:hAnsiTheme="majorBidi" w:cstheme="majorBidi"/>
                <w:sz w:val="21"/>
                <w:szCs w:val="21"/>
              </w:rPr>
              <w:t>Plan activities</w:t>
            </w:r>
          </w:p>
        </w:tc>
        <w:tc>
          <w:tcPr>
            <w:tcW w:w="730" w:type="pct"/>
            <w:shd w:val="clear" w:color="auto" w:fill="auto"/>
            <w:vAlign w:val="center"/>
          </w:tcPr>
          <w:p w:rsidRPr="00704E80" w:rsidR="00704E80" w:rsidP="009B774E" w:rsidRDefault="00704E80" w14:paraId="16D5284A" w14:textId="77777777">
            <w:pPr>
              <w:jc w:val="center"/>
              <w:rPr>
                <w:rFonts w:asciiTheme="majorBidi" w:hAnsiTheme="majorBidi" w:cstheme="majorBidi"/>
                <w:sz w:val="21"/>
                <w:szCs w:val="21"/>
              </w:rPr>
            </w:pPr>
            <w:r w:rsidRPr="00704E80">
              <w:rPr>
                <w:rFonts w:asciiTheme="majorBidi" w:hAnsiTheme="majorBidi" w:cstheme="majorBidi"/>
                <w:sz w:val="21"/>
                <w:szCs w:val="21"/>
              </w:rPr>
              <w:t>0.5</w:t>
            </w:r>
          </w:p>
        </w:tc>
        <w:tc>
          <w:tcPr>
            <w:tcW w:w="730" w:type="pct"/>
            <w:shd w:val="clear" w:color="auto" w:fill="auto"/>
            <w:vAlign w:val="center"/>
          </w:tcPr>
          <w:p w:rsidRPr="00704E80" w:rsidR="00704E80" w:rsidP="009B774E" w:rsidRDefault="00704E80" w14:paraId="0A77585B" w14:textId="77777777">
            <w:pPr>
              <w:jc w:val="center"/>
              <w:rPr>
                <w:rFonts w:asciiTheme="majorBidi" w:hAnsiTheme="majorBidi" w:cstheme="majorBidi"/>
                <w:sz w:val="21"/>
                <w:szCs w:val="21"/>
              </w:rPr>
            </w:pPr>
            <w:r w:rsidRPr="00704E80">
              <w:rPr>
                <w:rFonts w:asciiTheme="majorBidi" w:hAnsiTheme="majorBidi" w:cstheme="majorBidi"/>
                <w:sz w:val="21"/>
                <w:szCs w:val="21"/>
              </w:rPr>
              <w:t>0</w:t>
            </w:r>
          </w:p>
        </w:tc>
        <w:tc>
          <w:tcPr>
            <w:tcW w:w="730" w:type="pct"/>
            <w:shd w:val="clear" w:color="auto" w:fill="auto"/>
            <w:vAlign w:val="center"/>
          </w:tcPr>
          <w:p w:rsidRPr="00704E80" w:rsidR="00704E80" w:rsidP="009B774E" w:rsidRDefault="00704E80" w14:paraId="1F855AC0" w14:textId="77777777">
            <w:pPr>
              <w:jc w:val="center"/>
              <w:rPr>
                <w:rFonts w:asciiTheme="majorBidi" w:hAnsiTheme="majorBidi" w:cstheme="majorBidi"/>
                <w:sz w:val="21"/>
                <w:szCs w:val="21"/>
              </w:rPr>
            </w:pPr>
            <w:r w:rsidRPr="00704E80">
              <w:rPr>
                <w:rFonts w:asciiTheme="majorBidi" w:hAnsiTheme="majorBidi" w:cstheme="majorBidi"/>
                <w:sz w:val="21"/>
                <w:szCs w:val="21"/>
              </w:rPr>
              <w:t>0</w:t>
            </w:r>
          </w:p>
        </w:tc>
        <w:tc>
          <w:tcPr>
            <w:tcW w:w="633" w:type="pct"/>
            <w:shd w:val="clear" w:color="auto" w:fill="auto"/>
            <w:vAlign w:val="center"/>
          </w:tcPr>
          <w:p w:rsidRPr="00704E80" w:rsidR="00704E80" w:rsidP="009B774E" w:rsidRDefault="00704E80" w14:paraId="59F73A5C" w14:textId="77777777">
            <w:pPr>
              <w:jc w:val="center"/>
              <w:rPr>
                <w:rFonts w:asciiTheme="majorBidi" w:hAnsiTheme="majorBidi" w:cstheme="majorBidi"/>
                <w:sz w:val="21"/>
                <w:szCs w:val="21"/>
              </w:rPr>
            </w:pPr>
            <w:r w:rsidRPr="00704E80">
              <w:rPr>
                <w:rFonts w:asciiTheme="majorBidi" w:hAnsiTheme="majorBidi" w:cstheme="majorBidi"/>
                <w:sz w:val="21"/>
                <w:szCs w:val="21"/>
              </w:rPr>
              <w:t>0.5</w:t>
            </w:r>
          </w:p>
        </w:tc>
        <w:tc>
          <w:tcPr>
            <w:tcW w:w="730" w:type="pct"/>
            <w:shd w:val="clear" w:color="auto" w:fill="auto"/>
            <w:vAlign w:val="center"/>
          </w:tcPr>
          <w:p w:rsidRPr="00704E80" w:rsidR="00704E80" w:rsidP="009B774E" w:rsidRDefault="00704E80" w14:paraId="7C86C79D" w14:textId="6A28CEF0">
            <w:pPr>
              <w:jc w:val="center"/>
              <w:rPr>
                <w:rFonts w:asciiTheme="majorBidi" w:hAnsiTheme="majorBidi" w:cstheme="majorBidi"/>
                <w:sz w:val="21"/>
                <w:szCs w:val="21"/>
              </w:rPr>
            </w:pPr>
            <w:r w:rsidRPr="00704E80">
              <w:rPr>
                <w:sz w:val="22"/>
                <w:szCs w:val="22"/>
              </w:rPr>
              <w:t xml:space="preserve">$72 </w:t>
            </w:r>
          </w:p>
        </w:tc>
      </w:tr>
      <w:tr w:rsidRPr="00704E80" w:rsidR="00704E80" w:rsidTr="007D140D" w14:paraId="54FAF82F" w14:textId="77777777">
        <w:trPr>
          <w:trHeight w:val="315"/>
        </w:trPr>
        <w:tc>
          <w:tcPr>
            <w:tcW w:w="1447" w:type="pct"/>
            <w:shd w:val="clear" w:color="auto" w:fill="auto"/>
            <w:vAlign w:val="center"/>
          </w:tcPr>
          <w:p w:rsidRPr="00704E80" w:rsidR="00704E80" w:rsidP="009B774E" w:rsidRDefault="00704E80" w14:paraId="24CBACC5" w14:textId="77777777">
            <w:pPr>
              <w:rPr>
                <w:rFonts w:asciiTheme="majorBidi" w:hAnsiTheme="majorBidi" w:cstheme="majorBidi"/>
                <w:sz w:val="21"/>
                <w:szCs w:val="21"/>
              </w:rPr>
            </w:pPr>
            <w:r w:rsidRPr="00704E80">
              <w:rPr>
                <w:rFonts w:asciiTheme="majorBidi" w:hAnsiTheme="majorBidi" w:cstheme="majorBidi"/>
                <w:sz w:val="21"/>
                <w:szCs w:val="21"/>
              </w:rPr>
              <w:t>Gather/create information</w:t>
            </w:r>
          </w:p>
        </w:tc>
        <w:tc>
          <w:tcPr>
            <w:tcW w:w="730" w:type="pct"/>
            <w:shd w:val="clear" w:color="auto" w:fill="auto"/>
            <w:vAlign w:val="center"/>
          </w:tcPr>
          <w:p w:rsidRPr="00704E80" w:rsidR="00704E80" w:rsidP="009B774E" w:rsidRDefault="00704E80" w14:paraId="34AFBF75" w14:textId="77777777">
            <w:pPr>
              <w:jc w:val="center"/>
              <w:rPr>
                <w:rFonts w:asciiTheme="majorBidi" w:hAnsiTheme="majorBidi" w:cstheme="majorBidi"/>
                <w:sz w:val="21"/>
                <w:szCs w:val="21"/>
              </w:rPr>
            </w:pPr>
            <w:r w:rsidRPr="00704E80">
              <w:rPr>
                <w:rFonts w:asciiTheme="majorBidi" w:hAnsiTheme="majorBidi" w:cstheme="majorBidi"/>
                <w:sz w:val="21"/>
                <w:szCs w:val="21"/>
              </w:rPr>
              <w:t>0</w:t>
            </w:r>
          </w:p>
        </w:tc>
        <w:tc>
          <w:tcPr>
            <w:tcW w:w="730" w:type="pct"/>
            <w:shd w:val="clear" w:color="auto" w:fill="auto"/>
            <w:vAlign w:val="center"/>
          </w:tcPr>
          <w:p w:rsidRPr="00704E80" w:rsidR="00704E80" w:rsidP="009B774E" w:rsidRDefault="00704E80" w14:paraId="5550C6B1" w14:textId="77777777">
            <w:pPr>
              <w:jc w:val="center"/>
              <w:rPr>
                <w:rFonts w:asciiTheme="majorBidi" w:hAnsiTheme="majorBidi" w:cstheme="majorBidi"/>
                <w:sz w:val="21"/>
                <w:szCs w:val="21"/>
              </w:rPr>
            </w:pPr>
            <w:r w:rsidRPr="00704E80">
              <w:rPr>
                <w:rFonts w:asciiTheme="majorBidi" w:hAnsiTheme="majorBidi" w:cstheme="majorBidi"/>
                <w:sz w:val="21"/>
                <w:szCs w:val="21"/>
              </w:rPr>
              <w:t>1.5</w:t>
            </w:r>
          </w:p>
        </w:tc>
        <w:tc>
          <w:tcPr>
            <w:tcW w:w="730" w:type="pct"/>
            <w:shd w:val="clear" w:color="auto" w:fill="auto"/>
            <w:vAlign w:val="center"/>
          </w:tcPr>
          <w:p w:rsidRPr="00704E80" w:rsidR="00704E80" w:rsidP="009B774E" w:rsidRDefault="00704E80" w14:paraId="16E35051" w14:textId="77777777">
            <w:pPr>
              <w:jc w:val="center"/>
              <w:rPr>
                <w:rFonts w:asciiTheme="majorBidi" w:hAnsiTheme="majorBidi" w:cstheme="majorBidi"/>
                <w:sz w:val="21"/>
                <w:szCs w:val="21"/>
              </w:rPr>
            </w:pPr>
            <w:r w:rsidRPr="00704E80">
              <w:rPr>
                <w:rFonts w:asciiTheme="majorBidi" w:hAnsiTheme="majorBidi" w:cstheme="majorBidi"/>
                <w:sz w:val="21"/>
                <w:szCs w:val="21"/>
              </w:rPr>
              <w:t>0</w:t>
            </w:r>
          </w:p>
        </w:tc>
        <w:tc>
          <w:tcPr>
            <w:tcW w:w="633" w:type="pct"/>
            <w:shd w:val="clear" w:color="auto" w:fill="auto"/>
            <w:vAlign w:val="center"/>
          </w:tcPr>
          <w:p w:rsidRPr="00704E80" w:rsidR="00704E80" w:rsidP="009B774E" w:rsidRDefault="00704E80" w14:paraId="298CE900" w14:textId="77777777">
            <w:pPr>
              <w:jc w:val="center"/>
              <w:rPr>
                <w:rFonts w:asciiTheme="majorBidi" w:hAnsiTheme="majorBidi" w:cstheme="majorBidi"/>
                <w:sz w:val="21"/>
                <w:szCs w:val="21"/>
              </w:rPr>
            </w:pPr>
            <w:r w:rsidRPr="00704E80">
              <w:rPr>
                <w:rFonts w:asciiTheme="majorBidi" w:hAnsiTheme="majorBidi" w:cstheme="majorBidi"/>
                <w:sz w:val="21"/>
                <w:szCs w:val="21"/>
              </w:rPr>
              <w:t>1.5</w:t>
            </w:r>
          </w:p>
        </w:tc>
        <w:tc>
          <w:tcPr>
            <w:tcW w:w="730" w:type="pct"/>
            <w:shd w:val="clear" w:color="auto" w:fill="auto"/>
            <w:vAlign w:val="center"/>
          </w:tcPr>
          <w:p w:rsidRPr="00704E80" w:rsidR="00704E80" w:rsidP="009B774E" w:rsidRDefault="00704E80" w14:paraId="1DD379F9" w14:textId="3A97C17A">
            <w:pPr>
              <w:jc w:val="center"/>
              <w:rPr>
                <w:rFonts w:asciiTheme="majorBidi" w:hAnsiTheme="majorBidi" w:cstheme="majorBidi"/>
                <w:sz w:val="21"/>
                <w:szCs w:val="21"/>
              </w:rPr>
            </w:pPr>
            <w:r w:rsidRPr="00704E80">
              <w:rPr>
                <w:sz w:val="22"/>
                <w:szCs w:val="22"/>
              </w:rPr>
              <w:t xml:space="preserve">$112 </w:t>
            </w:r>
          </w:p>
        </w:tc>
      </w:tr>
      <w:tr w:rsidRPr="00704E80" w:rsidR="00704E80" w:rsidTr="007D140D" w14:paraId="1BD43930" w14:textId="77777777">
        <w:trPr>
          <w:trHeight w:val="315"/>
        </w:trPr>
        <w:tc>
          <w:tcPr>
            <w:tcW w:w="1447" w:type="pct"/>
            <w:shd w:val="clear" w:color="auto" w:fill="auto"/>
            <w:vAlign w:val="center"/>
          </w:tcPr>
          <w:p w:rsidRPr="00704E80" w:rsidR="00704E80" w:rsidP="009B774E" w:rsidRDefault="00704E80" w14:paraId="3B0FFBCA" w14:textId="77777777">
            <w:pPr>
              <w:rPr>
                <w:rFonts w:asciiTheme="majorBidi" w:hAnsiTheme="majorBidi" w:cstheme="majorBidi"/>
                <w:sz w:val="21"/>
                <w:szCs w:val="21"/>
              </w:rPr>
            </w:pPr>
            <w:r w:rsidRPr="00704E80">
              <w:rPr>
                <w:rFonts w:asciiTheme="majorBidi" w:hAnsiTheme="majorBidi" w:cstheme="majorBidi"/>
                <w:sz w:val="21"/>
                <w:szCs w:val="21"/>
              </w:rPr>
              <w:t>Compile and review</w:t>
            </w:r>
          </w:p>
        </w:tc>
        <w:tc>
          <w:tcPr>
            <w:tcW w:w="730" w:type="pct"/>
            <w:shd w:val="clear" w:color="auto" w:fill="auto"/>
            <w:vAlign w:val="center"/>
          </w:tcPr>
          <w:p w:rsidRPr="00704E80" w:rsidR="00704E80" w:rsidP="009B774E" w:rsidRDefault="00704E80" w14:paraId="6F3B509E" w14:textId="77777777">
            <w:pPr>
              <w:jc w:val="center"/>
              <w:rPr>
                <w:rFonts w:asciiTheme="majorBidi" w:hAnsiTheme="majorBidi" w:cstheme="majorBidi"/>
                <w:sz w:val="21"/>
                <w:szCs w:val="21"/>
              </w:rPr>
            </w:pPr>
            <w:r w:rsidRPr="00704E80">
              <w:rPr>
                <w:rFonts w:asciiTheme="majorBidi" w:hAnsiTheme="majorBidi" w:cstheme="majorBidi"/>
                <w:sz w:val="21"/>
                <w:szCs w:val="21"/>
              </w:rPr>
              <w:t>0.5</w:t>
            </w:r>
          </w:p>
        </w:tc>
        <w:tc>
          <w:tcPr>
            <w:tcW w:w="730" w:type="pct"/>
            <w:shd w:val="clear" w:color="auto" w:fill="auto"/>
            <w:vAlign w:val="center"/>
          </w:tcPr>
          <w:p w:rsidRPr="00704E80" w:rsidR="00704E80" w:rsidP="009B774E" w:rsidRDefault="00704E80" w14:paraId="5190AE3D" w14:textId="77777777">
            <w:pPr>
              <w:jc w:val="center"/>
              <w:rPr>
                <w:rFonts w:asciiTheme="majorBidi" w:hAnsiTheme="majorBidi" w:cstheme="majorBidi"/>
                <w:sz w:val="21"/>
                <w:szCs w:val="21"/>
              </w:rPr>
            </w:pPr>
            <w:r w:rsidRPr="00704E80">
              <w:rPr>
                <w:rFonts w:asciiTheme="majorBidi" w:hAnsiTheme="majorBidi" w:cstheme="majorBidi"/>
                <w:sz w:val="21"/>
                <w:szCs w:val="21"/>
              </w:rPr>
              <w:t>0.5</w:t>
            </w:r>
          </w:p>
        </w:tc>
        <w:tc>
          <w:tcPr>
            <w:tcW w:w="730" w:type="pct"/>
            <w:shd w:val="clear" w:color="auto" w:fill="auto"/>
            <w:vAlign w:val="center"/>
          </w:tcPr>
          <w:p w:rsidRPr="00704E80" w:rsidR="00704E80" w:rsidP="009B774E" w:rsidRDefault="00704E80" w14:paraId="36794948" w14:textId="77777777">
            <w:pPr>
              <w:jc w:val="center"/>
              <w:rPr>
                <w:rFonts w:asciiTheme="majorBidi" w:hAnsiTheme="majorBidi" w:cstheme="majorBidi"/>
                <w:sz w:val="21"/>
                <w:szCs w:val="21"/>
              </w:rPr>
            </w:pPr>
            <w:r w:rsidRPr="00704E80">
              <w:rPr>
                <w:rFonts w:asciiTheme="majorBidi" w:hAnsiTheme="majorBidi" w:cstheme="majorBidi"/>
                <w:sz w:val="21"/>
                <w:szCs w:val="21"/>
              </w:rPr>
              <w:t>0</w:t>
            </w:r>
          </w:p>
        </w:tc>
        <w:tc>
          <w:tcPr>
            <w:tcW w:w="633" w:type="pct"/>
            <w:shd w:val="clear" w:color="auto" w:fill="auto"/>
            <w:vAlign w:val="center"/>
          </w:tcPr>
          <w:p w:rsidRPr="00704E80" w:rsidR="00704E80" w:rsidP="009B774E" w:rsidRDefault="00704E80" w14:paraId="65FD10F1" w14:textId="77777777">
            <w:pPr>
              <w:jc w:val="center"/>
              <w:rPr>
                <w:rFonts w:asciiTheme="majorBidi" w:hAnsiTheme="majorBidi" w:cstheme="majorBidi"/>
                <w:sz w:val="21"/>
                <w:szCs w:val="21"/>
              </w:rPr>
            </w:pPr>
            <w:r w:rsidRPr="00704E80">
              <w:rPr>
                <w:rFonts w:asciiTheme="majorBidi" w:hAnsiTheme="majorBidi" w:cstheme="majorBidi"/>
                <w:sz w:val="21"/>
                <w:szCs w:val="21"/>
              </w:rPr>
              <w:t>1</w:t>
            </w:r>
          </w:p>
        </w:tc>
        <w:tc>
          <w:tcPr>
            <w:tcW w:w="730" w:type="pct"/>
            <w:shd w:val="clear" w:color="auto" w:fill="auto"/>
            <w:vAlign w:val="center"/>
          </w:tcPr>
          <w:p w:rsidRPr="00704E80" w:rsidR="00704E80" w:rsidP="009B774E" w:rsidRDefault="00704E80" w14:paraId="387FD9D3" w14:textId="6AE63B8F">
            <w:pPr>
              <w:jc w:val="center"/>
              <w:rPr>
                <w:rFonts w:asciiTheme="majorBidi" w:hAnsiTheme="majorBidi" w:cstheme="majorBidi"/>
                <w:sz w:val="21"/>
                <w:szCs w:val="21"/>
              </w:rPr>
            </w:pPr>
            <w:r w:rsidRPr="00704E80">
              <w:rPr>
                <w:sz w:val="22"/>
                <w:szCs w:val="22"/>
              </w:rPr>
              <w:t xml:space="preserve">$109 </w:t>
            </w:r>
          </w:p>
        </w:tc>
      </w:tr>
      <w:tr w:rsidRPr="00704E80" w:rsidR="00704E80" w:rsidTr="007D140D" w14:paraId="20F8ACC9" w14:textId="77777777">
        <w:trPr>
          <w:trHeight w:val="315"/>
        </w:trPr>
        <w:tc>
          <w:tcPr>
            <w:tcW w:w="1447" w:type="pct"/>
            <w:shd w:val="clear" w:color="auto" w:fill="auto"/>
            <w:vAlign w:val="center"/>
          </w:tcPr>
          <w:p w:rsidRPr="00704E80" w:rsidR="00704E80" w:rsidP="009B774E" w:rsidRDefault="00704E80" w14:paraId="37A2AF7E" w14:textId="77777777">
            <w:pPr>
              <w:rPr>
                <w:rFonts w:asciiTheme="majorBidi" w:hAnsiTheme="majorBidi" w:cstheme="majorBidi"/>
                <w:sz w:val="21"/>
                <w:szCs w:val="21"/>
              </w:rPr>
            </w:pPr>
            <w:r w:rsidRPr="00704E80">
              <w:rPr>
                <w:rFonts w:asciiTheme="majorBidi" w:hAnsiTheme="majorBidi" w:cstheme="majorBidi"/>
                <w:sz w:val="21"/>
                <w:szCs w:val="21"/>
              </w:rPr>
              <w:t>Complete paperwork</w:t>
            </w:r>
          </w:p>
        </w:tc>
        <w:tc>
          <w:tcPr>
            <w:tcW w:w="730" w:type="pct"/>
            <w:shd w:val="clear" w:color="auto" w:fill="auto"/>
            <w:vAlign w:val="center"/>
          </w:tcPr>
          <w:p w:rsidRPr="00704E80" w:rsidR="00704E80" w:rsidP="009B774E" w:rsidRDefault="00704E80" w14:paraId="7733526E" w14:textId="77777777">
            <w:pPr>
              <w:jc w:val="center"/>
              <w:rPr>
                <w:rFonts w:asciiTheme="majorBidi" w:hAnsiTheme="majorBidi" w:cstheme="majorBidi"/>
                <w:sz w:val="21"/>
                <w:szCs w:val="21"/>
              </w:rPr>
            </w:pPr>
            <w:r w:rsidRPr="00704E80">
              <w:rPr>
                <w:rFonts w:asciiTheme="majorBidi" w:hAnsiTheme="majorBidi" w:cstheme="majorBidi"/>
                <w:sz w:val="21"/>
                <w:szCs w:val="21"/>
              </w:rPr>
              <w:t>0</w:t>
            </w:r>
          </w:p>
        </w:tc>
        <w:tc>
          <w:tcPr>
            <w:tcW w:w="730" w:type="pct"/>
            <w:shd w:val="clear" w:color="auto" w:fill="auto"/>
            <w:vAlign w:val="center"/>
          </w:tcPr>
          <w:p w:rsidRPr="00704E80" w:rsidR="00704E80" w:rsidP="009B774E" w:rsidRDefault="00704E80" w14:paraId="06EE481D" w14:textId="77777777">
            <w:pPr>
              <w:jc w:val="center"/>
              <w:rPr>
                <w:rFonts w:asciiTheme="majorBidi" w:hAnsiTheme="majorBidi" w:cstheme="majorBidi"/>
                <w:sz w:val="21"/>
                <w:szCs w:val="21"/>
              </w:rPr>
            </w:pPr>
            <w:r w:rsidRPr="00704E80">
              <w:rPr>
                <w:rFonts w:asciiTheme="majorBidi" w:hAnsiTheme="majorBidi" w:cstheme="majorBidi"/>
                <w:sz w:val="21"/>
                <w:szCs w:val="21"/>
              </w:rPr>
              <w:t>0</w:t>
            </w:r>
          </w:p>
        </w:tc>
        <w:tc>
          <w:tcPr>
            <w:tcW w:w="730" w:type="pct"/>
            <w:shd w:val="clear" w:color="auto" w:fill="auto"/>
            <w:vAlign w:val="center"/>
          </w:tcPr>
          <w:p w:rsidRPr="00704E80" w:rsidR="00704E80" w:rsidP="009B774E" w:rsidRDefault="00704E80" w14:paraId="7E5147A3" w14:textId="77777777">
            <w:pPr>
              <w:jc w:val="center"/>
              <w:rPr>
                <w:rFonts w:asciiTheme="majorBidi" w:hAnsiTheme="majorBidi" w:cstheme="majorBidi"/>
                <w:sz w:val="21"/>
                <w:szCs w:val="21"/>
              </w:rPr>
            </w:pPr>
            <w:r w:rsidRPr="00704E80">
              <w:rPr>
                <w:rFonts w:asciiTheme="majorBidi" w:hAnsiTheme="majorBidi" w:cstheme="majorBidi"/>
                <w:sz w:val="21"/>
                <w:szCs w:val="21"/>
              </w:rPr>
              <w:t>3</w:t>
            </w:r>
          </w:p>
        </w:tc>
        <w:tc>
          <w:tcPr>
            <w:tcW w:w="633" w:type="pct"/>
            <w:shd w:val="clear" w:color="auto" w:fill="auto"/>
            <w:vAlign w:val="center"/>
          </w:tcPr>
          <w:p w:rsidRPr="00704E80" w:rsidR="00704E80" w:rsidP="009B774E" w:rsidRDefault="00704E80" w14:paraId="0F3646E2" w14:textId="77777777">
            <w:pPr>
              <w:jc w:val="center"/>
              <w:rPr>
                <w:rFonts w:asciiTheme="majorBidi" w:hAnsiTheme="majorBidi" w:cstheme="majorBidi"/>
                <w:sz w:val="21"/>
                <w:szCs w:val="21"/>
              </w:rPr>
            </w:pPr>
            <w:r w:rsidRPr="00704E80">
              <w:rPr>
                <w:rFonts w:asciiTheme="majorBidi" w:hAnsiTheme="majorBidi" w:cstheme="majorBidi"/>
                <w:sz w:val="21"/>
                <w:szCs w:val="21"/>
              </w:rPr>
              <w:t>3</w:t>
            </w:r>
          </w:p>
        </w:tc>
        <w:tc>
          <w:tcPr>
            <w:tcW w:w="730" w:type="pct"/>
            <w:shd w:val="clear" w:color="auto" w:fill="auto"/>
            <w:vAlign w:val="center"/>
          </w:tcPr>
          <w:p w:rsidRPr="00704E80" w:rsidR="00704E80" w:rsidP="009B774E" w:rsidRDefault="00704E80" w14:paraId="3049F996" w14:textId="1D87DFC7">
            <w:pPr>
              <w:jc w:val="center"/>
              <w:rPr>
                <w:rFonts w:asciiTheme="majorBidi" w:hAnsiTheme="majorBidi" w:cstheme="majorBidi"/>
                <w:sz w:val="21"/>
                <w:szCs w:val="21"/>
              </w:rPr>
            </w:pPr>
            <w:r w:rsidRPr="00704E80">
              <w:rPr>
                <w:sz w:val="22"/>
                <w:szCs w:val="22"/>
              </w:rPr>
              <w:t xml:space="preserve">$143 </w:t>
            </w:r>
          </w:p>
        </w:tc>
      </w:tr>
      <w:tr w:rsidRPr="00704E80" w:rsidR="00704E80" w:rsidTr="007D140D" w14:paraId="3F077C6B" w14:textId="77777777">
        <w:trPr>
          <w:trHeight w:val="315"/>
        </w:trPr>
        <w:tc>
          <w:tcPr>
            <w:tcW w:w="1447" w:type="pct"/>
            <w:shd w:val="clear" w:color="auto" w:fill="auto"/>
            <w:vAlign w:val="center"/>
          </w:tcPr>
          <w:p w:rsidRPr="00704E80" w:rsidR="00704E80" w:rsidP="009B774E" w:rsidRDefault="00704E80" w14:paraId="2F8E664F" w14:textId="00F8D9BD">
            <w:pPr>
              <w:rPr>
                <w:rFonts w:asciiTheme="majorBidi" w:hAnsiTheme="majorBidi" w:cstheme="majorBidi"/>
                <w:sz w:val="21"/>
                <w:szCs w:val="21"/>
              </w:rPr>
            </w:pPr>
            <w:r w:rsidRPr="00704E80">
              <w:rPr>
                <w:rFonts w:asciiTheme="majorBidi" w:hAnsiTheme="majorBidi" w:cstheme="majorBidi"/>
                <w:sz w:val="21"/>
                <w:szCs w:val="21"/>
              </w:rPr>
              <w:t>Submit information</w:t>
            </w:r>
          </w:p>
        </w:tc>
        <w:tc>
          <w:tcPr>
            <w:tcW w:w="730" w:type="pct"/>
            <w:shd w:val="clear" w:color="auto" w:fill="auto"/>
            <w:vAlign w:val="center"/>
          </w:tcPr>
          <w:p w:rsidRPr="00704E80" w:rsidR="00704E80" w:rsidP="009B774E" w:rsidRDefault="00704E80" w14:paraId="04F7A464" w14:textId="77777777">
            <w:pPr>
              <w:jc w:val="center"/>
              <w:rPr>
                <w:rFonts w:asciiTheme="majorBidi" w:hAnsiTheme="majorBidi" w:cstheme="majorBidi"/>
                <w:sz w:val="21"/>
                <w:szCs w:val="21"/>
              </w:rPr>
            </w:pPr>
          </w:p>
        </w:tc>
        <w:tc>
          <w:tcPr>
            <w:tcW w:w="730" w:type="pct"/>
            <w:shd w:val="clear" w:color="auto" w:fill="auto"/>
            <w:vAlign w:val="center"/>
          </w:tcPr>
          <w:p w:rsidRPr="00704E80" w:rsidR="00704E80" w:rsidP="009B774E" w:rsidRDefault="00704E80" w14:paraId="2B6A52F1" w14:textId="77777777">
            <w:pPr>
              <w:jc w:val="center"/>
              <w:rPr>
                <w:rFonts w:asciiTheme="majorBidi" w:hAnsiTheme="majorBidi" w:cstheme="majorBidi"/>
                <w:sz w:val="21"/>
                <w:szCs w:val="21"/>
              </w:rPr>
            </w:pPr>
          </w:p>
        </w:tc>
        <w:tc>
          <w:tcPr>
            <w:tcW w:w="730" w:type="pct"/>
            <w:shd w:val="clear" w:color="auto" w:fill="auto"/>
            <w:vAlign w:val="center"/>
          </w:tcPr>
          <w:p w:rsidRPr="00704E80" w:rsidR="00704E80" w:rsidP="009B774E" w:rsidRDefault="00704E80" w14:paraId="28FCAD63" w14:textId="77777777">
            <w:pPr>
              <w:jc w:val="center"/>
              <w:rPr>
                <w:rFonts w:asciiTheme="majorBidi" w:hAnsiTheme="majorBidi" w:cstheme="majorBidi"/>
                <w:sz w:val="21"/>
                <w:szCs w:val="21"/>
              </w:rPr>
            </w:pPr>
          </w:p>
        </w:tc>
        <w:tc>
          <w:tcPr>
            <w:tcW w:w="633" w:type="pct"/>
            <w:shd w:val="clear" w:color="auto" w:fill="auto"/>
            <w:vAlign w:val="center"/>
          </w:tcPr>
          <w:p w:rsidRPr="00704E80" w:rsidR="00704E80" w:rsidP="009B774E" w:rsidRDefault="00704E80" w14:paraId="00946D89" w14:textId="77777777">
            <w:pPr>
              <w:jc w:val="center"/>
              <w:rPr>
                <w:rFonts w:asciiTheme="majorBidi" w:hAnsiTheme="majorBidi" w:cstheme="majorBidi"/>
                <w:sz w:val="21"/>
                <w:szCs w:val="21"/>
              </w:rPr>
            </w:pPr>
          </w:p>
        </w:tc>
        <w:tc>
          <w:tcPr>
            <w:tcW w:w="730" w:type="pct"/>
            <w:shd w:val="clear" w:color="auto" w:fill="auto"/>
            <w:vAlign w:val="center"/>
          </w:tcPr>
          <w:p w:rsidRPr="00704E80" w:rsidR="00704E80" w:rsidP="009B774E" w:rsidRDefault="00704E80" w14:paraId="593AC795" w14:textId="10F50E7B">
            <w:pPr>
              <w:jc w:val="center"/>
              <w:rPr>
                <w:rFonts w:asciiTheme="majorBidi" w:hAnsiTheme="majorBidi" w:cstheme="majorBidi"/>
                <w:sz w:val="21"/>
                <w:szCs w:val="21"/>
              </w:rPr>
            </w:pPr>
            <w:r w:rsidRPr="00704E80">
              <w:rPr>
                <w:sz w:val="22"/>
                <w:szCs w:val="22"/>
              </w:rPr>
              <w:t> </w:t>
            </w:r>
          </w:p>
        </w:tc>
      </w:tr>
      <w:tr w:rsidRPr="00704E80" w:rsidR="00704E80" w:rsidTr="007D140D" w14:paraId="65A590AD" w14:textId="77777777">
        <w:trPr>
          <w:trHeight w:val="330"/>
        </w:trPr>
        <w:tc>
          <w:tcPr>
            <w:tcW w:w="1447" w:type="pct"/>
            <w:shd w:val="clear" w:color="auto" w:fill="auto"/>
            <w:vAlign w:val="center"/>
          </w:tcPr>
          <w:p w:rsidRPr="00704E80" w:rsidR="00704E80" w:rsidP="009B774E" w:rsidRDefault="00704E80" w14:paraId="7F0964D2" w14:textId="77777777">
            <w:pPr>
              <w:rPr>
                <w:rFonts w:asciiTheme="majorBidi" w:hAnsiTheme="majorBidi" w:cstheme="majorBidi"/>
                <w:sz w:val="21"/>
                <w:szCs w:val="21"/>
              </w:rPr>
            </w:pPr>
            <w:r w:rsidRPr="00704E80">
              <w:rPr>
                <w:rFonts w:asciiTheme="majorBidi" w:hAnsiTheme="majorBidi" w:cstheme="majorBidi"/>
                <w:sz w:val="21"/>
                <w:szCs w:val="21"/>
              </w:rPr>
              <w:t>Store/maintain data</w:t>
            </w:r>
          </w:p>
        </w:tc>
        <w:tc>
          <w:tcPr>
            <w:tcW w:w="730" w:type="pct"/>
            <w:shd w:val="clear" w:color="auto" w:fill="auto"/>
            <w:vAlign w:val="center"/>
          </w:tcPr>
          <w:p w:rsidRPr="00704E80" w:rsidR="00704E80" w:rsidP="009B774E" w:rsidRDefault="00704E80" w14:paraId="266DC945" w14:textId="77777777">
            <w:pPr>
              <w:jc w:val="center"/>
              <w:rPr>
                <w:rFonts w:asciiTheme="majorBidi" w:hAnsiTheme="majorBidi" w:cstheme="majorBidi"/>
                <w:sz w:val="21"/>
                <w:szCs w:val="21"/>
              </w:rPr>
            </w:pPr>
            <w:r w:rsidRPr="00704E80">
              <w:rPr>
                <w:rFonts w:asciiTheme="majorBidi" w:hAnsiTheme="majorBidi" w:cstheme="majorBidi"/>
                <w:sz w:val="21"/>
                <w:szCs w:val="21"/>
              </w:rPr>
              <w:t>0</w:t>
            </w:r>
          </w:p>
        </w:tc>
        <w:tc>
          <w:tcPr>
            <w:tcW w:w="730" w:type="pct"/>
            <w:shd w:val="clear" w:color="auto" w:fill="auto"/>
            <w:vAlign w:val="center"/>
          </w:tcPr>
          <w:p w:rsidRPr="00704E80" w:rsidR="00704E80" w:rsidP="009B774E" w:rsidRDefault="00704E80" w14:paraId="5CCF3501" w14:textId="77777777">
            <w:pPr>
              <w:jc w:val="center"/>
              <w:rPr>
                <w:rFonts w:asciiTheme="majorBidi" w:hAnsiTheme="majorBidi" w:cstheme="majorBidi"/>
                <w:sz w:val="21"/>
                <w:szCs w:val="21"/>
              </w:rPr>
            </w:pPr>
            <w:r w:rsidRPr="00704E80">
              <w:rPr>
                <w:rFonts w:asciiTheme="majorBidi" w:hAnsiTheme="majorBidi" w:cstheme="majorBidi"/>
                <w:sz w:val="21"/>
                <w:szCs w:val="21"/>
              </w:rPr>
              <w:t>0</w:t>
            </w:r>
          </w:p>
        </w:tc>
        <w:tc>
          <w:tcPr>
            <w:tcW w:w="730" w:type="pct"/>
            <w:shd w:val="clear" w:color="auto" w:fill="auto"/>
            <w:vAlign w:val="center"/>
          </w:tcPr>
          <w:p w:rsidRPr="00704E80" w:rsidR="00704E80" w:rsidP="009B774E" w:rsidRDefault="00704E80" w14:paraId="14315882" w14:textId="77777777">
            <w:pPr>
              <w:jc w:val="center"/>
              <w:rPr>
                <w:rFonts w:asciiTheme="majorBidi" w:hAnsiTheme="majorBidi" w:cstheme="majorBidi"/>
                <w:sz w:val="21"/>
                <w:szCs w:val="21"/>
              </w:rPr>
            </w:pPr>
            <w:r w:rsidRPr="00704E80">
              <w:rPr>
                <w:rFonts w:asciiTheme="majorBidi" w:hAnsiTheme="majorBidi" w:cstheme="majorBidi"/>
                <w:sz w:val="21"/>
                <w:szCs w:val="21"/>
              </w:rPr>
              <w:t>1</w:t>
            </w:r>
          </w:p>
        </w:tc>
        <w:tc>
          <w:tcPr>
            <w:tcW w:w="633" w:type="pct"/>
            <w:shd w:val="clear" w:color="auto" w:fill="auto"/>
            <w:vAlign w:val="center"/>
          </w:tcPr>
          <w:p w:rsidRPr="00704E80" w:rsidR="00704E80" w:rsidP="009B774E" w:rsidRDefault="00704E80" w14:paraId="441D3158" w14:textId="77777777">
            <w:pPr>
              <w:jc w:val="center"/>
              <w:rPr>
                <w:rFonts w:asciiTheme="majorBidi" w:hAnsiTheme="majorBidi" w:cstheme="majorBidi"/>
                <w:sz w:val="21"/>
                <w:szCs w:val="21"/>
              </w:rPr>
            </w:pPr>
            <w:r w:rsidRPr="00704E80">
              <w:rPr>
                <w:rFonts w:asciiTheme="majorBidi" w:hAnsiTheme="majorBidi" w:cstheme="majorBidi"/>
                <w:sz w:val="21"/>
                <w:szCs w:val="21"/>
              </w:rPr>
              <w:t>1</w:t>
            </w:r>
          </w:p>
        </w:tc>
        <w:tc>
          <w:tcPr>
            <w:tcW w:w="730" w:type="pct"/>
            <w:shd w:val="clear" w:color="auto" w:fill="auto"/>
            <w:vAlign w:val="center"/>
          </w:tcPr>
          <w:p w:rsidRPr="00704E80" w:rsidR="00704E80" w:rsidP="009B774E" w:rsidRDefault="00704E80" w14:paraId="2EFAC6B3" w14:textId="00A08E78">
            <w:pPr>
              <w:jc w:val="center"/>
              <w:rPr>
                <w:rFonts w:asciiTheme="majorBidi" w:hAnsiTheme="majorBidi" w:cstheme="majorBidi"/>
                <w:sz w:val="21"/>
                <w:szCs w:val="21"/>
              </w:rPr>
            </w:pPr>
            <w:r w:rsidRPr="00704E80">
              <w:rPr>
                <w:sz w:val="22"/>
                <w:szCs w:val="22"/>
              </w:rPr>
              <w:t xml:space="preserve">$48 </w:t>
            </w:r>
          </w:p>
        </w:tc>
      </w:tr>
      <w:tr w:rsidRPr="00704E80" w:rsidR="00704E80" w:rsidTr="007D140D" w14:paraId="71772FDF" w14:textId="77777777">
        <w:trPr>
          <w:trHeight w:val="330"/>
        </w:trPr>
        <w:tc>
          <w:tcPr>
            <w:tcW w:w="1447" w:type="pct"/>
            <w:shd w:val="clear" w:color="auto" w:fill="auto"/>
            <w:vAlign w:val="center"/>
          </w:tcPr>
          <w:p w:rsidRPr="00704E80" w:rsidR="00704E80" w:rsidP="009B774E" w:rsidRDefault="00704E80" w14:paraId="14198BD9" w14:textId="04746950">
            <w:pPr>
              <w:rPr>
                <w:rFonts w:asciiTheme="majorBidi" w:hAnsiTheme="majorBidi" w:cstheme="majorBidi"/>
                <w:sz w:val="21"/>
                <w:szCs w:val="21"/>
              </w:rPr>
            </w:pPr>
            <w:r w:rsidRPr="00704E80">
              <w:rPr>
                <w:rFonts w:asciiTheme="majorBidi" w:hAnsiTheme="majorBidi" w:cstheme="majorBidi"/>
                <w:sz w:val="21"/>
                <w:szCs w:val="21"/>
              </w:rPr>
              <w:t>Third party disclosure</w:t>
            </w:r>
          </w:p>
        </w:tc>
        <w:tc>
          <w:tcPr>
            <w:tcW w:w="730" w:type="pct"/>
            <w:shd w:val="clear" w:color="auto" w:fill="auto"/>
            <w:vAlign w:val="center"/>
          </w:tcPr>
          <w:p w:rsidRPr="00704E80" w:rsidR="00704E80" w:rsidP="009B774E" w:rsidRDefault="00704E80" w14:paraId="3316BC54" w14:textId="77777777">
            <w:pPr>
              <w:jc w:val="center"/>
              <w:rPr>
                <w:rFonts w:asciiTheme="majorBidi" w:hAnsiTheme="majorBidi" w:cstheme="majorBidi"/>
                <w:sz w:val="21"/>
                <w:szCs w:val="21"/>
              </w:rPr>
            </w:pPr>
          </w:p>
        </w:tc>
        <w:tc>
          <w:tcPr>
            <w:tcW w:w="730" w:type="pct"/>
            <w:shd w:val="clear" w:color="auto" w:fill="auto"/>
            <w:vAlign w:val="center"/>
          </w:tcPr>
          <w:p w:rsidRPr="00704E80" w:rsidR="00704E80" w:rsidP="009B774E" w:rsidRDefault="00704E80" w14:paraId="0A43BAB6" w14:textId="77777777">
            <w:pPr>
              <w:jc w:val="center"/>
              <w:rPr>
                <w:rFonts w:asciiTheme="majorBidi" w:hAnsiTheme="majorBidi" w:cstheme="majorBidi"/>
                <w:sz w:val="21"/>
                <w:szCs w:val="21"/>
              </w:rPr>
            </w:pPr>
          </w:p>
        </w:tc>
        <w:tc>
          <w:tcPr>
            <w:tcW w:w="730" w:type="pct"/>
            <w:shd w:val="clear" w:color="auto" w:fill="auto"/>
            <w:vAlign w:val="center"/>
          </w:tcPr>
          <w:p w:rsidRPr="00704E80" w:rsidR="00704E80" w:rsidP="009B774E" w:rsidRDefault="00704E80" w14:paraId="635E8393" w14:textId="77777777">
            <w:pPr>
              <w:jc w:val="center"/>
              <w:rPr>
                <w:rFonts w:asciiTheme="majorBidi" w:hAnsiTheme="majorBidi" w:cstheme="majorBidi"/>
                <w:sz w:val="21"/>
                <w:szCs w:val="21"/>
              </w:rPr>
            </w:pPr>
          </w:p>
        </w:tc>
        <w:tc>
          <w:tcPr>
            <w:tcW w:w="633" w:type="pct"/>
            <w:shd w:val="clear" w:color="auto" w:fill="auto"/>
            <w:vAlign w:val="center"/>
          </w:tcPr>
          <w:p w:rsidRPr="00704E80" w:rsidR="00704E80" w:rsidP="009B774E" w:rsidRDefault="00704E80" w14:paraId="3BEA85BB" w14:textId="77777777">
            <w:pPr>
              <w:jc w:val="center"/>
              <w:rPr>
                <w:rFonts w:asciiTheme="majorBidi" w:hAnsiTheme="majorBidi" w:cstheme="majorBidi"/>
                <w:sz w:val="21"/>
                <w:szCs w:val="21"/>
              </w:rPr>
            </w:pPr>
          </w:p>
        </w:tc>
        <w:tc>
          <w:tcPr>
            <w:tcW w:w="730" w:type="pct"/>
            <w:shd w:val="clear" w:color="auto" w:fill="auto"/>
            <w:vAlign w:val="center"/>
          </w:tcPr>
          <w:p w:rsidRPr="00704E80" w:rsidR="00704E80" w:rsidP="009B774E" w:rsidRDefault="00704E80" w14:paraId="2F191CEB" w14:textId="44384273">
            <w:pPr>
              <w:jc w:val="center"/>
              <w:rPr>
                <w:rFonts w:asciiTheme="majorBidi" w:hAnsiTheme="majorBidi" w:cstheme="majorBidi"/>
                <w:sz w:val="21"/>
                <w:szCs w:val="21"/>
              </w:rPr>
            </w:pPr>
            <w:r w:rsidRPr="00704E80">
              <w:rPr>
                <w:sz w:val="22"/>
                <w:szCs w:val="22"/>
              </w:rPr>
              <w:t> </w:t>
            </w:r>
          </w:p>
        </w:tc>
      </w:tr>
      <w:tr w:rsidRPr="00704E80" w:rsidR="00704E80" w:rsidTr="007D140D" w14:paraId="5642EFF7" w14:textId="77777777">
        <w:trPr>
          <w:trHeight w:val="330"/>
        </w:trPr>
        <w:tc>
          <w:tcPr>
            <w:tcW w:w="1447" w:type="pct"/>
            <w:shd w:val="clear" w:color="auto" w:fill="auto"/>
            <w:vAlign w:val="center"/>
          </w:tcPr>
          <w:p w:rsidRPr="00704E80" w:rsidR="00704E80" w:rsidP="009B774E" w:rsidRDefault="00704E80" w14:paraId="1BAC19E9" w14:textId="77777777">
            <w:pPr>
              <w:jc w:val="center"/>
              <w:rPr>
                <w:rFonts w:asciiTheme="majorBidi" w:hAnsiTheme="majorBidi" w:cstheme="majorBidi"/>
                <w:b/>
                <w:bCs/>
                <w:sz w:val="21"/>
                <w:szCs w:val="21"/>
              </w:rPr>
            </w:pPr>
            <w:r w:rsidRPr="00704E80">
              <w:rPr>
                <w:rFonts w:asciiTheme="majorBidi" w:hAnsiTheme="majorBidi" w:cstheme="majorBidi"/>
                <w:b/>
                <w:bCs/>
                <w:sz w:val="21"/>
                <w:szCs w:val="21"/>
              </w:rPr>
              <w:t>TOTAL</w:t>
            </w:r>
          </w:p>
        </w:tc>
        <w:tc>
          <w:tcPr>
            <w:tcW w:w="730" w:type="pct"/>
            <w:shd w:val="clear" w:color="auto" w:fill="auto"/>
            <w:vAlign w:val="center"/>
          </w:tcPr>
          <w:p w:rsidRPr="00704E80" w:rsidR="00704E80" w:rsidP="009B774E" w:rsidRDefault="00704E80" w14:paraId="346ACA0D" w14:textId="77777777">
            <w:pPr>
              <w:jc w:val="center"/>
              <w:rPr>
                <w:rFonts w:asciiTheme="majorBidi" w:hAnsiTheme="majorBidi" w:cstheme="majorBidi"/>
                <w:sz w:val="21"/>
                <w:szCs w:val="21"/>
              </w:rPr>
            </w:pPr>
            <w:r w:rsidRPr="00704E80">
              <w:rPr>
                <w:rFonts w:asciiTheme="majorBidi" w:hAnsiTheme="majorBidi" w:cstheme="majorBidi"/>
                <w:sz w:val="21"/>
                <w:szCs w:val="21"/>
              </w:rPr>
              <w:t>8</w:t>
            </w:r>
          </w:p>
        </w:tc>
        <w:tc>
          <w:tcPr>
            <w:tcW w:w="730" w:type="pct"/>
            <w:shd w:val="clear" w:color="auto" w:fill="auto"/>
            <w:vAlign w:val="center"/>
          </w:tcPr>
          <w:p w:rsidRPr="00704E80" w:rsidR="00704E80" w:rsidP="009B774E" w:rsidRDefault="00704E80" w14:paraId="7FD6165B" w14:textId="77777777">
            <w:pPr>
              <w:jc w:val="center"/>
              <w:rPr>
                <w:rFonts w:asciiTheme="majorBidi" w:hAnsiTheme="majorBidi" w:cstheme="majorBidi"/>
                <w:sz w:val="21"/>
                <w:szCs w:val="21"/>
              </w:rPr>
            </w:pPr>
            <w:r w:rsidRPr="00704E80">
              <w:rPr>
                <w:rFonts w:asciiTheme="majorBidi" w:hAnsiTheme="majorBidi" w:cstheme="majorBidi"/>
                <w:sz w:val="21"/>
                <w:szCs w:val="21"/>
              </w:rPr>
              <w:t>2</w:t>
            </w:r>
          </w:p>
        </w:tc>
        <w:tc>
          <w:tcPr>
            <w:tcW w:w="730" w:type="pct"/>
            <w:shd w:val="clear" w:color="auto" w:fill="auto"/>
            <w:vAlign w:val="center"/>
          </w:tcPr>
          <w:p w:rsidRPr="00704E80" w:rsidR="00704E80" w:rsidP="009B774E" w:rsidRDefault="00704E80" w14:paraId="5324A5C1" w14:textId="77777777">
            <w:pPr>
              <w:jc w:val="center"/>
              <w:rPr>
                <w:rFonts w:asciiTheme="majorBidi" w:hAnsiTheme="majorBidi" w:cstheme="majorBidi"/>
                <w:sz w:val="21"/>
                <w:szCs w:val="21"/>
              </w:rPr>
            </w:pPr>
            <w:r w:rsidRPr="00704E80">
              <w:rPr>
                <w:rFonts w:asciiTheme="majorBidi" w:hAnsiTheme="majorBidi" w:cstheme="majorBidi"/>
                <w:sz w:val="21"/>
                <w:szCs w:val="21"/>
              </w:rPr>
              <w:t>4</w:t>
            </w:r>
          </w:p>
        </w:tc>
        <w:tc>
          <w:tcPr>
            <w:tcW w:w="633" w:type="pct"/>
            <w:shd w:val="clear" w:color="auto" w:fill="auto"/>
            <w:vAlign w:val="center"/>
          </w:tcPr>
          <w:p w:rsidRPr="00704E80" w:rsidR="00704E80" w:rsidP="009B774E" w:rsidRDefault="00704E80" w14:paraId="3FF7D154" w14:textId="77777777">
            <w:pPr>
              <w:jc w:val="center"/>
              <w:rPr>
                <w:rFonts w:asciiTheme="majorBidi" w:hAnsiTheme="majorBidi" w:cstheme="majorBidi"/>
                <w:b/>
                <w:sz w:val="21"/>
                <w:szCs w:val="21"/>
              </w:rPr>
            </w:pPr>
            <w:r w:rsidRPr="00704E80">
              <w:rPr>
                <w:rFonts w:asciiTheme="majorBidi" w:hAnsiTheme="majorBidi" w:cstheme="majorBidi"/>
                <w:b/>
                <w:sz w:val="21"/>
                <w:szCs w:val="21"/>
              </w:rPr>
              <w:t>14</w:t>
            </w:r>
          </w:p>
        </w:tc>
        <w:tc>
          <w:tcPr>
            <w:tcW w:w="730" w:type="pct"/>
            <w:shd w:val="clear" w:color="auto" w:fill="auto"/>
            <w:vAlign w:val="center"/>
          </w:tcPr>
          <w:p w:rsidRPr="00D20DE4" w:rsidR="00704E80" w:rsidP="009B774E" w:rsidRDefault="00704E80" w14:paraId="212652CB" w14:textId="2A863569">
            <w:pPr>
              <w:jc w:val="center"/>
              <w:rPr>
                <w:rFonts w:asciiTheme="majorBidi" w:hAnsiTheme="majorBidi" w:cstheme="majorBidi"/>
                <w:b/>
                <w:sz w:val="21"/>
                <w:szCs w:val="21"/>
              </w:rPr>
            </w:pPr>
            <w:r w:rsidRPr="00D20DE4">
              <w:rPr>
                <w:b/>
                <w:sz w:val="22"/>
                <w:szCs w:val="22"/>
              </w:rPr>
              <w:t xml:space="preserve">$1,487 </w:t>
            </w:r>
          </w:p>
        </w:tc>
      </w:tr>
    </w:tbl>
    <w:p w:rsidR="005459DF" w:rsidP="009B774E" w:rsidRDefault="005459DF" w14:paraId="71A55085" w14:textId="77777777">
      <w:pPr>
        <w:rPr>
          <w:rFonts w:asciiTheme="majorBidi" w:hAnsiTheme="majorBidi" w:cstheme="majorBidi"/>
          <w:sz w:val="20"/>
        </w:rPr>
      </w:pPr>
      <w:r>
        <w:rPr>
          <w:rFonts w:asciiTheme="majorBidi" w:hAnsiTheme="majorBidi" w:cstheme="majorBidi"/>
          <w:sz w:val="20"/>
        </w:rPr>
        <w:t>*Numbers may not sum due to rounding.</w:t>
      </w:r>
    </w:p>
    <w:p w:rsidRPr="00704E80" w:rsidR="008253DD" w:rsidP="009B774E" w:rsidRDefault="008253DD" w14:paraId="59D4F9C9" w14:textId="77777777">
      <w:pPr>
        <w:tabs>
          <w:tab w:val="left" w:pos="2160"/>
          <w:tab w:val="left" w:pos="6120"/>
        </w:tabs>
        <w:ind w:left="360"/>
        <w:rPr>
          <w:rFonts w:asciiTheme="majorBidi" w:hAnsiTheme="majorBidi" w:cstheme="majorBidi"/>
          <w:sz w:val="22"/>
          <w:szCs w:val="22"/>
        </w:rPr>
      </w:pPr>
    </w:p>
    <w:p w:rsidR="00C52AF3" w:rsidP="009B774E" w:rsidRDefault="008253DD" w14:paraId="556800B4" w14:textId="21D69DC5">
      <w:pPr>
        <w:tabs>
          <w:tab w:val="left" w:pos="720"/>
          <w:tab w:val="left" w:pos="6120"/>
        </w:tabs>
        <w:rPr>
          <w:rFonts w:asciiTheme="majorBidi" w:hAnsiTheme="majorBidi" w:cstheme="majorBidi"/>
          <w:sz w:val="22"/>
          <w:szCs w:val="22"/>
        </w:rPr>
      </w:pPr>
      <w:r w:rsidRPr="00704E80">
        <w:rPr>
          <w:rFonts w:asciiTheme="majorBidi" w:hAnsiTheme="majorBidi" w:cstheme="majorBidi"/>
        </w:rPr>
        <w:tab/>
        <w:t>Table 4-B presents the total annual burden hours and costs by division for “Type B” applications/notifications.</w:t>
      </w:r>
      <w:r w:rsidRPr="00704E80" w:rsidR="007841AD">
        <w:rPr>
          <w:rFonts w:asciiTheme="majorBidi" w:hAnsiTheme="majorBidi" w:cstheme="majorBidi"/>
        </w:rPr>
        <w:t xml:space="preserve"> </w:t>
      </w:r>
      <w:r w:rsidRPr="00704E80">
        <w:rPr>
          <w:rFonts w:asciiTheme="majorBidi" w:hAnsiTheme="majorBidi" w:cstheme="majorBidi"/>
        </w:rPr>
        <w:t xml:space="preserve">Registrants spend a total of </w:t>
      </w:r>
      <w:r w:rsidRPr="00704E80" w:rsidR="00704E80">
        <w:rPr>
          <w:rFonts w:asciiTheme="majorBidi" w:hAnsiTheme="majorBidi" w:cstheme="majorBidi"/>
        </w:rPr>
        <w:t>3</w:t>
      </w:r>
      <w:r w:rsidR="00F21385">
        <w:rPr>
          <w:rFonts w:asciiTheme="majorBidi" w:hAnsiTheme="majorBidi" w:cstheme="majorBidi"/>
        </w:rPr>
        <w:t>7,380</w:t>
      </w:r>
      <w:r w:rsidRPr="00704E80">
        <w:rPr>
          <w:rFonts w:asciiTheme="majorBidi" w:hAnsiTheme="majorBidi" w:cstheme="majorBidi"/>
        </w:rPr>
        <w:t xml:space="preserve"> burden hours at a cost of $</w:t>
      </w:r>
      <w:r w:rsidRPr="00704E80" w:rsidR="00704E80">
        <w:rPr>
          <w:rFonts w:asciiTheme="majorBidi" w:hAnsiTheme="majorBidi" w:cstheme="majorBidi"/>
        </w:rPr>
        <w:t>3.</w:t>
      </w:r>
      <w:r w:rsidR="00F21385">
        <w:rPr>
          <w:rFonts w:asciiTheme="majorBidi" w:hAnsiTheme="majorBidi" w:cstheme="majorBidi"/>
        </w:rPr>
        <w:t>971</w:t>
      </w:r>
      <w:r w:rsidRPr="00704E80">
        <w:rPr>
          <w:rFonts w:asciiTheme="majorBidi" w:hAnsiTheme="majorBidi" w:cstheme="majorBidi"/>
        </w:rPr>
        <w:t xml:space="preserve"> million to prepare and submit “Type B” applications to the Antimicrobial Division, </w:t>
      </w:r>
      <w:r w:rsidRPr="00704E80" w:rsidR="00704E80">
        <w:rPr>
          <w:rFonts w:asciiTheme="majorBidi" w:hAnsiTheme="majorBidi" w:cstheme="majorBidi"/>
        </w:rPr>
        <w:t>9,</w:t>
      </w:r>
      <w:r w:rsidR="00F21385">
        <w:rPr>
          <w:rFonts w:asciiTheme="majorBidi" w:hAnsiTheme="majorBidi" w:cstheme="majorBidi"/>
        </w:rPr>
        <w:t>282</w:t>
      </w:r>
      <w:r w:rsidRPr="00704E80">
        <w:rPr>
          <w:rFonts w:asciiTheme="majorBidi" w:hAnsiTheme="majorBidi" w:cstheme="majorBidi"/>
        </w:rPr>
        <w:t xml:space="preserve"> burden hours at a cost of $</w:t>
      </w:r>
      <w:r w:rsidRPr="00704E80" w:rsidR="00704E80">
        <w:rPr>
          <w:rFonts w:asciiTheme="majorBidi" w:hAnsiTheme="majorBidi" w:cstheme="majorBidi"/>
        </w:rPr>
        <w:t>9</w:t>
      </w:r>
      <w:r w:rsidR="00F21385">
        <w:rPr>
          <w:rFonts w:asciiTheme="majorBidi" w:hAnsiTheme="majorBidi" w:cstheme="majorBidi"/>
        </w:rPr>
        <w:t>86</w:t>
      </w:r>
      <w:r w:rsidRPr="00704E80">
        <w:rPr>
          <w:rFonts w:asciiTheme="majorBidi" w:hAnsiTheme="majorBidi" w:cstheme="majorBidi"/>
        </w:rPr>
        <w:t xml:space="preserve"> thousand to prepare and submit “Type B” applications to the Biopesticides and Pollution Prevention Division, and </w:t>
      </w:r>
      <w:r w:rsidRPr="00704E80" w:rsidR="00704E80">
        <w:rPr>
          <w:rFonts w:asciiTheme="majorBidi" w:hAnsiTheme="majorBidi" w:cstheme="majorBidi"/>
        </w:rPr>
        <w:t>54,</w:t>
      </w:r>
      <w:r w:rsidR="00F21385">
        <w:rPr>
          <w:rFonts w:asciiTheme="majorBidi" w:hAnsiTheme="majorBidi" w:cstheme="majorBidi"/>
        </w:rPr>
        <w:t>432</w:t>
      </w:r>
      <w:r w:rsidRPr="00704E80">
        <w:rPr>
          <w:rFonts w:asciiTheme="majorBidi" w:hAnsiTheme="majorBidi" w:cstheme="majorBidi"/>
        </w:rPr>
        <w:t xml:space="preserve"> hours at a cost of $</w:t>
      </w:r>
      <w:r w:rsidRPr="00704E80" w:rsidR="00704E80">
        <w:rPr>
          <w:rFonts w:asciiTheme="majorBidi" w:hAnsiTheme="majorBidi" w:cstheme="majorBidi"/>
        </w:rPr>
        <w:t>5.7</w:t>
      </w:r>
      <w:r w:rsidR="00F21385">
        <w:rPr>
          <w:rFonts w:asciiTheme="majorBidi" w:hAnsiTheme="majorBidi" w:cstheme="majorBidi"/>
        </w:rPr>
        <w:t>83</w:t>
      </w:r>
      <w:r w:rsidRPr="00704E80">
        <w:rPr>
          <w:rFonts w:asciiTheme="majorBidi" w:hAnsiTheme="majorBidi" w:cstheme="majorBidi"/>
        </w:rPr>
        <w:t xml:space="preserve"> million to prepare and submit “Type B” applications to the Registration Division.</w:t>
      </w:r>
      <w:r w:rsidRPr="00704E80" w:rsidR="007841AD">
        <w:rPr>
          <w:rFonts w:asciiTheme="majorBidi" w:hAnsiTheme="majorBidi" w:cstheme="majorBidi"/>
        </w:rPr>
        <w:t xml:space="preserve"> </w:t>
      </w:r>
      <w:r w:rsidRPr="00704E80">
        <w:rPr>
          <w:rFonts w:asciiTheme="majorBidi" w:hAnsiTheme="majorBidi" w:cstheme="majorBidi"/>
        </w:rPr>
        <w:t>The total paperwork burden and cost associated with preparing and submitting “Type B” applications to EPA is estimated at $</w:t>
      </w:r>
      <w:r w:rsidRPr="00704E80" w:rsidR="00704E80">
        <w:rPr>
          <w:rFonts w:asciiTheme="majorBidi" w:hAnsiTheme="majorBidi" w:cstheme="majorBidi"/>
        </w:rPr>
        <w:t>10.</w:t>
      </w:r>
      <w:r w:rsidR="00F21385">
        <w:rPr>
          <w:rFonts w:asciiTheme="majorBidi" w:hAnsiTheme="majorBidi" w:cstheme="majorBidi"/>
        </w:rPr>
        <w:t>74</w:t>
      </w:r>
      <w:r w:rsidRPr="00704E80">
        <w:rPr>
          <w:rFonts w:asciiTheme="majorBidi" w:hAnsiTheme="majorBidi" w:cstheme="majorBidi"/>
        </w:rPr>
        <w:t xml:space="preserve"> million per year.</w:t>
      </w:r>
    </w:p>
    <w:p w:rsidRPr="00704E80" w:rsidR="00931880" w:rsidP="009B774E" w:rsidRDefault="00931880" w14:paraId="38B36F8C" w14:textId="77777777">
      <w:pPr>
        <w:tabs>
          <w:tab w:val="left" w:pos="2160"/>
          <w:tab w:val="left" w:pos="6120"/>
        </w:tabs>
        <w:ind w:left="360"/>
        <w:rPr>
          <w:rFonts w:asciiTheme="majorBidi" w:hAnsiTheme="majorBidi" w:cstheme="majorBidi"/>
          <w:sz w:val="22"/>
          <w:szCs w:val="22"/>
        </w:rPr>
      </w:pPr>
    </w:p>
    <w:p w:rsidRPr="00704E80" w:rsidR="008253DD" w:rsidP="009B774E" w:rsidRDefault="008253DD" w14:paraId="51C2ACB6" w14:textId="6EB8E0CB">
      <w:pPr>
        <w:rPr>
          <w:rFonts w:asciiTheme="majorBidi" w:hAnsiTheme="majorBidi" w:cstheme="majorBidi"/>
          <w:b/>
        </w:rPr>
      </w:pPr>
      <w:r w:rsidRPr="00704E80">
        <w:rPr>
          <w:rFonts w:asciiTheme="majorBidi" w:hAnsiTheme="majorBidi" w:cstheme="majorBidi"/>
          <w:b/>
          <w:bCs/>
          <w:sz w:val="22"/>
          <w:szCs w:val="22"/>
        </w:rPr>
        <w:t xml:space="preserve">Table 4-B: Total Annual Burden and Cost by Division for "Type </w:t>
      </w:r>
      <w:r w:rsidRPr="00704E80" w:rsidR="00203F9F">
        <w:rPr>
          <w:rFonts w:asciiTheme="majorBidi" w:hAnsiTheme="majorBidi" w:cstheme="majorBidi"/>
          <w:b/>
          <w:bCs/>
          <w:sz w:val="22"/>
          <w:szCs w:val="22"/>
        </w:rPr>
        <w:t>B</w:t>
      </w:r>
      <w:r w:rsidRPr="00704E80">
        <w:rPr>
          <w:rFonts w:asciiTheme="majorBidi" w:hAnsiTheme="majorBidi" w:cstheme="majorBidi"/>
          <w:b/>
          <w:bCs/>
          <w:sz w:val="22"/>
          <w:szCs w:val="22"/>
        </w:rPr>
        <w:t xml:space="preserve">" </w:t>
      </w:r>
      <w:r w:rsidRPr="00704E80" w:rsidR="004F1F2A">
        <w:rPr>
          <w:rFonts w:asciiTheme="majorBidi" w:hAnsiTheme="majorBidi" w:cstheme="majorBidi"/>
          <w:b/>
          <w:sz w:val="22"/>
          <w:szCs w:val="22"/>
        </w:rPr>
        <w:t xml:space="preserve">Registration </w:t>
      </w:r>
      <w:r w:rsidRPr="00704E80">
        <w:rPr>
          <w:rFonts w:asciiTheme="majorBidi" w:hAnsiTheme="majorBidi" w:cstheme="majorBidi"/>
          <w:b/>
          <w:bCs/>
          <w:sz w:val="22"/>
          <w:szCs w:val="22"/>
        </w:rPr>
        <w:t>Applications</w:t>
      </w:r>
      <w:r w:rsidRPr="00704E80">
        <w:rPr>
          <w:rFonts w:asciiTheme="majorBidi" w:hAnsiTheme="majorBidi" w:cstheme="majorBidi"/>
          <w:b/>
          <w:bCs/>
          <w:sz w:val="22"/>
          <w:szCs w:val="22"/>
          <w:vertAlign w:val="superscript"/>
        </w:rPr>
        <w:t xml:space="preserve"> 1</w:t>
      </w:r>
    </w:p>
    <w:tbl>
      <w:tblPr>
        <w:tblW w:w="5061" w:type="pct"/>
        <w:tblLook w:val="04A0" w:firstRow="1" w:lastRow="0" w:firstColumn="1" w:lastColumn="0" w:noHBand="0" w:noVBand="1"/>
      </w:tblPr>
      <w:tblGrid>
        <w:gridCol w:w="1831"/>
        <w:gridCol w:w="821"/>
        <w:gridCol w:w="1206"/>
        <w:gridCol w:w="711"/>
        <w:gridCol w:w="1041"/>
        <w:gridCol w:w="821"/>
        <w:gridCol w:w="1206"/>
        <w:gridCol w:w="931"/>
        <w:gridCol w:w="1316"/>
      </w:tblGrid>
      <w:tr w:rsidRPr="00704E80" w:rsidR="00C270C5" w:rsidTr="006033ED" w14:paraId="734E3957" w14:textId="77777777">
        <w:trPr>
          <w:trHeight w:val="300"/>
        </w:trPr>
        <w:tc>
          <w:tcPr>
            <w:tcW w:w="909" w:type="pct"/>
            <w:vMerge w:val="restart"/>
            <w:tcBorders>
              <w:top w:val="double" w:color="808080" w:sz="6" w:space="0"/>
              <w:left w:val="double" w:color="808080" w:sz="6" w:space="0"/>
              <w:bottom w:val="single" w:color="808080" w:sz="4" w:space="0"/>
              <w:right w:val="single" w:color="808080" w:sz="4" w:space="0"/>
            </w:tcBorders>
            <w:shd w:val="clear" w:color="auto" w:fill="auto"/>
            <w:noWrap/>
            <w:vAlign w:val="center"/>
            <w:hideMark/>
          </w:tcPr>
          <w:p w:rsidRPr="00704E80" w:rsidR="008253DD" w:rsidP="009B774E" w:rsidRDefault="008253DD" w14:paraId="3468B129" w14:textId="77777777">
            <w:pPr>
              <w:rPr>
                <w:rFonts w:asciiTheme="majorBidi" w:hAnsiTheme="majorBidi" w:cstheme="majorBidi"/>
                <w:b/>
                <w:sz w:val="22"/>
                <w:szCs w:val="22"/>
                <w:vertAlign w:val="superscript"/>
              </w:rPr>
            </w:pPr>
            <w:r w:rsidRPr="00704E80">
              <w:rPr>
                <w:rFonts w:asciiTheme="majorBidi" w:hAnsiTheme="majorBidi" w:cstheme="majorBidi"/>
                <w:b/>
                <w:sz w:val="22"/>
                <w:szCs w:val="22"/>
              </w:rPr>
              <w:t>Labor Category</w:t>
            </w:r>
            <w:r w:rsidRPr="00704E80">
              <w:rPr>
                <w:rFonts w:asciiTheme="majorBidi" w:hAnsiTheme="majorBidi" w:cstheme="majorBidi"/>
                <w:b/>
                <w:sz w:val="22"/>
                <w:szCs w:val="22"/>
                <w:vertAlign w:val="superscript"/>
              </w:rPr>
              <w:t xml:space="preserve"> 2</w:t>
            </w:r>
          </w:p>
        </w:tc>
        <w:tc>
          <w:tcPr>
            <w:tcW w:w="1015" w:type="pct"/>
            <w:gridSpan w:val="2"/>
            <w:tcBorders>
              <w:top w:val="double" w:color="808080" w:sz="6" w:space="0"/>
              <w:left w:val="nil"/>
              <w:bottom w:val="single" w:color="808080" w:sz="4" w:space="0"/>
              <w:right w:val="single" w:color="808080" w:sz="4" w:space="0"/>
            </w:tcBorders>
            <w:shd w:val="clear" w:color="auto" w:fill="auto"/>
            <w:noWrap/>
            <w:vAlign w:val="center"/>
            <w:hideMark/>
          </w:tcPr>
          <w:p w:rsidRPr="00704E80" w:rsidR="008253DD" w:rsidP="009B774E" w:rsidRDefault="008253DD" w14:paraId="2F615314" w14:textId="77777777">
            <w:pPr>
              <w:jc w:val="center"/>
              <w:rPr>
                <w:rFonts w:asciiTheme="majorBidi" w:hAnsiTheme="majorBidi" w:cstheme="majorBidi"/>
                <w:b/>
                <w:bCs/>
                <w:sz w:val="22"/>
                <w:szCs w:val="22"/>
              </w:rPr>
            </w:pPr>
            <w:r w:rsidRPr="00704E80">
              <w:rPr>
                <w:rFonts w:asciiTheme="majorBidi" w:hAnsiTheme="majorBidi" w:cstheme="majorBidi"/>
                <w:b/>
                <w:bCs/>
                <w:sz w:val="22"/>
                <w:szCs w:val="22"/>
              </w:rPr>
              <w:t>AD</w:t>
            </w:r>
          </w:p>
        </w:tc>
        <w:tc>
          <w:tcPr>
            <w:tcW w:w="879" w:type="pct"/>
            <w:gridSpan w:val="2"/>
            <w:tcBorders>
              <w:top w:val="double" w:color="808080" w:sz="6" w:space="0"/>
              <w:left w:val="nil"/>
              <w:bottom w:val="single" w:color="808080" w:sz="4" w:space="0"/>
              <w:right w:val="single" w:color="808080" w:sz="4" w:space="0"/>
            </w:tcBorders>
            <w:shd w:val="clear" w:color="auto" w:fill="auto"/>
            <w:noWrap/>
            <w:vAlign w:val="center"/>
            <w:hideMark/>
          </w:tcPr>
          <w:p w:rsidRPr="00704E80" w:rsidR="008253DD" w:rsidP="009B774E" w:rsidRDefault="008253DD" w14:paraId="43BCF04B" w14:textId="77777777">
            <w:pPr>
              <w:jc w:val="center"/>
              <w:rPr>
                <w:rFonts w:asciiTheme="majorBidi" w:hAnsiTheme="majorBidi" w:cstheme="majorBidi"/>
                <w:b/>
                <w:bCs/>
                <w:sz w:val="22"/>
                <w:szCs w:val="22"/>
              </w:rPr>
            </w:pPr>
            <w:r w:rsidRPr="00704E80">
              <w:rPr>
                <w:rFonts w:asciiTheme="majorBidi" w:hAnsiTheme="majorBidi" w:cstheme="majorBidi"/>
                <w:b/>
                <w:bCs/>
                <w:sz w:val="22"/>
                <w:szCs w:val="22"/>
              </w:rPr>
              <w:t>BPPD</w:t>
            </w:r>
          </w:p>
        </w:tc>
        <w:tc>
          <w:tcPr>
            <w:tcW w:w="1015" w:type="pct"/>
            <w:gridSpan w:val="2"/>
            <w:tcBorders>
              <w:top w:val="double" w:color="808080" w:sz="6" w:space="0"/>
              <w:left w:val="nil"/>
              <w:bottom w:val="single" w:color="808080" w:sz="4" w:space="0"/>
              <w:right w:val="single" w:color="808080" w:sz="4" w:space="0"/>
            </w:tcBorders>
            <w:shd w:val="clear" w:color="auto" w:fill="auto"/>
            <w:noWrap/>
            <w:vAlign w:val="center"/>
            <w:hideMark/>
          </w:tcPr>
          <w:p w:rsidRPr="00704E80" w:rsidR="008253DD" w:rsidP="009B774E" w:rsidRDefault="008253DD" w14:paraId="425B58C5" w14:textId="77777777">
            <w:pPr>
              <w:jc w:val="center"/>
              <w:rPr>
                <w:rFonts w:asciiTheme="majorBidi" w:hAnsiTheme="majorBidi" w:cstheme="majorBidi"/>
                <w:b/>
                <w:bCs/>
                <w:sz w:val="22"/>
                <w:szCs w:val="22"/>
              </w:rPr>
            </w:pPr>
            <w:r w:rsidRPr="00704E80">
              <w:rPr>
                <w:rFonts w:asciiTheme="majorBidi" w:hAnsiTheme="majorBidi" w:cstheme="majorBidi"/>
                <w:b/>
                <w:bCs/>
                <w:sz w:val="22"/>
                <w:szCs w:val="22"/>
              </w:rPr>
              <w:t>RD</w:t>
            </w:r>
          </w:p>
        </w:tc>
        <w:tc>
          <w:tcPr>
            <w:tcW w:w="1183" w:type="pct"/>
            <w:gridSpan w:val="2"/>
            <w:tcBorders>
              <w:top w:val="double" w:color="808080" w:sz="6" w:space="0"/>
              <w:left w:val="nil"/>
              <w:bottom w:val="single" w:color="808080" w:sz="4" w:space="0"/>
              <w:right w:val="double" w:color="808080" w:sz="6" w:space="0"/>
            </w:tcBorders>
            <w:shd w:val="clear" w:color="auto" w:fill="auto"/>
            <w:noWrap/>
            <w:hideMark/>
          </w:tcPr>
          <w:p w:rsidRPr="00704E80" w:rsidR="008253DD" w:rsidP="009B774E" w:rsidRDefault="008253DD" w14:paraId="45694A25" w14:textId="77777777">
            <w:pPr>
              <w:jc w:val="center"/>
              <w:rPr>
                <w:rFonts w:asciiTheme="majorBidi" w:hAnsiTheme="majorBidi" w:cstheme="majorBidi"/>
                <w:b/>
                <w:bCs/>
                <w:sz w:val="22"/>
                <w:szCs w:val="22"/>
              </w:rPr>
            </w:pPr>
            <w:r w:rsidRPr="00704E80">
              <w:rPr>
                <w:rFonts w:asciiTheme="majorBidi" w:hAnsiTheme="majorBidi" w:cstheme="majorBidi"/>
                <w:b/>
                <w:bCs/>
                <w:sz w:val="22"/>
                <w:szCs w:val="22"/>
              </w:rPr>
              <w:t>Total</w:t>
            </w:r>
          </w:p>
        </w:tc>
      </w:tr>
      <w:tr w:rsidRPr="00704E80" w:rsidR="00C270C5" w:rsidTr="006033ED" w14:paraId="0D3F7723" w14:textId="77777777">
        <w:trPr>
          <w:trHeight w:val="285"/>
        </w:trPr>
        <w:tc>
          <w:tcPr>
            <w:tcW w:w="909" w:type="pct"/>
            <w:vMerge/>
            <w:tcBorders>
              <w:top w:val="double" w:color="808080" w:sz="6" w:space="0"/>
              <w:left w:val="double" w:color="808080" w:sz="6" w:space="0"/>
              <w:bottom w:val="single" w:color="808080" w:sz="4" w:space="0"/>
              <w:right w:val="single" w:color="808080" w:sz="4" w:space="0"/>
            </w:tcBorders>
            <w:shd w:val="clear" w:color="auto" w:fill="auto"/>
            <w:vAlign w:val="center"/>
            <w:hideMark/>
          </w:tcPr>
          <w:p w:rsidRPr="00704E80" w:rsidR="008253DD" w:rsidP="009B774E" w:rsidRDefault="008253DD" w14:paraId="1AFABEE3" w14:textId="77777777">
            <w:pPr>
              <w:rPr>
                <w:rFonts w:asciiTheme="majorBidi" w:hAnsiTheme="majorBidi" w:cstheme="majorBidi"/>
                <w:sz w:val="22"/>
                <w:szCs w:val="22"/>
              </w:rPr>
            </w:pPr>
          </w:p>
        </w:tc>
        <w:tc>
          <w:tcPr>
            <w:tcW w:w="413" w:type="pct"/>
            <w:tcBorders>
              <w:top w:val="nil"/>
              <w:left w:val="nil"/>
              <w:bottom w:val="single" w:color="808080" w:sz="4" w:space="0"/>
              <w:right w:val="single" w:color="808080" w:sz="4" w:space="0"/>
            </w:tcBorders>
            <w:shd w:val="clear" w:color="auto" w:fill="auto"/>
            <w:noWrap/>
            <w:vAlign w:val="center"/>
            <w:hideMark/>
          </w:tcPr>
          <w:p w:rsidRPr="00704E80" w:rsidR="008253DD" w:rsidP="009B774E" w:rsidRDefault="008253DD" w14:paraId="2079BCBE" w14:textId="4EF2D6C9">
            <w:pPr>
              <w:jc w:val="center"/>
              <w:rPr>
                <w:rFonts w:asciiTheme="majorBidi" w:hAnsiTheme="majorBidi" w:cstheme="majorBidi"/>
                <w:b/>
                <w:bCs/>
                <w:sz w:val="22"/>
                <w:szCs w:val="22"/>
              </w:rPr>
            </w:pPr>
            <w:r w:rsidRPr="00704E80">
              <w:rPr>
                <w:rFonts w:asciiTheme="majorBidi" w:hAnsiTheme="majorBidi" w:cstheme="majorBidi"/>
                <w:b/>
                <w:bCs/>
                <w:sz w:val="22"/>
                <w:szCs w:val="22"/>
              </w:rPr>
              <w:t>Hrs</w:t>
            </w:r>
            <w:r w:rsidRPr="00704E80" w:rsidR="00A16077">
              <w:rPr>
                <w:rFonts w:asciiTheme="majorBidi" w:hAnsiTheme="majorBidi" w:cstheme="majorBidi"/>
                <w:b/>
                <w:bCs/>
                <w:sz w:val="22"/>
                <w:szCs w:val="22"/>
              </w:rPr>
              <w:t>.</w:t>
            </w:r>
          </w:p>
        </w:tc>
        <w:tc>
          <w:tcPr>
            <w:tcW w:w="602" w:type="pct"/>
            <w:tcBorders>
              <w:top w:val="nil"/>
              <w:left w:val="nil"/>
              <w:bottom w:val="single" w:color="808080" w:sz="4" w:space="0"/>
              <w:right w:val="single" w:color="808080" w:sz="4" w:space="0"/>
            </w:tcBorders>
            <w:shd w:val="clear" w:color="auto" w:fill="auto"/>
            <w:noWrap/>
            <w:vAlign w:val="center"/>
            <w:hideMark/>
          </w:tcPr>
          <w:p w:rsidRPr="00704E80" w:rsidR="008253DD" w:rsidP="009B774E" w:rsidRDefault="008253DD" w14:paraId="794A9A4A" w14:textId="77777777">
            <w:pPr>
              <w:jc w:val="center"/>
              <w:rPr>
                <w:rFonts w:asciiTheme="majorBidi" w:hAnsiTheme="majorBidi" w:cstheme="majorBidi"/>
                <w:b/>
                <w:bCs/>
                <w:sz w:val="22"/>
                <w:szCs w:val="22"/>
              </w:rPr>
            </w:pPr>
            <w:r w:rsidRPr="00704E80">
              <w:rPr>
                <w:rFonts w:asciiTheme="majorBidi" w:hAnsiTheme="majorBidi" w:cstheme="majorBidi"/>
                <w:b/>
                <w:bCs/>
                <w:sz w:val="22"/>
                <w:szCs w:val="22"/>
              </w:rPr>
              <w:t>Cost</w:t>
            </w:r>
          </w:p>
        </w:tc>
        <w:tc>
          <w:tcPr>
            <w:tcW w:w="358" w:type="pct"/>
            <w:tcBorders>
              <w:top w:val="nil"/>
              <w:left w:val="nil"/>
              <w:bottom w:val="single" w:color="808080" w:sz="4" w:space="0"/>
              <w:right w:val="single" w:color="808080" w:sz="4" w:space="0"/>
            </w:tcBorders>
            <w:shd w:val="clear" w:color="auto" w:fill="auto"/>
            <w:noWrap/>
            <w:vAlign w:val="center"/>
            <w:hideMark/>
          </w:tcPr>
          <w:p w:rsidRPr="00704E80" w:rsidR="008253DD" w:rsidP="009B774E" w:rsidRDefault="008253DD" w14:paraId="3E0DFDD9" w14:textId="03F2B2F1">
            <w:pPr>
              <w:jc w:val="center"/>
              <w:rPr>
                <w:rFonts w:asciiTheme="majorBidi" w:hAnsiTheme="majorBidi" w:cstheme="majorBidi"/>
                <w:b/>
                <w:bCs/>
                <w:sz w:val="22"/>
                <w:szCs w:val="22"/>
              </w:rPr>
            </w:pPr>
            <w:r w:rsidRPr="00704E80">
              <w:rPr>
                <w:rFonts w:asciiTheme="majorBidi" w:hAnsiTheme="majorBidi" w:cstheme="majorBidi"/>
                <w:b/>
                <w:bCs/>
                <w:sz w:val="22"/>
                <w:szCs w:val="22"/>
              </w:rPr>
              <w:t>Hrs</w:t>
            </w:r>
            <w:r w:rsidRPr="00704E80" w:rsidR="00A16077">
              <w:rPr>
                <w:rFonts w:asciiTheme="majorBidi" w:hAnsiTheme="majorBidi" w:cstheme="majorBidi"/>
                <w:b/>
                <w:bCs/>
                <w:sz w:val="22"/>
                <w:szCs w:val="22"/>
              </w:rPr>
              <w:t>.</w:t>
            </w:r>
          </w:p>
        </w:tc>
        <w:tc>
          <w:tcPr>
            <w:tcW w:w="521" w:type="pct"/>
            <w:tcBorders>
              <w:top w:val="nil"/>
              <w:left w:val="nil"/>
              <w:bottom w:val="single" w:color="808080" w:sz="4" w:space="0"/>
              <w:right w:val="single" w:color="808080" w:sz="4" w:space="0"/>
            </w:tcBorders>
            <w:shd w:val="clear" w:color="auto" w:fill="auto"/>
            <w:noWrap/>
            <w:vAlign w:val="center"/>
            <w:hideMark/>
          </w:tcPr>
          <w:p w:rsidRPr="00704E80" w:rsidR="008253DD" w:rsidP="009B774E" w:rsidRDefault="008253DD" w14:paraId="39D03623" w14:textId="77777777">
            <w:pPr>
              <w:jc w:val="center"/>
              <w:rPr>
                <w:rFonts w:asciiTheme="majorBidi" w:hAnsiTheme="majorBidi" w:cstheme="majorBidi"/>
                <w:b/>
                <w:bCs/>
                <w:sz w:val="22"/>
                <w:szCs w:val="22"/>
              </w:rPr>
            </w:pPr>
            <w:r w:rsidRPr="00704E80">
              <w:rPr>
                <w:rFonts w:asciiTheme="majorBidi" w:hAnsiTheme="majorBidi" w:cstheme="majorBidi"/>
                <w:b/>
                <w:bCs/>
                <w:sz w:val="22"/>
                <w:szCs w:val="22"/>
              </w:rPr>
              <w:t>Cost</w:t>
            </w:r>
          </w:p>
        </w:tc>
        <w:tc>
          <w:tcPr>
            <w:tcW w:w="413" w:type="pct"/>
            <w:tcBorders>
              <w:top w:val="nil"/>
              <w:left w:val="nil"/>
              <w:bottom w:val="single" w:color="808080" w:sz="4" w:space="0"/>
              <w:right w:val="single" w:color="808080" w:sz="4" w:space="0"/>
            </w:tcBorders>
            <w:shd w:val="clear" w:color="auto" w:fill="auto"/>
            <w:noWrap/>
            <w:vAlign w:val="center"/>
            <w:hideMark/>
          </w:tcPr>
          <w:p w:rsidRPr="00704E80" w:rsidR="008253DD" w:rsidP="009B774E" w:rsidRDefault="008253DD" w14:paraId="03B9C16C" w14:textId="1C767FFA">
            <w:pPr>
              <w:jc w:val="center"/>
              <w:rPr>
                <w:rFonts w:asciiTheme="majorBidi" w:hAnsiTheme="majorBidi" w:cstheme="majorBidi"/>
                <w:b/>
                <w:bCs/>
                <w:sz w:val="22"/>
                <w:szCs w:val="22"/>
              </w:rPr>
            </w:pPr>
            <w:r w:rsidRPr="00704E80">
              <w:rPr>
                <w:rFonts w:asciiTheme="majorBidi" w:hAnsiTheme="majorBidi" w:cstheme="majorBidi"/>
                <w:b/>
                <w:bCs/>
                <w:sz w:val="22"/>
                <w:szCs w:val="22"/>
              </w:rPr>
              <w:t>Hrs</w:t>
            </w:r>
            <w:r w:rsidRPr="00704E80" w:rsidR="00A16077">
              <w:rPr>
                <w:rFonts w:asciiTheme="majorBidi" w:hAnsiTheme="majorBidi" w:cstheme="majorBidi"/>
                <w:b/>
                <w:bCs/>
                <w:sz w:val="22"/>
                <w:szCs w:val="22"/>
              </w:rPr>
              <w:t>.</w:t>
            </w:r>
          </w:p>
        </w:tc>
        <w:tc>
          <w:tcPr>
            <w:tcW w:w="602" w:type="pct"/>
            <w:tcBorders>
              <w:top w:val="nil"/>
              <w:left w:val="nil"/>
              <w:bottom w:val="single" w:color="808080" w:sz="4" w:space="0"/>
              <w:right w:val="single" w:color="808080" w:sz="4" w:space="0"/>
            </w:tcBorders>
            <w:shd w:val="clear" w:color="auto" w:fill="auto"/>
            <w:noWrap/>
            <w:vAlign w:val="center"/>
            <w:hideMark/>
          </w:tcPr>
          <w:p w:rsidRPr="00704E80" w:rsidR="008253DD" w:rsidP="009B774E" w:rsidRDefault="008253DD" w14:paraId="083E0482" w14:textId="77777777">
            <w:pPr>
              <w:jc w:val="center"/>
              <w:rPr>
                <w:rFonts w:asciiTheme="majorBidi" w:hAnsiTheme="majorBidi" w:cstheme="majorBidi"/>
                <w:b/>
                <w:bCs/>
                <w:sz w:val="22"/>
                <w:szCs w:val="22"/>
              </w:rPr>
            </w:pPr>
            <w:r w:rsidRPr="00704E80">
              <w:rPr>
                <w:rFonts w:asciiTheme="majorBidi" w:hAnsiTheme="majorBidi" w:cstheme="majorBidi"/>
                <w:b/>
                <w:bCs/>
                <w:sz w:val="22"/>
                <w:szCs w:val="22"/>
              </w:rPr>
              <w:t>Cost</w:t>
            </w:r>
          </w:p>
        </w:tc>
        <w:tc>
          <w:tcPr>
            <w:tcW w:w="467" w:type="pct"/>
            <w:tcBorders>
              <w:top w:val="nil"/>
              <w:left w:val="nil"/>
              <w:bottom w:val="single" w:color="808080" w:sz="4" w:space="0"/>
              <w:right w:val="single" w:color="808080" w:sz="4" w:space="0"/>
            </w:tcBorders>
            <w:shd w:val="clear" w:color="auto" w:fill="auto"/>
            <w:noWrap/>
            <w:vAlign w:val="center"/>
            <w:hideMark/>
          </w:tcPr>
          <w:p w:rsidRPr="00704E80" w:rsidR="008253DD" w:rsidP="009B774E" w:rsidRDefault="008253DD" w14:paraId="4E3FB283" w14:textId="77777777">
            <w:pPr>
              <w:jc w:val="center"/>
              <w:rPr>
                <w:rFonts w:asciiTheme="majorBidi" w:hAnsiTheme="majorBidi" w:cstheme="majorBidi"/>
                <w:b/>
                <w:bCs/>
                <w:sz w:val="22"/>
                <w:szCs w:val="22"/>
              </w:rPr>
            </w:pPr>
            <w:r w:rsidRPr="00704E80">
              <w:rPr>
                <w:rFonts w:asciiTheme="majorBidi" w:hAnsiTheme="majorBidi" w:cstheme="majorBidi"/>
                <w:b/>
                <w:bCs/>
                <w:sz w:val="22"/>
                <w:szCs w:val="22"/>
              </w:rPr>
              <w:t>Hours</w:t>
            </w:r>
          </w:p>
        </w:tc>
        <w:tc>
          <w:tcPr>
            <w:tcW w:w="716" w:type="pct"/>
            <w:tcBorders>
              <w:top w:val="nil"/>
              <w:left w:val="nil"/>
              <w:bottom w:val="single" w:color="808080" w:sz="4" w:space="0"/>
              <w:right w:val="double" w:color="808080" w:sz="6" w:space="0"/>
            </w:tcBorders>
            <w:shd w:val="clear" w:color="auto" w:fill="auto"/>
            <w:noWrap/>
            <w:vAlign w:val="center"/>
            <w:hideMark/>
          </w:tcPr>
          <w:p w:rsidRPr="00704E80" w:rsidR="008253DD" w:rsidP="009B774E" w:rsidRDefault="008253DD" w14:paraId="7CB029C5" w14:textId="77777777">
            <w:pPr>
              <w:jc w:val="center"/>
              <w:rPr>
                <w:rFonts w:asciiTheme="majorBidi" w:hAnsiTheme="majorBidi" w:cstheme="majorBidi"/>
                <w:b/>
                <w:bCs/>
                <w:sz w:val="22"/>
                <w:szCs w:val="22"/>
              </w:rPr>
            </w:pPr>
            <w:r w:rsidRPr="00704E80">
              <w:rPr>
                <w:rFonts w:asciiTheme="majorBidi" w:hAnsiTheme="majorBidi" w:cstheme="majorBidi"/>
                <w:b/>
                <w:bCs/>
                <w:sz w:val="22"/>
                <w:szCs w:val="22"/>
              </w:rPr>
              <w:t>Cost</w:t>
            </w:r>
          </w:p>
        </w:tc>
      </w:tr>
      <w:tr w:rsidRPr="00704E80" w:rsidR="00F21385" w:rsidTr="006033ED" w14:paraId="7C9E2111" w14:textId="77777777">
        <w:trPr>
          <w:trHeight w:val="300"/>
        </w:trPr>
        <w:tc>
          <w:tcPr>
            <w:tcW w:w="909" w:type="pct"/>
            <w:tcBorders>
              <w:top w:val="nil"/>
              <w:left w:val="double" w:color="808080" w:sz="6" w:space="0"/>
              <w:bottom w:val="single" w:color="808080" w:sz="4" w:space="0"/>
              <w:right w:val="single" w:color="808080" w:sz="4" w:space="0"/>
            </w:tcBorders>
            <w:shd w:val="clear" w:color="auto" w:fill="auto"/>
            <w:noWrap/>
            <w:vAlign w:val="bottom"/>
            <w:hideMark/>
          </w:tcPr>
          <w:p w:rsidRPr="00704E80" w:rsidR="00F21385" w:rsidP="009B774E" w:rsidRDefault="00F21385" w14:paraId="56CA23E6" w14:textId="77777777">
            <w:pPr>
              <w:rPr>
                <w:rFonts w:asciiTheme="majorBidi" w:hAnsiTheme="majorBidi" w:cstheme="majorBidi"/>
                <w:sz w:val="22"/>
                <w:szCs w:val="22"/>
              </w:rPr>
            </w:pPr>
            <w:r w:rsidRPr="00704E80">
              <w:rPr>
                <w:rFonts w:asciiTheme="majorBidi" w:hAnsiTheme="majorBidi" w:cstheme="majorBidi"/>
                <w:sz w:val="22"/>
                <w:szCs w:val="22"/>
              </w:rPr>
              <w:t>Management</w:t>
            </w:r>
          </w:p>
        </w:tc>
        <w:tc>
          <w:tcPr>
            <w:tcW w:w="413" w:type="pct"/>
            <w:tcBorders>
              <w:top w:val="single" w:color="808080" w:sz="4" w:space="0"/>
              <w:left w:val="single" w:color="808080" w:sz="4" w:space="0"/>
              <w:bottom w:val="single" w:color="808080" w:sz="4" w:space="0"/>
              <w:right w:val="single" w:color="808080" w:sz="4" w:space="0"/>
            </w:tcBorders>
            <w:shd w:val="clear" w:color="auto" w:fill="auto"/>
            <w:noWrap/>
            <w:vAlign w:val="center"/>
            <w:hideMark/>
          </w:tcPr>
          <w:p w:rsidRPr="00704E80" w:rsidR="00F21385" w:rsidP="009B774E" w:rsidRDefault="00F21385" w14:paraId="23D01283" w14:textId="71FBA459">
            <w:pPr>
              <w:jc w:val="center"/>
              <w:rPr>
                <w:rFonts w:asciiTheme="majorBidi" w:hAnsiTheme="majorBidi" w:cstheme="majorBidi"/>
                <w:sz w:val="20"/>
                <w:szCs w:val="20"/>
              </w:rPr>
            </w:pPr>
            <w:r>
              <w:rPr>
                <w:sz w:val="22"/>
                <w:szCs w:val="22"/>
              </w:rPr>
              <w:t>21,360</w:t>
            </w:r>
          </w:p>
        </w:tc>
        <w:tc>
          <w:tcPr>
            <w:tcW w:w="602" w:type="pct"/>
            <w:tcBorders>
              <w:top w:val="single" w:color="808080" w:sz="4" w:space="0"/>
              <w:left w:val="nil"/>
              <w:bottom w:val="single" w:color="808080" w:sz="4" w:space="0"/>
              <w:right w:val="single" w:color="808080" w:sz="4" w:space="0"/>
            </w:tcBorders>
            <w:shd w:val="clear" w:color="auto" w:fill="auto"/>
            <w:noWrap/>
            <w:vAlign w:val="center"/>
            <w:hideMark/>
          </w:tcPr>
          <w:p w:rsidRPr="00704E80" w:rsidR="00F21385" w:rsidP="009B774E" w:rsidRDefault="00F21385" w14:paraId="0062EAE9" w14:textId="5DDCDDB8">
            <w:pPr>
              <w:jc w:val="center"/>
              <w:rPr>
                <w:rFonts w:asciiTheme="majorBidi" w:hAnsiTheme="majorBidi" w:cstheme="majorBidi"/>
                <w:sz w:val="20"/>
                <w:szCs w:val="20"/>
              </w:rPr>
            </w:pPr>
            <w:r>
              <w:rPr>
                <w:sz w:val="22"/>
                <w:szCs w:val="22"/>
              </w:rPr>
              <w:t>$3,060,659</w:t>
            </w:r>
          </w:p>
        </w:tc>
        <w:tc>
          <w:tcPr>
            <w:tcW w:w="358" w:type="pct"/>
            <w:tcBorders>
              <w:top w:val="single" w:color="808080" w:sz="4" w:space="0"/>
              <w:left w:val="nil"/>
              <w:bottom w:val="single" w:color="808080" w:sz="4" w:space="0"/>
              <w:right w:val="single" w:color="808080" w:sz="4" w:space="0"/>
            </w:tcBorders>
            <w:shd w:val="clear" w:color="auto" w:fill="auto"/>
            <w:noWrap/>
            <w:vAlign w:val="center"/>
            <w:hideMark/>
          </w:tcPr>
          <w:p w:rsidRPr="00704E80" w:rsidR="00F21385" w:rsidP="009B774E" w:rsidRDefault="00F21385" w14:paraId="6DDA8C69" w14:textId="7D32D18D">
            <w:pPr>
              <w:jc w:val="center"/>
              <w:rPr>
                <w:rFonts w:asciiTheme="majorBidi" w:hAnsiTheme="majorBidi" w:cstheme="majorBidi"/>
                <w:sz w:val="20"/>
                <w:szCs w:val="20"/>
              </w:rPr>
            </w:pPr>
            <w:r>
              <w:rPr>
                <w:sz w:val="22"/>
                <w:szCs w:val="22"/>
              </w:rPr>
              <w:t>5,304</w:t>
            </w:r>
          </w:p>
        </w:tc>
        <w:tc>
          <w:tcPr>
            <w:tcW w:w="521" w:type="pct"/>
            <w:tcBorders>
              <w:top w:val="single" w:color="808080" w:sz="4" w:space="0"/>
              <w:left w:val="nil"/>
              <w:bottom w:val="single" w:color="808080" w:sz="4" w:space="0"/>
              <w:right w:val="single" w:color="808080" w:sz="4" w:space="0"/>
            </w:tcBorders>
            <w:shd w:val="clear" w:color="auto" w:fill="auto"/>
            <w:noWrap/>
            <w:vAlign w:val="center"/>
            <w:hideMark/>
          </w:tcPr>
          <w:p w:rsidRPr="00704E80" w:rsidR="00F21385" w:rsidP="009B774E" w:rsidRDefault="00F21385" w14:paraId="744998F2" w14:textId="219E1C24">
            <w:pPr>
              <w:jc w:val="center"/>
              <w:rPr>
                <w:rFonts w:asciiTheme="majorBidi" w:hAnsiTheme="majorBidi" w:cstheme="majorBidi"/>
                <w:sz w:val="20"/>
                <w:szCs w:val="20"/>
              </w:rPr>
            </w:pPr>
            <w:r>
              <w:rPr>
                <w:sz w:val="22"/>
                <w:szCs w:val="22"/>
              </w:rPr>
              <w:t>$760,006</w:t>
            </w:r>
          </w:p>
        </w:tc>
        <w:tc>
          <w:tcPr>
            <w:tcW w:w="413" w:type="pct"/>
            <w:tcBorders>
              <w:top w:val="single" w:color="808080" w:sz="4" w:space="0"/>
              <w:left w:val="nil"/>
              <w:bottom w:val="single" w:color="808080" w:sz="4" w:space="0"/>
              <w:right w:val="single" w:color="808080" w:sz="4" w:space="0"/>
            </w:tcBorders>
            <w:shd w:val="clear" w:color="auto" w:fill="auto"/>
            <w:noWrap/>
            <w:vAlign w:val="center"/>
            <w:hideMark/>
          </w:tcPr>
          <w:p w:rsidRPr="00704E80" w:rsidR="00F21385" w:rsidP="009B774E" w:rsidRDefault="00F21385" w14:paraId="467D6D6E" w14:textId="49AA45C1">
            <w:pPr>
              <w:jc w:val="center"/>
              <w:rPr>
                <w:rFonts w:asciiTheme="majorBidi" w:hAnsiTheme="majorBidi" w:cstheme="majorBidi"/>
                <w:sz w:val="20"/>
                <w:szCs w:val="20"/>
              </w:rPr>
            </w:pPr>
            <w:r>
              <w:rPr>
                <w:sz w:val="22"/>
                <w:szCs w:val="22"/>
              </w:rPr>
              <w:t>31,104</w:t>
            </w:r>
          </w:p>
        </w:tc>
        <w:tc>
          <w:tcPr>
            <w:tcW w:w="602" w:type="pct"/>
            <w:tcBorders>
              <w:top w:val="single" w:color="808080" w:sz="4" w:space="0"/>
              <w:left w:val="nil"/>
              <w:bottom w:val="single" w:color="808080" w:sz="4" w:space="0"/>
              <w:right w:val="single" w:color="808080" w:sz="4" w:space="0"/>
            </w:tcBorders>
            <w:shd w:val="clear" w:color="auto" w:fill="auto"/>
            <w:noWrap/>
            <w:vAlign w:val="center"/>
            <w:hideMark/>
          </w:tcPr>
          <w:p w:rsidRPr="00704E80" w:rsidR="00F21385" w:rsidP="009B774E" w:rsidRDefault="00F21385" w14:paraId="54DBF5FE" w14:textId="2442CB31">
            <w:pPr>
              <w:jc w:val="center"/>
              <w:rPr>
                <w:rFonts w:asciiTheme="majorBidi" w:hAnsiTheme="majorBidi" w:cstheme="majorBidi"/>
                <w:sz w:val="20"/>
                <w:szCs w:val="20"/>
              </w:rPr>
            </w:pPr>
            <w:r>
              <w:rPr>
                <w:sz w:val="22"/>
                <w:szCs w:val="22"/>
              </w:rPr>
              <w:t>$4,456,870</w:t>
            </w:r>
          </w:p>
        </w:tc>
        <w:tc>
          <w:tcPr>
            <w:tcW w:w="467" w:type="pct"/>
            <w:tcBorders>
              <w:top w:val="single" w:color="808080" w:sz="4" w:space="0"/>
              <w:left w:val="nil"/>
              <w:bottom w:val="single" w:color="808080" w:sz="4" w:space="0"/>
              <w:right w:val="single" w:color="808080" w:sz="4" w:space="0"/>
            </w:tcBorders>
            <w:shd w:val="clear" w:color="auto" w:fill="auto"/>
            <w:noWrap/>
            <w:vAlign w:val="center"/>
            <w:hideMark/>
          </w:tcPr>
          <w:p w:rsidRPr="00704E80" w:rsidR="00F21385" w:rsidP="009B774E" w:rsidRDefault="00F21385" w14:paraId="1578F3BB" w14:textId="3179D49E">
            <w:pPr>
              <w:jc w:val="center"/>
              <w:rPr>
                <w:rFonts w:asciiTheme="majorBidi" w:hAnsiTheme="majorBidi" w:cstheme="majorBidi"/>
                <w:sz w:val="20"/>
                <w:szCs w:val="20"/>
              </w:rPr>
            </w:pPr>
            <w:r>
              <w:rPr>
                <w:sz w:val="22"/>
                <w:szCs w:val="22"/>
              </w:rPr>
              <w:t>57,768</w:t>
            </w:r>
          </w:p>
        </w:tc>
        <w:tc>
          <w:tcPr>
            <w:tcW w:w="716" w:type="pct"/>
            <w:tcBorders>
              <w:top w:val="single" w:color="808080" w:sz="4" w:space="0"/>
              <w:left w:val="nil"/>
              <w:bottom w:val="single" w:color="808080" w:sz="4" w:space="0"/>
              <w:right w:val="double" w:color="808080" w:sz="6" w:space="0"/>
            </w:tcBorders>
            <w:shd w:val="clear" w:color="auto" w:fill="auto"/>
            <w:noWrap/>
            <w:vAlign w:val="center"/>
            <w:hideMark/>
          </w:tcPr>
          <w:p w:rsidRPr="00704E80" w:rsidR="00F21385" w:rsidP="009B774E" w:rsidRDefault="00F21385" w14:paraId="5C2B1A55" w14:textId="29DE859F">
            <w:pPr>
              <w:jc w:val="center"/>
              <w:rPr>
                <w:rFonts w:asciiTheme="majorBidi" w:hAnsiTheme="majorBidi" w:cstheme="majorBidi"/>
                <w:sz w:val="20"/>
                <w:szCs w:val="20"/>
              </w:rPr>
            </w:pPr>
            <w:r>
              <w:rPr>
                <w:sz w:val="22"/>
                <w:szCs w:val="22"/>
              </w:rPr>
              <w:t>$8,277,535</w:t>
            </w:r>
          </w:p>
        </w:tc>
      </w:tr>
      <w:tr w:rsidRPr="00704E80" w:rsidR="00F21385" w:rsidTr="006033ED" w14:paraId="10F39A26" w14:textId="77777777">
        <w:trPr>
          <w:trHeight w:val="300"/>
        </w:trPr>
        <w:tc>
          <w:tcPr>
            <w:tcW w:w="909" w:type="pct"/>
            <w:tcBorders>
              <w:top w:val="nil"/>
              <w:left w:val="double" w:color="808080" w:sz="6" w:space="0"/>
              <w:bottom w:val="single" w:color="808080" w:sz="4" w:space="0"/>
              <w:right w:val="single" w:color="808080" w:sz="4" w:space="0"/>
            </w:tcBorders>
            <w:shd w:val="clear" w:color="auto" w:fill="auto"/>
            <w:noWrap/>
            <w:vAlign w:val="bottom"/>
            <w:hideMark/>
          </w:tcPr>
          <w:p w:rsidRPr="00704E80" w:rsidR="00F21385" w:rsidP="009B774E" w:rsidRDefault="00F21385" w14:paraId="5967827C" w14:textId="77777777">
            <w:pPr>
              <w:rPr>
                <w:rFonts w:asciiTheme="majorBidi" w:hAnsiTheme="majorBidi" w:cstheme="majorBidi"/>
                <w:sz w:val="22"/>
                <w:szCs w:val="22"/>
              </w:rPr>
            </w:pPr>
            <w:r w:rsidRPr="00704E80">
              <w:rPr>
                <w:rFonts w:asciiTheme="majorBidi" w:hAnsiTheme="majorBidi" w:cstheme="majorBidi"/>
                <w:sz w:val="22"/>
                <w:szCs w:val="22"/>
              </w:rPr>
              <w:t>Technical</w:t>
            </w:r>
          </w:p>
        </w:tc>
        <w:tc>
          <w:tcPr>
            <w:tcW w:w="413" w:type="pct"/>
            <w:tcBorders>
              <w:top w:val="nil"/>
              <w:left w:val="single" w:color="808080" w:sz="4" w:space="0"/>
              <w:bottom w:val="single" w:color="808080" w:sz="4" w:space="0"/>
              <w:right w:val="single" w:color="808080" w:sz="4" w:space="0"/>
            </w:tcBorders>
            <w:shd w:val="clear" w:color="auto" w:fill="auto"/>
            <w:noWrap/>
            <w:vAlign w:val="center"/>
            <w:hideMark/>
          </w:tcPr>
          <w:p w:rsidRPr="00704E80" w:rsidR="00F21385" w:rsidP="009B774E" w:rsidRDefault="00F21385" w14:paraId="7305ABE1" w14:textId="58B8DE88">
            <w:pPr>
              <w:jc w:val="center"/>
              <w:rPr>
                <w:rFonts w:asciiTheme="majorBidi" w:hAnsiTheme="majorBidi" w:cstheme="majorBidi"/>
                <w:sz w:val="20"/>
                <w:szCs w:val="20"/>
              </w:rPr>
            </w:pPr>
            <w:r>
              <w:rPr>
                <w:sz w:val="22"/>
                <w:szCs w:val="22"/>
              </w:rPr>
              <w:t>5,340</w:t>
            </w:r>
          </w:p>
        </w:tc>
        <w:tc>
          <w:tcPr>
            <w:tcW w:w="602" w:type="pct"/>
            <w:tcBorders>
              <w:top w:val="nil"/>
              <w:left w:val="nil"/>
              <w:bottom w:val="single" w:color="808080" w:sz="4" w:space="0"/>
              <w:right w:val="single" w:color="808080" w:sz="4" w:space="0"/>
            </w:tcBorders>
            <w:shd w:val="clear" w:color="auto" w:fill="auto"/>
            <w:noWrap/>
            <w:vAlign w:val="center"/>
            <w:hideMark/>
          </w:tcPr>
          <w:p w:rsidRPr="00704E80" w:rsidR="00F21385" w:rsidP="009B774E" w:rsidRDefault="00F21385" w14:paraId="3B9FD8F7" w14:textId="473DE2F8">
            <w:pPr>
              <w:jc w:val="center"/>
              <w:rPr>
                <w:rFonts w:asciiTheme="majorBidi" w:hAnsiTheme="majorBidi" w:cstheme="majorBidi"/>
                <w:sz w:val="20"/>
                <w:szCs w:val="20"/>
              </w:rPr>
            </w:pPr>
            <w:r>
              <w:rPr>
                <w:sz w:val="22"/>
                <w:szCs w:val="22"/>
              </w:rPr>
              <w:t>$400,217</w:t>
            </w:r>
          </w:p>
        </w:tc>
        <w:tc>
          <w:tcPr>
            <w:tcW w:w="358" w:type="pct"/>
            <w:tcBorders>
              <w:top w:val="nil"/>
              <w:left w:val="nil"/>
              <w:bottom w:val="single" w:color="808080" w:sz="4" w:space="0"/>
              <w:right w:val="single" w:color="808080" w:sz="4" w:space="0"/>
            </w:tcBorders>
            <w:shd w:val="clear" w:color="auto" w:fill="auto"/>
            <w:noWrap/>
            <w:vAlign w:val="center"/>
            <w:hideMark/>
          </w:tcPr>
          <w:p w:rsidRPr="00704E80" w:rsidR="00F21385" w:rsidP="009B774E" w:rsidRDefault="00F21385" w14:paraId="7E5349E1" w14:textId="2C391C96">
            <w:pPr>
              <w:jc w:val="center"/>
              <w:rPr>
                <w:rFonts w:asciiTheme="majorBidi" w:hAnsiTheme="majorBidi" w:cstheme="majorBidi"/>
                <w:sz w:val="20"/>
                <w:szCs w:val="20"/>
              </w:rPr>
            </w:pPr>
            <w:r>
              <w:rPr>
                <w:sz w:val="22"/>
                <w:szCs w:val="22"/>
              </w:rPr>
              <w:t>1,326</w:t>
            </w:r>
          </w:p>
        </w:tc>
        <w:tc>
          <w:tcPr>
            <w:tcW w:w="521" w:type="pct"/>
            <w:tcBorders>
              <w:top w:val="nil"/>
              <w:left w:val="nil"/>
              <w:bottom w:val="single" w:color="808080" w:sz="4" w:space="0"/>
              <w:right w:val="single" w:color="808080" w:sz="4" w:space="0"/>
            </w:tcBorders>
            <w:shd w:val="clear" w:color="auto" w:fill="auto"/>
            <w:noWrap/>
            <w:vAlign w:val="center"/>
            <w:hideMark/>
          </w:tcPr>
          <w:p w:rsidRPr="00704E80" w:rsidR="00F21385" w:rsidP="009B774E" w:rsidRDefault="00F21385" w14:paraId="5C4627E2" w14:textId="260A6DD3">
            <w:pPr>
              <w:jc w:val="center"/>
              <w:rPr>
                <w:rFonts w:asciiTheme="majorBidi" w:hAnsiTheme="majorBidi" w:cstheme="majorBidi"/>
                <w:sz w:val="20"/>
                <w:szCs w:val="20"/>
              </w:rPr>
            </w:pPr>
            <w:r>
              <w:rPr>
                <w:sz w:val="22"/>
                <w:szCs w:val="22"/>
              </w:rPr>
              <w:t>$99,380</w:t>
            </w:r>
          </w:p>
        </w:tc>
        <w:tc>
          <w:tcPr>
            <w:tcW w:w="413" w:type="pct"/>
            <w:tcBorders>
              <w:top w:val="nil"/>
              <w:left w:val="nil"/>
              <w:bottom w:val="single" w:color="808080" w:sz="4" w:space="0"/>
              <w:right w:val="single" w:color="808080" w:sz="4" w:space="0"/>
            </w:tcBorders>
            <w:shd w:val="clear" w:color="auto" w:fill="auto"/>
            <w:noWrap/>
            <w:vAlign w:val="center"/>
            <w:hideMark/>
          </w:tcPr>
          <w:p w:rsidRPr="00704E80" w:rsidR="00F21385" w:rsidP="009B774E" w:rsidRDefault="00F21385" w14:paraId="0A74FFB7" w14:textId="79240E7E">
            <w:pPr>
              <w:jc w:val="center"/>
              <w:rPr>
                <w:rFonts w:asciiTheme="majorBidi" w:hAnsiTheme="majorBidi" w:cstheme="majorBidi"/>
                <w:sz w:val="20"/>
                <w:szCs w:val="20"/>
              </w:rPr>
            </w:pPr>
            <w:r>
              <w:rPr>
                <w:sz w:val="22"/>
                <w:szCs w:val="22"/>
              </w:rPr>
              <w:t>7,776</w:t>
            </w:r>
          </w:p>
        </w:tc>
        <w:tc>
          <w:tcPr>
            <w:tcW w:w="602" w:type="pct"/>
            <w:tcBorders>
              <w:top w:val="nil"/>
              <w:left w:val="nil"/>
              <w:bottom w:val="single" w:color="808080" w:sz="4" w:space="0"/>
              <w:right w:val="single" w:color="808080" w:sz="4" w:space="0"/>
            </w:tcBorders>
            <w:shd w:val="clear" w:color="auto" w:fill="auto"/>
            <w:noWrap/>
            <w:vAlign w:val="center"/>
            <w:hideMark/>
          </w:tcPr>
          <w:p w:rsidRPr="00704E80" w:rsidR="00F21385" w:rsidP="009B774E" w:rsidRDefault="00F21385" w14:paraId="4582D790" w14:textId="774CE59E">
            <w:pPr>
              <w:jc w:val="center"/>
              <w:rPr>
                <w:rFonts w:asciiTheme="majorBidi" w:hAnsiTheme="majorBidi" w:cstheme="majorBidi"/>
                <w:sz w:val="20"/>
                <w:szCs w:val="20"/>
              </w:rPr>
            </w:pPr>
            <w:r>
              <w:rPr>
                <w:sz w:val="22"/>
                <w:szCs w:val="22"/>
              </w:rPr>
              <w:t>$582,787</w:t>
            </w:r>
          </w:p>
        </w:tc>
        <w:tc>
          <w:tcPr>
            <w:tcW w:w="467" w:type="pct"/>
            <w:tcBorders>
              <w:top w:val="nil"/>
              <w:left w:val="nil"/>
              <w:bottom w:val="single" w:color="808080" w:sz="4" w:space="0"/>
              <w:right w:val="single" w:color="808080" w:sz="4" w:space="0"/>
            </w:tcBorders>
            <w:shd w:val="clear" w:color="auto" w:fill="auto"/>
            <w:noWrap/>
            <w:vAlign w:val="center"/>
            <w:hideMark/>
          </w:tcPr>
          <w:p w:rsidRPr="00704E80" w:rsidR="00F21385" w:rsidP="009B774E" w:rsidRDefault="00F21385" w14:paraId="47947F1C" w14:textId="5C11C353">
            <w:pPr>
              <w:jc w:val="center"/>
              <w:rPr>
                <w:rFonts w:asciiTheme="majorBidi" w:hAnsiTheme="majorBidi" w:cstheme="majorBidi"/>
                <w:sz w:val="20"/>
                <w:szCs w:val="20"/>
              </w:rPr>
            </w:pPr>
            <w:r>
              <w:rPr>
                <w:sz w:val="22"/>
                <w:szCs w:val="22"/>
              </w:rPr>
              <w:t>14,442</w:t>
            </w:r>
          </w:p>
        </w:tc>
        <w:tc>
          <w:tcPr>
            <w:tcW w:w="716" w:type="pct"/>
            <w:tcBorders>
              <w:top w:val="nil"/>
              <w:left w:val="nil"/>
              <w:bottom w:val="single" w:color="808080" w:sz="4" w:space="0"/>
              <w:right w:val="double" w:color="808080" w:sz="6" w:space="0"/>
            </w:tcBorders>
            <w:shd w:val="clear" w:color="auto" w:fill="auto"/>
            <w:noWrap/>
            <w:vAlign w:val="center"/>
            <w:hideMark/>
          </w:tcPr>
          <w:p w:rsidRPr="00704E80" w:rsidR="00F21385" w:rsidP="009B774E" w:rsidRDefault="00F21385" w14:paraId="26DD402C" w14:textId="307F3AC5">
            <w:pPr>
              <w:jc w:val="center"/>
              <w:rPr>
                <w:rFonts w:asciiTheme="majorBidi" w:hAnsiTheme="majorBidi" w:cstheme="majorBidi"/>
                <w:sz w:val="20"/>
                <w:szCs w:val="20"/>
              </w:rPr>
            </w:pPr>
            <w:r>
              <w:rPr>
                <w:sz w:val="22"/>
                <w:szCs w:val="22"/>
              </w:rPr>
              <w:t>$1,082,384</w:t>
            </w:r>
          </w:p>
        </w:tc>
      </w:tr>
      <w:tr w:rsidRPr="00704E80" w:rsidR="00F21385" w:rsidTr="006033ED" w14:paraId="629EBC40" w14:textId="77777777">
        <w:trPr>
          <w:trHeight w:val="300"/>
        </w:trPr>
        <w:tc>
          <w:tcPr>
            <w:tcW w:w="909" w:type="pct"/>
            <w:tcBorders>
              <w:top w:val="nil"/>
              <w:left w:val="double" w:color="808080" w:sz="6" w:space="0"/>
              <w:bottom w:val="single" w:color="808080" w:sz="4" w:space="0"/>
              <w:right w:val="single" w:color="808080" w:sz="4" w:space="0"/>
            </w:tcBorders>
            <w:shd w:val="clear" w:color="auto" w:fill="auto"/>
            <w:noWrap/>
            <w:vAlign w:val="bottom"/>
            <w:hideMark/>
          </w:tcPr>
          <w:p w:rsidRPr="00704E80" w:rsidR="00F21385" w:rsidP="009B774E" w:rsidRDefault="00F21385" w14:paraId="6C6D6630" w14:textId="77777777">
            <w:pPr>
              <w:rPr>
                <w:rFonts w:asciiTheme="majorBidi" w:hAnsiTheme="majorBidi" w:cstheme="majorBidi"/>
                <w:sz w:val="22"/>
                <w:szCs w:val="22"/>
              </w:rPr>
            </w:pPr>
            <w:r w:rsidRPr="00704E80">
              <w:rPr>
                <w:rFonts w:asciiTheme="majorBidi" w:hAnsiTheme="majorBidi" w:cstheme="majorBidi"/>
                <w:sz w:val="22"/>
                <w:szCs w:val="22"/>
              </w:rPr>
              <w:t>Clerical</w:t>
            </w:r>
          </w:p>
        </w:tc>
        <w:tc>
          <w:tcPr>
            <w:tcW w:w="413" w:type="pct"/>
            <w:tcBorders>
              <w:top w:val="nil"/>
              <w:left w:val="single" w:color="808080" w:sz="4" w:space="0"/>
              <w:bottom w:val="single" w:color="808080" w:sz="4" w:space="0"/>
              <w:right w:val="single" w:color="808080" w:sz="4" w:space="0"/>
            </w:tcBorders>
            <w:shd w:val="clear" w:color="auto" w:fill="auto"/>
            <w:noWrap/>
            <w:vAlign w:val="center"/>
            <w:hideMark/>
          </w:tcPr>
          <w:p w:rsidRPr="00704E80" w:rsidR="00F21385" w:rsidP="009B774E" w:rsidRDefault="00F21385" w14:paraId="3BF63D18" w14:textId="1BFE5576">
            <w:pPr>
              <w:jc w:val="center"/>
              <w:rPr>
                <w:rFonts w:asciiTheme="majorBidi" w:hAnsiTheme="majorBidi" w:cstheme="majorBidi"/>
                <w:sz w:val="20"/>
                <w:szCs w:val="20"/>
              </w:rPr>
            </w:pPr>
            <w:r>
              <w:rPr>
                <w:sz w:val="22"/>
                <w:szCs w:val="22"/>
              </w:rPr>
              <w:t>10,680</w:t>
            </w:r>
          </w:p>
        </w:tc>
        <w:tc>
          <w:tcPr>
            <w:tcW w:w="602" w:type="pct"/>
            <w:tcBorders>
              <w:top w:val="nil"/>
              <w:left w:val="nil"/>
              <w:bottom w:val="single" w:color="808080" w:sz="4" w:space="0"/>
              <w:right w:val="single" w:color="808080" w:sz="4" w:space="0"/>
            </w:tcBorders>
            <w:shd w:val="clear" w:color="auto" w:fill="auto"/>
            <w:noWrap/>
            <w:vAlign w:val="center"/>
            <w:hideMark/>
          </w:tcPr>
          <w:p w:rsidRPr="00704E80" w:rsidR="00F21385" w:rsidP="009B774E" w:rsidRDefault="00F21385" w14:paraId="70928CB8" w14:textId="072144B2">
            <w:pPr>
              <w:jc w:val="center"/>
              <w:rPr>
                <w:rFonts w:asciiTheme="majorBidi" w:hAnsiTheme="majorBidi" w:cstheme="majorBidi"/>
                <w:sz w:val="20"/>
                <w:szCs w:val="20"/>
              </w:rPr>
            </w:pPr>
            <w:r>
              <w:rPr>
                <w:sz w:val="22"/>
                <w:szCs w:val="22"/>
              </w:rPr>
              <w:t>$510,343</w:t>
            </w:r>
          </w:p>
        </w:tc>
        <w:tc>
          <w:tcPr>
            <w:tcW w:w="358" w:type="pct"/>
            <w:tcBorders>
              <w:top w:val="nil"/>
              <w:left w:val="nil"/>
              <w:bottom w:val="single" w:color="808080" w:sz="4" w:space="0"/>
              <w:right w:val="single" w:color="808080" w:sz="4" w:space="0"/>
            </w:tcBorders>
            <w:shd w:val="clear" w:color="auto" w:fill="auto"/>
            <w:noWrap/>
            <w:vAlign w:val="center"/>
            <w:hideMark/>
          </w:tcPr>
          <w:p w:rsidRPr="00704E80" w:rsidR="00F21385" w:rsidP="009B774E" w:rsidRDefault="00F21385" w14:paraId="412D683A" w14:textId="22551651">
            <w:pPr>
              <w:jc w:val="center"/>
              <w:rPr>
                <w:rFonts w:asciiTheme="majorBidi" w:hAnsiTheme="majorBidi" w:cstheme="majorBidi"/>
                <w:sz w:val="20"/>
                <w:szCs w:val="20"/>
              </w:rPr>
            </w:pPr>
            <w:r>
              <w:rPr>
                <w:sz w:val="22"/>
                <w:szCs w:val="22"/>
              </w:rPr>
              <w:t>2,652</w:t>
            </w:r>
          </w:p>
        </w:tc>
        <w:tc>
          <w:tcPr>
            <w:tcW w:w="521" w:type="pct"/>
            <w:tcBorders>
              <w:top w:val="nil"/>
              <w:left w:val="nil"/>
              <w:bottom w:val="single" w:color="808080" w:sz="4" w:space="0"/>
              <w:right w:val="single" w:color="808080" w:sz="4" w:space="0"/>
            </w:tcBorders>
            <w:shd w:val="clear" w:color="auto" w:fill="auto"/>
            <w:noWrap/>
            <w:vAlign w:val="center"/>
            <w:hideMark/>
          </w:tcPr>
          <w:p w:rsidRPr="00704E80" w:rsidR="00F21385" w:rsidP="009B774E" w:rsidRDefault="00F21385" w14:paraId="06045CCE" w14:textId="3545D700">
            <w:pPr>
              <w:jc w:val="center"/>
              <w:rPr>
                <w:rFonts w:asciiTheme="majorBidi" w:hAnsiTheme="majorBidi" w:cstheme="majorBidi"/>
                <w:sz w:val="20"/>
                <w:szCs w:val="20"/>
              </w:rPr>
            </w:pPr>
            <w:r>
              <w:rPr>
                <w:sz w:val="22"/>
                <w:szCs w:val="22"/>
              </w:rPr>
              <w:t>$126,726</w:t>
            </w:r>
          </w:p>
        </w:tc>
        <w:tc>
          <w:tcPr>
            <w:tcW w:w="413" w:type="pct"/>
            <w:tcBorders>
              <w:top w:val="nil"/>
              <w:left w:val="nil"/>
              <w:bottom w:val="single" w:color="808080" w:sz="4" w:space="0"/>
              <w:right w:val="single" w:color="808080" w:sz="4" w:space="0"/>
            </w:tcBorders>
            <w:shd w:val="clear" w:color="auto" w:fill="auto"/>
            <w:noWrap/>
            <w:vAlign w:val="center"/>
            <w:hideMark/>
          </w:tcPr>
          <w:p w:rsidRPr="00704E80" w:rsidR="00F21385" w:rsidP="009B774E" w:rsidRDefault="00F21385" w14:paraId="7068F53E" w14:textId="5355EFF8">
            <w:pPr>
              <w:jc w:val="center"/>
              <w:rPr>
                <w:rFonts w:asciiTheme="majorBidi" w:hAnsiTheme="majorBidi" w:cstheme="majorBidi"/>
                <w:sz w:val="20"/>
                <w:szCs w:val="20"/>
              </w:rPr>
            </w:pPr>
            <w:r>
              <w:rPr>
                <w:sz w:val="22"/>
                <w:szCs w:val="22"/>
              </w:rPr>
              <w:t>15,552</w:t>
            </w:r>
          </w:p>
        </w:tc>
        <w:tc>
          <w:tcPr>
            <w:tcW w:w="602" w:type="pct"/>
            <w:tcBorders>
              <w:top w:val="nil"/>
              <w:left w:val="nil"/>
              <w:bottom w:val="single" w:color="808080" w:sz="4" w:space="0"/>
              <w:right w:val="single" w:color="808080" w:sz="4" w:space="0"/>
            </w:tcBorders>
            <w:shd w:val="clear" w:color="auto" w:fill="auto"/>
            <w:noWrap/>
            <w:vAlign w:val="center"/>
            <w:hideMark/>
          </w:tcPr>
          <w:p w:rsidRPr="00704E80" w:rsidR="00F21385" w:rsidP="009B774E" w:rsidRDefault="00F21385" w14:paraId="05954463" w14:textId="22E3D630">
            <w:pPr>
              <w:jc w:val="center"/>
              <w:rPr>
                <w:rFonts w:asciiTheme="majorBidi" w:hAnsiTheme="majorBidi" w:cstheme="majorBidi"/>
                <w:sz w:val="20"/>
                <w:szCs w:val="20"/>
              </w:rPr>
            </w:pPr>
            <w:r>
              <w:rPr>
                <w:sz w:val="22"/>
                <w:szCs w:val="22"/>
              </w:rPr>
              <w:t>$743,152</w:t>
            </w:r>
          </w:p>
        </w:tc>
        <w:tc>
          <w:tcPr>
            <w:tcW w:w="467" w:type="pct"/>
            <w:tcBorders>
              <w:top w:val="nil"/>
              <w:left w:val="nil"/>
              <w:bottom w:val="single" w:color="808080" w:sz="4" w:space="0"/>
              <w:right w:val="single" w:color="808080" w:sz="4" w:space="0"/>
            </w:tcBorders>
            <w:shd w:val="clear" w:color="auto" w:fill="auto"/>
            <w:noWrap/>
            <w:vAlign w:val="center"/>
            <w:hideMark/>
          </w:tcPr>
          <w:p w:rsidRPr="00704E80" w:rsidR="00F21385" w:rsidP="009B774E" w:rsidRDefault="00F21385" w14:paraId="4A6D3CFE" w14:textId="199CA1CB">
            <w:pPr>
              <w:jc w:val="center"/>
              <w:rPr>
                <w:rFonts w:asciiTheme="majorBidi" w:hAnsiTheme="majorBidi" w:cstheme="majorBidi"/>
                <w:sz w:val="20"/>
                <w:szCs w:val="20"/>
              </w:rPr>
            </w:pPr>
            <w:r>
              <w:rPr>
                <w:sz w:val="22"/>
                <w:szCs w:val="22"/>
              </w:rPr>
              <w:t>28,884</w:t>
            </w:r>
          </w:p>
        </w:tc>
        <w:tc>
          <w:tcPr>
            <w:tcW w:w="716" w:type="pct"/>
            <w:tcBorders>
              <w:top w:val="nil"/>
              <w:left w:val="nil"/>
              <w:bottom w:val="single" w:color="808080" w:sz="4" w:space="0"/>
              <w:right w:val="double" w:color="808080" w:sz="6" w:space="0"/>
            </w:tcBorders>
            <w:shd w:val="clear" w:color="auto" w:fill="auto"/>
            <w:noWrap/>
            <w:vAlign w:val="center"/>
            <w:hideMark/>
          </w:tcPr>
          <w:p w:rsidRPr="00704E80" w:rsidR="00F21385" w:rsidP="009B774E" w:rsidRDefault="00F21385" w14:paraId="5BC9AA7F" w14:textId="28F79E9F">
            <w:pPr>
              <w:jc w:val="center"/>
              <w:rPr>
                <w:rFonts w:asciiTheme="majorBidi" w:hAnsiTheme="majorBidi" w:cstheme="majorBidi"/>
                <w:sz w:val="20"/>
                <w:szCs w:val="20"/>
              </w:rPr>
            </w:pPr>
            <w:r>
              <w:rPr>
                <w:sz w:val="22"/>
                <w:szCs w:val="22"/>
              </w:rPr>
              <w:t>$1,380,221</w:t>
            </w:r>
          </w:p>
        </w:tc>
      </w:tr>
      <w:tr w:rsidRPr="00C270C5" w:rsidR="00F21385" w:rsidTr="006033ED" w14:paraId="5FD72D49" w14:textId="77777777">
        <w:trPr>
          <w:trHeight w:val="315"/>
        </w:trPr>
        <w:tc>
          <w:tcPr>
            <w:tcW w:w="909" w:type="pct"/>
            <w:tcBorders>
              <w:top w:val="nil"/>
              <w:left w:val="double" w:color="808080" w:sz="6" w:space="0"/>
              <w:bottom w:val="double" w:color="808080" w:sz="6" w:space="0"/>
              <w:right w:val="single" w:color="808080" w:sz="4" w:space="0"/>
            </w:tcBorders>
            <w:shd w:val="clear" w:color="auto" w:fill="auto"/>
            <w:noWrap/>
            <w:vAlign w:val="bottom"/>
            <w:hideMark/>
          </w:tcPr>
          <w:p w:rsidRPr="00704E80" w:rsidR="00F21385" w:rsidP="009B774E" w:rsidRDefault="00F21385" w14:paraId="7EA8D596" w14:textId="77777777">
            <w:pPr>
              <w:rPr>
                <w:rFonts w:asciiTheme="majorBidi" w:hAnsiTheme="majorBidi" w:cstheme="majorBidi"/>
                <w:b/>
                <w:sz w:val="22"/>
                <w:szCs w:val="22"/>
              </w:rPr>
            </w:pPr>
            <w:r w:rsidRPr="00704E80">
              <w:rPr>
                <w:rFonts w:asciiTheme="majorBidi" w:hAnsiTheme="majorBidi" w:cstheme="majorBidi"/>
                <w:b/>
                <w:sz w:val="22"/>
                <w:szCs w:val="22"/>
              </w:rPr>
              <w:t>Total</w:t>
            </w:r>
          </w:p>
        </w:tc>
        <w:tc>
          <w:tcPr>
            <w:tcW w:w="413" w:type="pct"/>
            <w:tcBorders>
              <w:top w:val="nil"/>
              <w:left w:val="single" w:color="808080" w:sz="4" w:space="0"/>
              <w:bottom w:val="double" w:color="808080" w:sz="6" w:space="0"/>
              <w:right w:val="single" w:color="808080" w:sz="4" w:space="0"/>
            </w:tcBorders>
            <w:shd w:val="clear" w:color="auto" w:fill="auto"/>
            <w:noWrap/>
            <w:vAlign w:val="center"/>
            <w:hideMark/>
          </w:tcPr>
          <w:p w:rsidRPr="00704E80" w:rsidR="00F21385" w:rsidP="009B774E" w:rsidRDefault="00F21385" w14:paraId="2E16E2BD" w14:textId="3E8D043E">
            <w:pPr>
              <w:jc w:val="center"/>
              <w:rPr>
                <w:rFonts w:asciiTheme="majorBidi" w:hAnsiTheme="majorBidi" w:cstheme="majorBidi"/>
                <w:b/>
                <w:sz w:val="20"/>
                <w:szCs w:val="20"/>
              </w:rPr>
            </w:pPr>
            <w:r>
              <w:rPr>
                <w:sz w:val="22"/>
                <w:szCs w:val="22"/>
              </w:rPr>
              <w:t>37,380</w:t>
            </w:r>
          </w:p>
        </w:tc>
        <w:tc>
          <w:tcPr>
            <w:tcW w:w="602" w:type="pct"/>
            <w:tcBorders>
              <w:top w:val="nil"/>
              <w:left w:val="nil"/>
              <w:bottom w:val="double" w:color="808080" w:sz="6" w:space="0"/>
              <w:right w:val="single" w:color="808080" w:sz="4" w:space="0"/>
            </w:tcBorders>
            <w:shd w:val="clear" w:color="auto" w:fill="auto"/>
            <w:noWrap/>
            <w:vAlign w:val="center"/>
            <w:hideMark/>
          </w:tcPr>
          <w:p w:rsidRPr="00704E80" w:rsidR="00F21385" w:rsidP="009B774E" w:rsidRDefault="00F21385" w14:paraId="3F054141" w14:textId="42E88721">
            <w:pPr>
              <w:jc w:val="center"/>
              <w:rPr>
                <w:rFonts w:asciiTheme="majorBidi" w:hAnsiTheme="majorBidi" w:cstheme="majorBidi"/>
                <w:b/>
                <w:sz w:val="20"/>
                <w:szCs w:val="20"/>
              </w:rPr>
            </w:pPr>
            <w:r>
              <w:rPr>
                <w:sz w:val="22"/>
                <w:szCs w:val="22"/>
              </w:rPr>
              <w:t>$3,971,219</w:t>
            </w:r>
          </w:p>
        </w:tc>
        <w:tc>
          <w:tcPr>
            <w:tcW w:w="358" w:type="pct"/>
            <w:tcBorders>
              <w:top w:val="nil"/>
              <w:left w:val="nil"/>
              <w:bottom w:val="double" w:color="808080" w:sz="6" w:space="0"/>
              <w:right w:val="single" w:color="808080" w:sz="4" w:space="0"/>
            </w:tcBorders>
            <w:shd w:val="clear" w:color="auto" w:fill="auto"/>
            <w:noWrap/>
            <w:vAlign w:val="center"/>
            <w:hideMark/>
          </w:tcPr>
          <w:p w:rsidRPr="00704E80" w:rsidR="00F21385" w:rsidP="009B774E" w:rsidRDefault="00F21385" w14:paraId="47A53739" w14:textId="6D94D733">
            <w:pPr>
              <w:jc w:val="center"/>
              <w:rPr>
                <w:rFonts w:asciiTheme="majorBidi" w:hAnsiTheme="majorBidi" w:cstheme="majorBidi"/>
                <w:b/>
                <w:sz w:val="20"/>
                <w:szCs w:val="20"/>
              </w:rPr>
            </w:pPr>
            <w:r>
              <w:rPr>
                <w:sz w:val="22"/>
                <w:szCs w:val="22"/>
              </w:rPr>
              <w:t>9,282</w:t>
            </w:r>
          </w:p>
        </w:tc>
        <w:tc>
          <w:tcPr>
            <w:tcW w:w="521" w:type="pct"/>
            <w:tcBorders>
              <w:top w:val="nil"/>
              <w:left w:val="nil"/>
              <w:bottom w:val="double" w:color="808080" w:sz="6" w:space="0"/>
              <w:right w:val="single" w:color="808080" w:sz="4" w:space="0"/>
            </w:tcBorders>
            <w:shd w:val="clear" w:color="auto" w:fill="auto"/>
            <w:noWrap/>
            <w:vAlign w:val="center"/>
            <w:hideMark/>
          </w:tcPr>
          <w:p w:rsidRPr="00704E80" w:rsidR="00F21385" w:rsidP="009B774E" w:rsidRDefault="00F21385" w14:paraId="28447307" w14:textId="0210B40C">
            <w:pPr>
              <w:jc w:val="center"/>
              <w:rPr>
                <w:rFonts w:asciiTheme="majorBidi" w:hAnsiTheme="majorBidi" w:cstheme="majorBidi"/>
                <w:b/>
                <w:sz w:val="20"/>
                <w:szCs w:val="20"/>
              </w:rPr>
            </w:pPr>
            <w:r>
              <w:rPr>
                <w:sz w:val="22"/>
                <w:szCs w:val="22"/>
              </w:rPr>
              <w:t>$986,112</w:t>
            </w:r>
          </w:p>
        </w:tc>
        <w:tc>
          <w:tcPr>
            <w:tcW w:w="413" w:type="pct"/>
            <w:tcBorders>
              <w:top w:val="nil"/>
              <w:left w:val="nil"/>
              <w:bottom w:val="double" w:color="808080" w:sz="6" w:space="0"/>
              <w:right w:val="single" w:color="808080" w:sz="4" w:space="0"/>
            </w:tcBorders>
            <w:shd w:val="clear" w:color="auto" w:fill="auto"/>
            <w:noWrap/>
            <w:vAlign w:val="center"/>
            <w:hideMark/>
          </w:tcPr>
          <w:p w:rsidRPr="00704E80" w:rsidR="00F21385" w:rsidP="009B774E" w:rsidRDefault="00F21385" w14:paraId="64FDADE8" w14:textId="55D7CEDB">
            <w:pPr>
              <w:jc w:val="center"/>
              <w:rPr>
                <w:rFonts w:asciiTheme="majorBidi" w:hAnsiTheme="majorBidi" w:cstheme="majorBidi"/>
                <w:b/>
                <w:sz w:val="20"/>
                <w:szCs w:val="20"/>
              </w:rPr>
            </w:pPr>
            <w:r>
              <w:rPr>
                <w:sz w:val="22"/>
                <w:szCs w:val="22"/>
              </w:rPr>
              <w:t>54,432</w:t>
            </w:r>
          </w:p>
        </w:tc>
        <w:tc>
          <w:tcPr>
            <w:tcW w:w="602" w:type="pct"/>
            <w:tcBorders>
              <w:top w:val="nil"/>
              <w:left w:val="nil"/>
              <w:bottom w:val="double" w:color="808080" w:sz="6" w:space="0"/>
              <w:right w:val="single" w:color="808080" w:sz="4" w:space="0"/>
            </w:tcBorders>
            <w:shd w:val="clear" w:color="auto" w:fill="auto"/>
            <w:noWrap/>
            <w:vAlign w:val="center"/>
            <w:hideMark/>
          </w:tcPr>
          <w:p w:rsidRPr="00704E80" w:rsidR="00F21385" w:rsidP="009B774E" w:rsidRDefault="00F21385" w14:paraId="7305795E" w14:textId="53277EA0">
            <w:pPr>
              <w:jc w:val="center"/>
              <w:rPr>
                <w:rFonts w:asciiTheme="majorBidi" w:hAnsiTheme="majorBidi" w:cstheme="majorBidi"/>
                <w:b/>
                <w:sz w:val="20"/>
                <w:szCs w:val="20"/>
              </w:rPr>
            </w:pPr>
            <w:r>
              <w:rPr>
                <w:sz w:val="22"/>
                <w:szCs w:val="22"/>
              </w:rPr>
              <w:t>$5,782,809</w:t>
            </w:r>
          </w:p>
        </w:tc>
        <w:tc>
          <w:tcPr>
            <w:tcW w:w="467" w:type="pct"/>
            <w:tcBorders>
              <w:top w:val="nil"/>
              <w:left w:val="nil"/>
              <w:bottom w:val="double" w:color="808080" w:sz="6" w:space="0"/>
              <w:right w:val="single" w:color="808080" w:sz="4" w:space="0"/>
            </w:tcBorders>
            <w:shd w:val="clear" w:color="auto" w:fill="auto"/>
            <w:noWrap/>
            <w:vAlign w:val="center"/>
            <w:hideMark/>
          </w:tcPr>
          <w:p w:rsidRPr="00704E80" w:rsidR="00F21385" w:rsidP="009B774E" w:rsidRDefault="00F21385" w14:paraId="340DEE0E" w14:textId="2D31B384">
            <w:pPr>
              <w:jc w:val="center"/>
              <w:rPr>
                <w:rFonts w:asciiTheme="majorBidi" w:hAnsiTheme="majorBidi" w:cstheme="majorBidi"/>
                <w:b/>
                <w:sz w:val="20"/>
                <w:szCs w:val="20"/>
              </w:rPr>
            </w:pPr>
            <w:r>
              <w:rPr>
                <w:sz w:val="22"/>
                <w:szCs w:val="22"/>
              </w:rPr>
              <w:t>101,094</w:t>
            </w:r>
          </w:p>
        </w:tc>
        <w:tc>
          <w:tcPr>
            <w:tcW w:w="716" w:type="pct"/>
            <w:tcBorders>
              <w:top w:val="nil"/>
              <w:left w:val="nil"/>
              <w:bottom w:val="double" w:color="808080" w:sz="6" w:space="0"/>
              <w:right w:val="double" w:color="808080" w:sz="6" w:space="0"/>
            </w:tcBorders>
            <w:shd w:val="clear" w:color="auto" w:fill="auto"/>
            <w:noWrap/>
            <w:vAlign w:val="center"/>
            <w:hideMark/>
          </w:tcPr>
          <w:p w:rsidRPr="00704E80" w:rsidR="00F21385" w:rsidP="009B774E" w:rsidRDefault="00F21385" w14:paraId="15725FF0" w14:textId="66C09E4D">
            <w:pPr>
              <w:jc w:val="center"/>
              <w:rPr>
                <w:rFonts w:asciiTheme="majorBidi" w:hAnsiTheme="majorBidi" w:cstheme="majorBidi"/>
                <w:b/>
                <w:sz w:val="20"/>
                <w:szCs w:val="20"/>
              </w:rPr>
            </w:pPr>
            <w:r>
              <w:rPr>
                <w:sz w:val="22"/>
                <w:szCs w:val="22"/>
              </w:rPr>
              <w:t>$10,740,140</w:t>
            </w:r>
          </w:p>
        </w:tc>
      </w:tr>
    </w:tbl>
    <w:p w:rsidRPr="00C270C5" w:rsidR="008253DD" w:rsidP="009B774E" w:rsidRDefault="008253DD" w14:paraId="5CF14513" w14:textId="77777777">
      <w:pPr>
        <w:rPr>
          <w:rFonts w:asciiTheme="majorBidi" w:hAnsiTheme="majorBidi" w:cstheme="majorBidi"/>
          <w:b/>
          <w:sz w:val="2"/>
          <w:szCs w:val="2"/>
        </w:rPr>
      </w:pPr>
    </w:p>
    <w:tbl>
      <w:tblPr>
        <w:tblStyle w:val="TableGrid"/>
        <w:tblW w:w="0" w:type="auto"/>
        <w:tblLook w:val="04A0" w:firstRow="1" w:lastRow="0" w:firstColumn="1" w:lastColumn="0" w:noHBand="0" w:noVBand="1"/>
      </w:tblPr>
      <w:tblGrid>
        <w:gridCol w:w="9360"/>
      </w:tblGrid>
      <w:tr w:rsidRPr="00D20DE4" w:rsidR="008253DD" w:rsidTr="00650B2D" w14:paraId="4B7BC7A4" w14:textId="77777777">
        <w:tc>
          <w:tcPr>
            <w:tcW w:w="10070" w:type="dxa"/>
            <w:tcBorders>
              <w:top w:val="nil"/>
              <w:left w:val="nil"/>
              <w:bottom w:val="single" w:color="808080" w:themeColor="background1" w:themeShade="80" w:sz="4" w:space="0"/>
              <w:right w:val="nil"/>
            </w:tcBorders>
          </w:tcPr>
          <w:p w:rsidR="005459DF" w:rsidP="009B774E" w:rsidRDefault="005459DF" w14:paraId="6E0EE6FD" w14:textId="77777777">
            <w:pPr>
              <w:rPr>
                <w:rFonts w:asciiTheme="majorBidi" w:hAnsiTheme="majorBidi" w:cstheme="majorBidi"/>
                <w:sz w:val="20"/>
              </w:rPr>
            </w:pPr>
            <w:r>
              <w:rPr>
                <w:rFonts w:asciiTheme="majorBidi" w:hAnsiTheme="majorBidi" w:cstheme="majorBidi"/>
                <w:sz w:val="20"/>
              </w:rPr>
              <w:t>*Numbers may not sum due to rounding.</w:t>
            </w:r>
          </w:p>
          <w:p w:rsidRPr="00D20DE4" w:rsidR="008253DD" w:rsidP="009B774E" w:rsidRDefault="008253DD" w14:paraId="2EF3D7E6" w14:textId="218AA55D">
            <w:pPr>
              <w:rPr>
                <w:rFonts w:asciiTheme="majorBidi" w:hAnsiTheme="majorBidi" w:cstheme="majorBidi"/>
                <w:sz w:val="21"/>
                <w:szCs w:val="21"/>
              </w:rPr>
            </w:pPr>
            <w:r w:rsidRPr="00D20DE4">
              <w:rPr>
                <w:rFonts w:asciiTheme="majorBidi" w:hAnsiTheme="majorBidi" w:cstheme="majorBidi"/>
                <w:sz w:val="21"/>
                <w:szCs w:val="21"/>
                <w:vertAlign w:val="superscript"/>
              </w:rPr>
              <w:t xml:space="preserve">1 </w:t>
            </w:r>
            <w:r w:rsidRPr="00D20DE4">
              <w:rPr>
                <w:rFonts w:asciiTheme="majorBidi" w:hAnsiTheme="majorBidi" w:cstheme="majorBidi"/>
                <w:sz w:val="21"/>
                <w:szCs w:val="21"/>
              </w:rPr>
              <w:t>Hours are calculated by multiplying hours per labor category from Table 4-A by the average number of applications for that division from Table 2.</w:t>
            </w:r>
            <w:r w:rsidRPr="00D20DE4" w:rsidR="007841AD">
              <w:rPr>
                <w:rFonts w:asciiTheme="majorBidi" w:hAnsiTheme="majorBidi" w:cstheme="majorBidi"/>
                <w:sz w:val="21"/>
                <w:szCs w:val="21"/>
              </w:rPr>
              <w:t xml:space="preserve"> </w:t>
            </w:r>
            <w:r w:rsidRPr="00D20DE4">
              <w:rPr>
                <w:rFonts w:asciiTheme="majorBidi" w:hAnsiTheme="majorBidi" w:cstheme="majorBidi"/>
                <w:sz w:val="21"/>
                <w:szCs w:val="21"/>
              </w:rPr>
              <w:t xml:space="preserve">For example, </w:t>
            </w:r>
            <w:r w:rsidRPr="00D20DE4" w:rsidR="00D20DE4">
              <w:rPr>
                <w:rFonts w:asciiTheme="majorBidi" w:hAnsiTheme="majorBidi" w:cstheme="majorBidi"/>
                <w:sz w:val="21"/>
                <w:szCs w:val="21"/>
              </w:rPr>
              <w:t>20,488</w:t>
            </w:r>
            <w:r w:rsidRPr="00D20DE4">
              <w:rPr>
                <w:rFonts w:asciiTheme="majorBidi" w:hAnsiTheme="majorBidi" w:cstheme="majorBidi"/>
                <w:sz w:val="21"/>
                <w:szCs w:val="21"/>
              </w:rPr>
              <w:t xml:space="preserve"> management hours for AD is calculated as 8 management hours per “Type B” application </w:t>
            </w:r>
            <w:r w:rsidRPr="00D20DE4" w:rsidR="00650B2D">
              <w:rPr>
                <w:rFonts w:asciiTheme="majorBidi" w:hAnsiTheme="majorBidi" w:cstheme="majorBidi"/>
                <w:sz w:val="21"/>
                <w:szCs w:val="21"/>
              </w:rPr>
              <w:t xml:space="preserve">multiplied by </w:t>
            </w:r>
            <w:r w:rsidRPr="00D20DE4" w:rsidR="00D20DE4">
              <w:rPr>
                <w:rFonts w:asciiTheme="majorBidi" w:hAnsiTheme="majorBidi" w:cstheme="majorBidi"/>
                <w:sz w:val="21"/>
                <w:szCs w:val="21"/>
              </w:rPr>
              <w:t>2,561</w:t>
            </w:r>
            <w:r w:rsidRPr="00D20DE4">
              <w:rPr>
                <w:rFonts w:asciiTheme="majorBidi" w:hAnsiTheme="majorBidi" w:cstheme="majorBidi"/>
                <w:sz w:val="21"/>
                <w:szCs w:val="21"/>
              </w:rPr>
              <w:t xml:space="preserve"> “Type B” applications in AD per year. </w:t>
            </w:r>
          </w:p>
          <w:p w:rsidRPr="00D20DE4" w:rsidR="008253DD" w:rsidP="009B774E" w:rsidRDefault="008253DD" w14:paraId="5BAE5EE8" w14:textId="77777777">
            <w:pPr>
              <w:rPr>
                <w:rFonts w:asciiTheme="majorBidi" w:hAnsiTheme="majorBidi" w:cstheme="majorBidi"/>
                <w:sz w:val="21"/>
                <w:szCs w:val="21"/>
              </w:rPr>
            </w:pPr>
            <w:r w:rsidRPr="00D20DE4">
              <w:rPr>
                <w:rFonts w:asciiTheme="majorBidi" w:hAnsiTheme="majorBidi" w:cstheme="majorBidi"/>
                <w:sz w:val="21"/>
                <w:szCs w:val="21"/>
                <w:vertAlign w:val="superscript"/>
              </w:rPr>
              <w:t xml:space="preserve">2 </w:t>
            </w:r>
            <w:r w:rsidRPr="00D20DE4">
              <w:rPr>
                <w:rFonts w:asciiTheme="majorBidi" w:hAnsiTheme="majorBidi" w:cstheme="majorBidi"/>
                <w:sz w:val="21"/>
                <w:szCs w:val="21"/>
              </w:rPr>
              <w:t>Hours and wages used to calculate the totals for each labor category are from Table 4-A.</w:t>
            </w:r>
          </w:p>
        </w:tc>
      </w:tr>
    </w:tbl>
    <w:p w:rsidRPr="00C270C5" w:rsidR="008253DD" w:rsidP="009B774E" w:rsidRDefault="008253DD" w14:paraId="66A6C4DA" w14:textId="77777777">
      <w:pPr>
        <w:rPr>
          <w:rFonts w:asciiTheme="majorBidi" w:hAnsiTheme="majorBidi" w:cstheme="majorBidi"/>
          <w:b/>
          <w:sz w:val="22"/>
          <w:szCs w:val="22"/>
        </w:rPr>
      </w:pPr>
    </w:p>
    <w:p w:rsidRPr="00C270C5" w:rsidR="008253DD" w:rsidP="009B774E" w:rsidRDefault="008253DD" w14:paraId="26DADD14" w14:textId="77777777">
      <w:pPr>
        <w:rPr>
          <w:rFonts w:asciiTheme="majorBidi" w:hAnsiTheme="majorBidi" w:cstheme="majorBidi"/>
          <w:b/>
          <w:sz w:val="22"/>
          <w:szCs w:val="22"/>
        </w:rPr>
      </w:pPr>
    </w:p>
    <w:p w:rsidRPr="00193014" w:rsidR="008253DD" w:rsidP="009B774E" w:rsidRDefault="008253DD" w14:paraId="356001BD" w14:textId="550C443F">
      <w:pPr>
        <w:ind w:firstLine="720"/>
        <w:rPr>
          <w:rFonts w:asciiTheme="majorBidi" w:hAnsiTheme="majorBidi" w:cstheme="majorBidi"/>
          <w:color w:val="00B0F0"/>
        </w:rPr>
      </w:pPr>
      <w:r w:rsidRPr="00FE051A">
        <w:rPr>
          <w:rFonts w:asciiTheme="majorBidi" w:hAnsiTheme="majorBidi" w:cstheme="majorBidi"/>
        </w:rPr>
        <w:t>Table 5-A presents estimates for burden hours and costs per “Type C” reduced risk application.</w:t>
      </w:r>
      <w:r w:rsidRPr="00FE051A" w:rsidR="007841AD">
        <w:rPr>
          <w:rFonts w:asciiTheme="majorBidi" w:hAnsiTheme="majorBidi" w:cstheme="majorBidi"/>
        </w:rPr>
        <w:t xml:space="preserve"> </w:t>
      </w:r>
      <w:r w:rsidRPr="00FE051A">
        <w:rPr>
          <w:rFonts w:asciiTheme="majorBidi" w:hAnsiTheme="majorBidi" w:cstheme="majorBidi"/>
        </w:rPr>
        <w:t xml:space="preserve">Each “Type C” application is estimated to require 102 management hours, 448 technical hours, and 96 clerical hours for a total of 646 hours per application at a cost </w:t>
      </w:r>
      <w:r w:rsidRPr="002B6C86">
        <w:rPr>
          <w:rFonts w:asciiTheme="majorBidi" w:hAnsiTheme="majorBidi" w:cstheme="majorBidi"/>
        </w:rPr>
        <w:t>of $</w:t>
      </w:r>
      <w:r w:rsidRPr="002B6C86" w:rsidR="00D20DE4">
        <w:rPr>
          <w:rFonts w:asciiTheme="majorBidi" w:hAnsiTheme="majorBidi" w:cstheme="majorBidi"/>
        </w:rPr>
        <w:t>53</w:t>
      </w:r>
      <w:r w:rsidRPr="002B6C86">
        <w:rPr>
          <w:rFonts w:asciiTheme="majorBidi" w:hAnsiTheme="majorBidi" w:cstheme="majorBidi"/>
        </w:rPr>
        <w:t xml:space="preserve"> thousand.</w:t>
      </w:r>
    </w:p>
    <w:p w:rsidRPr="00FE051A" w:rsidR="008253DD" w:rsidP="009B774E" w:rsidRDefault="008253DD" w14:paraId="19CF924F" w14:textId="77777777">
      <w:pPr>
        <w:rPr>
          <w:rFonts w:asciiTheme="majorBidi" w:hAnsiTheme="majorBidi" w:cstheme="majorBidi"/>
          <w:sz w:val="21"/>
          <w:szCs w:val="21"/>
        </w:rPr>
      </w:pPr>
    </w:p>
    <w:p w:rsidRPr="00FE051A" w:rsidR="008253DD" w:rsidP="009B774E" w:rsidRDefault="008253DD" w14:paraId="4B2CA688" w14:textId="422C28F8">
      <w:pPr>
        <w:keepNext/>
        <w:keepLines/>
        <w:rPr>
          <w:rFonts w:asciiTheme="majorBidi" w:hAnsiTheme="majorBidi" w:cstheme="majorBidi"/>
          <w:b/>
          <w:sz w:val="22"/>
          <w:szCs w:val="22"/>
        </w:rPr>
      </w:pPr>
      <w:r w:rsidRPr="00FE051A">
        <w:rPr>
          <w:rFonts w:asciiTheme="majorBidi" w:hAnsiTheme="majorBidi" w:cstheme="majorBidi"/>
          <w:b/>
          <w:sz w:val="22"/>
          <w:szCs w:val="22"/>
        </w:rPr>
        <w:lastRenderedPageBreak/>
        <w:t xml:space="preserve">Table 5-A: Estimated Burden/Cost per “Type C” Reduced Risk </w:t>
      </w:r>
      <w:r w:rsidRPr="00FE051A" w:rsidR="004F1F2A">
        <w:rPr>
          <w:rFonts w:asciiTheme="majorBidi" w:hAnsiTheme="majorBidi" w:cstheme="majorBidi"/>
          <w:b/>
          <w:sz w:val="22"/>
          <w:szCs w:val="22"/>
        </w:rPr>
        <w:t xml:space="preserve">Registration </w:t>
      </w:r>
      <w:r w:rsidRPr="00FE051A">
        <w:rPr>
          <w:rFonts w:asciiTheme="majorBidi" w:hAnsiTheme="majorBidi" w:cstheme="majorBidi"/>
          <w:b/>
          <w:sz w:val="22"/>
          <w:szCs w:val="22"/>
        </w:rPr>
        <w:t xml:space="preserve">Application </w:t>
      </w:r>
    </w:p>
    <w:tbl>
      <w:tblPr>
        <w:tblW w:w="5000" w:type="pct"/>
        <w:tblBorders>
          <w:top w:val="double" w:color="808080" w:themeColor="background1" w:themeShade="80" w:sz="4" w:space="0"/>
          <w:left w:val="double" w:color="808080" w:themeColor="background1" w:themeShade="80" w:sz="4" w:space="0"/>
          <w:bottom w:val="double" w:color="808080" w:themeColor="background1" w:themeShade="80" w:sz="4" w:space="0"/>
          <w:right w:val="double" w:color="808080" w:themeColor="background1" w:themeShade="80" w:sz="4" w:space="0"/>
          <w:insideH w:val="single" w:color="808080" w:themeColor="background1" w:themeShade="80" w:sz="4" w:space="0"/>
          <w:insideV w:val="single" w:color="808080" w:themeColor="background1" w:themeShade="80" w:sz="4" w:space="0"/>
        </w:tblBorders>
        <w:tblLook w:val="0000" w:firstRow="0" w:lastRow="0" w:firstColumn="0" w:lastColumn="0" w:noHBand="0" w:noVBand="0"/>
      </w:tblPr>
      <w:tblGrid>
        <w:gridCol w:w="2701"/>
        <w:gridCol w:w="1362"/>
        <w:gridCol w:w="1362"/>
        <w:gridCol w:w="1362"/>
        <w:gridCol w:w="1181"/>
        <w:gridCol w:w="1362"/>
      </w:tblGrid>
      <w:tr w:rsidRPr="00FE051A" w:rsidR="00C270C5" w:rsidTr="007D140D" w14:paraId="1B657FD8" w14:textId="77777777">
        <w:trPr>
          <w:trHeight w:val="330"/>
        </w:trPr>
        <w:tc>
          <w:tcPr>
            <w:tcW w:w="1447" w:type="pct"/>
            <w:vMerge w:val="restart"/>
            <w:shd w:val="clear" w:color="auto" w:fill="auto"/>
            <w:vAlign w:val="center"/>
          </w:tcPr>
          <w:p w:rsidRPr="00FE051A" w:rsidR="008253DD" w:rsidP="009B774E" w:rsidRDefault="008253DD" w14:paraId="0AFD9457" w14:textId="77777777">
            <w:pPr>
              <w:jc w:val="center"/>
              <w:rPr>
                <w:rFonts w:asciiTheme="majorBidi" w:hAnsiTheme="majorBidi" w:cstheme="majorBidi"/>
                <w:b/>
                <w:bCs/>
                <w:sz w:val="21"/>
                <w:szCs w:val="21"/>
              </w:rPr>
            </w:pPr>
            <w:r w:rsidRPr="00FE051A">
              <w:rPr>
                <w:rFonts w:asciiTheme="majorBidi" w:hAnsiTheme="majorBidi" w:cstheme="majorBidi"/>
                <w:b/>
                <w:bCs/>
                <w:sz w:val="21"/>
                <w:szCs w:val="21"/>
              </w:rPr>
              <w:t>Collection Activities,</w:t>
            </w:r>
            <w:r w:rsidRPr="00FE051A">
              <w:rPr>
                <w:rFonts w:asciiTheme="majorBidi" w:hAnsiTheme="majorBidi" w:cstheme="majorBidi"/>
                <w:b/>
                <w:bCs/>
                <w:sz w:val="21"/>
                <w:szCs w:val="21"/>
              </w:rPr>
              <w:br/>
              <w:t>Type C</w:t>
            </w:r>
          </w:p>
        </w:tc>
        <w:tc>
          <w:tcPr>
            <w:tcW w:w="2190" w:type="pct"/>
            <w:gridSpan w:val="3"/>
            <w:shd w:val="clear" w:color="auto" w:fill="auto"/>
            <w:vAlign w:val="center"/>
          </w:tcPr>
          <w:p w:rsidRPr="00FE051A" w:rsidR="008253DD" w:rsidP="009B774E" w:rsidRDefault="008253DD" w14:paraId="3D30746B" w14:textId="3BEEE411">
            <w:pPr>
              <w:jc w:val="center"/>
              <w:rPr>
                <w:rFonts w:asciiTheme="majorBidi" w:hAnsiTheme="majorBidi" w:cstheme="majorBidi"/>
                <w:b/>
                <w:bCs/>
                <w:sz w:val="21"/>
                <w:szCs w:val="21"/>
              </w:rPr>
            </w:pPr>
            <w:r w:rsidRPr="00FE051A">
              <w:rPr>
                <w:rFonts w:asciiTheme="majorBidi" w:hAnsiTheme="majorBidi" w:cstheme="majorBidi"/>
                <w:b/>
                <w:bCs/>
                <w:sz w:val="21"/>
                <w:szCs w:val="21"/>
              </w:rPr>
              <w:t xml:space="preserve">Burden </w:t>
            </w:r>
            <w:r w:rsidR="008C3AB1">
              <w:rPr>
                <w:rFonts w:asciiTheme="majorBidi" w:hAnsiTheme="majorBidi" w:cstheme="majorBidi"/>
                <w:b/>
                <w:bCs/>
                <w:sz w:val="21"/>
                <w:szCs w:val="21"/>
              </w:rPr>
              <w:t>(</w:t>
            </w:r>
            <w:r w:rsidRPr="00FE051A">
              <w:rPr>
                <w:rFonts w:asciiTheme="majorBidi" w:hAnsiTheme="majorBidi" w:cstheme="majorBidi"/>
                <w:b/>
                <w:bCs/>
                <w:sz w:val="21"/>
                <w:szCs w:val="21"/>
              </w:rPr>
              <w:t>Hours</w:t>
            </w:r>
            <w:r w:rsidR="008C3AB1">
              <w:rPr>
                <w:rFonts w:asciiTheme="majorBidi" w:hAnsiTheme="majorBidi" w:cstheme="majorBidi"/>
                <w:b/>
                <w:bCs/>
                <w:sz w:val="21"/>
                <w:szCs w:val="21"/>
              </w:rPr>
              <w:t>)</w:t>
            </w:r>
          </w:p>
        </w:tc>
        <w:tc>
          <w:tcPr>
            <w:tcW w:w="1363" w:type="pct"/>
            <w:gridSpan w:val="2"/>
            <w:shd w:val="clear" w:color="auto" w:fill="auto"/>
            <w:vAlign w:val="center"/>
          </w:tcPr>
          <w:p w:rsidRPr="00FE051A" w:rsidR="008253DD" w:rsidP="009B774E" w:rsidRDefault="008253DD" w14:paraId="06EF0A29" w14:textId="77777777">
            <w:pPr>
              <w:jc w:val="center"/>
              <w:rPr>
                <w:rFonts w:asciiTheme="majorBidi" w:hAnsiTheme="majorBidi" w:cstheme="majorBidi"/>
                <w:b/>
                <w:bCs/>
                <w:sz w:val="21"/>
                <w:szCs w:val="21"/>
              </w:rPr>
            </w:pPr>
            <w:r w:rsidRPr="00FE051A">
              <w:rPr>
                <w:rFonts w:asciiTheme="majorBidi" w:hAnsiTheme="majorBidi" w:cstheme="majorBidi"/>
                <w:b/>
                <w:bCs/>
                <w:sz w:val="21"/>
                <w:szCs w:val="21"/>
              </w:rPr>
              <w:t>Total</w:t>
            </w:r>
          </w:p>
        </w:tc>
      </w:tr>
      <w:tr w:rsidRPr="00FE051A" w:rsidR="00C270C5" w:rsidTr="007D140D" w14:paraId="37FED796" w14:textId="77777777">
        <w:trPr>
          <w:trHeight w:val="315"/>
        </w:trPr>
        <w:tc>
          <w:tcPr>
            <w:tcW w:w="1447" w:type="pct"/>
            <w:vMerge/>
            <w:vAlign w:val="center"/>
          </w:tcPr>
          <w:p w:rsidRPr="00FE051A" w:rsidR="008253DD" w:rsidP="009B774E" w:rsidRDefault="008253DD" w14:paraId="1FE636BF" w14:textId="77777777">
            <w:pPr>
              <w:rPr>
                <w:rFonts w:asciiTheme="majorBidi" w:hAnsiTheme="majorBidi" w:cstheme="majorBidi"/>
                <w:b/>
                <w:bCs/>
                <w:sz w:val="21"/>
                <w:szCs w:val="21"/>
              </w:rPr>
            </w:pPr>
          </w:p>
        </w:tc>
        <w:tc>
          <w:tcPr>
            <w:tcW w:w="730" w:type="pct"/>
            <w:shd w:val="clear" w:color="auto" w:fill="auto"/>
            <w:vAlign w:val="center"/>
          </w:tcPr>
          <w:p w:rsidRPr="00FE051A" w:rsidR="008253DD" w:rsidP="009B774E" w:rsidRDefault="00CB40F4" w14:paraId="5DCEF67B" w14:textId="283A77DC">
            <w:pPr>
              <w:jc w:val="center"/>
              <w:rPr>
                <w:rFonts w:asciiTheme="majorBidi" w:hAnsiTheme="majorBidi" w:cstheme="majorBidi"/>
                <w:sz w:val="21"/>
                <w:szCs w:val="21"/>
              </w:rPr>
            </w:pPr>
            <w:r w:rsidRPr="00FE051A">
              <w:rPr>
                <w:rFonts w:asciiTheme="majorBidi" w:hAnsiTheme="majorBidi" w:cstheme="majorBidi"/>
                <w:sz w:val="22"/>
                <w:szCs w:val="22"/>
              </w:rPr>
              <w:t>Mgmt.</w:t>
            </w:r>
          </w:p>
        </w:tc>
        <w:tc>
          <w:tcPr>
            <w:tcW w:w="730" w:type="pct"/>
            <w:shd w:val="clear" w:color="auto" w:fill="auto"/>
            <w:vAlign w:val="center"/>
          </w:tcPr>
          <w:p w:rsidRPr="00FE051A" w:rsidR="008253DD" w:rsidP="009B774E" w:rsidRDefault="008253DD" w14:paraId="67D2B641" w14:textId="77777777">
            <w:pPr>
              <w:jc w:val="center"/>
              <w:rPr>
                <w:rFonts w:asciiTheme="majorBidi" w:hAnsiTheme="majorBidi" w:cstheme="majorBidi"/>
                <w:sz w:val="21"/>
                <w:szCs w:val="21"/>
              </w:rPr>
            </w:pPr>
            <w:r w:rsidRPr="00FE051A">
              <w:rPr>
                <w:rFonts w:asciiTheme="majorBidi" w:hAnsiTheme="majorBidi" w:cstheme="majorBidi"/>
                <w:sz w:val="22"/>
                <w:szCs w:val="22"/>
              </w:rPr>
              <w:t>Technical</w:t>
            </w:r>
          </w:p>
        </w:tc>
        <w:tc>
          <w:tcPr>
            <w:tcW w:w="730" w:type="pct"/>
            <w:shd w:val="clear" w:color="auto" w:fill="auto"/>
            <w:vAlign w:val="center"/>
          </w:tcPr>
          <w:p w:rsidRPr="00FE051A" w:rsidR="008253DD" w:rsidP="009B774E" w:rsidRDefault="008253DD" w14:paraId="19A6D932" w14:textId="77777777">
            <w:pPr>
              <w:jc w:val="center"/>
              <w:rPr>
                <w:rFonts w:asciiTheme="majorBidi" w:hAnsiTheme="majorBidi" w:cstheme="majorBidi"/>
                <w:sz w:val="21"/>
                <w:szCs w:val="21"/>
              </w:rPr>
            </w:pPr>
            <w:r w:rsidRPr="00FE051A">
              <w:rPr>
                <w:rFonts w:asciiTheme="majorBidi" w:hAnsiTheme="majorBidi" w:cstheme="majorBidi"/>
                <w:sz w:val="22"/>
                <w:szCs w:val="22"/>
              </w:rPr>
              <w:t>Clerical</w:t>
            </w:r>
          </w:p>
        </w:tc>
        <w:tc>
          <w:tcPr>
            <w:tcW w:w="633" w:type="pct"/>
            <w:vMerge w:val="restart"/>
            <w:shd w:val="clear" w:color="auto" w:fill="auto"/>
            <w:vAlign w:val="center"/>
          </w:tcPr>
          <w:p w:rsidRPr="00FE051A" w:rsidR="008253DD" w:rsidP="009B774E" w:rsidRDefault="008253DD" w14:paraId="30E71720" w14:textId="77777777">
            <w:pPr>
              <w:jc w:val="center"/>
              <w:rPr>
                <w:rFonts w:asciiTheme="majorBidi" w:hAnsiTheme="majorBidi" w:cstheme="majorBidi"/>
                <w:sz w:val="21"/>
                <w:szCs w:val="21"/>
              </w:rPr>
            </w:pPr>
            <w:r w:rsidRPr="00FE051A">
              <w:rPr>
                <w:rFonts w:asciiTheme="majorBidi" w:hAnsiTheme="majorBidi" w:cstheme="majorBidi"/>
                <w:sz w:val="21"/>
                <w:szCs w:val="21"/>
              </w:rPr>
              <w:t>Hours</w:t>
            </w:r>
          </w:p>
        </w:tc>
        <w:tc>
          <w:tcPr>
            <w:tcW w:w="730" w:type="pct"/>
            <w:vMerge w:val="restart"/>
            <w:shd w:val="clear" w:color="auto" w:fill="auto"/>
            <w:vAlign w:val="center"/>
          </w:tcPr>
          <w:p w:rsidRPr="00FE051A" w:rsidR="008253DD" w:rsidP="009B774E" w:rsidRDefault="008253DD" w14:paraId="2C6EF6CD" w14:textId="77777777">
            <w:pPr>
              <w:jc w:val="center"/>
              <w:rPr>
                <w:rFonts w:asciiTheme="majorBidi" w:hAnsiTheme="majorBidi" w:cstheme="majorBidi"/>
                <w:sz w:val="21"/>
                <w:szCs w:val="21"/>
              </w:rPr>
            </w:pPr>
            <w:r w:rsidRPr="00FE051A">
              <w:rPr>
                <w:rFonts w:asciiTheme="majorBidi" w:hAnsiTheme="majorBidi" w:cstheme="majorBidi"/>
                <w:sz w:val="21"/>
                <w:szCs w:val="21"/>
              </w:rPr>
              <w:t>Costs</w:t>
            </w:r>
          </w:p>
        </w:tc>
      </w:tr>
      <w:tr w:rsidRPr="00FE051A" w:rsidR="00704E80" w:rsidTr="009C2537" w14:paraId="53CDAB58" w14:textId="77777777">
        <w:trPr>
          <w:trHeight w:val="287"/>
        </w:trPr>
        <w:tc>
          <w:tcPr>
            <w:tcW w:w="1447" w:type="pct"/>
            <w:vMerge/>
            <w:vAlign w:val="center"/>
          </w:tcPr>
          <w:p w:rsidRPr="00FE051A" w:rsidR="00704E80" w:rsidP="009B774E" w:rsidRDefault="00704E80" w14:paraId="46A16969" w14:textId="77777777">
            <w:pPr>
              <w:rPr>
                <w:rFonts w:asciiTheme="majorBidi" w:hAnsiTheme="majorBidi" w:cstheme="majorBidi"/>
                <w:b/>
                <w:bCs/>
                <w:sz w:val="21"/>
                <w:szCs w:val="21"/>
              </w:rPr>
            </w:pPr>
          </w:p>
        </w:tc>
        <w:tc>
          <w:tcPr>
            <w:tcW w:w="730" w:type="pct"/>
            <w:shd w:val="clear" w:color="auto" w:fill="auto"/>
            <w:vAlign w:val="center"/>
          </w:tcPr>
          <w:p w:rsidRPr="00FE051A" w:rsidR="00704E80" w:rsidP="009B774E" w:rsidRDefault="00704E80" w14:paraId="3955CBC5" w14:textId="3779DF4B">
            <w:pPr>
              <w:jc w:val="center"/>
              <w:rPr>
                <w:rFonts w:asciiTheme="majorBidi" w:hAnsiTheme="majorBidi" w:cstheme="majorBidi"/>
                <w:sz w:val="21"/>
                <w:szCs w:val="21"/>
              </w:rPr>
            </w:pPr>
            <w:r w:rsidRPr="00FE051A">
              <w:rPr>
                <w:sz w:val="22"/>
                <w:szCs w:val="22"/>
              </w:rPr>
              <w:t>$143.29/</w:t>
            </w:r>
            <w:proofErr w:type="spellStart"/>
            <w:r w:rsidRPr="00FE051A">
              <w:rPr>
                <w:sz w:val="22"/>
                <w:szCs w:val="22"/>
              </w:rPr>
              <w:t>hr</w:t>
            </w:r>
            <w:proofErr w:type="spellEnd"/>
            <w:r w:rsidRPr="00FE051A">
              <w:rPr>
                <w:sz w:val="22"/>
                <w:szCs w:val="22"/>
              </w:rPr>
              <w:t xml:space="preserve"> </w:t>
            </w:r>
          </w:p>
        </w:tc>
        <w:tc>
          <w:tcPr>
            <w:tcW w:w="730" w:type="pct"/>
            <w:shd w:val="clear" w:color="auto" w:fill="auto"/>
            <w:vAlign w:val="center"/>
          </w:tcPr>
          <w:p w:rsidRPr="00FE051A" w:rsidR="00704E80" w:rsidP="009B774E" w:rsidRDefault="00704E80" w14:paraId="2B770A40" w14:textId="597812D1">
            <w:pPr>
              <w:jc w:val="center"/>
              <w:rPr>
                <w:rFonts w:asciiTheme="majorBidi" w:hAnsiTheme="majorBidi" w:cstheme="majorBidi"/>
                <w:sz w:val="21"/>
                <w:szCs w:val="21"/>
              </w:rPr>
            </w:pPr>
            <w:r w:rsidRPr="00FE051A">
              <w:rPr>
                <w:sz w:val="22"/>
                <w:szCs w:val="22"/>
              </w:rPr>
              <w:t>$74.95/</w:t>
            </w:r>
            <w:proofErr w:type="spellStart"/>
            <w:r w:rsidRPr="00FE051A">
              <w:rPr>
                <w:sz w:val="22"/>
                <w:szCs w:val="22"/>
              </w:rPr>
              <w:t>hr</w:t>
            </w:r>
            <w:proofErr w:type="spellEnd"/>
            <w:r w:rsidRPr="00FE051A">
              <w:rPr>
                <w:sz w:val="22"/>
                <w:szCs w:val="22"/>
              </w:rPr>
              <w:t xml:space="preserve"> </w:t>
            </w:r>
          </w:p>
        </w:tc>
        <w:tc>
          <w:tcPr>
            <w:tcW w:w="730" w:type="pct"/>
            <w:shd w:val="clear" w:color="auto" w:fill="auto"/>
            <w:vAlign w:val="center"/>
          </w:tcPr>
          <w:p w:rsidRPr="00FE051A" w:rsidR="00704E80" w:rsidP="009B774E" w:rsidRDefault="00704E80" w14:paraId="10D1103F" w14:textId="6E76BC35">
            <w:pPr>
              <w:jc w:val="center"/>
              <w:rPr>
                <w:rFonts w:asciiTheme="majorBidi" w:hAnsiTheme="majorBidi" w:cstheme="majorBidi"/>
                <w:sz w:val="21"/>
                <w:szCs w:val="21"/>
              </w:rPr>
            </w:pPr>
            <w:r w:rsidRPr="00FE051A">
              <w:rPr>
                <w:sz w:val="22"/>
                <w:szCs w:val="22"/>
              </w:rPr>
              <w:t>$47.78/</w:t>
            </w:r>
            <w:proofErr w:type="spellStart"/>
            <w:r w:rsidRPr="00FE051A">
              <w:rPr>
                <w:sz w:val="22"/>
                <w:szCs w:val="22"/>
              </w:rPr>
              <w:t>hr</w:t>
            </w:r>
            <w:proofErr w:type="spellEnd"/>
            <w:r w:rsidRPr="00FE051A">
              <w:rPr>
                <w:sz w:val="22"/>
                <w:szCs w:val="22"/>
              </w:rPr>
              <w:t xml:space="preserve"> </w:t>
            </w:r>
          </w:p>
        </w:tc>
        <w:tc>
          <w:tcPr>
            <w:tcW w:w="633" w:type="pct"/>
            <w:vMerge/>
            <w:vAlign w:val="center"/>
          </w:tcPr>
          <w:p w:rsidRPr="00FE051A" w:rsidR="00704E80" w:rsidP="009B774E" w:rsidRDefault="00704E80" w14:paraId="3F68EFF1" w14:textId="77777777">
            <w:pPr>
              <w:rPr>
                <w:rFonts w:asciiTheme="majorBidi" w:hAnsiTheme="majorBidi" w:cstheme="majorBidi"/>
                <w:sz w:val="21"/>
                <w:szCs w:val="21"/>
              </w:rPr>
            </w:pPr>
          </w:p>
        </w:tc>
        <w:tc>
          <w:tcPr>
            <w:tcW w:w="730" w:type="pct"/>
            <w:vMerge/>
            <w:vAlign w:val="center"/>
          </w:tcPr>
          <w:p w:rsidRPr="00FE051A" w:rsidR="00704E80" w:rsidP="009B774E" w:rsidRDefault="00704E80" w14:paraId="37C9CD17" w14:textId="77777777">
            <w:pPr>
              <w:rPr>
                <w:rFonts w:asciiTheme="majorBidi" w:hAnsiTheme="majorBidi" w:cstheme="majorBidi"/>
                <w:sz w:val="21"/>
                <w:szCs w:val="21"/>
              </w:rPr>
            </w:pPr>
          </w:p>
        </w:tc>
      </w:tr>
      <w:tr w:rsidRPr="00FE051A" w:rsidR="00D20DE4" w:rsidTr="007D140D" w14:paraId="70D31612" w14:textId="77777777">
        <w:trPr>
          <w:trHeight w:val="315"/>
        </w:trPr>
        <w:tc>
          <w:tcPr>
            <w:tcW w:w="1447" w:type="pct"/>
            <w:shd w:val="clear" w:color="auto" w:fill="auto"/>
            <w:vAlign w:val="center"/>
          </w:tcPr>
          <w:p w:rsidRPr="00FE051A" w:rsidR="00D20DE4" w:rsidP="009B774E" w:rsidRDefault="00D20DE4" w14:paraId="080648B3" w14:textId="77777777">
            <w:pPr>
              <w:rPr>
                <w:rFonts w:asciiTheme="majorBidi" w:hAnsiTheme="majorBidi" w:cstheme="majorBidi"/>
                <w:sz w:val="21"/>
                <w:szCs w:val="21"/>
              </w:rPr>
            </w:pPr>
            <w:r w:rsidRPr="00FE051A">
              <w:rPr>
                <w:rFonts w:asciiTheme="majorBidi" w:hAnsiTheme="majorBidi" w:cstheme="majorBidi"/>
                <w:sz w:val="21"/>
                <w:szCs w:val="21"/>
              </w:rPr>
              <w:t>Read Instructions</w:t>
            </w:r>
          </w:p>
        </w:tc>
        <w:tc>
          <w:tcPr>
            <w:tcW w:w="730" w:type="pct"/>
            <w:shd w:val="clear" w:color="auto" w:fill="auto"/>
            <w:vAlign w:val="center"/>
          </w:tcPr>
          <w:p w:rsidRPr="00FE051A" w:rsidR="00D20DE4" w:rsidP="009B774E" w:rsidRDefault="00D20DE4" w14:paraId="741F9DF1" w14:textId="77777777">
            <w:pPr>
              <w:jc w:val="center"/>
              <w:rPr>
                <w:rFonts w:asciiTheme="majorBidi" w:hAnsiTheme="majorBidi" w:cstheme="majorBidi"/>
                <w:sz w:val="20"/>
                <w:szCs w:val="20"/>
              </w:rPr>
            </w:pPr>
            <w:r w:rsidRPr="00FE051A">
              <w:rPr>
                <w:rFonts w:asciiTheme="majorBidi" w:hAnsiTheme="majorBidi" w:cstheme="majorBidi"/>
                <w:sz w:val="20"/>
                <w:szCs w:val="20"/>
              </w:rPr>
              <w:t>22</w:t>
            </w:r>
          </w:p>
        </w:tc>
        <w:tc>
          <w:tcPr>
            <w:tcW w:w="730" w:type="pct"/>
            <w:shd w:val="clear" w:color="auto" w:fill="auto"/>
            <w:vAlign w:val="center"/>
          </w:tcPr>
          <w:p w:rsidRPr="00FE051A" w:rsidR="00D20DE4" w:rsidP="009B774E" w:rsidRDefault="00D20DE4" w14:paraId="7BFB191D" w14:textId="77777777">
            <w:pPr>
              <w:jc w:val="center"/>
              <w:rPr>
                <w:rFonts w:asciiTheme="majorBidi" w:hAnsiTheme="majorBidi" w:cstheme="majorBidi"/>
                <w:sz w:val="20"/>
                <w:szCs w:val="20"/>
              </w:rPr>
            </w:pPr>
            <w:r w:rsidRPr="00FE051A">
              <w:rPr>
                <w:rFonts w:asciiTheme="majorBidi" w:hAnsiTheme="majorBidi" w:cstheme="majorBidi"/>
                <w:sz w:val="20"/>
                <w:szCs w:val="20"/>
              </w:rPr>
              <w:t>0</w:t>
            </w:r>
          </w:p>
        </w:tc>
        <w:tc>
          <w:tcPr>
            <w:tcW w:w="730" w:type="pct"/>
            <w:shd w:val="clear" w:color="auto" w:fill="auto"/>
            <w:vAlign w:val="center"/>
          </w:tcPr>
          <w:p w:rsidRPr="00FE051A" w:rsidR="00D20DE4" w:rsidP="009B774E" w:rsidRDefault="00D20DE4" w14:paraId="6AFF6365" w14:textId="77777777">
            <w:pPr>
              <w:jc w:val="center"/>
              <w:rPr>
                <w:rFonts w:asciiTheme="majorBidi" w:hAnsiTheme="majorBidi" w:cstheme="majorBidi"/>
                <w:sz w:val="20"/>
                <w:szCs w:val="20"/>
              </w:rPr>
            </w:pPr>
            <w:r w:rsidRPr="00FE051A">
              <w:rPr>
                <w:rFonts w:asciiTheme="majorBidi" w:hAnsiTheme="majorBidi" w:cstheme="majorBidi"/>
                <w:sz w:val="20"/>
                <w:szCs w:val="20"/>
              </w:rPr>
              <w:t>0</w:t>
            </w:r>
          </w:p>
        </w:tc>
        <w:tc>
          <w:tcPr>
            <w:tcW w:w="633" w:type="pct"/>
            <w:shd w:val="clear" w:color="auto" w:fill="auto"/>
            <w:vAlign w:val="center"/>
          </w:tcPr>
          <w:p w:rsidRPr="00FE051A" w:rsidR="00D20DE4" w:rsidP="009B774E" w:rsidRDefault="00D20DE4" w14:paraId="62950F41" w14:textId="77777777">
            <w:pPr>
              <w:jc w:val="center"/>
              <w:rPr>
                <w:rFonts w:asciiTheme="majorBidi" w:hAnsiTheme="majorBidi" w:cstheme="majorBidi"/>
                <w:sz w:val="20"/>
                <w:szCs w:val="20"/>
              </w:rPr>
            </w:pPr>
            <w:r w:rsidRPr="00FE051A">
              <w:rPr>
                <w:rFonts w:asciiTheme="majorBidi" w:hAnsiTheme="majorBidi" w:cstheme="majorBidi"/>
                <w:sz w:val="20"/>
                <w:szCs w:val="20"/>
              </w:rPr>
              <w:t>22</w:t>
            </w:r>
          </w:p>
        </w:tc>
        <w:tc>
          <w:tcPr>
            <w:tcW w:w="730" w:type="pct"/>
            <w:shd w:val="clear" w:color="auto" w:fill="auto"/>
            <w:vAlign w:val="center"/>
          </w:tcPr>
          <w:p w:rsidRPr="00FE051A" w:rsidR="00D20DE4" w:rsidP="009B774E" w:rsidRDefault="00D20DE4" w14:paraId="0B770A4E" w14:textId="5C1F26C0">
            <w:pPr>
              <w:jc w:val="center"/>
              <w:rPr>
                <w:rFonts w:asciiTheme="majorBidi" w:hAnsiTheme="majorBidi" w:cstheme="majorBidi"/>
                <w:sz w:val="20"/>
                <w:szCs w:val="20"/>
              </w:rPr>
            </w:pPr>
            <w:r w:rsidRPr="00FE051A">
              <w:rPr>
                <w:sz w:val="22"/>
                <w:szCs w:val="22"/>
              </w:rPr>
              <w:t xml:space="preserve">$3,152 </w:t>
            </w:r>
          </w:p>
        </w:tc>
      </w:tr>
      <w:tr w:rsidRPr="00FE051A" w:rsidR="00D20DE4" w:rsidTr="007D140D" w14:paraId="615B860E" w14:textId="77777777">
        <w:trPr>
          <w:trHeight w:val="315"/>
        </w:trPr>
        <w:tc>
          <w:tcPr>
            <w:tcW w:w="1447" w:type="pct"/>
            <w:shd w:val="clear" w:color="auto" w:fill="auto"/>
            <w:vAlign w:val="center"/>
          </w:tcPr>
          <w:p w:rsidRPr="00FE051A" w:rsidR="00D20DE4" w:rsidP="009B774E" w:rsidRDefault="00D20DE4" w14:paraId="6D02922B" w14:textId="77777777">
            <w:pPr>
              <w:rPr>
                <w:rFonts w:asciiTheme="majorBidi" w:hAnsiTheme="majorBidi" w:cstheme="majorBidi"/>
                <w:sz w:val="21"/>
                <w:szCs w:val="21"/>
              </w:rPr>
            </w:pPr>
            <w:r w:rsidRPr="00FE051A">
              <w:rPr>
                <w:rFonts w:asciiTheme="majorBidi" w:hAnsiTheme="majorBidi" w:cstheme="majorBidi"/>
                <w:sz w:val="21"/>
                <w:szCs w:val="21"/>
              </w:rPr>
              <w:t>Gather Information</w:t>
            </w:r>
          </w:p>
        </w:tc>
        <w:tc>
          <w:tcPr>
            <w:tcW w:w="730" w:type="pct"/>
            <w:shd w:val="clear" w:color="auto" w:fill="auto"/>
            <w:vAlign w:val="center"/>
          </w:tcPr>
          <w:p w:rsidRPr="00FE051A" w:rsidR="00D20DE4" w:rsidP="009B774E" w:rsidRDefault="00D20DE4" w14:paraId="16AE6F8A" w14:textId="77777777">
            <w:pPr>
              <w:jc w:val="center"/>
              <w:rPr>
                <w:rFonts w:asciiTheme="majorBidi" w:hAnsiTheme="majorBidi" w:cstheme="majorBidi"/>
                <w:sz w:val="20"/>
                <w:szCs w:val="20"/>
              </w:rPr>
            </w:pPr>
            <w:r w:rsidRPr="00FE051A">
              <w:rPr>
                <w:rFonts w:asciiTheme="majorBidi" w:hAnsiTheme="majorBidi" w:cstheme="majorBidi"/>
                <w:sz w:val="20"/>
                <w:szCs w:val="20"/>
              </w:rPr>
              <w:t>0</w:t>
            </w:r>
          </w:p>
        </w:tc>
        <w:tc>
          <w:tcPr>
            <w:tcW w:w="730" w:type="pct"/>
            <w:shd w:val="clear" w:color="auto" w:fill="auto"/>
            <w:vAlign w:val="center"/>
          </w:tcPr>
          <w:p w:rsidRPr="00FE051A" w:rsidR="00D20DE4" w:rsidP="009B774E" w:rsidRDefault="00D20DE4" w14:paraId="3CF9B49C" w14:textId="77777777">
            <w:pPr>
              <w:jc w:val="center"/>
              <w:rPr>
                <w:rFonts w:asciiTheme="majorBidi" w:hAnsiTheme="majorBidi" w:cstheme="majorBidi"/>
                <w:sz w:val="20"/>
                <w:szCs w:val="20"/>
              </w:rPr>
            </w:pPr>
            <w:r w:rsidRPr="00FE051A">
              <w:rPr>
                <w:rFonts w:asciiTheme="majorBidi" w:hAnsiTheme="majorBidi" w:cstheme="majorBidi"/>
                <w:sz w:val="20"/>
                <w:szCs w:val="20"/>
              </w:rPr>
              <w:t>368</w:t>
            </w:r>
          </w:p>
        </w:tc>
        <w:tc>
          <w:tcPr>
            <w:tcW w:w="730" w:type="pct"/>
            <w:shd w:val="clear" w:color="auto" w:fill="auto"/>
            <w:vAlign w:val="center"/>
          </w:tcPr>
          <w:p w:rsidRPr="00FE051A" w:rsidR="00D20DE4" w:rsidP="009B774E" w:rsidRDefault="00D20DE4" w14:paraId="52929658" w14:textId="77777777">
            <w:pPr>
              <w:jc w:val="center"/>
              <w:rPr>
                <w:rFonts w:asciiTheme="majorBidi" w:hAnsiTheme="majorBidi" w:cstheme="majorBidi"/>
                <w:sz w:val="20"/>
                <w:szCs w:val="20"/>
              </w:rPr>
            </w:pPr>
            <w:r w:rsidRPr="00FE051A">
              <w:rPr>
                <w:rFonts w:asciiTheme="majorBidi" w:hAnsiTheme="majorBidi" w:cstheme="majorBidi"/>
                <w:sz w:val="20"/>
                <w:szCs w:val="20"/>
              </w:rPr>
              <w:t>0</w:t>
            </w:r>
          </w:p>
        </w:tc>
        <w:tc>
          <w:tcPr>
            <w:tcW w:w="633" w:type="pct"/>
            <w:shd w:val="clear" w:color="auto" w:fill="auto"/>
            <w:vAlign w:val="center"/>
          </w:tcPr>
          <w:p w:rsidRPr="00FE051A" w:rsidR="00D20DE4" w:rsidP="009B774E" w:rsidRDefault="00D20DE4" w14:paraId="5C9E875B" w14:textId="77777777">
            <w:pPr>
              <w:jc w:val="center"/>
              <w:rPr>
                <w:rFonts w:asciiTheme="majorBidi" w:hAnsiTheme="majorBidi" w:cstheme="majorBidi"/>
                <w:sz w:val="20"/>
                <w:szCs w:val="20"/>
              </w:rPr>
            </w:pPr>
            <w:r w:rsidRPr="00FE051A">
              <w:rPr>
                <w:rFonts w:asciiTheme="majorBidi" w:hAnsiTheme="majorBidi" w:cstheme="majorBidi"/>
                <w:sz w:val="20"/>
                <w:szCs w:val="20"/>
              </w:rPr>
              <w:t>368</w:t>
            </w:r>
          </w:p>
        </w:tc>
        <w:tc>
          <w:tcPr>
            <w:tcW w:w="730" w:type="pct"/>
            <w:shd w:val="clear" w:color="auto" w:fill="auto"/>
            <w:vAlign w:val="center"/>
          </w:tcPr>
          <w:p w:rsidRPr="00FE051A" w:rsidR="00D20DE4" w:rsidP="009B774E" w:rsidRDefault="00D20DE4" w14:paraId="48BBA2A6" w14:textId="321E8A5D">
            <w:pPr>
              <w:jc w:val="center"/>
              <w:rPr>
                <w:rFonts w:asciiTheme="majorBidi" w:hAnsiTheme="majorBidi" w:cstheme="majorBidi"/>
                <w:sz w:val="20"/>
                <w:szCs w:val="20"/>
              </w:rPr>
            </w:pPr>
            <w:r w:rsidRPr="00FE051A">
              <w:rPr>
                <w:sz w:val="22"/>
                <w:szCs w:val="22"/>
              </w:rPr>
              <w:t xml:space="preserve">$27,580 </w:t>
            </w:r>
          </w:p>
        </w:tc>
      </w:tr>
      <w:tr w:rsidRPr="00FE051A" w:rsidR="00D20DE4" w:rsidTr="007D140D" w14:paraId="7927C1E5" w14:textId="77777777">
        <w:trPr>
          <w:trHeight w:val="315"/>
        </w:trPr>
        <w:tc>
          <w:tcPr>
            <w:tcW w:w="1447" w:type="pct"/>
            <w:shd w:val="clear" w:color="auto" w:fill="auto"/>
            <w:vAlign w:val="center"/>
          </w:tcPr>
          <w:p w:rsidRPr="00FE051A" w:rsidR="00D20DE4" w:rsidP="009B774E" w:rsidRDefault="00D20DE4" w14:paraId="0F32B96E" w14:textId="77777777">
            <w:pPr>
              <w:rPr>
                <w:rFonts w:asciiTheme="majorBidi" w:hAnsiTheme="majorBidi" w:cstheme="majorBidi"/>
                <w:sz w:val="21"/>
                <w:szCs w:val="21"/>
              </w:rPr>
            </w:pPr>
            <w:r w:rsidRPr="00FE051A">
              <w:rPr>
                <w:rFonts w:asciiTheme="majorBidi" w:hAnsiTheme="majorBidi" w:cstheme="majorBidi"/>
                <w:sz w:val="21"/>
                <w:szCs w:val="21"/>
              </w:rPr>
              <w:t>Process, Compile, and Review Info</w:t>
            </w:r>
          </w:p>
        </w:tc>
        <w:tc>
          <w:tcPr>
            <w:tcW w:w="730" w:type="pct"/>
            <w:shd w:val="clear" w:color="auto" w:fill="auto"/>
            <w:vAlign w:val="center"/>
          </w:tcPr>
          <w:p w:rsidRPr="00FE051A" w:rsidR="00D20DE4" w:rsidP="009B774E" w:rsidRDefault="00D20DE4" w14:paraId="28006B7B" w14:textId="77777777">
            <w:pPr>
              <w:jc w:val="center"/>
              <w:rPr>
                <w:rFonts w:asciiTheme="majorBidi" w:hAnsiTheme="majorBidi" w:cstheme="majorBidi"/>
                <w:sz w:val="20"/>
                <w:szCs w:val="20"/>
              </w:rPr>
            </w:pPr>
            <w:r w:rsidRPr="00FE051A">
              <w:rPr>
                <w:rFonts w:asciiTheme="majorBidi" w:hAnsiTheme="majorBidi" w:cstheme="majorBidi"/>
                <w:sz w:val="20"/>
                <w:szCs w:val="20"/>
              </w:rPr>
              <w:t>80</w:t>
            </w:r>
          </w:p>
        </w:tc>
        <w:tc>
          <w:tcPr>
            <w:tcW w:w="730" w:type="pct"/>
            <w:shd w:val="clear" w:color="auto" w:fill="auto"/>
            <w:vAlign w:val="center"/>
          </w:tcPr>
          <w:p w:rsidRPr="00FE051A" w:rsidR="00D20DE4" w:rsidP="009B774E" w:rsidRDefault="00D20DE4" w14:paraId="33282234" w14:textId="77777777">
            <w:pPr>
              <w:jc w:val="center"/>
              <w:rPr>
                <w:rFonts w:asciiTheme="majorBidi" w:hAnsiTheme="majorBidi" w:cstheme="majorBidi"/>
                <w:sz w:val="20"/>
                <w:szCs w:val="20"/>
              </w:rPr>
            </w:pPr>
            <w:r w:rsidRPr="00FE051A">
              <w:rPr>
                <w:rFonts w:asciiTheme="majorBidi" w:hAnsiTheme="majorBidi" w:cstheme="majorBidi"/>
                <w:sz w:val="20"/>
                <w:szCs w:val="20"/>
              </w:rPr>
              <w:t>80</w:t>
            </w:r>
          </w:p>
        </w:tc>
        <w:tc>
          <w:tcPr>
            <w:tcW w:w="730" w:type="pct"/>
            <w:shd w:val="clear" w:color="auto" w:fill="auto"/>
            <w:vAlign w:val="center"/>
          </w:tcPr>
          <w:p w:rsidRPr="00FE051A" w:rsidR="00D20DE4" w:rsidP="009B774E" w:rsidRDefault="00D20DE4" w14:paraId="25B4FA89" w14:textId="77777777">
            <w:pPr>
              <w:jc w:val="center"/>
              <w:rPr>
                <w:rFonts w:asciiTheme="majorBidi" w:hAnsiTheme="majorBidi" w:cstheme="majorBidi"/>
                <w:sz w:val="20"/>
                <w:szCs w:val="20"/>
              </w:rPr>
            </w:pPr>
            <w:r w:rsidRPr="00FE051A">
              <w:rPr>
                <w:rFonts w:asciiTheme="majorBidi" w:hAnsiTheme="majorBidi" w:cstheme="majorBidi"/>
                <w:sz w:val="20"/>
                <w:szCs w:val="20"/>
              </w:rPr>
              <w:t>0</w:t>
            </w:r>
          </w:p>
        </w:tc>
        <w:tc>
          <w:tcPr>
            <w:tcW w:w="633" w:type="pct"/>
            <w:shd w:val="clear" w:color="auto" w:fill="auto"/>
            <w:vAlign w:val="center"/>
          </w:tcPr>
          <w:p w:rsidRPr="00FE051A" w:rsidR="00D20DE4" w:rsidP="009B774E" w:rsidRDefault="00D20DE4" w14:paraId="2AFC24D9" w14:textId="77777777">
            <w:pPr>
              <w:jc w:val="center"/>
              <w:rPr>
                <w:rFonts w:asciiTheme="majorBidi" w:hAnsiTheme="majorBidi" w:cstheme="majorBidi"/>
                <w:sz w:val="20"/>
                <w:szCs w:val="20"/>
              </w:rPr>
            </w:pPr>
            <w:r w:rsidRPr="00FE051A">
              <w:rPr>
                <w:rFonts w:asciiTheme="majorBidi" w:hAnsiTheme="majorBidi" w:cstheme="majorBidi"/>
                <w:sz w:val="20"/>
                <w:szCs w:val="20"/>
              </w:rPr>
              <w:t>160</w:t>
            </w:r>
          </w:p>
        </w:tc>
        <w:tc>
          <w:tcPr>
            <w:tcW w:w="730" w:type="pct"/>
            <w:shd w:val="clear" w:color="auto" w:fill="auto"/>
            <w:vAlign w:val="center"/>
          </w:tcPr>
          <w:p w:rsidRPr="00FE051A" w:rsidR="00D20DE4" w:rsidP="009B774E" w:rsidRDefault="00D20DE4" w14:paraId="261E72D3" w14:textId="58AED9DD">
            <w:pPr>
              <w:jc w:val="center"/>
              <w:rPr>
                <w:rFonts w:asciiTheme="majorBidi" w:hAnsiTheme="majorBidi" w:cstheme="majorBidi"/>
                <w:sz w:val="20"/>
                <w:szCs w:val="20"/>
              </w:rPr>
            </w:pPr>
            <w:r w:rsidRPr="00FE051A">
              <w:rPr>
                <w:sz w:val="22"/>
                <w:szCs w:val="22"/>
              </w:rPr>
              <w:t xml:space="preserve">$17,459 </w:t>
            </w:r>
          </w:p>
        </w:tc>
      </w:tr>
      <w:tr w:rsidRPr="00FE051A" w:rsidR="00D20DE4" w:rsidTr="007D140D" w14:paraId="4976B181" w14:textId="77777777">
        <w:trPr>
          <w:trHeight w:val="315"/>
        </w:trPr>
        <w:tc>
          <w:tcPr>
            <w:tcW w:w="1447" w:type="pct"/>
            <w:shd w:val="clear" w:color="auto" w:fill="auto"/>
            <w:vAlign w:val="center"/>
          </w:tcPr>
          <w:p w:rsidRPr="00FE051A" w:rsidR="00D20DE4" w:rsidP="009B774E" w:rsidRDefault="00D20DE4" w14:paraId="054665B5" w14:textId="77777777">
            <w:pPr>
              <w:rPr>
                <w:rFonts w:asciiTheme="majorBidi" w:hAnsiTheme="majorBidi" w:cstheme="majorBidi"/>
                <w:sz w:val="21"/>
                <w:szCs w:val="21"/>
              </w:rPr>
            </w:pPr>
            <w:r w:rsidRPr="00FE051A">
              <w:rPr>
                <w:rFonts w:asciiTheme="majorBidi" w:hAnsiTheme="majorBidi" w:cstheme="majorBidi"/>
                <w:sz w:val="21"/>
                <w:szCs w:val="21"/>
              </w:rPr>
              <w:t>Record and Report Info</w:t>
            </w:r>
          </w:p>
        </w:tc>
        <w:tc>
          <w:tcPr>
            <w:tcW w:w="730" w:type="pct"/>
            <w:shd w:val="clear" w:color="auto" w:fill="auto"/>
            <w:vAlign w:val="center"/>
          </w:tcPr>
          <w:p w:rsidRPr="00FE051A" w:rsidR="00D20DE4" w:rsidP="009B774E" w:rsidRDefault="00D20DE4" w14:paraId="78B87970" w14:textId="77777777">
            <w:pPr>
              <w:jc w:val="center"/>
              <w:rPr>
                <w:rFonts w:asciiTheme="majorBidi" w:hAnsiTheme="majorBidi" w:cstheme="majorBidi"/>
                <w:sz w:val="20"/>
                <w:szCs w:val="20"/>
              </w:rPr>
            </w:pPr>
            <w:r w:rsidRPr="00FE051A">
              <w:rPr>
                <w:rFonts w:asciiTheme="majorBidi" w:hAnsiTheme="majorBidi" w:cstheme="majorBidi"/>
                <w:sz w:val="20"/>
                <w:szCs w:val="20"/>
              </w:rPr>
              <w:t>0</w:t>
            </w:r>
          </w:p>
        </w:tc>
        <w:tc>
          <w:tcPr>
            <w:tcW w:w="730" w:type="pct"/>
            <w:shd w:val="clear" w:color="auto" w:fill="auto"/>
            <w:vAlign w:val="center"/>
          </w:tcPr>
          <w:p w:rsidRPr="00FE051A" w:rsidR="00D20DE4" w:rsidP="009B774E" w:rsidRDefault="00D20DE4" w14:paraId="5817AFBA" w14:textId="77777777">
            <w:pPr>
              <w:jc w:val="center"/>
              <w:rPr>
                <w:rFonts w:asciiTheme="majorBidi" w:hAnsiTheme="majorBidi" w:cstheme="majorBidi"/>
                <w:sz w:val="20"/>
                <w:szCs w:val="20"/>
              </w:rPr>
            </w:pPr>
            <w:r w:rsidRPr="00FE051A">
              <w:rPr>
                <w:rFonts w:asciiTheme="majorBidi" w:hAnsiTheme="majorBidi" w:cstheme="majorBidi"/>
                <w:sz w:val="20"/>
                <w:szCs w:val="20"/>
              </w:rPr>
              <w:t>0</w:t>
            </w:r>
          </w:p>
        </w:tc>
        <w:tc>
          <w:tcPr>
            <w:tcW w:w="730" w:type="pct"/>
            <w:shd w:val="clear" w:color="auto" w:fill="auto"/>
            <w:vAlign w:val="center"/>
          </w:tcPr>
          <w:p w:rsidRPr="00FE051A" w:rsidR="00D20DE4" w:rsidP="009B774E" w:rsidRDefault="00D20DE4" w14:paraId="1FBD5E18" w14:textId="77777777">
            <w:pPr>
              <w:jc w:val="center"/>
              <w:rPr>
                <w:rFonts w:asciiTheme="majorBidi" w:hAnsiTheme="majorBidi" w:cstheme="majorBidi"/>
                <w:sz w:val="20"/>
                <w:szCs w:val="20"/>
              </w:rPr>
            </w:pPr>
            <w:r w:rsidRPr="00FE051A">
              <w:rPr>
                <w:rFonts w:asciiTheme="majorBidi" w:hAnsiTheme="majorBidi" w:cstheme="majorBidi"/>
                <w:sz w:val="20"/>
                <w:szCs w:val="20"/>
              </w:rPr>
              <w:t>72</w:t>
            </w:r>
          </w:p>
        </w:tc>
        <w:tc>
          <w:tcPr>
            <w:tcW w:w="633" w:type="pct"/>
            <w:shd w:val="clear" w:color="auto" w:fill="auto"/>
            <w:vAlign w:val="center"/>
          </w:tcPr>
          <w:p w:rsidRPr="00FE051A" w:rsidR="00D20DE4" w:rsidP="009B774E" w:rsidRDefault="00D20DE4" w14:paraId="3ECF8B4C" w14:textId="77777777">
            <w:pPr>
              <w:jc w:val="center"/>
              <w:rPr>
                <w:rFonts w:asciiTheme="majorBidi" w:hAnsiTheme="majorBidi" w:cstheme="majorBidi"/>
                <w:sz w:val="20"/>
                <w:szCs w:val="20"/>
              </w:rPr>
            </w:pPr>
            <w:r w:rsidRPr="00FE051A">
              <w:rPr>
                <w:rFonts w:asciiTheme="majorBidi" w:hAnsiTheme="majorBidi" w:cstheme="majorBidi"/>
                <w:sz w:val="20"/>
                <w:szCs w:val="20"/>
              </w:rPr>
              <w:t>72</w:t>
            </w:r>
          </w:p>
        </w:tc>
        <w:tc>
          <w:tcPr>
            <w:tcW w:w="730" w:type="pct"/>
            <w:shd w:val="clear" w:color="auto" w:fill="auto"/>
            <w:vAlign w:val="center"/>
          </w:tcPr>
          <w:p w:rsidRPr="00FE051A" w:rsidR="00D20DE4" w:rsidP="009B774E" w:rsidRDefault="00D20DE4" w14:paraId="3B1FAE83" w14:textId="46E8E972">
            <w:pPr>
              <w:jc w:val="center"/>
              <w:rPr>
                <w:rFonts w:asciiTheme="majorBidi" w:hAnsiTheme="majorBidi" w:cstheme="majorBidi"/>
                <w:sz w:val="20"/>
                <w:szCs w:val="20"/>
              </w:rPr>
            </w:pPr>
            <w:r w:rsidRPr="00FE051A">
              <w:rPr>
                <w:sz w:val="22"/>
                <w:szCs w:val="22"/>
              </w:rPr>
              <w:t xml:space="preserve">$3,441 </w:t>
            </w:r>
          </w:p>
        </w:tc>
      </w:tr>
      <w:tr w:rsidRPr="00FE051A" w:rsidR="00D20DE4" w:rsidTr="007D140D" w14:paraId="217D5A5B" w14:textId="77777777">
        <w:trPr>
          <w:trHeight w:val="330"/>
        </w:trPr>
        <w:tc>
          <w:tcPr>
            <w:tcW w:w="1447" w:type="pct"/>
            <w:shd w:val="clear" w:color="auto" w:fill="auto"/>
            <w:vAlign w:val="center"/>
          </w:tcPr>
          <w:p w:rsidRPr="00FE051A" w:rsidR="00D20DE4" w:rsidP="009B774E" w:rsidRDefault="00D20DE4" w14:paraId="69847A80" w14:textId="77777777">
            <w:pPr>
              <w:rPr>
                <w:rFonts w:asciiTheme="majorBidi" w:hAnsiTheme="majorBidi" w:cstheme="majorBidi"/>
                <w:sz w:val="21"/>
                <w:szCs w:val="21"/>
              </w:rPr>
            </w:pPr>
            <w:r w:rsidRPr="00FE051A">
              <w:rPr>
                <w:rFonts w:asciiTheme="majorBidi" w:hAnsiTheme="majorBidi" w:cstheme="majorBidi"/>
                <w:sz w:val="21"/>
                <w:szCs w:val="21"/>
              </w:rPr>
              <w:t>Store, File, and Maintain Info</w:t>
            </w:r>
          </w:p>
        </w:tc>
        <w:tc>
          <w:tcPr>
            <w:tcW w:w="730" w:type="pct"/>
            <w:shd w:val="clear" w:color="auto" w:fill="auto"/>
            <w:vAlign w:val="center"/>
          </w:tcPr>
          <w:p w:rsidRPr="00FE051A" w:rsidR="00D20DE4" w:rsidP="009B774E" w:rsidRDefault="00D20DE4" w14:paraId="1A5C7C22" w14:textId="77777777">
            <w:pPr>
              <w:jc w:val="center"/>
              <w:rPr>
                <w:rFonts w:asciiTheme="majorBidi" w:hAnsiTheme="majorBidi" w:cstheme="majorBidi"/>
                <w:sz w:val="20"/>
                <w:szCs w:val="20"/>
              </w:rPr>
            </w:pPr>
            <w:r w:rsidRPr="00FE051A">
              <w:rPr>
                <w:rFonts w:asciiTheme="majorBidi" w:hAnsiTheme="majorBidi" w:cstheme="majorBidi"/>
                <w:sz w:val="20"/>
                <w:szCs w:val="20"/>
              </w:rPr>
              <w:t>0</w:t>
            </w:r>
          </w:p>
        </w:tc>
        <w:tc>
          <w:tcPr>
            <w:tcW w:w="730" w:type="pct"/>
            <w:shd w:val="clear" w:color="auto" w:fill="auto"/>
            <w:vAlign w:val="center"/>
          </w:tcPr>
          <w:p w:rsidRPr="00FE051A" w:rsidR="00D20DE4" w:rsidP="009B774E" w:rsidRDefault="00D20DE4" w14:paraId="6912F2F3" w14:textId="77777777">
            <w:pPr>
              <w:jc w:val="center"/>
              <w:rPr>
                <w:rFonts w:asciiTheme="majorBidi" w:hAnsiTheme="majorBidi" w:cstheme="majorBidi"/>
                <w:sz w:val="20"/>
                <w:szCs w:val="20"/>
              </w:rPr>
            </w:pPr>
            <w:r w:rsidRPr="00FE051A">
              <w:rPr>
                <w:rFonts w:asciiTheme="majorBidi" w:hAnsiTheme="majorBidi" w:cstheme="majorBidi"/>
                <w:sz w:val="20"/>
                <w:szCs w:val="20"/>
              </w:rPr>
              <w:t>0</w:t>
            </w:r>
          </w:p>
        </w:tc>
        <w:tc>
          <w:tcPr>
            <w:tcW w:w="730" w:type="pct"/>
            <w:shd w:val="clear" w:color="auto" w:fill="auto"/>
            <w:vAlign w:val="center"/>
          </w:tcPr>
          <w:p w:rsidRPr="00FE051A" w:rsidR="00D20DE4" w:rsidP="009B774E" w:rsidRDefault="00D20DE4" w14:paraId="16FF42E0" w14:textId="77777777">
            <w:pPr>
              <w:jc w:val="center"/>
              <w:rPr>
                <w:rFonts w:asciiTheme="majorBidi" w:hAnsiTheme="majorBidi" w:cstheme="majorBidi"/>
                <w:sz w:val="20"/>
                <w:szCs w:val="20"/>
              </w:rPr>
            </w:pPr>
            <w:r w:rsidRPr="00FE051A">
              <w:rPr>
                <w:rFonts w:asciiTheme="majorBidi" w:hAnsiTheme="majorBidi" w:cstheme="majorBidi"/>
                <w:sz w:val="20"/>
                <w:szCs w:val="20"/>
              </w:rPr>
              <w:t>24</w:t>
            </w:r>
          </w:p>
        </w:tc>
        <w:tc>
          <w:tcPr>
            <w:tcW w:w="633" w:type="pct"/>
            <w:shd w:val="clear" w:color="auto" w:fill="auto"/>
            <w:vAlign w:val="center"/>
          </w:tcPr>
          <w:p w:rsidRPr="00FE051A" w:rsidR="00D20DE4" w:rsidP="009B774E" w:rsidRDefault="00D20DE4" w14:paraId="59B542BF" w14:textId="77777777">
            <w:pPr>
              <w:jc w:val="center"/>
              <w:rPr>
                <w:rFonts w:asciiTheme="majorBidi" w:hAnsiTheme="majorBidi" w:cstheme="majorBidi"/>
                <w:sz w:val="20"/>
                <w:szCs w:val="20"/>
              </w:rPr>
            </w:pPr>
            <w:r w:rsidRPr="00FE051A">
              <w:rPr>
                <w:rFonts w:asciiTheme="majorBidi" w:hAnsiTheme="majorBidi" w:cstheme="majorBidi"/>
                <w:sz w:val="20"/>
                <w:szCs w:val="20"/>
              </w:rPr>
              <w:t>24</w:t>
            </w:r>
          </w:p>
        </w:tc>
        <w:tc>
          <w:tcPr>
            <w:tcW w:w="730" w:type="pct"/>
            <w:shd w:val="clear" w:color="auto" w:fill="auto"/>
            <w:vAlign w:val="center"/>
          </w:tcPr>
          <w:p w:rsidRPr="00FE051A" w:rsidR="00D20DE4" w:rsidP="009B774E" w:rsidRDefault="00D20DE4" w14:paraId="19CE7C25" w14:textId="7050A569">
            <w:pPr>
              <w:jc w:val="center"/>
              <w:rPr>
                <w:rFonts w:asciiTheme="majorBidi" w:hAnsiTheme="majorBidi" w:cstheme="majorBidi"/>
                <w:sz w:val="20"/>
                <w:szCs w:val="20"/>
              </w:rPr>
            </w:pPr>
            <w:r w:rsidRPr="00FE051A">
              <w:rPr>
                <w:sz w:val="22"/>
                <w:szCs w:val="22"/>
              </w:rPr>
              <w:t xml:space="preserve">$1,147 </w:t>
            </w:r>
          </w:p>
        </w:tc>
      </w:tr>
      <w:tr w:rsidRPr="00FE051A" w:rsidR="00D20DE4" w:rsidTr="00062CB6" w14:paraId="4272FDD8" w14:textId="77777777">
        <w:trPr>
          <w:trHeight w:val="330"/>
        </w:trPr>
        <w:tc>
          <w:tcPr>
            <w:tcW w:w="1447" w:type="pct"/>
            <w:tcBorders>
              <w:bottom w:val="double" w:color="808080" w:themeColor="background1" w:themeShade="80" w:sz="4" w:space="0"/>
            </w:tcBorders>
            <w:shd w:val="clear" w:color="auto" w:fill="auto"/>
            <w:vAlign w:val="center"/>
          </w:tcPr>
          <w:p w:rsidRPr="00FE051A" w:rsidR="00D20DE4" w:rsidP="009B774E" w:rsidRDefault="00D20DE4" w14:paraId="61001066" w14:textId="77777777">
            <w:pPr>
              <w:jc w:val="center"/>
              <w:rPr>
                <w:rFonts w:asciiTheme="majorBidi" w:hAnsiTheme="majorBidi" w:cstheme="majorBidi"/>
                <w:b/>
                <w:bCs/>
                <w:sz w:val="21"/>
                <w:szCs w:val="21"/>
              </w:rPr>
            </w:pPr>
            <w:r w:rsidRPr="00FE051A">
              <w:rPr>
                <w:rFonts w:asciiTheme="majorBidi" w:hAnsiTheme="majorBidi" w:cstheme="majorBidi"/>
                <w:b/>
                <w:bCs/>
                <w:sz w:val="21"/>
                <w:szCs w:val="21"/>
              </w:rPr>
              <w:t>TOTAL</w:t>
            </w:r>
          </w:p>
        </w:tc>
        <w:tc>
          <w:tcPr>
            <w:tcW w:w="730" w:type="pct"/>
            <w:tcBorders>
              <w:bottom w:val="double" w:color="808080" w:themeColor="background1" w:themeShade="80" w:sz="4" w:space="0"/>
            </w:tcBorders>
            <w:shd w:val="clear" w:color="auto" w:fill="auto"/>
            <w:vAlign w:val="center"/>
          </w:tcPr>
          <w:p w:rsidRPr="00FE051A" w:rsidR="00D20DE4" w:rsidP="009B774E" w:rsidRDefault="00D20DE4" w14:paraId="5A8213DC" w14:textId="77777777">
            <w:pPr>
              <w:jc w:val="center"/>
              <w:rPr>
                <w:rFonts w:asciiTheme="majorBidi" w:hAnsiTheme="majorBidi" w:cstheme="majorBidi"/>
                <w:sz w:val="20"/>
                <w:szCs w:val="20"/>
              </w:rPr>
            </w:pPr>
            <w:r w:rsidRPr="00FE051A">
              <w:rPr>
                <w:rFonts w:asciiTheme="majorBidi" w:hAnsiTheme="majorBidi" w:cstheme="majorBidi"/>
                <w:sz w:val="20"/>
                <w:szCs w:val="20"/>
              </w:rPr>
              <w:t>102</w:t>
            </w:r>
          </w:p>
        </w:tc>
        <w:tc>
          <w:tcPr>
            <w:tcW w:w="730" w:type="pct"/>
            <w:tcBorders>
              <w:bottom w:val="double" w:color="808080" w:themeColor="background1" w:themeShade="80" w:sz="4" w:space="0"/>
            </w:tcBorders>
            <w:shd w:val="clear" w:color="auto" w:fill="auto"/>
            <w:vAlign w:val="center"/>
          </w:tcPr>
          <w:p w:rsidRPr="00FE051A" w:rsidR="00D20DE4" w:rsidP="009B774E" w:rsidRDefault="00D20DE4" w14:paraId="4B40D3F6" w14:textId="77777777">
            <w:pPr>
              <w:jc w:val="center"/>
              <w:rPr>
                <w:rFonts w:asciiTheme="majorBidi" w:hAnsiTheme="majorBidi" w:cstheme="majorBidi"/>
                <w:sz w:val="20"/>
                <w:szCs w:val="20"/>
              </w:rPr>
            </w:pPr>
            <w:r w:rsidRPr="00FE051A">
              <w:rPr>
                <w:rFonts w:asciiTheme="majorBidi" w:hAnsiTheme="majorBidi" w:cstheme="majorBidi"/>
                <w:sz w:val="20"/>
                <w:szCs w:val="20"/>
              </w:rPr>
              <w:t>448</w:t>
            </w:r>
          </w:p>
        </w:tc>
        <w:tc>
          <w:tcPr>
            <w:tcW w:w="730" w:type="pct"/>
            <w:tcBorders>
              <w:bottom w:val="double" w:color="808080" w:themeColor="background1" w:themeShade="80" w:sz="4" w:space="0"/>
            </w:tcBorders>
            <w:shd w:val="clear" w:color="auto" w:fill="auto"/>
            <w:vAlign w:val="center"/>
          </w:tcPr>
          <w:p w:rsidRPr="00FE051A" w:rsidR="00D20DE4" w:rsidP="009B774E" w:rsidRDefault="00D20DE4" w14:paraId="11105392" w14:textId="77777777">
            <w:pPr>
              <w:jc w:val="center"/>
              <w:rPr>
                <w:rFonts w:asciiTheme="majorBidi" w:hAnsiTheme="majorBidi" w:cstheme="majorBidi"/>
                <w:sz w:val="20"/>
                <w:szCs w:val="20"/>
              </w:rPr>
            </w:pPr>
            <w:r w:rsidRPr="00FE051A">
              <w:rPr>
                <w:rFonts w:asciiTheme="majorBidi" w:hAnsiTheme="majorBidi" w:cstheme="majorBidi"/>
                <w:sz w:val="20"/>
                <w:szCs w:val="20"/>
              </w:rPr>
              <w:t>96</w:t>
            </w:r>
          </w:p>
        </w:tc>
        <w:tc>
          <w:tcPr>
            <w:tcW w:w="633" w:type="pct"/>
            <w:tcBorders>
              <w:bottom w:val="double" w:color="808080" w:themeColor="background1" w:themeShade="80" w:sz="4" w:space="0"/>
            </w:tcBorders>
            <w:shd w:val="clear" w:color="auto" w:fill="auto"/>
            <w:vAlign w:val="center"/>
          </w:tcPr>
          <w:p w:rsidRPr="00FE051A" w:rsidR="00D20DE4" w:rsidP="009B774E" w:rsidRDefault="00D20DE4" w14:paraId="3A62BB4A" w14:textId="77777777">
            <w:pPr>
              <w:jc w:val="center"/>
              <w:rPr>
                <w:rFonts w:asciiTheme="majorBidi" w:hAnsiTheme="majorBidi" w:cstheme="majorBidi"/>
                <w:b/>
                <w:sz w:val="20"/>
                <w:szCs w:val="20"/>
              </w:rPr>
            </w:pPr>
            <w:r w:rsidRPr="00FE051A">
              <w:rPr>
                <w:rFonts w:asciiTheme="majorBidi" w:hAnsiTheme="majorBidi" w:cstheme="majorBidi"/>
                <w:b/>
                <w:sz w:val="20"/>
                <w:szCs w:val="20"/>
              </w:rPr>
              <w:t>646</w:t>
            </w:r>
          </w:p>
        </w:tc>
        <w:tc>
          <w:tcPr>
            <w:tcW w:w="730" w:type="pct"/>
            <w:tcBorders>
              <w:bottom w:val="double" w:color="808080" w:themeColor="background1" w:themeShade="80" w:sz="4" w:space="0"/>
            </w:tcBorders>
            <w:shd w:val="clear" w:color="auto" w:fill="auto"/>
            <w:vAlign w:val="center"/>
          </w:tcPr>
          <w:p w:rsidRPr="00FE051A" w:rsidR="00D20DE4" w:rsidP="009B774E" w:rsidRDefault="00D20DE4" w14:paraId="78B7E903" w14:textId="60E695AB">
            <w:pPr>
              <w:jc w:val="center"/>
              <w:rPr>
                <w:rFonts w:asciiTheme="majorBidi" w:hAnsiTheme="majorBidi" w:cstheme="majorBidi"/>
                <w:b/>
                <w:sz w:val="20"/>
                <w:szCs w:val="20"/>
              </w:rPr>
            </w:pPr>
            <w:r w:rsidRPr="00FE051A">
              <w:rPr>
                <w:b/>
                <w:sz w:val="22"/>
                <w:szCs w:val="22"/>
              </w:rPr>
              <w:t>$52,779</w:t>
            </w:r>
            <w:r w:rsidRPr="00FE051A">
              <w:rPr>
                <w:sz w:val="22"/>
                <w:szCs w:val="22"/>
              </w:rPr>
              <w:t xml:space="preserve"> </w:t>
            </w:r>
          </w:p>
        </w:tc>
      </w:tr>
      <w:tr w:rsidRPr="00C270C5" w:rsidR="00062CB6" w:rsidTr="00062CB6" w14:paraId="70D2DAEB" w14:textId="77777777">
        <w:trPr>
          <w:trHeight w:val="330"/>
        </w:trPr>
        <w:tc>
          <w:tcPr>
            <w:tcW w:w="5000" w:type="pct"/>
            <w:gridSpan w:val="6"/>
            <w:tcBorders>
              <w:top w:val="double" w:color="808080" w:themeColor="background1" w:themeShade="80" w:sz="4" w:space="0"/>
              <w:left w:val="nil"/>
              <w:bottom w:val="nil"/>
              <w:right w:val="nil"/>
            </w:tcBorders>
            <w:shd w:val="clear" w:color="auto" w:fill="auto"/>
            <w:vAlign w:val="center"/>
          </w:tcPr>
          <w:p w:rsidR="005459DF" w:rsidP="009B774E" w:rsidRDefault="005459DF" w14:paraId="4CC06EAC" w14:textId="77777777">
            <w:pPr>
              <w:rPr>
                <w:rFonts w:asciiTheme="majorBidi" w:hAnsiTheme="majorBidi" w:cstheme="majorBidi"/>
                <w:sz w:val="20"/>
              </w:rPr>
            </w:pPr>
            <w:r>
              <w:rPr>
                <w:rFonts w:asciiTheme="majorBidi" w:hAnsiTheme="majorBidi" w:cstheme="majorBidi"/>
                <w:sz w:val="20"/>
              </w:rPr>
              <w:t>*Numbers may not sum due to rounding.</w:t>
            </w:r>
          </w:p>
          <w:p w:rsidRPr="00FE051A" w:rsidR="00062CB6" w:rsidP="009B774E" w:rsidRDefault="00062CB6" w14:paraId="6971BEB7" w14:textId="77777777">
            <w:pPr>
              <w:rPr>
                <w:rFonts w:asciiTheme="majorBidi" w:hAnsiTheme="majorBidi" w:cstheme="majorBidi"/>
              </w:rPr>
            </w:pPr>
          </w:p>
          <w:p w:rsidRPr="00FE051A" w:rsidR="00062CB6" w:rsidP="009B774E" w:rsidRDefault="00062CB6" w14:paraId="4BAE6C17" w14:textId="77777777">
            <w:pPr>
              <w:rPr>
                <w:rFonts w:asciiTheme="majorBidi" w:hAnsiTheme="majorBidi" w:cstheme="majorBidi"/>
              </w:rPr>
            </w:pPr>
          </w:p>
          <w:p w:rsidRPr="00C270C5" w:rsidR="00062CB6" w:rsidP="009B774E" w:rsidRDefault="00062CB6" w14:paraId="278E8EBA" w14:textId="2C6C872D">
            <w:pPr>
              <w:rPr>
                <w:rFonts w:asciiTheme="majorBidi" w:hAnsiTheme="majorBidi" w:cstheme="majorBidi"/>
              </w:rPr>
            </w:pPr>
            <w:r w:rsidRPr="00FE051A">
              <w:rPr>
                <w:rFonts w:asciiTheme="majorBidi" w:hAnsiTheme="majorBidi" w:cstheme="majorBidi"/>
              </w:rPr>
              <w:t xml:space="preserve">Table 5-B presents the total annual burden hours and costs for “Type C” reduced risk applications. Registrants spend a total of </w:t>
            </w:r>
            <w:r w:rsidRPr="00FE051A" w:rsidR="00D20DE4">
              <w:rPr>
                <w:rFonts w:asciiTheme="majorBidi" w:hAnsiTheme="majorBidi" w:cstheme="majorBidi"/>
              </w:rPr>
              <w:t>3,230</w:t>
            </w:r>
            <w:r w:rsidRPr="00FE051A">
              <w:rPr>
                <w:rFonts w:asciiTheme="majorBidi" w:hAnsiTheme="majorBidi" w:cstheme="majorBidi"/>
              </w:rPr>
              <w:t xml:space="preserve"> burden hours at a cost of </w:t>
            </w:r>
            <w:r w:rsidRPr="00FE051A" w:rsidR="00D20DE4">
              <w:rPr>
                <w:rFonts w:asciiTheme="majorBidi" w:hAnsiTheme="majorBidi" w:cstheme="majorBidi"/>
              </w:rPr>
              <w:t>$264</w:t>
            </w:r>
            <w:r w:rsidRPr="00FE051A">
              <w:rPr>
                <w:rFonts w:asciiTheme="majorBidi" w:hAnsiTheme="majorBidi" w:cstheme="majorBidi"/>
              </w:rPr>
              <w:t xml:space="preserve"> thousand to prepare and submit “Type C” applications to the Registration Division. The Antimicrobial Division and the Biopesticides and Pollution Prevention Division do not receive “Type C” applications.</w:t>
            </w:r>
          </w:p>
          <w:p w:rsidRPr="00C270C5" w:rsidR="00062CB6" w:rsidP="009B774E" w:rsidRDefault="00062CB6" w14:paraId="3856B10C" w14:textId="7954069C">
            <w:pPr>
              <w:jc w:val="center"/>
              <w:rPr>
                <w:rFonts w:asciiTheme="majorBidi" w:hAnsiTheme="majorBidi" w:cstheme="majorBidi"/>
                <w:b/>
                <w:sz w:val="20"/>
                <w:szCs w:val="20"/>
              </w:rPr>
            </w:pPr>
          </w:p>
        </w:tc>
      </w:tr>
    </w:tbl>
    <w:p w:rsidRPr="00C270C5" w:rsidR="00F204D4" w:rsidP="009B774E" w:rsidRDefault="00F204D4" w14:paraId="75256730" w14:textId="77777777">
      <w:pPr>
        <w:keepNext/>
        <w:keepLines/>
        <w:rPr>
          <w:rFonts w:asciiTheme="majorBidi" w:hAnsiTheme="majorBidi" w:cstheme="majorBidi"/>
          <w:b/>
          <w:sz w:val="22"/>
          <w:szCs w:val="22"/>
        </w:rPr>
      </w:pPr>
    </w:p>
    <w:p w:rsidRPr="00FE051A" w:rsidR="008253DD" w:rsidP="009B774E" w:rsidRDefault="008253DD" w14:paraId="6C665F27" w14:textId="332C7DD9">
      <w:pPr>
        <w:rPr>
          <w:rFonts w:asciiTheme="majorBidi" w:hAnsiTheme="majorBidi" w:cstheme="majorBidi"/>
          <w:b/>
        </w:rPr>
      </w:pPr>
      <w:r w:rsidRPr="00FE051A">
        <w:rPr>
          <w:rFonts w:asciiTheme="majorBidi" w:hAnsiTheme="majorBidi" w:cstheme="majorBidi"/>
          <w:b/>
          <w:bCs/>
          <w:sz w:val="22"/>
          <w:szCs w:val="22"/>
        </w:rPr>
        <w:t xml:space="preserve">Table 5-B: Total Annual Burden and Cost for "Type C" Reduced Risk </w:t>
      </w:r>
      <w:r w:rsidRPr="00FE051A" w:rsidR="004F1F2A">
        <w:rPr>
          <w:rFonts w:asciiTheme="majorBidi" w:hAnsiTheme="majorBidi" w:cstheme="majorBidi"/>
          <w:b/>
          <w:sz w:val="22"/>
          <w:szCs w:val="22"/>
        </w:rPr>
        <w:t xml:space="preserve">Registration </w:t>
      </w:r>
      <w:r w:rsidRPr="00FE051A">
        <w:rPr>
          <w:rFonts w:asciiTheme="majorBidi" w:hAnsiTheme="majorBidi" w:cstheme="majorBidi"/>
          <w:b/>
          <w:bCs/>
          <w:sz w:val="22"/>
          <w:szCs w:val="22"/>
        </w:rPr>
        <w:t>Applications</w:t>
      </w:r>
      <w:r w:rsidRPr="00FE051A">
        <w:rPr>
          <w:rFonts w:asciiTheme="majorBidi" w:hAnsiTheme="majorBidi" w:cstheme="majorBidi"/>
          <w:b/>
          <w:bCs/>
          <w:sz w:val="22"/>
          <w:szCs w:val="22"/>
          <w:vertAlign w:val="superscript"/>
        </w:rPr>
        <w:t xml:space="preserve"> 1</w:t>
      </w:r>
    </w:p>
    <w:tbl>
      <w:tblPr>
        <w:tblW w:w="5000" w:type="pct"/>
        <w:tblLook w:val="04A0" w:firstRow="1" w:lastRow="0" w:firstColumn="1" w:lastColumn="0" w:noHBand="0" w:noVBand="1"/>
      </w:tblPr>
      <w:tblGrid>
        <w:gridCol w:w="2922"/>
        <w:gridCol w:w="2923"/>
        <w:gridCol w:w="3469"/>
      </w:tblGrid>
      <w:tr w:rsidRPr="00FE051A" w:rsidR="00C270C5" w:rsidTr="007D140D" w14:paraId="1EBDD75B" w14:textId="77777777">
        <w:trPr>
          <w:trHeight w:val="300"/>
        </w:trPr>
        <w:tc>
          <w:tcPr>
            <w:tcW w:w="1569" w:type="pct"/>
            <w:vMerge w:val="restart"/>
            <w:tcBorders>
              <w:top w:val="double" w:color="808080" w:sz="6" w:space="0"/>
              <w:left w:val="double" w:color="808080" w:sz="6" w:space="0"/>
              <w:bottom w:val="single" w:color="808080" w:sz="4" w:space="0"/>
              <w:right w:val="single" w:color="808080" w:sz="4" w:space="0"/>
            </w:tcBorders>
            <w:shd w:val="clear" w:color="auto" w:fill="auto"/>
            <w:noWrap/>
            <w:vAlign w:val="center"/>
            <w:hideMark/>
          </w:tcPr>
          <w:p w:rsidRPr="00FE051A" w:rsidR="008253DD" w:rsidP="009B774E" w:rsidRDefault="008253DD" w14:paraId="2E5D5B72" w14:textId="77777777">
            <w:pPr>
              <w:rPr>
                <w:rFonts w:asciiTheme="majorBidi" w:hAnsiTheme="majorBidi" w:cstheme="majorBidi"/>
                <w:b/>
                <w:sz w:val="22"/>
                <w:szCs w:val="22"/>
                <w:vertAlign w:val="superscript"/>
              </w:rPr>
            </w:pPr>
            <w:r w:rsidRPr="00FE051A">
              <w:rPr>
                <w:rFonts w:asciiTheme="majorBidi" w:hAnsiTheme="majorBidi" w:cstheme="majorBidi"/>
                <w:b/>
                <w:sz w:val="22"/>
                <w:szCs w:val="22"/>
              </w:rPr>
              <w:t>Labor Category</w:t>
            </w:r>
            <w:r w:rsidRPr="00FE051A">
              <w:rPr>
                <w:rFonts w:asciiTheme="majorBidi" w:hAnsiTheme="majorBidi" w:cstheme="majorBidi"/>
                <w:b/>
                <w:sz w:val="22"/>
                <w:szCs w:val="22"/>
                <w:vertAlign w:val="superscript"/>
              </w:rPr>
              <w:t xml:space="preserve"> 2</w:t>
            </w:r>
          </w:p>
        </w:tc>
        <w:tc>
          <w:tcPr>
            <w:tcW w:w="3431" w:type="pct"/>
            <w:gridSpan w:val="2"/>
            <w:tcBorders>
              <w:top w:val="double" w:color="808080" w:sz="6" w:space="0"/>
              <w:left w:val="nil"/>
              <w:bottom w:val="single" w:color="808080" w:sz="4" w:space="0"/>
              <w:right w:val="double" w:color="808080" w:sz="6" w:space="0"/>
            </w:tcBorders>
            <w:shd w:val="clear" w:color="auto" w:fill="auto"/>
            <w:noWrap/>
            <w:vAlign w:val="center"/>
            <w:hideMark/>
          </w:tcPr>
          <w:p w:rsidRPr="00FE051A" w:rsidR="008253DD" w:rsidP="009B774E" w:rsidRDefault="008253DD" w14:paraId="4E89FD0E" w14:textId="77777777">
            <w:pPr>
              <w:jc w:val="center"/>
              <w:rPr>
                <w:rFonts w:asciiTheme="majorBidi" w:hAnsiTheme="majorBidi" w:cstheme="majorBidi"/>
                <w:b/>
                <w:bCs/>
                <w:sz w:val="22"/>
                <w:szCs w:val="22"/>
              </w:rPr>
            </w:pPr>
            <w:r w:rsidRPr="00FE051A">
              <w:rPr>
                <w:rFonts w:asciiTheme="majorBidi" w:hAnsiTheme="majorBidi" w:cstheme="majorBidi"/>
                <w:b/>
                <w:bCs/>
                <w:sz w:val="22"/>
                <w:szCs w:val="22"/>
              </w:rPr>
              <w:t>RD</w:t>
            </w:r>
          </w:p>
        </w:tc>
      </w:tr>
      <w:tr w:rsidRPr="00FE051A" w:rsidR="00C270C5" w:rsidTr="00D20DE4" w14:paraId="349DE4AE" w14:textId="77777777">
        <w:trPr>
          <w:trHeight w:val="285"/>
        </w:trPr>
        <w:tc>
          <w:tcPr>
            <w:tcW w:w="1569" w:type="pct"/>
            <w:vMerge/>
            <w:tcBorders>
              <w:top w:val="double" w:color="808080" w:sz="6" w:space="0"/>
              <w:left w:val="double" w:color="808080" w:sz="6" w:space="0"/>
              <w:bottom w:val="single" w:color="808080" w:sz="4" w:space="0"/>
              <w:right w:val="single" w:color="808080" w:sz="4" w:space="0"/>
            </w:tcBorders>
            <w:shd w:val="clear" w:color="auto" w:fill="auto"/>
            <w:vAlign w:val="center"/>
            <w:hideMark/>
          </w:tcPr>
          <w:p w:rsidRPr="00FE051A" w:rsidR="008253DD" w:rsidP="009B774E" w:rsidRDefault="008253DD" w14:paraId="73FB8CA8" w14:textId="77777777">
            <w:pPr>
              <w:rPr>
                <w:rFonts w:asciiTheme="majorBidi" w:hAnsiTheme="majorBidi" w:cstheme="majorBidi"/>
                <w:sz w:val="22"/>
                <w:szCs w:val="22"/>
              </w:rPr>
            </w:pPr>
          </w:p>
        </w:tc>
        <w:tc>
          <w:tcPr>
            <w:tcW w:w="1569" w:type="pct"/>
            <w:tcBorders>
              <w:top w:val="nil"/>
              <w:left w:val="nil"/>
              <w:bottom w:val="single" w:color="808080" w:sz="4" w:space="0"/>
              <w:right w:val="single" w:color="808080" w:sz="4" w:space="0"/>
            </w:tcBorders>
            <w:shd w:val="clear" w:color="auto" w:fill="auto"/>
            <w:noWrap/>
            <w:vAlign w:val="center"/>
            <w:hideMark/>
          </w:tcPr>
          <w:p w:rsidRPr="00FE051A" w:rsidR="008253DD" w:rsidP="009B774E" w:rsidRDefault="008253DD" w14:paraId="144FF7A1" w14:textId="77777777">
            <w:pPr>
              <w:jc w:val="center"/>
              <w:rPr>
                <w:rFonts w:asciiTheme="majorBidi" w:hAnsiTheme="majorBidi" w:cstheme="majorBidi"/>
                <w:b/>
                <w:bCs/>
                <w:sz w:val="22"/>
                <w:szCs w:val="22"/>
              </w:rPr>
            </w:pPr>
            <w:r w:rsidRPr="00FE051A">
              <w:rPr>
                <w:rFonts w:asciiTheme="majorBidi" w:hAnsiTheme="majorBidi" w:cstheme="majorBidi"/>
                <w:b/>
                <w:bCs/>
                <w:sz w:val="22"/>
                <w:szCs w:val="22"/>
              </w:rPr>
              <w:t>Hours</w:t>
            </w:r>
          </w:p>
        </w:tc>
        <w:tc>
          <w:tcPr>
            <w:tcW w:w="1862" w:type="pct"/>
            <w:tcBorders>
              <w:top w:val="nil"/>
              <w:left w:val="nil"/>
              <w:bottom w:val="single" w:color="808080" w:sz="4" w:space="0"/>
              <w:right w:val="double" w:color="808080" w:sz="6" w:space="0"/>
            </w:tcBorders>
            <w:shd w:val="clear" w:color="auto" w:fill="auto"/>
            <w:noWrap/>
            <w:vAlign w:val="center"/>
            <w:hideMark/>
          </w:tcPr>
          <w:p w:rsidRPr="00FE051A" w:rsidR="008253DD" w:rsidP="009B774E" w:rsidRDefault="008253DD" w14:paraId="5ADB92DC" w14:textId="77777777">
            <w:pPr>
              <w:jc w:val="center"/>
              <w:rPr>
                <w:rFonts w:asciiTheme="majorBidi" w:hAnsiTheme="majorBidi" w:cstheme="majorBidi"/>
                <w:b/>
                <w:bCs/>
                <w:sz w:val="22"/>
                <w:szCs w:val="22"/>
              </w:rPr>
            </w:pPr>
            <w:r w:rsidRPr="00FE051A">
              <w:rPr>
                <w:rFonts w:asciiTheme="majorBidi" w:hAnsiTheme="majorBidi" w:cstheme="majorBidi"/>
                <w:b/>
                <w:bCs/>
                <w:sz w:val="22"/>
                <w:szCs w:val="22"/>
              </w:rPr>
              <w:t>Cost</w:t>
            </w:r>
          </w:p>
        </w:tc>
      </w:tr>
      <w:tr w:rsidRPr="00FE051A" w:rsidR="00D20DE4" w:rsidTr="00D20DE4" w14:paraId="4F444ACF" w14:textId="77777777">
        <w:trPr>
          <w:trHeight w:val="300"/>
        </w:trPr>
        <w:tc>
          <w:tcPr>
            <w:tcW w:w="1569" w:type="pct"/>
            <w:tcBorders>
              <w:top w:val="nil"/>
              <w:left w:val="double" w:color="808080" w:sz="6" w:space="0"/>
              <w:bottom w:val="single" w:color="808080" w:sz="4" w:space="0"/>
              <w:right w:val="single" w:color="808080" w:sz="4" w:space="0"/>
            </w:tcBorders>
            <w:shd w:val="clear" w:color="auto" w:fill="auto"/>
            <w:noWrap/>
            <w:vAlign w:val="bottom"/>
            <w:hideMark/>
          </w:tcPr>
          <w:p w:rsidRPr="00FE051A" w:rsidR="00D20DE4" w:rsidP="009B774E" w:rsidRDefault="00D20DE4" w14:paraId="285AAA20" w14:textId="77777777">
            <w:pPr>
              <w:rPr>
                <w:rFonts w:asciiTheme="majorBidi" w:hAnsiTheme="majorBidi" w:cstheme="majorBidi"/>
                <w:sz w:val="22"/>
                <w:szCs w:val="22"/>
              </w:rPr>
            </w:pPr>
            <w:r w:rsidRPr="00FE051A">
              <w:rPr>
                <w:rFonts w:asciiTheme="majorBidi" w:hAnsiTheme="majorBidi" w:cstheme="majorBidi"/>
                <w:sz w:val="22"/>
                <w:szCs w:val="22"/>
              </w:rPr>
              <w:t>Management</w:t>
            </w:r>
          </w:p>
        </w:tc>
        <w:tc>
          <w:tcPr>
            <w:tcW w:w="1569" w:type="pct"/>
            <w:tcBorders>
              <w:top w:val="single" w:color="808080" w:sz="4" w:space="0"/>
              <w:left w:val="nil"/>
              <w:bottom w:val="single" w:color="808080" w:sz="4" w:space="0"/>
              <w:right w:val="single" w:color="808080" w:sz="4" w:space="0"/>
            </w:tcBorders>
            <w:shd w:val="clear" w:color="auto" w:fill="auto"/>
            <w:noWrap/>
            <w:vAlign w:val="center"/>
            <w:hideMark/>
          </w:tcPr>
          <w:p w:rsidRPr="00FE051A" w:rsidR="00D20DE4" w:rsidP="009B774E" w:rsidRDefault="00D20DE4" w14:paraId="393D48F8" w14:textId="5A8A9027">
            <w:pPr>
              <w:jc w:val="center"/>
              <w:rPr>
                <w:rFonts w:asciiTheme="majorBidi" w:hAnsiTheme="majorBidi" w:cstheme="majorBidi"/>
                <w:sz w:val="22"/>
                <w:szCs w:val="22"/>
              </w:rPr>
            </w:pPr>
            <w:r w:rsidRPr="00FE051A">
              <w:rPr>
                <w:sz w:val="22"/>
                <w:szCs w:val="22"/>
              </w:rPr>
              <w:t>510</w:t>
            </w:r>
          </w:p>
        </w:tc>
        <w:tc>
          <w:tcPr>
            <w:tcW w:w="1862" w:type="pct"/>
            <w:tcBorders>
              <w:top w:val="single" w:color="808080" w:sz="4" w:space="0"/>
              <w:left w:val="nil"/>
              <w:bottom w:val="single" w:color="808080" w:sz="4" w:space="0"/>
              <w:right w:val="double" w:color="808080" w:sz="6" w:space="0"/>
            </w:tcBorders>
            <w:shd w:val="clear" w:color="auto" w:fill="auto"/>
            <w:noWrap/>
            <w:vAlign w:val="center"/>
            <w:hideMark/>
          </w:tcPr>
          <w:p w:rsidRPr="00FE051A" w:rsidR="00D20DE4" w:rsidP="009B774E" w:rsidRDefault="00D20DE4" w14:paraId="7F252689" w14:textId="10C91AF6">
            <w:pPr>
              <w:jc w:val="center"/>
              <w:rPr>
                <w:rFonts w:asciiTheme="majorBidi" w:hAnsiTheme="majorBidi" w:cstheme="majorBidi"/>
                <w:sz w:val="22"/>
                <w:szCs w:val="22"/>
              </w:rPr>
            </w:pPr>
            <w:r w:rsidRPr="00FE051A">
              <w:rPr>
                <w:sz w:val="22"/>
                <w:szCs w:val="22"/>
              </w:rPr>
              <w:t>$73,078</w:t>
            </w:r>
          </w:p>
        </w:tc>
      </w:tr>
      <w:tr w:rsidRPr="00FE051A" w:rsidR="00D20DE4" w:rsidTr="00D20DE4" w14:paraId="1450F469" w14:textId="77777777">
        <w:trPr>
          <w:trHeight w:val="300"/>
        </w:trPr>
        <w:tc>
          <w:tcPr>
            <w:tcW w:w="1569" w:type="pct"/>
            <w:tcBorders>
              <w:top w:val="nil"/>
              <w:left w:val="double" w:color="808080" w:sz="6" w:space="0"/>
              <w:bottom w:val="single" w:color="808080" w:sz="4" w:space="0"/>
              <w:right w:val="single" w:color="808080" w:sz="4" w:space="0"/>
            </w:tcBorders>
            <w:shd w:val="clear" w:color="auto" w:fill="auto"/>
            <w:noWrap/>
            <w:vAlign w:val="bottom"/>
            <w:hideMark/>
          </w:tcPr>
          <w:p w:rsidRPr="00FE051A" w:rsidR="00D20DE4" w:rsidP="009B774E" w:rsidRDefault="00D20DE4" w14:paraId="09F6B68D" w14:textId="77777777">
            <w:pPr>
              <w:rPr>
                <w:rFonts w:asciiTheme="majorBidi" w:hAnsiTheme="majorBidi" w:cstheme="majorBidi"/>
                <w:sz w:val="22"/>
                <w:szCs w:val="22"/>
              </w:rPr>
            </w:pPr>
            <w:r w:rsidRPr="00FE051A">
              <w:rPr>
                <w:rFonts w:asciiTheme="majorBidi" w:hAnsiTheme="majorBidi" w:cstheme="majorBidi"/>
                <w:sz w:val="22"/>
                <w:szCs w:val="22"/>
              </w:rPr>
              <w:t>Technical</w:t>
            </w:r>
          </w:p>
        </w:tc>
        <w:tc>
          <w:tcPr>
            <w:tcW w:w="1569" w:type="pct"/>
            <w:tcBorders>
              <w:top w:val="nil"/>
              <w:left w:val="nil"/>
              <w:bottom w:val="single" w:color="808080" w:sz="4" w:space="0"/>
              <w:right w:val="single" w:color="808080" w:sz="4" w:space="0"/>
            </w:tcBorders>
            <w:shd w:val="clear" w:color="auto" w:fill="auto"/>
            <w:noWrap/>
            <w:vAlign w:val="center"/>
            <w:hideMark/>
          </w:tcPr>
          <w:p w:rsidRPr="00FE051A" w:rsidR="00D20DE4" w:rsidP="009B774E" w:rsidRDefault="00D20DE4" w14:paraId="58C60069" w14:textId="0E1C0D56">
            <w:pPr>
              <w:jc w:val="center"/>
              <w:rPr>
                <w:rFonts w:asciiTheme="majorBidi" w:hAnsiTheme="majorBidi" w:cstheme="majorBidi"/>
                <w:sz w:val="22"/>
                <w:szCs w:val="22"/>
              </w:rPr>
            </w:pPr>
            <w:r w:rsidRPr="00FE051A">
              <w:rPr>
                <w:sz w:val="22"/>
                <w:szCs w:val="22"/>
              </w:rPr>
              <w:t>2,240</w:t>
            </w:r>
          </w:p>
        </w:tc>
        <w:tc>
          <w:tcPr>
            <w:tcW w:w="1862" w:type="pct"/>
            <w:tcBorders>
              <w:top w:val="nil"/>
              <w:left w:val="nil"/>
              <w:bottom w:val="single" w:color="808080" w:sz="4" w:space="0"/>
              <w:right w:val="double" w:color="808080" w:sz="6" w:space="0"/>
            </w:tcBorders>
            <w:shd w:val="clear" w:color="auto" w:fill="auto"/>
            <w:noWrap/>
            <w:vAlign w:val="center"/>
            <w:hideMark/>
          </w:tcPr>
          <w:p w:rsidRPr="00FE051A" w:rsidR="00D20DE4" w:rsidP="009B774E" w:rsidRDefault="00D20DE4" w14:paraId="3F0A9708" w14:textId="65385808">
            <w:pPr>
              <w:jc w:val="center"/>
              <w:rPr>
                <w:rFonts w:asciiTheme="majorBidi" w:hAnsiTheme="majorBidi" w:cstheme="majorBidi"/>
                <w:sz w:val="22"/>
                <w:szCs w:val="22"/>
              </w:rPr>
            </w:pPr>
            <w:r w:rsidRPr="00FE051A">
              <w:rPr>
                <w:sz w:val="22"/>
                <w:szCs w:val="22"/>
              </w:rPr>
              <w:t>$167,881</w:t>
            </w:r>
          </w:p>
        </w:tc>
      </w:tr>
      <w:tr w:rsidRPr="00FE051A" w:rsidR="00D20DE4" w:rsidTr="00D20DE4" w14:paraId="632D939B" w14:textId="77777777">
        <w:trPr>
          <w:trHeight w:val="300"/>
        </w:trPr>
        <w:tc>
          <w:tcPr>
            <w:tcW w:w="1569" w:type="pct"/>
            <w:tcBorders>
              <w:top w:val="nil"/>
              <w:left w:val="double" w:color="808080" w:sz="6" w:space="0"/>
              <w:bottom w:val="single" w:color="808080" w:sz="4" w:space="0"/>
              <w:right w:val="single" w:color="808080" w:sz="4" w:space="0"/>
            </w:tcBorders>
            <w:shd w:val="clear" w:color="auto" w:fill="auto"/>
            <w:noWrap/>
            <w:vAlign w:val="bottom"/>
            <w:hideMark/>
          </w:tcPr>
          <w:p w:rsidRPr="00FE051A" w:rsidR="00D20DE4" w:rsidP="009B774E" w:rsidRDefault="00D20DE4" w14:paraId="00BD2635" w14:textId="77777777">
            <w:pPr>
              <w:rPr>
                <w:rFonts w:asciiTheme="majorBidi" w:hAnsiTheme="majorBidi" w:cstheme="majorBidi"/>
                <w:sz w:val="22"/>
                <w:szCs w:val="22"/>
              </w:rPr>
            </w:pPr>
            <w:r w:rsidRPr="00FE051A">
              <w:rPr>
                <w:rFonts w:asciiTheme="majorBidi" w:hAnsiTheme="majorBidi" w:cstheme="majorBidi"/>
                <w:sz w:val="22"/>
                <w:szCs w:val="22"/>
              </w:rPr>
              <w:t>Clerical</w:t>
            </w:r>
          </w:p>
        </w:tc>
        <w:tc>
          <w:tcPr>
            <w:tcW w:w="1569" w:type="pct"/>
            <w:tcBorders>
              <w:top w:val="nil"/>
              <w:left w:val="nil"/>
              <w:bottom w:val="single" w:color="808080" w:sz="4" w:space="0"/>
              <w:right w:val="single" w:color="808080" w:sz="4" w:space="0"/>
            </w:tcBorders>
            <w:shd w:val="clear" w:color="auto" w:fill="auto"/>
            <w:noWrap/>
            <w:vAlign w:val="center"/>
            <w:hideMark/>
          </w:tcPr>
          <w:p w:rsidRPr="00FE051A" w:rsidR="00D20DE4" w:rsidP="009B774E" w:rsidRDefault="00D20DE4" w14:paraId="736F6C5C" w14:textId="3D962929">
            <w:pPr>
              <w:jc w:val="center"/>
              <w:rPr>
                <w:rFonts w:asciiTheme="majorBidi" w:hAnsiTheme="majorBidi" w:cstheme="majorBidi"/>
                <w:sz w:val="22"/>
                <w:szCs w:val="22"/>
              </w:rPr>
            </w:pPr>
            <w:r w:rsidRPr="00FE051A">
              <w:rPr>
                <w:sz w:val="22"/>
                <w:szCs w:val="22"/>
              </w:rPr>
              <w:t>480</w:t>
            </w:r>
          </w:p>
        </w:tc>
        <w:tc>
          <w:tcPr>
            <w:tcW w:w="1862" w:type="pct"/>
            <w:tcBorders>
              <w:top w:val="nil"/>
              <w:left w:val="nil"/>
              <w:bottom w:val="single" w:color="808080" w:sz="4" w:space="0"/>
              <w:right w:val="double" w:color="808080" w:sz="6" w:space="0"/>
            </w:tcBorders>
            <w:shd w:val="clear" w:color="auto" w:fill="auto"/>
            <w:noWrap/>
            <w:vAlign w:val="center"/>
            <w:hideMark/>
          </w:tcPr>
          <w:p w:rsidRPr="00FE051A" w:rsidR="00D20DE4" w:rsidP="009B774E" w:rsidRDefault="00D20DE4" w14:paraId="149CEC9A" w14:textId="44B5E635">
            <w:pPr>
              <w:jc w:val="center"/>
              <w:rPr>
                <w:rFonts w:asciiTheme="majorBidi" w:hAnsiTheme="majorBidi" w:cstheme="majorBidi"/>
                <w:sz w:val="22"/>
                <w:szCs w:val="22"/>
              </w:rPr>
            </w:pPr>
            <w:r w:rsidRPr="00FE051A">
              <w:rPr>
                <w:sz w:val="22"/>
                <w:szCs w:val="22"/>
              </w:rPr>
              <w:t>$22,937</w:t>
            </w:r>
          </w:p>
        </w:tc>
      </w:tr>
      <w:tr w:rsidRPr="00FE051A" w:rsidR="00D20DE4" w:rsidTr="00D20DE4" w14:paraId="4392C593" w14:textId="77777777">
        <w:trPr>
          <w:trHeight w:val="315"/>
        </w:trPr>
        <w:tc>
          <w:tcPr>
            <w:tcW w:w="1569" w:type="pct"/>
            <w:tcBorders>
              <w:top w:val="nil"/>
              <w:left w:val="double" w:color="808080" w:sz="6" w:space="0"/>
              <w:bottom w:val="double" w:color="808080" w:sz="6" w:space="0"/>
              <w:right w:val="single" w:color="808080" w:sz="4" w:space="0"/>
            </w:tcBorders>
            <w:shd w:val="clear" w:color="auto" w:fill="auto"/>
            <w:noWrap/>
            <w:vAlign w:val="bottom"/>
            <w:hideMark/>
          </w:tcPr>
          <w:p w:rsidRPr="00FE051A" w:rsidR="00D20DE4" w:rsidP="009B774E" w:rsidRDefault="00D20DE4" w14:paraId="66847BF8" w14:textId="77777777">
            <w:pPr>
              <w:rPr>
                <w:rFonts w:asciiTheme="majorBidi" w:hAnsiTheme="majorBidi" w:cstheme="majorBidi"/>
                <w:b/>
                <w:sz w:val="22"/>
                <w:szCs w:val="22"/>
              </w:rPr>
            </w:pPr>
            <w:r w:rsidRPr="00FE051A">
              <w:rPr>
                <w:rFonts w:asciiTheme="majorBidi" w:hAnsiTheme="majorBidi" w:cstheme="majorBidi"/>
                <w:b/>
                <w:sz w:val="22"/>
                <w:szCs w:val="22"/>
              </w:rPr>
              <w:t>Total</w:t>
            </w:r>
          </w:p>
        </w:tc>
        <w:tc>
          <w:tcPr>
            <w:tcW w:w="1569" w:type="pct"/>
            <w:tcBorders>
              <w:top w:val="nil"/>
              <w:left w:val="nil"/>
              <w:bottom w:val="double" w:color="808080" w:sz="6" w:space="0"/>
              <w:right w:val="single" w:color="808080" w:sz="4" w:space="0"/>
            </w:tcBorders>
            <w:shd w:val="clear" w:color="auto" w:fill="auto"/>
            <w:noWrap/>
            <w:vAlign w:val="center"/>
            <w:hideMark/>
          </w:tcPr>
          <w:p w:rsidRPr="00FE051A" w:rsidR="00D20DE4" w:rsidP="009B774E" w:rsidRDefault="00D20DE4" w14:paraId="0394D10F" w14:textId="114D50B4">
            <w:pPr>
              <w:jc w:val="center"/>
              <w:rPr>
                <w:rFonts w:asciiTheme="majorBidi" w:hAnsiTheme="majorBidi" w:cstheme="majorBidi"/>
                <w:b/>
                <w:sz w:val="22"/>
                <w:szCs w:val="22"/>
              </w:rPr>
            </w:pPr>
            <w:r w:rsidRPr="00FE051A">
              <w:rPr>
                <w:b/>
                <w:bCs/>
                <w:sz w:val="22"/>
                <w:szCs w:val="22"/>
              </w:rPr>
              <w:t>3,230</w:t>
            </w:r>
          </w:p>
        </w:tc>
        <w:tc>
          <w:tcPr>
            <w:tcW w:w="1862" w:type="pct"/>
            <w:tcBorders>
              <w:top w:val="nil"/>
              <w:left w:val="nil"/>
              <w:bottom w:val="double" w:color="808080" w:sz="6" w:space="0"/>
              <w:right w:val="double" w:color="808080" w:sz="6" w:space="0"/>
            </w:tcBorders>
            <w:shd w:val="clear" w:color="auto" w:fill="auto"/>
            <w:noWrap/>
            <w:vAlign w:val="center"/>
            <w:hideMark/>
          </w:tcPr>
          <w:p w:rsidRPr="00FE051A" w:rsidR="00D20DE4" w:rsidP="009B774E" w:rsidRDefault="00D20DE4" w14:paraId="7F24D881" w14:textId="5E1DCDE0">
            <w:pPr>
              <w:jc w:val="center"/>
              <w:rPr>
                <w:rFonts w:asciiTheme="majorBidi" w:hAnsiTheme="majorBidi" w:cstheme="majorBidi"/>
                <w:b/>
                <w:sz w:val="22"/>
                <w:szCs w:val="22"/>
              </w:rPr>
            </w:pPr>
            <w:r w:rsidRPr="00FE051A">
              <w:rPr>
                <w:b/>
                <w:bCs/>
                <w:sz w:val="22"/>
                <w:szCs w:val="22"/>
              </w:rPr>
              <w:t>$263,895</w:t>
            </w:r>
          </w:p>
        </w:tc>
      </w:tr>
    </w:tbl>
    <w:p w:rsidRPr="00FE051A" w:rsidR="008253DD" w:rsidP="009B774E" w:rsidRDefault="008253DD" w14:paraId="70B263DA" w14:textId="77777777">
      <w:pPr>
        <w:rPr>
          <w:rFonts w:asciiTheme="majorBidi" w:hAnsiTheme="majorBidi" w:cstheme="majorBidi"/>
          <w:b/>
          <w:sz w:val="2"/>
          <w:szCs w:val="2"/>
        </w:rPr>
      </w:pPr>
    </w:p>
    <w:tbl>
      <w:tblPr>
        <w:tblStyle w:val="TableGrid"/>
        <w:tblW w:w="0" w:type="auto"/>
        <w:tblLook w:val="04A0" w:firstRow="1" w:lastRow="0" w:firstColumn="1" w:lastColumn="0" w:noHBand="0" w:noVBand="1"/>
      </w:tblPr>
      <w:tblGrid>
        <w:gridCol w:w="7830"/>
      </w:tblGrid>
      <w:tr w:rsidRPr="00C270C5" w:rsidR="008253DD" w:rsidTr="00650B2D" w14:paraId="0ACD7FA0" w14:textId="77777777">
        <w:tc>
          <w:tcPr>
            <w:tcW w:w="7830" w:type="dxa"/>
            <w:tcBorders>
              <w:top w:val="nil"/>
              <w:left w:val="nil"/>
              <w:bottom w:val="single" w:color="808080" w:themeColor="background1" w:themeShade="80" w:sz="4" w:space="0"/>
              <w:right w:val="nil"/>
            </w:tcBorders>
          </w:tcPr>
          <w:p w:rsidR="005459DF" w:rsidP="009B774E" w:rsidRDefault="005459DF" w14:paraId="2ADA5910" w14:textId="77777777">
            <w:pPr>
              <w:rPr>
                <w:rFonts w:asciiTheme="majorBidi" w:hAnsiTheme="majorBidi" w:cstheme="majorBidi"/>
                <w:sz w:val="20"/>
              </w:rPr>
            </w:pPr>
            <w:r>
              <w:rPr>
                <w:rFonts w:asciiTheme="majorBidi" w:hAnsiTheme="majorBidi" w:cstheme="majorBidi"/>
                <w:sz w:val="20"/>
              </w:rPr>
              <w:t>*Numbers may not sum due to rounding.</w:t>
            </w:r>
          </w:p>
          <w:p w:rsidRPr="00FE051A" w:rsidR="008253DD" w:rsidP="009B774E" w:rsidRDefault="008253DD" w14:paraId="06AD9F08" w14:textId="77777777">
            <w:pPr>
              <w:rPr>
                <w:rFonts w:asciiTheme="majorBidi" w:hAnsiTheme="majorBidi" w:cstheme="majorBidi"/>
                <w:sz w:val="21"/>
                <w:szCs w:val="21"/>
              </w:rPr>
            </w:pPr>
            <w:r w:rsidRPr="00FE051A">
              <w:rPr>
                <w:rFonts w:asciiTheme="majorBidi" w:hAnsiTheme="majorBidi" w:cstheme="majorBidi"/>
                <w:sz w:val="21"/>
                <w:szCs w:val="21"/>
                <w:vertAlign w:val="superscript"/>
              </w:rPr>
              <w:t xml:space="preserve">1 </w:t>
            </w:r>
            <w:r w:rsidRPr="00FE051A">
              <w:rPr>
                <w:rFonts w:asciiTheme="majorBidi" w:hAnsiTheme="majorBidi" w:cstheme="majorBidi"/>
                <w:sz w:val="21"/>
                <w:szCs w:val="21"/>
              </w:rPr>
              <w:t>Hours and costs are calculated using the same method as Tables 3-B and 4-B.</w:t>
            </w:r>
          </w:p>
          <w:p w:rsidRPr="00C270C5" w:rsidR="008253DD" w:rsidP="009B774E" w:rsidRDefault="008253DD" w14:paraId="4DBA9AB2" w14:textId="77777777">
            <w:pPr>
              <w:rPr>
                <w:rFonts w:asciiTheme="majorBidi" w:hAnsiTheme="majorBidi" w:cstheme="majorBidi"/>
                <w:sz w:val="21"/>
                <w:szCs w:val="21"/>
              </w:rPr>
            </w:pPr>
            <w:r w:rsidRPr="00FE051A">
              <w:rPr>
                <w:rFonts w:asciiTheme="majorBidi" w:hAnsiTheme="majorBidi" w:cstheme="majorBidi"/>
                <w:sz w:val="21"/>
                <w:szCs w:val="21"/>
                <w:vertAlign w:val="superscript"/>
              </w:rPr>
              <w:t xml:space="preserve">2 </w:t>
            </w:r>
            <w:r w:rsidRPr="00FE051A">
              <w:rPr>
                <w:rFonts w:asciiTheme="majorBidi" w:hAnsiTheme="majorBidi" w:cstheme="majorBidi"/>
                <w:sz w:val="21"/>
                <w:szCs w:val="21"/>
              </w:rPr>
              <w:t>Hours and wages used to calculate the totals for each labor category are from Table 5-A.</w:t>
            </w:r>
          </w:p>
        </w:tc>
      </w:tr>
    </w:tbl>
    <w:p w:rsidR="009533FF" w:rsidP="009B774E" w:rsidRDefault="009533FF" w14:paraId="539F328F" w14:textId="23A81EE7">
      <w:pPr>
        <w:keepNext/>
        <w:rPr>
          <w:rFonts w:asciiTheme="majorBidi" w:hAnsiTheme="majorBidi" w:cstheme="majorBidi"/>
          <w:u w:val="single"/>
        </w:rPr>
      </w:pPr>
    </w:p>
    <w:p w:rsidR="006E0849" w:rsidP="009B774E" w:rsidRDefault="006E0849" w14:paraId="4A0FD869" w14:textId="77777777">
      <w:pPr>
        <w:rPr>
          <w:rFonts w:asciiTheme="majorBidi" w:hAnsiTheme="majorBidi" w:cstheme="majorBidi"/>
          <w:u w:val="single"/>
        </w:rPr>
      </w:pPr>
    </w:p>
    <w:p w:rsidRPr="00C270C5" w:rsidR="008253DD" w:rsidP="009B774E" w:rsidRDefault="008253DD" w14:paraId="29FA2162" w14:textId="7C043FC8">
      <w:pPr>
        <w:ind w:firstLine="720"/>
        <w:rPr>
          <w:rFonts w:asciiTheme="majorBidi" w:hAnsiTheme="majorBidi" w:cstheme="majorBidi"/>
          <w:b/>
        </w:rPr>
      </w:pPr>
      <w:r w:rsidRPr="00C270C5">
        <w:rPr>
          <w:rFonts w:asciiTheme="majorBidi" w:hAnsiTheme="majorBidi" w:cstheme="majorBidi"/>
          <w:b/>
        </w:rPr>
        <w:t>6(b)</w:t>
      </w:r>
      <w:r w:rsidRPr="00C270C5">
        <w:rPr>
          <w:rFonts w:asciiTheme="majorBidi" w:hAnsiTheme="majorBidi" w:cstheme="majorBidi"/>
          <w:b/>
        </w:rPr>
        <w:tab/>
        <w:t>Respondent Paperwork Burden Hours and Cost from Data Generation</w:t>
      </w:r>
    </w:p>
    <w:p w:rsidRPr="00C270C5" w:rsidR="008253DD" w:rsidP="009B774E" w:rsidRDefault="008253DD" w14:paraId="7BDF8311" w14:textId="77777777">
      <w:pPr>
        <w:keepNext/>
        <w:rPr>
          <w:rFonts w:asciiTheme="majorBidi" w:hAnsiTheme="majorBidi" w:cstheme="majorBidi"/>
        </w:rPr>
      </w:pPr>
    </w:p>
    <w:p w:rsidRPr="00C270C5" w:rsidR="008253DD" w:rsidP="009B774E" w:rsidRDefault="008253DD" w14:paraId="48B4148B" w14:textId="75056628">
      <w:pPr>
        <w:pStyle w:val="BodyTextFirstIndent"/>
        <w:spacing w:after="0"/>
        <w:ind w:firstLine="720"/>
        <w:rPr>
          <w:rFonts w:asciiTheme="majorBidi" w:hAnsiTheme="majorBidi" w:cstheme="majorBidi"/>
          <w:szCs w:val="24"/>
          <w:lang w:bidi="en-US"/>
        </w:rPr>
      </w:pPr>
      <w:r w:rsidRPr="00C270C5">
        <w:rPr>
          <w:rFonts w:asciiTheme="majorBidi" w:hAnsiTheme="majorBidi" w:cstheme="majorBidi"/>
          <w:szCs w:val="24"/>
        </w:rPr>
        <w:t>To calculate the burden and costs associated with the paperwork activities involved in data generation, the Agency starts with the cost of the test, typically the market price for the test as identified by laboratories that offer testing services.</w:t>
      </w:r>
      <w:r w:rsidRPr="00C270C5" w:rsidR="007841AD">
        <w:rPr>
          <w:rFonts w:asciiTheme="majorBidi" w:hAnsiTheme="majorBidi" w:cstheme="majorBidi"/>
          <w:szCs w:val="24"/>
        </w:rPr>
        <w:t xml:space="preserve"> </w:t>
      </w:r>
      <w:r w:rsidRPr="00C270C5">
        <w:rPr>
          <w:rFonts w:asciiTheme="majorBidi" w:hAnsiTheme="majorBidi" w:cstheme="majorBidi"/>
          <w:szCs w:val="24"/>
        </w:rPr>
        <w:t>T</w:t>
      </w:r>
      <w:r w:rsidRPr="00C270C5">
        <w:rPr>
          <w:rFonts w:asciiTheme="majorBidi" w:hAnsiTheme="majorBidi" w:cstheme="majorBidi"/>
          <w:szCs w:val="24"/>
          <w:lang w:bidi="en-US"/>
        </w:rPr>
        <w:t>he Agency maintains an archive of the basic FIFRA study cost estimates that were developed through surveys of independent testing laboratories, Agency economic analyses, and registrant comments during ICR renewal periods. To the greatest extent possible, EPA uses multiple sources to provide test cost estimates, which are updated as needed.</w:t>
      </w:r>
    </w:p>
    <w:p w:rsidRPr="00C270C5" w:rsidR="008253DD" w:rsidP="009B774E" w:rsidRDefault="008253DD" w14:paraId="3F84EB98" w14:textId="77777777">
      <w:pPr>
        <w:pStyle w:val="BodyTextFirstIndent"/>
        <w:spacing w:after="0"/>
        <w:ind w:firstLine="720"/>
        <w:rPr>
          <w:rFonts w:asciiTheme="majorBidi" w:hAnsiTheme="majorBidi" w:cstheme="majorBidi"/>
          <w:szCs w:val="24"/>
          <w:lang w:bidi="en-US"/>
        </w:rPr>
      </w:pPr>
    </w:p>
    <w:p w:rsidRPr="00C270C5" w:rsidR="008253DD" w:rsidP="009B774E" w:rsidRDefault="008253DD" w14:paraId="694EEA8D" w14:textId="3923677F">
      <w:pPr>
        <w:pStyle w:val="BodyTextFirstIndent"/>
        <w:spacing w:after="0"/>
        <w:ind w:firstLine="720"/>
        <w:rPr>
          <w:rFonts w:asciiTheme="majorBidi" w:hAnsiTheme="majorBidi" w:cstheme="majorBidi"/>
          <w:szCs w:val="24"/>
        </w:rPr>
      </w:pPr>
      <w:r w:rsidRPr="00C270C5">
        <w:rPr>
          <w:rFonts w:asciiTheme="majorBidi" w:hAnsiTheme="majorBidi" w:cstheme="majorBidi"/>
          <w:szCs w:val="24"/>
        </w:rPr>
        <w:t xml:space="preserve">EPA uses 35% of the estimated total test cost to calculate the total potential cost for the </w:t>
      </w:r>
      <w:r w:rsidRPr="00C270C5">
        <w:rPr>
          <w:rFonts w:asciiTheme="majorBidi" w:hAnsiTheme="majorBidi" w:cstheme="majorBidi"/>
          <w:szCs w:val="24"/>
        </w:rPr>
        <w:lastRenderedPageBreak/>
        <w:t>paperwork activities related to data generation.</w:t>
      </w:r>
      <w:r w:rsidRPr="00C270C5" w:rsidR="007841AD">
        <w:rPr>
          <w:rFonts w:asciiTheme="majorBidi" w:hAnsiTheme="majorBidi" w:cstheme="majorBidi"/>
          <w:szCs w:val="24"/>
        </w:rPr>
        <w:t xml:space="preserve"> </w:t>
      </w:r>
      <w:r w:rsidRPr="00C270C5">
        <w:rPr>
          <w:rFonts w:asciiTheme="majorBidi" w:hAnsiTheme="majorBidi" w:cstheme="majorBidi"/>
          <w:szCs w:val="24"/>
        </w:rPr>
        <w:t>The 35% of test cost is disaggregated by labor category, and then burden hours are extrapolated by using the loaded labor rates.</w:t>
      </w:r>
      <w:r w:rsidRPr="00C270C5" w:rsidR="007841AD">
        <w:rPr>
          <w:rFonts w:asciiTheme="majorBidi" w:hAnsiTheme="majorBidi" w:cstheme="majorBidi"/>
          <w:szCs w:val="24"/>
        </w:rPr>
        <w:t xml:space="preserve"> </w:t>
      </w:r>
      <w:r w:rsidRPr="00C270C5">
        <w:rPr>
          <w:rFonts w:asciiTheme="majorBidi" w:hAnsiTheme="majorBidi" w:cstheme="majorBidi"/>
          <w:szCs w:val="24"/>
        </w:rPr>
        <w:t>To disaggregate by labor category, the Agency considered the estimated distribution of paperwork activity across the labor categories represented and the existing methodology assumption that paperwork activities for data generation mostly involve the technical staff to perform the tests, with fewer activities related to management and clerical staff.</w:t>
      </w:r>
    </w:p>
    <w:p w:rsidRPr="00C270C5" w:rsidR="00062CB6" w:rsidP="009B774E" w:rsidRDefault="00062CB6" w14:paraId="38AAB63A" w14:textId="77777777">
      <w:pPr>
        <w:pStyle w:val="BodyTextFirstIndent"/>
        <w:spacing w:after="0"/>
        <w:ind w:firstLine="0"/>
        <w:rPr>
          <w:rFonts w:asciiTheme="majorBidi" w:hAnsiTheme="majorBidi" w:cstheme="majorBidi"/>
          <w:szCs w:val="24"/>
        </w:rPr>
      </w:pPr>
    </w:p>
    <w:p w:rsidRPr="00C270C5" w:rsidR="008253DD" w:rsidP="009B774E" w:rsidRDefault="008253DD" w14:paraId="2A9309B3" w14:textId="5C0E3865">
      <w:pPr>
        <w:pStyle w:val="BodyTextFirstIndent"/>
        <w:ind w:firstLine="720"/>
        <w:rPr>
          <w:rFonts w:asciiTheme="majorBidi" w:hAnsiTheme="majorBidi" w:cstheme="majorBidi"/>
          <w:szCs w:val="24"/>
        </w:rPr>
      </w:pPr>
      <w:r w:rsidRPr="00C270C5">
        <w:rPr>
          <w:rFonts w:asciiTheme="majorBidi" w:hAnsiTheme="majorBidi" w:cstheme="majorBidi"/>
          <w:b/>
          <w:szCs w:val="24"/>
        </w:rPr>
        <w:t>Figure 1</w:t>
      </w:r>
      <w:r w:rsidRPr="00C270C5">
        <w:rPr>
          <w:rFonts w:asciiTheme="majorBidi" w:hAnsiTheme="majorBidi" w:cstheme="majorBidi"/>
          <w:szCs w:val="24"/>
        </w:rPr>
        <w:t xml:space="preserve"> illustrates the method for calculating the paperwork burden of data generation.</w:t>
      </w:r>
      <w:r w:rsidRPr="00C270C5" w:rsidR="007841AD">
        <w:rPr>
          <w:rFonts w:asciiTheme="majorBidi" w:hAnsiTheme="majorBidi" w:cstheme="majorBidi"/>
          <w:szCs w:val="24"/>
        </w:rPr>
        <w:t xml:space="preserve"> </w:t>
      </w:r>
    </w:p>
    <w:p w:rsidRPr="00C270C5" w:rsidR="008253DD" w:rsidP="009B774E" w:rsidRDefault="008253DD" w14:paraId="65E7F10A" w14:textId="522FA28D">
      <w:pPr>
        <w:pStyle w:val="BodyTextFirstIndent"/>
        <w:ind w:left="-360"/>
        <w:rPr>
          <w:rFonts w:asciiTheme="majorBidi" w:hAnsiTheme="majorBidi" w:cstheme="majorBidi"/>
          <w:szCs w:val="24"/>
        </w:rPr>
      </w:pPr>
      <w:r w:rsidRPr="00C270C5">
        <w:rPr>
          <w:rFonts w:asciiTheme="majorBidi" w:hAnsiTheme="majorBidi" w:cstheme="majorBidi"/>
          <w:noProof/>
          <w:szCs w:val="24"/>
        </w:rPr>
        <mc:AlternateContent>
          <mc:Choice Requires="wpg">
            <w:drawing>
              <wp:inline distT="0" distB="0" distL="0" distR="0" wp14:anchorId="2E208A21" wp14:editId="315FD810">
                <wp:extent cx="6200775" cy="1336040"/>
                <wp:effectExtent l="0" t="0" r="0" b="0"/>
                <wp:docPr id="19" name="Group 1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200775" cy="1336040"/>
                          <a:chOff x="2829" y="5427"/>
                          <a:chExt cx="7662" cy="1238"/>
                        </a:xfrm>
                      </wpg:grpSpPr>
                      <wps:wsp>
                        <wps:cNvPr id="20" name="AutoShape 10"/>
                        <wps:cNvSpPr>
                          <a:spLocks noChangeAspect="1" noChangeArrowheads="1" noTextEdit="1"/>
                        </wps:cNvSpPr>
                        <wps:spPr bwMode="auto">
                          <a:xfrm>
                            <a:off x="2829" y="5427"/>
                            <a:ext cx="7662" cy="1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AutoShape 11"/>
                        <wps:cNvSpPr>
                          <a:spLocks noChangeArrowheads="1"/>
                        </wps:cNvSpPr>
                        <wps:spPr bwMode="auto">
                          <a:xfrm>
                            <a:off x="3106" y="5708"/>
                            <a:ext cx="1477" cy="752"/>
                          </a:xfrm>
                          <a:prstGeom prst="rightArrowCallout">
                            <a:avLst>
                              <a:gd name="adj1" fmla="val 25000"/>
                              <a:gd name="adj2" fmla="val 25000"/>
                              <a:gd name="adj3" fmla="val 32735"/>
                              <a:gd name="adj4" fmla="val 66667"/>
                            </a:avLst>
                          </a:prstGeom>
                          <a:solidFill>
                            <a:srgbClr val="FFFFFF"/>
                          </a:solidFill>
                          <a:ln w="9525">
                            <a:solidFill>
                              <a:srgbClr val="000000"/>
                            </a:solidFill>
                            <a:miter lim="800000"/>
                            <a:headEnd/>
                            <a:tailEnd/>
                          </a:ln>
                        </wps:spPr>
                        <wps:txbx>
                          <w:txbxContent>
                            <w:p w:rsidRPr="001B7121" w:rsidR="00910D48" w:rsidP="008253DD" w:rsidRDefault="00910D48" w14:paraId="0115BDC3" w14:textId="77777777">
                              <w:pPr>
                                <w:jc w:val="center"/>
                                <w:rPr>
                                  <w:sz w:val="20"/>
                                  <w:szCs w:val="20"/>
                                </w:rPr>
                              </w:pPr>
                              <w:r>
                                <w:rPr>
                                  <w:sz w:val="20"/>
                                  <w:szCs w:val="20"/>
                                </w:rPr>
                                <w:t xml:space="preserve">Calculate </w:t>
                              </w:r>
                              <w:r w:rsidRPr="001B7121">
                                <w:rPr>
                                  <w:sz w:val="20"/>
                                  <w:szCs w:val="20"/>
                                </w:rPr>
                                <w:t>35% of the</w:t>
                              </w:r>
                              <w:r>
                                <w:rPr>
                                  <w:sz w:val="20"/>
                                  <w:szCs w:val="20"/>
                                </w:rPr>
                                <w:t xml:space="preserve"> Total</w:t>
                              </w:r>
                              <w:r w:rsidRPr="001B7121">
                                <w:rPr>
                                  <w:sz w:val="20"/>
                                  <w:szCs w:val="20"/>
                                </w:rPr>
                                <w:t xml:space="preserve"> Cost</w:t>
                              </w:r>
                              <w:r>
                                <w:rPr>
                                  <w:sz w:val="20"/>
                                  <w:szCs w:val="20"/>
                                </w:rPr>
                                <w:t xml:space="preserve"> of Data Generation</w:t>
                              </w:r>
                            </w:p>
                          </w:txbxContent>
                        </wps:txbx>
                        <wps:bodyPr rot="0" vert="horz" wrap="square" lIns="91440" tIns="45720" rIns="91440" bIns="45720" anchor="t" anchorCtr="0" upright="1">
                          <a:noAutofit/>
                        </wps:bodyPr>
                      </wps:wsp>
                      <wps:wsp>
                        <wps:cNvPr id="22" name="AutoShape 12"/>
                        <wps:cNvSpPr>
                          <a:spLocks noChangeArrowheads="1"/>
                        </wps:cNvSpPr>
                        <wps:spPr bwMode="auto">
                          <a:xfrm>
                            <a:off x="4675" y="5614"/>
                            <a:ext cx="2320" cy="941"/>
                          </a:xfrm>
                          <a:prstGeom prst="rightArrowCallout">
                            <a:avLst>
                              <a:gd name="adj1" fmla="val 25000"/>
                              <a:gd name="adj2" fmla="val 25000"/>
                              <a:gd name="adj3" fmla="val 44137"/>
                              <a:gd name="adj4" fmla="val 66667"/>
                            </a:avLst>
                          </a:prstGeom>
                          <a:solidFill>
                            <a:srgbClr val="FFFFFF"/>
                          </a:solidFill>
                          <a:ln w="9525">
                            <a:solidFill>
                              <a:srgbClr val="000000"/>
                            </a:solidFill>
                            <a:miter lim="800000"/>
                            <a:headEnd/>
                            <a:tailEnd/>
                          </a:ln>
                        </wps:spPr>
                        <wps:txbx>
                          <w:txbxContent>
                            <w:p w:rsidRPr="001B7121" w:rsidR="00910D48" w:rsidP="008253DD" w:rsidRDefault="00910D48" w14:paraId="1E4BFB34" w14:textId="77777777">
                              <w:pPr>
                                <w:rPr>
                                  <w:sz w:val="20"/>
                                  <w:szCs w:val="20"/>
                                </w:rPr>
                              </w:pPr>
                              <w:r w:rsidRPr="001B7121">
                                <w:rPr>
                                  <w:sz w:val="20"/>
                                  <w:szCs w:val="20"/>
                                </w:rPr>
                                <w:t xml:space="preserve">Divide 35% </w:t>
                              </w:r>
                              <w:r>
                                <w:rPr>
                                  <w:sz w:val="20"/>
                                  <w:szCs w:val="20"/>
                                </w:rPr>
                                <w:t>of the Total C</w:t>
                              </w:r>
                              <w:r w:rsidRPr="001B7121">
                                <w:rPr>
                                  <w:sz w:val="20"/>
                                  <w:szCs w:val="20"/>
                                </w:rPr>
                                <w:t>ost into</w:t>
                              </w:r>
                              <w:r>
                                <w:rPr>
                                  <w:sz w:val="20"/>
                                  <w:szCs w:val="20"/>
                                </w:rPr>
                                <w:t xml:space="preserve"> Labor Categories</w:t>
                              </w:r>
                              <w:r w:rsidRPr="001B7121">
                                <w:rPr>
                                  <w:sz w:val="20"/>
                                  <w:szCs w:val="20"/>
                                </w:rPr>
                                <w:t>:</w:t>
                              </w:r>
                              <w:r w:rsidRPr="001B7121">
                                <w:rPr>
                                  <w:sz w:val="20"/>
                                  <w:szCs w:val="20"/>
                                </w:rPr>
                                <w:br/>
                                <w:t xml:space="preserve">20% for Managerial </w:t>
                              </w:r>
                              <w:r w:rsidRPr="001B7121">
                                <w:rPr>
                                  <w:sz w:val="20"/>
                                  <w:szCs w:val="20"/>
                                </w:rPr>
                                <w:br/>
                              </w:r>
                              <w:r w:rsidRPr="00047092">
                                <w:rPr>
                                  <w:sz w:val="18"/>
                                  <w:szCs w:val="20"/>
                                </w:rPr>
                                <w:t>65% for Technical</w:t>
                              </w:r>
                              <w:r w:rsidRPr="00047092">
                                <w:rPr>
                                  <w:sz w:val="18"/>
                                  <w:szCs w:val="20"/>
                                </w:rPr>
                                <w:br/>
                              </w:r>
                              <w:r w:rsidRPr="001B7121">
                                <w:rPr>
                                  <w:sz w:val="20"/>
                                  <w:szCs w:val="20"/>
                                </w:rPr>
                                <w:t>15% for Clerical</w:t>
                              </w:r>
                            </w:p>
                          </w:txbxContent>
                        </wps:txbx>
                        <wps:bodyPr rot="0" vert="horz" wrap="square" lIns="91440" tIns="45720" rIns="91440" bIns="45720" anchor="t" anchorCtr="0" upright="1">
                          <a:noAutofit/>
                        </wps:bodyPr>
                      </wps:wsp>
                      <wps:wsp>
                        <wps:cNvPr id="23" name="AutoShape 13"/>
                        <wps:cNvSpPr>
                          <a:spLocks noChangeArrowheads="1"/>
                        </wps:cNvSpPr>
                        <wps:spPr bwMode="auto">
                          <a:xfrm>
                            <a:off x="7054" y="5614"/>
                            <a:ext cx="2310" cy="941"/>
                          </a:xfrm>
                          <a:prstGeom prst="rightArrowCallout">
                            <a:avLst>
                              <a:gd name="adj1" fmla="val 25000"/>
                              <a:gd name="adj2" fmla="val 25000"/>
                              <a:gd name="adj3" fmla="val 34555"/>
                              <a:gd name="adj4" fmla="val 66667"/>
                            </a:avLst>
                          </a:prstGeom>
                          <a:solidFill>
                            <a:srgbClr val="FFFFFF"/>
                          </a:solidFill>
                          <a:ln w="9525">
                            <a:solidFill>
                              <a:srgbClr val="000000"/>
                            </a:solidFill>
                            <a:miter lim="800000"/>
                            <a:headEnd/>
                            <a:tailEnd/>
                          </a:ln>
                        </wps:spPr>
                        <wps:txbx>
                          <w:txbxContent>
                            <w:p w:rsidRPr="001B7121" w:rsidR="00910D48" w:rsidP="008253DD" w:rsidRDefault="00910D48" w14:paraId="22E46493" w14:textId="77777777">
                              <w:pPr>
                                <w:rPr>
                                  <w:sz w:val="20"/>
                                  <w:szCs w:val="20"/>
                                </w:rPr>
                              </w:pPr>
                              <w:r w:rsidRPr="001B7121">
                                <w:rPr>
                                  <w:sz w:val="20"/>
                                  <w:szCs w:val="20"/>
                                </w:rPr>
                                <w:t xml:space="preserve">Divide </w:t>
                              </w:r>
                              <w:r>
                                <w:rPr>
                                  <w:sz w:val="20"/>
                                  <w:szCs w:val="20"/>
                                </w:rPr>
                                <w:t xml:space="preserve">cost for </w:t>
                              </w:r>
                              <w:r w:rsidRPr="001B7121">
                                <w:rPr>
                                  <w:sz w:val="20"/>
                                  <w:szCs w:val="20"/>
                                </w:rPr>
                                <w:t xml:space="preserve">each </w:t>
                              </w:r>
                              <w:r>
                                <w:rPr>
                                  <w:sz w:val="20"/>
                                  <w:szCs w:val="20"/>
                                </w:rPr>
                                <w:t xml:space="preserve">category </w:t>
                              </w:r>
                              <w:r w:rsidRPr="001B7121">
                                <w:rPr>
                                  <w:sz w:val="20"/>
                                  <w:szCs w:val="20"/>
                                </w:rPr>
                                <w:t xml:space="preserve">by </w:t>
                              </w:r>
                              <w:r>
                                <w:rPr>
                                  <w:sz w:val="20"/>
                                  <w:szCs w:val="20"/>
                                </w:rPr>
                                <w:t xml:space="preserve">Fully </w:t>
                              </w:r>
                              <w:r w:rsidRPr="001B7121">
                                <w:rPr>
                                  <w:sz w:val="20"/>
                                  <w:szCs w:val="20"/>
                                </w:rPr>
                                <w:t xml:space="preserve">Loaded Labor </w:t>
                              </w:r>
                              <w:r>
                                <w:rPr>
                                  <w:sz w:val="20"/>
                                  <w:szCs w:val="20"/>
                                </w:rPr>
                                <w:t>Wage R</w:t>
                              </w:r>
                              <w:r w:rsidRPr="001B7121">
                                <w:rPr>
                                  <w:sz w:val="20"/>
                                  <w:szCs w:val="20"/>
                                </w:rPr>
                                <w:t xml:space="preserve">ate for that </w:t>
                              </w:r>
                              <w:r>
                                <w:rPr>
                                  <w:sz w:val="20"/>
                                  <w:szCs w:val="20"/>
                                </w:rPr>
                                <w:t xml:space="preserve">Labor </w:t>
                              </w:r>
                              <w:r w:rsidRPr="001B7121">
                                <w:rPr>
                                  <w:sz w:val="20"/>
                                  <w:szCs w:val="20"/>
                                </w:rPr>
                                <w:t>Category</w:t>
                              </w:r>
                            </w:p>
                          </w:txbxContent>
                        </wps:txbx>
                        <wps:bodyPr rot="0" vert="horz" wrap="square" lIns="91440" tIns="45720" rIns="91440" bIns="45720" anchor="t" anchorCtr="0" upright="1">
                          <a:noAutofit/>
                        </wps:bodyPr>
                      </wps:wsp>
                      <wps:wsp>
                        <wps:cNvPr id="24" name="Text Box 14"/>
                        <wps:cNvSpPr txBox="1">
                          <a:spLocks noChangeArrowheads="1"/>
                        </wps:cNvSpPr>
                        <wps:spPr bwMode="auto">
                          <a:xfrm>
                            <a:off x="9435" y="5756"/>
                            <a:ext cx="922" cy="704"/>
                          </a:xfrm>
                          <a:prstGeom prst="rect">
                            <a:avLst/>
                          </a:prstGeom>
                          <a:solidFill>
                            <a:srgbClr val="FFFFFF"/>
                          </a:solidFill>
                          <a:ln w="9525">
                            <a:solidFill>
                              <a:srgbClr val="000000"/>
                            </a:solidFill>
                            <a:miter lim="800000"/>
                            <a:headEnd/>
                            <a:tailEnd/>
                          </a:ln>
                        </wps:spPr>
                        <wps:txbx>
                          <w:txbxContent>
                            <w:p w:rsidRPr="001B7121" w:rsidR="00910D48" w:rsidP="008253DD" w:rsidRDefault="00910D48" w14:paraId="3E26F88E" w14:textId="77777777">
                              <w:pPr>
                                <w:jc w:val="center"/>
                                <w:rPr>
                                  <w:sz w:val="20"/>
                                  <w:szCs w:val="20"/>
                                </w:rPr>
                              </w:pPr>
                              <w:r w:rsidRPr="001B7121">
                                <w:rPr>
                                  <w:sz w:val="20"/>
                                  <w:szCs w:val="20"/>
                                </w:rPr>
                                <w:t xml:space="preserve">Burden Hours by </w:t>
                              </w:r>
                              <w:r>
                                <w:rPr>
                                  <w:sz w:val="20"/>
                                  <w:szCs w:val="20"/>
                                </w:rPr>
                                <w:t xml:space="preserve">Labor </w:t>
                              </w:r>
                              <w:r w:rsidRPr="001B7121">
                                <w:rPr>
                                  <w:sz w:val="20"/>
                                  <w:szCs w:val="20"/>
                                </w:rPr>
                                <w:t>Category</w:t>
                              </w:r>
                            </w:p>
                          </w:txbxContent>
                        </wps:txbx>
                        <wps:bodyPr rot="0" vert="horz" wrap="square" lIns="91440" tIns="45720" rIns="91440" bIns="45720" anchor="t" anchorCtr="0" upright="1">
                          <a:noAutofit/>
                        </wps:bodyPr>
                      </wps:wsp>
                    </wpg:wgp>
                  </a:graphicData>
                </a:graphic>
              </wp:inline>
            </w:drawing>
          </mc:Choice>
          <mc:Fallback xmlns:a14="http://schemas.microsoft.com/office/drawing/2010/main" xmlns:a="http://schemas.openxmlformats.org/drawingml/2006/main">
            <w:pict>
              <v:group id="Group 19" style="width:488.25pt;height:105.2pt;mso-position-horizontal-relative:char;mso-position-vertical-relative:line" coordsize="7662,1238" coordorigin="2829,5427" o:spid="_x0000_s1026" w14:anchorId="2E208A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">
                <o:lock v:ext="edit" aspectratio="t"/>
                <v:rect id="AutoShape 10" style="position:absolute;left:2829;top:5427;width:7662;height:1238;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">
                  <o:lock v:ext="edit" text="t" aspectratio="t"/>
                </v:rect>
                <v:shapetype id="_x0000_t78" coordsize="21600,21600" o:spt="78" adj="14400,5400,18000,8100" path="m,l,21600@0,21600@0@5@2@5@2@4,21600,10800@2@1@2@3@0@3@0,xe">
                  <v:stroke joinstyle="miter"/>
                  <v:formulas>
                    <v:f eqn="val #0"/>
                    <v:f eqn="val #1"/>
                    <v:f eqn="val #2"/>
                    <v:f eqn="val #3"/>
                    <v:f eqn="sum 21600 0 #1"/>
                    <v:f eqn="sum 21600 0 #3"/>
                    <v:f eqn="prod #0 1 2"/>
                  </v:formulas>
                  <v:path textboxrect="0,0,@0,21600" o:connecttype="custom" o:connectlocs="@6,0;0,10800;@6,21600;21600,10800" o:connectangles="270,180,90,0"/>
                  <v:handles>
                    <v:h position="#0,topLeft" xrange="0,@2"/>
                    <v:h position="bottomRight,#1" yrange="0,@3"/>
                    <v:h position="#2,#3" xrange="@0,21600" yrange="@1,10800"/>
                  </v:handles>
                </v:shapetype>
                <v:shape id="AutoShape 11" style="position:absolute;left:3106;top:5708;width:1477;height:752;visibility:visible;mso-wrap-style:square;v-text-anchor:top" o:spid="_x0000_s1028" type="#_x0000_t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">
                  <v:textbox>
                    <w:txbxContent>
                      <w:p w:rsidRPr="001B7121" w:rsidR="00910D48" w:rsidP="008253DD" w:rsidRDefault="00910D48" w14:paraId="0115BDC3" w14:textId="77777777">
                        <w:pPr>
                          <w:jc w:val="center"/>
                          <w:rPr>
                            <w:sz w:val="20"/>
                            <w:szCs w:val="20"/>
                          </w:rPr>
                        </w:pPr>
                        <w:r>
                          <w:rPr>
                            <w:sz w:val="20"/>
                            <w:szCs w:val="20"/>
                          </w:rPr>
                          <w:t xml:space="preserve">Calculate </w:t>
                        </w:r>
                        <w:r w:rsidRPr="001B7121">
                          <w:rPr>
                            <w:sz w:val="20"/>
                            <w:szCs w:val="20"/>
                          </w:rPr>
                          <w:t>35% of the</w:t>
                        </w:r>
                        <w:r>
                          <w:rPr>
                            <w:sz w:val="20"/>
                            <w:szCs w:val="20"/>
                          </w:rPr>
                          <w:t xml:space="preserve"> Total</w:t>
                        </w:r>
                        <w:r w:rsidRPr="001B7121">
                          <w:rPr>
                            <w:sz w:val="20"/>
                            <w:szCs w:val="20"/>
                          </w:rPr>
                          <w:t xml:space="preserve"> Cost</w:t>
                        </w:r>
                        <w:r>
                          <w:rPr>
                            <w:sz w:val="20"/>
                            <w:szCs w:val="20"/>
                          </w:rPr>
                          <w:t xml:space="preserve"> of Data Generation</w:t>
                        </w:r>
                      </w:p>
                    </w:txbxContent>
                  </v:textbox>
                </v:shape>
                <v:shape id="AutoShape 12" style="position:absolute;left:4675;top:5614;width:2320;height:941;visibility:visible;mso-wrap-style:square;v-text-anchor:top" o:spid="_x0000_s1029" type="#_x0000_t78" adj=",,17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">
                  <v:textbox>
                    <w:txbxContent>
                      <w:p w:rsidRPr="001B7121" w:rsidR="00910D48" w:rsidP="008253DD" w:rsidRDefault="00910D48" w14:paraId="1E4BFB34" w14:textId="77777777">
                        <w:pPr>
                          <w:rPr>
                            <w:sz w:val="20"/>
                            <w:szCs w:val="20"/>
                          </w:rPr>
                        </w:pPr>
                        <w:r w:rsidRPr="001B7121">
                          <w:rPr>
                            <w:sz w:val="20"/>
                            <w:szCs w:val="20"/>
                          </w:rPr>
                          <w:t xml:space="preserve">Divide 35% </w:t>
                        </w:r>
                        <w:r>
                          <w:rPr>
                            <w:sz w:val="20"/>
                            <w:szCs w:val="20"/>
                          </w:rPr>
                          <w:t>of the Total C</w:t>
                        </w:r>
                        <w:r w:rsidRPr="001B7121">
                          <w:rPr>
                            <w:sz w:val="20"/>
                            <w:szCs w:val="20"/>
                          </w:rPr>
                          <w:t>ost into</w:t>
                        </w:r>
                        <w:r>
                          <w:rPr>
                            <w:sz w:val="20"/>
                            <w:szCs w:val="20"/>
                          </w:rPr>
                          <w:t xml:space="preserve"> Labor Categories</w:t>
                        </w:r>
                        <w:r w:rsidRPr="001B7121">
                          <w:rPr>
                            <w:sz w:val="20"/>
                            <w:szCs w:val="20"/>
                          </w:rPr>
                          <w:t>:</w:t>
                        </w:r>
                        <w:r w:rsidRPr="001B7121">
                          <w:rPr>
                            <w:sz w:val="20"/>
                            <w:szCs w:val="20"/>
                          </w:rPr>
                          <w:br/>
                          <w:t xml:space="preserve">20% for Managerial </w:t>
                        </w:r>
                        <w:r w:rsidRPr="001B7121">
                          <w:rPr>
                            <w:sz w:val="20"/>
                            <w:szCs w:val="20"/>
                          </w:rPr>
                          <w:br/>
                        </w:r>
                        <w:r w:rsidRPr="00047092">
                          <w:rPr>
                            <w:sz w:val="18"/>
                            <w:szCs w:val="20"/>
                          </w:rPr>
                          <w:t>65% for Technical</w:t>
                        </w:r>
                        <w:r w:rsidRPr="00047092">
                          <w:rPr>
                            <w:sz w:val="18"/>
                            <w:szCs w:val="20"/>
                          </w:rPr>
                          <w:br/>
                        </w:r>
                        <w:r w:rsidRPr="001B7121">
                          <w:rPr>
                            <w:sz w:val="20"/>
                            <w:szCs w:val="20"/>
                          </w:rPr>
                          <w:t>15% for Clerical</w:t>
                        </w:r>
                      </w:p>
                    </w:txbxContent>
                  </v:textbox>
                </v:shape>
                <v:shape id="AutoShape 13" style="position:absolute;left:7054;top:5614;width:2310;height:941;visibility:visible;mso-wrap-style:square;v-text-anchor:top" o:spid="_x0000_s1030" type="#_x0000_t78" adj=",,1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">
                  <v:textbox>
                    <w:txbxContent>
                      <w:p w:rsidRPr="001B7121" w:rsidR="00910D48" w:rsidP="008253DD" w:rsidRDefault="00910D48" w14:paraId="22E46493" w14:textId="77777777">
                        <w:pPr>
                          <w:rPr>
                            <w:sz w:val="20"/>
                            <w:szCs w:val="20"/>
                          </w:rPr>
                        </w:pPr>
                        <w:r w:rsidRPr="001B7121">
                          <w:rPr>
                            <w:sz w:val="20"/>
                            <w:szCs w:val="20"/>
                          </w:rPr>
                          <w:t xml:space="preserve">Divide </w:t>
                        </w:r>
                        <w:r>
                          <w:rPr>
                            <w:sz w:val="20"/>
                            <w:szCs w:val="20"/>
                          </w:rPr>
                          <w:t xml:space="preserve">cost for </w:t>
                        </w:r>
                        <w:r w:rsidRPr="001B7121">
                          <w:rPr>
                            <w:sz w:val="20"/>
                            <w:szCs w:val="20"/>
                          </w:rPr>
                          <w:t xml:space="preserve">each </w:t>
                        </w:r>
                        <w:r>
                          <w:rPr>
                            <w:sz w:val="20"/>
                            <w:szCs w:val="20"/>
                          </w:rPr>
                          <w:t xml:space="preserve">category </w:t>
                        </w:r>
                        <w:r w:rsidRPr="001B7121">
                          <w:rPr>
                            <w:sz w:val="20"/>
                            <w:szCs w:val="20"/>
                          </w:rPr>
                          <w:t xml:space="preserve">by </w:t>
                        </w:r>
                        <w:r>
                          <w:rPr>
                            <w:sz w:val="20"/>
                            <w:szCs w:val="20"/>
                          </w:rPr>
                          <w:t xml:space="preserve">Fully </w:t>
                        </w:r>
                        <w:r w:rsidRPr="001B7121">
                          <w:rPr>
                            <w:sz w:val="20"/>
                            <w:szCs w:val="20"/>
                          </w:rPr>
                          <w:t xml:space="preserve">Loaded Labor </w:t>
                        </w:r>
                        <w:r>
                          <w:rPr>
                            <w:sz w:val="20"/>
                            <w:szCs w:val="20"/>
                          </w:rPr>
                          <w:t>Wage R</w:t>
                        </w:r>
                        <w:r w:rsidRPr="001B7121">
                          <w:rPr>
                            <w:sz w:val="20"/>
                            <w:szCs w:val="20"/>
                          </w:rPr>
                          <w:t xml:space="preserve">ate for that </w:t>
                        </w:r>
                        <w:r>
                          <w:rPr>
                            <w:sz w:val="20"/>
                            <w:szCs w:val="20"/>
                          </w:rPr>
                          <w:t xml:space="preserve">Labor </w:t>
                        </w:r>
                        <w:r w:rsidRPr="001B7121">
                          <w:rPr>
                            <w:sz w:val="20"/>
                            <w:szCs w:val="20"/>
                          </w:rPr>
                          <w:t>Category</w:t>
                        </w:r>
                      </w:p>
                    </w:txbxContent>
                  </v:textbox>
                </v:shape>
                <v:shapetype id="_x0000_t202" coordsize="21600,21600" o:spt="202" path="m,l,21600r21600,l21600,xe">
                  <v:stroke joinstyle="miter"/>
                  <v:path gradientshapeok="t" o:connecttype="rect"/>
                </v:shapetype>
                <v:shape id="Text Box 14" style="position:absolute;left:9435;top:5756;width:922;height:704;visibility:visible;mso-wrap-style:square;v-text-anchor:top" o:spid="_x0000_s103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rsidRPr="001B7121" w:rsidR="00910D48" w:rsidP="008253DD" w:rsidRDefault="00910D48" w14:paraId="3E26F88E" w14:textId="77777777">
                        <w:pPr>
                          <w:jc w:val="center"/>
                          <w:rPr>
                            <w:sz w:val="20"/>
                            <w:szCs w:val="20"/>
                          </w:rPr>
                        </w:pPr>
                        <w:r w:rsidRPr="001B7121">
                          <w:rPr>
                            <w:sz w:val="20"/>
                            <w:szCs w:val="20"/>
                          </w:rPr>
                          <w:t xml:space="preserve">Burden Hours by </w:t>
                        </w:r>
                        <w:r>
                          <w:rPr>
                            <w:sz w:val="20"/>
                            <w:szCs w:val="20"/>
                          </w:rPr>
                          <w:t xml:space="preserve">Labor </w:t>
                        </w:r>
                        <w:r w:rsidRPr="001B7121">
                          <w:rPr>
                            <w:sz w:val="20"/>
                            <w:szCs w:val="20"/>
                          </w:rPr>
                          <w:t>Category</w:t>
                        </w:r>
                      </w:p>
                    </w:txbxContent>
                  </v:textbox>
                </v:shape>
                <w10:anchorlock/>
              </v:group>
            </w:pict>
          </mc:Fallback>
        </mc:AlternateContent>
      </w:r>
    </w:p>
    <w:p w:rsidRPr="00C270C5" w:rsidR="008253DD" w:rsidP="009B774E" w:rsidRDefault="008253DD" w14:paraId="0E1704BF" w14:textId="3CA6704D">
      <w:pPr>
        <w:pStyle w:val="BodyTextFirstIndent"/>
        <w:spacing w:after="0"/>
        <w:ind w:firstLine="0"/>
        <w:rPr>
          <w:rFonts w:asciiTheme="majorBidi" w:hAnsiTheme="majorBidi" w:cstheme="majorBidi"/>
          <w:b/>
          <w:bCs/>
          <w:sz w:val="22"/>
          <w:szCs w:val="22"/>
        </w:rPr>
      </w:pPr>
      <w:r w:rsidRPr="00C270C5">
        <w:rPr>
          <w:rFonts w:asciiTheme="majorBidi" w:hAnsiTheme="majorBidi" w:cstheme="majorBidi"/>
          <w:b/>
          <w:bCs/>
          <w:sz w:val="22"/>
          <w:szCs w:val="22"/>
        </w:rPr>
        <w:t>Figure 1: Method for Calculating Paperwork Burden from Test Costs</w:t>
      </w:r>
    </w:p>
    <w:p w:rsidRPr="00C270C5" w:rsidR="008253DD" w:rsidP="009B774E" w:rsidRDefault="008253DD" w14:paraId="265CF2B5" w14:textId="77777777">
      <w:pPr>
        <w:pStyle w:val="BodyTextFirstIndent"/>
        <w:spacing w:after="0"/>
        <w:ind w:firstLine="0"/>
        <w:rPr>
          <w:rFonts w:asciiTheme="majorBidi" w:hAnsiTheme="majorBidi" w:cstheme="majorBidi"/>
          <w:szCs w:val="24"/>
        </w:rPr>
      </w:pPr>
    </w:p>
    <w:p w:rsidRPr="00C270C5" w:rsidR="008253DD" w:rsidP="009B774E" w:rsidRDefault="008253DD" w14:paraId="56D7D5E1" w14:textId="53B2A9E8">
      <w:pPr>
        <w:pStyle w:val="BodyTextFirstIndent"/>
        <w:spacing w:after="0"/>
        <w:ind w:firstLine="720"/>
        <w:rPr>
          <w:rFonts w:asciiTheme="majorBidi" w:hAnsiTheme="majorBidi" w:cstheme="majorBidi"/>
          <w:szCs w:val="24"/>
        </w:rPr>
      </w:pPr>
      <w:r w:rsidRPr="00C270C5">
        <w:rPr>
          <w:rFonts w:asciiTheme="majorBidi" w:hAnsiTheme="majorBidi" w:cstheme="majorBidi"/>
          <w:szCs w:val="24"/>
        </w:rPr>
        <w:t xml:space="preserve">Similar to the </w:t>
      </w:r>
      <w:r w:rsidRPr="00C270C5" w:rsidR="00830370">
        <w:rPr>
          <w:rFonts w:asciiTheme="majorBidi" w:hAnsiTheme="majorBidi" w:cstheme="majorBidi"/>
          <w:szCs w:val="24"/>
        </w:rPr>
        <w:t xml:space="preserve">data call-in or </w:t>
      </w:r>
      <w:r w:rsidRPr="00C270C5">
        <w:rPr>
          <w:rFonts w:asciiTheme="majorBidi" w:hAnsiTheme="majorBidi" w:cstheme="majorBidi"/>
          <w:szCs w:val="24"/>
        </w:rPr>
        <w:t>DCI ICR (OMB Control No.</w:t>
      </w:r>
      <w:r w:rsidRPr="00C270C5" w:rsidR="00650B2D">
        <w:rPr>
          <w:rFonts w:asciiTheme="majorBidi" w:hAnsiTheme="majorBidi" w:cstheme="majorBidi"/>
          <w:szCs w:val="24"/>
        </w:rPr>
        <w:t xml:space="preserve"> 2070-017</w:t>
      </w:r>
      <w:r w:rsidRPr="00C270C5" w:rsidR="00830370">
        <w:rPr>
          <w:rFonts w:asciiTheme="majorBidi" w:hAnsiTheme="majorBidi" w:cstheme="majorBidi"/>
          <w:szCs w:val="24"/>
        </w:rPr>
        <w:t>4</w:t>
      </w:r>
      <w:r w:rsidRPr="00C270C5">
        <w:rPr>
          <w:rFonts w:asciiTheme="majorBidi" w:hAnsiTheme="majorBidi" w:cstheme="majorBidi"/>
          <w:szCs w:val="24"/>
        </w:rPr>
        <w:t>), this approach assumes and incorporates the following core considerations:</w:t>
      </w:r>
    </w:p>
    <w:p w:rsidRPr="00C270C5" w:rsidR="008253DD" w:rsidP="009B774E" w:rsidRDefault="008253DD" w14:paraId="3135078F" w14:textId="77777777">
      <w:pPr>
        <w:pStyle w:val="BodyTextFirstIndent"/>
        <w:spacing w:after="0"/>
        <w:ind w:firstLine="216"/>
        <w:rPr>
          <w:rFonts w:asciiTheme="majorBidi" w:hAnsiTheme="majorBidi" w:cstheme="majorBidi"/>
          <w:szCs w:val="24"/>
        </w:rPr>
      </w:pPr>
    </w:p>
    <w:p w:rsidRPr="00C270C5" w:rsidR="008253DD" w:rsidP="009B774E" w:rsidRDefault="008253DD" w14:paraId="5A6FC53A" w14:textId="1E0AA36F">
      <w:pPr>
        <w:pStyle w:val="BodyTextFirstIndent"/>
        <w:numPr>
          <w:ilvl w:val="0"/>
          <w:numId w:val="23"/>
        </w:numPr>
        <w:spacing w:after="0"/>
        <w:rPr>
          <w:rFonts w:asciiTheme="majorBidi" w:hAnsiTheme="majorBidi" w:cstheme="majorBidi"/>
          <w:szCs w:val="24"/>
        </w:rPr>
      </w:pPr>
      <w:r w:rsidRPr="00C270C5">
        <w:rPr>
          <w:rFonts w:asciiTheme="majorBidi" w:hAnsiTheme="majorBidi" w:cstheme="majorBidi"/>
          <w:szCs w:val="24"/>
        </w:rPr>
        <w:t xml:space="preserve">Registrants generate </w:t>
      </w:r>
      <w:r w:rsidRPr="00C270C5" w:rsidR="007841AA">
        <w:rPr>
          <w:rFonts w:asciiTheme="majorBidi" w:hAnsiTheme="majorBidi" w:cstheme="majorBidi"/>
          <w:szCs w:val="24"/>
        </w:rPr>
        <w:t>all</w:t>
      </w:r>
      <w:r w:rsidRPr="00C270C5">
        <w:rPr>
          <w:rFonts w:asciiTheme="majorBidi" w:hAnsiTheme="majorBidi" w:cstheme="majorBidi"/>
          <w:szCs w:val="24"/>
        </w:rPr>
        <w:t xml:space="preserve"> the data as specified in the CFR without any changes, and none of the data is waived.</w:t>
      </w:r>
    </w:p>
    <w:p w:rsidRPr="00C270C5" w:rsidR="00A16077" w:rsidP="009B774E" w:rsidRDefault="00A16077" w14:paraId="6E029B06" w14:textId="77777777">
      <w:pPr>
        <w:pStyle w:val="BodyTextFirstIndent"/>
        <w:spacing w:after="0"/>
        <w:ind w:left="726" w:firstLine="0"/>
        <w:rPr>
          <w:rFonts w:asciiTheme="majorBidi" w:hAnsiTheme="majorBidi" w:cstheme="majorBidi"/>
          <w:szCs w:val="24"/>
        </w:rPr>
      </w:pPr>
    </w:p>
    <w:p w:rsidRPr="00C270C5" w:rsidR="008253DD" w:rsidP="009B774E" w:rsidRDefault="008253DD" w14:paraId="0CEE1877" w14:textId="7987B10F">
      <w:pPr>
        <w:pStyle w:val="BodyTextFirstIndent"/>
        <w:numPr>
          <w:ilvl w:val="0"/>
          <w:numId w:val="23"/>
        </w:numPr>
        <w:spacing w:after="0"/>
        <w:rPr>
          <w:rFonts w:asciiTheme="majorBidi" w:hAnsiTheme="majorBidi" w:cstheme="majorBidi"/>
          <w:szCs w:val="24"/>
        </w:rPr>
      </w:pPr>
      <w:r w:rsidRPr="00C270C5">
        <w:rPr>
          <w:rFonts w:asciiTheme="majorBidi" w:hAnsiTheme="majorBidi" w:cstheme="majorBidi"/>
          <w:szCs w:val="24"/>
        </w:rPr>
        <w:t>All data generation is performed by an independent laboratory.</w:t>
      </w:r>
    </w:p>
    <w:p w:rsidRPr="00C270C5" w:rsidR="00A16077" w:rsidP="009B774E" w:rsidRDefault="00A16077" w14:paraId="121A7EB1" w14:textId="77777777">
      <w:pPr>
        <w:pStyle w:val="BodyTextFirstIndent"/>
        <w:spacing w:after="0"/>
        <w:ind w:left="726" w:firstLine="0"/>
        <w:rPr>
          <w:rFonts w:asciiTheme="majorBidi" w:hAnsiTheme="majorBidi" w:cstheme="majorBidi"/>
          <w:szCs w:val="24"/>
        </w:rPr>
      </w:pPr>
    </w:p>
    <w:p w:rsidRPr="00C270C5" w:rsidR="008253DD" w:rsidP="009B774E" w:rsidRDefault="008253DD" w14:paraId="252D5144" w14:textId="77777777">
      <w:pPr>
        <w:pStyle w:val="BodyTextFirstIndent"/>
        <w:spacing w:after="0"/>
        <w:ind w:left="720" w:hanging="504"/>
        <w:rPr>
          <w:rFonts w:asciiTheme="majorBidi" w:hAnsiTheme="majorBidi" w:cstheme="majorBidi"/>
          <w:szCs w:val="24"/>
        </w:rPr>
      </w:pPr>
      <w:r w:rsidRPr="00C270C5">
        <w:rPr>
          <w:rFonts w:asciiTheme="majorBidi" w:hAnsiTheme="majorBidi" w:cstheme="majorBidi"/>
          <w:szCs w:val="24"/>
        </w:rPr>
        <w:t>(3)</w:t>
      </w:r>
      <w:r w:rsidRPr="00C270C5">
        <w:rPr>
          <w:rFonts w:asciiTheme="majorBidi" w:hAnsiTheme="majorBidi" w:cstheme="majorBidi"/>
          <w:szCs w:val="24"/>
        </w:rPr>
        <w:tab/>
        <w:t>Paperwork burden is disaggregated by labor category as follows:</w:t>
      </w:r>
    </w:p>
    <w:p w:rsidRPr="00C270C5" w:rsidR="008253DD" w:rsidP="009B774E" w:rsidRDefault="008253DD" w14:paraId="569374D8" w14:textId="77777777">
      <w:pPr>
        <w:pStyle w:val="BodyTextFirstIndent"/>
        <w:spacing w:after="0"/>
        <w:ind w:left="720" w:hanging="504"/>
        <w:rPr>
          <w:rFonts w:asciiTheme="majorBidi" w:hAnsiTheme="majorBidi" w:cstheme="majorBidi"/>
          <w:szCs w:val="24"/>
        </w:rPr>
      </w:pPr>
    </w:p>
    <w:p w:rsidRPr="00C06357" w:rsidR="008253DD" w:rsidP="009B774E" w:rsidRDefault="008253DD" w14:paraId="71F665D2" w14:textId="77777777">
      <w:pPr>
        <w:pStyle w:val="BodyTextFirstIndent"/>
        <w:spacing w:after="0"/>
        <w:ind w:left="418" w:firstLine="302"/>
        <w:rPr>
          <w:rFonts w:asciiTheme="majorBidi" w:hAnsiTheme="majorBidi" w:cstheme="majorBidi"/>
          <w:szCs w:val="24"/>
        </w:rPr>
      </w:pPr>
      <w:r w:rsidRPr="00C06357">
        <w:rPr>
          <w:rFonts w:asciiTheme="majorBidi" w:hAnsiTheme="majorBidi" w:cstheme="majorBidi"/>
          <w:szCs w:val="24"/>
        </w:rPr>
        <w:t>a. Managerial (20%)</w:t>
      </w:r>
    </w:p>
    <w:p w:rsidRPr="00C06357" w:rsidR="008253DD" w:rsidP="009B774E" w:rsidRDefault="008253DD" w14:paraId="14AD23F3" w14:textId="77777777">
      <w:pPr>
        <w:pStyle w:val="BodyTextFirstIndent"/>
        <w:spacing w:after="0"/>
        <w:ind w:left="418" w:firstLine="302"/>
        <w:rPr>
          <w:rFonts w:asciiTheme="majorBidi" w:hAnsiTheme="majorBidi" w:cstheme="majorBidi"/>
          <w:szCs w:val="24"/>
        </w:rPr>
      </w:pPr>
      <w:r w:rsidRPr="00C06357">
        <w:rPr>
          <w:rFonts w:asciiTheme="majorBidi" w:hAnsiTheme="majorBidi" w:cstheme="majorBidi"/>
          <w:szCs w:val="24"/>
        </w:rPr>
        <w:t>b. Technical (65%)</w:t>
      </w:r>
    </w:p>
    <w:p w:rsidRPr="00C270C5" w:rsidR="008253DD" w:rsidP="009B774E" w:rsidRDefault="008253DD" w14:paraId="5148E217" w14:textId="77777777">
      <w:pPr>
        <w:pStyle w:val="BodyTextFirstIndent"/>
        <w:spacing w:after="0"/>
        <w:ind w:left="418" w:firstLine="302"/>
        <w:rPr>
          <w:rFonts w:asciiTheme="majorBidi" w:hAnsiTheme="majorBidi" w:cstheme="majorBidi"/>
          <w:szCs w:val="24"/>
        </w:rPr>
      </w:pPr>
      <w:r w:rsidRPr="00C06357">
        <w:rPr>
          <w:rFonts w:asciiTheme="majorBidi" w:hAnsiTheme="majorBidi" w:cstheme="majorBidi"/>
          <w:szCs w:val="24"/>
        </w:rPr>
        <w:t>c. Clerical (15%)</w:t>
      </w:r>
    </w:p>
    <w:p w:rsidRPr="00C270C5" w:rsidR="008253DD" w:rsidP="009B774E" w:rsidRDefault="008253DD" w14:paraId="74166AC3" w14:textId="77777777">
      <w:pPr>
        <w:pStyle w:val="BodyTextFirstIndent"/>
        <w:spacing w:after="0"/>
        <w:ind w:left="418" w:firstLine="302"/>
        <w:rPr>
          <w:rFonts w:asciiTheme="majorBidi" w:hAnsiTheme="majorBidi" w:cstheme="majorBidi"/>
          <w:szCs w:val="24"/>
        </w:rPr>
      </w:pPr>
    </w:p>
    <w:p w:rsidRPr="00C270C5" w:rsidR="008253DD" w:rsidP="009B774E" w:rsidRDefault="008253DD" w14:paraId="1B0AB5F3" w14:textId="7502244C">
      <w:pPr>
        <w:pStyle w:val="BodyTextFirstIndent"/>
        <w:spacing w:after="0"/>
        <w:ind w:left="720" w:hanging="540"/>
        <w:rPr>
          <w:rFonts w:asciiTheme="majorBidi" w:hAnsiTheme="majorBidi" w:cstheme="majorBidi"/>
          <w:szCs w:val="24"/>
        </w:rPr>
      </w:pPr>
      <w:r w:rsidRPr="00C270C5">
        <w:rPr>
          <w:rFonts w:asciiTheme="majorBidi" w:hAnsiTheme="majorBidi" w:cstheme="majorBidi"/>
          <w:szCs w:val="24"/>
        </w:rPr>
        <w:t>(4)</w:t>
      </w:r>
      <w:r w:rsidRPr="00C270C5">
        <w:rPr>
          <w:rFonts w:asciiTheme="majorBidi" w:hAnsiTheme="majorBidi" w:cstheme="majorBidi"/>
          <w:szCs w:val="24"/>
        </w:rPr>
        <w:tab/>
        <w:t xml:space="preserve">Labor rates are fully loaded, meaning that they include the estimated costs of wages, overhead, and benefits paid to an employee. See </w:t>
      </w:r>
      <w:r w:rsidRPr="00C270C5">
        <w:rPr>
          <w:rFonts w:asciiTheme="majorBidi" w:hAnsiTheme="majorBidi" w:cstheme="majorBidi"/>
          <w:b/>
          <w:szCs w:val="24"/>
        </w:rPr>
        <w:t xml:space="preserve">Attachment </w:t>
      </w:r>
      <w:r w:rsidRPr="00C270C5" w:rsidR="007A6470">
        <w:rPr>
          <w:rFonts w:asciiTheme="majorBidi" w:hAnsiTheme="majorBidi" w:cstheme="majorBidi"/>
          <w:b/>
          <w:szCs w:val="24"/>
        </w:rPr>
        <w:t>J</w:t>
      </w:r>
      <w:r w:rsidRPr="00C270C5">
        <w:rPr>
          <w:rFonts w:asciiTheme="majorBidi" w:hAnsiTheme="majorBidi" w:cstheme="majorBidi"/>
          <w:szCs w:val="24"/>
        </w:rPr>
        <w:t xml:space="preserve">. </w:t>
      </w:r>
    </w:p>
    <w:p w:rsidRPr="00C270C5" w:rsidR="008253DD" w:rsidP="009B774E" w:rsidRDefault="008253DD" w14:paraId="04F2EF8A" w14:textId="77777777">
      <w:pPr>
        <w:rPr>
          <w:rFonts w:asciiTheme="majorBidi" w:hAnsiTheme="majorBidi" w:cstheme="majorBidi"/>
        </w:rPr>
      </w:pPr>
    </w:p>
    <w:p w:rsidRPr="00B44F75" w:rsidR="008253DD" w:rsidP="009B774E" w:rsidRDefault="008253DD" w14:paraId="76DC46D0" w14:textId="79D710D0">
      <w:pPr>
        <w:keepNext/>
        <w:rPr>
          <w:rFonts w:asciiTheme="majorBidi" w:hAnsiTheme="majorBidi" w:cstheme="majorBidi"/>
        </w:rPr>
      </w:pPr>
      <w:r w:rsidRPr="00C270C5">
        <w:rPr>
          <w:rFonts w:asciiTheme="majorBidi" w:hAnsiTheme="majorBidi" w:cstheme="majorBidi"/>
        </w:rPr>
        <w:tab/>
        <w:t>Using this methodology, Tables 6-A and 6-B below estimate the paperwork burden associated with registering a new AI and a new product for each of the three registering divisions: the Antimicrobial Division (AD), the Biopesticides and Pollution Prevention Division (BPPD), and the Registration Division (RD).</w:t>
      </w:r>
      <w:r w:rsidRPr="00C270C5" w:rsidR="007841AD">
        <w:rPr>
          <w:rFonts w:asciiTheme="majorBidi" w:hAnsiTheme="majorBidi" w:cstheme="majorBidi"/>
        </w:rPr>
        <w:t xml:space="preserve"> </w:t>
      </w:r>
      <w:r w:rsidRPr="00C270C5">
        <w:rPr>
          <w:rFonts w:asciiTheme="majorBidi" w:hAnsiTheme="majorBidi" w:cstheme="majorBidi"/>
        </w:rPr>
        <w:t xml:space="preserve">The costs of registering a new AI vary depending </w:t>
      </w:r>
      <w:r w:rsidRPr="00B44F75">
        <w:rPr>
          <w:rFonts w:asciiTheme="majorBidi" w:hAnsiTheme="majorBidi" w:cstheme="majorBidi"/>
        </w:rPr>
        <w:t>on use parameters, e.g., food or non-food use, indoor or outdoor use pattern.</w:t>
      </w:r>
      <w:r w:rsidRPr="00B44F75" w:rsidR="007841AD">
        <w:rPr>
          <w:rFonts w:asciiTheme="majorBidi" w:hAnsiTheme="majorBidi" w:cstheme="majorBidi"/>
        </w:rPr>
        <w:t xml:space="preserve"> </w:t>
      </w:r>
      <w:r w:rsidRPr="00B44F75">
        <w:rPr>
          <w:rFonts w:asciiTheme="majorBidi" w:hAnsiTheme="majorBidi" w:cstheme="majorBidi"/>
        </w:rPr>
        <w:t>The data costs used to calculate paperwork burden are an average of total costs across different types of uses that might be registered in that division.</w:t>
      </w:r>
      <w:r w:rsidRPr="00B44F75" w:rsidR="007841AD">
        <w:rPr>
          <w:rFonts w:asciiTheme="majorBidi" w:hAnsiTheme="majorBidi" w:cstheme="majorBidi"/>
        </w:rPr>
        <w:t xml:space="preserve"> </w:t>
      </w:r>
    </w:p>
    <w:p w:rsidRPr="00B44F75" w:rsidR="008253DD" w:rsidP="009B774E" w:rsidRDefault="008253DD" w14:paraId="7B9596EA" w14:textId="77777777">
      <w:pPr>
        <w:keepNext/>
        <w:rPr>
          <w:rFonts w:asciiTheme="majorBidi" w:hAnsiTheme="majorBidi" w:cstheme="majorBidi"/>
        </w:rPr>
      </w:pPr>
    </w:p>
    <w:p w:rsidRPr="00B44F75" w:rsidR="008253DD" w:rsidP="009B774E" w:rsidRDefault="008253DD" w14:paraId="34CB8ADE" w14:textId="5BA7A026">
      <w:pPr>
        <w:keepNext/>
        <w:ind w:firstLine="720"/>
        <w:rPr>
          <w:rFonts w:asciiTheme="majorBidi" w:hAnsiTheme="majorBidi" w:cstheme="majorBidi"/>
        </w:rPr>
      </w:pPr>
      <w:r w:rsidRPr="00B44F75">
        <w:rPr>
          <w:rFonts w:asciiTheme="majorBidi" w:hAnsiTheme="majorBidi" w:cstheme="majorBidi"/>
        </w:rPr>
        <w:t>Table 6-A shows that the average cost of data for registering a new AI ranges from an average of $</w:t>
      </w:r>
      <w:r w:rsidRPr="00B44F75" w:rsidR="00B44F75">
        <w:rPr>
          <w:rFonts w:asciiTheme="majorBidi" w:hAnsiTheme="majorBidi" w:cstheme="majorBidi"/>
        </w:rPr>
        <w:t>5.1</w:t>
      </w:r>
      <w:r w:rsidRPr="00B44F75">
        <w:rPr>
          <w:rFonts w:asciiTheme="majorBidi" w:hAnsiTheme="majorBidi" w:cstheme="majorBidi"/>
        </w:rPr>
        <w:t xml:space="preserve"> million for a new biopesticide to an average of $</w:t>
      </w:r>
      <w:r w:rsidRPr="00B44F75" w:rsidR="00B44F75">
        <w:rPr>
          <w:rFonts w:asciiTheme="majorBidi" w:hAnsiTheme="majorBidi" w:cstheme="majorBidi"/>
        </w:rPr>
        <w:t>9.85</w:t>
      </w:r>
      <w:r w:rsidRPr="00B44F75">
        <w:rPr>
          <w:rFonts w:asciiTheme="majorBidi" w:hAnsiTheme="majorBidi" w:cstheme="majorBidi"/>
        </w:rPr>
        <w:t xml:space="preserve"> million for a new </w:t>
      </w:r>
      <w:r w:rsidRPr="00B44F75">
        <w:rPr>
          <w:rFonts w:asciiTheme="majorBidi" w:hAnsiTheme="majorBidi" w:cstheme="majorBidi"/>
        </w:rPr>
        <w:lastRenderedPageBreak/>
        <w:t>conventional chemical.</w:t>
      </w:r>
      <w:r w:rsidRPr="00B44F75" w:rsidR="007841AD">
        <w:rPr>
          <w:rFonts w:asciiTheme="majorBidi" w:hAnsiTheme="majorBidi" w:cstheme="majorBidi"/>
        </w:rPr>
        <w:t xml:space="preserve"> </w:t>
      </w:r>
      <w:r w:rsidRPr="00B44F75">
        <w:rPr>
          <w:rFonts w:asciiTheme="majorBidi" w:hAnsiTheme="majorBidi" w:cstheme="majorBidi"/>
        </w:rPr>
        <w:t>The paperwork burden, 35% of the cost of data generation, ranges from $1.</w:t>
      </w:r>
      <w:r w:rsidRPr="00B44F75" w:rsidR="00B44F75">
        <w:rPr>
          <w:rFonts w:asciiTheme="majorBidi" w:hAnsiTheme="majorBidi" w:cstheme="majorBidi"/>
        </w:rPr>
        <w:t>78</w:t>
      </w:r>
      <w:r w:rsidRPr="00B44F75">
        <w:rPr>
          <w:rFonts w:asciiTheme="majorBidi" w:hAnsiTheme="majorBidi" w:cstheme="majorBidi"/>
        </w:rPr>
        <w:t xml:space="preserve"> million to $3.</w:t>
      </w:r>
      <w:r w:rsidRPr="00B44F75" w:rsidR="00B44F75">
        <w:rPr>
          <w:rFonts w:asciiTheme="majorBidi" w:hAnsiTheme="majorBidi" w:cstheme="majorBidi"/>
        </w:rPr>
        <w:t>45</w:t>
      </w:r>
      <w:r w:rsidRPr="00B44F75">
        <w:rPr>
          <w:rFonts w:asciiTheme="majorBidi" w:hAnsiTheme="majorBidi" w:cstheme="majorBidi"/>
        </w:rPr>
        <w:t xml:space="preserve"> million or between 2</w:t>
      </w:r>
      <w:r w:rsidRPr="00B44F75" w:rsidR="00B44F75">
        <w:rPr>
          <w:rFonts w:asciiTheme="majorBidi" w:hAnsiTheme="majorBidi" w:cstheme="majorBidi"/>
        </w:rPr>
        <w:t>4</w:t>
      </w:r>
      <w:r w:rsidRPr="00B44F75">
        <w:rPr>
          <w:rFonts w:asciiTheme="majorBidi" w:hAnsiTheme="majorBidi" w:cstheme="majorBidi"/>
        </w:rPr>
        <w:t xml:space="preserve"> thousand and 4</w:t>
      </w:r>
      <w:r w:rsidRPr="00B44F75" w:rsidR="00B44F75">
        <w:rPr>
          <w:rFonts w:asciiTheme="majorBidi" w:hAnsiTheme="majorBidi" w:cstheme="majorBidi"/>
        </w:rPr>
        <w:t>6</w:t>
      </w:r>
      <w:r w:rsidRPr="00B44F75">
        <w:rPr>
          <w:rFonts w:asciiTheme="majorBidi" w:hAnsiTheme="majorBidi" w:cstheme="majorBidi"/>
        </w:rPr>
        <w:t xml:space="preserve"> thousand hours of burden.</w:t>
      </w:r>
      <w:r w:rsidRPr="00B44F75" w:rsidR="007841AD">
        <w:rPr>
          <w:rFonts w:asciiTheme="majorBidi" w:hAnsiTheme="majorBidi" w:cstheme="majorBidi"/>
        </w:rPr>
        <w:t xml:space="preserve"> </w:t>
      </w:r>
    </w:p>
    <w:p w:rsidRPr="00B44F75" w:rsidR="008253DD" w:rsidP="009B774E" w:rsidRDefault="008253DD" w14:paraId="7F9B23DC" w14:textId="77777777">
      <w:pPr>
        <w:rPr>
          <w:rFonts w:asciiTheme="majorBidi" w:hAnsiTheme="majorBidi" w:cstheme="majorBidi"/>
        </w:rPr>
      </w:pPr>
    </w:p>
    <w:p w:rsidRPr="00B44F75" w:rsidR="008253DD" w:rsidP="009B774E" w:rsidRDefault="008253DD" w14:paraId="268775C9" w14:textId="77777777">
      <w:pPr>
        <w:rPr>
          <w:rFonts w:asciiTheme="majorBidi" w:hAnsiTheme="majorBidi" w:cstheme="majorBidi"/>
          <w:sz w:val="22"/>
          <w:szCs w:val="22"/>
        </w:rPr>
      </w:pPr>
      <w:r w:rsidRPr="00B44F75">
        <w:rPr>
          <w:rFonts w:asciiTheme="majorBidi" w:hAnsiTheme="majorBidi" w:cstheme="majorBidi"/>
          <w:b/>
          <w:bCs/>
          <w:sz w:val="22"/>
          <w:szCs w:val="22"/>
        </w:rPr>
        <w:t>Table 6-A: Estimates of Paperwork Burden Hours from Data Generation for New AIs</w:t>
      </w:r>
    </w:p>
    <w:tbl>
      <w:tblPr>
        <w:tblW w:w="5000" w:type="pct"/>
        <w:tblBorders>
          <w:top w:val="double" w:color="808080" w:themeColor="background1" w:themeShade="80" w:sz="4" w:space="0"/>
          <w:left w:val="double" w:color="808080" w:themeColor="background1" w:themeShade="80" w:sz="4" w:space="0"/>
          <w:bottom w:val="double" w:color="808080" w:themeColor="background1" w:themeShade="80" w:sz="4" w:space="0"/>
          <w:right w:val="double" w:color="808080" w:themeColor="background1" w:themeShade="80" w:sz="4" w:space="0"/>
          <w:insideH w:val="single" w:color="808080" w:themeColor="background1" w:themeShade="80" w:sz="6" w:space="0"/>
          <w:insideV w:val="single" w:color="808080" w:themeColor="background1" w:themeShade="80" w:sz="6" w:space="0"/>
        </w:tblBorders>
        <w:tblLook w:val="04A0" w:firstRow="1" w:lastRow="0" w:firstColumn="1" w:lastColumn="0" w:noHBand="0" w:noVBand="1"/>
      </w:tblPr>
      <w:tblGrid>
        <w:gridCol w:w="917"/>
        <w:gridCol w:w="1116"/>
        <w:gridCol w:w="1116"/>
        <w:gridCol w:w="750"/>
        <w:gridCol w:w="776"/>
        <w:gridCol w:w="776"/>
        <w:gridCol w:w="778"/>
        <w:gridCol w:w="776"/>
        <w:gridCol w:w="778"/>
        <w:gridCol w:w="776"/>
        <w:gridCol w:w="771"/>
      </w:tblGrid>
      <w:tr w:rsidRPr="00B44F75" w:rsidR="00C270C5" w:rsidTr="00B44F75" w14:paraId="70C72350" w14:textId="77777777">
        <w:trPr>
          <w:trHeight w:val="255"/>
        </w:trPr>
        <w:tc>
          <w:tcPr>
            <w:tcW w:w="492" w:type="pct"/>
            <w:vMerge w:val="restart"/>
            <w:shd w:val="clear" w:color="auto" w:fill="auto"/>
            <w:noWrap/>
            <w:vAlign w:val="center"/>
            <w:hideMark/>
          </w:tcPr>
          <w:p w:rsidRPr="00B44F75" w:rsidR="008253DD" w:rsidP="009B774E" w:rsidRDefault="008253DD" w14:paraId="35BE78A9" w14:textId="77777777">
            <w:pPr>
              <w:rPr>
                <w:rFonts w:asciiTheme="majorBidi" w:hAnsiTheme="majorBidi" w:cstheme="majorBidi"/>
                <w:sz w:val="20"/>
                <w:szCs w:val="20"/>
              </w:rPr>
            </w:pPr>
            <w:r w:rsidRPr="00B44F75">
              <w:rPr>
                <w:rFonts w:asciiTheme="majorBidi" w:hAnsiTheme="majorBidi" w:cstheme="majorBidi"/>
                <w:b/>
                <w:sz w:val="20"/>
                <w:szCs w:val="20"/>
              </w:rPr>
              <w:t>Division</w:t>
            </w:r>
          </w:p>
        </w:tc>
        <w:tc>
          <w:tcPr>
            <w:tcW w:w="488" w:type="pct"/>
            <w:vMerge w:val="restart"/>
            <w:vAlign w:val="center"/>
          </w:tcPr>
          <w:p w:rsidRPr="00B44F75" w:rsidR="008253DD" w:rsidP="009B774E" w:rsidRDefault="008253DD" w14:paraId="6727C0A9" w14:textId="77777777">
            <w:pPr>
              <w:jc w:val="center"/>
              <w:rPr>
                <w:rFonts w:asciiTheme="majorBidi" w:hAnsiTheme="majorBidi" w:cstheme="majorBidi"/>
                <w:b/>
                <w:bCs/>
                <w:sz w:val="20"/>
                <w:szCs w:val="20"/>
                <w:vertAlign w:val="superscript"/>
              </w:rPr>
            </w:pPr>
            <w:r w:rsidRPr="00B44F75">
              <w:rPr>
                <w:rFonts w:asciiTheme="majorBidi" w:hAnsiTheme="majorBidi" w:cstheme="majorBidi"/>
                <w:b/>
                <w:bCs/>
                <w:sz w:val="20"/>
                <w:szCs w:val="20"/>
              </w:rPr>
              <w:t>Data Cost ($000s)</w:t>
            </w:r>
          </w:p>
        </w:tc>
        <w:tc>
          <w:tcPr>
            <w:tcW w:w="581" w:type="pct"/>
            <w:vMerge w:val="restart"/>
            <w:shd w:val="clear" w:color="auto" w:fill="auto"/>
            <w:vAlign w:val="center"/>
            <w:hideMark/>
          </w:tcPr>
          <w:p w:rsidRPr="00B44F75" w:rsidR="008253DD" w:rsidP="009B774E" w:rsidRDefault="008253DD" w14:paraId="7B17085B" w14:textId="77777777">
            <w:pPr>
              <w:ind w:left="-108" w:right="-108"/>
              <w:jc w:val="center"/>
              <w:rPr>
                <w:rFonts w:asciiTheme="majorBidi" w:hAnsiTheme="majorBidi" w:cstheme="majorBidi"/>
                <w:b/>
                <w:bCs/>
                <w:sz w:val="20"/>
                <w:szCs w:val="20"/>
              </w:rPr>
            </w:pPr>
            <w:r w:rsidRPr="00B44F75">
              <w:rPr>
                <w:rFonts w:asciiTheme="majorBidi" w:hAnsiTheme="majorBidi" w:cstheme="majorBidi"/>
                <w:b/>
                <w:bCs/>
                <w:sz w:val="20"/>
                <w:szCs w:val="20"/>
              </w:rPr>
              <w:t xml:space="preserve">Paperwork Cost </w:t>
            </w:r>
          </w:p>
          <w:p w:rsidRPr="00B44F75" w:rsidR="008253DD" w:rsidP="009B774E" w:rsidRDefault="008253DD" w14:paraId="3DA879A7" w14:textId="77777777">
            <w:pPr>
              <w:ind w:left="-108" w:right="-108"/>
              <w:jc w:val="center"/>
              <w:rPr>
                <w:rFonts w:asciiTheme="majorBidi" w:hAnsiTheme="majorBidi" w:cstheme="majorBidi"/>
                <w:b/>
                <w:bCs/>
                <w:sz w:val="20"/>
                <w:szCs w:val="20"/>
              </w:rPr>
            </w:pPr>
            <w:r w:rsidRPr="00B44F75">
              <w:rPr>
                <w:rFonts w:asciiTheme="majorBidi" w:hAnsiTheme="majorBidi" w:cstheme="majorBidi"/>
                <w:b/>
                <w:bCs/>
                <w:sz w:val="20"/>
                <w:szCs w:val="20"/>
              </w:rPr>
              <w:t>($000s)</w:t>
            </w:r>
          </w:p>
        </w:tc>
        <w:tc>
          <w:tcPr>
            <w:tcW w:w="860" w:type="pct"/>
            <w:gridSpan w:val="2"/>
            <w:shd w:val="clear" w:color="auto" w:fill="auto"/>
            <w:noWrap/>
            <w:vAlign w:val="center"/>
            <w:hideMark/>
          </w:tcPr>
          <w:p w:rsidRPr="00B44F75" w:rsidR="008253DD" w:rsidP="009B774E" w:rsidRDefault="008253DD" w14:paraId="034FD968" w14:textId="77777777">
            <w:pPr>
              <w:jc w:val="center"/>
              <w:rPr>
                <w:rFonts w:asciiTheme="majorBidi" w:hAnsiTheme="majorBidi" w:cstheme="majorBidi"/>
                <w:b/>
                <w:bCs/>
                <w:sz w:val="20"/>
                <w:szCs w:val="20"/>
              </w:rPr>
            </w:pPr>
            <w:r w:rsidRPr="00B44F75">
              <w:rPr>
                <w:rFonts w:asciiTheme="majorBidi" w:hAnsiTheme="majorBidi" w:cstheme="majorBidi"/>
                <w:b/>
                <w:bCs/>
                <w:sz w:val="20"/>
                <w:szCs w:val="20"/>
              </w:rPr>
              <w:t>Managerial</w:t>
            </w:r>
          </w:p>
        </w:tc>
        <w:tc>
          <w:tcPr>
            <w:tcW w:w="861" w:type="pct"/>
            <w:gridSpan w:val="2"/>
            <w:shd w:val="clear" w:color="auto" w:fill="auto"/>
            <w:noWrap/>
            <w:vAlign w:val="center"/>
            <w:hideMark/>
          </w:tcPr>
          <w:p w:rsidRPr="00B44F75" w:rsidR="008253DD" w:rsidP="009B774E" w:rsidRDefault="008253DD" w14:paraId="2954272D" w14:textId="77777777">
            <w:pPr>
              <w:jc w:val="center"/>
              <w:rPr>
                <w:rFonts w:asciiTheme="majorBidi" w:hAnsiTheme="majorBidi" w:cstheme="majorBidi"/>
                <w:b/>
                <w:bCs/>
                <w:sz w:val="20"/>
                <w:szCs w:val="20"/>
              </w:rPr>
            </w:pPr>
            <w:r w:rsidRPr="00B44F75">
              <w:rPr>
                <w:rFonts w:asciiTheme="majorBidi" w:hAnsiTheme="majorBidi" w:cstheme="majorBidi"/>
                <w:b/>
                <w:bCs/>
                <w:sz w:val="20"/>
                <w:szCs w:val="20"/>
              </w:rPr>
              <w:t>Technical</w:t>
            </w:r>
          </w:p>
        </w:tc>
        <w:tc>
          <w:tcPr>
            <w:tcW w:w="861" w:type="pct"/>
            <w:gridSpan w:val="2"/>
            <w:shd w:val="clear" w:color="auto" w:fill="auto"/>
            <w:noWrap/>
            <w:vAlign w:val="center"/>
            <w:hideMark/>
          </w:tcPr>
          <w:p w:rsidRPr="00B44F75" w:rsidR="008253DD" w:rsidP="009B774E" w:rsidRDefault="008253DD" w14:paraId="1C6FAC43" w14:textId="77777777">
            <w:pPr>
              <w:jc w:val="center"/>
              <w:rPr>
                <w:rFonts w:asciiTheme="majorBidi" w:hAnsiTheme="majorBidi" w:cstheme="majorBidi"/>
                <w:b/>
                <w:bCs/>
                <w:sz w:val="20"/>
                <w:szCs w:val="20"/>
              </w:rPr>
            </w:pPr>
            <w:r w:rsidRPr="00B44F75">
              <w:rPr>
                <w:rFonts w:asciiTheme="majorBidi" w:hAnsiTheme="majorBidi" w:cstheme="majorBidi"/>
                <w:b/>
                <w:bCs/>
                <w:sz w:val="20"/>
                <w:szCs w:val="20"/>
              </w:rPr>
              <w:t>Clerical</w:t>
            </w:r>
          </w:p>
        </w:tc>
        <w:tc>
          <w:tcPr>
            <w:tcW w:w="858" w:type="pct"/>
            <w:gridSpan w:val="2"/>
            <w:shd w:val="clear" w:color="auto" w:fill="auto"/>
            <w:noWrap/>
            <w:vAlign w:val="center"/>
            <w:hideMark/>
          </w:tcPr>
          <w:p w:rsidRPr="00B44F75" w:rsidR="008253DD" w:rsidP="009B774E" w:rsidRDefault="008253DD" w14:paraId="033058B1" w14:textId="77777777">
            <w:pPr>
              <w:jc w:val="center"/>
              <w:rPr>
                <w:rFonts w:asciiTheme="majorBidi" w:hAnsiTheme="majorBidi" w:cstheme="majorBidi"/>
                <w:b/>
                <w:bCs/>
                <w:sz w:val="20"/>
                <w:szCs w:val="20"/>
              </w:rPr>
            </w:pPr>
            <w:r w:rsidRPr="00B44F75">
              <w:rPr>
                <w:rFonts w:asciiTheme="majorBidi" w:hAnsiTheme="majorBidi" w:cstheme="majorBidi"/>
                <w:b/>
                <w:bCs/>
                <w:sz w:val="20"/>
                <w:szCs w:val="20"/>
              </w:rPr>
              <w:t>Total</w:t>
            </w:r>
          </w:p>
        </w:tc>
      </w:tr>
      <w:tr w:rsidRPr="00B44F75" w:rsidR="00C270C5" w:rsidTr="00B44F75" w14:paraId="4B871448" w14:textId="77777777">
        <w:trPr>
          <w:trHeight w:val="255"/>
        </w:trPr>
        <w:tc>
          <w:tcPr>
            <w:tcW w:w="492" w:type="pct"/>
            <w:vMerge/>
            <w:shd w:val="clear" w:color="auto" w:fill="auto"/>
            <w:noWrap/>
            <w:vAlign w:val="center"/>
            <w:hideMark/>
          </w:tcPr>
          <w:p w:rsidRPr="00B44F75" w:rsidR="008253DD" w:rsidP="009B774E" w:rsidRDefault="008253DD" w14:paraId="22A2A9EE" w14:textId="77777777">
            <w:pPr>
              <w:jc w:val="center"/>
              <w:rPr>
                <w:rFonts w:asciiTheme="majorBidi" w:hAnsiTheme="majorBidi" w:cstheme="majorBidi"/>
                <w:b/>
                <w:bCs/>
                <w:sz w:val="20"/>
                <w:szCs w:val="20"/>
              </w:rPr>
            </w:pPr>
          </w:p>
        </w:tc>
        <w:tc>
          <w:tcPr>
            <w:tcW w:w="488" w:type="pct"/>
            <w:vMerge/>
            <w:vAlign w:val="center"/>
          </w:tcPr>
          <w:p w:rsidRPr="00B44F75" w:rsidR="008253DD" w:rsidP="009B774E" w:rsidRDefault="008253DD" w14:paraId="555DCF39" w14:textId="77777777">
            <w:pPr>
              <w:rPr>
                <w:rFonts w:asciiTheme="majorBidi" w:hAnsiTheme="majorBidi" w:cstheme="majorBidi"/>
                <w:b/>
                <w:bCs/>
                <w:sz w:val="20"/>
                <w:szCs w:val="20"/>
              </w:rPr>
            </w:pPr>
          </w:p>
        </w:tc>
        <w:tc>
          <w:tcPr>
            <w:tcW w:w="581" w:type="pct"/>
            <w:vMerge/>
            <w:vAlign w:val="center"/>
            <w:hideMark/>
          </w:tcPr>
          <w:p w:rsidRPr="00B44F75" w:rsidR="008253DD" w:rsidP="009B774E" w:rsidRDefault="008253DD" w14:paraId="0AE3ADA7" w14:textId="77777777">
            <w:pPr>
              <w:rPr>
                <w:rFonts w:asciiTheme="majorBidi" w:hAnsiTheme="majorBidi" w:cstheme="majorBidi"/>
                <w:b/>
                <w:bCs/>
                <w:sz w:val="20"/>
                <w:szCs w:val="20"/>
              </w:rPr>
            </w:pPr>
          </w:p>
        </w:tc>
        <w:tc>
          <w:tcPr>
            <w:tcW w:w="430" w:type="pct"/>
            <w:shd w:val="clear" w:color="auto" w:fill="auto"/>
            <w:noWrap/>
            <w:vAlign w:val="center"/>
            <w:hideMark/>
          </w:tcPr>
          <w:p w:rsidRPr="00B44F75" w:rsidR="008253DD" w:rsidP="009B774E" w:rsidRDefault="008253DD" w14:paraId="5B89A161" w14:textId="77777777">
            <w:pPr>
              <w:jc w:val="center"/>
              <w:rPr>
                <w:rFonts w:asciiTheme="majorBidi" w:hAnsiTheme="majorBidi" w:cstheme="majorBidi"/>
                <w:b/>
                <w:bCs/>
                <w:sz w:val="20"/>
                <w:szCs w:val="20"/>
              </w:rPr>
            </w:pPr>
            <w:r w:rsidRPr="00B44F75">
              <w:rPr>
                <w:rFonts w:asciiTheme="majorBidi" w:hAnsiTheme="majorBidi" w:cstheme="majorBidi"/>
                <w:b/>
                <w:bCs/>
                <w:sz w:val="20"/>
                <w:szCs w:val="20"/>
              </w:rPr>
              <w:t>Hours</w:t>
            </w:r>
          </w:p>
        </w:tc>
        <w:tc>
          <w:tcPr>
            <w:tcW w:w="430" w:type="pct"/>
            <w:shd w:val="clear" w:color="auto" w:fill="auto"/>
            <w:noWrap/>
            <w:vAlign w:val="center"/>
            <w:hideMark/>
          </w:tcPr>
          <w:p w:rsidRPr="00B44F75" w:rsidR="008253DD" w:rsidP="009B774E" w:rsidRDefault="008253DD" w14:paraId="4A00EB8B" w14:textId="77777777">
            <w:pPr>
              <w:jc w:val="center"/>
              <w:rPr>
                <w:rFonts w:asciiTheme="majorBidi" w:hAnsiTheme="majorBidi" w:cstheme="majorBidi"/>
                <w:b/>
                <w:bCs/>
                <w:sz w:val="20"/>
                <w:szCs w:val="20"/>
              </w:rPr>
            </w:pPr>
            <w:r w:rsidRPr="00B44F75">
              <w:rPr>
                <w:rFonts w:asciiTheme="majorBidi" w:hAnsiTheme="majorBidi" w:cstheme="majorBidi"/>
                <w:b/>
                <w:bCs/>
                <w:sz w:val="20"/>
                <w:szCs w:val="20"/>
              </w:rPr>
              <w:t>FTEs</w:t>
            </w:r>
          </w:p>
        </w:tc>
        <w:tc>
          <w:tcPr>
            <w:tcW w:w="430" w:type="pct"/>
            <w:shd w:val="clear" w:color="auto" w:fill="auto"/>
            <w:noWrap/>
            <w:vAlign w:val="center"/>
            <w:hideMark/>
          </w:tcPr>
          <w:p w:rsidRPr="00B44F75" w:rsidR="008253DD" w:rsidP="009B774E" w:rsidRDefault="008253DD" w14:paraId="2058FD27" w14:textId="77777777">
            <w:pPr>
              <w:jc w:val="center"/>
              <w:rPr>
                <w:rFonts w:asciiTheme="majorBidi" w:hAnsiTheme="majorBidi" w:cstheme="majorBidi"/>
                <w:b/>
                <w:bCs/>
                <w:sz w:val="20"/>
                <w:szCs w:val="20"/>
              </w:rPr>
            </w:pPr>
            <w:r w:rsidRPr="00B44F75">
              <w:rPr>
                <w:rFonts w:asciiTheme="majorBidi" w:hAnsiTheme="majorBidi" w:cstheme="majorBidi"/>
                <w:b/>
                <w:bCs/>
                <w:sz w:val="20"/>
                <w:szCs w:val="20"/>
              </w:rPr>
              <w:t>Hours</w:t>
            </w:r>
          </w:p>
        </w:tc>
        <w:tc>
          <w:tcPr>
            <w:tcW w:w="431" w:type="pct"/>
            <w:shd w:val="clear" w:color="auto" w:fill="auto"/>
            <w:noWrap/>
            <w:vAlign w:val="center"/>
            <w:hideMark/>
          </w:tcPr>
          <w:p w:rsidRPr="00B44F75" w:rsidR="008253DD" w:rsidP="009B774E" w:rsidRDefault="008253DD" w14:paraId="10F489DA" w14:textId="77777777">
            <w:pPr>
              <w:jc w:val="center"/>
              <w:rPr>
                <w:rFonts w:asciiTheme="majorBidi" w:hAnsiTheme="majorBidi" w:cstheme="majorBidi"/>
                <w:b/>
                <w:bCs/>
                <w:sz w:val="20"/>
                <w:szCs w:val="20"/>
              </w:rPr>
            </w:pPr>
            <w:r w:rsidRPr="00B44F75">
              <w:rPr>
                <w:rFonts w:asciiTheme="majorBidi" w:hAnsiTheme="majorBidi" w:cstheme="majorBidi"/>
                <w:b/>
                <w:bCs/>
                <w:sz w:val="20"/>
                <w:szCs w:val="20"/>
              </w:rPr>
              <w:t>FTEs</w:t>
            </w:r>
          </w:p>
        </w:tc>
        <w:tc>
          <w:tcPr>
            <w:tcW w:w="430" w:type="pct"/>
            <w:shd w:val="clear" w:color="auto" w:fill="auto"/>
            <w:noWrap/>
            <w:vAlign w:val="center"/>
            <w:hideMark/>
          </w:tcPr>
          <w:p w:rsidRPr="00B44F75" w:rsidR="008253DD" w:rsidP="009B774E" w:rsidRDefault="008253DD" w14:paraId="10592B04" w14:textId="77777777">
            <w:pPr>
              <w:jc w:val="center"/>
              <w:rPr>
                <w:rFonts w:asciiTheme="majorBidi" w:hAnsiTheme="majorBidi" w:cstheme="majorBidi"/>
                <w:b/>
                <w:bCs/>
                <w:sz w:val="20"/>
                <w:szCs w:val="20"/>
              </w:rPr>
            </w:pPr>
            <w:r w:rsidRPr="00B44F75">
              <w:rPr>
                <w:rFonts w:asciiTheme="majorBidi" w:hAnsiTheme="majorBidi" w:cstheme="majorBidi"/>
                <w:b/>
                <w:bCs/>
                <w:sz w:val="20"/>
                <w:szCs w:val="20"/>
              </w:rPr>
              <w:t>Hours</w:t>
            </w:r>
          </w:p>
        </w:tc>
        <w:tc>
          <w:tcPr>
            <w:tcW w:w="431" w:type="pct"/>
            <w:shd w:val="clear" w:color="auto" w:fill="auto"/>
            <w:noWrap/>
            <w:vAlign w:val="center"/>
            <w:hideMark/>
          </w:tcPr>
          <w:p w:rsidRPr="00B44F75" w:rsidR="008253DD" w:rsidP="009B774E" w:rsidRDefault="008253DD" w14:paraId="47D4027B" w14:textId="77777777">
            <w:pPr>
              <w:jc w:val="center"/>
              <w:rPr>
                <w:rFonts w:asciiTheme="majorBidi" w:hAnsiTheme="majorBidi" w:cstheme="majorBidi"/>
                <w:b/>
                <w:bCs/>
                <w:sz w:val="20"/>
                <w:szCs w:val="20"/>
              </w:rPr>
            </w:pPr>
            <w:r w:rsidRPr="00B44F75">
              <w:rPr>
                <w:rFonts w:asciiTheme="majorBidi" w:hAnsiTheme="majorBidi" w:cstheme="majorBidi"/>
                <w:b/>
                <w:bCs/>
                <w:sz w:val="20"/>
                <w:szCs w:val="20"/>
              </w:rPr>
              <w:t>FTEs</w:t>
            </w:r>
          </w:p>
        </w:tc>
        <w:tc>
          <w:tcPr>
            <w:tcW w:w="430" w:type="pct"/>
            <w:shd w:val="clear" w:color="auto" w:fill="auto"/>
            <w:noWrap/>
            <w:vAlign w:val="center"/>
            <w:hideMark/>
          </w:tcPr>
          <w:p w:rsidRPr="00B44F75" w:rsidR="008253DD" w:rsidP="009B774E" w:rsidRDefault="008253DD" w14:paraId="2B701435" w14:textId="77777777">
            <w:pPr>
              <w:jc w:val="center"/>
              <w:rPr>
                <w:rFonts w:asciiTheme="majorBidi" w:hAnsiTheme="majorBidi" w:cstheme="majorBidi"/>
                <w:b/>
                <w:bCs/>
                <w:sz w:val="20"/>
                <w:szCs w:val="20"/>
              </w:rPr>
            </w:pPr>
            <w:r w:rsidRPr="00B44F75">
              <w:rPr>
                <w:rFonts w:asciiTheme="majorBidi" w:hAnsiTheme="majorBidi" w:cstheme="majorBidi"/>
                <w:b/>
                <w:bCs/>
                <w:sz w:val="20"/>
                <w:szCs w:val="20"/>
              </w:rPr>
              <w:t>Hours</w:t>
            </w:r>
          </w:p>
        </w:tc>
        <w:tc>
          <w:tcPr>
            <w:tcW w:w="428" w:type="pct"/>
            <w:shd w:val="clear" w:color="auto" w:fill="auto"/>
            <w:noWrap/>
            <w:vAlign w:val="center"/>
            <w:hideMark/>
          </w:tcPr>
          <w:p w:rsidRPr="00B44F75" w:rsidR="008253DD" w:rsidP="009B774E" w:rsidRDefault="008253DD" w14:paraId="05C401D6" w14:textId="77777777">
            <w:pPr>
              <w:jc w:val="center"/>
              <w:rPr>
                <w:rFonts w:asciiTheme="majorBidi" w:hAnsiTheme="majorBidi" w:cstheme="majorBidi"/>
                <w:b/>
                <w:bCs/>
                <w:sz w:val="20"/>
                <w:szCs w:val="20"/>
              </w:rPr>
            </w:pPr>
            <w:r w:rsidRPr="00B44F75">
              <w:rPr>
                <w:rFonts w:asciiTheme="majorBidi" w:hAnsiTheme="majorBidi" w:cstheme="majorBidi"/>
                <w:b/>
                <w:bCs/>
                <w:sz w:val="20"/>
                <w:szCs w:val="20"/>
              </w:rPr>
              <w:t>FTEs</w:t>
            </w:r>
          </w:p>
        </w:tc>
      </w:tr>
      <w:tr w:rsidRPr="00B44F75" w:rsidR="00B44F75" w:rsidTr="007D3078" w14:paraId="2844E9AD" w14:textId="77777777">
        <w:trPr>
          <w:trHeight w:val="255"/>
        </w:trPr>
        <w:tc>
          <w:tcPr>
            <w:tcW w:w="492" w:type="pct"/>
            <w:shd w:val="clear" w:color="auto" w:fill="auto"/>
            <w:noWrap/>
            <w:vAlign w:val="center"/>
            <w:hideMark/>
          </w:tcPr>
          <w:p w:rsidRPr="00B44F75" w:rsidR="00B44F75" w:rsidP="009B774E" w:rsidRDefault="00B44F75" w14:paraId="1821E813" w14:textId="77777777">
            <w:pPr>
              <w:rPr>
                <w:rFonts w:asciiTheme="majorBidi" w:hAnsiTheme="majorBidi" w:cstheme="majorBidi"/>
                <w:b/>
                <w:bCs/>
                <w:sz w:val="20"/>
                <w:szCs w:val="20"/>
              </w:rPr>
            </w:pPr>
            <w:r w:rsidRPr="00B44F75">
              <w:rPr>
                <w:rFonts w:asciiTheme="majorBidi" w:hAnsiTheme="majorBidi" w:cstheme="majorBidi"/>
                <w:b/>
                <w:bCs/>
                <w:sz w:val="20"/>
                <w:szCs w:val="20"/>
              </w:rPr>
              <w:t>AD</w:t>
            </w:r>
          </w:p>
        </w:tc>
        <w:tc>
          <w:tcPr>
            <w:tcW w:w="488" w:type="pct"/>
            <w:shd w:val="clear" w:color="auto" w:fill="auto"/>
            <w:vAlign w:val="center"/>
          </w:tcPr>
          <w:p w:rsidRPr="00B44F75" w:rsidR="00B44F75" w:rsidP="009B774E" w:rsidRDefault="00B44F75" w14:paraId="67D0D32D" w14:textId="48B7ACFE">
            <w:pPr>
              <w:jc w:val="center"/>
              <w:rPr>
                <w:rFonts w:asciiTheme="majorBidi" w:hAnsiTheme="majorBidi" w:cstheme="majorBidi"/>
                <w:sz w:val="20"/>
                <w:szCs w:val="20"/>
              </w:rPr>
            </w:pPr>
            <w:r w:rsidRPr="00B44F75">
              <w:rPr>
                <w:sz w:val="20"/>
                <w:szCs w:val="20"/>
              </w:rPr>
              <w:t>$9,382,000</w:t>
            </w:r>
          </w:p>
        </w:tc>
        <w:tc>
          <w:tcPr>
            <w:tcW w:w="581" w:type="pct"/>
            <w:shd w:val="clear" w:color="auto" w:fill="auto"/>
            <w:noWrap/>
            <w:vAlign w:val="center"/>
            <w:hideMark/>
          </w:tcPr>
          <w:p w:rsidRPr="00B44F75" w:rsidR="00B44F75" w:rsidP="009B774E" w:rsidRDefault="00B44F75" w14:paraId="514260FB" w14:textId="49746849">
            <w:pPr>
              <w:jc w:val="center"/>
              <w:rPr>
                <w:rFonts w:asciiTheme="majorBidi" w:hAnsiTheme="majorBidi" w:cstheme="majorBidi"/>
                <w:sz w:val="20"/>
                <w:szCs w:val="20"/>
              </w:rPr>
            </w:pPr>
            <w:r w:rsidRPr="00B44F75">
              <w:rPr>
                <w:sz w:val="20"/>
                <w:szCs w:val="20"/>
              </w:rPr>
              <w:t>$3,284,000</w:t>
            </w:r>
          </w:p>
        </w:tc>
        <w:tc>
          <w:tcPr>
            <w:tcW w:w="430" w:type="pct"/>
            <w:shd w:val="clear" w:color="auto" w:fill="auto"/>
            <w:noWrap/>
            <w:vAlign w:val="center"/>
            <w:hideMark/>
          </w:tcPr>
          <w:p w:rsidRPr="00B44F75" w:rsidR="00B44F75" w:rsidP="009B774E" w:rsidRDefault="00B44F75" w14:paraId="7A8F4BC8" w14:textId="11D19476">
            <w:pPr>
              <w:jc w:val="center"/>
              <w:rPr>
                <w:rFonts w:asciiTheme="majorBidi" w:hAnsiTheme="majorBidi" w:cstheme="majorBidi"/>
                <w:sz w:val="20"/>
                <w:szCs w:val="20"/>
              </w:rPr>
            </w:pPr>
            <w:r w:rsidRPr="00B44F75">
              <w:rPr>
                <w:sz w:val="20"/>
                <w:szCs w:val="20"/>
              </w:rPr>
              <w:t>4,654</w:t>
            </w:r>
          </w:p>
        </w:tc>
        <w:tc>
          <w:tcPr>
            <w:tcW w:w="430" w:type="pct"/>
            <w:shd w:val="clear" w:color="auto" w:fill="auto"/>
            <w:noWrap/>
            <w:vAlign w:val="center"/>
            <w:hideMark/>
          </w:tcPr>
          <w:p w:rsidRPr="00B44F75" w:rsidR="00B44F75" w:rsidP="009B774E" w:rsidRDefault="00B44F75" w14:paraId="665B2640" w14:textId="30392179">
            <w:pPr>
              <w:jc w:val="center"/>
              <w:rPr>
                <w:rFonts w:asciiTheme="majorBidi" w:hAnsiTheme="majorBidi" w:cstheme="majorBidi"/>
                <w:sz w:val="20"/>
                <w:szCs w:val="20"/>
              </w:rPr>
            </w:pPr>
            <w:r w:rsidRPr="00B44F75">
              <w:rPr>
                <w:sz w:val="20"/>
                <w:szCs w:val="20"/>
              </w:rPr>
              <w:t>2.2</w:t>
            </w:r>
          </w:p>
        </w:tc>
        <w:tc>
          <w:tcPr>
            <w:tcW w:w="430" w:type="pct"/>
            <w:shd w:val="clear" w:color="auto" w:fill="auto"/>
            <w:noWrap/>
            <w:vAlign w:val="center"/>
            <w:hideMark/>
          </w:tcPr>
          <w:p w:rsidRPr="00B44F75" w:rsidR="00B44F75" w:rsidP="009B774E" w:rsidRDefault="00B44F75" w14:paraId="51D742FC" w14:textId="1AC5F80D">
            <w:pPr>
              <w:jc w:val="center"/>
              <w:rPr>
                <w:rFonts w:asciiTheme="majorBidi" w:hAnsiTheme="majorBidi" w:cstheme="majorBidi"/>
                <w:sz w:val="20"/>
                <w:szCs w:val="20"/>
              </w:rPr>
            </w:pPr>
            <w:r w:rsidRPr="00B44F75">
              <w:rPr>
                <w:sz w:val="20"/>
                <w:szCs w:val="20"/>
              </w:rPr>
              <w:t>28,916</w:t>
            </w:r>
          </w:p>
        </w:tc>
        <w:tc>
          <w:tcPr>
            <w:tcW w:w="431" w:type="pct"/>
            <w:shd w:val="clear" w:color="auto" w:fill="auto"/>
            <w:noWrap/>
            <w:vAlign w:val="center"/>
            <w:hideMark/>
          </w:tcPr>
          <w:p w:rsidRPr="00B44F75" w:rsidR="00B44F75" w:rsidP="009B774E" w:rsidRDefault="00B44F75" w14:paraId="4A31A04D" w14:textId="37C9BD13">
            <w:pPr>
              <w:jc w:val="center"/>
              <w:rPr>
                <w:rFonts w:asciiTheme="majorBidi" w:hAnsiTheme="majorBidi" w:cstheme="majorBidi"/>
                <w:sz w:val="20"/>
                <w:szCs w:val="20"/>
              </w:rPr>
            </w:pPr>
            <w:r w:rsidRPr="00B44F75">
              <w:rPr>
                <w:sz w:val="20"/>
                <w:szCs w:val="20"/>
              </w:rPr>
              <w:t>13.9</w:t>
            </w:r>
          </w:p>
        </w:tc>
        <w:tc>
          <w:tcPr>
            <w:tcW w:w="430" w:type="pct"/>
            <w:shd w:val="clear" w:color="auto" w:fill="auto"/>
            <w:noWrap/>
            <w:vAlign w:val="center"/>
            <w:hideMark/>
          </w:tcPr>
          <w:p w:rsidRPr="00B44F75" w:rsidR="00B44F75" w:rsidP="009B774E" w:rsidRDefault="00B44F75" w14:paraId="6CDF933F" w14:textId="51675E23">
            <w:pPr>
              <w:jc w:val="center"/>
              <w:rPr>
                <w:rFonts w:asciiTheme="majorBidi" w:hAnsiTheme="majorBidi" w:cstheme="majorBidi"/>
                <w:sz w:val="20"/>
                <w:szCs w:val="20"/>
              </w:rPr>
            </w:pPr>
            <w:r w:rsidRPr="00B44F75">
              <w:rPr>
                <w:sz w:val="20"/>
                <w:szCs w:val="20"/>
              </w:rPr>
              <w:t>10,467</w:t>
            </w:r>
          </w:p>
        </w:tc>
        <w:tc>
          <w:tcPr>
            <w:tcW w:w="431" w:type="pct"/>
            <w:shd w:val="clear" w:color="auto" w:fill="auto"/>
            <w:noWrap/>
            <w:vAlign w:val="center"/>
            <w:hideMark/>
          </w:tcPr>
          <w:p w:rsidRPr="00B44F75" w:rsidR="00B44F75" w:rsidP="009B774E" w:rsidRDefault="00B44F75" w14:paraId="5820B998" w14:textId="05935590">
            <w:pPr>
              <w:jc w:val="center"/>
              <w:rPr>
                <w:rFonts w:asciiTheme="majorBidi" w:hAnsiTheme="majorBidi" w:cstheme="majorBidi"/>
                <w:sz w:val="20"/>
                <w:szCs w:val="20"/>
              </w:rPr>
            </w:pPr>
            <w:r w:rsidRPr="00B44F75">
              <w:rPr>
                <w:sz w:val="20"/>
                <w:szCs w:val="20"/>
              </w:rPr>
              <w:t>5.0</w:t>
            </w:r>
          </w:p>
        </w:tc>
        <w:tc>
          <w:tcPr>
            <w:tcW w:w="430" w:type="pct"/>
            <w:shd w:val="clear" w:color="auto" w:fill="auto"/>
            <w:noWrap/>
            <w:vAlign w:val="bottom"/>
            <w:hideMark/>
          </w:tcPr>
          <w:p w:rsidRPr="00B44F75" w:rsidR="00B44F75" w:rsidP="009B774E" w:rsidRDefault="00B44F75" w14:paraId="7A7CD0A9" w14:textId="0046178F">
            <w:pPr>
              <w:jc w:val="center"/>
              <w:rPr>
                <w:rFonts w:asciiTheme="majorBidi" w:hAnsiTheme="majorBidi" w:cstheme="majorBidi"/>
                <w:sz w:val="20"/>
                <w:szCs w:val="20"/>
              </w:rPr>
            </w:pPr>
            <w:r w:rsidRPr="00B44F75">
              <w:rPr>
                <w:sz w:val="20"/>
                <w:szCs w:val="20"/>
              </w:rPr>
              <w:t>44,038</w:t>
            </w:r>
          </w:p>
        </w:tc>
        <w:tc>
          <w:tcPr>
            <w:tcW w:w="428" w:type="pct"/>
            <w:shd w:val="clear" w:color="auto" w:fill="auto"/>
            <w:noWrap/>
            <w:vAlign w:val="center"/>
            <w:hideMark/>
          </w:tcPr>
          <w:p w:rsidRPr="00B44F75" w:rsidR="00B44F75" w:rsidP="009B774E" w:rsidRDefault="00B44F75" w14:paraId="215DD86F" w14:textId="1C027CCD">
            <w:pPr>
              <w:jc w:val="center"/>
              <w:rPr>
                <w:rFonts w:asciiTheme="majorBidi" w:hAnsiTheme="majorBidi" w:cstheme="majorBidi"/>
                <w:sz w:val="20"/>
                <w:szCs w:val="20"/>
              </w:rPr>
            </w:pPr>
            <w:r w:rsidRPr="00B44F75">
              <w:rPr>
                <w:sz w:val="20"/>
                <w:szCs w:val="20"/>
              </w:rPr>
              <w:t>21.2</w:t>
            </w:r>
          </w:p>
        </w:tc>
      </w:tr>
      <w:tr w:rsidRPr="00B44F75" w:rsidR="00B44F75" w:rsidTr="007D3078" w14:paraId="45C27EE2" w14:textId="77777777">
        <w:trPr>
          <w:trHeight w:val="255"/>
        </w:trPr>
        <w:tc>
          <w:tcPr>
            <w:tcW w:w="492" w:type="pct"/>
            <w:shd w:val="clear" w:color="auto" w:fill="auto"/>
            <w:noWrap/>
            <w:vAlign w:val="center"/>
            <w:hideMark/>
          </w:tcPr>
          <w:p w:rsidRPr="00B44F75" w:rsidR="00B44F75" w:rsidP="009B774E" w:rsidRDefault="00B44F75" w14:paraId="76C55308" w14:textId="77777777">
            <w:pPr>
              <w:rPr>
                <w:rFonts w:asciiTheme="majorBidi" w:hAnsiTheme="majorBidi" w:cstheme="majorBidi"/>
                <w:b/>
                <w:bCs/>
                <w:sz w:val="20"/>
                <w:szCs w:val="20"/>
              </w:rPr>
            </w:pPr>
            <w:r w:rsidRPr="00B44F75">
              <w:rPr>
                <w:rFonts w:asciiTheme="majorBidi" w:hAnsiTheme="majorBidi" w:cstheme="majorBidi"/>
                <w:b/>
                <w:bCs/>
                <w:sz w:val="20"/>
                <w:szCs w:val="20"/>
              </w:rPr>
              <w:t>BPPD</w:t>
            </w:r>
          </w:p>
        </w:tc>
        <w:tc>
          <w:tcPr>
            <w:tcW w:w="488" w:type="pct"/>
            <w:shd w:val="clear" w:color="auto" w:fill="auto"/>
            <w:vAlign w:val="center"/>
          </w:tcPr>
          <w:p w:rsidRPr="00B44F75" w:rsidR="00B44F75" w:rsidP="009B774E" w:rsidRDefault="00B44F75" w14:paraId="0B0F5B29" w14:textId="267A92A0">
            <w:pPr>
              <w:jc w:val="center"/>
              <w:rPr>
                <w:rFonts w:asciiTheme="majorBidi" w:hAnsiTheme="majorBidi" w:cstheme="majorBidi"/>
                <w:sz w:val="20"/>
                <w:szCs w:val="20"/>
              </w:rPr>
            </w:pPr>
            <w:r w:rsidRPr="00B44F75">
              <w:rPr>
                <w:sz w:val="20"/>
                <w:szCs w:val="20"/>
              </w:rPr>
              <w:t>$5,097,000</w:t>
            </w:r>
          </w:p>
        </w:tc>
        <w:tc>
          <w:tcPr>
            <w:tcW w:w="581" w:type="pct"/>
            <w:shd w:val="clear" w:color="auto" w:fill="auto"/>
            <w:noWrap/>
            <w:vAlign w:val="center"/>
            <w:hideMark/>
          </w:tcPr>
          <w:p w:rsidRPr="00B44F75" w:rsidR="00B44F75" w:rsidP="009B774E" w:rsidRDefault="00B44F75" w14:paraId="6728F41B" w14:textId="4757D74C">
            <w:pPr>
              <w:jc w:val="center"/>
              <w:rPr>
                <w:rFonts w:asciiTheme="majorBidi" w:hAnsiTheme="majorBidi" w:cstheme="majorBidi"/>
                <w:sz w:val="20"/>
                <w:szCs w:val="20"/>
              </w:rPr>
            </w:pPr>
            <w:r w:rsidRPr="00B44F75">
              <w:rPr>
                <w:sz w:val="20"/>
                <w:szCs w:val="20"/>
              </w:rPr>
              <w:t>$1,784,000</w:t>
            </w:r>
          </w:p>
        </w:tc>
        <w:tc>
          <w:tcPr>
            <w:tcW w:w="430" w:type="pct"/>
            <w:shd w:val="clear" w:color="auto" w:fill="auto"/>
            <w:noWrap/>
            <w:vAlign w:val="center"/>
            <w:hideMark/>
          </w:tcPr>
          <w:p w:rsidRPr="00B44F75" w:rsidR="00B44F75" w:rsidP="009B774E" w:rsidRDefault="00B44F75" w14:paraId="2929A333" w14:textId="0FEB49EA">
            <w:pPr>
              <w:jc w:val="center"/>
              <w:rPr>
                <w:rFonts w:asciiTheme="majorBidi" w:hAnsiTheme="majorBidi" w:cstheme="majorBidi"/>
                <w:sz w:val="20"/>
                <w:szCs w:val="20"/>
              </w:rPr>
            </w:pPr>
            <w:r w:rsidRPr="00B44F75">
              <w:rPr>
                <w:sz w:val="20"/>
                <w:szCs w:val="20"/>
              </w:rPr>
              <w:t>2,528</w:t>
            </w:r>
          </w:p>
        </w:tc>
        <w:tc>
          <w:tcPr>
            <w:tcW w:w="430" w:type="pct"/>
            <w:shd w:val="clear" w:color="auto" w:fill="auto"/>
            <w:noWrap/>
            <w:vAlign w:val="center"/>
            <w:hideMark/>
          </w:tcPr>
          <w:p w:rsidRPr="00B44F75" w:rsidR="00B44F75" w:rsidP="009B774E" w:rsidRDefault="00B44F75" w14:paraId="3D66AAE0" w14:textId="507F5E8A">
            <w:pPr>
              <w:jc w:val="center"/>
              <w:rPr>
                <w:rFonts w:asciiTheme="majorBidi" w:hAnsiTheme="majorBidi" w:cstheme="majorBidi"/>
                <w:sz w:val="20"/>
                <w:szCs w:val="20"/>
              </w:rPr>
            </w:pPr>
            <w:r w:rsidRPr="00B44F75">
              <w:rPr>
                <w:sz w:val="20"/>
                <w:szCs w:val="20"/>
              </w:rPr>
              <w:t>1.2</w:t>
            </w:r>
          </w:p>
        </w:tc>
        <w:tc>
          <w:tcPr>
            <w:tcW w:w="430" w:type="pct"/>
            <w:shd w:val="clear" w:color="auto" w:fill="auto"/>
            <w:noWrap/>
            <w:vAlign w:val="center"/>
            <w:hideMark/>
          </w:tcPr>
          <w:p w:rsidRPr="00B44F75" w:rsidR="00B44F75" w:rsidP="009B774E" w:rsidRDefault="00B44F75" w14:paraId="26B63AEE" w14:textId="415AA761">
            <w:pPr>
              <w:jc w:val="center"/>
              <w:rPr>
                <w:rFonts w:asciiTheme="majorBidi" w:hAnsiTheme="majorBidi" w:cstheme="majorBidi"/>
                <w:sz w:val="20"/>
                <w:szCs w:val="20"/>
              </w:rPr>
            </w:pPr>
            <w:r w:rsidRPr="00B44F75">
              <w:rPr>
                <w:sz w:val="20"/>
                <w:szCs w:val="20"/>
              </w:rPr>
              <w:t>15,708</w:t>
            </w:r>
          </w:p>
        </w:tc>
        <w:tc>
          <w:tcPr>
            <w:tcW w:w="431" w:type="pct"/>
            <w:shd w:val="clear" w:color="auto" w:fill="auto"/>
            <w:noWrap/>
            <w:vAlign w:val="center"/>
            <w:hideMark/>
          </w:tcPr>
          <w:p w:rsidRPr="00B44F75" w:rsidR="00B44F75" w:rsidP="009B774E" w:rsidRDefault="00B44F75" w14:paraId="37FF70FD" w14:textId="4DD40682">
            <w:pPr>
              <w:jc w:val="center"/>
              <w:rPr>
                <w:rFonts w:asciiTheme="majorBidi" w:hAnsiTheme="majorBidi" w:cstheme="majorBidi"/>
                <w:sz w:val="20"/>
                <w:szCs w:val="20"/>
              </w:rPr>
            </w:pPr>
            <w:r w:rsidRPr="00B44F75">
              <w:rPr>
                <w:sz w:val="20"/>
                <w:szCs w:val="20"/>
              </w:rPr>
              <w:t>7.6</w:t>
            </w:r>
          </w:p>
        </w:tc>
        <w:tc>
          <w:tcPr>
            <w:tcW w:w="430" w:type="pct"/>
            <w:shd w:val="clear" w:color="auto" w:fill="auto"/>
            <w:noWrap/>
            <w:vAlign w:val="center"/>
            <w:hideMark/>
          </w:tcPr>
          <w:p w:rsidRPr="00B44F75" w:rsidR="00B44F75" w:rsidP="009B774E" w:rsidRDefault="00B44F75" w14:paraId="5D9E5A0C" w14:textId="5A0A9400">
            <w:pPr>
              <w:jc w:val="center"/>
              <w:rPr>
                <w:rFonts w:asciiTheme="majorBidi" w:hAnsiTheme="majorBidi" w:cstheme="majorBidi"/>
                <w:sz w:val="20"/>
                <w:szCs w:val="20"/>
              </w:rPr>
            </w:pPr>
            <w:r w:rsidRPr="00B44F75">
              <w:rPr>
                <w:sz w:val="20"/>
                <w:szCs w:val="20"/>
              </w:rPr>
              <w:t>5,686</w:t>
            </w:r>
          </w:p>
        </w:tc>
        <w:tc>
          <w:tcPr>
            <w:tcW w:w="431" w:type="pct"/>
            <w:shd w:val="clear" w:color="auto" w:fill="auto"/>
            <w:noWrap/>
            <w:vAlign w:val="center"/>
            <w:hideMark/>
          </w:tcPr>
          <w:p w:rsidRPr="00B44F75" w:rsidR="00B44F75" w:rsidP="009B774E" w:rsidRDefault="00B44F75" w14:paraId="1EF16AC8" w14:textId="62DC979E">
            <w:pPr>
              <w:jc w:val="center"/>
              <w:rPr>
                <w:rFonts w:asciiTheme="majorBidi" w:hAnsiTheme="majorBidi" w:cstheme="majorBidi"/>
                <w:sz w:val="20"/>
                <w:szCs w:val="20"/>
              </w:rPr>
            </w:pPr>
            <w:r w:rsidRPr="00B44F75">
              <w:rPr>
                <w:sz w:val="20"/>
                <w:szCs w:val="20"/>
              </w:rPr>
              <w:t>2.7</w:t>
            </w:r>
          </w:p>
        </w:tc>
        <w:tc>
          <w:tcPr>
            <w:tcW w:w="430" w:type="pct"/>
            <w:shd w:val="clear" w:color="auto" w:fill="auto"/>
            <w:noWrap/>
            <w:vAlign w:val="bottom"/>
            <w:hideMark/>
          </w:tcPr>
          <w:p w:rsidRPr="00B44F75" w:rsidR="00B44F75" w:rsidP="009B774E" w:rsidRDefault="00B44F75" w14:paraId="2E9A4E21" w14:textId="43B17D83">
            <w:pPr>
              <w:jc w:val="center"/>
              <w:rPr>
                <w:rFonts w:asciiTheme="majorBidi" w:hAnsiTheme="majorBidi" w:cstheme="majorBidi"/>
                <w:sz w:val="20"/>
                <w:szCs w:val="20"/>
              </w:rPr>
            </w:pPr>
            <w:r w:rsidRPr="00B44F75">
              <w:rPr>
                <w:sz w:val="20"/>
                <w:szCs w:val="20"/>
              </w:rPr>
              <w:t>23,923</w:t>
            </w:r>
          </w:p>
        </w:tc>
        <w:tc>
          <w:tcPr>
            <w:tcW w:w="428" w:type="pct"/>
            <w:shd w:val="clear" w:color="auto" w:fill="auto"/>
            <w:noWrap/>
            <w:vAlign w:val="center"/>
            <w:hideMark/>
          </w:tcPr>
          <w:p w:rsidRPr="00B44F75" w:rsidR="00B44F75" w:rsidP="009B774E" w:rsidRDefault="00B44F75" w14:paraId="70B408CC" w14:textId="0B28E0C3">
            <w:pPr>
              <w:jc w:val="center"/>
              <w:rPr>
                <w:rFonts w:asciiTheme="majorBidi" w:hAnsiTheme="majorBidi" w:cstheme="majorBidi"/>
                <w:sz w:val="20"/>
                <w:szCs w:val="20"/>
              </w:rPr>
            </w:pPr>
            <w:r w:rsidRPr="00B44F75">
              <w:rPr>
                <w:sz w:val="20"/>
                <w:szCs w:val="20"/>
              </w:rPr>
              <w:t>11.5</w:t>
            </w:r>
          </w:p>
        </w:tc>
      </w:tr>
      <w:tr w:rsidRPr="00B44F75" w:rsidR="00B44F75" w:rsidTr="007D3078" w14:paraId="6C1B2691" w14:textId="77777777">
        <w:trPr>
          <w:trHeight w:val="255"/>
        </w:trPr>
        <w:tc>
          <w:tcPr>
            <w:tcW w:w="492" w:type="pct"/>
            <w:shd w:val="clear" w:color="auto" w:fill="auto"/>
            <w:noWrap/>
            <w:vAlign w:val="center"/>
            <w:hideMark/>
          </w:tcPr>
          <w:p w:rsidRPr="00B44F75" w:rsidR="00B44F75" w:rsidP="009B774E" w:rsidRDefault="00B44F75" w14:paraId="518A78D8" w14:textId="77777777">
            <w:pPr>
              <w:rPr>
                <w:rFonts w:asciiTheme="majorBidi" w:hAnsiTheme="majorBidi" w:cstheme="majorBidi"/>
                <w:b/>
                <w:bCs/>
                <w:sz w:val="20"/>
                <w:szCs w:val="20"/>
              </w:rPr>
            </w:pPr>
            <w:r w:rsidRPr="00B44F75">
              <w:rPr>
                <w:rFonts w:asciiTheme="majorBidi" w:hAnsiTheme="majorBidi" w:cstheme="majorBidi"/>
                <w:b/>
                <w:bCs/>
                <w:sz w:val="20"/>
                <w:szCs w:val="20"/>
              </w:rPr>
              <w:t>RD</w:t>
            </w:r>
          </w:p>
        </w:tc>
        <w:tc>
          <w:tcPr>
            <w:tcW w:w="488" w:type="pct"/>
            <w:shd w:val="clear" w:color="auto" w:fill="auto"/>
            <w:vAlign w:val="center"/>
          </w:tcPr>
          <w:p w:rsidRPr="00B44F75" w:rsidR="00B44F75" w:rsidP="009B774E" w:rsidRDefault="00B44F75" w14:paraId="484AE104" w14:textId="3A4347F8">
            <w:pPr>
              <w:jc w:val="center"/>
              <w:rPr>
                <w:rFonts w:asciiTheme="majorBidi" w:hAnsiTheme="majorBidi" w:cstheme="majorBidi"/>
                <w:sz w:val="20"/>
                <w:szCs w:val="20"/>
              </w:rPr>
            </w:pPr>
            <w:r w:rsidRPr="00B44F75">
              <w:rPr>
                <w:sz w:val="20"/>
                <w:szCs w:val="20"/>
              </w:rPr>
              <w:t>$9,847,000</w:t>
            </w:r>
          </w:p>
        </w:tc>
        <w:tc>
          <w:tcPr>
            <w:tcW w:w="581" w:type="pct"/>
            <w:shd w:val="clear" w:color="auto" w:fill="auto"/>
            <w:noWrap/>
            <w:vAlign w:val="center"/>
            <w:hideMark/>
          </w:tcPr>
          <w:p w:rsidRPr="00B44F75" w:rsidR="00B44F75" w:rsidP="009B774E" w:rsidRDefault="00B44F75" w14:paraId="7BA73B87" w14:textId="422CD899">
            <w:pPr>
              <w:jc w:val="center"/>
              <w:rPr>
                <w:rFonts w:asciiTheme="majorBidi" w:hAnsiTheme="majorBidi" w:cstheme="majorBidi"/>
                <w:sz w:val="20"/>
                <w:szCs w:val="20"/>
              </w:rPr>
            </w:pPr>
            <w:r w:rsidRPr="00B44F75">
              <w:rPr>
                <w:sz w:val="20"/>
                <w:szCs w:val="20"/>
              </w:rPr>
              <w:t>$3,446,000</w:t>
            </w:r>
          </w:p>
        </w:tc>
        <w:tc>
          <w:tcPr>
            <w:tcW w:w="430" w:type="pct"/>
            <w:shd w:val="clear" w:color="auto" w:fill="auto"/>
            <w:noWrap/>
            <w:vAlign w:val="center"/>
            <w:hideMark/>
          </w:tcPr>
          <w:p w:rsidRPr="00B44F75" w:rsidR="00B44F75" w:rsidP="009B774E" w:rsidRDefault="00B44F75" w14:paraId="59A3AB85" w14:textId="4D7E47D0">
            <w:pPr>
              <w:jc w:val="center"/>
              <w:rPr>
                <w:rFonts w:asciiTheme="majorBidi" w:hAnsiTheme="majorBidi" w:cstheme="majorBidi"/>
                <w:sz w:val="20"/>
                <w:szCs w:val="20"/>
              </w:rPr>
            </w:pPr>
            <w:r w:rsidRPr="00B44F75">
              <w:rPr>
                <w:sz w:val="20"/>
                <w:szCs w:val="20"/>
              </w:rPr>
              <w:t>4,883</w:t>
            </w:r>
          </w:p>
        </w:tc>
        <w:tc>
          <w:tcPr>
            <w:tcW w:w="430" w:type="pct"/>
            <w:shd w:val="clear" w:color="auto" w:fill="auto"/>
            <w:noWrap/>
            <w:vAlign w:val="center"/>
            <w:hideMark/>
          </w:tcPr>
          <w:p w:rsidRPr="00B44F75" w:rsidR="00B44F75" w:rsidP="009B774E" w:rsidRDefault="00B44F75" w14:paraId="76F7E25B" w14:textId="0095D56D">
            <w:pPr>
              <w:jc w:val="center"/>
              <w:rPr>
                <w:rFonts w:asciiTheme="majorBidi" w:hAnsiTheme="majorBidi" w:cstheme="majorBidi"/>
                <w:sz w:val="20"/>
                <w:szCs w:val="20"/>
              </w:rPr>
            </w:pPr>
            <w:r w:rsidRPr="00B44F75">
              <w:rPr>
                <w:sz w:val="20"/>
                <w:szCs w:val="20"/>
              </w:rPr>
              <w:t>2.3</w:t>
            </w:r>
          </w:p>
        </w:tc>
        <w:tc>
          <w:tcPr>
            <w:tcW w:w="430" w:type="pct"/>
            <w:shd w:val="clear" w:color="auto" w:fill="auto"/>
            <w:noWrap/>
            <w:vAlign w:val="center"/>
            <w:hideMark/>
          </w:tcPr>
          <w:p w:rsidRPr="00B44F75" w:rsidR="00B44F75" w:rsidP="009B774E" w:rsidRDefault="00B44F75" w14:paraId="1EB3C37B" w14:textId="0F29686E">
            <w:pPr>
              <w:jc w:val="center"/>
              <w:rPr>
                <w:rFonts w:asciiTheme="majorBidi" w:hAnsiTheme="majorBidi" w:cstheme="majorBidi"/>
                <w:sz w:val="20"/>
                <w:szCs w:val="20"/>
              </w:rPr>
            </w:pPr>
            <w:r w:rsidRPr="00B44F75">
              <w:rPr>
                <w:sz w:val="20"/>
                <w:szCs w:val="20"/>
              </w:rPr>
              <w:t>30,343</w:t>
            </w:r>
          </w:p>
        </w:tc>
        <w:tc>
          <w:tcPr>
            <w:tcW w:w="431" w:type="pct"/>
            <w:shd w:val="clear" w:color="auto" w:fill="auto"/>
            <w:noWrap/>
            <w:vAlign w:val="center"/>
            <w:hideMark/>
          </w:tcPr>
          <w:p w:rsidRPr="00B44F75" w:rsidR="00B44F75" w:rsidP="009B774E" w:rsidRDefault="00B44F75" w14:paraId="715F1A6D" w14:textId="4297EF6C">
            <w:pPr>
              <w:jc w:val="center"/>
              <w:rPr>
                <w:rFonts w:asciiTheme="majorBidi" w:hAnsiTheme="majorBidi" w:cstheme="majorBidi"/>
                <w:sz w:val="20"/>
                <w:szCs w:val="20"/>
              </w:rPr>
            </w:pPr>
            <w:r w:rsidRPr="00B44F75">
              <w:rPr>
                <w:sz w:val="20"/>
                <w:szCs w:val="20"/>
              </w:rPr>
              <w:t>14.6</w:t>
            </w:r>
          </w:p>
        </w:tc>
        <w:tc>
          <w:tcPr>
            <w:tcW w:w="430" w:type="pct"/>
            <w:shd w:val="clear" w:color="auto" w:fill="auto"/>
            <w:noWrap/>
            <w:vAlign w:val="center"/>
            <w:hideMark/>
          </w:tcPr>
          <w:p w:rsidRPr="00B44F75" w:rsidR="00B44F75" w:rsidP="009B774E" w:rsidRDefault="00B44F75" w14:paraId="6885B225" w14:textId="59C8CEB3">
            <w:pPr>
              <w:jc w:val="center"/>
              <w:rPr>
                <w:rFonts w:asciiTheme="majorBidi" w:hAnsiTheme="majorBidi" w:cstheme="majorBidi"/>
                <w:sz w:val="20"/>
                <w:szCs w:val="20"/>
              </w:rPr>
            </w:pPr>
            <w:r w:rsidRPr="00B44F75">
              <w:rPr>
                <w:sz w:val="20"/>
                <w:szCs w:val="20"/>
              </w:rPr>
              <w:t>10,984</w:t>
            </w:r>
          </w:p>
        </w:tc>
        <w:tc>
          <w:tcPr>
            <w:tcW w:w="431" w:type="pct"/>
            <w:shd w:val="clear" w:color="auto" w:fill="auto"/>
            <w:noWrap/>
            <w:vAlign w:val="center"/>
            <w:hideMark/>
          </w:tcPr>
          <w:p w:rsidRPr="00B44F75" w:rsidR="00B44F75" w:rsidP="009B774E" w:rsidRDefault="00B44F75" w14:paraId="6C101AAB" w14:textId="07AE7DB3">
            <w:pPr>
              <w:jc w:val="center"/>
              <w:rPr>
                <w:rFonts w:asciiTheme="majorBidi" w:hAnsiTheme="majorBidi" w:cstheme="majorBidi"/>
                <w:sz w:val="20"/>
                <w:szCs w:val="20"/>
              </w:rPr>
            </w:pPr>
            <w:r w:rsidRPr="00B44F75">
              <w:rPr>
                <w:sz w:val="20"/>
                <w:szCs w:val="20"/>
              </w:rPr>
              <w:t>5.3</w:t>
            </w:r>
          </w:p>
        </w:tc>
        <w:tc>
          <w:tcPr>
            <w:tcW w:w="430" w:type="pct"/>
            <w:shd w:val="clear" w:color="auto" w:fill="auto"/>
            <w:noWrap/>
            <w:vAlign w:val="bottom"/>
            <w:hideMark/>
          </w:tcPr>
          <w:p w:rsidRPr="00B44F75" w:rsidR="00B44F75" w:rsidP="009B774E" w:rsidRDefault="00B44F75" w14:paraId="40DBFB2C" w14:textId="4C18F93E">
            <w:pPr>
              <w:jc w:val="center"/>
              <w:rPr>
                <w:rFonts w:asciiTheme="majorBidi" w:hAnsiTheme="majorBidi" w:cstheme="majorBidi"/>
                <w:sz w:val="20"/>
                <w:szCs w:val="20"/>
              </w:rPr>
            </w:pPr>
            <w:r w:rsidRPr="00B44F75">
              <w:rPr>
                <w:sz w:val="20"/>
                <w:szCs w:val="20"/>
              </w:rPr>
              <w:t>46,210</w:t>
            </w:r>
          </w:p>
        </w:tc>
        <w:tc>
          <w:tcPr>
            <w:tcW w:w="428" w:type="pct"/>
            <w:shd w:val="clear" w:color="auto" w:fill="auto"/>
            <w:noWrap/>
            <w:vAlign w:val="center"/>
            <w:hideMark/>
          </w:tcPr>
          <w:p w:rsidRPr="00B44F75" w:rsidR="00B44F75" w:rsidP="009B774E" w:rsidRDefault="00B44F75" w14:paraId="523F93EF" w14:textId="751EA8B8">
            <w:pPr>
              <w:jc w:val="center"/>
              <w:rPr>
                <w:rFonts w:asciiTheme="majorBidi" w:hAnsiTheme="majorBidi" w:cstheme="majorBidi"/>
                <w:sz w:val="20"/>
                <w:szCs w:val="20"/>
              </w:rPr>
            </w:pPr>
            <w:r w:rsidRPr="00B44F75">
              <w:rPr>
                <w:sz w:val="20"/>
                <w:szCs w:val="20"/>
              </w:rPr>
              <w:t>22.2</w:t>
            </w:r>
          </w:p>
        </w:tc>
      </w:tr>
    </w:tbl>
    <w:p w:rsidRPr="00B44F75" w:rsidR="008253DD" w:rsidP="009B774E" w:rsidRDefault="008253DD" w14:paraId="68A37458" w14:textId="77777777">
      <w:pPr>
        <w:rPr>
          <w:rFonts w:asciiTheme="majorBidi" w:hAnsiTheme="majorBidi" w:cstheme="majorBidi"/>
          <w:sz w:val="2"/>
          <w:szCs w:val="2"/>
        </w:rPr>
      </w:pPr>
    </w:p>
    <w:p w:rsidR="005459DF" w:rsidP="009B774E" w:rsidRDefault="005459DF" w14:paraId="159774BC" w14:textId="77777777">
      <w:pPr>
        <w:rPr>
          <w:rFonts w:asciiTheme="majorBidi" w:hAnsiTheme="majorBidi" w:cstheme="majorBidi"/>
          <w:sz w:val="20"/>
        </w:rPr>
      </w:pPr>
      <w:r>
        <w:rPr>
          <w:rFonts w:asciiTheme="majorBidi" w:hAnsiTheme="majorBidi" w:cstheme="majorBidi"/>
          <w:sz w:val="20"/>
        </w:rPr>
        <w:t>*Numbers may not sum due to rounding.</w:t>
      </w:r>
    </w:p>
    <w:p w:rsidRPr="00B44F75" w:rsidR="008253DD" w:rsidP="009B774E" w:rsidRDefault="008253DD" w14:paraId="61B354EB" w14:textId="77777777">
      <w:pPr>
        <w:rPr>
          <w:rFonts w:asciiTheme="majorBidi" w:hAnsiTheme="majorBidi" w:cstheme="majorBidi"/>
        </w:rPr>
      </w:pPr>
    </w:p>
    <w:p w:rsidRPr="008F5A07" w:rsidR="00721A36" w:rsidP="009B774E" w:rsidRDefault="00721A36" w14:paraId="6CFF30A2" w14:textId="76E28126">
      <w:pPr>
        <w:ind w:firstLine="720"/>
        <w:rPr>
          <w:rFonts w:asciiTheme="majorBidi" w:hAnsiTheme="majorBidi" w:cstheme="majorBidi"/>
        </w:rPr>
      </w:pPr>
      <w:r w:rsidRPr="008F5A07">
        <w:rPr>
          <w:rFonts w:asciiTheme="majorBidi" w:hAnsiTheme="majorBidi" w:cstheme="majorBidi"/>
        </w:rPr>
        <w:t xml:space="preserve">Table 6-B shows the calculation of average annual burden hours and costs </w:t>
      </w:r>
      <w:r w:rsidRPr="008F5A07" w:rsidR="000A2E92">
        <w:rPr>
          <w:rFonts w:asciiTheme="majorBidi" w:hAnsiTheme="majorBidi" w:cstheme="majorBidi"/>
        </w:rPr>
        <w:t>from paperwork from data generation for new AIs.</w:t>
      </w:r>
      <w:r w:rsidRPr="008F5A07" w:rsidR="007841AD">
        <w:rPr>
          <w:rFonts w:asciiTheme="majorBidi" w:hAnsiTheme="majorBidi" w:cstheme="majorBidi"/>
        </w:rPr>
        <w:t xml:space="preserve"> </w:t>
      </w:r>
      <w:r w:rsidRPr="008F5A07" w:rsidR="000A2E92">
        <w:rPr>
          <w:rFonts w:asciiTheme="majorBidi" w:hAnsiTheme="majorBidi" w:cstheme="majorBidi"/>
        </w:rPr>
        <w:t xml:space="preserve">The burden per registration is taken from </w:t>
      </w:r>
      <w:r w:rsidRPr="008F5A07">
        <w:rPr>
          <w:rFonts w:asciiTheme="majorBidi" w:hAnsiTheme="majorBidi" w:cstheme="majorBidi"/>
        </w:rPr>
        <w:t>Table 6-A.</w:t>
      </w:r>
      <w:r w:rsidRPr="008F5A07" w:rsidR="007841AD">
        <w:rPr>
          <w:rFonts w:asciiTheme="majorBidi" w:hAnsiTheme="majorBidi" w:cstheme="majorBidi"/>
        </w:rPr>
        <w:t xml:space="preserve"> </w:t>
      </w:r>
      <w:r w:rsidRPr="008F5A07" w:rsidR="000A2E92">
        <w:rPr>
          <w:rFonts w:asciiTheme="majorBidi" w:hAnsiTheme="majorBidi" w:cstheme="majorBidi"/>
        </w:rPr>
        <w:t>Average annual burden hours is calculated from the average annual responses and burden per registration.</w:t>
      </w:r>
      <w:r w:rsidRPr="008F5A07" w:rsidR="007841AD">
        <w:rPr>
          <w:rFonts w:asciiTheme="majorBidi" w:hAnsiTheme="majorBidi" w:cstheme="majorBidi"/>
        </w:rPr>
        <w:t xml:space="preserve"> </w:t>
      </w:r>
      <w:r w:rsidRPr="008F5A07" w:rsidR="000A2E92">
        <w:rPr>
          <w:rFonts w:asciiTheme="majorBidi" w:hAnsiTheme="majorBidi" w:cstheme="majorBidi"/>
        </w:rPr>
        <w:t xml:space="preserve">Average annual costs </w:t>
      </w:r>
      <w:r w:rsidRPr="008F5A07" w:rsidR="00ED614C">
        <w:rPr>
          <w:rFonts w:asciiTheme="majorBidi" w:hAnsiTheme="majorBidi" w:cstheme="majorBidi"/>
        </w:rPr>
        <w:t>are</w:t>
      </w:r>
      <w:r w:rsidRPr="008F5A07" w:rsidR="000A2E92">
        <w:rPr>
          <w:rFonts w:asciiTheme="majorBidi" w:hAnsiTheme="majorBidi" w:cstheme="majorBidi"/>
        </w:rPr>
        <w:t xml:space="preserve"> calculated from the average annual responses and average paperwork cost from Table 6-A.</w:t>
      </w:r>
    </w:p>
    <w:tbl>
      <w:tblPr>
        <w:tblW w:w="5000" w:type="pct"/>
        <w:tblLook w:val="04A0" w:firstRow="1" w:lastRow="0" w:firstColumn="1" w:lastColumn="0" w:noHBand="0" w:noVBand="1"/>
      </w:tblPr>
      <w:tblGrid>
        <w:gridCol w:w="1639"/>
        <w:gridCol w:w="1869"/>
        <w:gridCol w:w="1711"/>
        <w:gridCol w:w="1924"/>
        <w:gridCol w:w="2217"/>
      </w:tblGrid>
      <w:tr w:rsidRPr="008F5A07" w:rsidR="00C270C5" w:rsidTr="001E1DD8" w14:paraId="783DEC46" w14:textId="77777777">
        <w:trPr>
          <w:trHeight w:val="270"/>
        </w:trPr>
        <w:tc>
          <w:tcPr>
            <w:tcW w:w="5000" w:type="pct"/>
            <w:gridSpan w:val="5"/>
            <w:tcBorders>
              <w:top w:val="nil"/>
              <w:left w:val="nil"/>
              <w:bottom w:val="double" w:color="auto" w:sz="4" w:space="0"/>
              <w:right w:val="nil"/>
            </w:tcBorders>
            <w:shd w:val="clear" w:color="auto" w:fill="auto"/>
            <w:noWrap/>
            <w:vAlign w:val="bottom"/>
            <w:hideMark/>
          </w:tcPr>
          <w:p w:rsidRPr="008F5A07" w:rsidR="00062CB6" w:rsidP="009B774E" w:rsidRDefault="00062CB6" w14:paraId="7A42DAC4" w14:textId="77777777">
            <w:pPr>
              <w:rPr>
                <w:rFonts w:asciiTheme="majorBidi" w:hAnsiTheme="majorBidi" w:cstheme="majorBidi"/>
                <w:b/>
                <w:sz w:val="22"/>
                <w:szCs w:val="22"/>
              </w:rPr>
            </w:pPr>
          </w:p>
          <w:p w:rsidRPr="008F5A07" w:rsidR="000A2E92" w:rsidP="009B774E" w:rsidRDefault="000A2E92" w14:paraId="42C41A9E" w14:textId="152A8E24">
            <w:pPr>
              <w:rPr>
                <w:rFonts w:asciiTheme="majorBidi" w:hAnsiTheme="majorBidi" w:cstheme="majorBidi"/>
                <w:b/>
                <w:sz w:val="20"/>
                <w:szCs w:val="20"/>
              </w:rPr>
            </w:pPr>
            <w:r w:rsidRPr="008F5A07">
              <w:rPr>
                <w:rFonts w:asciiTheme="majorBidi" w:hAnsiTheme="majorBidi" w:cstheme="majorBidi"/>
                <w:b/>
                <w:sz w:val="22"/>
                <w:szCs w:val="22"/>
              </w:rPr>
              <w:t>Table 6-B: Estimates of Annual Paperwork Burden Hours and Cost from Data Generation for New AIs</w:t>
            </w:r>
          </w:p>
        </w:tc>
      </w:tr>
      <w:tr w:rsidRPr="008F5A07" w:rsidR="00C270C5" w:rsidTr="00396653" w14:paraId="73577E4A" w14:textId="77777777">
        <w:trPr>
          <w:trHeight w:val="495"/>
        </w:trPr>
        <w:tc>
          <w:tcPr>
            <w:tcW w:w="875" w:type="pct"/>
            <w:tcBorders>
              <w:top w:val="double" w:color="auto" w:sz="4" w:space="0"/>
              <w:left w:val="double" w:color="auto" w:sz="4" w:space="0"/>
              <w:bottom w:val="single" w:color="auto" w:sz="6" w:space="0"/>
              <w:right w:val="single" w:color="auto" w:sz="6" w:space="0"/>
            </w:tcBorders>
            <w:vAlign w:val="center"/>
            <w:hideMark/>
          </w:tcPr>
          <w:p w:rsidRPr="008F5A07" w:rsidR="00773105" w:rsidP="009B774E" w:rsidRDefault="00773105" w14:paraId="2BEC136D" w14:textId="77777777">
            <w:pPr>
              <w:rPr>
                <w:rFonts w:asciiTheme="majorBidi" w:hAnsiTheme="majorBidi" w:cstheme="majorBidi"/>
                <w:b/>
                <w:sz w:val="20"/>
                <w:szCs w:val="20"/>
              </w:rPr>
            </w:pPr>
          </w:p>
        </w:tc>
        <w:tc>
          <w:tcPr>
            <w:tcW w:w="998" w:type="pct"/>
            <w:tcBorders>
              <w:top w:val="double" w:color="auto" w:sz="4" w:space="0"/>
              <w:left w:val="single" w:color="auto" w:sz="6" w:space="0"/>
              <w:bottom w:val="single" w:color="auto" w:sz="6" w:space="0"/>
              <w:right w:val="single" w:color="auto" w:sz="6" w:space="0"/>
            </w:tcBorders>
            <w:shd w:val="clear" w:color="auto" w:fill="auto"/>
            <w:vAlign w:val="center"/>
            <w:hideMark/>
          </w:tcPr>
          <w:p w:rsidRPr="008F5A07" w:rsidR="00773105" w:rsidP="009B774E" w:rsidRDefault="00773105" w14:paraId="1AB201C2" w14:textId="3F444E6C">
            <w:pPr>
              <w:jc w:val="center"/>
              <w:rPr>
                <w:rFonts w:asciiTheme="majorBidi" w:hAnsiTheme="majorBidi" w:cstheme="majorBidi"/>
                <w:b/>
                <w:sz w:val="20"/>
                <w:szCs w:val="20"/>
                <w:vertAlign w:val="superscript"/>
              </w:rPr>
            </w:pPr>
            <w:r w:rsidRPr="008F5A07">
              <w:rPr>
                <w:rFonts w:asciiTheme="majorBidi" w:hAnsiTheme="majorBidi" w:cstheme="majorBidi"/>
                <w:b/>
                <w:sz w:val="20"/>
                <w:szCs w:val="20"/>
              </w:rPr>
              <w:t>Burden per Registration</w:t>
            </w:r>
            <w:r w:rsidRPr="008F5A07" w:rsidR="000A2E92">
              <w:rPr>
                <w:rFonts w:asciiTheme="majorBidi" w:hAnsiTheme="majorBidi" w:cstheme="majorBidi"/>
                <w:b/>
                <w:sz w:val="20"/>
                <w:szCs w:val="20"/>
              </w:rPr>
              <w:t xml:space="preserve"> </w:t>
            </w:r>
            <w:r w:rsidRPr="008F5A07" w:rsidR="000A2E92">
              <w:rPr>
                <w:rFonts w:asciiTheme="majorBidi" w:hAnsiTheme="majorBidi" w:cstheme="majorBidi"/>
                <w:b/>
                <w:sz w:val="20"/>
                <w:szCs w:val="20"/>
                <w:vertAlign w:val="superscript"/>
              </w:rPr>
              <w:t>1</w:t>
            </w:r>
          </w:p>
        </w:tc>
        <w:tc>
          <w:tcPr>
            <w:tcW w:w="913" w:type="pct"/>
            <w:tcBorders>
              <w:top w:val="double" w:color="auto" w:sz="4" w:space="0"/>
              <w:left w:val="single" w:color="auto" w:sz="6" w:space="0"/>
              <w:bottom w:val="single" w:color="auto" w:sz="6" w:space="0"/>
              <w:right w:val="single" w:color="auto" w:sz="6" w:space="0"/>
            </w:tcBorders>
            <w:shd w:val="clear" w:color="auto" w:fill="auto"/>
            <w:vAlign w:val="center"/>
            <w:hideMark/>
          </w:tcPr>
          <w:p w:rsidRPr="008F5A07" w:rsidR="00773105" w:rsidP="009B774E" w:rsidRDefault="00773105" w14:paraId="39FA3C0E" w14:textId="77777777">
            <w:pPr>
              <w:jc w:val="center"/>
              <w:rPr>
                <w:rFonts w:asciiTheme="majorBidi" w:hAnsiTheme="majorBidi" w:cstheme="majorBidi"/>
                <w:b/>
                <w:sz w:val="20"/>
                <w:szCs w:val="20"/>
              </w:rPr>
            </w:pPr>
            <w:r w:rsidRPr="008F5A07">
              <w:rPr>
                <w:rFonts w:asciiTheme="majorBidi" w:hAnsiTheme="majorBidi" w:cstheme="majorBidi"/>
                <w:b/>
                <w:sz w:val="20"/>
                <w:szCs w:val="20"/>
              </w:rPr>
              <w:t>Average Annual Responses</w:t>
            </w:r>
          </w:p>
        </w:tc>
        <w:tc>
          <w:tcPr>
            <w:tcW w:w="1028" w:type="pct"/>
            <w:tcBorders>
              <w:top w:val="double" w:color="auto" w:sz="4" w:space="0"/>
              <w:left w:val="single" w:color="auto" w:sz="6" w:space="0"/>
              <w:bottom w:val="single" w:color="auto" w:sz="6" w:space="0"/>
              <w:right w:val="single" w:color="auto" w:sz="6" w:space="0"/>
            </w:tcBorders>
            <w:shd w:val="clear" w:color="auto" w:fill="auto"/>
            <w:vAlign w:val="center"/>
            <w:hideMark/>
          </w:tcPr>
          <w:p w:rsidRPr="008F5A07" w:rsidR="00773105" w:rsidP="009B774E" w:rsidRDefault="00773105" w14:paraId="4FDEB0FD" w14:textId="77777777">
            <w:pPr>
              <w:jc w:val="center"/>
              <w:rPr>
                <w:rFonts w:asciiTheme="majorBidi" w:hAnsiTheme="majorBidi" w:cstheme="majorBidi"/>
                <w:b/>
                <w:sz w:val="20"/>
                <w:szCs w:val="20"/>
              </w:rPr>
            </w:pPr>
            <w:r w:rsidRPr="008F5A07">
              <w:rPr>
                <w:rFonts w:asciiTheme="majorBidi" w:hAnsiTheme="majorBidi" w:cstheme="majorBidi"/>
                <w:b/>
                <w:sz w:val="20"/>
                <w:szCs w:val="20"/>
              </w:rPr>
              <w:t>Average Annual Burden Hours</w:t>
            </w:r>
          </w:p>
        </w:tc>
        <w:tc>
          <w:tcPr>
            <w:tcW w:w="1186" w:type="pct"/>
            <w:tcBorders>
              <w:top w:val="double" w:color="auto" w:sz="4" w:space="0"/>
              <w:left w:val="single" w:color="auto" w:sz="6" w:space="0"/>
              <w:bottom w:val="single" w:color="auto" w:sz="6" w:space="0"/>
              <w:right w:val="double" w:color="auto" w:sz="4" w:space="0"/>
            </w:tcBorders>
            <w:shd w:val="clear" w:color="auto" w:fill="auto"/>
            <w:vAlign w:val="center"/>
            <w:hideMark/>
          </w:tcPr>
          <w:p w:rsidRPr="008F5A07" w:rsidR="00773105" w:rsidP="009B774E" w:rsidRDefault="00773105" w14:paraId="2D38B3D3" w14:textId="57AA0A91">
            <w:pPr>
              <w:jc w:val="center"/>
              <w:rPr>
                <w:rFonts w:asciiTheme="majorBidi" w:hAnsiTheme="majorBidi" w:cstheme="majorBidi"/>
                <w:b/>
                <w:sz w:val="20"/>
                <w:szCs w:val="20"/>
                <w:vertAlign w:val="superscript"/>
              </w:rPr>
            </w:pPr>
            <w:r w:rsidRPr="008F5A07">
              <w:rPr>
                <w:rFonts w:asciiTheme="majorBidi" w:hAnsiTheme="majorBidi" w:cstheme="majorBidi"/>
                <w:b/>
                <w:sz w:val="20"/>
                <w:szCs w:val="20"/>
              </w:rPr>
              <w:t>Average Annual Cost</w:t>
            </w:r>
            <w:r w:rsidRPr="008F5A07" w:rsidR="00D85F2B">
              <w:rPr>
                <w:rFonts w:asciiTheme="majorBidi" w:hAnsiTheme="majorBidi" w:cstheme="majorBidi"/>
                <w:b/>
                <w:sz w:val="20"/>
                <w:szCs w:val="20"/>
              </w:rPr>
              <w:t xml:space="preserve"> </w:t>
            </w:r>
          </w:p>
        </w:tc>
      </w:tr>
      <w:tr w:rsidRPr="008F5A07" w:rsidR="00396653" w:rsidTr="00396653" w14:paraId="0AACD819" w14:textId="77777777">
        <w:trPr>
          <w:trHeight w:val="255"/>
        </w:trPr>
        <w:tc>
          <w:tcPr>
            <w:tcW w:w="875" w:type="pct"/>
            <w:tcBorders>
              <w:top w:val="single" w:color="auto" w:sz="6" w:space="0"/>
              <w:left w:val="double" w:color="auto" w:sz="4" w:space="0"/>
              <w:bottom w:val="single" w:color="auto" w:sz="6" w:space="0"/>
              <w:right w:val="single" w:color="auto" w:sz="6" w:space="0"/>
            </w:tcBorders>
            <w:shd w:val="clear" w:color="auto" w:fill="auto"/>
            <w:noWrap/>
            <w:vAlign w:val="bottom"/>
            <w:hideMark/>
          </w:tcPr>
          <w:p w:rsidRPr="008F5A07" w:rsidR="00396653" w:rsidP="009B774E" w:rsidRDefault="00396653" w14:paraId="7E94D883" w14:textId="77777777">
            <w:pPr>
              <w:rPr>
                <w:rFonts w:asciiTheme="majorBidi" w:hAnsiTheme="majorBidi" w:cstheme="majorBidi"/>
                <w:b/>
                <w:sz w:val="20"/>
                <w:szCs w:val="20"/>
              </w:rPr>
            </w:pPr>
            <w:r w:rsidRPr="008F5A07">
              <w:rPr>
                <w:rFonts w:asciiTheme="majorBidi" w:hAnsiTheme="majorBidi" w:cstheme="majorBidi"/>
                <w:b/>
                <w:sz w:val="20"/>
                <w:szCs w:val="20"/>
              </w:rPr>
              <w:t>Antimicrobial</w:t>
            </w:r>
          </w:p>
        </w:tc>
        <w:tc>
          <w:tcPr>
            <w:tcW w:w="998" w:type="pct"/>
            <w:tcBorders>
              <w:top w:val="single" w:color="auto" w:sz="6" w:space="0"/>
              <w:left w:val="single" w:color="auto" w:sz="6" w:space="0"/>
              <w:bottom w:val="single" w:color="auto" w:sz="6" w:space="0"/>
              <w:right w:val="single" w:color="auto" w:sz="6" w:space="0"/>
            </w:tcBorders>
            <w:shd w:val="clear" w:color="auto" w:fill="auto"/>
            <w:noWrap/>
            <w:vAlign w:val="center"/>
            <w:hideMark/>
          </w:tcPr>
          <w:p w:rsidRPr="008F5A07" w:rsidR="00396653" w:rsidP="009B774E" w:rsidRDefault="00396653" w14:paraId="2F430EB4" w14:textId="3164432E">
            <w:pPr>
              <w:jc w:val="center"/>
              <w:rPr>
                <w:rFonts w:asciiTheme="majorBidi" w:hAnsiTheme="majorBidi" w:cstheme="majorBidi"/>
                <w:sz w:val="20"/>
                <w:szCs w:val="20"/>
              </w:rPr>
            </w:pPr>
            <w:r w:rsidRPr="008F5A07">
              <w:rPr>
                <w:sz w:val="20"/>
                <w:szCs w:val="20"/>
              </w:rPr>
              <w:t>44,038</w:t>
            </w:r>
          </w:p>
        </w:tc>
        <w:tc>
          <w:tcPr>
            <w:tcW w:w="913" w:type="pct"/>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8F5A07" w:rsidR="00396653" w:rsidP="009B774E" w:rsidRDefault="00396653" w14:paraId="3A97E5A2" w14:textId="6E7201C4">
            <w:pPr>
              <w:jc w:val="center"/>
              <w:rPr>
                <w:rFonts w:asciiTheme="majorBidi" w:hAnsiTheme="majorBidi" w:cstheme="majorBidi"/>
                <w:sz w:val="20"/>
                <w:szCs w:val="20"/>
              </w:rPr>
            </w:pPr>
            <w:r w:rsidRPr="008F5A07">
              <w:rPr>
                <w:sz w:val="20"/>
                <w:szCs w:val="20"/>
              </w:rPr>
              <w:t>3</w:t>
            </w:r>
          </w:p>
        </w:tc>
        <w:tc>
          <w:tcPr>
            <w:tcW w:w="1028" w:type="pct"/>
            <w:tcBorders>
              <w:top w:val="single" w:color="auto" w:sz="6" w:space="0"/>
              <w:left w:val="single" w:color="auto" w:sz="6" w:space="0"/>
              <w:bottom w:val="single" w:color="auto" w:sz="6" w:space="0"/>
              <w:right w:val="single" w:color="auto" w:sz="6" w:space="0"/>
            </w:tcBorders>
            <w:shd w:val="clear" w:color="auto" w:fill="auto"/>
            <w:noWrap/>
            <w:vAlign w:val="center"/>
            <w:hideMark/>
          </w:tcPr>
          <w:p w:rsidRPr="008F5A07" w:rsidR="00396653" w:rsidP="009B774E" w:rsidRDefault="00396653" w14:paraId="7051544F" w14:textId="26BAB60A">
            <w:pPr>
              <w:jc w:val="center"/>
              <w:rPr>
                <w:rFonts w:asciiTheme="majorBidi" w:hAnsiTheme="majorBidi" w:cstheme="majorBidi"/>
                <w:sz w:val="20"/>
                <w:szCs w:val="20"/>
              </w:rPr>
            </w:pPr>
            <w:r w:rsidRPr="008F5A07">
              <w:rPr>
                <w:sz w:val="20"/>
                <w:szCs w:val="20"/>
              </w:rPr>
              <w:t>132,113</w:t>
            </w:r>
          </w:p>
        </w:tc>
        <w:tc>
          <w:tcPr>
            <w:tcW w:w="1186" w:type="pct"/>
            <w:tcBorders>
              <w:top w:val="single" w:color="auto" w:sz="6" w:space="0"/>
              <w:left w:val="single" w:color="auto" w:sz="6" w:space="0"/>
              <w:bottom w:val="single" w:color="auto" w:sz="6" w:space="0"/>
              <w:right w:val="double" w:color="auto" w:sz="4" w:space="0"/>
            </w:tcBorders>
            <w:shd w:val="clear" w:color="auto" w:fill="auto"/>
            <w:noWrap/>
            <w:vAlign w:val="bottom"/>
            <w:hideMark/>
          </w:tcPr>
          <w:p w:rsidRPr="008F5A07" w:rsidR="00396653" w:rsidP="009B774E" w:rsidRDefault="00396653" w14:paraId="7B1C6071" w14:textId="63E65E98">
            <w:pPr>
              <w:jc w:val="center"/>
              <w:rPr>
                <w:rFonts w:asciiTheme="majorBidi" w:hAnsiTheme="majorBidi" w:cstheme="majorBidi"/>
                <w:sz w:val="20"/>
                <w:szCs w:val="20"/>
              </w:rPr>
            </w:pPr>
            <w:r w:rsidRPr="008F5A07">
              <w:rPr>
                <w:sz w:val="20"/>
                <w:szCs w:val="20"/>
              </w:rPr>
              <w:t>$9,852,000</w:t>
            </w:r>
          </w:p>
        </w:tc>
      </w:tr>
      <w:tr w:rsidRPr="008F5A07" w:rsidR="00396653" w:rsidTr="00396653" w14:paraId="1BD3EABA" w14:textId="77777777">
        <w:trPr>
          <w:trHeight w:val="255"/>
        </w:trPr>
        <w:tc>
          <w:tcPr>
            <w:tcW w:w="875" w:type="pct"/>
            <w:tcBorders>
              <w:top w:val="single" w:color="auto" w:sz="6" w:space="0"/>
              <w:left w:val="double" w:color="auto" w:sz="4" w:space="0"/>
              <w:bottom w:val="single" w:color="auto" w:sz="6" w:space="0"/>
              <w:right w:val="single" w:color="auto" w:sz="6" w:space="0"/>
            </w:tcBorders>
            <w:shd w:val="clear" w:color="auto" w:fill="auto"/>
            <w:noWrap/>
            <w:vAlign w:val="bottom"/>
            <w:hideMark/>
          </w:tcPr>
          <w:p w:rsidRPr="008F5A07" w:rsidR="00396653" w:rsidP="009B774E" w:rsidRDefault="00396653" w14:paraId="23EAF31A" w14:textId="77777777">
            <w:pPr>
              <w:rPr>
                <w:rFonts w:asciiTheme="majorBidi" w:hAnsiTheme="majorBidi" w:cstheme="majorBidi"/>
                <w:b/>
                <w:sz w:val="20"/>
                <w:szCs w:val="20"/>
              </w:rPr>
            </w:pPr>
            <w:r w:rsidRPr="008F5A07">
              <w:rPr>
                <w:rFonts w:asciiTheme="majorBidi" w:hAnsiTheme="majorBidi" w:cstheme="majorBidi"/>
                <w:b/>
                <w:sz w:val="20"/>
                <w:szCs w:val="20"/>
              </w:rPr>
              <w:t>Biochemical</w:t>
            </w:r>
          </w:p>
        </w:tc>
        <w:tc>
          <w:tcPr>
            <w:tcW w:w="998" w:type="pct"/>
            <w:tcBorders>
              <w:top w:val="single" w:color="auto" w:sz="6" w:space="0"/>
              <w:left w:val="single" w:color="auto" w:sz="6" w:space="0"/>
              <w:bottom w:val="single" w:color="auto" w:sz="6" w:space="0"/>
              <w:right w:val="single" w:color="auto" w:sz="6" w:space="0"/>
            </w:tcBorders>
            <w:shd w:val="clear" w:color="auto" w:fill="auto"/>
            <w:noWrap/>
            <w:vAlign w:val="center"/>
            <w:hideMark/>
          </w:tcPr>
          <w:p w:rsidRPr="008F5A07" w:rsidR="00396653" w:rsidP="009B774E" w:rsidRDefault="00396653" w14:paraId="077CF2E2" w14:textId="17C7D991">
            <w:pPr>
              <w:jc w:val="center"/>
              <w:rPr>
                <w:rFonts w:asciiTheme="majorBidi" w:hAnsiTheme="majorBidi" w:cstheme="majorBidi"/>
                <w:sz w:val="20"/>
                <w:szCs w:val="20"/>
              </w:rPr>
            </w:pPr>
            <w:r w:rsidRPr="008F5A07">
              <w:rPr>
                <w:sz w:val="20"/>
                <w:szCs w:val="20"/>
              </w:rPr>
              <w:t>23,923</w:t>
            </w:r>
          </w:p>
        </w:tc>
        <w:tc>
          <w:tcPr>
            <w:tcW w:w="913" w:type="pct"/>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8F5A07" w:rsidR="00396653" w:rsidP="009B774E" w:rsidRDefault="00396653" w14:paraId="5F7E71AF" w14:textId="41BA77A8">
            <w:pPr>
              <w:jc w:val="center"/>
              <w:rPr>
                <w:rFonts w:asciiTheme="majorBidi" w:hAnsiTheme="majorBidi" w:cstheme="majorBidi"/>
                <w:sz w:val="20"/>
                <w:szCs w:val="20"/>
              </w:rPr>
            </w:pPr>
            <w:r w:rsidRPr="008F5A07">
              <w:rPr>
                <w:sz w:val="20"/>
                <w:szCs w:val="20"/>
              </w:rPr>
              <w:t>1</w:t>
            </w:r>
            <w:r w:rsidRPr="008F5A07" w:rsidR="005F77A0">
              <w:rPr>
                <w:sz w:val="20"/>
                <w:szCs w:val="20"/>
              </w:rPr>
              <w:t>8</w:t>
            </w:r>
          </w:p>
        </w:tc>
        <w:tc>
          <w:tcPr>
            <w:tcW w:w="1028" w:type="pct"/>
            <w:tcBorders>
              <w:top w:val="single" w:color="auto" w:sz="6" w:space="0"/>
              <w:left w:val="single" w:color="auto" w:sz="6" w:space="0"/>
              <w:bottom w:val="single" w:color="auto" w:sz="6" w:space="0"/>
              <w:right w:val="single" w:color="auto" w:sz="6" w:space="0"/>
            </w:tcBorders>
            <w:shd w:val="clear" w:color="auto" w:fill="auto"/>
            <w:noWrap/>
            <w:vAlign w:val="center"/>
            <w:hideMark/>
          </w:tcPr>
          <w:p w:rsidRPr="008F5A07" w:rsidR="00396653" w:rsidP="009B774E" w:rsidRDefault="005F77A0" w14:paraId="10DC3F83" w14:textId="298D32F6">
            <w:pPr>
              <w:jc w:val="center"/>
              <w:rPr>
                <w:rFonts w:asciiTheme="majorBidi" w:hAnsiTheme="majorBidi" w:cstheme="majorBidi"/>
                <w:sz w:val="20"/>
                <w:szCs w:val="20"/>
              </w:rPr>
            </w:pPr>
            <w:r w:rsidRPr="008F5A07">
              <w:rPr>
                <w:sz w:val="20"/>
                <w:szCs w:val="20"/>
              </w:rPr>
              <w:t>430,614</w:t>
            </w:r>
          </w:p>
        </w:tc>
        <w:tc>
          <w:tcPr>
            <w:tcW w:w="1186" w:type="pct"/>
            <w:tcBorders>
              <w:top w:val="single" w:color="auto" w:sz="6" w:space="0"/>
              <w:left w:val="single" w:color="auto" w:sz="6" w:space="0"/>
              <w:bottom w:val="single" w:color="auto" w:sz="6" w:space="0"/>
              <w:right w:val="double" w:color="auto" w:sz="4" w:space="0"/>
            </w:tcBorders>
            <w:shd w:val="clear" w:color="auto" w:fill="auto"/>
            <w:noWrap/>
            <w:vAlign w:val="bottom"/>
            <w:hideMark/>
          </w:tcPr>
          <w:p w:rsidRPr="008F5A07" w:rsidR="00396653" w:rsidP="009B774E" w:rsidRDefault="005F77A0" w14:paraId="6C7D3E82" w14:textId="092B7EE5">
            <w:pPr>
              <w:jc w:val="center"/>
              <w:rPr>
                <w:rFonts w:asciiTheme="majorBidi" w:hAnsiTheme="majorBidi" w:cstheme="majorBidi"/>
                <w:sz w:val="20"/>
                <w:szCs w:val="20"/>
              </w:rPr>
            </w:pPr>
            <w:r w:rsidRPr="008F5A07">
              <w:rPr>
                <w:sz w:val="20"/>
                <w:szCs w:val="20"/>
              </w:rPr>
              <w:t>$32,112,000</w:t>
            </w:r>
          </w:p>
        </w:tc>
      </w:tr>
      <w:tr w:rsidRPr="008F5A07" w:rsidR="00396653" w:rsidTr="00396653" w14:paraId="5D471D30" w14:textId="77777777">
        <w:trPr>
          <w:trHeight w:val="255"/>
        </w:trPr>
        <w:tc>
          <w:tcPr>
            <w:tcW w:w="875" w:type="pct"/>
            <w:tcBorders>
              <w:top w:val="single" w:color="auto" w:sz="6" w:space="0"/>
              <w:left w:val="double" w:color="auto" w:sz="4" w:space="0"/>
              <w:bottom w:val="single" w:color="auto" w:sz="6" w:space="0"/>
              <w:right w:val="single" w:color="auto" w:sz="6" w:space="0"/>
            </w:tcBorders>
            <w:shd w:val="clear" w:color="auto" w:fill="auto"/>
            <w:noWrap/>
            <w:vAlign w:val="bottom"/>
            <w:hideMark/>
          </w:tcPr>
          <w:p w:rsidRPr="008F5A07" w:rsidR="00396653" w:rsidP="009B774E" w:rsidRDefault="00396653" w14:paraId="2BE0B1D2" w14:textId="77777777">
            <w:pPr>
              <w:rPr>
                <w:rFonts w:asciiTheme="majorBidi" w:hAnsiTheme="majorBidi" w:cstheme="majorBidi"/>
                <w:b/>
                <w:sz w:val="20"/>
                <w:szCs w:val="20"/>
              </w:rPr>
            </w:pPr>
            <w:r w:rsidRPr="008F5A07">
              <w:rPr>
                <w:rFonts w:asciiTheme="majorBidi" w:hAnsiTheme="majorBidi" w:cstheme="majorBidi"/>
                <w:b/>
                <w:sz w:val="20"/>
                <w:szCs w:val="20"/>
              </w:rPr>
              <w:t>Conventional</w:t>
            </w:r>
          </w:p>
        </w:tc>
        <w:tc>
          <w:tcPr>
            <w:tcW w:w="998" w:type="pct"/>
            <w:tcBorders>
              <w:top w:val="single" w:color="auto" w:sz="6" w:space="0"/>
              <w:left w:val="single" w:color="auto" w:sz="6" w:space="0"/>
              <w:bottom w:val="single" w:color="auto" w:sz="6" w:space="0"/>
              <w:right w:val="single" w:color="auto" w:sz="6" w:space="0"/>
            </w:tcBorders>
            <w:shd w:val="clear" w:color="auto" w:fill="auto"/>
            <w:noWrap/>
            <w:vAlign w:val="center"/>
            <w:hideMark/>
          </w:tcPr>
          <w:p w:rsidRPr="008F5A07" w:rsidR="00396653" w:rsidP="009B774E" w:rsidRDefault="00396653" w14:paraId="66128D5E" w14:textId="2214A717">
            <w:pPr>
              <w:jc w:val="center"/>
              <w:rPr>
                <w:rFonts w:asciiTheme="majorBidi" w:hAnsiTheme="majorBidi" w:cstheme="majorBidi"/>
                <w:sz w:val="20"/>
                <w:szCs w:val="20"/>
              </w:rPr>
            </w:pPr>
            <w:r w:rsidRPr="008F5A07">
              <w:rPr>
                <w:sz w:val="20"/>
                <w:szCs w:val="20"/>
              </w:rPr>
              <w:t>46,210</w:t>
            </w:r>
          </w:p>
        </w:tc>
        <w:tc>
          <w:tcPr>
            <w:tcW w:w="913" w:type="pct"/>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8F5A07" w:rsidR="00396653" w:rsidP="009B774E" w:rsidRDefault="00396653" w14:paraId="70C6454F" w14:textId="0D5ACFC9">
            <w:pPr>
              <w:jc w:val="center"/>
              <w:rPr>
                <w:rFonts w:asciiTheme="majorBidi" w:hAnsiTheme="majorBidi" w:cstheme="majorBidi"/>
                <w:sz w:val="20"/>
                <w:szCs w:val="20"/>
              </w:rPr>
            </w:pPr>
            <w:r w:rsidRPr="008F5A07">
              <w:rPr>
                <w:sz w:val="20"/>
                <w:szCs w:val="20"/>
              </w:rPr>
              <w:t>6</w:t>
            </w:r>
          </w:p>
        </w:tc>
        <w:tc>
          <w:tcPr>
            <w:tcW w:w="1028" w:type="pct"/>
            <w:tcBorders>
              <w:top w:val="single" w:color="auto" w:sz="6" w:space="0"/>
              <w:left w:val="single" w:color="auto" w:sz="6" w:space="0"/>
              <w:bottom w:val="single" w:color="auto" w:sz="6" w:space="0"/>
              <w:right w:val="single" w:color="auto" w:sz="6" w:space="0"/>
            </w:tcBorders>
            <w:shd w:val="clear" w:color="auto" w:fill="auto"/>
            <w:noWrap/>
            <w:vAlign w:val="center"/>
            <w:hideMark/>
          </w:tcPr>
          <w:p w:rsidRPr="008F5A07" w:rsidR="00396653" w:rsidP="009B774E" w:rsidRDefault="00396653" w14:paraId="015DD2B3" w14:textId="6FE20EDC">
            <w:pPr>
              <w:jc w:val="center"/>
              <w:rPr>
                <w:rFonts w:asciiTheme="majorBidi" w:hAnsiTheme="majorBidi" w:cstheme="majorBidi"/>
                <w:sz w:val="20"/>
                <w:szCs w:val="20"/>
              </w:rPr>
            </w:pPr>
            <w:r w:rsidRPr="008F5A07">
              <w:rPr>
                <w:sz w:val="20"/>
                <w:szCs w:val="20"/>
              </w:rPr>
              <w:t>277,260</w:t>
            </w:r>
          </w:p>
        </w:tc>
        <w:tc>
          <w:tcPr>
            <w:tcW w:w="1186" w:type="pct"/>
            <w:tcBorders>
              <w:top w:val="single" w:color="auto" w:sz="6" w:space="0"/>
              <w:left w:val="single" w:color="auto" w:sz="6" w:space="0"/>
              <w:bottom w:val="single" w:color="auto" w:sz="6" w:space="0"/>
              <w:right w:val="double" w:color="auto" w:sz="4" w:space="0"/>
            </w:tcBorders>
            <w:shd w:val="clear" w:color="auto" w:fill="auto"/>
            <w:noWrap/>
            <w:vAlign w:val="bottom"/>
            <w:hideMark/>
          </w:tcPr>
          <w:p w:rsidRPr="008F5A07" w:rsidR="00396653" w:rsidP="009B774E" w:rsidRDefault="00396653" w14:paraId="0768DF31" w14:textId="4E60FAA4">
            <w:pPr>
              <w:jc w:val="center"/>
              <w:rPr>
                <w:rFonts w:asciiTheme="majorBidi" w:hAnsiTheme="majorBidi" w:cstheme="majorBidi"/>
                <w:sz w:val="20"/>
                <w:szCs w:val="20"/>
              </w:rPr>
            </w:pPr>
            <w:r w:rsidRPr="008F5A07">
              <w:rPr>
                <w:sz w:val="20"/>
                <w:szCs w:val="20"/>
              </w:rPr>
              <w:t>$20,676,000</w:t>
            </w:r>
          </w:p>
        </w:tc>
      </w:tr>
      <w:tr w:rsidRPr="008F5A07" w:rsidR="00396653" w:rsidTr="00396653" w14:paraId="1C08C57C" w14:textId="77777777">
        <w:trPr>
          <w:trHeight w:val="270"/>
        </w:trPr>
        <w:tc>
          <w:tcPr>
            <w:tcW w:w="875" w:type="pct"/>
            <w:tcBorders>
              <w:top w:val="single" w:color="auto" w:sz="6" w:space="0"/>
              <w:left w:val="double" w:color="auto" w:sz="4" w:space="0"/>
              <w:bottom w:val="double" w:color="auto" w:sz="4" w:space="0"/>
              <w:right w:val="single" w:color="auto" w:sz="6" w:space="0"/>
            </w:tcBorders>
            <w:shd w:val="clear" w:color="auto" w:fill="auto"/>
            <w:noWrap/>
            <w:vAlign w:val="bottom"/>
            <w:hideMark/>
          </w:tcPr>
          <w:p w:rsidRPr="008F5A07" w:rsidR="00396653" w:rsidP="009B774E" w:rsidRDefault="00396653" w14:paraId="0C379D3C" w14:textId="77777777">
            <w:pPr>
              <w:rPr>
                <w:rFonts w:asciiTheme="majorBidi" w:hAnsiTheme="majorBidi" w:cstheme="majorBidi"/>
                <w:b/>
                <w:sz w:val="20"/>
                <w:szCs w:val="20"/>
              </w:rPr>
            </w:pPr>
            <w:r w:rsidRPr="008F5A07">
              <w:rPr>
                <w:rFonts w:asciiTheme="majorBidi" w:hAnsiTheme="majorBidi" w:cstheme="majorBidi"/>
                <w:b/>
                <w:sz w:val="20"/>
                <w:szCs w:val="20"/>
              </w:rPr>
              <w:t>TOTAL</w:t>
            </w:r>
          </w:p>
        </w:tc>
        <w:tc>
          <w:tcPr>
            <w:tcW w:w="998" w:type="pct"/>
            <w:tcBorders>
              <w:top w:val="single" w:color="auto" w:sz="6" w:space="0"/>
              <w:left w:val="single" w:color="auto" w:sz="6" w:space="0"/>
              <w:bottom w:val="double" w:color="auto" w:sz="4" w:space="0"/>
              <w:right w:val="single" w:color="auto" w:sz="6" w:space="0"/>
            </w:tcBorders>
            <w:shd w:val="clear" w:color="auto" w:fill="auto"/>
            <w:noWrap/>
            <w:vAlign w:val="center"/>
            <w:hideMark/>
          </w:tcPr>
          <w:p w:rsidRPr="008F5A07" w:rsidR="00396653" w:rsidP="009B774E" w:rsidRDefault="00396653" w14:paraId="4C97BA0C" w14:textId="797C54FE">
            <w:pPr>
              <w:jc w:val="center"/>
              <w:rPr>
                <w:rFonts w:asciiTheme="majorBidi" w:hAnsiTheme="majorBidi" w:cstheme="majorBidi"/>
                <w:sz w:val="20"/>
                <w:szCs w:val="20"/>
              </w:rPr>
            </w:pPr>
            <w:r w:rsidRPr="008F5A07">
              <w:rPr>
                <w:sz w:val="20"/>
                <w:szCs w:val="20"/>
              </w:rPr>
              <w:t>38,057</w:t>
            </w:r>
          </w:p>
        </w:tc>
        <w:tc>
          <w:tcPr>
            <w:tcW w:w="913" w:type="pct"/>
            <w:tcBorders>
              <w:top w:val="single" w:color="auto" w:sz="6" w:space="0"/>
              <w:left w:val="single" w:color="auto" w:sz="6" w:space="0"/>
              <w:bottom w:val="double" w:color="auto" w:sz="4" w:space="0"/>
              <w:right w:val="single" w:color="auto" w:sz="6" w:space="0"/>
            </w:tcBorders>
            <w:shd w:val="clear" w:color="auto" w:fill="auto"/>
            <w:noWrap/>
            <w:vAlign w:val="center"/>
            <w:hideMark/>
          </w:tcPr>
          <w:p w:rsidRPr="008F5A07" w:rsidR="00396653" w:rsidP="009B774E" w:rsidRDefault="00396653" w14:paraId="73C9417D" w14:textId="64AFCF9C">
            <w:pPr>
              <w:jc w:val="center"/>
              <w:rPr>
                <w:rFonts w:asciiTheme="majorBidi" w:hAnsiTheme="majorBidi" w:cstheme="majorBidi"/>
                <w:sz w:val="20"/>
                <w:szCs w:val="20"/>
              </w:rPr>
            </w:pPr>
            <w:r w:rsidRPr="008F5A07">
              <w:rPr>
                <w:sz w:val="20"/>
                <w:szCs w:val="20"/>
              </w:rPr>
              <w:t>2</w:t>
            </w:r>
            <w:r w:rsidRPr="008F5A07" w:rsidR="005F77A0">
              <w:rPr>
                <w:sz w:val="20"/>
                <w:szCs w:val="20"/>
              </w:rPr>
              <w:t>7</w:t>
            </w:r>
          </w:p>
        </w:tc>
        <w:tc>
          <w:tcPr>
            <w:tcW w:w="1028" w:type="pct"/>
            <w:tcBorders>
              <w:top w:val="single" w:color="auto" w:sz="6" w:space="0"/>
              <w:left w:val="single" w:color="auto" w:sz="6" w:space="0"/>
              <w:bottom w:val="double" w:color="auto" w:sz="4" w:space="0"/>
              <w:right w:val="single" w:color="auto" w:sz="6" w:space="0"/>
            </w:tcBorders>
            <w:shd w:val="clear" w:color="auto" w:fill="auto"/>
            <w:noWrap/>
            <w:vAlign w:val="bottom"/>
            <w:hideMark/>
          </w:tcPr>
          <w:p w:rsidRPr="008F5A07" w:rsidR="00396653" w:rsidP="009B774E" w:rsidRDefault="005F77A0" w14:paraId="0AE23E2B" w14:textId="47BC8B42">
            <w:pPr>
              <w:jc w:val="center"/>
              <w:rPr>
                <w:rFonts w:asciiTheme="majorBidi" w:hAnsiTheme="majorBidi" w:cstheme="majorBidi"/>
                <w:sz w:val="20"/>
                <w:szCs w:val="20"/>
              </w:rPr>
            </w:pPr>
            <w:r w:rsidRPr="008F5A07">
              <w:rPr>
                <w:sz w:val="20"/>
                <w:szCs w:val="20"/>
              </w:rPr>
              <w:t>839,987</w:t>
            </w:r>
          </w:p>
        </w:tc>
        <w:tc>
          <w:tcPr>
            <w:tcW w:w="1186" w:type="pct"/>
            <w:tcBorders>
              <w:top w:val="single" w:color="auto" w:sz="6" w:space="0"/>
              <w:left w:val="single" w:color="auto" w:sz="6" w:space="0"/>
              <w:bottom w:val="double" w:color="auto" w:sz="4" w:space="0"/>
              <w:right w:val="double" w:color="auto" w:sz="4" w:space="0"/>
            </w:tcBorders>
            <w:shd w:val="clear" w:color="auto" w:fill="auto"/>
            <w:noWrap/>
            <w:vAlign w:val="bottom"/>
            <w:hideMark/>
          </w:tcPr>
          <w:p w:rsidRPr="008F5A07" w:rsidR="00396653" w:rsidP="009B774E" w:rsidRDefault="00396653" w14:paraId="24779E83" w14:textId="273738EC">
            <w:pPr>
              <w:jc w:val="center"/>
              <w:rPr>
                <w:rFonts w:asciiTheme="majorBidi" w:hAnsiTheme="majorBidi" w:cstheme="majorBidi"/>
                <w:sz w:val="20"/>
                <w:szCs w:val="20"/>
              </w:rPr>
            </w:pPr>
            <w:r w:rsidRPr="008F5A07">
              <w:rPr>
                <w:sz w:val="20"/>
                <w:szCs w:val="20"/>
              </w:rPr>
              <w:t>$</w:t>
            </w:r>
            <w:r w:rsidRPr="008F5A07" w:rsidR="005F77A0">
              <w:rPr>
                <w:sz w:val="20"/>
                <w:szCs w:val="20"/>
              </w:rPr>
              <w:t>62,640,000</w:t>
            </w:r>
          </w:p>
        </w:tc>
      </w:tr>
    </w:tbl>
    <w:p w:rsidRPr="008F5A07" w:rsidR="00773105" w:rsidP="009B774E" w:rsidRDefault="00773105" w14:paraId="398E6794" w14:textId="77777777">
      <w:pPr>
        <w:rPr>
          <w:rFonts w:asciiTheme="majorBidi" w:hAnsiTheme="majorBidi" w:cstheme="majorBidi"/>
          <w:sz w:val="2"/>
          <w:szCs w:val="2"/>
        </w:rPr>
      </w:pPr>
    </w:p>
    <w:tbl>
      <w:tblPr>
        <w:tblW w:w="9780" w:type="dxa"/>
        <w:tblInd w:w="30" w:type="dxa"/>
        <w:tblLook w:val="04A0" w:firstRow="1" w:lastRow="0" w:firstColumn="1" w:lastColumn="0" w:noHBand="0" w:noVBand="1"/>
      </w:tblPr>
      <w:tblGrid>
        <w:gridCol w:w="9780"/>
      </w:tblGrid>
      <w:tr w:rsidRPr="008F5A07" w:rsidR="00721A36" w:rsidTr="000A2E92" w14:paraId="704E0D15" w14:textId="77777777">
        <w:trPr>
          <w:trHeight w:val="270"/>
        </w:trPr>
        <w:tc>
          <w:tcPr>
            <w:tcW w:w="9780" w:type="dxa"/>
            <w:tcBorders>
              <w:top w:val="nil"/>
              <w:left w:val="nil"/>
              <w:bottom w:val="single" w:color="auto" w:sz="8" w:space="0"/>
            </w:tcBorders>
            <w:shd w:val="clear" w:color="auto" w:fill="auto"/>
            <w:noWrap/>
            <w:vAlign w:val="center"/>
          </w:tcPr>
          <w:p w:rsidRPr="008F5A07" w:rsidR="005459DF" w:rsidP="009B774E" w:rsidRDefault="005459DF" w14:paraId="10784B5C" w14:textId="77777777">
            <w:pPr>
              <w:rPr>
                <w:rFonts w:asciiTheme="majorBidi" w:hAnsiTheme="majorBidi" w:cstheme="majorBidi"/>
                <w:sz w:val="20"/>
              </w:rPr>
            </w:pPr>
            <w:r w:rsidRPr="008F5A07">
              <w:rPr>
                <w:rFonts w:asciiTheme="majorBidi" w:hAnsiTheme="majorBidi" w:cstheme="majorBidi"/>
                <w:sz w:val="20"/>
              </w:rPr>
              <w:t>*Numbers may not sum due to rounding.</w:t>
            </w:r>
          </w:p>
          <w:p w:rsidRPr="008F5A07" w:rsidR="004315F8" w:rsidP="009B774E" w:rsidRDefault="004315F8" w14:paraId="1B82846B" w14:textId="025CACB3">
            <w:pPr>
              <w:rPr>
                <w:rFonts w:asciiTheme="majorBidi" w:hAnsiTheme="majorBidi" w:cstheme="majorBidi"/>
                <w:sz w:val="21"/>
                <w:szCs w:val="21"/>
              </w:rPr>
            </w:pPr>
            <w:r w:rsidRPr="008F5A07">
              <w:rPr>
                <w:rFonts w:asciiTheme="majorBidi" w:hAnsiTheme="majorBidi" w:cstheme="majorBidi"/>
                <w:sz w:val="21"/>
                <w:szCs w:val="21"/>
                <w:vertAlign w:val="superscript"/>
              </w:rPr>
              <w:t>1</w:t>
            </w:r>
            <w:r w:rsidRPr="008F5A07" w:rsidR="007841AD">
              <w:rPr>
                <w:rFonts w:asciiTheme="majorBidi" w:hAnsiTheme="majorBidi" w:cstheme="majorBidi"/>
                <w:sz w:val="21"/>
                <w:szCs w:val="21"/>
                <w:vertAlign w:val="superscript"/>
              </w:rPr>
              <w:t xml:space="preserve"> </w:t>
            </w:r>
            <w:r w:rsidRPr="008F5A07">
              <w:rPr>
                <w:rFonts w:asciiTheme="majorBidi" w:hAnsiTheme="majorBidi" w:cstheme="majorBidi"/>
                <w:sz w:val="21"/>
                <w:szCs w:val="21"/>
              </w:rPr>
              <w:t>Burden per registration for New AIs from Table 1-B is the average of these values.</w:t>
            </w:r>
          </w:p>
          <w:p w:rsidRPr="008F5A07" w:rsidR="00721A36" w:rsidP="009B774E" w:rsidRDefault="00721A36" w14:paraId="3002A3AE" w14:textId="53532486">
            <w:pPr>
              <w:rPr>
                <w:rFonts w:asciiTheme="majorBidi" w:hAnsiTheme="majorBidi" w:cstheme="majorBidi"/>
                <w:sz w:val="21"/>
                <w:szCs w:val="21"/>
              </w:rPr>
            </w:pPr>
          </w:p>
        </w:tc>
      </w:tr>
    </w:tbl>
    <w:p w:rsidRPr="008F5A07" w:rsidR="00721A36" w:rsidP="009B774E" w:rsidRDefault="00721A36" w14:paraId="4064AD76" w14:textId="77777777">
      <w:pPr>
        <w:rPr>
          <w:rFonts w:asciiTheme="majorBidi" w:hAnsiTheme="majorBidi" w:cstheme="majorBidi"/>
        </w:rPr>
      </w:pPr>
    </w:p>
    <w:p w:rsidR="001B526F" w:rsidP="009B774E" w:rsidRDefault="002812C7" w14:paraId="4136B5BE" w14:textId="76BB17A7">
      <w:pPr>
        <w:ind w:firstLine="720"/>
        <w:rPr>
          <w:rFonts w:asciiTheme="majorBidi" w:hAnsiTheme="majorBidi" w:cstheme="majorBidi"/>
        </w:rPr>
      </w:pPr>
      <w:bookmarkStart w:name="_Hlk51798707" w:id="9"/>
      <w:r w:rsidRPr="00910D48">
        <w:t xml:space="preserve">While we expect that the paperwork burden for application under the draft GTA guidance will look like Type A actions, </w:t>
      </w:r>
      <w:r w:rsidRPr="00910D48" w:rsidR="00C15A21">
        <w:t>the</w:t>
      </w:r>
      <w:r w:rsidRPr="00910D48" w:rsidR="001B526F">
        <w:t xml:space="preserve"> Agency does not anticipate </w:t>
      </w:r>
      <w:r w:rsidRPr="00910D48" w:rsidR="00C15A21">
        <w:t xml:space="preserve">a paperwork burden </w:t>
      </w:r>
      <w:r w:rsidRPr="00910D48" w:rsidR="00D35118">
        <w:t>from</w:t>
      </w:r>
      <w:r w:rsidRPr="00910D48" w:rsidR="00C15A21">
        <w:t xml:space="preserve"> data generation for </w:t>
      </w:r>
      <w:r w:rsidRPr="00910D48" w:rsidR="00D35118">
        <w:t>new active ingredients</w:t>
      </w:r>
      <w:r w:rsidRPr="00910D48" w:rsidR="000E06B3">
        <w:t xml:space="preserve"> </w:t>
      </w:r>
      <w:r w:rsidRPr="00910D48" w:rsidR="00C15A21">
        <w:t xml:space="preserve">for the draft GTA guidance. </w:t>
      </w:r>
      <w:r w:rsidRPr="00910D48" w:rsidR="007600BB">
        <w:t xml:space="preserve">It is expected that the registrants would have this data on hand </w:t>
      </w:r>
      <w:r w:rsidRPr="00910D48" w:rsidR="00BD4065">
        <w:t xml:space="preserve">already </w:t>
      </w:r>
      <w:r w:rsidRPr="00910D48" w:rsidR="007600BB">
        <w:t xml:space="preserve">due to their synergy-related applications to other U.S. Agencies. Additionally, </w:t>
      </w:r>
      <w:r w:rsidRPr="00910D48" w:rsidR="007600BB">
        <w:rPr>
          <w:rFonts w:asciiTheme="majorBidi" w:hAnsiTheme="majorBidi" w:cstheme="majorBidi"/>
        </w:rPr>
        <w:t>t</w:t>
      </w:r>
      <w:r w:rsidRPr="00910D48" w:rsidR="001B526F">
        <w:rPr>
          <w:rFonts w:asciiTheme="majorBidi" w:hAnsiTheme="majorBidi" w:cstheme="majorBidi"/>
        </w:rPr>
        <w:t xml:space="preserve">he Agency </w:t>
      </w:r>
      <w:r w:rsidRPr="00910D48" w:rsidR="00C15A21">
        <w:rPr>
          <w:rFonts w:asciiTheme="majorBidi" w:hAnsiTheme="majorBidi" w:cstheme="majorBidi"/>
        </w:rPr>
        <w:t xml:space="preserve">also </w:t>
      </w:r>
      <w:r w:rsidRPr="00910D48" w:rsidR="001B526F">
        <w:rPr>
          <w:rFonts w:asciiTheme="majorBidi" w:hAnsiTheme="majorBidi" w:cstheme="majorBidi"/>
        </w:rPr>
        <w:t xml:space="preserve">does not anticipate any paperwork burden from data generation for new active ingredients resulting from the other </w:t>
      </w:r>
      <w:r w:rsidRPr="00910D48" w:rsidR="00C15A21">
        <w:rPr>
          <w:rFonts w:asciiTheme="majorBidi" w:hAnsiTheme="majorBidi" w:cstheme="majorBidi"/>
        </w:rPr>
        <w:t>two</w:t>
      </w:r>
      <w:r w:rsidRPr="00910D48" w:rsidR="001B526F">
        <w:rPr>
          <w:rFonts w:asciiTheme="majorBidi" w:hAnsiTheme="majorBidi" w:cstheme="majorBidi"/>
        </w:rPr>
        <w:t xml:space="preserve"> proposed </w:t>
      </w:r>
      <w:r w:rsidRPr="00910D48" w:rsidR="006D7787">
        <w:rPr>
          <w:rFonts w:asciiTheme="majorBidi" w:hAnsiTheme="majorBidi" w:cstheme="majorBidi"/>
        </w:rPr>
        <w:t>programs</w:t>
      </w:r>
      <w:r w:rsidRPr="00910D48" w:rsidR="001B526F">
        <w:rPr>
          <w:rFonts w:asciiTheme="majorBidi" w:hAnsiTheme="majorBidi" w:cstheme="majorBidi"/>
        </w:rPr>
        <w:t xml:space="preserve"> that will be included in future iterations of this ICR</w:t>
      </w:r>
      <w:r w:rsidRPr="00910D48" w:rsidR="003D1DBF">
        <w:rPr>
          <w:rFonts w:asciiTheme="majorBidi" w:hAnsiTheme="majorBidi" w:cstheme="majorBidi"/>
        </w:rPr>
        <w:t>.</w:t>
      </w:r>
    </w:p>
    <w:bookmarkEnd w:id="9"/>
    <w:p w:rsidR="001B526F" w:rsidP="009B774E" w:rsidRDefault="001B526F" w14:paraId="75BBD065" w14:textId="77777777">
      <w:pPr>
        <w:ind w:firstLine="720"/>
        <w:rPr>
          <w:rFonts w:asciiTheme="majorBidi" w:hAnsiTheme="majorBidi" w:cstheme="majorBidi"/>
        </w:rPr>
      </w:pPr>
    </w:p>
    <w:p w:rsidRPr="00B44F75" w:rsidR="008253DD" w:rsidP="009B774E" w:rsidRDefault="008253DD" w14:paraId="685A4253" w14:textId="72E5D225">
      <w:pPr>
        <w:ind w:firstLine="720"/>
        <w:rPr>
          <w:rFonts w:asciiTheme="majorBidi" w:hAnsiTheme="majorBidi" w:cstheme="majorBidi"/>
        </w:rPr>
      </w:pPr>
      <w:r w:rsidRPr="00B44F75">
        <w:rPr>
          <w:rFonts w:asciiTheme="majorBidi" w:hAnsiTheme="majorBidi" w:cstheme="majorBidi"/>
        </w:rPr>
        <w:t xml:space="preserve">Table </w:t>
      </w:r>
      <w:r w:rsidRPr="00B44F75" w:rsidR="00721A36">
        <w:rPr>
          <w:rFonts w:asciiTheme="majorBidi" w:hAnsiTheme="majorBidi" w:cstheme="majorBidi"/>
        </w:rPr>
        <w:t>7</w:t>
      </w:r>
      <w:r w:rsidRPr="00B44F75">
        <w:rPr>
          <w:rFonts w:asciiTheme="majorBidi" w:hAnsiTheme="majorBidi" w:cstheme="majorBidi"/>
        </w:rPr>
        <w:t>-</w:t>
      </w:r>
      <w:r w:rsidRPr="00B44F75" w:rsidR="00721A36">
        <w:rPr>
          <w:rFonts w:asciiTheme="majorBidi" w:hAnsiTheme="majorBidi" w:cstheme="majorBidi"/>
        </w:rPr>
        <w:t>A</w:t>
      </w:r>
      <w:r w:rsidRPr="00B44F75">
        <w:rPr>
          <w:rFonts w:asciiTheme="majorBidi" w:hAnsiTheme="majorBidi" w:cstheme="majorBidi"/>
        </w:rPr>
        <w:t xml:space="preserve"> shows that the cost of data for registering a new product ranges from $11</w:t>
      </w:r>
      <w:r w:rsidRPr="00B44F75" w:rsidR="00B44F75">
        <w:rPr>
          <w:rFonts w:asciiTheme="majorBidi" w:hAnsiTheme="majorBidi" w:cstheme="majorBidi"/>
        </w:rPr>
        <w:t>3</w:t>
      </w:r>
      <w:r w:rsidRPr="00B44F75">
        <w:rPr>
          <w:rFonts w:asciiTheme="majorBidi" w:hAnsiTheme="majorBidi" w:cstheme="majorBidi"/>
        </w:rPr>
        <w:t xml:space="preserve"> thousand to $</w:t>
      </w:r>
      <w:r w:rsidRPr="00B44F75" w:rsidR="00B44F75">
        <w:rPr>
          <w:rFonts w:asciiTheme="majorBidi" w:hAnsiTheme="majorBidi" w:cstheme="majorBidi"/>
        </w:rPr>
        <w:t>210</w:t>
      </w:r>
      <w:r w:rsidRPr="00B44F75">
        <w:rPr>
          <w:rFonts w:asciiTheme="majorBidi" w:hAnsiTheme="majorBidi" w:cstheme="majorBidi"/>
        </w:rPr>
        <w:t xml:space="preserve"> thousand.</w:t>
      </w:r>
      <w:r w:rsidRPr="00B44F75" w:rsidR="007841AD">
        <w:rPr>
          <w:rFonts w:asciiTheme="majorBidi" w:hAnsiTheme="majorBidi" w:cstheme="majorBidi"/>
        </w:rPr>
        <w:t xml:space="preserve"> </w:t>
      </w:r>
      <w:r w:rsidRPr="00B44F75">
        <w:rPr>
          <w:rFonts w:asciiTheme="majorBidi" w:hAnsiTheme="majorBidi" w:cstheme="majorBidi"/>
        </w:rPr>
        <w:t>The paperwork burden, 35% of the cost of data generation, ranges from $</w:t>
      </w:r>
      <w:r w:rsidRPr="00B44F75" w:rsidR="00B44F75">
        <w:rPr>
          <w:rFonts w:asciiTheme="majorBidi" w:hAnsiTheme="majorBidi" w:cstheme="majorBidi"/>
        </w:rPr>
        <w:t>40</w:t>
      </w:r>
      <w:r w:rsidRPr="00B44F75">
        <w:rPr>
          <w:rFonts w:asciiTheme="majorBidi" w:hAnsiTheme="majorBidi" w:cstheme="majorBidi"/>
        </w:rPr>
        <w:t xml:space="preserve"> thousand to $</w:t>
      </w:r>
      <w:r w:rsidRPr="00B44F75" w:rsidR="00B44F75">
        <w:rPr>
          <w:rFonts w:asciiTheme="majorBidi" w:hAnsiTheme="majorBidi" w:cstheme="majorBidi"/>
        </w:rPr>
        <w:t>74</w:t>
      </w:r>
      <w:r w:rsidRPr="00B44F75">
        <w:rPr>
          <w:rFonts w:asciiTheme="majorBidi" w:hAnsiTheme="majorBidi" w:cstheme="majorBidi"/>
        </w:rPr>
        <w:t xml:space="preserve"> thousand or between 52</w:t>
      </w:r>
      <w:r w:rsidRPr="00B44F75" w:rsidR="00B44F75">
        <w:rPr>
          <w:rFonts w:asciiTheme="majorBidi" w:hAnsiTheme="majorBidi" w:cstheme="majorBidi"/>
        </w:rPr>
        <w:t>7</w:t>
      </w:r>
      <w:r w:rsidRPr="00B44F75">
        <w:rPr>
          <w:rFonts w:asciiTheme="majorBidi" w:hAnsiTheme="majorBidi" w:cstheme="majorBidi"/>
        </w:rPr>
        <w:t xml:space="preserve"> and </w:t>
      </w:r>
      <w:r w:rsidRPr="00B44F75" w:rsidR="00B44F75">
        <w:rPr>
          <w:rFonts w:asciiTheme="majorBidi" w:hAnsiTheme="majorBidi" w:cstheme="majorBidi"/>
        </w:rPr>
        <w:t>973</w:t>
      </w:r>
      <w:r w:rsidRPr="00B44F75">
        <w:rPr>
          <w:rFonts w:asciiTheme="majorBidi" w:hAnsiTheme="majorBidi" w:cstheme="majorBidi"/>
        </w:rPr>
        <w:t xml:space="preserve"> hours of burden.</w:t>
      </w:r>
      <w:r w:rsidRPr="00B44F75" w:rsidR="007841AD">
        <w:rPr>
          <w:rFonts w:asciiTheme="majorBidi" w:hAnsiTheme="majorBidi" w:cstheme="majorBidi"/>
        </w:rPr>
        <w:t xml:space="preserve"> </w:t>
      </w:r>
    </w:p>
    <w:p w:rsidRPr="00B44F75" w:rsidR="008253DD" w:rsidP="009B774E" w:rsidRDefault="008253DD" w14:paraId="08622450" w14:textId="77777777">
      <w:pPr>
        <w:rPr>
          <w:rFonts w:asciiTheme="majorBidi" w:hAnsiTheme="majorBidi" w:cstheme="majorBidi"/>
        </w:rPr>
      </w:pPr>
    </w:p>
    <w:p w:rsidRPr="00B44F75" w:rsidR="008253DD" w:rsidP="009B774E" w:rsidRDefault="008253DD" w14:paraId="3817CECE" w14:textId="579CA163">
      <w:pPr>
        <w:rPr>
          <w:rFonts w:asciiTheme="majorBidi" w:hAnsiTheme="majorBidi" w:cstheme="majorBidi"/>
          <w:sz w:val="22"/>
          <w:szCs w:val="22"/>
        </w:rPr>
      </w:pPr>
      <w:r w:rsidRPr="00B44F75">
        <w:rPr>
          <w:rFonts w:asciiTheme="majorBidi" w:hAnsiTheme="majorBidi" w:cstheme="majorBidi"/>
          <w:b/>
          <w:bCs/>
          <w:sz w:val="22"/>
          <w:szCs w:val="22"/>
        </w:rPr>
        <w:t xml:space="preserve">Table </w:t>
      </w:r>
      <w:r w:rsidRPr="00B44F75" w:rsidR="00721A36">
        <w:rPr>
          <w:rFonts w:asciiTheme="majorBidi" w:hAnsiTheme="majorBidi" w:cstheme="majorBidi"/>
          <w:b/>
          <w:bCs/>
          <w:sz w:val="22"/>
          <w:szCs w:val="22"/>
        </w:rPr>
        <w:t>7</w:t>
      </w:r>
      <w:r w:rsidRPr="00B44F75">
        <w:rPr>
          <w:rFonts w:asciiTheme="majorBidi" w:hAnsiTheme="majorBidi" w:cstheme="majorBidi"/>
          <w:b/>
          <w:bCs/>
          <w:sz w:val="22"/>
          <w:szCs w:val="22"/>
        </w:rPr>
        <w:t>-</w:t>
      </w:r>
      <w:r w:rsidRPr="00B44F75" w:rsidR="00721A36">
        <w:rPr>
          <w:rFonts w:asciiTheme="majorBidi" w:hAnsiTheme="majorBidi" w:cstheme="majorBidi"/>
          <w:b/>
          <w:bCs/>
          <w:sz w:val="22"/>
          <w:szCs w:val="22"/>
        </w:rPr>
        <w:t>A</w:t>
      </w:r>
      <w:r w:rsidRPr="00B44F75">
        <w:rPr>
          <w:rFonts w:asciiTheme="majorBidi" w:hAnsiTheme="majorBidi" w:cstheme="majorBidi"/>
          <w:b/>
          <w:bCs/>
          <w:sz w:val="22"/>
          <w:szCs w:val="22"/>
        </w:rPr>
        <w:t>: Estimates of Paperwork Burden Hours from Data Generation for New Products</w:t>
      </w:r>
    </w:p>
    <w:tbl>
      <w:tblPr>
        <w:tblW w:w="5000" w:type="pct"/>
        <w:tblBorders>
          <w:top w:val="double" w:color="808080" w:themeColor="background1" w:themeShade="80" w:sz="4" w:space="0"/>
          <w:left w:val="double" w:color="808080" w:themeColor="background1" w:themeShade="80" w:sz="4" w:space="0"/>
          <w:bottom w:val="double" w:color="808080" w:themeColor="background1" w:themeShade="80" w:sz="4" w:space="0"/>
          <w:right w:val="double" w:color="808080" w:themeColor="background1" w:themeShade="80" w:sz="4" w:space="0"/>
          <w:insideH w:val="single" w:color="808080" w:themeColor="background1" w:themeShade="80" w:sz="6" w:space="0"/>
          <w:insideV w:val="single" w:color="808080" w:themeColor="background1" w:themeShade="80" w:sz="6" w:space="0"/>
        </w:tblBorders>
        <w:tblLook w:val="04A0" w:firstRow="1" w:lastRow="0" w:firstColumn="1" w:lastColumn="0" w:noHBand="0" w:noVBand="1"/>
      </w:tblPr>
      <w:tblGrid>
        <w:gridCol w:w="918"/>
        <w:gridCol w:w="967"/>
        <w:gridCol w:w="1172"/>
        <w:gridCol w:w="896"/>
        <w:gridCol w:w="722"/>
        <w:gridCol w:w="888"/>
        <w:gridCol w:w="722"/>
        <w:gridCol w:w="750"/>
        <w:gridCol w:w="806"/>
        <w:gridCol w:w="806"/>
        <w:gridCol w:w="683"/>
      </w:tblGrid>
      <w:tr w:rsidRPr="00B44F75" w:rsidR="00C270C5" w:rsidTr="005459DF" w14:paraId="5682C984" w14:textId="77777777">
        <w:trPr>
          <w:trHeight w:val="255"/>
        </w:trPr>
        <w:tc>
          <w:tcPr>
            <w:tcW w:w="492" w:type="pct"/>
            <w:vMerge w:val="restart"/>
            <w:shd w:val="clear" w:color="auto" w:fill="auto"/>
            <w:noWrap/>
            <w:vAlign w:val="center"/>
            <w:hideMark/>
          </w:tcPr>
          <w:p w:rsidRPr="00B44F75" w:rsidR="008253DD" w:rsidP="009B774E" w:rsidRDefault="008253DD" w14:paraId="04658217" w14:textId="77777777">
            <w:pPr>
              <w:rPr>
                <w:rFonts w:asciiTheme="majorBidi" w:hAnsiTheme="majorBidi" w:cstheme="majorBidi"/>
                <w:b/>
                <w:sz w:val="20"/>
                <w:szCs w:val="20"/>
              </w:rPr>
            </w:pPr>
            <w:r w:rsidRPr="00B44F75">
              <w:rPr>
                <w:rFonts w:asciiTheme="majorBidi" w:hAnsiTheme="majorBidi" w:cstheme="majorBidi"/>
                <w:b/>
                <w:sz w:val="20"/>
                <w:szCs w:val="20"/>
              </w:rPr>
              <w:t>Division</w:t>
            </w:r>
          </w:p>
        </w:tc>
        <w:tc>
          <w:tcPr>
            <w:tcW w:w="518" w:type="pct"/>
            <w:vMerge w:val="restart"/>
            <w:vAlign w:val="center"/>
          </w:tcPr>
          <w:p w:rsidRPr="00B44F75" w:rsidR="008253DD" w:rsidP="009B774E" w:rsidRDefault="008253DD" w14:paraId="453C6A3F" w14:textId="77777777">
            <w:pPr>
              <w:jc w:val="center"/>
              <w:rPr>
                <w:rFonts w:asciiTheme="majorBidi" w:hAnsiTheme="majorBidi" w:cstheme="majorBidi"/>
                <w:b/>
                <w:bCs/>
                <w:sz w:val="20"/>
                <w:szCs w:val="20"/>
              </w:rPr>
            </w:pPr>
            <w:r w:rsidRPr="00B44F75">
              <w:rPr>
                <w:rFonts w:asciiTheme="majorBidi" w:hAnsiTheme="majorBidi" w:cstheme="majorBidi"/>
                <w:b/>
                <w:bCs/>
                <w:sz w:val="20"/>
                <w:szCs w:val="20"/>
              </w:rPr>
              <w:t>Data Cost</w:t>
            </w:r>
            <w:r w:rsidRPr="00B44F75">
              <w:rPr>
                <w:rFonts w:asciiTheme="majorBidi" w:hAnsiTheme="majorBidi" w:cstheme="majorBidi"/>
                <w:b/>
                <w:bCs/>
                <w:sz w:val="20"/>
                <w:szCs w:val="20"/>
                <w:vertAlign w:val="superscript"/>
              </w:rPr>
              <w:t>1</w:t>
            </w:r>
          </w:p>
        </w:tc>
        <w:tc>
          <w:tcPr>
            <w:tcW w:w="628" w:type="pct"/>
            <w:vMerge w:val="restart"/>
            <w:shd w:val="clear" w:color="auto" w:fill="auto"/>
            <w:vAlign w:val="center"/>
            <w:hideMark/>
          </w:tcPr>
          <w:p w:rsidRPr="00B44F75" w:rsidR="008253DD" w:rsidP="009B774E" w:rsidRDefault="008253DD" w14:paraId="39C4CE13" w14:textId="77777777">
            <w:pPr>
              <w:jc w:val="center"/>
              <w:rPr>
                <w:rFonts w:asciiTheme="majorBidi" w:hAnsiTheme="majorBidi" w:cstheme="majorBidi"/>
                <w:b/>
                <w:bCs/>
                <w:sz w:val="20"/>
                <w:szCs w:val="20"/>
              </w:rPr>
            </w:pPr>
            <w:r w:rsidRPr="00B44F75">
              <w:rPr>
                <w:rFonts w:asciiTheme="majorBidi" w:hAnsiTheme="majorBidi" w:cstheme="majorBidi"/>
                <w:b/>
                <w:bCs/>
                <w:sz w:val="20"/>
                <w:szCs w:val="20"/>
              </w:rPr>
              <w:t>Paperwork Cost</w:t>
            </w:r>
            <w:r w:rsidRPr="00B44F75">
              <w:rPr>
                <w:rFonts w:asciiTheme="majorBidi" w:hAnsiTheme="majorBidi" w:cstheme="majorBidi"/>
                <w:b/>
                <w:bCs/>
                <w:sz w:val="20"/>
                <w:szCs w:val="20"/>
                <w:vertAlign w:val="superscript"/>
              </w:rPr>
              <w:t>1</w:t>
            </w:r>
          </w:p>
        </w:tc>
        <w:tc>
          <w:tcPr>
            <w:tcW w:w="867" w:type="pct"/>
            <w:gridSpan w:val="2"/>
            <w:shd w:val="clear" w:color="auto" w:fill="auto"/>
            <w:noWrap/>
            <w:vAlign w:val="center"/>
            <w:hideMark/>
          </w:tcPr>
          <w:p w:rsidRPr="00B44F75" w:rsidR="008253DD" w:rsidP="009B774E" w:rsidRDefault="008253DD" w14:paraId="4E228AEA" w14:textId="77777777">
            <w:pPr>
              <w:jc w:val="center"/>
              <w:rPr>
                <w:rFonts w:asciiTheme="majorBidi" w:hAnsiTheme="majorBidi" w:cstheme="majorBidi"/>
                <w:b/>
                <w:bCs/>
                <w:sz w:val="20"/>
                <w:szCs w:val="20"/>
              </w:rPr>
            </w:pPr>
            <w:r w:rsidRPr="00B44F75">
              <w:rPr>
                <w:rFonts w:asciiTheme="majorBidi" w:hAnsiTheme="majorBidi" w:cstheme="majorBidi"/>
                <w:b/>
                <w:bCs/>
                <w:sz w:val="20"/>
                <w:szCs w:val="20"/>
              </w:rPr>
              <w:t>Managerial</w:t>
            </w:r>
          </w:p>
        </w:tc>
        <w:tc>
          <w:tcPr>
            <w:tcW w:w="863" w:type="pct"/>
            <w:gridSpan w:val="2"/>
            <w:shd w:val="clear" w:color="auto" w:fill="auto"/>
            <w:noWrap/>
            <w:vAlign w:val="center"/>
            <w:hideMark/>
          </w:tcPr>
          <w:p w:rsidRPr="00B44F75" w:rsidR="008253DD" w:rsidP="009B774E" w:rsidRDefault="008253DD" w14:paraId="1E380EF2" w14:textId="77777777">
            <w:pPr>
              <w:jc w:val="center"/>
              <w:rPr>
                <w:rFonts w:asciiTheme="majorBidi" w:hAnsiTheme="majorBidi" w:cstheme="majorBidi"/>
                <w:b/>
                <w:bCs/>
                <w:sz w:val="20"/>
                <w:szCs w:val="20"/>
              </w:rPr>
            </w:pPr>
            <w:r w:rsidRPr="00B44F75">
              <w:rPr>
                <w:rFonts w:asciiTheme="majorBidi" w:hAnsiTheme="majorBidi" w:cstheme="majorBidi"/>
                <w:b/>
                <w:bCs/>
                <w:sz w:val="20"/>
                <w:szCs w:val="20"/>
              </w:rPr>
              <w:t>Technical</w:t>
            </w:r>
          </w:p>
        </w:tc>
        <w:tc>
          <w:tcPr>
            <w:tcW w:w="834" w:type="pct"/>
            <w:gridSpan w:val="2"/>
            <w:shd w:val="clear" w:color="auto" w:fill="auto"/>
            <w:noWrap/>
            <w:vAlign w:val="center"/>
            <w:hideMark/>
          </w:tcPr>
          <w:p w:rsidRPr="00B44F75" w:rsidR="008253DD" w:rsidP="009B774E" w:rsidRDefault="008253DD" w14:paraId="67A22EE1" w14:textId="77777777">
            <w:pPr>
              <w:jc w:val="center"/>
              <w:rPr>
                <w:rFonts w:asciiTheme="majorBidi" w:hAnsiTheme="majorBidi" w:cstheme="majorBidi"/>
                <w:b/>
                <w:bCs/>
                <w:sz w:val="20"/>
                <w:szCs w:val="20"/>
              </w:rPr>
            </w:pPr>
            <w:r w:rsidRPr="00B44F75">
              <w:rPr>
                <w:rFonts w:asciiTheme="majorBidi" w:hAnsiTheme="majorBidi" w:cstheme="majorBidi"/>
                <w:b/>
                <w:bCs/>
                <w:sz w:val="20"/>
                <w:szCs w:val="20"/>
              </w:rPr>
              <w:t>Clerical</w:t>
            </w:r>
          </w:p>
        </w:tc>
        <w:tc>
          <w:tcPr>
            <w:tcW w:w="798" w:type="pct"/>
            <w:gridSpan w:val="2"/>
            <w:shd w:val="clear" w:color="auto" w:fill="auto"/>
            <w:noWrap/>
            <w:vAlign w:val="center"/>
            <w:hideMark/>
          </w:tcPr>
          <w:p w:rsidRPr="00B44F75" w:rsidR="008253DD" w:rsidP="009B774E" w:rsidRDefault="008253DD" w14:paraId="53ED6D31" w14:textId="77777777">
            <w:pPr>
              <w:jc w:val="center"/>
              <w:rPr>
                <w:rFonts w:asciiTheme="majorBidi" w:hAnsiTheme="majorBidi" w:cstheme="majorBidi"/>
                <w:b/>
                <w:bCs/>
                <w:sz w:val="20"/>
                <w:szCs w:val="20"/>
              </w:rPr>
            </w:pPr>
            <w:r w:rsidRPr="00B44F75">
              <w:rPr>
                <w:rFonts w:asciiTheme="majorBidi" w:hAnsiTheme="majorBidi" w:cstheme="majorBidi"/>
                <w:b/>
                <w:bCs/>
                <w:sz w:val="20"/>
                <w:szCs w:val="20"/>
              </w:rPr>
              <w:t>Total</w:t>
            </w:r>
          </w:p>
        </w:tc>
      </w:tr>
      <w:tr w:rsidRPr="00B44F75" w:rsidR="00C270C5" w:rsidTr="005459DF" w14:paraId="369412CB" w14:textId="77777777">
        <w:trPr>
          <w:trHeight w:val="255"/>
        </w:trPr>
        <w:tc>
          <w:tcPr>
            <w:tcW w:w="492" w:type="pct"/>
            <w:vMerge/>
            <w:shd w:val="clear" w:color="auto" w:fill="auto"/>
            <w:noWrap/>
            <w:vAlign w:val="center"/>
            <w:hideMark/>
          </w:tcPr>
          <w:p w:rsidRPr="00B44F75" w:rsidR="008253DD" w:rsidP="009B774E" w:rsidRDefault="008253DD" w14:paraId="7279A930" w14:textId="77777777">
            <w:pPr>
              <w:jc w:val="center"/>
              <w:rPr>
                <w:rFonts w:asciiTheme="majorBidi" w:hAnsiTheme="majorBidi" w:cstheme="majorBidi"/>
                <w:b/>
                <w:bCs/>
                <w:sz w:val="20"/>
                <w:szCs w:val="20"/>
              </w:rPr>
            </w:pPr>
          </w:p>
        </w:tc>
        <w:tc>
          <w:tcPr>
            <w:tcW w:w="518" w:type="pct"/>
            <w:vMerge/>
            <w:vAlign w:val="center"/>
          </w:tcPr>
          <w:p w:rsidRPr="00B44F75" w:rsidR="008253DD" w:rsidP="009B774E" w:rsidRDefault="008253DD" w14:paraId="405C8748" w14:textId="77777777">
            <w:pPr>
              <w:rPr>
                <w:rFonts w:asciiTheme="majorBidi" w:hAnsiTheme="majorBidi" w:cstheme="majorBidi"/>
                <w:b/>
                <w:bCs/>
                <w:sz w:val="20"/>
                <w:szCs w:val="20"/>
              </w:rPr>
            </w:pPr>
          </w:p>
        </w:tc>
        <w:tc>
          <w:tcPr>
            <w:tcW w:w="628" w:type="pct"/>
            <w:vMerge/>
            <w:vAlign w:val="center"/>
            <w:hideMark/>
          </w:tcPr>
          <w:p w:rsidRPr="00B44F75" w:rsidR="008253DD" w:rsidP="009B774E" w:rsidRDefault="008253DD" w14:paraId="38BE9DEA" w14:textId="77777777">
            <w:pPr>
              <w:rPr>
                <w:rFonts w:asciiTheme="majorBidi" w:hAnsiTheme="majorBidi" w:cstheme="majorBidi"/>
                <w:b/>
                <w:bCs/>
                <w:sz w:val="20"/>
                <w:szCs w:val="20"/>
              </w:rPr>
            </w:pPr>
          </w:p>
        </w:tc>
        <w:tc>
          <w:tcPr>
            <w:tcW w:w="480" w:type="pct"/>
            <w:shd w:val="clear" w:color="auto" w:fill="auto"/>
            <w:noWrap/>
            <w:vAlign w:val="center"/>
            <w:hideMark/>
          </w:tcPr>
          <w:p w:rsidRPr="00B44F75" w:rsidR="008253DD" w:rsidP="009B774E" w:rsidRDefault="008253DD" w14:paraId="03BCDBCD" w14:textId="77777777">
            <w:pPr>
              <w:jc w:val="center"/>
              <w:rPr>
                <w:rFonts w:asciiTheme="majorBidi" w:hAnsiTheme="majorBidi" w:cstheme="majorBidi"/>
                <w:b/>
                <w:bCs/>
                <w:sz w:val="20"/>
                <w:szCs w:val="20"/>
              </w:rPr>
            </w:pPr>
            <w:r w:rsidRPr="00B44F75">
              <w:rPr>
                <w:rFonts w:asciiTheme="majorBidi" w:hAnsiTheme="majorBidi" w:cstheme="majorBidi"/>
                <w:b/>
                <w:bCs/>
                <w:sz w:val="20"/>
                <w:szCs w:val="20"/>
              </w:rPr>
              <w:t>Hours</w:t>
            </w:r>
          </w:p>
        </w:tc>
        <w:tc>
          <w:tcPr>
            <w:tcW w:w="387" w:type="pct"/>
            <w:shd w:val="clear" w:color="auto" w:fill="auto"/>
            <w:noWrap/>
            <w:vAlign w:val="center"/>
            <w:hideMark/>
          </w:tcPr>
          <w:p w:rsidRPr="00B44F75" w:rsidR="008253DD" w:rsidP="009B774E" w:rsidRDefault="008253DD" w14:paraId="7F48E704" w14:textId="77777777">
            <w:pPr>
              <w:jc w:val="center"/>
              <w:rPr>
                <w:rFonts w:asciiTheme="majorBidi" w:hAnsiTheme="majorBidi" w:cstheme="majorBidi"/>
                <w:b/>
                <w:bCs/>
                <w:sz w:val="20"/>
                <w:szCs w:val="20"/>
              </w:rPr>
            </w:pPr>
            <w:r w:rsidRPr="00B44F75">
              <w:rPr>
                <w:rFonts w:asciiTheme="majorBidi" w:hAnsiTheme="majorBidi" w:cstheme="majorBidi"/>
                <w:b/>
                <w:bCs/>
                <w:sz w:val="20"/>
                <w:szCs w:val="20"/>
              </w:rPr>
              <w:t>FTEs</w:t>
            </w:r>
          </w:p>
        </w:tc>
        <w:tc>
          <w:tcPr>
            <w:tcW w:w="476" w:type="pct"/>
            <w:shd w:val="clear" w:color="auto" w:fill="auto"/>
            <w:noWrap/>
            <w:vAlign w:val="center"/>
            <w:hideMark/>
          </w:tcPr>
          <w:p w:rsidRPr="00B44F75" w:rsidR="008253DD" w:rsidP="009B774E" w:rsidRDefault="008253DD" w14:paraId="2AD3705A" w14:textId="77777777">
            <w:pPr>
              <w:jc w:val="center"/>
              <w:rPr>
                <w:rFonts w:asciiTheme="majorBidi" w:hAnsiTheme="majorBidi" w:cstheme="majorBidi"/>
                <w:b/>
                <w:bCs/>
                <w:sz w:val="20"/>
                <w:szCs w:val="20"/>
              </w:rPr>
            </w:pPr>
            <w:r w:rsidRPr="00B44F75">
              <w:rPr>
                <w:rFonts w:asciiTheme="majorBidi" w:hAnsiTheme="majorBidi" w:cstheme="majorBidi"/>
                <w:b/>
                <w:bCs/>
                <w:sz w:val="20"/>
                <w:szCs w:val="20"/>
              </w:rPr>
              <w:t>Hours</w:t>
            </w:r>
          </w:p>
        </w:tc>
        <w:tc>
          <w:tcPr>
            <w:tcW w:w="387" w:type="pct"/>
            <w:shd w:val="clear" w:color="auto" w:fill="auto"/>
            <w:noWrap/>
            <w:vAlign w:val="center"/>
            <w:hideMark/>
          </w:tcPr>
          <w:p w:rsidRPr="00B44F75" w:rsidR="008253DD" w:rsidP="009B774E" w:rsidRDefault="008253DD" w14:paraId="0C89F5C1" w14:textId="77777777">
            <w:pPr>
              <w:jc w:val="center"/>
              <w:rPr>
                <w:rFonts w:asciiTheme="majorBidi" w:hAnsiTheme="majorBidi" w:cstheme="majorBidi"/>
                <w:b/>
                <w:bCs/>
                <w:sz w:val="20"/>
                <w:szCs w:val="20"/>
              </w:rPr>
            </w:pPr>
            <w:r w:rsidRPr="00B44F75">
              <w:rPr>
                <w:rFonts w:asciiTheme="majorBidi" w:hAnsiTheme="majorBidi" w:cstheme="majorBidi"/>
                <w:b/>
                <w:bCs/>
                <w:sz w:val="20"/>
                <w:szCs w:val="20"/>
              </w:rPr>
              <w:t>FTEs</w:t>
            </w:r>
          </w:p>
        </w:tc>
        <w:tc>
          <w:tcPr>
            <w:tcW w:w="402" w:type="pct"/>
            <w:shd w:val="clear" w:color="auto" w:fill="auto"/>
            <w:noWrap/>
            <w:vAlign w:val="center"/>
            <w:hideMark/>
          </w:tcPr>
          <w:p w:rsidRPr="00B44F75" w:rsidR="008253DD" w:rsidP="009B774E" w:rsidRDefault="008253DD" w14:paraId="23A5A46A" w14:textId="77777777">
            <w:pPr>
              <w:jc w:val="center"/>
              <w:rPr>
                <w:rFonts w:asciiTheme="majorBidi" w:hAnsiTheme="majorBidi" w:cstheme="majorBidi"/>
                <w:b/>
                <w:bCs/>
                <w:sz w:val="20"/>
                <w:szCs w:val="20"/>
              </w:rPr>
            </w:pPr>
            <w:r w:rsidRPr="00B44F75">
              <w:rPr>
                <w:rFonts w:asciiTheme="majorBidi" w:hAnsiTheme="majorBidi" w:cstheme="majorBidi"/>
                <w:b/>
                <w:bCs/>
                <w:sz w:val="20"/>
                <w:szCs w:val="20"/>
              </w:rPr>
              <w:t>Hours</w:t>
            </w:r>
          </w:p>
        </w:tc>
        <w:tc>
          <w:tcPr>
            <w:tcW w:w="432" w:type="pct"/>
            <w:shd w:val="clear" w:color="auto" w:fill="auto"/>
            <w:noWrap/>
            <w:vAlign w:val="center"/>
            <w:hideMark/>
          </w:tcPr>
          <w:p w:rsidRPr="00B44F75" w:rsidR="008253DD" w:rsidP="009B774E" w:rsidRDefault="008253DD" w14:paraId="24A12BEF" w14:textId="77777777">
            <w:pPr>
              <w:jc w:val="center"/>
              <w:rPr>
                <w:rFonts w:asciiTheme="majorBidi" w:hAnsiTheme="majorBidi" w:cstheme="majorBidi"/>
                <w:b/>
                <w:bCs/>
                <w:sz w:val="20"/>
                <w:szCs w:val="20"/>
              </w:rPr>
            </w:pPr>
            <w:r w:rsidRPr="00B44F75">
              <w:rPr>
                <w:rFonts w:asciiTheme="majorBidi" w:hAnsiTheme="majorBidi" w:cstheme="majorBidi"/>
                <w:b/>
                <w:bCs/>
                <w:sz w:val="20"/>
                <w:szCs w:val="20"/>
              </w:rPr>
              <w:t>FTEs</w:t>
            </w:r>
          </w:p>
        </w:tc>
        <w:tc>
          <w:tcPr>
            <w:tcW w:w="432" w:type="pct"/>
            <w:shd w:val="clear" w:color="auto" w:fill="auto"/>
            <w:noWrap/>
            <w:vAlign w:val="center"/>
            <w:hideMark/>
          </w:tcPr>
          <w:p w:rsidRPr="00B44F75" w:rsidR="008253DD" w:rsidP="009B774E" w:rsidRDefault="008253DD" w14:paraId="561F36DB" w14:textId="77777777">
            <w:pPr>
              <w:jc w:val="center"/>
              <w:rPr>
                <w:rFonts w:asciiTheme="majorBidi" w:hAnsiTheme="majorBidi" w:cstheme="majorBidi"/>
                <w:b/>
                <w:bCs/>
                <w:sz w:val="20"/>
                <w:szCs w:val="20"/>
              </w:rPr>
            </w:pPr>
            <w:r w:rsidRPr="00B44F75">
              <w:rPr>
                <w:rFonts w:asciiTheme="majorBidi" w:hAnsiTheme="majorBidi" w:cstheme="majorBidi"/>
                <w:b/>
                <w:bCs/>
                <w:sz w:val="20"/>
                <w:szCs w:val="20"/>
              </w:rPr>
              <w:t>Hours</w:t>
            </w:r>
          </w:p>
        </w:tc>
        <w:tc>
          <w:tcPr>
            <w:tcW w:w="366" w:type="pct"/>
            <w:shd w:val="clear" w:color="auto" w:fill="auto"/>
            <w:noWrap/>
            <w:vAlign w:val="center"/>
            <w:hideMark/>
          </w:tcPr>
          <w:p w:rsidRPr="00B44F75" w:rsidR="008253DD" w:rsidP="009B774E" w:rsidRDefault="008253DD" w14:paraId="068850E5" w14:textId="77777777">
            <w:pPr>
              <w:jc w:val="center"/>
              <w:rPr>
                <w:rFonts w:asciiTheme="majorBidi" w:hAnsiTheme="majorBidi" w:cstheme="majorBidi"/>
                <w:b/>
                <w:bCs/>
                <w:sz w:val="20"/>
                <w:szCs w:val="20"/>
              </w:rPr>
            </w:pPr>
            <w:r w:rsidRPr="00B44F75">
              <w:rPr>
                <w:rFonts w:asciiTheme="majorBidi" w:hAnsiTheme="majorBidi" w:cstheme="majorBidi"/>
                <w:b/>
                <w:bCs/>
                <w:sz w:val="20"/>
                <w:szCs w:val="20"/>
              </w:rPr>
              <w:t>FTEs</w:t>
            </w:r>
          </w:p>
        </w:tc>
      </w:tr>
      <w:tr w:rsidRPr="00B44F75" w:rsidR="00B44F75" w:rsidTr="005459DF" w14:paraId="5504753D" w14:textId="77777777">
        <w:trPr>
          <w:trHeight w:val="255"/>
        </w:trPr>
        <w:tc>
          <w:tcPr>
            <w:tcW w:w="492" w:type="pct"/>
            <w:shd w:val="clear" w:color="auto" w:fill="auto"/>
            <w:noWrap/>
            <w:vAlign w:val="center"/>
            <w:hideMark/>
          </w:tcPr>
          <w:p w:rsidRPr="00B44F75" w:rsidR="00B44F75" w:rsidP="009B774E" w:rsidRDefault="00B44F75" w14:paraId="69A1D906" w14:textId="77777777">
            <w:pPr>
              <w:rPr>
                <w:rFonts w:asciiTheme="majorBidi" w:hAnsiTheme="majorBidi" w:cstheme="majorBidi"/>
                <w:b/>
                <w:bCs/>
                <w:sz w:val="20"/>
                <w:szCs w:val="20"/>
              </w:rPr>
            </w:pPr>
            <w:r w:rsidRPr="00B44F75">
              <w:rPr>
                <w:rFonts w:asciiTheme="majorBidi" w:hAnsiTheme="majorBidi" w:cstheme="majorBidi"/>
                <w:b/>
                <w:bCs/>
                <w:sz w:val="20"/>
                <w:szCs w:val="20"/>
              </w:rPr>
              <w:t>AD</w:t>
            </w:r>
          </w:p>
        </w:tc>
        <w:tc>
          <w:tcPr>
            <w:tcW w:w="518" w:type="pct"/>
            <w:shd w:val="clear" w:color="auto" w:fill="auto"/>
            <w:vAlign w:val="center"/>
          </w:tcPr>
          <w:p w:rsidRPr="00B44F75" w:rsidR="00B44F75" w:rsidP="009B774E" w:rsidRDefault="00B44F75" w14:paraId="010FAEE0" w14:textId="569391CF">
            <w:pPr>
              <w:jc w:val="center"/>
              <w:rPr>
                <w:rFonts w:asciiTheme="majorBidi" w:hAnsiTheme="majorBidi" w:cstheme="majorBidi"/>
                <w:sz w:val="20"/>
                <w:szCs w:val="20"/>
              </w:rPr>
            </w:pPr>
            <w:r w:rsidRPr="00B44F75">
              <w:rPr>
                <w:sz w:val="20"/>
                <w:szCs w:val="20"/>
              </w:rPr>
              <w:t>$113,900</w:t>
            </w:r>
          </w:p>
        </w:tc>
        <w:tc>
          <w:tcPr>
            <w:tcW w:w="628" w:type="pct"/>
            <w:shd w:val="clear" w:color="auto" w:fill="auto"/>
            <w:noWrap/>
            <w:vAlign w:val="center"/>
            <w:hideMark/>
          </w:tcPr>
          <w:p w:rsidRPr="00B44F75" w:rsidR="00B44F75" w:rsidP="009B774E" w:rsidRDefault="00B44F75" w14:paraId="51B465DF" w14:textId="764D9780">
            <w:pPr>
              <w:jc w:val="center"/>
              <w:rPr>
                <w:rFonts w:asciiTheme="majorBidi" w:hAnsiTheme="majorBidi" w:cstheme="majorBidi"/>
                <w:sz w:val="20"/>
                <w:szCs w:val="20"/>
              </w:rPr>
            </w:pPr>
            <w:r w:rsidRPr="00B44F75">
              <w:rPr>
                <w:sz w:val="20"/>
                <w:szCs w:val="20"/>
              </w:rPr>
              <w:t>$39,900</w:t>
            </w:r>
          </w:p>
        </w:tc>
        <w:tc>
          <w:tcPr>
            <w:tcW w:w="480" w:type="pct"/>
            <w:shd w:val="clear" w:color="auto" w:fill="auto"/>
            <w:noWrap/>
            <w:vAlign w:val="center"/>
            <w:hideMark/>
          </w:tcPr>
          <w:p w:rsidRPr="00B44F75" w:rsidR="00B44F75" w:rsidP="009B774E" w:rsidRDefault="00B44F75" w14:paraId="10B4F315" w14:textId="19B9F985">
            <w:pPr>
              <w:jc w:val="center"/>
              <w:rPr>
                <w:rFonts w:asciiTheme="majorBidi" w:hAnsiTheme="majorBidi" w:cstheme="majorBidi"/>
                <w:sz w:val="20"/>
                <w:szCs w:val="20"/>
              </w:rPr>
            </w:pPr>
            <w:r w:rsidRPr="00B44F75">
              <w:rPr>
                <w:sz w:val="20"/>
                <w:szCs w:val="20"/>
              </w:rPr>
              <w:t>56</w:t>
            </w:r>
          </w:p>
        </w:tc>
        <w:tc>
          <w:tcPr>
            <w:tcW w:w="387" w:type="pct"/>
            <w:shd w:val="clear" w:color="auto" w:fill="auto"/>
            <w:noWrap/>
            <w:vAlign w:val="center"/>
            <w:hideMark/>
          </w:tcPr>
          <w:p w:rsidRPr="00B44F75" w:rsidR="00B44F75" w:rsidP="009B774E" w:rsidRDefault="00B44F75" w14:paraId="08DE2E1F" w14:textId="0EA62C13">
            <w:pPr>
              <w:jc w:val="center"/>
              <w:rPr>
                <w:rFonts w:asciiTheme="majorBidi" w:hAnsiTheme="majorBidi" w:cstheme="majorBidi"/>
                <w:sz w:val="20"/>
                <w:szCs w:val="20"/>
              </w:rPr>
            </w:pPr>
            <w:r w:rsidRPr="00B44F75">
              <w:rPr>
                <w:sz w:val="20"/>
                <w:szCs w:val="20"/>
              </w:rPr>
              <w:t>0.03</w:t>
            </w:r>
          </w:p>
        </w:tc>
        <w:tc>
          <w:tcPr>
            <w:tcW w:w="476" w:type="pct"/>
            <w:shd w:val="clear" w:color="auto" w:fill="auto"/>
            <w:noWrap/>
            <w:vAlign w:val="center"/>
            <w:hideMark/>
          </w:tcPr>
          <w:p w:rsidRPr="00B44F75" w:rsidR="00B44F75" w:rsidP="009B774E" w:rsidRDefault="00B44F75" w14:paraId="4E9C054C" w14:textId="17F596B1">
            <w:pPr>
              <w:jc w:val="center"/>
              <w:rPr>
                <w:rFonts w:asciiTheme="majorBidi" w:hAnsiTheme="majorBidi" w:cstheme="majorBidi"/>
                <w:sz w:val="20"/>
                <w:szCs w:val="20"/>
              </w:rPr>
            </w:pPr>
            <w:r w:rsidRPr="00B44F75">
              <w:rPr>
                <w:sz w:val="20"/>
                <w:szCs w:val="20"/>
              </w:rPr>
              <w:t>346</w:t>
            </w:r>
          </w:p>
        </w:tc>
        <w:tc>
          <w:tcPr>
            <w:tcW w:w="387" w:type="pct"/>
            <w:shd w:val="clear" w:color="auto" w:fill="auto"/>
            <w:noWrap/>
            <w:vAlign w:val="center"/>
            <w:hideMark/>
          </w:tcPr>
          <w:p w:rsidRPr="00B44F75" w:rsidR="00B44F75" w:rsidP="009B774E" w:rsidRDefault="00B44F75" w14:paraId="52840AA0" w14:textId="43A2CA35">
            <w:pPr>
              <w:jc w:val="center"/>
              <w:rPr>
                <w:rFonts w:asciiTheme="majorBidi" w:hAnsiTheme="majorBidi" w:cstheme="majorBidi"/>
                <w:sz w:val="20"/>
                <w:szCs w:val="20"/>
              </w:rPr>
            </w:pPr>
            <w:r w:rsidRPr="00B44F75">
              <w:rPr>
                <w:sz w:val="20"/>
                <w:szCs w:val="20"/>
              </w:rPr>
              <w:t>0.17</w:t>
            </w:r>
          </w:p>
        </w:tc>
        <w:tc>
          <w:tcPr>
            <w:tcW w:w="402" w:type="pct"/>
            <w:shd w:val="clear" w:color="auto" w:fill="auto"/>
            <w:noWrap/>
            <w:vAlign w:val="center"/>
            <w:hideMark/>
          </w:tcPr>
          <w:p w:rsidRPr="00B44F75" w:rsidR="00B44F75" w:rsidP="009B774E" w:rsidRDefault="00B44F75" w14:paraId="2E988A0C" w14:textId="57343F26">
            <w:pPr>
              <w:jc w:val="center"/>
              <w:rPr>
                <w:rFonts w:asciiTheme="majorBidi" w:hAnsiTheme="majorBidi" w:cstheme="majorBidi"/>
                <w:sz w:val="20"/>
                <w:szCs w:val="20"/>
              </w:rPr>
            </w:pPr>
            <w:r w:rsidRPr="00B44F75">
              <w:rPr>
                <w:sz w:val="20"/>
                <w:szCs w:val="20"/>
              </w:rPr>
              <w:t>125</w:t>
            </w:r>
          </w:p>
        </w:tc>
        <w:tc>
          <w:tcPr>
            <w:tcW w:w="432" w:type="pct"/>
            <w:shd w:val="clear" w:color="auto" w:fill="auto"/>
            <w:noWrap/>
            <w:vAlign w:val="center"/>
            <w:hideMark/>
          </w:tcPr>
          <w:p w:rsidRPr="00B44F75" w:rsidR="00B44F75" w:rsidP="009B774E" w:rsidRDefault="00B44F75" w14:paraId="2CF4B3BF" w14:textId="0A67843A">
            <w:pPr>
              <w:jc w:val="center"/>
              <w:rPr>
                <w:rFonts w:asciiTheme="majorBidi" w:hAnsiTheme="majorBidi" w:cstheme="majorBidi"/>
                <w:sz w:val="20"/>
                <w:szCs w:val="20"/>
              </w:rPr>
            </w:pPr>
            <w:r w:rsidRPr="00B44F75">
              <w:rPr>
                <w:sz w:val="20"/>
                <w:szCs w:val="20"/>
              </w:rPr>
              <w:t>0.06</w:t>
            </w:r>
          </w:p>
        </w:tc>
        <w:tc>
          <w:tcPr>
            <w:tcW w:w="432" w:type="pct"/>
            <w:shd w:val="clear" w:color="auto" w:fill="auto"/>
            <w:noWrap/>
            <w:vAlign w:val="bottom"/>
            <w:hideMark/>
          </w:tcPr>
          <w:p w:rsidRPr="00B44F75" w:rsidR="00B44F75" w:rsidP="009B774E" w:rsidRDefault="00B44F75" w14:paraId="42A06181" w14:textId="40485C5E">
            <w:pPr>
              <w:jc w:val="center"/>
              <w:rPr>
                <w:rFonts w:asciiTheme="majorBidi" w:hAnsiTheme="majorBidi" w:cstheme="majorBidi"/>
                <w:sz w:val="20"/>
                <w:szCs w:val="20"/>
              </w:rPr>
            </w:pPr>
            <w:r w:rsidRPr="00B44F75">
              <w:rPr>
                <w:sz w:val="20"/>
                <w:szCs w:val="20"/>
              </w:rPr>
              <w:t>527</w:t>
            </w:r>
          </w:p>
        </w:tc>
        <w:tc>
          <w:tcPr>
            <w:tcW w:w="366" w:type="pct"/>
            <w:shd w:val="clear" w:color="auto" w:fill="auto"/>
            <w:noWrap/>
            <w:vAlign w:val="center"/>
            <w:hideMark/>
          </w:tcPr>
          <w:p w:rsidRPr="00B44F75" w:rsidR="00B44F75" w:rsidP="009B774E" w:rsidRDefault="00B44F75" w14:paraId="1DC977C5" w14:textId="330C5DF0">
            <w:pPr>
              <w:jc w:val="center"/>
              <w:rPr>
                <w:rFonts w:asciiTheme="majorBidi" w:hAnsiTheme="majorBidi" w:cstheme="majorBidi"/>
                <w:sz w:val="20"/>
                <w:szCs w:val="20"/>
              </w:rPr>
            </w:pPr>
            <w:r w:rsidRPr="00B44F75">
              <w:rPr>
                <w:sz w:val="20"/>
                <w:szCs w:val="20"/>
              </w:rPr>
              <w:t>0.25</w:t>
            </w:r>
          </w:p>
        </w:tc>
      </w:tr>
      <w:tr w:rsidRPr="00B44F75" w:rsidR="00B44F75" w:rsidTr="005459DF" w14:paraId="71E4B1FA" w14:textId="77777777">
        <w:trPr>
          <w:trHeight w:val="255"/>
        </w:trPr>
        <w:tc>
          <w:tcPr>
            <w:tcW w:w="492" w:type="pct"/>
            <w:shd w:val="clear" w:color="auto" w:fill="auto"/>
            <w:noWrap/>
            <w:vAlign w:val="center"/>
            <w:hideMark/>
          </w:tcPr>
          <w:p w:rsidRPr="00B44F75" w:rsidR="00B44F75" w:rsidP="009B774E" w:rsidRDefault="00B44F75" w14:paraId="2712999A" w14:textId="77777777">
            <w:pPr>
              <w:rPr>
                <w:rFonts w:asciiTheme="majorBidi" w:hAnsiTheme="majorBidi" w:cstheme="majorBidi"/>
                <w:b/>
                <w:bCs/>
                <w:sz w:val="20"/>
                <w:szCs w:val="20"/>
              </w:rPr>
            </w:pPr>
            <w:r w:rsidRPr="00B44F75">
              <w:rPr>
                <w:rFonts w:asciiTheme="majorBidi" w:hAnsiTheme="majorBidi" w:cstheme="majorBidi"/>
                <w:b/>
                <w:bCs/>
                <w:sz w:val="20"/>
                <w:szCs w:val="20"/>
              </w:rPr>
              <w:t>BPPD</w:t>
            </w:r>
          </w:p>
        </w:tc>
        <w:tc>
          <w:tcPr>
            <w:tcW w:w="518" w:type="pct"/>
            <w:shd w:val="clear" w:color="auto" w:fill="auto"/>
            <w:vAlign w:val="center"/>
          </w:tcPr>
          <w:p w:rsidRPr="00B44F75" w:rsidR="00B44F75" w:rsidP="009B774E" w:rsidRDefault="00B44F75" w14:paraId="0F9B66C4" w14:textId="7C7C8737">
            <w:pPr>
              <w:jc w:val="center"/>
              <w:rPr>
                <w:rFonts w:asciiTheme="majorBidi" w:hAnsiTheme="majorBidi" w:cstheme="majorBidi"/>
                <w:sz w:val="20"/>
                <w:szCs w:val="20"/>
              </w:rPr>
            </w:pPr>
            <w:r w:rsidRPr="00B44F75">
              <w:rPr>
                <w:sz w:val="20"/>
                <w:szCs w:val="20"/>
              </w:rPr>
              <w:t>$126,700</w:t>
            </w:r>
          </w:p>
        </w:tc>
        <w:tc>
          <w:tcPr>
            <w:tcW w:w="628" w:type="pct"/>
            <w:shd w:val="clear" w:color="auto" w:fill="auto"/>
            <w:noWrap/>
            <w:vAlign w:val="center"/>
            <w:hideMark/>
          </w:tcPr>
          <w:p w:rsidRPr="00B44F75" w:rsidR="00B44F75" w:rsidP="009B774E" w:rsidRDefault="00B44F75" w14:paraId="57C21B0F" w14:textId="505C50AD">
            <w:pPr>
              <w:jc w:val="center"/>
              <w:rPr>
                <w:rFonts w:asciiTheme="majorBidi" w:hAnsiTheme="majorBidi" w:cstheme="majorBidi"/>
                <w:sz w:val="20"/>
                <w:szCs w:val="20"/>
              </w:rPr>
            </w:pPr>
            <w:r w:rsidRPr="00B44F75">
              <w:rPr>
                <w:sz w:val="20"/>
                <w:szCs w:val="20"/>
              </w:rPr>
              <w:t>$44,300</w:t>
            </w:r>
          </w:p>
        </w:tc>
        <w:tc>
          <w:tcPr>
            <w:tcW w:w="480" w:type="pct"/>
            <w:shd w:val="clear" w:color="auto" w:fill="auto"/>
            <w:noWrap/>
            <w:vAlign w:val="center"/>
            <w:hideMark/>
          </w:tcPr>
          <w:p w:rsidRPr="00B44F75" w:rsidR="00B44F75" w:rsidP="009B774E" w:rsidRDefault="00B44F75" w14:paraId="4C94EE95" w14:textId="008FD4E5">
            <w:pPr>
              <w:jc w:val="center"/>
              <w:rPr>
                <w:rFonts w:asciiTheme="majorBidi" w:hAnsiTheme="majorBidi" w:cstheme="majorBidi"/>
                <w:sz w:val="20"/>
                <w:szCs w:val="20"/>
              </w:rPr>
            </w:pPr>
            <w:r w:rsidRPr="00B44F75">
              <w:rPr>
                <w:sz w:val="20"/>
                <w:szCs w:val="20"/>
              </w:rPr>
              <w:t>62</w:t>
            </w:r>
          </w:p>
        </w:tc>
        <w:tc>
          <w:tcPr>
            <w:tcW w:w="387" w:type="pct"/>
            <w:shd w:val="clear" w:color="auto" w:fill="auto"/>
            <w:noWrap/>
            <w:vAlign w:val="center"/>
            <w:hideMark/>
          </w:tcPr>
          <w:p w:rsidRPr="00B44F75" w:rsidR="00B44F75" w:rsidP="009B774E" w:rsidRDefault="00B44F75" w14:paraId="0891A5B2" w14:textId="28E6F2B7">
            <w:pPr>
              <w:jc w:val="center"/>
              <w:rPr>
                <w:rFonts w:asciiTheme="majorBidi" w:hAnsiTheme="majorBidi" w:cstheme="majorBidi"/>
                <w:sz w:val="20"/>
                <w:szCs w:val="20"/>
              </w:rPr>
            </w:pPr>
            <w:r w:rsidRPr="00B44F75">
              <w:rPr>
                <w:sz w:val="20"/>
                <w:szCs w:val="20"/>
              </w:rPr>
              <w:t>0.03</w:t>
            </w:r>
          </w:p>
        </w:tc>
        <w:tc>
          <w:tcPr>
            <w:tcW w:w="476" w:type="pct"/>
            <w:shd w:val="clear" w:color="auto" w:fill="auto"/>
            <w:noWrap/>
            <w:vAlign w:val="center"/>
            <w:hideMark/>
          </w:tcPr>
          <w:p w:rsidRPr="00B44F75" w:rsidR="00B44F75" w:rsidP="009B774E" w:rsidRDefault="00B44F75" w14:paraId="568E4FCA" w14:textId="3EFA1FB0">
            <w:pPr>
              <w:jc w:val="center"/>
              <w:rPr>
                <w:rFonts w:asciiTheme="majorBidi" w:hAnsiTheme="majorBidi" w:cstheme="majorBidi"/>
                <w:sz w:val="20"/>
                <w:szCs w:val="20"/>
              </w:rPr>
            </w:pPr>
            <w:r w:rsidRPr="00B44F75">
              <w:rPr>
                <w:sz w:val="20"/>
                <w:szCs w:val="20"/>
              </w:rPr>
              <w:t>384</w:t>
            </w:r>
          </w:p>
        </w:tc>
        <w:tc>
          <w:tcPr>
            <w:tcW w:w="387" w:type="pct"/>
            <w:shd w:val="clear" w:color="auto" w:fill="auto"/>
            <w:noWrap/>
            <w:vAlign w:val="center"/>
            <w:hideMark/>
          </w:tcPr>
          <w:p w:rsidRPr="00B44F75" w:rsidR="00B44F75" w:rsidP="009B774E" w:rsidRDefault="00B44F75" w14:paraId="2C97E614" w14:textId="1C9E73AD">
            <w:pPr>
              <w:jc w:val="center"/>
              <w:rPr>
                <w:rFonts w:asciiTheme="majorBidi" w:hAnsiTheme="majorBidi" w:cstheme="majorBidi"/>
                <w:sz w:val="20"/>
                <w:szCs w:val="20"/>
              </w:rPr>
            </w:pPr>
            <w:r w:rsidRPr="00B44F75">
              <w:rPr>
                <w:sz w:val="20"/>
                <w:szCs w:val="20"/>
              </w:rPr>
              <w:t>0.18</w:t>
            </w:r>
          </w:p>
        </w:tc>
        <w:tc>
          <w:tcPr>
            <w:tcW w:w="402" w:type="pct"/>
            <w:shd w:val="clear" w:color="auto" w:fill="auto"/>
            <w:noWrap/>
            <w:vAlign w:val="center"/>
            <w:hideMark/>
          </w:tcPr>
          <w:p w:rsidRPr="00B44F75" w:rsidR="00B44F75" w:rsidP="009B774E" w:rsidRDefault="00B44F75" w14:paraId="5A62641B" w14:textId="05C86FA5">
            <w:pPr>
              <w:jc w:val="center"/>
              <w:rPr>
                <w:rFonts w:asciiTheme="majorBidi" w:hAnsiTheme="majorBidi" w:cstheme="majorBidi"/>
                <w:sz w:val="20"/>
                <w:szCs w:val="20"/>
              </w:rPr>
            </w:pPr>
            <w:r w:rsidRPr="00B44F75">
              <w:rPr>
                <w:sz w:val="20"/>
                <w:szCs w:val="20"/>
              </w:rPr>
              <w:t>139</w:t>
            </w:r>
          </w:p>
        </w:tc>
        <w:tc>
          <w:tcPr>
            <w:tcW w:w="432" w:type="pct"/>
            <w:shd w:val="clear" w:color="auto" w:fill="auto"/>
            <w:noWrap/>
            <w:vAlign w:val="center"/>
            <w:hideMark/>
          </w:tcPr>
          <w:p w:rsidRPr="00B44F75" w:rsidR="00B44F75" w:rsidP="009B774E" w:rsidRDefault="00B44F75" w14:paraId="0BA74DA8" w14:textId="756FBE77">
            <w:pPr>
              <w:jc w:val="center"/>
              <w:rPr>
                <w:rFonts w:asciiTheme="majorBidi" w:hAnsiTheme="majorBidi" w:cstheme="majorBidi"/>
                <w:sz w:val="20"/>
                <w:szCs w:val="20"/>
              </w:rPr>
            </w:pPr>
            <w:r w:rsidRPr="00B44F75">
              <w:rPr>
                <w:sz w:val="20"/>
                <w:szCs w:val="20"/>
              </w:rPr>
              <w:t>0.07</w:t>
            </w:r>
          </w:p>
        </w:tc>
        <w:tc>
          <w:tcPr>
            <w:tcW w:w="432" w:type="pct"/>
            <w:shd w:val="clear" w:color="auto" w:fill="auto"/>
            <w:noWrap/>
            <w:vAlign w:val="bottom"/>
            <w:hideMark/>
          </w:tcPr>
          <w:p w:rsidRPr="00B44F75" w:rsidR="00B44F75" w:rsidP="009B774E" w:rsidRDefault="00B44F75" w14:paraId="2C5AE473" w14:textId="5AEADDE7">
            <w:pPr>
              <w:jc w:val="center"/>
              <w:rPr>
                <w:rFonts w:asciiTheme="majorBidi" w:hAnsiTheme="majorBidi" w:cstheme="majorBidi"/>
                <w:sz w:val="20"/>
                <w:szCs w:val="20"/>
              </w:rPr>
            </w:pPr>
            <w:r w:rsidRPr="00B44F75">
              <w:rPr>
                <w:sz w:val="20"/>
                <w:szCs w:val="20"/>
              </w:rPr>
              <w:t>585</w:t>
            </w:r>
          </w:p>
        </w:tc>
        <w:tc>
          <w:tcPr>
            <w:tcW w:w="366" w:type="pct"/>
            <w:shd w:val="clear" w:color="auto" w:fill="auto"/>
            <w:noWrap/>
            <w:vAlign w:val="center"/>
            <w:hideMark/>
          </w:tcPr>
          <w:p w:rsidRPr="00B44F75" w:rsidR="00B44F75" w:rsidP="009B774E" w:rsidRDefault="00B44F75" w14:paraId="35FACF05" w14:textId="7F4FDEBA">
            <w:pPr>
              <w:jc w:val="center"/>
              <w:rPr>
                <w:rFonts w:asciiTheme="majorBidi" w:hAnsiTheme="majorBidi" w:cstheme="majorBidi"/>
                <w:sz w:val="20"/>
                <w:szCs w:val="20"/>
              </w:rPr>
            </w:pPr>
            <w:r w:rsidRPr="00B44F75">
              <w:rPr>
                <w:sz w:val="20"/>
                <w:szCs w:val="20"/>
              </w:rPr>
              <w:t>0.28</w:t>
            </w:r>
          </w:p>
        </w:tc>
      </w:tr>
      <w:tr w:rsidRPr="00B44F75" w:rsidR="00B44F75" w:rsidTr="005459DF" w14:paraId="73293BD8" w14:textId="77777777">
        <w:trPr>
          <w:trHeight w:val="255"/>
        </w:trPr>
        <w:tc>
          <w:tcPr>
            <w:tcW w:w="492" w:type="pct"/>
            <w:shd w:val="clear" w:color="auto" w:fill="auto"/>
            <w:noWrap/>
            <w:vAlign w:val="center"/>
            <w:hideMark/>
          </w:tcPr>
          <w:p w:rsidRPr="00B44F75" w:rsidR="00B44F75" w:rsidP="009B774E" w:rsidRDefault="00B44F75" w14:paraId="6D8CC8BE" w14:textId="77777777">
            <w:pPr>
              <w:rPr>
                <w:rFonts w:asciiTheme="majorBidi" w:hAnsiTheme="majorBidi" w:cstheme="majorBidi"/>
                <w:b/>
                <w:bCs/>
                <w:sz w:val="20"/>
                <w:szCs w:val="20"/>
              </w:rPr>
            </w:pPr>
            <w:r w:rsidRPr="00B44F75">
              <w:rPr>
                <w:rFonts w:asciiTheme="majorBidi" w:hAnsiTheme="majorBidi" w:cstheme="majorBidi"/>
                <w:b/>
                <w:bCs/>
                <w:sz w:val="20"/>
                <w:szCs w:val="20"/>
              </w:rPr>
              <w:t>RD</w:t>
            </w:r>
          </w:p>
        </w:tc>
        <w:tc>
          <w:tcPr>
            <w:tcW w:w="518" w:type="pct"/>
            <w:shd w:val="clear" w:color="auto" w:fill="auto"/>
            <w:vAlign w:val="center"/>
          </w:tcPr>
          <w:p w:rsidRPr="00B44F75" w:rsidR="00B44F75" w:rsidP="009B774E" w:rsidRDefault="00B44F75" w14:paraId="4CFE03DA" w14:textId="3620706B">
            <w:pPr>
              <w:jc w:val="center"/>
              <w:rPr>
                <w:rFonts w:asciiTheme="majorBidi" w:hAnsiTheme="majorBidi" w:cstheme="majorBidi"/>
                <w:sz w:val="20"/>
                <w:szCs w:val="20"/>
              </w:rPr>
            </w:pPr>
            <w:r w:rsidRPr="00B44F75">
              <w:rPr>
                <w:sz w:val="20"/>
                <w:szCs w:val="20"/>
              </w:rPr>
              <w:t>$210,700</w:t>
            </w:r>
          </w:p>
        </w:tc>
        <w:tc>
          <w:tcPr>
            <w:tcW w:w="628" w:type="pct"/>
            <w:shd w:val="clear" w:color="auto" w:fill="auto"/>
            <w:noWrap/>
            <w:vAlign w:val="center"/>
            <w:hideMark/>
          </w:tcPr>
          <w:p w:rsidRPr="00B44F75" w:rsidR="00B44F75" w:rsidP="009B774E" w:rsidRDefault="00B44F75" w14:paraId="47E6B283" w14:textId="1585939D">
            <w:pPr>
              <w:jc w:val="center"/>
              <w:rPr>
                <w:rFonts w:asciiTheme="majorBidi" w:hAnsiTheme="majorBidi" w:cstheme="majorBidi"/>
                <w:sz w:val="20"/>
                <w:szCs w:val="20"/>
              </w:rPr>
            </w:pPr>
            <w:r w:rsidRPr="00B44F75">
              <w:rPr>
                <w:sz w:val="20"/>
                <w:szCs w:val="20"/>
              </w:rPr>
              <w:t>$73,700</w:t>
            </w:r>
          </w:p>
        </w:tc>
        <w:tc>
          <w:tcPr>
            <w:tcW w:w="480" w:type="pct"/>
            <w:shd w:val="clear" w:color="auto" w:fill="auto"/>
            <w:noWrap/>
            <w:vAlign w:val="center"/>
            <w:hideMark/>
          </w:tcPr>
          <w:p w:rsidRPr="00B44F75" w:rsidR="00B44F75" w:rsidP="009B774E" w:rsidRDefault="00B44F75" w14:paraId="785B3024" w14:textId="407CA03D">
            <w:pPr>
              <w:jc w:val="center"/>
              <w:rPr>
                <w:rFonts w:asciiTheme="majorBidi" w:hAnsiTheme="majorBidi" w:cstheme="majorBidi"/>
                <w:sz w:val="20"/>
                <w:szCs w:val="20"/>
              </w:rPr>
            </w:pPr>
            <w:r w:rsidRPr="00B44F75">
              <w:rPr>
                <w:sz w:val="20"/>
                <w:szCs w:val="20"/>
              </w:rPr>
              <w:t>103</w:t>
            </w:r>
          </w:p>
        </w:tc>
        <w:tc>
          <w:tcPr>
            <w:tcW w:w="387" w:type="pct"/>
            <w:shd w:val="clear" w:color="auto" w:fill="auto"/>
            <w:noWrap/>
            <w:vAlign w:val="center"/>
            <w:hideMark/>
          </w:tcPr>
          <w:p w:rsidRPr="00B44F75" w:rsidR="00B44F75" w:rsidP="009B774E" w:rsidRDefault="00B44F75" w14:paraId="5D52CC23" w14:textId="081C1277">
            <w:pPr>
              <w:jc w:val="center"/>
              <w:rPr>
                <w:rFonts w:asciiTheme="majorBidi" w:hAnsiTheme="majorBidi" w:cstheme="majorBidi"/>
                <w:sz w:val="20"/>
                <w:szCs w:val="20"/>
              </w:rPr>
            </w:pPr>
            <w:r w:rsidRPr="00B44F75">
              <w:rPr>
                <w:sz w:val="20"/>
                <w:szCs w:val="20"/>
              </w:rPr>
              <w:t>0.05</w:t>
            </w:r>
          </w:p>
        </w:tc>
        <w:tc>
          <w:tcPr>
            <w:tcW w:w="476" w:type="pct"/>
            <w:shd w:val="clear" w:color="auto" w:fill="auto"/>
            <w:noWrap/>
            <w:vAlign w:val="center"/>
            <w:hideMark/>
          </w:tcPr>
          <w:p w:rsidRPr="00B44F75" w:rsidR="00B44F75" w:rsidP="009B774E" w:rsidRDefault="00B44F75" w14:paraId="4C6E4CAE" w14:textId="37FD0B97">
            <w:pPr>
              <w:jc w:val="center"/>
              <w:rPr>
                <w:rFonts w:asciiTheme="majorBidi" w:hAnsiTheme="majorBidi" w:cstheme="majorBidi"/>
                <w:sz w:val="20"/>
                <w:szCs w:val="20"/>
              </w:rPr>
            </w:pPr>
            <w:r w:rsidRPr="00B44F75">
              <w:rPr>
                <w:sz w:val="20"/>
                <w:szCs w:val="20"/>
              </w:rPr>
              <w:t>639</w:t>
            </w:r>
          </w:p>
        </w:tc>
        <w:tc>
          <w:tcPr>
            <w:tcW w:w="387" w:type="pct"/>
            <w:shd w:val="clear" w:color="auto" w:fill="auto"/>
            <w:noWrap/>
            <w:vAlign w:val="center"/>
            <w:hideMark/>
          </w:tcPr>
          <w:p w:rsidRPr="00B44F75" w:rsidR="00B44F75" w:rsidP="009B774E" w:rsidRDefault="00B44F75" w14:paraId="3E80939E" w14:textId="01B267B7">
            <w:pPr>
              <w:jc w:val="center"/>
              <w:rPr>
                <w:rFonts w:asciiTheme="majorBidi" w:hAnsiTheme="majorBidi" w:cstheme="majorBidi"/>
                <w:sz w:val="20"/>
                <w:szCs w:val="20"/>
              </w:rPr>
            </w:pPr>
            <w:r w:rsidRPr="00B44F75">
              <w:rPr>
                <w:sz w:val="20"/>
                <w:szCs w:val="20"/>
              </w:rPr>
              <w:t>0.31</w:t>
            </w:r>
          </w:p>
        </w:tc>
        <w:tc>
          <w:tcPr>
            <w:tcW w:w="402" w:type="pct"/>
            <w:shd w:val="clear" w:color="auto" w:fill="auto"/>
            <w:noWrap/>
            <w:vAlign w:val="center"/>
            <w:hideMark/>
          </w:tcPr>
          <w:p w:rsidRPr="00B44F75" w:rsidR="00B44F75" w:rsidP="009B774E" w:rsidRDefault="00B44F75" w14:paraId="65ABD728" w14:textId="34419260">
            <w:pPr>
              <w:jc w:val="center"/>
              <w:rPr>
                <w:rFonts w:asciiTheme="majorBidi" w:hAnsiTheme="majorBidi" w:cstheme="majorBidi"/>
                <w:sz w:val="20"/>
                <w:szCs w:val="20"/>
              </w:rPr>
            </w:pPr>
            <w:r w:rsidRPr="00B44F75">
              <w:rPr>
                <w:sz w:val="20"/>
                <w:szCs w:val="20"/>
              </w:rPr>
              <w:t>231</w:t>
            </w:r>
          </w:p>
        </w:tc>
        <w:tc>
          <w:tcPr>
            <w:tcW w:w="432" w:type="pct"/>
            <w:shd w:val="clear" w:color="auto" w:fill="auto"/>
            <w:noWrap/>
            <w:vAlign w:val="center"/>
            <w:hideMark/>
          </w:tcPr>
          <w:p w:rsidRPr="00B44F75" w:rsidR="00B44F75" w:rsidP="009B774E" w:rsidRDefault="00B44F75" w14:paraId="0C6A13AB" w14:textId="52993DE0">
            <w:pPr>
              <w:jc w:val="center"/>
              <w:rPr>
                <w:rFonts w:asciiTheme="majorBidi" w:hAnsiTheme="majorBidi" w:cstheme="majorBidi"/>
                <w:sz w:val="20"/>
                <w:szCs w:val="20"/>
              </w:rPr>
            </w:pPr>
            <w:r w:rsidRPr="00B44F75">
              <w:rPr>
                <w:sz w:val="20"/>
                <w:szCs w:val="20"/>
              </w:rPr>
              <w:t>0.11</w:t>
            </w:r>
          </w:p>
        </w:tc>
        <w:tc>
          <w:tcPr>
            <w:tcW w:w="432" w:type="pct"/>
            <w:shd w:val="clear" w:color="auto" w:fill="auto"/>
            <w:noWrap/>
            <w:vAlign w:val="bottom"/>
            <w:hideMark/>
          </w:tcPr>
          <w:p w:rsidRPr="00B44F75" w:rsidR="00B44F75" w:rsidP="009B774E" w:rsidRDefault="00B44F75" w14:paraId="5C813D71" w14:textId="5BE7926A">
            <w:pPr>
              <w:jc w:val="center"/>
              <w:rPr>
                <w:rFonts w:asciiTheme="majorBidi" w:hAnsiTheme="majorBidi" w:cstheme="majorBidi"/>
                <w:sz w:val="20"/>
                <w:szCs w:val="20"/>
              </w:rPr>
            </w:pPr>
            <w:r w:rsidRPr="00B44F75">
              <w:rPr>
                <w:sz w:val="20"/>
                <w:szCs w:val="20"/>
              </w:rPr>
              <w:t>973</w:t>
            </w:r>
          </w:p>
        </w:tc>
        <w:tc>
          <w:tcPr>
            <w:tcW w:w="366" w:type="pct"/>
            <w:shd w:val="clear" w:color="auto" w:fill="auto"/>
            <w:noWrap/>
            <w:vAlign w:val="center"/>
            <w:hideMark/>
          </w:tcPr>
          <w:p w:rsidRPr="00B44F75" w:rsidR="00B44F75" w:rsidP="009B774E" w:rsidRDefault="00B44F75" w14:paraId="651F0C56" w14:textId="5DE8D6C1">
            <w:pPr>
              <w:jc w:val="center"/>
              <w:rPr>
                <w:rFonts w:asciiTheme="majorBidi" w:hAnsiTheme="majorBidi" w:cstheme="majorBidi"/>
                <w:sz w:val="20"/>
                <w:szCs w:val="20"/>
              </w:rPr>
            </w:pPr>
            <w:r w:rsidRPr="00B44F75">
              <w:rPr>
                <w:sz w:val="20"/>
                <w:szCs w:val="20"/>
              </w:rPr>
              <w:t>0.47</w:t>
            </w:r>
          </w:p>
        </w:tc>
      </w:tr>
    </w:tbl>
    <w:p w:rsidR="005459DF" w:rsidP="009B774E" w:rsidRDefault="005459DF" w14:paraId="0CAB0690" w14:textId="77777777">
      <w:pPr>
        <w:rPr>
          <w:rFonts w:asciiTheme="majorBidi" w:hAnsiTheme="majorBidi" w:cstheme="majorBidi"/>
          <w:sz w:val="20"/>
        </w:rPr>
      </w:pPr>
      <w:r>
        <w:rPr>
          <w:rFonts w:asciiTheme="majorBidi" w:hAnsiTheme="majorBidi" w:cstheme="majorBidi"/>
          <w:sz w:val="20"/>
        </w:rPr>
        <w:lastRenderedPageBreak/>
        <w:t>*Numbers may not sum due to rounding.</w:t>
      </w:r>
    </w:p>
    <w:p w:rsidRPr="00B44F75" w:rsidR="008253DD" w:rsidP="009B774E" w:rsidRDefault="008253DD" w14:paraId="0FE9D04C" w14:textId="77777777">
      <w:pPr>
        <w:rPr>
          <w:rFonts w:asciiTheme="majorBidi" w:hAnsiTheme="majorBidi" w:cstheme="majorBidi"/>
          <w:b/>
          <w:vanish/>
          <w:sz w:val="2"/>
          <w:szCs w:val="2"/>
        </w:rPr>
      </w:pPr>
    </w:p>
    <w:p w:rsidRPr="00C270C5" w:rsidR="008253DD" w:rsidP="009B774E" w:rsidRDefault="008253DD" w14:paraId="17E8ACC8" w14:textId="77777777">
      <w:pPr>
        <w:pBdr>
          <w:bottom w:val="single" w:color="808080" w:themeColor="background1" w:themeShade="80" w:sz="4" w:space="1"/>
        </w:pBdr>
        <w:rPr>
          <w:rFonts w:asciiTheme="majorBidi" w:hAnsiTheme="majorBidi" w:cstheme="majorBidi"/>
          <w:sz w:val="21"/>
          <w:szCs w:val="21"/>
        </w:rPr>
      </w:pPr>
      <w:r w:rsidRPr="00B44F75">
        <w:rPr>
          <w:rFonts w:asciiTheme="majorBidi" w:hAnsiTheme="majorBidi" w:cstheme="majorBidi"/>
          <w:sz w:val="21"/>
          <w:szCs w:val="21"/>
          <w:vertAlign w:val="superscript"/>
        </w:rPr>
        <w:t xml:space="preserve">1 </w:t>
      </w:r>
      <w:r w:rsidRPr="00B44F75">
        <w:rPr>
          <w:rFonts w:asciiTheme="majorBidi" w:hAnsiTheme="majorBidi" w:cstheme="majorBidi"/>
          <w:sz w:val="21"/>
          <w:szCs w:val="21"/>
        </w:rPr>
        <w:t>Rounded to nearest hundred.</w:t>
      </w:r>
    </w:p>
    <w:p w:rsidRPr="00C270C5" w:rsidR="008253DD" w:rsidP="009B774E" w:rsidRDefault="008253DD" w14:paraId="54393ED6" w14:textId="77777777">
      <w:pPr>
        <w:rPr>
          <w:rFonts w:asciiTheme="majorBidi" w:hAnsiTheme="majorBidi" w:cstheme="majorBidi"/>
        </w:rPr>
      </w:pPr>
    </w:p>
    <w:p w:rsidRPr="00C270C5" w:rsidR="000A2E92" w:rsidP="009B774E" w:rsidRDefault="000A2E92" w14:paraId="4553B75E" w14:textId="782E2950">
      <w:pPr>
        <w:ind w:firstLine="720"/>
        <w:rPr>
          <w:rFonts w:asciiTheme="majorBidi" w:hAnsiTheme="majorBidi" w:cstheme="majorBidi"/>
        </w:rPr>
      </w:pPr>
      <w:r w:rsidRPr="00C270C5">
        <w:rPr>
          <w:rFonts w:asciiTheme="majorBidi" w:hAnsiTheme="majorBidi" w:cstheme="majorBidi"/>
        </w:rPr>
        <w:t>Table 7-B shows the calculation of average annual burden hours and costs from paperwork from data generation for new AIs.</w:t>
      </w:r>
      <w:r w:rsidRPr="00C270C5" w:rsidR="007841AD">
        <w:rPr>
          <w:rFonts w:asciiTheme="majorBidi" w:hAnsiTheme="majorBidi" w:cstheme="majorBidi"/>
        </w:rPr>
        <w:t xml:space="preserve"> </w:t>
      </w:r>
      <w:r w:rsidRPr="00C270C5">
        <w:rPr>
          <w:rFonts w:asciiTheme="majorBidi" w:hAnsiTheme="majorBidi" w:cstheme="majorBidi"/>
        </w:rPr>
        <w:t>The burden per registration is taken from Table 7-A.</w:t>
      </w:r>
      <w:r w:rsidRPr="00C270C5" w:rsidR="007841AD">
        <w:rPr>
          <w:rFonts w:asciiTheme="majorBidi" w:hAnsiTheme="majorBidi" w:cstheme="majorBidi"/>
        </w:rPr>
        <w:t xml:space="preserve"> </w:t>
      </w:r>
      <w:r w:rsidRPr="00C270C5">
        <w:rPr>
          <w:rFonts w:asciiTheme="majorBidi" w:hAnsiTheme="majorBidi" w:cstheme="majorBidi"/>
        </w:rPr>
        <w:t>Average annual burden hours is calculated from the average annual responses and burden per registration.</w:t>
      </w:r>
      <w:r w:rsidRPr="00C270C5" w:rsidR="007841AD">
        <w:rPr>
          <w:rFonts w:asciiTheme="majorBidi" w:hAnsiTheme="majorBidi" w:cstheme="majorBidi"/>
        </w:rPr>
        <w:t xml:space="preserve"> </w:t>
      </w:r>
      <w:r w:rsidRPr="00C270C5">
        <w:rPr>
          <w:rFonts w:asciiTheme="majorBidi" w:hAnsiTheme="majorBidi" w:cstheme="majorBidi"/>
        </w:rPr>
        <w:t xml:space="preserve">Average annual costs </w:t>
      </w:r>
      <w:proofErr w:type="gramStart"/>
      <w:r w:rsidRPr="00C270C5">
        <w:rPr>
          <w:rFonts w:asciiTheme="majorBidi" w:hAnsiTheme="majorBidi" w:cstheme="majorBidi"/>
        </w:rPr>
        <w:t>is</w:t>
      </w:r>
      <w:proofErr w:type="gramEnd"/>
      <w:r w:rsidRPr="00C270C5">
        <w:rPr>
          <w:rFonts w:asciiTheme="majorBidi" w:hAnsiTheme="majorBidi" w:cstheme="majorBidi"/>
        </w:rPr>
        <w:t xml:space="preserve"> calculated from the average annual responses and average paperwork cost from Table 7-A.</w:t>
      </w:r>
    </w:p>
    <w:p w:rsidRPr="00C270C5" w:rsidR="000A2E92" w:rsidP="009B774E" w:rsidRDefault="000A2E92" w14:paraId="6D573330" w14:textId="77777777">
      <w:pPr>
        <w:rPr>
          <w:rFonts w:asciiTheme="majorBidi" w:hAnsiTheme="majorBidi" w:cstheme="majorBidi"/>
        </w:rPr>
      </w:pPr>
    </w:p>
    <w:tbl>
      <w:tblPr>
        <w:tblW w:w="5000" w:type="pct"/>
        <w:tblLook w:val="04A0" w:firstRow="1" w:lastRow="0" w:firstColumn="1" w:lastColumn="0" w:noHBand="0" w:noVBand="1"/>
      </w:tblPr>
      <w:tblGrid>
        <w:gridCol w:w="1641"/>
        <w:gridCol w:w="1869"/>
        <w:gridCol w:w="1716"/>
        <w:gridCol w:w="1924"/>
        <w:gridCol w:w="2210"/>
      </w:tblGrid>
      <w:tr w:rsidRPr="00C270C5" w:rsidR="00C270C5" w:rsidTr="001E1DD8" w14:paraId="3F5B4D68" w14:textId="77777777">
        <w:trPr>
          <w:trHeight w:val="270"/>
        </w:trPr>
        <w:tc>
          <w:tcPr>
            <w:tcW w:w="5000" w:type="pct"/>
            <w:gridSpan w:val="5"/>
            <w:tcBorders>
              <w:top w:val="nil"/>
              <w:left w:val="nil"/>
              <w:bottom w:val="double" w:color="auto" w:sz="4" w:space="0"/>
              <w:right w:val="nil"/>
            </w:tcBorders>
            <w:shd w:val="clear" w:color="auto" w:fill="auto"/>
            <w:noWrap/>
            <w:vAlign w:val="bottom"/>
            <w:hideMark/>
          </w:tcPr>
          <w:p w:rsidRPr="00C270C5" w:rsidR="000A2E92" w:rsidP="009B774E" w:rsidRDefault="000A2E92" w14:paraId="16B1D594" w14:textId="454F96A2">
            <w:pPr>
              <w:rPr>
                <w:rFonts w:asciiTheme="majorBidi" w:hAnsiTheme="majorBidi" w:cstheme="majorBidi"/>
                <w:b/>
                <w:bCs/>
                <w:sz w:val="20"/>
                <w:szCs w:val="20"/>
              </w:rPr>
            </w:pPr>
            <w:r w:rsidRPr="00C270C5">
              <w:rPr>
                <w:rFonts w:asciiTheme="majorBidi" w:hAnsiTheme="majorBidi" w:cstheme="majorBidi"/>
                <w:b/>
                <w:bCs/>
                <w:sz w:val="22"/>
                <w:szCs w:val="22"/>
              </w:rPr>
              <w:t>Table 7-B: Estimates of Annual Paperwork Burden Hours and Cost from Data Generation for New Products</w:t>
            </w:r>
          </w:p>
        </w:tc>
      </w:tr>
      <w:tr w:rsidRPr="00C270C5" w:rsidR="00C270C5" w:rsidTr="00396653" w14:paraId="76D8B750" w14:textId="77777777">
        <w:trPr>
          <w:trHeight w:val="495"/>
        </w:trPr>
        <w:tc>
          <w:tcPr>
            <w:tcW w:w="876" w:type="pct"/>
            <w:tcBorders>
              <w:top w:val="double" w:color="auto" w:sz="4" w:space="0"/>
              <w:left w:val="double" w:color="auto" w:sz="4" w:space="0"/>
              <w:bottom w:val="single" w:color="auto" w:sz="6" w:space="0"/>
              <w:right w:val="single" w:color="auto" w:sz="6" w:space="0"/>
            </w:tcBorders>
            <w:vAlign w:val="center"/>
            <w:hideMark/>
          </w:tcPr>
          <w:p w:rsidRPr="00C270C5" w:rsidR="000A2E92" w:rsidP="009B774E" w:rsidRDefault="000A2E92" w14:paraId="2CB562ED" w14:textId="77777777">
            <w:pPr>
              <w:rPr>
                <w:rFonts w:asciiTheme="majorBidi" w:hAnsiTheme="majorBidi" w:cstheme="majorBidi"/>
                <w:b/>
                <w:bCs/>
                <w:sz w:val="20"/>
                <w:szCs w:val="20"/>
              </w:rPr>
            </w:pPr>
          </w:p>
        </w:tc>
        <w:tc>
          <w:tcPr>
            <w:tcW w:w="998" w:type="pct"/>
            <w:tcBorders>
              <w:top w:val="double" w:color="auto" w:sz="4" w:space="0"/>
              <w:left w:val="single" w:color="auto" w:sz="6" w:space="0"/>
              <w:bottom w:val="single" w:color="auto" w:sz="6" w:space="0"/>
              <w:right w:val="single" w:color="auto" w:sz="6" w:space="0"/>
            </w:tcBorders>
            <w:shd w:val="clear" w:color="auto" w:fill="auto"/>
            <w:vAlign w:val="center"/>
            <w:hideMark/>
          </w:tcPr>
          <w:p w:rsidRPr="00C270C5" w:rsidR="000A2E92" w:rsidP="009B774E" w:rsidRDefault="000A2E92" w14:paraId="45A0F743" w14:textId="77777777">
            <w:pPr>
              <w:jc w:val="center"/>
              <w:rPr>
                <w:rFonts w:asciiTheme="majorBidi" w:hAnsiTheme="majorBidi" w:cstheme="majorBidi"/>
                <w:b/>
                <w:bCs/>
                <w:sz w:val="20"/>
                <w:szCs w:val="20"/>
                <w:vertAlign w:val="superscript"/>
              </w:rPr>
            </w:pPr>
            <w:r w:rsidRPr="00C270C5">
              <w:rPr>
                <w:rFonts w:asciiTheme="majorBidi" w:hAnsiTheme="majorBidi" w:cstheme="majorBidi"/>
                <w:b/>
                <w:bCs/>
                <w:sz w:val="20"/>
                <w:szCs w:val="20"/>
              </w:rPr>
              <w:t xml:space="preserve">Burden per Registration </w:t>
            </w:r>
            <w:r w:rsidRPr="00C270C5">
              <w:rPr>
                <w:rFonts w:asciiTheme="majorBidi" w:hAnsiTheme="majorBidi" w:cstheme="majorBidi"/>
                <w:b/>
                <w:bCs/>
                <w:sz w:val="20"/>
                <w:szCs w:val="20"/>
                <w:vertAlign w:val="superscript"/>
              </w:rPr>
              <w:t>1</w:t>
            </w:r>
          </w:p>
        </w:tc>
        <w:tc>
          <w:tcPr>
            <w:tcW w:w="915" w:type="pct"/>
            <w:tcBorders>
              <w:top w:val="double" w:color="auto" w:sz="4" w:space="0"/>
              <w:left w:val="single" w:color="auto" w:sz="6" w:space="0"/>
              <w:bottom w:val="single" w:color="auto" w:sz="6" w:space="0"/>
              <w:right w:val="single" w:color="auto" w:sz="6" w:space="0"/>
            </w:tcBorders>
            <w:shd w:val="clear" w:color="auto" w:fill="auto"/>
            <w:vAlign w:val="center"/>
            <w:hideMark/>
          </w:tcPr>
          <w:p w:rsidRPr="00C270C5" w:rsidR="000A2E92" w:rsidP="009B774E" w:rsidRDefault="000A2E92" w14:paraId="4B3AA506" w14:textId="77777777">
            <w:pPr>
              <w:jc w:val="center"/>
              <w:rPr>
                <w:rFonts w:asciiTheme="majorBidi" w:hAnsiTheme="majorBidi" w:cstheme="majorBidi"/>
                <w:b/>
                <w:bCs/>
                <w:sz w:val="20"/>
                <w:szCs w:val="20"/>
              </w:rPr>
            </w:pPr>
            <w:r w:rsidRPr="00C270C5">
              <w:rPr>
                <w:rFonts w:asciiTheme="majorBidi" w:hAnsiTheme="majorBidi" w:cstheme="majorBidi"/>
                <w:b/>
                <w:bCs/>
                <w:sz w:val="20"/>
                <w:szCs w:val="20"/>
              </w:rPr>
              <w:t>Average Annual Responses</w:t>
            </w:r>
          </w:p>
        </w:tc>
        <w:tc>
          <w:tcPr>
            <w:tcW w:w="1028" w:type="pct"/>
            <w:tcBorders>
              <w:top w:val="double" w:color="auto" w:sz="4" w:space="0"/>
              <w:left w:val="single" w:color="auto" w:sz="6" w:space="0"/>
              <w:bottom w:val="single" w:color="auto" w:sz="6" w:space="0"/>
              <w:right w:val="single" w:color="auto" w:sz="6" w:space="0"/>
            </w:tcBorders>
            <w:shd w:val="clear" w:color="auto" w:fill="auto"/>
            <w:vAlign w:val="center"/>
            <w:hideMark/>
          </w:tcPr>
          <w:p w:rsidRPr="00C270C5" w:rsidR="000A2E92" w:rsidP="009B774E" w:rsidRDefault="000A2E92" w14:paraId="23D9AF4C" w14:textId="77777777">
            <w:pPr>
              <w:jc w:val="center"/>
              <w:rPr>
                <w:rFonts w:asciiTheme="majorBidi" w:hAnsiTheme="majorBidi" w:cstheme="majorBidi"/>
                <w:b/>
                <w:bCs/>
                <w:sz w:val="20"/>
                <w:szCs w:val="20"/>
              </w:rPr>
            </w:pPr>
            <w:r w:rsidRPr="00C270C5">
              <w:rPr>
                <w:rFonts w:asciiTheme="majorBidi" w:hAnsiTheme="majorBidi" w:cstheme="majorBidi"/>
                <w:b/>
                <w:bCs/>
                <w:sz w:val="20"/>
                <w:szCs w:val="20"/>
              </w:rPr>
              <w:t>Average Annual Burden Hours</w:t>
            </w:r>
          </w:p>
        </w:tc>
        <w:tc>
          <w:tcPr>
            <w:tcW w:w="1183" w:type="pct"/>
            <w:tcBorders>
              <w:top w:val="double" w:color="auto" w:sz="4" w:space="0"/>
              <w:left w:val="single" w:color="auto" w:sz="6" w:space="0"/>
              <w:bottom w:val="single" w:color="auto" w:sz="6" w:space="0"/>
              <w:right w:val="double" w:color="auto" w:sz="4" w:space="0"/>
            </w:tcBorders>
            <w:shd w:val="clear" w:color="auto" w:fill="auto"/>
            <w:vAlign w:val="center"/>
            <w:hideMark/>
          </w:tcPr>
          <w:p w:rsidRPr="00C270C5" w:rsidR="000A2E92" w:rsidP="009B774E" w:rsidRDefault="000A2E92" w14:paraId="7126C176" w14:textId="7E8F5323">
            <w:pPr>
              <w:jc w:val="center"/>
              <w:rPr>
                <w:rFonts w:asciiTheme="majorBidi" w:hAnsiTheme="majorBidi" w:cstheme="majorBidi"/>
                <w:b/>
                <w:bCs/>
                <w:sz w:val="20"/>
                <w:szCs w:val="20"/>
              </w:rPr>
            </w:pPr>
            <w:r w:rsidRPr="00C270C5">
              <w:rPr>
                <w:rFonts w:asciiTheme="majorBidi" w:hAnsiTheme="majorBidi" w:cstheme="majorBidi"/>
                <w:b/>
                <w:bCs/>
                <w:sz w:val="20"/>
                <w:szCs w:val="20"/>
              </w:rPr>
              <w:t>Average Annual Cost</w:t>
            </w:r>
            <w:r w:rsidRPr="00C270C5" w:rsidR="004315F8">
              <w:rPr>
                <w:rFonts w:asciiTheme="majorBidi" w:hAnsiTheme="majorBidi" w:cstheme="majorBidi"/>
                <w:b/>
                <w:bCs/>
                <w:sz w:val="20"/>
                <w:szCs w:val="20"/>
                <w:vertAlign w:val="superscript"/>
              </w:rPr>
              <w:t xml:space="preserve"> </w:t>
            </w:r>
          </w:p>
        </w:tc>
      </w:tr>
      <w:tr w:rsidRPr="00C270C5" w:rsidR="00396653" w:rsidTr="00396653" w14:paraId="25B3C27F" w14:textId="77777777">
        <w:trPr>
          <w:trHeight w:val="255"/>
        </w:trPr>
        <w:tc>
          <w:tcPr>
            <w:tcW w:w="876" w:type="pct"/>
            <w:tcBorders>
              <w:top w:val="single" w:color="auto" w:sz="6" w:space="0"/>
              <w:left w:val="double" w:color="auto" w:sz="4" w:space="0"/>
              <w:bottom w:val="single" w:color="auto" w:sz="6" w:space="0"/>
              <w:right w:val="single" w:color="auto" w:sz="6" w:space="0"/>
            </w:tcBorders>
            <w:shd w:val="clear" w:color="auto" w:fill="auto"/>
            <w:noWrap/>
            <w:vAlign w:val="bottom"/>
            <w:hideMark/>
          </w:tcPr>
          <w:p w:rsidRPr="00C270C5" w:rsidR="00396653" w:rsidP="009B774E" w:rsidRDefault="00396653" w14:paraId="72FD642E" w14:textId="77777777">
            <w:pPr>
              <w:rPr>
                <w:rFonts w:asciiTheme="majorBidi" w:hAnsiTheme="majorBidi" w:cstheme="majorBidi"/>
                <w:b/>
                <w:bCs/>
                <w:sz w:val="20"/>
                <w:szCs w:val="20"/>
              </w:rPr>
            </w:pPr>
            <w:r w:rsidRPr="00C270C5">
              <w:rPr>
                <w:rFonts w:asciiTheme="majorBidi" w:hAnsiTheme="majorBidi" w:cstheme="majorBidi"/>
                <w:b/>
                <w:bCs/>
                <w:sz w:val="20"/>
                <w:szCs w:val="20"/>
              </w:rPr>
              <w:t>Antimicrobial</w:t>
            </w:r>
          </w:p>
        </w:tc>
        <w:tc>
          <w:tcPr>
            <w:tcW w:w="998" w:type="pct"/>
            <w:tcBorders>
              <w:top w:val="single" w:color="auto" w:sz="6" w:space="0"/>
              <w:left w:val="single" w:color="auto" w:sz="6" w:space="0"/>
              <w:bottom w:val="single" w:color="auto" w:sz="6" w:space="0"/>
              <w:right w:val="single" w:color="auto" w:sz="6" w:space="0"/>
            </w:tcBorders>
            <w:shd w:val="clear" w:color="auto" w:fill="auto"/>
            <w:noWrap/>
            <w:vAlign w:val="center"/>
            <w:hideMark/>
          </w:tcPr>
          <w:p w:rsidRPr="00892505" w:rsidR="00396653" w:rsidP="009B774E" w:rsidRDefault="00396653" w14:paraId="7DF93D1B" w14:textId="5B755C2D">
            <w:pPr>
              <w:jc w:val="center"/>
              <w:rPr>
                <w:rFonts w:asciiTheme="majorBidi" w:hAnsiTheme="majorBidi" w:cstheme="majorBidi"/>
                <w:sz w:val="20"/>
                <w:szCs w:val="20"/>
              </w:rPr>
            </w:pPr>
            <w:r>
              <w:rPr>
                <w:sz w:val="20"/>
                <w:szCs w:val="20"/>
              </w:rPr>
              <w:t>527</w:t>
            </w:r>
          </w:p>
        </w:tc>
        <w:tc>
          <w:tcPr>
            <w:tcW w:w="915" w:type="pct"/>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892505" w:rsidR="00396653" w:rsidP="009B774E" w:rsidRDefault="00396653" w14:paraId="5DAA3383" w14:textId="405E0AEE">
            <w:pPr>
              <w:jc w:val="center"/>
              <w:rPr>
                <w:rFonts w:asciiTheme="majorBidi" w:hAnsiTheme="majorBidi" w:cstheme="majorBidi"/>
                <w:sz w:val="20"/>
                <w:szCs w:val="20"/>
              </w:rPr>
            </w:pPr>
            <w:r>
              <w:rPr>
                <w:sz w:val="20"/>
                <w:szCs w:val="20"/>
              </w:rPr>
              <w:t>325</w:t>
            </w:r>
          </w:p>
        </w:tc>
        <w:tc>
          <w:tcPr>
            <w:tcW w:w="1028" w:type="pct"/>
            <w:tcBorders>
              <w:top w:val="single" w:color="auto" w:sz="6" w:space="0"/>
              <w:left w:val="single" w:color="auto" w:sz="6" w:space="0"/>
              <w:bottom w:val="single" w:color="auto" w:sz="6" w:space="0"/>
              <w:right w:val="single" w:color="auto" w:sz="6" w:space="0"/>
            </w:tcBorders>
            <w:shd w:val="clear" w:color="auto" w:fill="auto"/>
            <w:noWrap/>
            <w:vAlign w:val="center"/>
            <w:hideMark/>
          </w:tcPr>
          <w:p w:rsidRPr="00892505" w:rsidR="00396653" w:rsidP="009B774E" w:rsidRDefault="00396653" w14:paraId="6587086C" w14:textId="72D62B78">
            <w:pPr>
              <w:jc w:val="center"/>
              <w:rPr>
                <w:rFonts w:asciiTheme="majorBidi" w:hAnsiTheme="majorBidi" w:cstheme="majorBidi"/>
                <w:sz w:val="20"/>
                <w:szCs w:val="20"/>
              </w:rPr>
            </w:pPr>
            <w:r>
              <w:rPr>
                <w:sz w:val="20"/>
                <w:szCs w:val="20"/>
              </w:rPr>
              <w:t>171,270</w:t>
            </w:r>
          </w:p>
        </w:tc>
        <w:tc>
          <w:tcPr>
            <w:tcW w:w="1183" w:type="pct"/>
            <w:tcBorders>
              <w:top w:val="single" w:color="auto" w:sz="6" w:space="0"/>
              <w:left w:val="single" w:color="auto" w:sz="6" w:space="0"/>
              <w:bottom w:val="single" w:color="auto" w:sz="6" w:space="0"/>
              <w:right w:val="double" w:color="auto" w:sz="4" w:space="0"/>
            </w:tcBorders>
            <w:shd w:val="clear" w:color="auto" w:fill="auto"/>
            <w:noWrap/>
            <w:vAlign w:val="bottom"/>
            <w:hideMark/>
          </w:tcPr>
          <w:p w:rsidRPr="00892505" w:rsidR="00396653" w:rsidP="009B774E" w:rsidRDefault="00396653" w14:paraId="085AFD4A" w14:textId="1D4E80B9">
            <w:pPr>
              <w:jc w:val="center"/>
              <w:rPr>
                <w:rFonts w:asciiTheme="majorBidi" w:hAnsiTheme="majorBidi" w:cstheme="majorBidi"/>
                <w:sz w:val="20"/>
                <w:szCs w:val="20"/>
              </w:rPr>
            </w:pPr>
            <w:r>
              <w:rPr>
                <w:sz w:val="20"/>
                <w:szCs w:val="20"/>
              </w:rPr>
              <w:t>$12,967,500</w:t>
            </w:r>
          </w:p>
        </w:tc>
      </w:tr>
      <w:tr w:rsidRPr="00C270C5" w:rsidR="00396653" w:rsidTr="00396653" w14:paraId="7C923BA1" w14:textId="77777777">
        <w:trPr>
          <w:trHeight w:val="255"/>
        </w:trPr>
        <w:tc>
          <w:tcPr>
            <w:tcW w:w="876" w:type="pct"/>
            <w:tcBorders>
              <w:top w:val="single" w:color="auto" w:sz="6" w:space="0"/>
              <w:left w:val="double" w:color="auto" w:sz="4" w:space="0"/>
              <w:bottom w:val="single" w:color="auto" w:sz="6" w:space="0"/>
              <w:right w:val="single" w:color="auto" w:sz="6" w:space="0"/>
            </w:tcBorders>
            <w:shd w:val="clear" w:color="auto" w:fill="auto"/>
            <w:noWrap/>
            <w:vAlign w:val="bottom"/>
            <w:hideMark/>
          </w:tcPr>
          <w:p w:rsidRPr="00C270C5" w:rsidR="00396653" w:rsidP="009B774E" w:rsidRDefault="00396653" w14:paraId="7C3947F7" w14:textId="77777777">
            <w:pPr>
              <w:rPr>
                <w:rFonts w:asciiTheme="majorBidi" w:hAnsiTheme="majorBidi" w:cstheme="majorBidi"/>
                <w:b/>
                <w:bCs/>
                <w:sz w:val="20"/>
                <w:szCs w:val="20"/>
              </w:rPr>
            </w:pPr>
            <w:r w:rsidRPr="00C270C5">
              <w:rPr>
                <w:rFonts w:asciiTheme="majorBidi" w:hAnsiTheme="majorBidi" w:cstheme="majorBidi"/>
                <w:b/>
                <w:bCs/>
                <w:sz w:val="20"/>
                <w:szCs w:val="20"/>
              </w:rPr>
              <w:t>Biochemical</w:t>
            </w:r>
          </w:p>
        </w:tc>
        <w:tc>
          <w:tcPr>
            <w:tcW w:w="998" w:type="pct"/>
            <w:tcBorders>
              <w:top w:val="single" w:color="auto" w:sz="6" w:space="0"/>
              <w:left w:val="single" w:color="auto" w:sz="6" w:space="0"/>
              <w:bottom w:val="single" w:color="auto" w:sz="6" w:space="0"/>
              <w:right w:val="single" w:color="auto" w:sz="6" w:space="0"/>
            </w:tcBorders>
            <w:shd w:val="clear" w:color="auto" w:fill="auto"/>
            <w:noWrap/>
            <w:vAlign w:val="center"/>
            <w:hideMark/>
          </w:tcPr>
          <w:p w:rsidRPr="00892505" w:rsidR="00396653" w:rsidP="009B774E" w:rsidRDefault="00396653" w14:paraId="3C8ADA06" w14:textId="67AD02DC">
            <w:pPr>
              <w:jc w:val="center"/>
              <w:rPr>
                <w:rFonts w:asciiTheme="majorBidi" w:hAnsiTheme="majorBidi" w:cstheme="majorBidi"/>
                <w:sz w:val="20"/>
                <w:szCs w:val="20"/>
              </w:rPr>
            </w:pPr>
            <w:r>
              <w:rPr>
                <w:sz w:val="20"/>
                <w:szCs w:val="20"/>
              </w:rPr>
              <w:t>585</w:t>
            </w:r>
          </w:p>
        </w:tc>
        <w:tc>
          <w:tcPr>
            <w:tcW w:w="915" w:type="pct"/>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892505" w:rsidR="00396653" w:rsidP="009B774E" w:rsidRDefault="00396653" w14:paraId="35DAE56F" w14:textId="7353A0F6">
            <w:pPr>
              <w:jc w:val="center"/>
              <w:rPr>
                <w:rFonts w:asciiTheme="majorBidi" w:hAnsiTheme="majorBidi" w:cstheme="majorBidi"/>
                <w:sz w:val="20"/>
                <w:szCs w:val="20"/>
              </w:rPr>
            </w:pPr>
            <w:r>
              <w:rPr>
                <w:sz w:val="20"/>
                <w:szCs w:val="20"/>
              </w:rPr>
              <w:t>51</w:t>
            </w:r>
          </w:p>
        </w:tc>
        <w:tc>
          <w:tcPr>
            <w:tcW w:w="1028" w:type="pct"/>
            <w:tcBorders>
              <w:top w:val="single" w:color="auto" w:sz="6" w:space="0"/>
              <w:left w:val="single" w:color="auto" w:sz="6" w:space="0"/>
              <w:bottom w:val="single" w:color="auto" w:sz="6" w:space="0"/>
              <w:right w:val="single" w:color="auto" w:sz="6" w:space="0"/>
            </w:tcBorders>
            <w:shd w:val="clear" w:color="auto" w:fill="auto"/>
            <w:noWrap/>
            <w:vAlign w:val="center"/>
            <w:hideMark/>
          </w:tcPr>
          <w:p w:rsidRPr="00892505" w:rsidR="00396653" w:rsidP="009B774E" w:rsidRDefault="00396653" w14:paraId="29A09137" w14:textId="6A5304E9">
            <w:pPr>
              <w:jc w:val="center"/>
              <w:rPr>
                <w:rFonts w:asciiTheme="majorBidi" w:hAnsiTheme="majorBidi" w:cstheme="majorBidi"/>
                <w:sz w:val="20"/>
                <w:szCs w:val="20"/>
              </w:rPr>
            </w:pPr>
            <w:r>
              <w:rPr>
                <w:sz w:val="20"/>
                <w:szCs w:val="20"/>
              </w:rPr>
              <w:t>29,840</w:t>
            </w:r>
          </w:p>
        </w:tc>
        <w:tc>
          <w:tcPr>
            <w:tcW w:w="1183" w:type="pct"/>
            <w:tcBorders>
              <w:top w:val="single" w:color="auto" w:sz="6" w:space="0"/>
              <w:left w:val="single" w:color="auto" w:sz="6" w:space="0"/>
              <w:bottom w:val="single" w:color="auto" w:sz="6" w:space="0"/>
              <w:right w:val="double" w:color="auto" w:sz="4" w:space="0"/>
            </w:tcBorders>
            <w:shd w:val="clear" w:color="auto" w:fill="auto"/>
            <w:noWrap/>
            <w:vAlign w:val="bottom"/>
            <w:hideMark/>
          </w:tcPr>
          <w:p w:rsidRPr="00892505" w:rsidR="00396653" w:rsidP="009B774E" w:rsidRDefault="00396653" w14:paraId="0FEFC62C" w14:textId="0DF04F1E">
            <w:pPr>
              <w:jc w:val="center"/>
              <w:rPr>
                <w:rFonts w:asciiTheme="majorBidi" w:hAnsiTheme="majorBidi" w:cstheme="majorBidi"/>
                <w:sz w:val="20"/>
                <w:szCs w:val="20"/>
              </w:rPr>
            </w:pPr>
            <w:r>
              <w:rPr>
                <w:sz w:val="20"/>
                <w:szCs w:val="20"/>
              </w:rPr>
              <w:t>$2,259,300</w:t>
            </w:r>
          </w:p>
        </w:tc>
      </w:tr>
      <w:tr w:rsidRPr="00C270C5" w:rsidR="00396653" w:rsidTr="00396653" w14:paraId="7F13209D" w14:textId="77777777">
        <w:trPr>
          <w:trHeight w:val="255"/>
        </w:trPr>
        <w:tc>
          <w:tcPr>
            <w:tcW w:w="876" w:type="pct"/>
            <w:tcBorders>
              <w:top w:val="single" w:color="auto" w:sz="6" w:space="0"/>
              <w:left w:val="double" w:color="auto" w:sz="4" w:space="0"/>
              <w:bottom w:val="single" w:color="auto" w:sz="6" w:space="0"/>
              <w:right w:val="single" w:color="auto" w:sz="6" w:space="0"/>
            </w:tcBorders>
            <w:shd w:val="clear" w:color="auto" w:fill="auto"/>
            <w:noWrap/>
            <w:vAlign w:val="bottom"/>
            <w:hideMark/>
          </w:tcPr>
          <w:p w:rsidRPr="00C270C5" w:rsidR="00396653" w:rsidP="009B774E" w:rsidRDefault="00396653" w14:paraId="110691CB" w14:textId="77777777">
            <w:pPr>
              <w:rPr>
                <w:rFonts w:asciiTheme="majorBidi" w:hAnsiTheme="majorBidi" w:cstheme="majorBidi"/>
                <w:b/>
                <w:bCs/>
                <w:sz w:val="20"/>
                <w:szCs w:val="20"/>
              </w:rPr>
            </w:pPr>
            <w:r w:rsidRPr="00C270C5">
              <w:rPr>
                <w:rFonts w:asciiTheme="majorBidi" w:hAnsiTheme="majorBidi" w:cstheme="majorBidi"/>
                <w:b/>
                <w:bCs/>
                <w:sz w:val="20"/>
                <w:szCs w:val="20"/>
              </w:rPr>
              <w:t>Conventional</w:t>
            </w:r>
          </w:p>
        </w:tc>
        <w:tc>
          <w:tcPr>
            <w:tcW w:w="998" w:type="pct"/>
            <w:tcBorders>
              <w:top w:val="single" w:color="auto" w:sz="6" w:space="0"/>
              <w:left w:val="single" w:color="auto" w:sz="6" w:space="0"/>
              <w:bottom w:val="single" w:color="auto" w:sz="6" w:space="0"/>
              <w:right w:val="single" w:color="auto" w:sz="6" w:space="0"/>
            </w:tcBorders>
            <w:shd w:val="clear" w:color="auto" w:fill="auto"/>
            <w:noWrap/>
            <w:vAlign w:val="center"/>
            <w:hideMark/>
          </w:tcPr>
          <w:p w:rsidRPr="00892505" w:rsidR="00396653" w:rsidP="009B774E" w:rsidRDefault="00396653" w14:paraId="4413C76D" w14:textId="5717D7A9">
            <w:pPr>
              <w:jc w:val="center"/>
              <w:rPr>
                <w:rFonts w:asciiTheme="majorBidi" w:hAnsiTheme="majorBidi" w:cstheme="majorBidi"/>
                <w:sz w:val="20"/>
                <w:szCs w:val="20"/>
              </w:rPr>
            </w:pPr>
            <w:r>
              <w:rPr>
                <w:sz w:val="20"/>
                <w:szCs w:val="20"/>
              </w:rPr>
              <w:t>973</w:t>
            </w:r>
          </w:p>
        </w:tc>
        <w:tc>
          <w:tcPr>
            <w:tcW w:w="915" w:type="pct"/>
            <w:tcBorders>
              <w:top w:val="single" w:color="auto" w:sz="6" w:space="0"/>
              <w:left w:val="single" w:color="auto" w:sz="6" w:space="0"/>
              <w:bottom w:val="single" w:color="auto" w:sz="6" w:space="0"/>
              <w:right w:val="single" w:color="auto" w:sz="6" w:space="0"/>
            </w:tcBorders>
            <w:shd w:val="clear" w:color="auto" w:fill="auto"/>
            <w:noWrap/>
            <w:vAlign w:val="bottom"/>
            <w:hideMark/>
          </w:tcPr>
          <w:p w:rsidRPr="00892505" w:rsidR="00396653" w:rsidP="009B774E" w:rsidRDefault="00396653" w14:paraId="45D680A8" w14:textId="48B95D37">
            <w:pPr>
              <w:jc w:val="center"/>
              <w:rPr>
                <w:rFonts w:asciiTheme="majorBidi" w:hAnsiTheme="majorBidi" w:cstheme="majorBidi"/>
                <w:sz w:val="20"/>
                <w:szCs w:val="20"/>
              </w:rPr>
            </w:pPr>
            <w:r>
              <w:rPr>
                <w:sz w:val="20"/>
                <w:szCs w:val="20"/>
              </w:rPr>
              <w:t>386</w:t>
            </w:r>
          </w:p>
        </w:tc>
        <w:tc>
          <w:tcPr>
            <w:tcW w:w="1028" w:type="pct"/>
            <w:tcBorders>
              <w:top w:val="single" w:color="auto" w:sz="6" w:space="0"/>
              <w:left w:val="single" w:color="auto" w:sz="6" w:space="0"/>
              <w:bottom w:val="single" w:color="auto" w:sz="6" w:space="0"/>
              <w:right w:val="single" w:color="auto" w:sz="6" w:space="0"/>
            </w:tcBorders>
            <w:shd w:val="clear" w:color="auto" w:fill="auto"/>
            <w:noWrap/>
            <w:vAlign w:val="center"/>
            <w:hideMark/>
          </w:tcPr>
          <w:p w:rsidRPr="00892505" w:rsidR="00396653" w:rsidP="009B774E" w:rsidRDefault="00396653" w14:paraId="511281A0" w14:textId="0A39D343">
            <w:pPr>
              <w:jc w:val="center"/>
              <w:rPr>
                <w:rFonts w:asciiTheme="majorBidi" w:hAnsiTheme="majorBidi" w:cstheme="majorBidi"/>
                <w:sz w:val="20"/>
                <w:szCs w:val="20"/>
              </w:rPr>
            </w:pPr>
            <w:r>
              <w:rPr>
                <w:sz w:val="20"/>
                <w:szCs w:val="20"/>
              </w:rPr>
              <w:t>375,734</w:t>
            </w:r>
          </w:p>
        </w:tc>
        <w:tc>
          <w:tcPr>
            <w:tcW w:w="1183" w:type="pct"/>
            <w:tcBorders>
              <w:top w:val="single" w:color="auto" w:sz="6" w:space="0"/>
              <w:left w:val="single" w:color="auto" w:sz="6" w:space="0"/>
              <w:bottom w:val="single" w:color="auto" w:sz="6" w:space="0"/>
              <w:right w:val="double" w:color="auto" w:sz="4" w:space="0"/>
            </w:tcBorders>
            <w:shd w:val="clear" w:color="auto" w:fill="auto"/>
            <w:noWrap/>
            <w:vAlign w:val="bottom"/>
            <w:hideMark/>
          </w:tcPr>
          <w:p w:rsidRPr="00892505" w:rsidR="00396653" w:rsidP="009B774E" w:rsidRDefault="00396653" w14:paraId="4E03B3BC" w14:textId="676A615E">
            <w:pPr>
              <w:jc w:val="center"/>
              <w:rPr>
                <w:rFonts w:asciiTheme="majorBidi" w:hAnsiTheme="majorBidi" w:cstheme="majorBidi"/>
                <w:sz w:val="20"/>
                <w:szCs w:val="20"/>
              </w:rPr>
            </w:pPr>
            <w:r>
              <w:rPr>
                <w:sz w:val="20"/>
                <w:szCs w:val="20"/>
              </w:rPr>
              <w:t>$28,448,200</w:t>
            </w:r>
          </w:p>
        </w:tc>
      </w:tr>
      <w:tr w:rsidRPr="00C270C5" w:rsidR="00396653" w:rsidTr="00396653" w14:paraId="54DF978F" w14:textId="77777777">
        <w:trPr>
          <w:trHeight w:val="270"/>
        </w:trPr>
        <w:tc>
          <w:tcPr>
            <w:tcW w:w="876" w:type="pct"/>
            <w:tcBorders>
              <w:top w:val="single" w:color="auto" w:sz="6" w:space="0"/>
              <w:left w:val="double" w:color="auto" w:sz="4" w:space="0"/>
              <w:bottom w:val="double" w:color="auto" w:sz="4" w:space="0"/>
              <w:right w:val="single" w:color="auto" w:sz="6" w:space="0"/>
            </w:tcBorders>
            <w:shd w:val="clear" w:color="auto" w:fill="auto"/>
            <w:noWrap/>
            <w:vAlign w:val="bottom"/>
            <w:hideMark/>
          </w:tcPr>
          <w:p w:rsidRPr="00C270C5" w:rsidR="00396653" w:rsidP="009B774E" w:rsidRDefault="00396653" w14:paraId="1BD727C4" w14:textId="77777777">
            <w:pPr>
              <w:rPr>
                <w:rFonts w:asciiTheme="majorBidi" w:hAnsiTheme="majorBidi" w:cstheme="majorBidi"/>
                <w:b/>
                <w:bCs/>
                <w:sz w:val="20"/>
                <w:szCs w:val="20"/>
              </w:rPr>
            </w:pPr>
            <w:r w:rsidRPr="00C270C5">
              <w:rPr>
                <w:rFonts w:asciiTheme="majorBidi" w:hAnsiTheme="majorBidi" w:cstheme="majorBidi"/>
                <w:b/>
                <w:bCs/>
                <w:sz w:val="20"/>
                <w:szCs w:val="20"/>
              </w:rPr>
              <w:t>TOTAL</w:t>
            </w:r>
          </w:p>
        </w:tc>
        <w:tc>
          <w:tcPr>
            <w:tcW w:w="998" w:type="pct"/>
            <w:tcBorders>
              <w:top w:val="single" w:color="auto" w:sz="6" w:space="0"/>
              <w:left w:val="single" w:color="auto" w:sz="6" w:space="0"/>
              <w:bottom w:val="double" w:color="auto" w:sz="4" w:space="0"/>
              <w:right w:val="single" w:color="auto" w:sz="6" w:space="0"/>
            </w:tcBorders>
            <w:shd w:val="clear" w:color="auto" w:fill="auto"/>
            <w:noWrap/>
            <w:vAlign w:val="center"/>
            <w:hideMark/>
          </w:tcPr>
          <w:p w:rsidRPr="00892505" w:rsidR="00396653" w:rsidP="009B774E" w:rsidRDefault="00396653" w14:paraId="281D4014" w14:textId="77263D8B">
            <w:pPr>
              <w:jc w:val="center"/>
              <w:rPr>
                <w:rFonts w:asciiTheme="majorBidi" w:hAnsiTheme="majorBidi" w:cstheme="majorBidi"/>
                <w:sz w:val="20"/>
                <w:szCs w:val="20"/>
              </w:rPr>
            </w:pPr>
            <w:r>
              <w:rPr>
                <w:sz w:val="20"/>
                <w:szCs w:val="20"/>
              </w:rPr>
              <w:t>695</w:t>
            </w:r>
          </w:p>
        </w:tc>
        <w:tc>
          <w:tcPr>
            <w:tcW w:w="915" w:type="pct"/>
            <w:tcBorders>
              <w:top w:val="single" w:color="auto" w:sz="6" w:space="0"/>
              <w:left w:val="single" w:color="auto" w:sz="6" w:space="0"/>
              <w:bottom w:val="double" w:color="auto" w:sz="4" w:space="0"/>
              <w:right w:val="single" w:color="auto" w:sz="6" w:space="0"/>
            </w:tcBorders>
            <w:shd w:val="clear" w:color="auto" w:fill="auto"/>
            <w:noWrap/>
            <w:vAlign w:val="center"/>
            <w:hideMark/>
          </w:tcPr>
          <w:p w:rsidRPr="00892505" w:rsidR="00396653" w:rsidP="009B774E" w:rsidRDefault="00396653" w14:paraId="053009C0" w14:textId="1113FB01">
            <w:pPr>
              <w:jc w:val="center"/>
              <w:rPr>
                <w:rFonts w:asciiTheme="majorBidi" w:hAnsiTheme="majorBidi" w:cstheme="majorBidi"/>
                <w:sz w:val="20"/>
                <w:szCs w:val="20"/>
              </w:rPr>
            </w:pPr>
            <w:r>
              <w:rPr>
                <w:sz w:val="20"/>
                <w:szCs w:val="20"/>
              </w:rPr>
              <w:t>762</w:t>
            </w:r>
          </w:p>
        </w:tc>
        <w:tc>
          <w:tcPr>
            <w:tcW w:w="1028" w:type="pct"/>
            <w:tcBorders>
              <w:top w:val="single" w:color="auto" w:sz="6" w:space="0"/>
              <w:left w:val="single" w:color="auto" w:sz="6" w:space="0"/>
              <w:bottom w:val="double" w:color="auto" w:sz="4" w:space="0"/>
              <w:right w:val="single" w:color="auto" w:sz="6" w:space="0"/>
            </w:tcBorders>
            <w:shd w:val="clear" w:color="auto" w:fill="auto"/>
            <w:noWrap/>
            <w:vAlign w:val="bottom"/>
            <w:hideMark/>
          </w:tcPr>
          <w:p w:rsidRPr="00892505" w:rsidR="00396653" w:rsidP="009B774E" w:rsidRDefault="00396653" w14:paraId="1EF2ACFF" w14:textId="4691126E">
            <w:pPr>
              <w:jc w:val="center"/>
              <w:rPr>
                <w:rFonts w:asciiTheme="majorBidi" w:hAnsiTheme="majorBidi" w:cstheme="majorBidi"/>
                <w:sz w:val="20"/>
                <w:szCs w:val="20"/>
              </w:rPr>
            </w:pPr>
            <w:r>
              <w:rPr>
                <w:sz w:val="20"/>
                <w:szCs w:val="20"/>
              </w:rPr>
              <w:t>576,844</w:t>
            </w:r>
          </w:p>
        </w:tc>
        <w:tc>
          <w:tcPr>
            <w:tcW w:w="1183" w:type="pct"/>
            <w:tcBorders>
              <w:top w:val="single" w:color="auto" w:sz="6" w:space="0"/>
              <w:left w:val="single" w:color="auto" w:sz="6" w:space="0"/>
              <w:bottom w:val="double" w:color="auto" w:sz="4" w:space="0"/>
              <w:right w:val="double" w:color="auto" w:sz="4" w:space="0"/>
            </w:tcBorders>
            <w:shd w:val="clear" w:color="auto" w:fill="auto"/>
            <w:noWrap/>
            <w:vAlign w:val="bottom"/>
            <w:hideMark/>
          </w:tcPr>
          <w:p w:rsidRPr="00892505" w:rsidR="00396653" w:rsidP="009B774E" w:rsidRDefault="00396653" w14:paraId="5EE3667C" w14:textId="467CE139">
            <w:pPr>
              <w:jc w:val="center"/>
              <w:rPr>
                <w:rFonts w:asciiTheme="majorBidi" w:hAnsiTheme="majorBidi" w:cstheme="majorBidi"/>
                <w:sz w:val="20"/>
                <w:szCs w:val="20"/>
              </w:rPr>
            </w:pPr>
            <w:r>
              <w:rPr>
                <w:sz w:val="20"/>
                <w:szCs w:val="20"/>
              </w:rPr>
              <w:t>$43,675,000</w:t>
            </w:r>
          </w:p>
        </w:tc>
      </w:tr>
    </w:tbl>
    <w:p w:rsidRPr="00C270C5" w:rsidR="000A2E92" w:rsidP="009B774E" w:rsidRDefault="000A2E92" w14:paraId="20C63419" w14:textId="77777777">
      <w:pPr>
        <w:rPr>
          <w:rFonts w:asciiTheme="majorBidi" w:hAnsiTheme="majorBidi" w:cstheme="majorBidi"/>
          <w:sz w:val="2"/>
          <w:szCs w:val="2"/>
        </w:rPr>
      </w:pPr>
    </w:p>
    <w:tbl>
      <w:tblPr>
        <w:tblW w:w="9780" w:type="dxa"/>
        <w:tblInd w:w="30" w:type="dxa"/>
        <w:tblLook w:val="04A0" w:firstRow="1" w:lastRow="0" w:firstColumn="1" w:lastColumn="0" w:noHBand="0" w:noVBand="1"/>
      </w:tblPr>
      <w:tblGrid>
        <w:gridCol w:w="9780"/>
      </w:tblGrid>
      <w:tr w:rsidRPr="00C270C5" w:rsidR="000A2E92" w:rsidTr="000A2E92" w14:paraId="41548C38" w14:textId="77777777">
        <w:trPr>
          <w:trHeight w:val="270"/>
        </w:trPr>
        <w:tc>
          <w:tcPr>
            <w:tcW w:w="9780" w:type="dxa"/>
            <w:tcBorders>
              <w:top w:val="nil"/>
              <w:left w:val="nil"/>
              <w:bottom w:val="single" w:color="auto" w:sz="8" w:space="0"/>
            </w:tcBorders>
            <w:shd w:val="clear" w:color="auto" w:fill="auto"/>
            <w:noWrap/>
            <w:vAlign w:val="center"/>
          </w:tcPr>
          <w:p w:rsidR="005459DF" w:rsidP="009B774E" w:rsidRDefault="005459DF" w14:paraId="18276FB9" w14:textId="77777777">
            <w:pPr>
              <w:rPr>
                <w:rFonts w:asciiTheme="majorBidi" w:hAnsiTheme="majorBidi" w:cstheme="majorBidi"/>
                <w:sz w:val="20"/>
              </w:rPr>
            </w:pPr>
            <w:r>
              <w:rPr>
                <w:rFonts w:asciiTheme="majorBidi" w:hAnsiTheme="majorBidi" w:cstheme="majorBidi"/>
                <w:sz w:val="20"/>
              </w:rPr>
              <w:t>*Numbers may not sum due to rounding.</w:t>
            </w:r>
          </w:p>
          <w:p w:rsidRPr="00C270C5" w:rsidR="004315F8" w:rsidP="009B774E" w:rsidRDefault="00D85F2B" w14:paraId="1BB4BC6A" w14:textId="2F507571">
            <w:pPr>
              <w:rPr>
                <w:rFonts w:asciiTheme="majorBidi" w:hAnsiTheme="majorBidi" w:cstheme="majorBidi"/>
                <w:sz w:val="21"/>
                <w:szCs w:val="21"/>
              </w:rPr>
            </w:pPr>
            <w:r w:rsidRPr="00C270C5">
              <w:rPr>
                <w:rFonts w:asciiTheme="majorBidi" w:hAnsiTheme="majorBidi" w:cstheme="majorBidi"/>
                <w:sz w:val="21"/>
                <w:szCs w:val="21"/>
                <w:vertAlign w:val="superscript"/>
              </w:rPr>
              <w:t>1</w:t>
            </w:r>
            <w:r w:rsidRPr="00C270C5" w:rsidR="007841AD">
              <w:rPr>
                <w:rFonts w:asciiTheme="majorBidi" w:hAnsiTheme="majorBidi" w:cstheme="majorBidi"/>
                <w:sz w:val="21"/>
                <w:szCs w:val="21"/>
                <w:vertAlign w:val="superscript"/>
              </w:rPr>
              <w:t xml:space="preserve"> </w:t>
            </w:r>
            <w:r w:rsidRPr="00C270C5" w:rsidR="004315F8">
              <w:rPr>
                <w:rFonts w:asciiTheme="majorBidi" w:hAnsiTheme="majorBidi" w:cstheme="majorBidi"/>
                <w:sz w:val="21"/>
                <w:szCs w:val="21"/>
              </w:rPr>
              <w:t>Burden per registration for New Products from Table 1-B is the average of these values.</w:t>
            </w:r>
          </w:p>
          <w:p w:rsidRPr="00C270C5" w:rsidR="000A2E92" w:rsidP="009B774E" w:rsidRDefault="000A2E92" w14:paraId="6EC9732E" w14:textId="094779C2">
            <w:pPr>
              <w:rPr>
                <w:rFonts w:asciiTheme="majorBidi" w:hAnsiTheme="majorBidi" w:cstheme="majorBidi"/>
                <w:sz w:val="20"/>
                <w:szCs w:val="20"/>
              </w:rPr>
            </w:pPr>
          </w:p>
        </w:tc>
      </w:tr>
    </w:tbl>
    <w:p w:rsidRPr="00C270C5" w:rsidR="008640E9" w:rsidP="009B774E" w:rsidRDefault="008640E9" w14:paraId="11570770" w14:textId="77777777">
      <w:pPr>
        <w:rPr>
          <w:rFonts w:asciiTheme="majorBidi" w:hAnsiTheme="majorBidi" w:cstheme="majorBidi"/>
        </w:rPr>
      </w:pPr>
    </w:p>
    <w:p w:rsidR="002B664D" w:rsidP="009B774E" w:rsidRDefault="001B526F" w14:paraId="1CB8BA30" w14:textId="2D9BD9FD">
      <w:pPr>
        <w:ind w:firstLine="720"/>
        <w:rPr>
          <w:rFonts w:asciiTheme="majorBidi" w:hAnsiTheme="majorBidi" w:cstheme="majorBidi"/>
        </w:rPr>
      </w:pPr>
      <w:bookmarkStart w:name="_Hlk51798773" w:id="10"/>
      <w:r w:rsidRPr="00910D48">
        <w:rPr>
          <w:rFonts w:asciiTheme="majorBidi" w:hAnsiTheme="majorBidi" w:cstheme="majorBidi"/>
        </w:rPr>
        <w:t xml:space="preserve">EPA expects there may be a data generation burden for up to 99 products annually under </w:t>
      </w:r>
      <w:r w:rsidRPr="00910D48">
        <w:t>the “Antimicrobial Performance Evaluation Program” (APEP).  APEP has not been finalized, but EPA conservatively estimates the paperwork burden for data generation for APEP may look similar to the burden for an Antimicrobial new product.  These 99 future response</w:t>
      </w:r>
      <w:r w:rsidRPr="00910D48" w:rsidR="00E44621">
        <w:t xml:space="preserve"> burdens</w:t>
      </w:r>
      <w:r w:rsidRPr="00910D48">
        <w:t xml:space="preserve"> are included in Table 7-B in the Average Annual Responses column for Antimicrobial products.  </w:t>
      </w:r>
      <w:r w:rsidRPr="00910D48" w:rsidR="00A710D9">
        <w:t xml:space="preserve">While the new PRIA fee-for-service categories are expected to have application paperwork burden equal to 40 Type B actions, </w:t>
      </w:r>
      <w:r w:rsidRPr="00910D48" w:rsidR="007E0642">
        <w:t>t</w:t>
      </w:r>
      <w:r w:rsidRPr="00910D48" w:rsidR="002B664D">
        <w:rPr>
          <w:rFonts w:asciiTheme="majorBidi" w:hAnsiTheme="majorBidi" w:cstheme="majorBidi"/>
        </w:rPr>
        <w:t>he Agency does not anticipate any paperwork burden from data generation for new products resulting from the</w:t>
      </w:r>
      <w:r w:rsidRPr="00910D48" w:rsidR="007E0642">
        <w:rPr>
          <w:rFonts w:asciiTheme="majorBidi" w:hAnsiTheme="majorBidi" w:cstheme="majorBidi"/>
        </w:rPr>
        <w:t>se</w:t>
      </w:r>
      <w:r w:rsidRPr="00910D48" w:rsidR="002B664D">
        <w:rPr>
          <w:rFonts w:asciiTheme="majorBidi" w:hAnsiTheme="majorBidi" w:cstheme="majorBidi"/>
        </w:rPr>
        <w:t xml:space="preserve"> </w:t>
      </w:r>
      <w:r w:rsidRPr="00910D48" w:rsidR="00A710D9">
        <w:rPr>
          <w:rFonts w:asciiTheme="majorBidi" w:hAnsiTheme="majorBidi" w:cstheme="majorBidi"/>
        </w:rPr>
        <w:t>new PRIA categories.</w:t>
      </w:r>
      <w:r w:rsidRPr="00910D48" w:rsidR="002B664D">
        <w:rPr>
          <w:rFonts w:asciiTheme="majorBidi" w:hAnsiTheme="majorBidi" w:cstheme="majorBidi"/>
        </w:rPr>
        <w:t xml:space="preserve"> </w:t>
      </w:r>
      <w:r w:rsidRPr="00910D48" w:rsidR="00A710D9">
        <w:rPr>
          <w:rFonts w:asciiTheme="majorBidi" w:hAnsiTheme="majorBidi" w:cstheme="majorBidi"/>
        </w:rPr>
        <w:t xml:space="preserve"> The Agency also does not expect any paperwork burden </w:t>
      </w:r>
      <w:r w:rsidRPr="00910D48" w:rsidR="004448E1">
        <w:rPr>
          <w:rFonts w:asciiTheme="majorBidi" w:hAnsiTheme="majorBidi" w:cstheme="majorBidi"/>
        </w:rPr>
        <w:t xml:space="preserve">from data generation for </w:t>
      </w:r>
      <w:r w:rsidRPr="00910D48" w:rsidR="00803BB6">
        <w:rPr>
          <w:rFonts w:asciiTheme="majorBidi" w:hAnsiTheme="majorBidi" w:cstheme="majorBidi"/>
        </w:rPr>
        <w:t>new products</w:t>
      </w:r>
      <w:r w:rsidRPr="00910D48" w:rsidR="004448E1">
        <w:rPr>
          <w:rFonts w:asciiTheme="majorBidi" w:hAnsiTheme="majorBidi" w:cstheme="majorBidi"/>
        </w:rPr>
        <w:t xml:space="preserve"> for </w:t>
      </w:r>
      <w:r w:rsidRPr="00910D48" w:rsidR="002B664D">
        <w:rPr>
          <w:rFonts w:asciiTheme="majorBidi" w:hAnsiTheme="majorBidi" w:cstheme="majorBidi"/>
        </w:rPr>
        <w:t xml:space="preserve">the </w:t>
      </w:r>
      <w:r w:rsidRPr="00910D48" w:rsidR="002B664D">
        <w:t>draft GTA guidance</w:t>
      </w:r>
      <w:r w:rsidRPr="00910D48">
        <w:t>.</w:t>
      </w:r>
    </w:p>
    <w:bookmarkEnd w:id="10"/>
    <w:p w:rsidR="002B664D" w:rsidP="009B774E" w:rsidRDefault="002B664D" w14:paraId="1ACB931A" w14:textId="77777777">
      <w:pPr>
        <w:ind w:firstLine="720"/>
        <w:rPr>
          <w:rFonts w:asciiTheme="majorBidi" w:hAnsiTheme="majorBidi" w:cstheme="majorBidi"/>
        </w:rPr>
      </w:pPr>
    </w:p>
    <w:p w:rsidRPr="00C270C5" w:rsidR="008253DD" w:rsidP="009B774E" w:rsidRDefault="008253DD" w14:paraId="35FE81B4" w14:textId="149113FE">
      <w:pPr>
        <w:ind w:firstLine="720"/>
        <w:rPr>
          <w:rFonts w:asciiTheme="majorBidi" w:hAnsiTheme="majorBidi" w:cstheme="majorBidi"/>
        </w:rPr>
      </w:pPr>
      <w:r w:rsidRPr="00C270C5">
        <w:rPr>
          <w:rFonts w:asciiTheme="majorBidi" w:hAnsiTheme="majorBidi" w:cstheme="majorBidi"/>
        </w:rPr>
        <w:t>The costs used to estimate paperwork burden of data generation in this analysis are conservative because they assume that all new active ingredients generate and submit all data required in 40 CFR Part 158 when, in practice, some of the data requirements may be waived based on specific use patterns or label restrictions.</w:t>
      </w:r>
      <w:r w:rsidRPr="00C270C5" w:rsidR="007841AD">
        <w:rPr>
          <w:rFonts w:asciiTheme="majorBidi" w:hAnsiTheme="majorBidi" w:cstheme="majorBidi"/>
        </w:rPr>
        <w:t xml:space="preserve"> </w:t>
      </w:r>
      <w:r w:rsidRPr="00C270C5">
        <w:rPr>
          <w:rFonts w:asciiTheme="majorBidi" w:hAnsiTheme="majorBidi" w:cstheme="majorBidi"/>
        </w:rPr>
        <w:t>Data waivers would make the average cost of data generation (and the resulting paperwork burden) lower for both new active ingredients and new products.</w:t>
      </w:r>
      <w:r w:rsidRPr="00C270C5" w:rsidR="007841AD">
        <w:rPr>
          <w:rFonts w:asciiTheme="majorBidi" w:hAnsiTheme="majorBidi" w:cstheme="majorBidi"/>
        </w:rPr>
        <w:t xml:space="preserve"> </w:t>
      </w:r>
      <w:r w:rsidRPr="00C270C5">
        <w:rPr>
          <w:rFonts w:asciiTheme="majorBidi" w:hAnsiTheme="majorBidi" w:cstheme="majorBidi"/>
        </w:rPr>
        <w:t>Also, all new products in this analysis are assumed to require toxicology data and product chemistry data to register.</w:t>
      </w:r>
      <w:r w:rsidRPr="00C270C5" w:rsidR="007841AD">
        <w:rPr>
          <w:rFonts w:asciiTheme="majorBidi" w:hAnsiTheme="majorBidi" w:cstheme="majorBidi"/>
        </w:rPr>
        <w:t xml:space="preserve"> </w:t>
      </w:r>
      <w:r w:rsidRPr="00C270C5">
        <w:rPr>
          <w:rFonts w:asciiTheme="majorBidi" w:hAnsiTheme="majorBidi" w:cstheme="majorBidi"/>
        </w:rPr>
        <w:t>In cases where products are substantially similar to other products, they can cite other data rather than generating data.</w:t>
      </w:r>
      <w:r w:rsidRPr="00C270C5" w:rsidR="007841AD">
        <w:rPr>
          <w:rFonts w:asciiTheme="majorBidi" w:hAnsiTheme="majorBidi" w:cstheme="majorBidi"/>
        </w:rPr>
        <w:t xml:space="preserve"> </w:t>
      </w:r>
      <w:r w:rsidRPr="00C270C5">
        <w:rPr>
          <w:rFonts w:asciiTheme="majorBidi" w:hAnsiTheme="majorBidi" w:cstheme="majorBidi"/>
        </w:rPr>
        <w:t>Again, this approach returns conservative estimates of paperwork burden for data generation.</w:t>
      </w:r>
    </w:p>
    <w:p w:rsidRPr="00C270C5" w:rsidR="00A63404" w:rsidP="009B774E" w:rsidRDefault="00A63404" w14:paraId="22E6B7B3" w14:textId="77777777">
      <w:pPr>
        <w:rPr>
          <w:rFonts w:asciiTheme="majorBidi" w:hAnsiTheme="majorBidi" w:cstheme="majorBidi"/>
          <w:b/>
        </w:rPr>
      </w:pPr>
    </w:p>
    <w:p w:rsidRPr="00C270C5" w:rsidR="008253DD" w:rsidP="009B774E" w:rsidRDefault="00A63404" w14:paraId="69E44521" w14:textId="4E6856CB">
      <w:pPr>
        <w:ind w:left="720"/>
        <w:rPr>
          <w:rFonts w:asciiTheme="majorBidi" w:hAnsiTheme="majorBidi" w:cstheme="majorBidi"/>
          <w:b/>
        </w:rPr>
      </w:pPr>
      <w:r w:rsidRPr="00C270C5">
        <w:rPr>
          <w:rFonts w:asciiTheme="majorBidi" w:hAnsiTheme="majorBidi" w:cstheme="majorBidi"/>
          <w:b/>
        </w:rPr>
        <w:t>6(</w:t>
      </w:r>
      <w:r w:rsidRPr="00C270C5" w:rsidR="00C05BE9">
        <w:rPr>
          <w:rFonts w:asciiTheme="majorBidi" w:hAnsiTheme="majorBidi" w:cstheme="majorBidi"/>
          <w:b/>
        </w:rPr>
        <w:t>c</w:t>
      </w:r>
      <w:r w:rsidRPr="00C270C5">
        <w:rPr>
          <w:rFonts w:asciiTheme="majorBidi" w:hAnsiTheme="majorBidi" w:cstheme="majorBidi"/>
          <w:b/>
        </w:rPr>
        <w:t>)</w:t>
      </w:r>
      <w:r w:rsidRPr="00C270C5">
        <w:rPr>
          <w:rFonts w:asciiTheme="majorBidi" w:hAnsiTheme="majorBidi" w:cstheme="majorBidi"/>
          <w:b/>
        </w:rPr>
        <w:tab/>
      </w:r>
      <w:r w:rsidRPr="00C270C5" w:rsidR="008253DD">
        <w:rPr>
          <w:rFonts w:asciiTheme="majorBidi" w:hAnsiTheme="majorBidi" w:cstheme="majorBidi"/>
          <w:b/>
        </w:rPr>
        <w:t>Estimating Agency Burden and Cost</w:t>
      </w:r>
    </w:p>
    <w:p w:rsidRPr="00C270C5" w:rsidR="008253DD" w:rsidP="009B774E" w:rsidRDefault="008253DD" w14:paraId="753D0270" w14:textId="77777777">
      <w:pPr>
        <w:rPr>
          <w:rFonts w:asciiTheme="majorBidi" w:hAnsiTheme="majorBidi" w:cstheme="majorBidi"/>
        </w:rPr>
      </w:pPr>
    </w:p>
    <w:p w:rsidR="00BC4805" w:rsidP="009B774E" w:rsidRDefault="008253DD" w14:paraId="5E0BDE23" w14:textId="173E9176">
      <w:pPr>
        <w:ind w:firstLine="720"/>
        <w:rPr>
          <w:rFonts w:asciiTheme="majorBidi" w:hAnsiTheme="majorBidi" w:cstheme="majorBidi"/>
        </w:rPr>
      </w:pPr>
      <w:r w:rsidRPr="00C270C5">
        <w:rPr>
          <w:rFonts w:asciiTheme="majorBidi" w:hAnsiTheme="majorBidi" w:cstheme="majorBidi"/>
        </w:rPr>
        <w:t>The Agency is using FIFRA Section 3 registration activity data from the Time and Attendance Information System (TAIS)</w:t>
      </w:r>
      <w:r w:rsidR="00ED10EB">
        <w:rPr>
          <w:rFonts w:asciiTheme="majorBidi" w:hAnsiTheme="majorBidi" w:cstheme="majorBidi"/>
        </w:rPr>
        <w:t xml:space="preserve"> and from </w:t>
      </w:r>
      <w:proofErr w:type="spellStart"/>
      <w:r w:rsidR="00ED10EB">
        <w:rPr>
          <w:rFonts w:asciiTheme="majorBidi" w:hAnsiTheme="majorBidi" w:cstheme="majorBidi"/>
        </w:rPr>
        <w:t>PeoplePlus</w:t>
      </w:r>
      <w:proofErr w:type="spellEnd"/>
      <w:r w:rsidRPr="00C270C5">
        <w:rPr>
          <w:rFonts w:asciiTheme="majorBidi" w:hAnsiTheme="majorBidi" w:cstheme="majorBidi"/>
        </w:rPr>
        <w:t>, which archives the Agency’s Full Time Equivalents (FTEs) for most OPP program activities.</w:t>
      </w:r>
      <w:r w:rsidRPr="00C270C5" w:rsidR="007841AD">
        <w:rPr>
          <w:rFonts w:asciiTheme="majorBidi" w:hAnsiTheme="majorBidi" w:cstheme="majorBidi"/>
        </w:rPr>
        <w:t xml:space="preserve"> </w:t>
      </w:r>
      <w:r w:rsidRPr="00C270C5">
        <w:rPr>
          <w:rFonts w:asciiTheme="majorBidi" w:hAnsiTheme="majorBidi" w:cstheme="majorBidi"/>
        </w:rPr>
        <w:t xml:space="preserve">The projected burden figures use </w:t>
      </w:r>
      <w:r w:rsidR="009143BE">
        <w:rPr>
          <w:rFonts w:asciiTheme="majorBidi" w:hAnsiTheme="majorBidi" w:cstheme="majorBidi"/>
        </w:rPr>
        <w:lastRenderedPageBreak/>
        <w:t>2015-2017</w:t>
      </w:r>
      <w:r w:rsidRPr="00C270C5">
        <w:rPr>
          <w:rFonts w:asciiTheme="majorBidi" w:hAnsiTheme="majorBidi" w:cstheme="majorBidi"/>
        </w:rPr>
        <w:t xml:space="preserve"> data, which include burden hours from internal OPP Divisions that provide significant support and analysis for the FIFRA Section 3 registration</w:t>
      </w:r>
      <w:r w:rsidR="00BC4805">
        <w:rPr>
          <w:rFonts w:asciiTheme="majorBidi" w:hAnsiTheme="majorBidi" w:cstheme="majorBidi"/>
        </w:rPr>
        <w:t>s</w:t>
      </w:r>
      <w:r w:rsidRPr="00C270C5">
        <w:rPr>
          <w:rFonts w:asciiTheme="majorBidi" w:hAnsiTheme="majorBidi" w:cstheme="majorBidi"/>
        </w:rPr>
        <w:t xml:space="preserve"> including the Registration Division (RD), the Biopesticides and Pollution Prevention Division (BPPD), the Antimicrobial Division (AD), the Health and Effects Division (HED), the Biological and Economic Analysis Division (BEAD), and the Environmental Fate and Effects Division (EFED).</w:t>
      </w:r>
      <w:r w:rsidRPr="00C270C5" w:rsidR="007841AD">
        <w:rPr>
          <w:rFonts w:asciiTheme="majorBidi" w:hAnsiTheme="majorBidi" w:cstheme="majorBidi"/>
        </w:rPr>
        <w:t xml:space="preserve"> </w:t>
      </w:r>
      <w:r w:rsidRPr="00C270C5">
        <w:rPr>
          <w:rFonts w:asciiTheme="majorBidi" w:hAnsiTheme="majorBidi" w:cstheme="majorBidi"/>
        </w:rPr>
        <w:t>Thus, six OPP Divisions work together to complete the activities related to OPP registration actions.</w:t>
      </w:r>
      <w:r w:rsidRPr="00C270C5" w:rsidR="007841AD">
        <w:rPr>
          <w:rFonts w:asciiTheme="majorBidi" w:hAnsiTheme="majorBidi" w:cstheme="majorBidi"/>
        </w:rPr>
        <w:t xml:space="preserve"> </w:t>
      </w:r>
      <w:r w:rsidR="00ED10EB">
        <w:rPr>
          <w:rFonts w:asciiTheme="majorBidi" w:hAnsiTheme="majorBidi" w:cstheme="majorBidi"/>
        </w:rPr>
        <w:t xml:space="preserve">The Agency changed the software it uses for recording FTEs starting in 2017. </w:t>
      </w:r>
      <w:r w:rsidR="00BC4805">
        <w:rPr>
          <w:rFonts w:asciiTheme="majorBidi" w:hAnsiTheme="majorBidi" w:cstheme="majorBidi"/>
        </w:rPr>
        <w:t>The c</w:t>
      </w:r>
      <w:r w:rsidR="00ED10EB">
        <w:rPr>
          <w:rFonts w:asciiTheme="majorBidi" w:hAnsiTheme="majorBidi" w:cstheme="majorBidi"/>
        </w:rPr>
        <w:t xml:space="preserve">ategories </w:t>
      </w:r>
      <w:r w:rsidR="00BC4805">
        <w:rPr>
          <w:rFonts w:asciiTheme="majorBidi" w:hAnsiTheme="majorBidi" w:cstheme="majorBidi"/>
        </w:rPr>
        <w:t xml:space="preserve">for tracking and recording time for </w:t>
      </w:r>
      <w:r w:rsidRPr="00C270C5" w:rsidR="00BC4805">
        <w:rPr>
          <w:rFonts w:asciiTheme="majorBidi" w:hAnsiTheme="majorBidi" w:cstheme="majorBidi"/>
        </w:rPr>
        <w:t xml:space="preserve">OPP program </w:t>
      </w:r>
      <w:r w:rsidR="00BC4805">
        <w:rPr>
          <w:rFonts w:asciiTheme="majorBidi" w:hAnsiTheme="majorBidi" w:cstheme="majorBidi"/>
        </w:rPr>
        <w:t xml:space="preserve">activities (e.g., </w:t>
      </w:r>
      <w:r w:rsidRPr="00C270C5" w:rsidR="00BC4805">
        <w:rPr>
          <w:rFonts w:asciiTheme="majorBidi" w:hAnsiTheme="majorBidi" w:cstheme="majorBidi"/>
        </w:rPr>
        <w:t xml:space="preserve">FIFRA </w:t>
      </w:r>
      <w:r w:rsidR="00BC4805">
        <w:rPr>
          <w:rFonts w:asciiTheme="majorBidi" w:hAnsiTheme="majorBidi" w:cstheme="majorBidi"/>
        </w:rPr>
        <w:t xml:space="preserve">Section 3 registrations and other OPP activities) </w:t>
      </w:r>
      <w:r w:rsidR="00ED10EB">
        <w:rPr>
          <w:rFonts w:asciiTheme="majorBidi" w:hAnsiTheme="majorBidi" w:cstheme="majorBidi"/>
        </w:rPr>
        <w:t xml:space="preserve">do not map exactly between the two </w:t>
      </w:r>
      <w:r w:rsidR="006130DC">
        <w:rPr>
          <w:rFonts w:asciiTheme="majorBidi" w:hAnsiTheme="majorBidi" w:cstheme="majorBidi"/>
        </w:rPr>
        <w:t xml:space="preserve">software </w:t>
      </w:r>
      <w:r w:rsidR="00BC4805">
        <w:rPr>
          <w:rFonts w:asciiTheme="majorBidi" w:hAnsiTheme="majorBidi" w:cstheme="majorBidi"/>
        </w:rPr>
        <w:t>systems</w:t>
      </w:r>
      <w:r w:rsidR="00EC2D68">
        <w:rPr>
          <w:rFonts w:asciiTheme="majorBidi" w:hAnsiTheme="majorBidi" w:cstheme="majorBidi"/>
        </w:rPr>
        <w:t xml:space="preserve"> (i.e., TAIS and </w:t>
      </w:r>
      <w:proofErr w:type="spellStart"/>
      <w:r w:rsidR="00EC2D68">
        <w:rPr>
          <w:rFonts w:asciiTheme="majorBidi" w:hAnsiTheme="majorBidi" w:cstheme="majorBidi"/>
        </w:rPr>
        <w:t>PeoplePlus</w:t>
      </w:r>
      <w:proofErr w:type="spellEnd"/>
      <w:r w:rsidR="00EC2D68">
        <w:rPr>
          <w:rFonts w:asciiTheme="majorBidi" w:hAnsiTheme="majorBidi" w:cstheme="majorBidi"/>
        </w:rPr>
        <w:t>)</w:t>
      </w:r>
      <w:r w:rsidR="00BC4805">
        <w:rPr>
          <w:rFonts w:asciiTheme="majorBidi" w:hAnsiTheme="majorBidi" w:cstheme="majorBidi"/>
        </w:rPr>
        <w:t>; however the general operating procedures (see section 5</w:t>
      </w:r>
      <w:r w:rsidR="00802D09">
        <w:rPr>
          <w:rFonts w:asciiTheme="majorBidi" w:hAnsiTheme="majorBidi" w:cstheme="majorBidi"/>
        </w:rPr>
        <w:t xml:space="preserve"> of this ICR</w:t>
      </w:r>
      <w:r w:rsidR="00BC4805">
        <w:rPr>
          <w:rFonts w:asciiTheme="majorBidi" w:hAnsiTheme="majorBidi" w:cstheme="majorBidi"/>
        </w:rPr>
        <w:t xml:space="preserve"> above for more details) for the Section 3 registrations in the divisions have not changed significantly from 2015-2016 and 2017, therefore it is expected that the Agency burden hours will not change significantly due to this change. </w:t>
      </w:r>
    </w:p>
    <w:p w:rsidR="008253DD" w:rsidP="009B774E" w:rsidRDefault="009143BE" w14:paraId="75E61870" w14:textId="2F04966F">
      <w:pPr>
        <w:ind w:firstLine="720"/>
        <w:rPr>
          <w:rFonts w:asciiTheme="majorBidi" w:hAnsiTheme="majorBidi" w:cstheme="majorBidi"/>
        </w:rPr>
      </w:pPr>
      <w:r>
        <w:rPr>
          <w:rFonts w:asciiTheme="majorBidi" w:hAnsiTheme="majorBidi" w:cstheme="majorBidi"/>
        </w:rPr>
        <w:tab/>
      </w:r>
    </w:p>
    <w:p w:rsidRPr="00DF581E" w:rsidR="008253DD" w:rsidP="009B774E" w:rsidRDefault="009143BE" w14:paraId="17447188" w14:textId="4F06857E">
      <w:pPr>
        <w:rPr>
          <w:rFonts w:asciiTheme="majorBidi" w:hAnsiTheme="majorBidi" w:cstheme="majorBidi"/>
        </w:rPr>
      </w:pPr>
      <w:r>
        <w:rPr>
          <w:rFonts w:asciiTheme="majorBidi" w:hAnsiTheme="majorBidi" w:cstheme="majorBidi"/>
        </w:rPr>
        <w:tab/>
      </w:r>
      <w:r w:rsidR="00BC4805">
        <w:rPr>
          <w:rFonts w:asciiTheme="majorBidi" w:hAnsiTheme="majorBidi" w:cstheme="majorBidi"/>
        </w:rPr>
        <w:t>T</w:t>
      </w:r>
      <w:r w:rsidRPr="00DF581E" w:rsidR="008253DD">
        <w:rPr>
          <w:rFonts w:asciiTheme="majorBidi" w:hAnsiTheme="majorBidi" w:cstheme="majorBidi"/>
        </w:rPr>
        <w:t>he estimated number of Agency FTEs dedicated to Section 3 registration and registration support activities is approximately 2</w:t>
      </w:r>
      <w:r w:rsidR="00BC4805">
        <w:rPr>
          <w:rFonts w:asciiTheme="majorBidi" w:hAnsiTheme="majorBidi" w:cstheme="majorBidi"/>
        </w:rPr>
        <w:t>4</w:t>
      </w:r>
      <w:r w:rsidRPr="00DF581E" w:rsidR="008253DD">
        <w:rPr>
          <w:rFonts w:asciiTheme="majorBidi" w:hAnsiTheme="majorBidi" w:cstheme="majorBidi"/>
        </w:rPr>
        <w:t xml:space="preserve"> managerial FTEs, 1</w:t>
      </w:r>
      <w:r w:rsidR="00BC4805">
        <w:rPr>
          <w:rFonts w:asciiTheme="majorBidi" w:hAnsiTheme="majorBidi" w:cstheme="majorBidi"/>
        </w:rPr>
        <w:t>46</w:t>
      </w:r>
      <w:r w:rsidRPr="00DF581E" w:rsidR="008253DD">
        <w:rPr>
          <w:rFonts w:asciiTheme="majorBidi" w:hAnsiTheme="majorBidi" w:cstheme="majorBidi"/>
        </w:rPr>
        <w:t xml:space="preserve"> technical FTEs, and 7 clerical FTEs as shown in Table </w:t>
      </w:r>
      <w:r w:rsidRPr="00DF581E" w:rsidR="00721A36">
        <w:rPr>
          <w:rFonts w:asciiTheme="majorBidi" w:hAnsiTheme="majorBidi" w:cstheme="majorBidi"/>
        </w:rPr>
        <w:t>8</w:t>
      </w:r>
      <w:r w:rsidRPr="00DF581E" w:rsidR="008253DD">
        <w:rPr>
          <w:rFonts w:asciiTheme="majorBidi" w:hAnsiTheme="majorBidi" w:cstheme="majorBidi"/>
        </w:rPr>
        <w:t xml:space="preserve"> below.</w:t>
      </w:r>
      <w:r w:rsidRPr="00DF581E" w:rsidR="007841AD">
        <w:rPr>
          <w:rFonts w:asciiTheme="majorBidi" w:hAnsiTheme="majorBidi" w:cstheme="majorBidi"/>
        </w:rPr>
        <w:t xml:space="preserve"> </w:t>
      </w:r>
      <w:r w:rsidRPr="00396653" w:rsidR="008253DD">
        <w:rPr>
          <w:rFonts w:asciiTheme="majorBidi" w:hAnsiTheme="majorBidi" w:cstheme="majorBidi"/>
        </w:rPr>
        <w:t xml:space="preserve">The aggregated Agency estimated FTE dedicated to Section 3 activities is </w:t>
      </w:r>
      <w:r w:rsidRPr="00396653" w:rsidR="00DF581E">
        <w:rPr>
          <w:rFonts w:asciiTheme="majorBidi" w:hAnsiTheme="majorBidi" w:cstheme="majorBidi"/>
        </w:rPr>
        <w:t>1</w:t>
      </w:r>
      <w:r w:rsidRPr="00396653" w:rsidR="00D248D7">
        <w:rPr>
          <w:rFonts w:asciiTheme="majorBidi" w:hAnsiTheme="majorBidi" w:cstheme="majorBidi"/>
        </w:rPr>
        <w:t>77</w:t>
      </w:r>
      <w:r w:rsidRPr="00396653" w:rsidR="008253DD">
        <w:rPr>
          <w:rFonts w:asciiTheme="majorBidi" w:hAnsiTheme="majorBidi" w:cstheme="majorBidi"/>
        </w:rPr>
        <w:t xml:space="preserve"> and the burden hours are </w:t>
      </w:r>
      <w:r w:rsidRPr="00396653" w:rsidR="00D248D7">
        <w:rPr>
          <w:rFonts w:asciiTheme="majorBidi" w:hAnsiTheme="majorBidi" w:cstheme="majorBidi"/>
        </w:rPr>
        <w:t>369,127</w:t>
      </w:r>
      <w:r w:rsidRPr="00396653" w:rsidR="00675A1C">
        <w:rPr>
          <w:rFonts w:asciiTheme="majorBidi" w:hAnsiTheme="majorBidi" w:cstheme="majorBidi"/>
        </w:rPr>
        <w:t xml:space="preserve"> (2,080 hours/FTE X 177 FTEs)</w:t>
      </w:r>
      <w:r w:rsidRPr="00396653" w:rsidR="008253DD">
        <w:rPr>
          <w:rFonts w:asciiTheme="majorBidi" w:hAnsiTheme="majorBidi" w:cstheme="majorBidi"/>
        </w:rPr>
        <w:t>.</w:t>
      </w:r>
      <w:r w:rsidRPr="00396653" w:rsidR="007841AD">
        <w:rPr>
          <w:rFonts w:asciiTheme="majorBidi" w:hAnsiTheme="majorBidi" w:cstheme="majorBidi"/>
        </w:rPr>
        <w:t xml:space="preserve"> </w:t>
      </w:r>
      <w:r w:rsidRPr="00396653" w:rsidR="00D35216">
        <w:rPr>
          <w:rFonts w:asciiTheme="majorBidi" w:hAnsiTheme="majorBidi" w:cstheme="majorBidi"/>
        </w:rPr>
        <w:t>These</w:t>
      </w:r>
      <w:r w:rsidR="00D35216">
        <w:rPr>
          <w:rFonts w:asciiTheme="majorBidi" w:hAnsiTheme="majorBidi" w:cstheme="majorBidi"/>
        </w:rPr>
        <w:t xml:space="preserve"> numbers are inclusive of </w:t>
      </w:r>
      <w:r w:rsidR="00E44621">
        <w:rPr>
          <w:rFonts w:asciiTheme="majorBidi" w:hAnsiTheme="majorBidi" w:cstheme="majorBidi"/>
        </w:rPr>
        <w:t xml:space="preserve">Agency burden required for initiating the </w:t>
      </w:r>
      <w:r w:rsidR="006D3847">
        <w:rPr>
          <w:rFonts w:asciiTheme="majorBidi" w:hAnsiTheme="majorBidi" w:cstheme="majorBidi"/>
        </w:rPr>
        <w:t xml:space="preserve">three </w:t>
      </w:r>
      <w:r w:rsidR="00E44621">
        <w:rPr>
          <w:rFonts w:asciiTheme="majorBidi" w:hAnsiTheme="majorBidi" w:cstheme="majorBidi"/>
        </w:rPr>
        <w:t xml:space="preserve">proposed </w:t>
      </w:r>
      <w:r w:rsidR="00A30F88">
        <w:rPr>
          <w:rFonts w:asciiTheme="majorBidi" w:hAnsiTheme="majorBidi" w:cstheme="majorBidi"/>
        </w:rPr>
        <w:t>programs</w:t>
      </w:r>
      <w:r w:rsidR="00E44621">
        <w:rPr>
          <w:rFonts w:asciiTheme="majorBidi" w:hAnsiTheme="majorBidi" w:cstheme="majorBidi"/>
        </w:rPr>
        <w:t xml:space="preserve"> which will be included in future iterations of this ICR</w:t>
      </w:r>
      <w:r w:rsidR="00300CF6">
        <w:rPr>
          <w:rFonts w:asciiTheme="majorBidi" w:hAnsiTheme="majorBidi" w:cstheme="majorBidi"/>
        </w:rPr>
        <w:t>.</w:t>
      </w:r>
    </w:p>
    <w:p w:rsidRPr="00DF581E" w:rsidR="008253DD" w:rsidP="009B774E" w:rsidRDefault="008253DD" w14:paraId="37C4372A" w14:textId="77777777">
      <w:pPr>
        <w:rPr>
          <w:rFonts w:asciiTheme="majorBidi" w:hAnsiTheme="majorBidi" w:cstheme="majorBidi"/>
        </w:rPr>
      </w:pPr>
    </w:p>
    <w:p w:rsidRPr="00C270C5" w:rsidR="008253DD" w:rsidP="009B774E" w:rsidRDefault="008253DD" w14:paraId="7D85080B" w14:textId="6EE30538">
      <w:pPr>
        <w:ind w:firstLine="720"/>
        <w:rPr>
          <w:rFonts w:asciiTheme="majorBidi" w:hAnsiTheme="majorBidi" w:cstheme="majorBidi"/>
        </w:rPr>
      </w:pPr>
      <w:r w:rsidRPr="00DF581E">
        <w:rPr>
          <w:rFonts w:asciiTheme="majorBidi" w:hAnsiTheme="majorBidi" w:cstheme="majorBidi"/>
        </w:rPr>
        <w:t>To determine Agency costs, the Agency used the Bureau of Labor Statistics estimates of 201</w:t>
      </w:r>
      <w:r w:rsidRPr="00DF581E" w:rsidR="00312ACF">
        <w:rPr>
          <w:rFonts w:asciiTheme="majorBidi" w:hAnsiTheme="majorBidi" w:cstheme="majorBidi"/>
        </w:rPr>
        <w:t>8</w:t>
      </w:r>
      <w:r w:rsidRPr="00DF581E">
        <w:rPr>
          <w:rFonts w:asciiTheme="majorBidi" w:hAnsiTheme="majorBidi" w:cstheme="majorBidi"/>
        </w:rPr>
        <w:t xml:space="preserve"> labor rates for the North American Industry Classification System (NAICS) code for the Federal Executive Branch (NAICS 999100).</w:t>
      </w:r>
      <w:r w:rsidRPr="00DF581E" w:rsidR="007841AD">
        <w:rPr>
          <w:rFonts w:asciiTheme="majorBidi" w:hAnsiTheme="majorBidi" w:cstheme="majorBidi"/>
        </w:rPr>
        <w:t xml:space="preserve"> </w:t>
      </w:r>
      <w:r w:rsidRPr="00DF581E">
        <w:rPr>
          <w:rFonts w:asciiTheme="majorBidi" w:hAnsiTheme="majorBidi" w:cstheme="majorBidi"/>
        </w:rPr>
        <w:t>The managerial labor rate is based on the Standard Occupational Code (SOC) for management occupations; the technical labor rate is based on the SOC for life, physical and social science occupations; and the clerical labor rate is based on the SOC for office and administrative support occupations.</w:t>
      </w:r>
      <w:r w:rsidRPr="00DF581E" w:rsidR="007841AD">
        <w:rPr>
          <w:rFonts w:asciiTheme="majorBidi" w:hAnsiTheme="majorBidi" w:cstheme="majorBidi"/>
        </w:rPr>
        <w:t xml:space="preserve"> </w:t>
      </w:r>
      <w:r w:rsidRPr="00DF581E">
        <w:rPr>
          <w:rFonts w:asciiTheme="majorBidi" w:hAnsiTheme="majorBidi" w:cstheme="majorBidi"/>
        </w:rPr>
        <w:t>The fully loaded hourly mean wage rate estimate is $</w:t>
      </w:r>
      <w:r w:rsidRPr="00DF581E" w:rsidR="00073056">
        <w:rPr>
          <w:rFonts w:asciiTheme="majorBidi" w:hAnsiTheme="majorBidi" w:cstheme="majorBidi"/>
          <w:bCs/>
        </w:rPr>
        <w:t>132.14</w:t>
      </w:r>
      <w:r w:rsidRPr="00DF581E">
        <w:rPr>
          <w:rFonts w:asciiTheme="majorBidi" w:hAnsiTheme="majorBidi" w:cstheme="majorBidi"/>
          <w:b/>
          <w:bCs/>
        </w:rPr>
        <w:t xml:space="preserve"> </w:t>
      </w:r>
      <w:r w:rsidRPr="00DF581E">
        <w:rPr>
          <w:rFonts w:asciiTheme="majorBidi" w:hAnsiTheme="majorBidi" w:cstheme="majorBidi"/>
        </w:rPr>
        <w:t>for managerial occupations, $</w:t>
      </w:r>
      <w:r w:rsidRPr="00DF581E" w:rsidR="00073056">
        <w:rPr>
          <w:rFonts w:asciiTheme="majorBidi" w:hAnsiTheme="majorBidi" w:cstheme="majorBidi"/>
        </w:rPr>
        <w:t>87.24</w:t>
      </w:r>
      <w:r w:rsidRPr="00DF581E">
        <w:rPr>
          <w:rFonts w:asciiTheme="majorBidi" w:hAnsiTheme="majorBidi" w:cstheme="majorBidi"/>
        </w:rPr>
        <w:t xml:space="preserve"> for technical occupations, and $</w:t>
      </w:r>
      <w:r w:rsidRPr="00DF581E" w:rsidR="00073056">
        <w:rPr>
          <w:rFonts w:asciiTheme="majorBidi" w:hAnsiTheme="majorBidi" w:cstheme="majorBidi"/>
          <w:bCs/>
        </w:rPr>
        <w:t>48.83</w:t>
      </w:r>
      <w:r w:rsidRPr="00DF581E">
        <w:rPr>
          <w:rFonts w:asciiTheme="majorBidi" w:hAnsiTheme="majorBidi" w:cstheme="majorBidi"/>
        </w:rPr>
        <w:t xml:space="preserve"> for clerical occupations. (See </w:t>
      </w:r>
      <w:r w:rsidRPr="00DF581E">
        <w:rPr>
          <w:rFonts w:asciiTheme="majorBidi" w:hAnsiTheme="majorBidi" w:cstheme="majorBidi"/>
          <w:b/>
        </w:rPr>
        <w:t xml:space="preserve">Attachment </w:t>
      </w:r>
      <w:r w:rsidRPr="00DF581E" w:rsidR="007A6470">
        <w:rPr>
          <w:rFonts w:asciiTheme="majorBidi" w:hAnsiTheme="majorBidi" w:cstheme="majorBidi"/>
          <w:b/>
        </w:rPr>
        <w:t>J</w:t>
      </w:r>
      <w:r w:rsidRPr="00DF581E">
        <w:rPr>
          <w:rFonts w:asciiTheme="majorBidi" w:hAnsiTheme="majorBidi" w:cstheme="majorBidi"/>
        </w:rPr>
        <w:t xml:space="preserve"> for wage calculations.)</w:t>
      </w:r>
    </w:p>
    <w:p w:rsidRPr="00C270C5" w:rsidR="008253DD" w:rsidP="009B774E" w:rsidRDefault="008253DD" w14:paraId="73927A44" w14:textId="77777777">
      <w:pPr>
        <w:rPr>
          <w:rFonts w:asciiTheme="majorBidi" w:hAnsiTheme="majorBidi" w:cstheme="majorBidi"/>
        </w:rPr>
      </w:pPr>
    </w:p>
    <w:p w:rsidRPr="00C270C5" w:rsidR="008253DD" w:rsidP="009B774E" w:rsidRDefault="008253DD" w14:paraId="55696EAC" w14:textId="57333815">
      <w:pPr>
        <w:ind w:firstLine="720"/>
        <w:rPr>
          <w:rFonts w:asciiTheme="majorBidi" w:hAnsiTheme="majorBidi" w:cstheme="majorBidi"/>
        </w:rPr>
      </w:pPr>
      <w:r w:rsidRPr="00C270C5">
        <w:rPr>
          <w:rFonts w:asciiTheme="majorBidi" w:hAnsiTheme="majorBidi" w:cstheme="majorBidi"/>
        </w:rPr>
        <w:t xml:space="preserve">To calculate the Agency’s estimated annual cost of Section 3 activities, the number of </w:t>
      </w:r>
      <w:r w:rsidRPr="00675A1C">
        <w:rPr>
          <w:rFonts w:asciiTheme="majorBidi" w:hAnsiTheme="majorBidi" w:cstheme="majorBidi"/>
        </w:rPr>
        <w:t xml:space="preserve">FTE’s allocated to registration activities (Table </w:t>
      </w:r>
      <w:r w:rsidRPr="00675A1C" w:rsidR="00721A36">
        <w:rPr>
          <w:rFonts w:asciiTheme="majorBidi" w:hAnsiTheme="majorBidi" w:cstheme="majorBidi"/>
        </w:rPr>
        <w:t>8</w:t>
      </w:r>
      <w:r w:rsidRPr="00675A1C">
        <w:rPr>
          <w:rFonts w:asciiTheme="majorBidi" w:hAnsiTheme="majorBidi" w:cstheme="majorBidi"/>
        </w:rPr>
        <w:t>) is multiplied by these fully loaded labor rates and by 2,080 hours per FTE, which is estimated to be about $</w:t>
      </w:r>
      <w:r w:rsidRPr="00675A1C">
        <w:rPr>
          <w:rFonts w:asciiTheme="majorBidi" w:hAnsiTheme="majorBidi" w:cstheme="majorBidi"/>
          <w:bCs/>
        </w:rPr>
        <w:t>6.</w:t>
      </w:r>
      <w:r w:rsidRPr="00675A1C" w:rsidR="00D248D7">
        <w:rPr>
          <w:rFonts w:asciiTheme="majorBidi" w:hAnsiTheme="majorBidi" w:cstheme="majorBidi"/>
          <w:bCs/>
        </w:rPr>
        <w:t>68</w:t>
      </w:r>
      <w:r w:rsidRPr="00675A1C">
        <w:rPr>
          <w:rFonts w:asciiTheme="majorBidi" w:hAnsiTheme="majorBidi" w:cstheme="majorBidi"/>
          <w:bCs/>
        </w:rPr>
        <w:t xml:space="preserve"> million </w:t>
      </w:r>
      <w:r w:rsidRPr="00675A1C">
        <w:rPr>
          <w:rFonts w:asciiTheme="majorBidi" w:hAnsiTheme="majorBidi" w:cstheme="majorBidi"/>
        </w:rPr>
        <w:t>for management; $</w:t>
      </w:r>
      <w:r w:rsidRPr="00675A1C">
        <w:rPr>
          <w:rFonts w:asciiTheme="majorBidi" w:hAnsiTheme="majorBidi" w:cstheme="majorBidi"/>
          <w:bCs/>
        </w:rPr>
        <w:t>2</w:t>
      </w:r>
      <w:r w:rsidRPr="00675A1C" w:rsidR="00D248D7">
        <w:rPr>
          <w:rFonts w:asciiTheme="majorBidi" w:hAnsiTheme="majorBidi" w:cstheme="majorBidi"/>
          <w:bCs/>
        </w:rPr>
        <w:t>6.56</w:t>
      </w:r>
      <w:r w:rsidRPr="00675A1C">
        <w:rPr>
          <w:rFonts w:asciiTheme="majorBidi" w:hAnsiTheme="majorBidi" w:cstheme="majorBidi"/>
          <w:bCs/>
        </w:rPr>
        <w:t xml:space="preserve"> million</w:t>
      </w:r>
      <w:r w:rsidRPr="00675A1C">
        <w:rPr>
          <w:rFonts w:asciiTheme="majorBidi" w:hAnsiTheme="majorBidi" w:cstheme="majorBidi"/>
        </w:rPr>
        <w:t xml:space="preserve"> for technical; and $</w:t>
      </w:r>
      <w:r w:rsidRPr="00675A1C" w:rsidR="00DF581E">
        <w:rPr>
          <w:rFonts w:asciiTheme="majorBidi" w:hAnsiTheme="majorBidi" w:cstheme="majorBidi"/>
        </w:rPr>
        <w:t>6</w:t>
      </w:r>
      <w:r w:rsidRPr="00675A1C" w:rsidR="00D248D7">
        <w:rPr>
          <w:rFonts w:asciiTheme="majorBidi" w:hAnsiTheme="majorBidi" w:cstheme="majorBidi"/>
        </w:rPr>
        <w:t>89</w:t>
      </w:r>
      <w:r w:rsidRPr="00675A1C">
        <w:rPr>
          <w:rFonts w:asciiTheme="majorBidi" w:hAnsiTheme="majorBidi" w:cstheme="majorBidi"/>
        </w:rPr>
        <w:t xml:space="preserve"> thousand for clerical.</w:t>
      </w:r>
      <w:r w:rsidRPr="00675A1C" w:rsidR="007841AD">
        <w:rPr>
          <w:rFonts w:asciiTheme="majorBidi" w:hAnsiTheme="majorBidi" w:cstheme="majorBidi"/>
        </w:rPr>
        <w:t xml:space="preserve"> </w:t>
      </w:r>
      <w:r w:rsidRPr="00675A1C">
        <w:rPr>
          <w:rFonts w:asciiTheme="majorBidi" w:hAnsiTheme="majorBidi" w:cstheme="majorBidi"/>
        </w:rPr>
        <w:t>The total estimated Agency cost is $</w:t>
      </w:r>
      <w:r w:rsidRPr="00675A1C">
        <w:rPr>
          <w:rFonts w:asciiTheme="majorBidi" w:hAnsiTheme="majorBidi" w:cstheme="majorBidi"/>
          <w:bCs/>
        </w:rPr>
        <w:t>3</w:t>
      </w:r>
      <w:r w:rsidRPr="00675A1C" w:rsidR="00D248D7">
        <w:rPr>
          <w:rFonts w:asciiTheme="majorBidi" w:hAnsiTheme="majorBidi" w:cstheme="majorBidi"/>
          <w:bCs/>
        </w:rPr>
        <w:t>3.93</w:t>
      </w:r>
      <w:r w:rsidRPr="00675A1C">
        <w:rPr>
          <w:rFonts w:asciiTheme="majorBidi" w:hAnsiTheme="majorBidi" w:cstheme="majorBidi"/>
          <w:bCs/>
        </w:rPr>
        <w:t xml:space="preserve"> million</w:t>
      </w:r>
      <w:r w:rsidRPr="00675A1C">
        <w:rPr>
          <w:rFonts w:asciiTheme="majorBidi" w:hAnsiTheme="majorBidi" w:cstheme="majorBidi"/>
        </w:rPr>
        <w:t>.</w:t>
      </w:r>
    </w:p>
    <w:p w:rsidR="008253DD" w:rsidP="009B774E" w:rsidRDefault="008253DD" w14:paraId="3028CE6C" w14:textId="5CEE1E9E">
      <w:pPr>
        <w:rPr>
          <w:rFonts w:asciiTheme="majorBidi" w:hAnsiTheme="majorBidi" w:cstheme="majorBidi"/>
        </w:rPr>
      </w:pPr>
    </w:p>
    <w:p w:rsidRPr="00C270C5" w:rsidR="006E0849" w:rsidP="009B774E" w:rsidRDefault="006E0849" w14:paraId="36197182" w14:textId="77777777">
      <w:pPr>
        <w:rPr>
          <w:rFonts w:asciiTheme="majorBidi" w:hAnsiTheme="majorBidi" w:cstheme="majorBidi"/>
        </w:rPr>
      </w:pPr>
    </w:p>
    <w:p w:rsidRPr="00C270C5" w:rsidR="008253DD" w:rsidP="009B774E" w:rsidRDefault="008253DD" w14:paraId="2883DD47" w14:textId="47E6B633">
      <w:pPr>
        <w:rPr>
          <w:rFonts w:asciiTheme="majorBidi" w:hAnsiTheme="majorBidi" w:cstheme="majorBidi"/>
        </w:rPr>
      </w:pPr>
      <w:r w:rsidRPr="00C270C5">
        <w:rPr>
          <w:rFonts w:asciiTheme="majorBidi" w:hAnsiTheme="majorBidi" w:cstheme="majorBidi"/>
          <w:b/>
          <w:bCs/>
          <w:sz w:val="22"/>
          <w:szCs w:val="22"/>
        </w:rPr>
        <w:t xml:space="preserve">Table </w:t>
      </w:r>
      <w:r w:rsidRPr="00C270C5" w:rsidR="00721A36">
        <w:rPr>
          <w:rFonts w:asciiTheme="majorBidi" w:hAnsiTheme="majorBidi" w:cstheme="majorBidi"/>
          <w:b/>
          <w:bCs/>
          <w:sz w:val="22"/>
          <w:szCs w:val="22"/>
        </w:rPr>
        <w:t>8</w:t>
      </w:r>
      <w:r w:rsidRPr="00C270C5">
        <w:rPr>
          <w:rFonts w:asciiTheme="majorBidi" w:hAnsiTheme="majorBidi" w:cstheme="majorBidi"/>
          <w:b/>
          <w:bCs/>
          <w:sz w:val="22"/>
          <w:szCs w:val="22"/>
        </w:rPr>
        <w:t>: Distribution of Agency FTEs Supporting FIFRA Section 3 Registration Activities</w:t>
      </w:r>
    </w:p>
    <w:tbl>
      <w:tblPr>
        <w:tblW w:w="5000" w:type="pct"/>
        <w:tblLook w:val="04A0" w:firstRow="1" w:lastRow="0" w:firstColumn="1" w:lastColumn="0" w:noHBand="0" w:noVBand="1"/>
      </w:tblPr>
      <w:tblGrid>
        <w:gridCol w:w="1127"/>
        <w:gridCol w:w="761"/>
        <w:gridCol w:w="628"/>
        <w:gridCol w:w="716"/>
        <w:gridCol w:w="628"/>
        <w:gridCol w:w="601"/>
        <w:gridCol w:w="717"/>
        <w:gridCol w:w="1122"/>
        <w:gridCol w:w="1255"/>
        <w:gridCol w:w="1759"/>
      </w:tblGrid>
      <w:tr w:rsidRPr="00C270C5" w:rsidR="00C270C5" w:rsidTr="0063035F" w14:paraId="5E97AA7B" w14:textId="77777777">
        <w:trPr>
          <w:trHeight w:val="330"/>
        </w:trPr>
        <w:tc>
          <w:tcPr>
            <w:tcW w:w="489" w:type="pct"/>
            <w:tcBorders>
              <w:top w:val="double" w:color="808080" w:sz="6" w:space="0"/>
              <w:left w:val="double" w:color="808080" w:sz="6" w:space="0"/>
              <w:bottom w:val="single" w:color="808080" w:sz="4" w:space="0"/>
              <w:right w:val="single" w:color="808080" w:sz="4" w:space="0"/>
            </w:tcBorders>
            <w:shd w:val="clear" w:color="auto" w:fill="auto"/>
            <w:noWrap/>
            <w:vAlign w:val="bottom"/>
            <w:hideMark/>
          </w:tcPr>
          <w:p w:rsidRPr="00DF581E" w:rsidR="008253DD" w:rsidP="009B774E" w:rsidRDefault="008253DD" w14:paraId="65CCB0AD" w14:textId="77777777">
            <w:pPr>
              <w:jc w:val="center"/>
              <w:rPr>
                <w:rFonts w:asciiTheme="majorBidi" w:hAnsiTheme="majorBidi" w:cstheme="majorBidi"/>
                <w:sz w:val="20"/>
                <w:szCs w:val="20"/>
              </w:rPr>
            </w:pPr>
          </w:p>
        </w:tc>
        <w:tc>
          <w:tcPr>
            <w:tcW w:w="403" w:type="pct"/>
            <w:tcBorders>
              <w:top w:val="double" w:color="808080" w:sz="6" w:space="0"/>
              <w:left w:val="nil"/>
              <w:bottom w:val="single" w:color="808080" w:sz="4" w:space="0"/>
              <w:right w:val="single" w:color="808080" w:sz="4" w:space="0"/>
            </w:tcBorders>
            <w:shd w:val="clear" w:color="auto" w:fill="auto"/>
            <w:noWrap/>
            <w:vAlign w:val="bottom"/>
            <w:hideMark/>
          </w:tcPr>
          <w:p w:rsidRPr="00DF581E" w:rsidR="008253DD" w:rsidP="009B774E" w:rsidRDefault="008253DD" w14:paraId="78A2CC6A" w14:textId="77777777">
            <w:pPr>
              <w:jc w:val="center"/>
              <w:rPr>
                <w:rFonts w:asciiTheme="majorBidi" w:hAnsiTheme="majorBidi" w:cstheme="majorBidi"/>
                <w:sz w:val="20"/>
                <w:szCs w:val="20"/>
              </w:rPr>
            </w:pPr>
            <w:r w:rsidRPr="00DF581E">
              <w:rPr>
                <w:rFonts w:asciiTheme="majorBidi" w:hAnsiTheme="majorBidi" w:cstheme="majorBidi"/>
                <w:sz w:val="20"/>
                <w:szCs w:val="20"/>
              </w:rPr>
              <w:t>BEAD</w:t>
            </w:r>
          </w:p>
        </w:tc>
        <w:tc>
          <w:tcPr>
            <w:tcW w:w="403" w:type="pct"/>
            <w:tcBorders>
              <w:top w:val="double" w:color="808080" w:sz="6" w:space="0"/>
              <w:left w:val="nil"/>
              <w:bottom w:val="single" w:color="808080" w:sz="4" w:space="0"/>
              <w:right w:val="single" w:color="808080" w:sz="4" w:space="0"/>
            </w:tcBorders>
            <w:shd w:val="clear" w:color="auto" w:fill="auto"/>
            <w:noWrap/>
            <w:vAlign w:val="bottom"/>
            <w:hideMark/>
          </w:tcPr>
          <w:p w:rsidRPr="00DF581E" w:rsidR="008253DD" w:rsidP="009B774E" w:rsidRDefault="008253DD" w14:paraId="1888EA1C" w14:textId="77777777">
            <w:pPr>
              <w:jc w:val="center"/>
              <w:rPr>
                <w:rFonts w:asciiTheme="majorBidi" w:hAnsiTheme="majorBidi" w:cstheme="majorBidi"/>
                <w:sz w:val="20"/>
                <w:szCs w:val="20"/>
              </w:rPr>
            </w:pPr>
            <w:r w:rsidRPr="00DF581E">
              <w:rPr>
                <w:rFonts w:asciiTheme="majorBidi" w:hAnsiTheme="majorBidi" w:cstheme="majorBidi"/>
                <w:sz w:val="20"/>
                <w:szCs w:val="20"/>
              </w:rPr>
              <w:t>RD</w:t>
            </w:r>
          </w:p>
        </w:tc>
        <w:tc>
          <w:tcPr>
            <w:tcW w:w="403" w:type="pct"/>
            <w:tcBorders>
              <w:top w:val="double" w:color="808080" w:sz="6" w:space="0"/>
              <w:left w:val="nil"/>
              <w:bottom w:val="single" w:color="808080" w:sz="4" w:space="0"/>
              <w:right w:val="single" w:color="808080" w:sz="4" w:space="0"/>
            </w:tcBorders>
            <w:shd w:val="clear" w:color="auto" w:fill="auto"/>
            <w:noWrap/>
            <w:vAlign w:val="bottom"/>
            <w:hideMark/>
          </w:tcPr>
          <w:p w:rsidRPr="00DF581E" w:rsidR="008253DD" w:rsidP="009B774E" w:rsidRDefault="008253DD" w14:paraId="5789E15A" w14:textId="77777777">
            <w:pPr>
              <w:jc w:val="center"/>
              <w:rPr>
                <w:rFonts w:asciiTheme="majorBidi" w:hAnsiTheme="majorBidi" w:cstheme="majorBidi"/>
                <w:sz w:val="20"/>
                <w:szCs w:val="20"/>
              </w:rPr>
            </w:pPr>
            <w:r w:rsidRPr="00DF581E">
              <w:rPr>
                <w:rFonts w:asciiTheme="majorBidi" w:hAnsiTheme="majorBidi" w:cstheme="majorBidi"/>
                <w:sz w:val="20"/>
                <w:szCs w:val="20"/>
              </w:rPr>
              <w:t>EFED</w:t>
            </w:r>
          </w:p>
        </w:tc>
        <w:tc>
          <w:tcPr>
            <w:tcW w:w="403" w:type="pct"/>
            <w:tcBorders>
              <w:top w:val="double" w:color="808080" w:sz="6" w:space="0"/>
              <w:left w:val="nil"/>
              <w:bottom w:val="single" w:color="808080" w:sz="4" w:space="0"/>
              <w:right w:val="single" w:color="808080" w:sz="4" w:space="0"/>
            </w:tcBorders>
            <w:shd w:val="clear" w:color="auto" w:fill="auto"/>
            <w:noWrap/>
            <w:vAlign w:val="bottom"/>
            <w:hideMark/>
          </w:tcPr>
          <w:p w:rsidRPr="00DF581E" w:rsidR="008253DD" w:rsidP="009B774E" w:rsidRDefault="008253DD" w14:paraId="5F9727D7" w14:textId="77777777">
            <w:pPr>
              <w:jc w:val="center"/>
              <w:rPr>
                <w:rFonts w:asciiTheme="majorBidi" w:hAnsiTheme="majorBidi" w:cstheme="majorBidi"/>
                <w:sz w:val="20"/>
                <w:szCs w:val="20"/>
              </w:rPr>
            </w:pPr>
            <w:r w:rsidRPr="00DF581E">
              <w:rPr>
                <w:rFonts w:asciiTheme="majorBidi" w:hAnsiTheme="majorBidi" w:cstheme="majorBidi"/>
                <w:sz w:val="20"/>
                <w:szCs w:val="20"/>
              </w:rPr>
              <w:t>HED</w:t>
            </w:r>
          </w:p>
        </w:tc>
        <w:tc>
          <w:tcPr>
            <w:tcW w:w="403" w:type="pct"/>
            <w:tcBorders>
              <w:top w:val="double" w:color="808080" w:sz="6" w:space="0"/>
              <w:left w:val="nil"/>
              <w:bottom w:val="single" w:color="808080" w:sz="4" w:space="0"/>
              <w:right w:val="single" w:color="808080" w:sz="4" w:space="0"/>
            </w:tcBorders>
            <w:shd w:val="clear" w:color="auto" w:fill="auto"/>
            <w:noWrap/>
            <w:vAlign w:val="bottom"/>
            <w:hideMark/>
          </w:tcPr>
          <w:p w:rsidRPr="00DF581E" w:rsidR="008253DD" w:rsidP="009B774E" w:rsidRDefault="008253DD" w14:paraId="44E03D65" w14:textId="77777777">
            <w:pPr>
              <w:jc w:val="center"/>
              <w:rPr>
                <w:rFonts w:asciiTheme="majorBidi" w:hAnsiTheme="majorBidi" w:cstheme="majorBidi"/>
                <w:sz w:val="20"/>
                <w:szCs w:val="20"/>
              </w:rPr>
            </w:pPr>
            <w:r w:rsidRPr="00DF581E">
              <w:rPr>
                <w:rFonts w:asciiTheme="majorBidi" w:hAnsiTheme="majorBidi" w:cstheme="majorBidi"/>
                <w:sz w:val="20"/>
                <w:szCs w:val="20"/>
              </w:rPr>
              <w:t>AD</w:t>
            </w:r>
          </w:p>
        </w:tc>
        <w:tc>
          <w:tcPr>
            <w:tcW w:w="403" w:type="pct"/>
            <w:tcBorders>
              <w:top w:val="double" w:color="808080" w:sz="6" w:space="0"/>
              <w:left w:val="nil"/>
              <w:bottom w:val="single" w:color="808080" w:sz="4" w:space="0"/>
              <w:right w:val="single" w:color="808080" w:sz="4" w:space="0"/>
            </w:tcBorders>
            <w:shd w:val="clear" w:color="auto" w:fill="auto"/>
            <w:noWrap/>
            <w:vAlign w:val="bottom"/>
            <w:hideMark/>
          </w:tcPr>
          <w:p w:rsidRPr="00DF581E" w:rsidR="008253DD" w:rsidP="009B774E" w:rsidRDefault="008253DD" w14:paraId="69A020CF" w14:textId="77777777">
            <w:pPr>
              <w:jc w:val="center"/>
              <w:rPr>
                <w:rFonts w:asciiTheme="majorBidi" w:hAnsiTheme="majorBidi" w:cstheme="majorBidi"/>
                <w:sz w:val="20"/>
                <w:szCs w:val="20"/>
              </w:rPr>
            </w:pPr>
            <w:r w:rsidRPr="00DF581E">
              <w:rPr>
                <w:rFonts w:asciiTheme="majorBidi" w:hAnsiTheme="majorBidi" w:cstheme="majorBidi"/>
                <w:sz w:val="20"/>
                <w:szCs w:val="20"/>
              </w:rPr>
              <w:t>BPPD</w:t>
            </w:r>
          </w:p>
        </w:tc>
        <w:tc>
          <w:tcPr>
            <w:tcW w:w="487" w:type="pct"/>
            <w:tcBorders>
              <w:top w:val="double" w:color="808080" w:sz="6" w:space="0"/>
              <w:left w:val="nil"/>
              <w:bottom w:val="single" w:color="808080" w:sz="4" w:space="0"/>
              <w:right w:val="single" w:color="808080" w:sz="4" w:space="0"/>
            </w:tcBorders>
            <w:shd w:val="clear" w:color="auto" w:fill="auto"/>
            <w:noWrap/>
            <w:vAlign w:val="bottom"/>
            <w:hideMark/>
          </w:tcPr>
          <w:p w:rsidRPr="00DF581E" w:rsidR="008253DD" w:rsidP="009B774E" w:rsidRDefault="008253DD" w14:paraId="3F178C3A" w14:textId="77777777">
            <w:pPr>
              <w:jc w:val="center"/>
              <w:rPr>
                <w:rFonts w:asciiTheme="majorBidi" w:hAnsiTheme="majorBidi" w:cstheme="majorBidi"/>
                <w:sz w:val="20"/>
                <w:szCs w:val="20"/>
              </w:rPr>
            </w:pPr>
            <w:r w:rsidRPr="00DF581E">
              <w:rPr>
                <w:rFonts w:asciiTheme="majorBidi" w:hAnsiTheme="majorBidi" w:cstheme="majorBidi"/>
                <w:sz w:val="20"/>
                <w:szCs w:val="20"/>
              </w:rPr>
              <w:t>Total FTEs</w:t>
            </w:r>
          </w:p>
        </w:tc>
        <w:tc>
          <w:tcPr>
            <w:tcW w:w="669" w:type="pct"/>
            <w:tcBorders>
              <w:top w:val="double" w:color="808080" w:sz="6" w:space="0"/>
              <w:left w:val="nil"/>
              <w:bottom w:val="single" w:color="808080" w:sz="4" w:space="0"/>
              <w:right w:val="single" w:color="808080" w:sz="4" w:space="0"/>
            </w:tcBorders>
            <w:shd w:val="clear" w:color="auto" w:fill="auto"/>
            <w:noWrap/>
            <w:vAlign w:val="bottom"/>
            <w:hideMark/>
          </w:tcPr>
          <w:p w:rsidRPr="00DF581E" w:rsidR="008253DD" w:rsidP="009B774E" w:rsidRDefault="008253DD" w14:paraId="056B5D8C" w14:textId="77777777">
            <w:pPr>
              <w:jc w:val="center"/>
              <w:rPr>
                <w:rFonts w:asciiTheme="majorBidi" w:hAnsiTheme="majorBidi" w:cstheme="majorBidi"/>
                <w:sz w:val="20"/>
                <w:szCs w:val="20"/>
              </w:rPr>
            </w:pPr>
            <w:r w:rsidRPr="00DF581E">
              <w:rPr>
                <w:rFonts w:asciiTheme="majorBidi" w:hAnsiTheme="majorBidi" w:cstheme="majorBidi"/>
                <w:sz w:val="20"/>
                <w:szCs w:val="20"/>
              </w:rPr>
              <w:t>Hourly wage</w:t>
            </w:r>
          </w:p>
        </w:tc>
        <w:tc>
          <w:tcPr>
            <w:tcW w:w="936" w:type="pct"/>
            <w:tcBorders>
              <w:top w:val="double" w:color="808080" w:sz="6" w:space="0"/>
              <w:left w:val="nil"/>
              <w:bottom w:val="single" w:color="808080" w:sz="4" w:space="0"/>
              <w:right w:val="double" w:color="808080" w:sz="6" w:space="0"/>
            </w:tcBorders>
            <w:shd w:val="clear" w:color="auto" w:fill="auto"/>
            <w:noWrap/>
            <w:vAlign w:val="bottom"/>
            <w:hideMark/>
          </w:tcPr>
          <w:p w:rsidRPr="00DF581E" w:rsidR="008253DD" w:rsidP="009B774E" w:rsidRDefault="008253DD" w14:paraId="02F07A7C" w14:textId="78E8B025">
            <w:pPr>
              <w:jc w:val="center"/>
              <w:rPr>
                <w:rFonts w:asciiTheme="majorBidi" w:hAnsiTheme="majorBidi" w:cstheme="majorBidi"/>
                <w:sz w:val="20"/>
                <w:szCs w:val="20"/>
                <w:vertAlign w:val="superscript"/>
              </w:rPr>
            </w:pPr>
            <w:r w:rsidRPr="00DF581E">
              <w:rPr>
                <w:rFonts w:asciiTheme="majorBidi" w:hAnsiTheme="majorBidi" w:cstheme="majorBidi"/>
                <w:sz w:val="20"/>
                <w:szCs w:val="20"/>
              </w:rPr>
              <w:t>Total Annual Cost</w:t>
            </w:r>
            <w:r w:rsidR="005459DF">
              <w:rPr>
                <w:rFonts w:asciiTheme="majorBidi" w:hAnsiTheme="majorBidi" w:cstheme="majorBidi"/>
                <w:sz w:val="20"/>
                <w:szCs w:val="20"/>
                <w:vertAlign w:val="superscript"/>
              </w:rPr>
              <w:t>1</w:t>
            </w:r>
          </w:p>
        </w:tc>
      </w:tr>
      <w:tr w:rsidRPr="00C270C5" w:rsidR="0063035F" w:rsidTr="0063035F" w14:paraId="0E7E2183" w14:textId="77777777">
        <w:trPr>
          <w:trHeight w:val="255"/>
        </w:trPr>
        <w:tc>
          <w:tcPr>
            <w:tcW w:w="489" w:type="pct"/>
            <w:tcBorders>
              <w:top w:val="nil"/>
              <w:left w:val="double" w:color="808080" w:sz="6" w:space="0"/>
              <w:bottom w:val="single" w:color="808080" w:sz="4" w:space="0"/>
              <w:right w:val="single" w:color="808080" w:sz="4" w:space="0"/>
            </w:tcBorders>
            <w:shd w:val="clear" w:color="auto" w:fill="auto"/>
            <w:noWrap/>
            <w:vAlign w:val="center"/>
            <w:hideMark/>
          </w:tcPr>
          <w:p w:rsidRPr="00DF581E" w:rsidR="0063035F" w:rsidP="009B774E" w:rsidRDefault="0063035F" w14:paraId="7B741CCE" w14:textId="77777777">
            <w:pPr>
              <w:jc w:val="center"/>
              <w:rPr>
                <w:rFonts w:asciiTheme="majorBidi" w:hAnsiTheme="majorBidi" w:cstheme="majorBidi"/>
                <w:sz w:val="20"/>
                <w:szCs w:val="20"/>
              </w:rPr>
            </w:pPr>
            <w:r w:rsidRPr="00DF581E">
              <w:rPr>
                <w:rFonts w:asciiTheme="majorBidi" w:hAnsiTheme="majorBidi" w:cstheme="majorBidi"/>
                <w:sz w:val="20"/>
                <w:szCs w:val="20"/>
              </w:rPr>
              <w:t>Managerial</w:t>
            </w:r>
          </w:p>
        </w:tc>
        <w:tc>
          <w:tcPr>
            <w:tcW w:w="403" w:type="pct"/>
            <w:tcBorders>
              <w:top w:val="nil"/>
              <w:left w:val="nil"/>
              <w:bottom w:val="single" w:color="808080" w:sz="4" w:space="0"/>
              <w:right w:val="single" w:color="808080" w:sz="4" w:space="0"/>
            </w:tcBorders>
            <w:shd w:val="clear" w:color="auto" w:fill="auto"/>
            <w:noWrap/>
            <w:vAlign w:val="center"/>
            <w:hideMark/>
          </w:tcPr>
          <w:p w:rsidRPr="00DF581E" w:rsidR="0063035F" w:rsidP="009B774E" w:rsidRDefault="0063035F" w14:paraId="3081FFCD" w14:textId="62FB6F71">
            <w:pPr>
              <w:jc w:val="center"/>
              <w:rPr>
                <w:rFonts w:asciiTheme="majorBidi" w:hAnsiTheme="majorBidi" w:cstheme="majorBidi"/>
                <w:sz w:val="20"/>
                <w:szCs w:val="20"/>
              </w:rPr>
            </w:pPr>
            <w:r>
              <w:rPr>
                <w:sz w:val="20"/>
                <w:szCs w:val="20"/>
              </w:rPr>
              <w:t>1.8</w:t>
            </w:r>
          </w:p>
        </w:tc>
        <w:tc>
          <w:tcPr>
            <w:tcW w:w="403" w:type="pct"/>
            <w:tcBorders>
              <w:top w:val="nil"/>
              <w:left w:val="nil"/>
              <w:bottom w:val="single" w:color="808080" w:sz="4" w:space="0"/>
              <w:right w:val="single" w:color="808080" w:sz="4" w:space="0"/>
            </w:tcBorders>
            <w:shd w:val="clear" w:color="auto" w:fill="auto"/>
            <w:noWrap/>
            <w:vAlign w:val="center"/>
            <w:hideMark/>
          </w:tcPr>
          <w:p w:rsidRPr="00DF581E" w:rsidR="0063035F" w:rsidP="009B774E" w:rsidRDefault="0063035F" w14:paraId="063F23C8" w14:textId="62EF3EE1">
            <w:pPr>
              <w:jc w:val="center"/>
              <w:rPr>
                <w:rFonts w:asciiTheme="majorBidi" w:hAnsiTheme="majorBidi" w:cstheme="majorBidi"/>
                <w:sz w:val="20"/>
                <w:szCs w:val="20"/>
              </w:rPr>
            </w:pPr>
            <w:r>
              <w:rPr>
                <w:sz w:val="20"/>
                <w:szCs w:val="20"/>
              </w:rPr>
              <w:t>8.7</w:t>
            </w:r>
          </w:p>
        </w:tc>
        <w:tc>
          <w:tcPr>
            <w:tcW w:w="403" w:type="pct"/>
            <w:tcBorders>
              <w:top w:val="nil"/>
              <w:left w:val="nil"/>
              <w:bottom w:val="single" w:color="808080" w:sz="4" w:space="0"/>
              <w:right w:val="single" w:color="808080" w:sz="4" w:space="0"/>
            </w:tcBorders>
            <w:shd w:val="clear" w:color="auto" w:fill="auto"/>
            <w:noWrap/>
            <w:vAlign w:val="center"/>
            <w:hideMark/>
          </w:tcPr>
          <w:p w:rsidRPr="00DF581E" w:rsidR="0063035F" w:rsidP="009B774E" w:rsidRDefault="0063035F" w14:paraId="3F4C6DFF" w14:textId="0F4C2F1C">
            <w:pPr>
              <w:jc w:val="center"/>
              <w:rPr>
                <w:rFonts w:asciiTheme="majorBidi" w:hAnsiTheme="majorBidi" w:cstheme="majorBidi"/>
                <w:sz w:val="20"/>
                <w:szCs w:val="20"/>
              </w:rPr>
            </w:pPr>
            <w:r>
              <w:rPr>
                <w:sz w:val="20"/>
                <w:szCs w:val="20"/>
              </w:rPr>
              <w:t>3.7</w:t>
            </w:r>
          </w:p>
        </w:tc>
        <w:tc>
          <w:tcPr>
            <w:tcW w:w="403" w:type="pct"/>
            <w:tcBorders>
              <w:top w:val="nil"/>
              <w:left w:val="nil"/>
              <w:bottom w:val="single" w:color="808080" w:sz="4" w:space="0"/>
              <w:right w:val="single" w:color="808080" w:sz="4" w:space="0"/>
            </w:tcBorders>
            <w:shd w:val="clear" w:color="auto" w:fill="auto"/>
            <w:noWrap/>
            <w:vAlign w:val="center"/>
            <w:hideMark/>
          </w:tcPr>
          <w:p w:rsidRPr="00DF581E" w:rsidR="0063035F" w:rsidP="009B774E" w:rsidRDefault="0063035F" w14:paraId="7224AE45" w14:textId="78B7F1D3">
            <w:pPr>
              <w:jc w:val="center"/>
              <w:rPr>
                <w:rFonts w:asciiTheme="majorBidi" w:hAnsiTheme="majorBidi" w:cstheme="majorBidi"/>
                <w:sz w:val="20"/>
                <w:szCs w:val="20"/>
              </w:rPr>
            </w:pPr>
            <w:r>
              <w:rPr>
                <w:sz w:val="20"/>
                <w:szCs w:val="20"/>
              </w:rPr>
              <w:t>5.3</w:t>
            </w:r>
          </w:p>
        </w:tc>
        <w:tc>
          <w:tcPr>
            <w:tcW w:w="403" w:type="pct"/>
            <w:tcBorders>
              <w:top w:val="nil"/>
              <w:left w:val="nil"/>
              <w:bottom w:val="single" w:color="808080" w:sz="4" w:space="0"/>
              <w:right w:val="single" w:color="808080" w:sz="4" w:space="0"/>
            </w:tcBorders>
            <w:shd w:val="clear" w:color="auto" w:fill="auto"/>
            <w:noWrap/>
            <w:vAlign w:val="center"/>
            <w:hideMark/>
          </w:tcPr>
          <w:p w:rsidRPr="00DF581E" w:rsidR="0063035F" w:rsidP="009B774E" w:rsidRDefault="0063035F" w14:paraId="043E76B8" w14:textId="43C535BF">
            <w:pPr>
              <w:jc w:val="center"/>
              <w:rPr>
                <w:rFonts w:asciiTheme="majorBidi" w:hAnsiTheme="majorBidi" w:cstheme="majorBidi"/>
                <w:sz w:val="20"/>
                <w:szCs w:val="20"/>
              </w:rPr>
            </w:pPr>
            <w:r>
              <w:rPr>
                <w:sz w:val="20"/>
                <w:szCs w:val="20"/>
              </w:rPr>
              <w:t>3.2</w:t>
            </w:r>
          </w:p>
        </w:tc>
        <w:tc>
          <w:tcPr>
            <w:tcW w:w="403" w:type="pct"/>
            <w:tcBorders>
              <w:top w:val="nil"/>
              <w:left w:val="nil"/>
              <w:bottom w:val="single" w:color="808080" w:sz="4" w:space="0"/>
              <w:right w:val="single" w:color="808080" w:sz="4" w:space="0"/>
            </w:tcBorders>
            <w:shd w:val="clear" w:color="auto" w:fill="auto"/>
            <w:noWrap/>
            <w:vAlign w:val="center"/>
            <w:hideMark/>
          </w:tcPr>
          <w:p w:rsidRPr="00DF581E" w:rsidR="0063035F" w:rsidP="009B774E" w:rsidRDefault="0063035F" w14:paraId="6B5D28D0" w14:textId="7FABB13B">
            <w:pPr>
              <w:jc w:val="center"/>
              <w:rPr>
                <w:rFonts w:asciiTheme="majorBidi" w:hAnsiTheme="majorBidi" w:cstheme="majorBidi"/>
                <w:sz w:val="20"/>
                <w:szCs w:val="20"/>
              </w:rPr>
            </w:pPr>
            <w:r>
              <w:rPr>
                <w:sz w:val="20"/>
                <w:szCs w:val="20"/>
              </w:rPr>
              <w:t>1.6</w:t>
            </w:r>
          </w:p>
        </w:tc>
        <w:tc>
          <w:tcPr>
            <w:tcW w:w="487" w:type="pct"/>
            <w:tcBorders>
              <w:top w:val="nil"/>
              <w:left w:val="nil"/>
              <w:bottom w:val="single" w:color="808080" w:sz="4" w:space="0"/>
              <w:right w:val="single" w:color="808080" w:sz="4" w:space="0"/>
            </w:tcBorders>
            <w:shd w:val="clear" w:color="auto" w:fill="auto"/>
            <w:noWrap/>
            <w:vAlign w:val="center"/>
            <w:hideMark/>
          </w:tcPr>
          <w:p w:rsidRPr="00DF581E" w:rsidR="0063035F" w:rsidP="009B774E" w:rsidRDefault="0063035F" w14:paraId="6FF3A7B3" w14:textId="78BB2442">
            <w:pPr>
              <w:jc w:val="center"/>
              <w:rPr>
                <w:rFonts w:asciiTheme="majorBidi" w:hAnsiTheme="majorBidi" w:cstheme="majorBidi"/>
                <w:sz w:val="20"/>
                <w:szCs w:val="20"/>
              </w:rPr>
            </w:pPr>
            <w:r>
              <w:rPr>
                <w:sz w:val="20"/>
                <w:szCs w:val="20"/>
              </w:rPr>
              <w:t>24</w:t>
            </w:r>
          </w:p>
        </w:tc>
        <w:tc>
          <w:tcPr>
            <w:tcW w:w="669" w:type="pct"/>
            <w:tcBorders>
              <w:top w:val="nil"/>
              <w:left w:val="nil"/>
              <w:bottom w:val="single" w:color="808080" w:sz="4" w:space="0"/>
              <w:right w:val="single" w:color="808080" w:sz="4" w:space="0"/>
            </w:tcBorders>
            <w:shd w:val="clear" w:color="auto" w:fill="auto"/>
            <w:noWrap/>
            <w:vAlign w:val="center"/>
            <w:hideMark/>
          </w:tcPr>
          <w:p w:rsidRPr="00DF581E" w:rsidR="0063035F" w:rsidP="009B774E" w:rsidRDefault="0063035F" w14:paraId="71756CD8" w14:textId="08DF6D6D">
            <w:pPr>
              <w:jc w:val="center"/>
              <w:rPr>
                <w:rFonts w:asciiTheme="majorBidi" w:hAnsiTheme="majorBidi" w:cstheme="majorBidi"/>
                <w:sz w:val="20"/>
                <w:szCs w:val="20"/>
              </w:rPr>
            </w:pPr>
            <w:r>
              <w:rPr>
                <w:sz w:val="20"/>
                <w:szCs w:val="20"/>
              </w:rPr>
              <w:t xml:space="preserve">$132.1358 </w:t>
            </w:r>
          </w:p>
        </w:tc>
        <w:tc>
          <w:tcPr>
            <w:tcW w:w="936" w:type="pct"/>
            <w:tcBorders>
              <w:top w:val="nil"/>
              <w:left w:val="nil"/>
              <w:bottom w:val="single" w:color="808080" w:sz="4" w:space="0"/>
              <w:right w:val="double" w:color="808080" w:sz="6" w:space="0"/>
            </w:tcBorders>
            <w:shd w:val="clear" w:color="auto" w:fill="auto"/>
            <w:noWrap/>
            <w:vAlign w:val="center"/>
            <w:hideMark/>
          </w:tcPr>
          <w:p w:rsidRPr="00DF581E" w:rsidR="0063035F" w:rsidP="009B774E" w:rsidRDefault="0063035F" w14:paraId="40DD8D2F" w14:textId="7E75A238">
            <w:pPr>
              <w:jc w:val="center"/>
              <w:rPr>
                <w:rFonts w:asciiTheme="majorBidi" w:hAnsiTheme="majorBidi" w:cstheme="majorBidi"/>
                <w:sz w:val="20"/>
                <w:szCs w:val="20"/>
              </w:rPr>
            </w:pPr>
            <w:r>
              <w:rPr>
                <w:sz w:val="20"/>
                <w:szCs w:val="20"/>
              </w:rPr>
              <w:t>$6,680,257</w:t>
            </w:r>
          </w:p>
        </w:tc>
      </w:tr>
      <w:tr w:rsidRPr="00C270C5" w:rsidR="0063035F" w:rsidTr="0063035F" w14:paraId="72948D4A" w14:textId="77777777">
        <w:trPr>
          <w:trHeight w:val="255"/>
        </w:trPr>
        <w:tc>
          <w:tcPr>
            <w:tcW w:w="489" w:type="pct"/>
            <w:tcBorders>
              <w:top w:val="nil"/>
              <w:left w:val="double" w:color="808080" w:sz="6" w:space="0"/>
              <w:bottom w:val="single" w:color="808080" w:sz="4" w:space="0"/>
              <w:right w:val="single" w:color="808080" w:sz="4" w:space="0"/>
            </w:tcBorders>
            <w:shd w:val="clear" w:color="auto" w:fill="auto"/>
            <w:noWrap/>
            <w:vAlign w:val="center"/>
            <w:hideMark/>
          </w:tcPr>
          <w:p w:rsidRPr="00DF581E" w:rsidR="0063035F" w:rsidP="009B774E" w:rsidRDefault="0063035F" w14:paraId="17D8657A" w14:textId="77777777">
            <w:pPr>
              <w:jc w:val="center"/>
              <w:rPr>
                <w:rFonts w:asciiTheme="majorBidi" w:hAnsiTheme="majorBidi" w:cstheme="majorBidi"/>
                <w:sz w:val="20"/>
                <w:szCs w:val="20"/>
              </w:rPr>
            </w:pPr>
            <w:r w:rsidRPr="00DF581E">
              <w:rPr>
                <w:rFonts w:asciiTheme="majorBidi" w:hAnsiTheme="majorBidi" w:cstheme="majorBidi"/>
                <w:sz w:val="20"/>
                <w:szCs w:val="20"/>
              </w:rPr>
              <w:t>Technical</w:t>
            </w:r>
          </w:p>
        </w:tc>
        <w:tc>
          <w:tcPr>
            <w:tcW w:w="403" w:type="pct"/>
            <w:tcBorders>
              <w:top w:val="nil"/>
              <w:left w:val="nil"/>
              <w:bottom w:val="single" w:color="808080" w:sz="4" w:space="0"/>
              <w:right w:val="single" w:color="808080" w:sz="4" w:space="0"/>
            </w:tcBorders>
            <w:shd w:val="clear" w:color="auto" w:fill="auto"/>
            <w:noWrap/>
            <w:vAlign w:val="center"/>
            <w:hideMark/>
          </w:tcPr>
          <w:p w:rsidRPr="00DF581E" w:rsidR="0063035F" w:rsidP="009B774E" w:rsidRDefault="0063035F" w14:paraId="63B9A65A" w14:textId="01DD4452">
            <w:pPr>
              <w:jc w:val="center"/>
              <w:rPr>
                <w:rFonts w:asciiTheme="majorBidi" w:hAnsiTheme="majorBidi" w:cstheme="majorBidi"/>
                <w:sz w:val="20"/>
                <w:szCs w:val="20"/>
              </w:rPr>
            </w:pPr>
            <w:r>
              <w:rPr>
                <w:sz w:val="20"/>
                <w:szCs w:val="20"/>
              </w:rPr>
              <w:t>8.9</w:t>
            </w:r>
          </w:p>
        </w:tc>
        <w:tc>
          <w:tcPr>
            <w:tcW w:w="403" w:type="pct"/>
            <w:tcBorders>
              <w:top w:val="nil"/>
              <w:left w:val="nil"/>
              <w:bottom w:val="single" w:color="808080" w:sz="4" w:space="0"/>
              <w:right w:val="single" w:color="808080" w:sz="4" w:space="0"/>
            </w:tcBorders>
            <w:shd w:val="clear" w:color="auto" w:fill="auto"/>
            <w:noWrap/>
            <w:vAlign w:val="center"/>
            <w:hideMark/>
          </w:tcPr>
          <w:p w:rsidRPr="00DF581E" w:rsidR="0063035F" w:rsidP="009B774E" w:rsidRDefault="0063035F" w14:paraId="642FAAE7" w14:textId="2092A893">
            <w:pPr>
              <w:jc w:val="center"/>
              <w:rPr>
                <w:rFonts w:asciiTheme="majorBidi" w:hAnsiTheme="majorBidi" w:cstheme="majorBidi"/>
                <w:sz w:val="20"/>
                <w:szCs w:val="20"/>
              </w:rPr>
            </w:pPr>
            <w:r>
              <w:rPr>
                <w:sz w:val="20"/>
                <w:szCs w:val="20"/>
              </w:rPr>
              <w:t>49.3</w:t>
            </w:r>
          </w:p>
        </w:tc>
        <w:tc>
          <w:tcPr>
            <w:tcW w:w="403" w:type="pct"/>
            <w:tcBorders>
              <w:top w:val="nil"/>
              <w:left w:val="nil"/>
              <w:bottom w:val="single" w:color="808080" w:sz="4" w:space="0"/>
              <w:right w:val="single" w:color="808080" w:sz="4" w:space="0"/>
            </w:tcBorders>
            <w:shd w:val="clear" w:color="auto" w:fill="auto"/>
            <w:noWrap/>
            <w:vAlign w:val="center"/>
            <w:hideMark/>
          </w:tcPr>
          <w:p w:rsidRPr="00DF581E" w:rsidR="0063035F" w:rsidP="009B774E" w:rsidRDefault="0063035F" w14:paraId="13BC4274" w14:textId="3559DE61">
            <w:pPr>
              <w:jc w:val="center"/>
              <w:rPr>
                <w:rFonts w:asciiTheme="majorBidi" w:hAnsiTheme="majorBidi" w:cstheme="majorBidi"/>
                <w:sz w:val="20"/>
                <w:szCs w:val="20"/>
              </w:rPr>
            </w:pPr>
            <w:r>
              <w:rPr>
                <w:sz w:val="20"/>
                <w:szCs w:val="20"/>
              </w:rPr>
              <w:t>14.7</w:t>
            </w:r>
          </w:p>
        </w:tc>
        <w:tc>
          <w:tcPr>
            <w:tcW w:w="403" w:type="pct"/>
            <w:tcBorders>
              <w:top w:val="nil"/>
              <w:left w:val="nil"/>
              <w:bottom w:val="single" w:color="808080" w:sz="4" w:space="0"/>
              <w:right w:val="single" w:color="808080" w:sz="4" w:space="0"/>
            </w:tcBorders>
            <w:shd w:val="clear" w:color="auto" w:fill="auto"/>
            <w:noWrap/>
            <w:vAlign w:val="center"/>
            <w:hideMark/>
          </w:tcPr>
          <w:p w:rsidRPr="00DF581E" w:rsidR="0063035F" w:rsidP="009B774E" w:rsidRDefault="0063035F" w14:paraId="384E0A26" w14:textId="53B50AF3">
            <w:pPr>
              <w:jc w:val="center"/>
              <w:rPr>
                <w:rFonts w:asciiTheme="majorBidi" w:hAnsiTheme="majorBidi" w:cstheme="majorBidi"/>
                <w:sz w:val="20"/>
                <w:szCs w:val="20"/>
              </w:rPr>
            </w:pPr>
            <w:r>
              <w:rPr>
                <w:sz w:val="20"/>
                <w:szCs w:val="20"/>
              </w:rPr>
              <w:t>28.5</w:t>
            </w:r>
          </w:p>
        </w:tc>
        <w:tc>
          <w:tcPr>
            <w:tcW w:w="403" w:type="pct"/>
            <w:tcBorders>
              <w:top w:val="nil"/>
              <w:left w:val="nil"/>
              <w:bottom w:val="single" w:color="808080" w:sz="4" w:space="0"/>
              <w:right w:val="single" w:color="808080" w:sz="4" w:space="0"/>
            </w:tcBorders>
            <w:shd w:val="clear" w:color="auto" w:fill="auto"/>
            <w:noWrap/>
            <w:vAlign w:val="center"/>
            <w:hideMark/>
          </w:tcPr>
          <w:p w:rsidRPr="00DF581E" w:rsidR="0063035F" w:rsidP="009B774E" w:rsidRDefault="0063035F" w14:paraId="24E81B83" w14:textId="6371F2B4">
            <w:pPr>
              <w:jc w:val="center"/>
              <w:rPr>
                <w:rFonts w:asciiTheme="majorBidi" w:hAnsiTheme="majorBidi" w:cstheme="majorBidi"/>
                <w:sz w:val="20"/>
                <w:szCs w:val="20"/>
              </w:rPr>
            </w:pPr>
            <w:r>
              <w:rPr>
                <w:sz w:val="20"/>
                <w:szCs w:val="20"/>
              </w:rPr>
              <w:t>20.9</w:t>
            </w:r>
          </w:p>
        </w:tc>
        <w:tc>
          <w:tcPr>
            <w:tcW w:w="403" w:type="pct"/>
            <w:tcBorders>
              <w:top w:val="nil"/>
              <w:left w:val="nil"/>
              <w:bottom w:val="single" w:color="808080" w:sz="4" w:space="0"/>
              <w:right w:val="single" w:color="808080" w:sz="4" w:space="0"/>
            </w:tcBorders>
            <w:shd w:val="clear" w:color="auto" w:fill="auto"/>
            <w:noWrap/>
            <w:vAlign w:val="center"/>
            <w:hideMark/>
          </w:tcPr>
          <w:p w:rsidRPr="00DF581E" w:rsidR="0063035F" w:rsidP="009B774E" w:rsidRDefault="0063035F" w14:paraId="777443E8" w14:textId="2578C8D8">
            <w:pPr>
              <w:jc w:val="center"/>
              <w:rPr>
                <w:rFonts w:asciiTheme="majorBidi" w:hAnsiTheme="majorBidi" w:cstheme="majorBidi"/>
                <w:sz w:val="20"/>
                <w:szCs w:val="20"/>
              </w:rPr>
            </w:pPr>
            <w:r>
              <w:rPr>
                <w:sz w:val="20"/>
                <w:szCs w:val="20"/>
              </w:rPr>
              <w:t>24.1</w:t>
            </w:r>
          </w:p>
        </w:tc>
        <w:tc>
          <w:tcPr>
            <w:tcW w:w="487" w:type="pct"/>
            <w:tcBorders>
              <w:top w:val="nil"/>
              <w:left w:val="nil"/>
              <w:bottom w:val="single" w:color="808080" w:sz="4" w:space="0"/>
              <w:right w:val="single" w:color="808080" w:sz="4" w:space="0"/>
            </w:tcBorders>
            <w:shd w:val="clear" w:color="auto" w:fill="auto"/>
            <w:noWrap/>
            <w:vAlign w:val="center"/>
            <w:hideMark/>
          </w:tcPr>
          <w:p w:rsidRPr="00DF581E" w:rsidR="0063035F" w:rsidP="009B774E" w:rsidRDefault="0063035F" w14:paraId="425E1AE2" w14:textId="25BDDE10">
            <w:pPr>
              <w:jc w:val="center"/>
              <w:rPr>
                <w:rFonts w:asciiTheme="majorBidi" w:hAnsiTheme="majorBidi" w:cstheme="majorBidi"/>
                <w:sz w:val="20"/>
                <w:szCs w:val="20"/>
              </w:rPr>
            </w:pPr>
            <w:r>
              <w:rPr>
                <w:sz w:val="20"/>
                <w:szCs w:val="20"/>
              </w:rPr>
              <w:t>146</w:t>
            </w:r>
          </w:p>
        </w:tc>
        <w:tc>
          <w:tcPr>
            <w:tcW w:w="669" w:type="pct"/>
            <w:tcBorders>
              <w:top w:val="nil"/>
              <w:left w:val="nil"/>
              <w:bottom w:val="single" w:color="808080" w:sz="4" w:space="0"/>
              <w:right w:val="single" w:color="808080" w:sz="4" w:space="0"/>
            </w:tcBorders>
            <w:shd w:val="clear" w:color="auto" w:fill="auto"/>
            <w:noWrap/>
            <w:vAlign w:val="center"/>
            <w:hideMark/>
          </w:tcPr>
          <w:p w:rsidRPr="00DF581E" w:rsidR="0063035F" w:rsidP="009B774E" w:rsidRDefault="0063035F" w14:paraId="2F3A36D4" w14:textId="1C4BEF23">
            <w:pPr>
              <w:jc w:val="center"/>
              <w:rPr>
                <w:rFonts w:asciiTheme="majorBidi" w:hAnsiTheme="majorBidi" w:cstheme="majorBidi"/>
                <w:sz w:val="20"/>
                <w:szCs w:val="20"/>
              </w:rPr>
            </w:pPr>
            <w:r>
              <w:rPr>
                <w:sz w:val="20"/>
                <w:szCs w:val="20"/>
              </w:rPr>
              <w:t xml:space="preserve">$87.24 </w:t>
            </w:r>
          </w:p>
        </w:tc>
        <w:tc>
          <w:tcPr>
            <w:tcW w:w="936" w:type="pct"/>
            <w:tcBorders>
              <w:top w:val="nil"/>
              <w:left w:val="nil"/>
              <w:bottom w:val="single" w:color="808080" w:sz="4" w:space="0"/>
              <w:right w:val="double" w:color="808080" w:sz="6" w:space="0"/>
            </w:tcBorders>
            <w:shd w:val="clear" w:color="auto" w:fill="auto"/>
            <w:noWrap/>
            <w:vAlign w:val="center"/>
            <w:hideMark/>
          </w:tcPr>
          <w:p w:rsidRPr="00DF581E" w:rsidR="0063035F" w:rsidP="009B774E" w:rsidRDefault="0063035F" w14:paraId="67563DFA" w14:textId="2821DAFF">
            <w:pPr>
              <w:jc w:val="center"/>
              <w:rPr>
                <w:rFonts w:asciiTheme="majorBidi" w:hAnsiTheme="majorBidi" w:cstheme="majorBidi"/>
                <w:sz w:val="20"/>
                <w:szCs w:val="20"/>
              </w:rPr>
            </w:pPr>
            <w:r>
              <w:rPr>
                <w:sz w:val="20"/>
                <w:szCs w:val="20"/>
              </w:rPr>
              <w:t>$26,560,884</w:t>
            </w:r>
          </w:p>
        </w:tc>
      </w:tr>
      <w:tr w:rsidRPr="00C270C5" w:rsidR="0063035F" w:rsidTr="0063035F" w14:paraId="44A21CE7" w14:textId="77777777">
        <w:trPr>
          <w:trHeight w:val="255"/>
        </w:trPr>
        <w:tc>
          <w:tcPr>
            <w:tcW w:w="489" w:type="pct"/>
            <w:tcBorders>
              <w:top w:val="nil"/>
              <w:left w:val="double" w:color="808080" w:sz="6" w:space="0"/>
              <w:bottom w:val="single" w:color="808080" w:sz="4" w:space="0"/>
              <w:right w:val="single" w:color="808080" w:sz="4" w:space="0"/>
            </w:tcBorders>
            <w:shd w:val="clear" w:color="auto" w:fill="auto"/>
            <w:noWrap/>
            <w:vAlign w:val="center"/>
            <w:hideMark/>
          </w:tcPr>
          <w:p w:rsidRPr="00DF581E" w:rsidR="0063035F" w:rsidP="009B774E" w:rsidRDefault="0063035F" w14:paraId="47FD382F" w14:textId="77777777">
            <w:pPr>
              <w:jc w:val="center"/>
              <w:rPr>
                <w:rFonts w:asciiTheme="majorBidi" w:hAnsiTheme="majorBidi" w:cstheme="majorBidi"/>
                <w:sz w:val="20"/>
                <w:szCs w:val="20"/>
              </w:rPr>
            </w:pPr>
            <w:r w:rsidRPr="00DF581E">
              <w:rPr>
                <w:rFonts w:asciiTheme="majorBidi" w:hAnsiTheme="majorBidi" w:cstheme="majorBidi"/>
                <w:sz w:val="20"/>
                <w:szCs w:val="20"/>
              </w:rPr>
              <w:t>Clerical</w:t>
            </w:r>
          </w:p>
        </w:tc>
        <w:tc>
          <w:tcPr>
            <w:tcW w:w="403" w:type="pct"/>
            <w:tcBorders>
              <w:top w:val="nil"/>
              <w:left w:val="nil"/>
              <w:bottom w:val="single" w:color="808080" w:sz="4" w:space="0"/>
              <w:right w:val="single" w:color="808080" w:sz="4" w:space="0"/>
            </w:tcBorders>
            <w:shd w:val="clear" w:color="auto" w:fill="auto"/>
            <w:noWrap/>
            <w:vAlign w:val="center"/>
            <w:hideMark/>
          </w:tcPr>
          <w:p w:rsidRPr="00DF581E" w:rsidR="0063035F" w:rsidP="009B774E" w:rsidRDefault="0063035F" w14:paraId="586136EB" w14:textId="35DB34D7">
            <w:pPr>
              <w:jc w:val="center"/>
              <w:rPr>
                <w:rFonts w:asciiTheme="majorBidi" w:hAnsiTheme="majorBidi" w:cstheme="majorBidi"/>
                <w:sz w:val="20"/>
                <w:szCs w:val="20"/>
              </w:rPr>
            </w:pPr>
            <w:r>
              <w:rPr>
                <w:sz w:val="20"/>
                <w:szCs w:val="20"/>
              </w:rPr>
              <w:t>0.5</w:t>
            </w:r>
          </w:p>
        </w:tc>
        <w:tc>
          <w:tcPr>
            <w:tcW w:w="403" w:type="pct"/>
            <w:tcBorders>
              <w:top w:val="nil"/>
              <w:left w:val="nil"/>
              <w:bottom w:val="single" w:color="808080" w:sz="4" w:space="0"/>
              <w:right w:val="single" w:color="808080" w:sz="4" w:space="0"/>
            </w:tcBorders>
            <w:shd w:val="clear" w:color="auto" w:fill="auto"/>
            <w:noWrap/>
            <w:vAlign w:val="center"/>
            <w:hideMark/>
          </w:tcPr>
          <w:p w:rsidRPr="00DF581E" w:rsidR="0063035F" w:rsidP="009B774E" w:rsidRDefault="0063035F" w14:paraId="2484B907" w14:textId="3586EB88">
            <w:pPr>
              <w:jc w:val="center"/>
              <w:rPr>
                <w:rFonts w:asciiTheme="majorBidi" w:hAnsiTheme="majorBidi" w:cstheme="majorBidi"/>
                <w:sz w:val="20"/>
                <w:szCs w:val="20"/>
              </w:rPr>
            </w:pPr>
            <w:r>
              <w:rPr>
                <w:sz w:val="20"/>
                <w:szCs w:val="20"/>
              </w:rPr>
              <w:t>2.4</w:t>
            </w:r>
          </w:p>
        </w:tc>
        <w:tc>
          <w:tcPr>
            <w:tcW w:w="403" w:type="pct"/>
            <w:tcBorders>
              <w:top w:val="nil"/>
              <w:left w:val="nil"/>
              <w:bottom w:val="single" w:color="808080" w:sz="4" w:space="0"/>
              <w:right w:val="single" w:color="808080" w:sz="4" w:space="0"/>
            </w:tcBorders>
            <w:shd w:val="clear" w:color="auto" w:fill="auto"/>
            <w:noWrap/>
            <w:vAlign w:val="center"/>
            <w:hideMark/>
          </w:tcPr>
          <w:p w:rsidRPr="00DF581E" w:rsidR="0063035F" w:rsidP="009B774E" w:rsidRDefault="0063035F" w14:paraId="12BB0B5A" w14:textId="14068891">
            <w:pPr>
              <w:jc w:val="center"/>
              <w:rPr>
                <w:rFonts w:asciiTheme="majorBidi" w:hAnsiTheme="majorBidi" w:cstheme="majorBidi"/>
                <w:sz w:val="20"/>
                <w:szCs w:val="20"/>
              </w:rPr>
            </w:pPr>
            <w:r>
              <w:rPr>
                <w:sz w:val="20"/>
                <w:szCs w:val="20"/>
              </w:rPr>
              <w:t>1.1</w:t>
            </w:r>
          </w:p>
        </w:tc>
        <w:tc>
          <w:tcPr>
            <w:tcW w:w="403" w:type="pct"/>
            <w:tcBorders>
              <w:top w:val="nil"/>
              <w:left w:val="nil"/>
              <w:bottom w:val="single" w:color="808080" w:sz="4" w:space="0"/>
              <w:right w:val="single" w:color="808080" w:sz="4" w:space="0"/>
            </w:tcBorders>
            <w:shd w:val="clear" w:color="auto" w:fill="auto"/>
            <w:noWrap/>
            <w:vAlign w:val="center"/>
            <w:hideMark/>
          </w:tcPr>
          <w:p w:rsidRPr="00DF581E" w:rsidR="0063035F" w:rsidP="009B774E" w:rsidRDefault="0063035F" w14:paraId="2CAF2BF3" w14:textId="59B1D314">
            <w:pPr>
              <w:jc w:val="center"/>
              <w:rPr>
                <w:rFonts w:asciiTheme="majorBidi" w:hAnsiTheme="majorBidi" w:cstheme="majorBidi"/>
                <w:sz w:val="20"/>
                <w:szCs w:val="20"/>
              </w:rPr>
            </w:pPr>
            <w:r>
              <w:rPr>
                <w:sz w:val="20"/>
                <w:szCs w:val="20"/>
              </w:rPr>
              <w:t>1.1</w:t>
            </w:r>
          </w:p>
        </w:tc>
        <w:tc>
          <w:tcPr>
            <w:tcW w:w="403" w:type="pct"/>
            <w:tcBorders>
              <w:top w:val="nil"/>
              <w:left w:val="nil"/>
              <w:bottom w:val="single" w:color="808080" w:sz="4" w:space="0"/>
              <w:right w:val="single" w:color="808080" w:sz="4" w:space="0"/>
            </w:tcBorders>
            <w:shd w:val="clear" w:color="auto" w:fill="auto"/>
            <w:noWrap/>
            <w:vAlign w:val="center"/>
            <w:hideMark/>
          </w:tcPr>
          <w:p w:rsidRPr="00DF581E" w:rsidR="0063035F" w:rsidP="009B774E" w:rsidRDefault="0063035F" w14:paraId="5735E237" w14:textId="15FB8D25">
            <w:pPr>
              <w:jc w:val="center"/>
              <w:rPr>
                <w:rFonts w:asciiTheme="majorBidi" w:hAnsiTheme="majorBidi" w:cstheme="majorBidi"/>
                <w:sz w:val="20"/>
                <w:szCs w:val="20"/>
              </w:rPr>
            </w:pPr>
            <w:r>
              <w:rPr>
                <w:sz w:val="20"/>
                <w:szCs w:val="20"/>
              </w:rPr>
              <w:t>1.1</w:t>
            </w:r>
          </w:p>
        </w:tc>
        <w:tc>
          <w:tcPr>
            <w:tcW w:w="403" w:type="pct"/>
            <w:tcBorders>
              <w:top w:val="nil"/>
              <w:left w:val="nil"/>
              <w:bottom w:val="single" w:color="808080" w:sz="4" w:space="0"/>
              <w:right w:val="single" w:color="808080" w:sz="4" w:space="0"/>
            </w:tcBorders>
            <w:shd w:val="clear" w:color="auto" w:fill="auto"/>
            <w:noWrap/>
            <w:vAlign w:val="center"/>
            <w:hideMark/>
          </w:tcPr>
          <w:p w:rsidRPr="00DF581E" w:rsidR="0063035F" w:rsidP="009B774E" w:rsidRDefault="0063035F" w14:paraId="4934491F" w14:textId="6E6286FA">
            <w:pPr>
              <w:jc w:val="center"/>
              <w:rPr>
                <w:rFonts w:asciiTheme="majorBidi" w:hAnsiTheme="majorBidi" w:cstheme="majorBidi"/>
                <w:sz w:val="20"/>
                <w:szCs w:val="20"/>
              </w:rPr>
            </w:pPr>
            <w:r>
              <w:rPr>
                <w:sz w:val="20"/>
                <w:szCs w:val="20"/>
              </w:rPr>
              <w:t>0.7</w:t>
            </w:r>
          </w:p>
        </w:tc>
        <w:tc>
          <w:tcPr>
            <w:tcW w:w="487" w:type="pct"/>
            <w:tcBorders>
              <w:top w:val="nil"/>
              <w:left w:val="nil"/>
              <w:bottom w:val="single" w:color="808080" w:sz="4" w:space="0"/>
              <w:right w:val="single" w:color="808080" w:sz="4" w:space="0"/>
            </w:tcBorders>
            <w:shd w:val="clear" w:color="auto" w:fill="auto"/>
            <w:noWrap/>
            <w:vAlign w:val="center"/>
            <w:hideMark/>
          </w:tcPr>
          <w:p w:rsidRPr="00DF581E" w:rsidR="0063035F" w:rsidP="009B774E" w:rsidRDefault="0063035F" w14:paraId="75E60EBD" w14:textId="54E10A0C">
            <w:pPr>
              <w:jc w:val="center"/>
              <w:rPr>
                <w:rFonts w:asciiTheme="majorBidi" w:hAnsiTheme="majorBidi" w:cstheme="majorBidi"/>
                <w:sz w:val="20"/>
                <w:szCs w:val="20"/>
              </w:rPr>
            </w:pPr>
            <w:r>
              <w:rPr>
                <w:sz w:val="20"/>
                <w:szCs w:val="20"/>
              </w:rPr>
              <w:t>7</w:t>
            </w:r>
          </w:p>
        </w:tc>
        <w:tc>
          <w:tcPr>
            <w:tcW w:w="669" w:type="pct"/>
            <w:tcBorders>
              <w:top w:val="nil"/>
              <w:left w:val="nil"/>
              <w:bottom w:val="single" w:color="808080" w:sz="4" w:space="0"/>
              <w:right w:val="single" w:color="808080" w:sz="4" w:space="0"/>
            </w:tcBorders>
            <w:shd w:val="clear" w:color="auto" w:fill="auto"/>
            <w:noWrap/>
            <w:vAlign w:val="center"/>
            <w:hideMark/>
          </w:tcPr>
          <w:p w:rsidRPr="00DF581E" w:rsidR="0063035F" w:rsidP="009B774E" w:rsidRDefault="0063035F" w14:paraId="15D058C1" w14:textId="7A67459C">
            <w:pPr>
              <w:jc w:val="center"/>
              <w:rPr>
                <w:rFonts w:asciiTheme="majorBidi" w:hAnsiTheme="majorBidi" w:cstheme="majorBidi"/>
                <w:sz w:val="20"/>
                <w:szCs w:val="20"/>
              </w:rPr>
            </w:pPr>
            <w:r>
              <w:rPr>
                <w:sz w:val="20"/>
                <w:szCs w:val="20"/>
              </w:rPr>
              <w:t xml:space="preserve">$48.83 </w:t>
            </w:r>
          </w:p>
        </w:tc>
        <w:tc>
          <w:tcPr>
            <w:tcW w:w="936" w:type="pct"/>
            <w:tcBorders>
              <w:top w:val="nil"/>
              <w:left w:val="nil"/>
              <w:bottom w:val="single" w:color="808080" w:sz="4" w:space="0"/>
              <w:right w:val="double" w:color="808080" w:sz="6" w:space="0"/>
            </w:tcBorders>
            <w:shd w:val="clear" w:color="auto" w:fill="auto"/>
            <w:noWrap/>
            <w:vAlign w:val="center"/>
            <w:hideMark/>
          </w:tcPr>
          <w:p w:rsidRPr="00DF581E" w:rsidR="0063035F" w:rsidP="009B774E" w:rsidRDefault="0063035F" w14:paraId="74E9B3C2" w14:textId="66E665F5">
            <w:pPr>
              <w:jc w:val="center"/>
              <w:rPr>
                <w:rFonts w:asciiTheme="majorBidi" w:hAnsiTheme="majorBidi" w:cstheme="majorBidi"/>
                <w:sz w:val="20"/>
                <w:szCs w:val="20"/>
              </w:rPr>
            </w:pPr>
            <w:r>
              <w:rPr>
                <w:sz w:val="20"/>
                <w:szCs w:val="20"/>
              </w:rPr>
              <w:t>$688,839</w:t>
            </w:r>
          </w:p>
        </w:tc>
      </w:tr>
      <w:tr w:rsidRPr="00C270C5" w:rsidR="0063035F" w:rsidTr="0063035F" w14:paraId="32DF5B14" w14:textId="77777777">
        <w:trPr>
          <w:trHeight w:val="270"/>
        </w:trPr>
        <w:tc>
          <w:tcPr>
            <w:tcW w:w="489" w:type="pct"/>
            <w:tcBorders>
              <w:top w:val="nil"/>
              <w:left w:val="double" w:color="808080" w:sz="6" w:space="0"/>
              <w:bottom w:val="double" w:color="808080" w:sz="6" w:space="0"/>
              <w:right w:val="single" w:color="808080" w:sz="4" w:space="0"/>
            </w:tcBorders>
            <w:shd w:val="clear" w:color="auto" w:fill="auto"/>
            <w:noWrap/>
            <w:vAlign w:val="center"/>
            <w:hideMark/>
          </w:tcPr>
          <w:p w:rsidRPr="00DF581E" w:rsidR="0063035F" w:rsidP="009B774E" w:rsidRDefault="0063035F" w14:paraId="1A3B9479" w14:textId="77777777">
            <w:pPr>
              <w:jc w:val="center"/>
              <w:rPr>
                <w:rFonts w:asciiTheme="majorBidi" w:hAnsiTheme="majorBidi" w:cstheme="majorBidi"/>
                <w:b/>
                <w:bCs/>
                <w:sz w:val="20"/>
                <w:szCs w:val="20"/>
              </w:rPr>
            </w:pPr>
            <w:r w:rsidRPr="00DF581E">
              <w:rPr>
                <w:rFonts w:asciiTheme="majorBidi" w:hAnsiTheme="majorBidi" w:cstheme="majorBidi"/>
                <w:b/>
                <w:bCs/>
                <w:sz w:val="20"/>
                <w:szCs w:val="20"/>
              </w:rPr>
              <w:t>Total</w:t>
            </w:r>
          </w:p>
        </w:tc>
        <w:tc>
          <w:tcPr>
            <w:tcW w:w="403" w:type="pct"/>
            <w:tcBorders>
              <w:top w:val="nil"/>
              <w:left w:val="nil"/>
              <w:bottom w:val="double" w:color="808080" w:sz="6" w:space="0"/>
              <w:right w:val="single" w:color="808080" w:sz="4" w:space="0"/>
            </w:tcBorders>
            <w:shd w:val="clear" w:color="auto" w:fill="auto"/>
            <w:noWrap/>
            <w:vAlign w:val="center"/>
            <w:hideMark/>
          </w:tcPr>
          <w:p w:rsidRPr="00DF581E" w:rsidR="0063035F" w:rsidP="009B774E" w:rsidRDefault="0063035F" w14:paraId="7ABBB587" w14:textId="2FE2649C">
            <w:pPr>
              <w:jc w:val="center"/>
              <w:rPr>
                <w:rFonts w:asciiTheme="majorBidi" w:hAnsiTheme="majorBidi" w:cstheme="majorBidi"/>
                <w:b/>
                <w:bCs/>
                <w:sz w:val="20"/>
                <w:szCs w:val="20"/>
              </w:rPr>
            </w:pPr>
            <w:r>
              <w:rPr>
                <w:b/>
                <w:bCs/>
                <w:sz w:val="20"/>
                <w:szCs w:val="20"/>
              </w:rPr>
              <w:t>11.2</w:t>
            </w:r>
          </w:p>
        </w:tc>
        <w:tc>
          <w:tcPr>
            <w:tcW w:w="403" w:type="pct"/>
            <w:tcBorders>
              <w:top w:val="nil"/>
              <w:left w:val="nil"/>
              <w:bottom w:val="double" w:color="808080" w:sz="6" w:space="0"/>
              <w:right w:val="single" w:color="808080" w:sz="4" w:space="0"/>
            </w:tcBorders>
            <w:shd w:val="clear" w:color="auto" w:fill="auto"/>
            <w:noWrap/>
            <w:vAlign w:val="center"/>
            <w:hideMark/>
          </w:tcPr>
          <w:p w:rsidRPr="00DF581E" w:rsidR="0063035F" w:rsidP="009B774E" w:rsidRDefault="0063035F" w14:paraId="0E2FF881" w14:textId="1B3A9123">
            <w:pPr>
              <w:jc w:val="center"/>
              <w:rPr>
                <w:rFonts w:asciiTheme="majorBidi" w:hAnsiTheme="majorBidi" w:cstheme="majorBidi"/>
                <w:b/>
                <w:bCs/>
                <w:sz w:val="20"/>
                <w:szCs w:val="20"/>
              </w:rPr>
            </w:pPr>
            <w:r>
              <w:rPr>
                <w:b/>
                <w:bCs/>
                <w:sz w:val="20"/>
                <w:szCs w:val="20"/>
              </w:rPr>
              <w:t>60.4</w:t>
            </w:r>
          </w:p>
        </w:tc>
        <w:tc>
          <w:tcPr>
            <w:tcW w:w="403" w:type="pct"/>
            <w:tcBorders>
              <w:top w:val="nil"/>
              <w:left w:val="nil"/>
              <w:bottom w:val="double" w:color="808080" w:sz="6" w:space="0"/>
              <w:right w:val="single" w:color="808080" w:sz="4" w:space="0"/>
            </w:tcBorders>
            <w:shd w:val="clear" w:color="auto" w:fill="auto"/>
            <w:noWrap/>
            <w:vAlign w:val="center"/>
            <w:hideMark/>
          </w:tcPr>
          <w:p w:rsidRPr="00DF581E" w:rsidR="0063035F" w:rsidP="009B774E" w:rsidRDefault="0063035F" w14:paraId="615D1519" w14:textId="30DEA4BD">
            <w:pPr>
              <w:jc w:val="center"/>
              <w:rPr>
                <w:rFonts w:asciiTheme="majorBidi" w:hAnsiTheme="majorBidi" w:cstheme="majorBidi"/>
                <w:b/>
                <w:bCs/>
                <w:sz w:val="20"/>
                <w:szCs w:val="20"/>
              </w:rPr>
            </w:pPr>
            <w:r>
              <w:rPr>
                <w:b/>
                <w:bCs/>
                <w:sz w:val="20"/>
                <w:szCs w:val="20"/>
              </w:rPr>
              <w:t>19.4</w:t>
            </w:r>
          </w:p>
        </w:tc>
        <w:tc>
          <w:tcPr>
            <w:tcW w:w="403" w:type="pct"/>
            <w:tcBorders>
              <w:top w:val="nil"/>
              <w:left w:val="nil"/>
              <w:bottom w:val="double" w:color="808080" w:sz="6" w:space="0"/>
              <w:right w:val="single" w:color="808080" w:sz="4" w:space="0"/>
            </w:tcBorders>
            <w:shd w:val="clear" w:color="auto" w:fill="auto"/>
            <w:noWrap/>
            <w:vAlign w:val="center"/>
            <w:hideMark/>
          </w:tcPr>
          <w:p w:rsidRPr="00DF581E" w:rsidR="0063035F" w:rsidP="009B774E" w:rsidRDefault="0063035F" w14:paraId="4AFF4EAD" w14:textId="6862A2E6">
            <w:pPr>
              <w:jc w:val="center"/>
              <w:rPr>
                <w:rFonts w:asciiTheme="majorBidi" w:hAnsiTheme="majorBidi" w:cstheme="majorBidi"/>
                <w:b/>
                <w:bCs/>
                <w:sz w:val="20"/>
                <w:szCs w:val="20"/>
              </w:rPr>
            </w:pPr>
            <w:r>
              <w:rPr>
                <w:b/>
                <w:bCs/>
                <w:sz w:val="20"/>
                <w:szCs w:val="20"/>
              </w:rPr>
              <w:t>34.9</w:t>
            </w:r>
          </w:p>
        </w:tc>
        <w:tc>
          <w:tcPr>
            <w:tcW w:w="403" w:type="pct"/>
            <w:tcBorders>
              <w:top w:val="nil"/>
              <w:left w:val="nil"/>
              <w:bottom w:val="double" w:color="808080" w:sz="6" w:space="0"/>
              <w:right w:val="single" w:color="808080" w:sz="4" w:space="0"/>
            </w:tcBorders>
            <w:shd w:val="clear" w:color="auto" w:fill="auto"/>
            <w:noWrap/>
            <w:vAlign w:val="center"/>
            <w:hideMark/>
          </w:tcPr>
          <w:p w:rsidRPr="00DF581E" w:rsidR="0063035F" w:rsidP="009B774E" w:rsidRDefault="0063035F" w14:paraId="3F7A2095" w14:textId="2B105342">
            <w:pPr>
              <w:jc w:val="center"/>
              <w:rPr>
                <w:rFonts w:asciiTheme="majorBidi" w:hAnsiTheme="majorBidi" w:cstheme="majorBidi"/>
                <w:b/>
                <w:bCs/>
                <w:sz w:val="20"/>
                <w:szCs w:val="20"/>
              </w:rPr>
            </w:pPr>
            <w:r>
              <w:rPr>
                <w:b/>
                <w:bCs/>
                <w:sz w:val="20"/>
                <w:szCs w:val="20"/>
              </w:rPr>
              <w:t>25.2</w:t>
            </w:r>
          </w:p>
        </w:tc>
        <w:tc>
          <w:tcPr>
            <w:tcW w:w="403" w:type="pct"/>
            <w:tcBorders>
              <w:top w:val="nil"/>
              <w:left w:val="nil"/>
              <w:bottom w:val="double" w:color="808080" w:sz="6" w:space="0"/>
              <w:right w:val="single" w:color="808080" w:sz="4" w:space="0"/>
            </w:tcBorders>
            <w:shd w:val="clear" w:color="auto" w:fill="auto"/>
            <w:noWrap/>
            <w:vAlign w:val="center"/>
            <w:hideMark/>
          </w:tcPr>
          <w:p w:rsidRPr="00DF581E" w:rsidR="0063035F" w:rsidP="009B774E" w:rsidRDefault="0063035F" w14:paraId="4B40D6E2" w14:textId="2C56CE90">
            <w:pPr>
              <w:jc w:val="center"/>
              <w:rPr>
                <w:rFonts w:asciiTheme="majorBidi" w:hAnsiTheme="majorBidi" w:cstheme="majorBidi"/>
                <w:b/>
                <w:bCs/>
                <w:sz w:val="20"/>
                <w:szCs w:val="20"/>
              </w:rPr>
            </w:pPr>
            <w:r>
              <w:rPr>
                <w:b/>
                <w:bCs/>
                <w:sz w:val="20"/>
                <w:szCs w:val="20"/>
              </w:rPr>
              <w:t>26.4</w:t>
            </w:r>
          </w:p>
        </w:tc>
        <w:tc>
          <w:tcPr>
            <w:tcW w:w="487" w:type="pct"/>
            <w:tcBorders>
              <w:top w:val="nil"/>
              <w:left w:val="nil"/>
              <w:bottom w:val="double" w:color="808080" w:sz="6" w:space="0"/>
              <w:right w:val="single" w:color="808080" w:sz="4" w:space="0"/>
            </w:tcBorders>
            <w:shd w:val="clear" w:color="auto" w:fill="auto"/>
            <w:noWrap/>
            <w:vAlign w:val="center"/>
            <w:hideMark/>
          </w:tcPr>
          <w:p w:rsidRPr="00DF581E" w:rsidR="0063035F" w:rsidP="009B774E" w:rsidRDefault="0063035F" w14:paraId="11808561" w14:textId="193F3E03">
            <w:pPr>
              <w:jc w:val="center"/>
              <w:rPr>
                <w:rFonts w:asciiTheme="majorBidi" w:hAnsiTheme="majorBidi" w:cstheme="majorBidi"/>
                <w:b/>
                <w:bCs/>
                <w:sz w:val="20"/>
                <w:szCs w:val="20"/>
              </w:rPr>
            </w:pPr>
            <w:r>
              <w:rPr>
                <w:b/>
                <w:bCs/>
                <w:sz w:val="20"/>
                <w:szCs w:val="20"/>
              </w:rPr>
              <w:t>177</w:t>
            </w:r>
          </w:p>
        </w:tc>
        <w:tc>
          <w:tcPr>
            <w:tcW w:w="669" w:type="pct"/>
            <w:tcBorders>
              <w:top w:val="nil"/>
              <w:left w:val="nil"/>
              <w:bottom w:val="double" w:color="808080" w:sz="6" w:space="0"/>
              <w:right w:val="single" w:color="808080" w:sz="4" w:space="0"/>
            </w:tcBorders>
            <w:shd w:val="clear" w:color="auto" w:fill="auto"/>
            <w:noWrap/>
            <w:vAlign w:val="center"/>
            <w:hideMark/>
          </w:tcPr>
          <w:p w:rsidRPr="00DF581E" w:rsidR="0063035F" w:rsidP="009B774E" w:rsidRDefault="0063035F" w14:paraId="0A899596" w14:textId="06BAEB59">
            <w:pPr>
              <w:jc w:val="center"/>
              <w:rPr>
                <w:rFonts w:asciiTheme="majorBidi" w:hAnsiTheme="majorBidi" w:cstheme="majorBidi"/>
                <w:b/>
                <w:bCs/>
                <w:sz w:val="20"/>
                <w:szCs w:val="20"/>
              </w:rPr>
            </w:pPr>
            <w:r>
              <w:rPr>
                <w:b/>
                <w:bCs/>
                <w:sz w:val="20"/>
                <w:szCs w:val="20"/>
              </w:rPr>
              <w:t> </w:t>
            </w:r>
          </w:p>
        </w:tc>
        <w:tc>
          <w:tcPr>
            <w:tcW w:w="936" w:type="pct"/>
            <w:tcBorders>
              <w:top w:val="nil"/>
              <w:left w:val="nil"/>
              <w:bottom w:val="double" w:color="808080" w:sz="6" w:space="0"/>
              <w:right w:val="double" w:color="808080" w:sz="6" w:space="0"/>
            </w:tcBorders>
            <w:shd w:val="clear" w:color="auto" w:fill="auto"/>
            <w:noWrap/>
            <w:vAlign w:val="center"/>
            <w:hideMark/>
          </w:tcPr>
          <w:p w:rsidRPr="00DF581E" w:rsidR="0063035F" w:rsidP="009B774E" w:rsidRDefault="0063035F" w14:paraId="5B3C4992" w14:textId="2A3AA872">
            <w:pPr>
              <w:jc w:val="center"/>
              <w:rPr>
                <w:rFonts w:asciiTheme="majorBidi" w:hAnsiTheme="majorBidi" w:cstheme="majorBidi"/>
                <w:b/>
                <w:bCs/>
                <w:sz w:val="20"/>
                <w:szCs w:val="20"/>
              </w:rPr>
            </w:pPr>
            <w:r>
              <w:rPr>
                <w:b/>
                <w:bCs/>
                <w:sz w:val="20"/>
                <w:szCs w:val="20"/>
              </w:rPr>
              <w:t>$33,929,979</w:t>
            </w:r>
          </w:p>
        </w:tc>
      </w:tr>
    </w:tbl>
    <w:p w:rsidRPr="00C270C5" w:rsidR="008253DD" w:rsidP="009B774E" w:rsidRDefault="008253DD" w14:paraId="3DB5DD77" w14:textId="77777777">
      <w:pPr>
        <w:rPr>
          <w:rFonts w:asciiTheme="majorBidi" w:hAnsiTheme="majorBidi" w:cstheme="majorBidi"/>
          <w:sz w:val="2"/>
          <w:szCs w:val="2"/>
        </w:rPr>
      </w:pPr>
    </w:p>
    <w:tbl>
      <w:tblPr>
        <w:tblStyle w:val="TableGrid"/>
        <w:tblW w:w="0" w:type="auto"/>
        <w:tblBorders>
          <w:top w:val="none" w:color="auto" w:sz="0" w:space="0"/>
          <w:left w:val="none" w:color="auto" w:sz="0" w:space="0"/>
          <w:bottom w:val="single" w:color="808080" w:themeColor="background1" w:themeShade="80" w:sz="4"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C270C5" w:rsidR="008253DD" w:rsidTr="00650B2D" w14:paraId="65FC5F55" w14:textId="77777777">
        <w:tc>
          <w:tcPr>
            <w:tcW w:w="10070" w:type="dxa"/>
          </w:tcPr>
          <w:p w:rsidR="005459DF" w:rsidP="009B774E" w:rsidRDefault="005459DF" w14:paraId="01907635" w14:textId="77777777">
            <w:pPr>
              <w:rPr>
                <w:rFonts w:asciiTheme="majorBidi" w:hAnsiTheme="majorBidi" w:cstheme="majorBidi"/>
                <w:sz w:val="20"/>
              </w:rPr>
            </w:pPr>
            <w:r>
              <w:rPr>
                <w:rFonts w:asciiTheme="majorBidi" w:hAnsiTheme="majorBidi" w:cstheme="majorBidi"/>
                <w:sz w:val="20"/>
              </w:rPr>
              <w:t>*Numbers may not sum due to rounding.</w:t>
            </w:r>
          </w:p>
          <w:p w:rsidRPr="00C270C5" w:rsidR="008253DD" w:rsidP="009B774E" w:rsidRDefault="005459DF" w14:paraId="1E19FC9A" w14:textId="757B5FBB">
            <w:pPr>
              <w:rPr>
                <w:rFonts w:asciiTheme="majorBidi" w:hAnsiTheme="majorBidi" w:cstheme="majorBidi"/>
              </w:rPr>
            </w:pPr>
            <w:r>
              <w:rPr>
                <w:rFonts w:asciiTheme="majorBidi" w:hAnsiTheme="majorBidi" w:cstheme="majorBidi"/>
                <w:sz w:val="21"/>
                <w:szCs w:val="21"/>
                <w:vertAlign w:val="superscript"/>
              </w:rPr>
              <w:t>1</w:t>
            </w:r>
            <w:r w:rsidRPr="00C270C5" w:rsidR="008253DD">
              <w:rPr>
                <w:rFonts w:asciiTheme="majorBidi" w:hAnsiTheme="majorBidi" w:cstheme="majorBidi"/>
                <w:sz w:val="21"/>
                <w:szCs w:val="21"/>
                <w:vertAlign w:val="superscript"/>
              </w:rPr>
              <w:t xml:space="preserve"> </w:t>
            </w:r>
            <w:r w:rsidRPr="00675A1C" w:rsidR="008253DD">
              <w:rPr>
                <w:rFonts w:asciiTheme="majorBidi" w:hAnsiTheme="majorBidi" w:cstheme="majorBidi"/>
                <w:sz w:val="21"/>
                <w:szCs w:val="21"/>
              </w:rPr>
              <w:t>Total annual cost is calculated using the number of hours per FTE multiplied by the number of FTEs and the hourly wage.</w:t>
            </w:r>
            <w:r w:rsidRPr="00675A1C" w:rsidR="007841AD">
              <w:rPr>
                <w:rFonts w:asciiTheme="majorBidi" w:hAnsiTheme="majorBidi" w:cstheme="majorBidi"/>
                <w:sz w:val="21"/>
                <w:szCs w:val="21"/>
              </w:rPr>
              <w:t xml:space="preserve"> </w:t>
            </w:r>
            <w:r w:rsidRPr="00675A1C" w:rsidR="008253DD">
              <w:rPr>
                <w:rFonts w:asciiTheme="majorBidi" w:hAnsiTheme="majorBidi" w:cstheme="majorBidi"/>
                <w:sz w:val="21"/>
                <w:szCs w:val="21"/>
              </w:rPr>
              <w:t>For example, total annual cost of managerial FTES is calculated as 2,080 hours/FTE x 2</w:t>
            </w:r>
            <w:r w:rsidRPr="00675A1C" w:rsidR="0063035F">
              <w:rPr>
                <w:rFonts w:asciiTheme="majorBidi" w:hAnsiTheme="majorBidi" w:cstheme="majorBidi"/>
                <w:sz w:val="21"/>
                <w:szCs w:val="21"/>
              </w:rPr>
              <w:t>4</w:t>
            </w:r>
            <w:r w:rsidRPr="00675A1C" w:rsidR="008253DD">
              <w:rPr>
                <w:rFonts w:asciiTheme="majorBidi" w:hAnsiTheme="majorBidi" w:cstheme="majorBidi"/>
                <w:sz w:val="21"/>
                <w:szCs w:val="21"/>
              </w:rPr>
              <w:t xml:space="preserve"> FTEs x $</w:t>
            </w:r>
            <w:r w:rsidRPr="00675A1C" w:rsidR="00C458EC">
              <w:rPr>
                <w:rFonts w:asciiTheme="majorBidi" w:hAnsiTheme="majorBidi" w:cstheme="majorBidi"/>
                <w:sz w:val="21"/>
                <w:szCs w:val="21"/>
              </w:rPr>
              <w:t>132.14</w:t>
            </w:r>
            <w:r w:rsidRPr="00675A1C" w:rsidR="008253DD">
              <w:rPr>
                <w:rFonts w:asciiTheme="majorBidi" w:hAnsiTheme="majorBidi" w:cstheme="majorBidi"/>
                <w:sz w:val="21"/>
                <w:szCs w:val="21"/>
              </w:rPr>
              <w:t>.</w:t>
            </w:r>
            <w:r w:rsidRPr="00C270C5" w:rsidR="008253DD">
              <w:rPr>
                <w:rFonts w:asciiTheme="majorBidi" w:hAnsiTheme="majorBidi" w:cstheme="majorBidi"/>
                <w:sz w:val="21"/>
                <w:szCs w:val="21"/>
              </w:rPr>
              <w:t xml:space="preserve"> </w:t>
            </w:r>
          </w:p>
        </w:tc>
      </w:tr>
    </w:tbl>
    <w:p w:rsidRPr="002A2141" w:rsidR="007841AA" w:rsidP="009B774E" w:rsidRDefault="00C26144" w14:paraId="60895EF5" w14:textId="483C10A9">
      <w:pPr>
        <w:rPr>
          <w:rFonts w:asciiTheme="majorBidi" w:hAnsiTheme="majorBidi" w:cstheme="majorBidi"/>
        </w:rPr>
      </w:pPr>
      <w:r>
        <w:rPr>
          <w:rFonts w:asciiTheme="majorBidi" w:hAnsiTheme="majorBidi" w:cstheme="majorBidi"/>
        </w:rPr>
        <w:lastRenderedPageBreak/>
        <w:tab/>
        <w:t xml:space="preserve">Future Agency burden may increase as a result of </w:t>
      </w:r>
      <w:r w:rsidR="00410944">
        <w:rPr>
          <w:rFonts w:asciiTheme="majorBidi" w:hAnsiTheme="majorBidi" w:cstheme="majorBidi"/>
        </w:rPr>
        <w:t xml:space="preserve">implementing </w:t>
      </w:r>
      <w:r>
        <w:rPr>
          <w:rFonts w:asciiTheme="majorBidi" w:hAnsiTheme="majorBidi" w:cstheme="majorBidi"/>
        </w:rPr>
        <w:t xml:space="preserve">the </w:t>
      </w:r>
      <w:r w:rsidR="00AF26E0">
        <w:rPr>
          <w:rFonts w:asciiTheme="majorBidi" w:hAnsiTheme="majorBidi" w:cstheme="majorBidi"/>
        </w:rPr>
        <w:t xml:space="preserve">three </w:t>
      </w:r>
      <w:r w:rsidR="00A30F88">
        <w:rPr>
          <w:rFonts w:asciiTheme="majorBidi" w:hAnsiTheme="majorBidi" w:cstheme="majorBidi"/>
        </w:rPr>
        <w:t xml:space="preserve">new </w:t>
      </w:r>
      <w:r>
        <w:rPr>
          <w:rFonts w:asciiTheme="majorBidi" w:hAnsiTheme="majorBidi" w:cstheme="majorBidi"/>
        </w:rPr>
        <w:t xml:space="preserve">proposed programs </w:t>
      </w:r>
      <w:r w:rsidR="00966B68">
        <w:rPr>
          <w:rFonts w:asciiTheme="majorBidi" w:hAnsiTheme="majorBidi" w:cstheme="majorBidi"/>
        </w:rPr>
        <w:t>which will be covered by future ICRs.</w:t>
      </w:r>
    </w:p>
    <w:p w:rsidR="007841AA" w:rsidP="009B774E" w:rsidRDefault="007841AA" w14:paraId="3256110B" w14:textId="77777777">
      <w:pPr>
        <w:rPr>
          <w:rFonts w:asciiTheme="majorBidi" w:hAnsiTheme="majorBidi" w:cstheme="majorBidi"/>
          <w:b/>
        </w:rPr>
      </w:pPr>
    </w:p>
    <w:p w:rsidRPr="008F5A07" w:rsidR="008253DD" w:rsidP="009B774E" w:rsidRDefault="008253DD" w14:paraId="09D88D4A" w14:textId="110CC7B4">
      <w:pPr>
        <w:rPr>
          <w:rFonts w:asciiTheme="majorBidi" w:hAnsiTheme="majorBidi" w:cstheme="majorBidi"/>
          <w:b/>
        </w:rPr>
      </w:pPr>
      <w:r w:rsidRPr="00C270C5">
        <w:rPr>
          <w:rFonts w:asciiTheme="majorBidi" w:hAnsiTheme="majorBidi" w:cstheme="majorBidi"/>
          <w:b/>
        </w:rPr>
        <w:t>6(</w:t>
      </w:r>
      <w:r w:rsidRPr="00C270C5" w:rsidR="00A63404">
        <w:rPr>
          <w:rFonts w:asciiTheme="majorBidi" w:hAnsiTheme="majorBidi" w:cstheme="majorBidi"/>
          <w:b/>
        </w:rPr>
        <w:t>e</w:t>
      </w:r>
      <w:r w:rsidRPr="00C270C5">
        <w:rPr>
          <w:rFonts w:asciiTheme="majorBidi" w:hAnsiTheme="majorBidi" w:cstheme="majorBidi"/>
          <w:b/>
        </w:rPr>
        <w:t>)</w:t>
      </w:r>
      <w:r w:rsidRPr="00C270C5">
        <w:rPr>
          <w:rFonts w:asciiTheme="majorBidi" w:hAnsiTheme="majorBidi" w:cstheme="majorBidi"/>
          <w:b/>
        </w:rPr>
        <w:tab/>
      </w:r>
      <w:r w:rsidRPr="008F5A07">
        <w:rPr>
          <w:rFonts w:asciiTheme="majorBidi" w:hAnsiTheme="majorBidi" w:cstheme="majorBidi"/>
          <w:b/>
        </w:rPr>
        <w:t>Bottom Line Burden Hours and Cost</w:t>
      </w:r>
    </w:p>
    <w:p w:rsidRPr="008F5A07" w:rsidR="008253DD" w:rsidP="009B774E" w:rsidRDefault="008253DD" w14:paraId="53B10CF3" w14:textId="77777777">
      <w:pPr>
        <w:rPr>
          <w:rFonts w:asciiTheme="majorBidi" w:hAnsiTheme="majorBidi" w:cstheme="majorBidi"/>
        </w:rPr>
      </w:pPr>
    </w:p>
    <w:p w:rsidRPr="00B7108A" w:rsidR="008253DD" w:rsidP="009B774E" w:rsidRDefault="008253DD" w14:paraId="4A4AA18A" w14:textId="427B33CD">
      <w:pPr>
        <w:ind w:firstLine="720"/>
        <w:rPr>
          <w:rFonts w:asciiTheme="majorBidi" w:hAnsiTheme="majorBidi" w:cstheme="majorBidi"/>
        </w:rPr>
      </w:pPr>
      <w:r w:rsidRPr="00B7108A">
        <w:rPr>
          <w:rFonts w:asciiTheme="majorBidi" w:hAnsiTheme="majorBidi" w:cstheme="majorBidi"/>
        </w:rPr>
        <w:t xml:space="preserve">Table </w:t>
      </w:r>
      <w:r w:rsidRPr="00B7108A" w:rsidR="00721A36">
        <w:rPr>
          <w:rFonts w:asciiTheme="majorBidi" w:hAnsiTheme="majorBidi" w:cstheme="majorBidi"/>
        </w:rPr>
        <w:t>9</w:t>
      </w:r>
      <w:r w:rsidRPr="00B7108A">
        <w:rPr>
          <w:rFonts w:asciiTheme="majorBidi" w:hAnsiTheme="majorBidi" w:cstheme="majorBidi"/>
        </w:rPr>
        <w:t xml:space="preserve"> presents the estimates for total annual hours and cost, for both respondents and the </w:t>
      </w:r>
      <w:r w:rsidRPr="00B7108A" w:rsidR="003E2C2B">
        <w:rPr>
          <w:rFonts w:asciiTheme="majorBidi" w:hAnsiTheme="majorBidi" w:cstheme="majorBidi"/>
        </w:rPr>
        <w:t>A</w:t>
      </w:r>
      <w:r w:rsidRPr="00B7108A">
        <w:rPr>
          <w:rFonts w:asciiTheme="majorBidi" w:hAnsiTheme="majorBidi" w:cstheme="majorBidi"/>
        </w:rPr>
        <w:t>gency, associated with Section 3 activities.</w:t>
      </w:r>
      <w:r w:rsidRPr="00B7108A" w:rsidR="007841AD">
        <w:rPr>
          <w:rFonts w:asciiTheme="majorBidi" w:hAnsiTheme="majorBidi" w:cstheme="majorBidi"/>
        </w:rPr>
        <w:t xml:space="preserve"> </w:t>
      </w:r>
      <w:r w:rsidRPr="00B7108A">
        <w:rPr>
          <w:rFonts w:asciiTheme="majorBidi" w:hAnsiTheme="majorBidi" w:cstheme="majorBidi"/>
        </w:rPr>
        <w:t>The total respondent burden is 1.5</w:t>
      </w:r>
      <w:r w:rsidRPr="00B7108A" w:rsidR="00C80D61">
        <w:rPr>
          <w:rFonts w:asciiTheme="majorBidi" w:hAnsiTheme="majorBidi" w:cstheme="majorBidi"/>
        </w:rPr>
        <w:t>6</w:t>
      </w:r>
      <w:r w:rsidRPr="00B7108A">
        <w:rPr>
          <w:rFonts w:asciiTheme="majorBidi" w:hAnsiTheme="majorBidi" w:cstheme="majorBidi"/>
        </w:rPr>
        <w:t xml:space="preserve"> million hours annually at a cost of $</w:t>
      </w:r>
      <w:r w:rsidRPr="00B7108A" w:rsidR="00C80D61">
        <w:rPr>
          <w:rFonts w:asciiTheme="majorBidi" w:hAnsiTheme="majorBidi" w:cstheme="majorBidi"/>
        </w:rPr>
        <w:t>120.56</w:t>
      </w:r>
      <w:r w:rsidRPr="00B7108A">
        <w:rPr>
          <w:rFonts w:asciiTheme="majorBidi" w:hAnsiTheme="majorBidi" w:cstheme="majorBidi"/>
        </w:rPr>
        <w:t xml:space="preserve"> million.</w:t>
      </w:r>
      <w:r w:rsidRPr="00B7108A" w:rsidR="007841AD">
        <w:rPr>
          <w:rFonts w:asciiTheme="majorBidi" w:hAnsiTheme="majorBidi" w:cstheme="majorBidi"/>
        </w:rPr>
        <w:t xml:space="preserve"> </w:t>
      </w:r>
      <w:r w:rsidRPr="00B7108A">
        <w:rPr>
          <w:rFonts w:asciiTheme="majorBidi" w:hAnsiTheme="majorBidi" w:cstheme="majorBidi"/>
        </w:rPr>
        <w:t>The majority of this paperwork burden, 1.</w:t>
      </w:r>
      <w:r w:rsidRPr="00B7108A" w:rsidR="007C64DA">
        <w:rPr>
          <w:rFonts w:asciiTheme="majorBidi" w:hAnsiTheme="majorBidi" w:cstheme="majorBidi"/>
        </w:rPr>
        <w:t>4</w:t>
      </w:r>
      <w:r w:rsidRPr="00B7108A" w:rsidR="00C80D61">
        <w:rPr>
          <w:rFonts w:asciiTheme="majorBidi" w:hAnsiTheme="majorBidi" w:cstheme="majorBidi"/>
        </w:rPr>
        <w:t>2</w:t>
      </w:r>
      <w:r w:rsidRPr="00B7108A">
        <w:rPr>
          <w:rFonts w:asciiTheme="majorBidi" w:hAnsiTheme="majorBidi" w:cstheme="majorBidi"/>
        </w:rPr>
        <w:t xml:space="preserve"> million hours, is associated with data generation.</w:t>
      </w:r>
    </w:p>
    <w:p w:rsidRPr="00B7108A" w:rsidR="008253DD" w:rsidP="009B774E" w:rsidRDefault="008253DD" w14:paraId="7E3E4659" w14:textId="77777777">
      <w:pPr>
        <w:rPr>
          <w:rFonts w:asciiTheme="majorBidi" w:hAnsiTheme="majorBidi" w:cstheme="majorBidi"/>
        </w:rPr>
      </w:pPr>
    </w:p>
    <w:p w:rsidRPr="00B7108A" w:rsidR="008253DD" w:rsidP="009B774E" w:rsidRDefault="008253DD" w14:paraId="361DC00A" w14:textId="3BB2E6FE">
      <w:pPr>
        <w:rPr>
          <w:rFonts w:asciiTheme="majorBidi" w:hAnsiTheme="majorBidi" w:cstheme="majorBidi"/>
          <w:b/>
          <w:sz w:val="22"/>
          <w:szCs w:val="22"/>
        </w:rPr>
      </w:pPr>
      <w:r w:rsidRPr="00B7108A">
        <w:rPr>
          <w:rFonts w:asciiTheme="majorBidi" w:hAnsiTheme="majorBidi" w:cstheme="majorBidi"/>
          <w:b/>
          <w:sz w:val="22"/>
          <w:szCs w:val="22"/>
        </w:rPr>
        <w:t xml:space="preserve">Table </w:t>
      </w:r>
      <w:r w:rsidRPr="00B7108A" w:rsidR="00721A36">
        <w:rPr>
          <w:rFonts w:asciiTheme="majorBidi" w:hAnsiTheme="majorBidi" w:cstheme="majorBidi"/>
          <w:b/>
          <w:sz w:val="22"/>
          <w:szCs w:val="22"/>
        </w:rPr>
        <w:t>9</w:t>
      </w:r>
      <w:r w:rsidRPr="00B7108A">
        <w:rPr>
          <w:rFonts w:asciiTheme="majorBidi" w:hAnsiTheme="majorBidi" w:cstheme="majorBidi"/>
          <w:b/>
          <w:sz w:val="22"/>
          <w:szCs w:val="22"/>
        </w:rPr>
        <w:t>: Estimated Annual Total Hours and Cost</w:t>
      </w:r>
    </w:p>
    <w:tbl>
      <w:tblPr>
        <w:tblW w:w="5000" w:type="pct"/>
        <w:tblLook w:val="04A0" w:firstRow="1" w:lastRow="0" w:firstColumn="1" w:lastColumn="0" w:noHBand="0" w:noVBand="1"/>
      </w:tblPr>
      <w:tblGrid>
        <w:gridCol w:w="3751"/>
        <w:gridCol w:w="1432"/>
        <w:gridCol w:w="1816"/>
        <w:gridCol w:w="2315"/>
      </w:tblGrid>
      <w:tr w:rsidRPr="00B7108A" w:rsidR="00C270C5" w:rsidTr="00072BCA" w14:paraId="379BB800" w14:textId="77777777">
        <w:trPr>
          <w:trHeight w:val="288"/>
        </w:trPr>
        <w:tc>
          <w:tcPr>
            <w:tcW w:w="2013" w:type="pct"/>
            <w:vMerge w:val="restart"/>
            <w:tcBorders>
              <w:top w:val="double" w:color="808080" w:sz="6" w:space="0"/>
              <w:left w:val="double" w:color="808080" w:sz="6" w:space="0"/>
              <w:bottom w:val="single" w:color="808080" w:sz="4" w:space="0"/>
              <w:right w:val="single" w:color="808080" w:sz="4" w:space="0"/>
            </w:tcBorders>
            <w:shd w:val="clear" w:color="auto" w:fill="auto"/>
            <w:vAlign w:val="center"/>
            <w:hideMark/>
          </w:tcPr>
          <w:p w:rsidRPr="00B7108A" w:rsidR="008253DD" w:rsidP="009B774E" w:rsidRDefault="008253DD" w14:paraId="2E5D1547" w14:textId="77777777">
            <w:pPr>
              <w:rPr>
                <w:rFonts w:asciiTheme="majorBidi" w:hAnsiTheme="majorBidi" w:cstheme="majorBidi"/>
                <w:sz w:val="20"/>
                <w:szCs w:val="20"/>
              </w:rPr>
            </w:pPr>
          </w:p>
        </w:tc>
        <w:tc>
          <w:tcPr>
            <w:tcW w:w="2987" w:type="pct"/>
            <w:gridSpan w:val="3"/>
            <w:tcBorders>
              <w:top w:val="double" w:color="808080" w:sz="6" w:space="0"/>
              <w:left w:val="nil"/>
              <w:bottom w:val="single" w:color="808080" w:sz="4" w:space="0"/>
              <w:right w:val="double" w:color="808080" w:sz="6" w:space="0"/>
            </w:tcBorders>
            <w:shd w:val="clear" w:color="auto" w:fill="auto"/>
            <w:vAlign w:val="center"/>
            <w:hideMark/>
          </w:tcPr>
          <w:p w:rsidRPr="00B7108A" w:rsidR="008253DD" w:rsidP="009B774E" w:rsidRDefault="008253DD" w14:paraId="44060FDF" w14:textId="77777777">
            <w:pPr>
              <w:jc w:val="center"/>
              <w:rPr>
                <w:rFonts w:asciiTheme="majorBidi" w:hAnsiTheme="majorBidi" w:cstheme="majorBidi"/>
                <w:b/>
                <w:sz w:val="20"/>
                <w:szCs w:val="20"/>
              </w:rPr>
            </w:pPr>
            <w:r w:rsidRPr="00B7108A">
              <w:rPr>
                <w:rFonts w:asciiTheme="majorBidi" w:hAnsiTheme="majorBidi" w:cstheme="majorBidi"/>
                <w:b/>
                <w:sz w:val="20"/>
                <w:szCs w:val="20"/>
              </w:rPr>
              <w:t>ANNUAL TOTAL</w:t>
            </w:r>
          </w:p>
        </w:tc>
      </w:tr>
      <w:tr w:rsidRPr="00B7108A" w:rsidR="00C270C5" w:rsidTr="00072BCA" w14:paraId="02C83188" w14:textId="77777777">
        <w:trPr>
          <w:trHeight w:val="288"/>
        </w:trPr>
        <w:tc>
          <w:tcPr>
            <w:tcW w:w="2013" w:type="pct"/>
            <w:vMerge/>
            <w:tcBorders>
              <w:top w:val="double" w:color="808080" w:sz="6" w:space="0"/>
              <w:left w:val="double" w:color="808080" w:sz="6" w:space="0"/>
              <w:bottom w:val="double" w:color="808080" w:sz="4" w:space="0"/>
              <w:right w:val="single" w:color="808080" w:sz="4" w:space="0"/>
            </w:tcBorders>
            <w:shd w:val="clear" w:color="auto" w:fill="auto"/>
            <w:vAlign w:val="center"/>
            <w:hideMark/>
          </w:tcPr>
          <w:p w:rsidRPr="00B7108A" w:rsidR="008253DD" w:rsidP="009B774E" w:rsidRDefault="008253DD" w14:paraId="6BEEB79B" w14:textId="77777777">
            <w:pPr>
              <w:rPr>
                <w:rFonts w:asciiTheme="majorBidi" w:hAnsiTheme="majorBidi" w:cstheme="majorBidi"/>
                <w:sz w:val="20"/>
                <w:szCs w:val="20"/>
              </w:rPr>
            </w:pPr>
          </w:p>
        </w:tc>
        <w:tc>
          <w:tcPr>
            <w:tcW w:w="769" w:type="pct"/>
            <w:tcBorders>
              <w:top w:val="nil"/>
              <w:left w:val="nil"/>
              <w:bottom w:val="double" w:color="808080" w:sz="4" w:space="0"/>
              <w:right w:val="single" w:color="808080" w:sz="4" w:space="0"/>
            </w:tcBorders>
            <w:shd w:val="clear" w:color="auto" w:fill="auto"/>
            <w:vAlign w:val="center"/>
            <w:hideMark/>
          </w:tcPr>
          <w:p w:rsidRPr="00B7108A" w:rsidR="008253DD" w:rsidP="009B774E" w:rsidRDefault="008253DD" w14:paraId="4006ACD2" w14:textId="77777777">
            <w:pPr>
              <w:jc w:val="center"/>
              <w:rPr>
                <w:rFonts w:asciiTheme="majorBidi" w:hAnsiTheme="majorBidi" w:cstheme="majorBidi"/>
                <w:b/>
                <w:sz w:val="20"/>
                <w:szCs w:val="20"/>
              </w:rPr>
            </w:pPr>
            <w:r w:rsidRPr="00B7108A">
              <w:rPr>
                <w:rFonts w:asciiTheme="majorBidi" w:hAnsiTheme="majorBidi" w:cstheme="majorBidi"/>
                <w:b/>
                <w:sz w:val="20"/>
                <w:szCs w:val="20"/>
              </w:rPr>
              <w:t>Responses</w:t>
            </w:r>
          </w:p>
        </w:tc>
        <w:tc>
          <w:tcPr>
            <w:tcW w:w="975" w:type="pct"/>
            <w:tcBorders>
              <w:top w:val="nil"/>
              <w:left w:val="nil"/>
              <w:bottom w:val="double" w:color="808080" w:sz="4" w:space="0"/>
              <w:right w:val="single" w:color="808080" w:sz="4" w:space="0"/>
            </w:tcBorders>
            <w:shd w:val="clear" w:color="auto" w:fill="auto"/>
            <w:vAlign w:val="center"/>
            <w:hideMark/>
          </w:tcPr>
          <w:p w:rsidRPr="00B7108A" w:rsidR="008253DD" w:rsidP="009B774E" w:rsidRDefault="008253DD" w14:paraId="5B20C356" w14:textId="77777777">
            <w:pPr>
              <w:jc w:val="center"/>
              <w:rPr>
                <w:rFonts w:asciiTheme="majorBidi" w:hAnsiTheme="majorBidi" w:cstheme="majorBidi"/>
                <w:b/>
                <w:sz w:val="20"/>
                <w:szCs w:val="20"/>
              </w:rPr>
            </w:pPr>
            <w:r w:rsidRPr="00B7108A">
              <w:rPr>
                <w:rFonts w:asciiTheme="majorBidi" w:hAnsiTheme="majorBidi" w:cstheme="majorBidi"/>
                <w:b/>
                <w:sz w:val="20"/>
                <w:szCs w:val="20"/>
              </w:rPr>
              <w:t>Hours</w:t>
            </w:r>
          </w:p>
        </w:tc>
        <w:tc>
          <w:tcPr>
            <w:tcW w:w="1243" w:type="pct"/>
            <w:tcBorders>
              <w:top w:val="nil"/>
              <w:left w:val="nil"/>
              <w:bottom w:val="double" w:color="808080" w:sz="4" w:space="0"/>
              <w:right w:val="double" w:color="808080" w:sz="6" w:space="0"/>
            </w:tcBorders>
            <w:shd w:val="clear" w:color="auto" w:fill="auto"/>
            <w:vAlign w:val="center"/>
            <w:hideMark/>
          </w:tcPr>
          <w:p w:rsidRPr="00B7108A" w:rsidR="008253DD" w:rsidP="009B774E" w:rsidRDefault="008253DD" w14:paraId="12F2AC49" w14:textId="77777777">
            <w:pPr>
              <w:jc w:val="center"/>
              <w:rPr>
                <w:rFonts w:asciiTheme="majorBidi" w:hAnsiTheme="majorBidi" w:cstheme="majorBidi"/>
                <w:b/>
                <w:sz w:val="20"/>
                <w:szCs w:val="20"/>
              </w:rPr>
            </w:pPr>
            <w:r w:rsidRPr="00B7108A">
              <w:rPr>
                <w:rFonts w:asciiTheme="majorBidi" w:hAnsiTheme="majorBidi" w:cstheme="majorBidi"/>
                <w:b/>
                <w:sz w:val="20"/>
                <w:szCs w:val="20"/>
              </w:rPr>
              <w:t>Costs</w:t>
            </w:r>
          </w:p>
        </w:tc>
      </w:tr>
      <w:tr w:rsidRPr="00B7108A" w:rsidR="00D10544" w:rsidTr="00072BCA" w14:paraId="525FDC7D" w14:textId="77777777">
        <w:trPr>
          <w:trHeight w:val="288"/>
        </w:trPr>
        <w:tc>
          <w:tcPr>
            <w:tcW w:w="2013" w:type="pct"/>
            <w:tcBorders>
              <w:top w:val="double" w:color="808080" w:sz="4" w:space="0"/>
              <w:left w:val="double" w:color="808080" w:sz="6" w:space="0"/>
              <w:bottom w:val="single" w:color="808080" w:sz="4" w:space="0"/>
              <w:right w:val="single" w:color="808080" w:sz="4" w:space="0"/>
            </w:tcBorders>
            <w:shd w:val="clear" w:color="auto" w:fill="auto"/>
            <w:vAlign w:val="center"/>
            <w:hideMark/>
          </w:tcPr>
          <w:p w:rsidRPr="00B7108A" w:rsidR="00D10544" w:rsidP="009B774E" w:rsidRDefault="00D10544" w14:paraId="5520ED0C" w14:textId="77777777">
            <w:pPr>
              <w:rPr>
                <w:rFonts w:asciiTheme="majorBidi" w:hAnsiTheme="majorBidi" w:cstheme="majorBidi"/>
                <w:b/>
                <w:sz w:val="20"/>
                <w:szCs w:val="20"/>
              </w:rPr>
            </w:pPr>
            <w:r w:rsidRPr="00B7108A">
              <w:rPr>
                <w:rFonts w:asciiTheme="majorBidi" w:hAnsiTheme="majorBidi" w:cstheme="majorBidi"/>
                <w:b/>
                <w:sz w:val="20"/>
                <w:szCs w:val="20"/>
              </w:rPr>
              <w:t>TOTAL RESPONDENT BURDEN</w:t>
            </w:r>
          </w:p>
        </w:tc>
        <w:tc>
          <w:tcPr>
            <w:tcW w:w="769" w:type="pct"/>
            <w:tcBorders>
              <w:top w:val="double" w:color="808080" w:sz="4" w:space="0"/>
              <w:left w:val="nil"/>
              <w:bottom w:val="single" w:color="808080" w:sz="4" w:space="0"/>
              <w:right w:val="single" w:color="808080" w:sz="4" w:space="0"/>
            </w:tcBorders>
            <w:shd w:val="clear" w:color="auto" w:fill="auto"/>
            <w:vAlign w:val="center"/>
            <w:hideMark/>
          </w:tcPr>
          <w:p w:rsidRPr="00B7108A" w:rsidR="00D10544" w:rsidP="009B774E" w:rsidRDefault="00072BCA" w14:paraId="6B32B981" w14:textId="0B7F0B4E">
            <w:pPr>
              <w:jc w:val="center"/>
              <w:rPr>
                <w:rFonts w:asciiTheme="majorBidi" w:hAnsiTheme="majorBidi" w:cstheme="majorBidi"/>
                <w:b/>
                <w:sz w:val="20"/>
                <w:szCs w:val="20"/>
              </w:rPr>
            </w:pPr>
            <w:r w:rsidRPr="00B7108A">
              <w:rPr>
                <w:b/>
                <w:bCs/>
                <w:sz w:val="20"/>
                <w:szCs w:val="20"/>
              </w:rPr>
              <w:t>8,228</w:t>
            </w:r>
          </w:p>
        </w:tc>
        <w:tc>
          <w:tcPr>
            <w:tcW w:w="975" w:type="pct"/>
            <w:tcBorders>
              <w:top w:val="double" w:color="808080" w:sz="4" w:space="0"/>
              <w:left w:val="nil"/>
              <w:bottom w:val="single" w:color="808080" w:sz="4" w:space="0"/>
              <w:right w:val="single" w:color="808080" w:sz="4" w:space="0"/>
            </w:tcBorders>
            <w:shd w:val="clear" w:color="auto" w:fill="auto"/>
            <w:vAlign w:val="center"/>
            <w:hideMark/>
          </w:tcPr>
          <w:p w:rsidRPr="00B7108A" w:rsidR="00D10544" w:rsidP="009B774E" w:rsidRDefault="00072BCA" w14:paraId="14037A09" w14:textId="17902323">
            <w:pPr>
              <w:jc w:val="center"/>
              <w:rPr>
                <w:rFonts w:asciiTheme="majorBidi" w:hAnsiTheme="majorBidi" w:cstheme="majorBidi"/>
                <w:b/>
                <w:sz w:val="20"/>
                <w:szCs w:val="20"/>
              </w:rPr>
            </w:pPr>
            <w:r w:rsidRPr="00B7108A">
              <w:rPr>
                <w:b/>
                <w:bCs/>
                <w:sz w:val="20"/>
                <w:szCs w:val="20"/>
              </w:rPr>
              <w:t>1,562,477</w:t>
            </w:r>
          </w:p>
        </w:tc>
        <w:tc>
          <w:tcPr>
            <w:tcW w:w="1243" w:type="pct"/>
            <w:tcBorders>
              <w:top w:val="double" w:color="808080" w:sz="4" w:space="0"/>
              <w:left w:val="nil"/>
              <w:bottom w:val="single" w:color="808080" w:sz="4" w:space="0"/>
              <w:right w:val="double" w:color="808080" w:sz="6" w:space="0"/>
            </w:tcBorders>
            <w:shd w:val="clear" w:color="auto" w:fill="auto"/>
            <w:vAlign w:val="center"/>
            <w:hideMark/>
          </w:tcPr>
          <w:p w:rsidRPr="00B7108A" w:rsidR="00D10544" w:rsidP="009B774E" w:rsidRDefault="00D10544" w14:paraId="646D5B99" w14:textId="0FA0A440">
            <w:pPr>
              <w:jc w:val="center"/>
              <w:rPr>
                <w:rFonts w:asciiTheme="majorBidi" w:hAnsiTheme="majorBidi" w:cstheme="majorBidi"/>
                <w:b/>
                <w:sz w:val="20"/>
                <w:szCs w:val="20"/>
              </w:rPr>
            </w:pPr>
            <w:r w:rsidRPr="00B7108A">
              <w:rPr>
                <w:b/>
                <w:sz w:val="20"/>
                <w:szCs w:val="20"/>
              </w:rPr>
              <w:t>$</w:t>
            </w:r>
            <w:r w:rsidRPr="00B7108A" w:rsidR="00072BCA">
              <w:rPr>
                <w:b/>
                <w:bCs/>
                <w:sz w:val="20"/>
                <w:szCs w:val="20"/>
              </w:rPr>
              <w:t>120,563,052</w:t>
            </w:r>
          </w:p>
        </w:tc>
      </w:tr>
      <w:tr w:rsidRPr="00B7108A" w:rsidR="00D10544" w:rsidTr="00072BCA" w14:paraId="134FF26A" w14:textId="77777777">
        <w:trPr>
          <w:trHeight w:val="288"/>
        </w:trPr>
        <w:tc>
          <w:tcPr>
            <w:tcW w:w="2013" w:type="pct"/>
            <w:tcBorders>
              <w:top w:val="double" w:color="808080" w:sz="4" w:space="0"/>
              <w:left w:val="double" w:color="808080" w:sz="4" w:space="0"/>
              <w:bottom w:val="single" w:color="808080" w:sz="6" w:space="0"/>
              <w:right w:val="single" w:color="808080" w:sz="6" w:space="0"/>
            </w:tcBorders>
            <w:shd w:val="clear" w:color="auto" w:fill="auto"/>
            <w:vAlign w:val="center"/>
            <w:hideMark/>
          </w:tcPr>
          <w:p w:rsidRPr="00B7108A" w:rsidR="00D10544" w:rsidP="009B774E" w:rsidRDefault="00D10544" w14:paraId="429A946E" w14:textId="77777777">
            <w:pPr>
              <w:ind w:firstLine="204"/>
              <w:rPr>
                <w:rFonts w:asciiTheme="majorBidi" w:hAnsiTheme="majorBidi" w:cstheme="majorBidi"/>
                <w:b/>
                <w:sz w:val="20"/>
                <w:szCs w:val="20"/>
              </w:rPr>
            </w:pPr>
            <w:r w:rsidRPr="00B7108A">
              <w:rPr>
                <w:rFonts w:asciiTheme="majorBidi" w:hAnsiTheme="majorBidi" w:cstheme="majorBidi"/>
                <w:b/>
                <w:sz w:val="20"/>
                <w:szCs w:val="20"/>
              </w:rPr>
              <w:t>Application Process</w:t>
            </w:r>
          </w:p>
        </w:tc>
        <w:tc>
          <w:tcPr>
            <w:tcW w:w="769" w:type="pct"/>
            <w:tcBorders>
              <w:top w:val="double" w:color="808080" w:sz="4" w:space="0"/>
              <w:left w:val="single" w:color="808080" w:sz="6" w:space="0"/>
              <w:bottom w:val="single" w:color="808080" w:sz="6" w:space="0"/>
              <w:right w:val="single" w:color="808080" w:sz="6" w:space="0"/>
            </w:tcBorders>
            <w:shd w:val="clear" w:color="auto" w:fill="auto"/>
            <w:vAlign w:val="center"/>
            <w:hideMark/>
          </w:tcPr>
          <w:p w:rsidRPr="00B7108A" w:rsidR="00D10544" w:rsidP="009B774E" w:rsidRDefault="00072BCA" w14:paraId="3F3D24D1" w14:textId="20C9D703">
            <w:pPr>
              <w:jc w:val="center"/>
              <w:rPr>
                <w:rFonts w:asciiTheme="majorBidi" w:hAnsiTheme="majorBidi" w:cstheme="majorBidi"/>
                <w:b/>
                <w:sz w:val="20"/>
                <w:szCs w:val="20"/>
              </w:rPr>
            </w:pPr>
            <w:r w:rsidRPr="00B7108A">
              <w:rPr>
                <w:b/>
                <w:bCs/>
                <w:sz w:val="20"/>
                <w:szCs w:val="20"/>
              </w:rPr>
              <w:t>7,439</w:t>
            </w:r>
          </w:p>
        </w:tc>
        <w:tc>
          <w:tcPr>
            <w:tcW w:w="975" w:type="pct"/>
            <w:tcBorders>
              <w:top w:val="double" w:color="808080" w:sz="4" w:space="0"/>
              <w:left w:val="single" w:color="808080" w:sz="6" w:space="0"/>
              <w:bottom w:val="single" w:color="808080" w:sz="6" w:space="0"/>
              <w:right w:val="single" w:color="808080" w:sz="6" w:space="0"/>
            </w:tcBorders>
            <w:shd w:val="clear" w:color="auto" w:fill="auto"/>
            <w:vAlign w:val="center"/>
            <w:hideMark/>
          </w:tcPr>
          <w:p w:rsidRPr="00B7108A" w:rsidR="00D10544" w:rsidP="009B774E" w:rsidRDefault="00072BCA" w14:paraId="27BA2C23" w14:textId="7A4A448F">
            <w:pPr>
              <w:jc w:val="center"/>
              <w:rPr>
                <w:rFonts w:asciiTheme="majorBidi" w:hAnsiTheme="majorBidi" w:cstheme="majorBidi"/>
                <w:b/>
                <w:sz w:val="20"/>
                <w:szCs w:val="20"/>
              </w:rPr>
            </w:pPr>
            <w:r w:rsidRPr="00B7108A">
              <w:rPr>
                <w:b/>
                <w:bCs/>
                <w:sz w:val="20"/>
                <w:szCs w:val="20"/>
              </w:rPr>
              <w:t>145,646</w:t>
            </w:r>
          </w:p>
        </w:tc>
        <w:tc>
          <w:tcPr>
            <w:tcW w:w="1243" w:type="pct"/>
            <w:tcBorders>
              <w:top w:val="double" w:color="808080" w:sz="4" w:space="0"/>
              <w:left w:val="single" w:color="808080" w:sz="6" w:space="0"/>
              <w:bottom w:val="single" w:color="808080" w:sz="6" w:space="0"/>
              <w:right w:val="double" w:color="808080" w:sz="4" w:space="0"/>
            </w:tcBorders>
            <w:shd w:val="clear" w:color="auto" w:fill="auto"/>
            <w:vAlign w:val="center"/>
            <w:hideMark/>
          </w:tcPr>
          <w:p w:rsidRPr="00B7108A" w:rsidR="00D10544" w:rsidP="009B774E" w:rsidRDefault="00072BCA" w14:paraId="2C3BF5C3" w14:textId="0E35242E">
            <w:pPr>
              <w:jc w:val="center"/>
              <w:rPr>
                <w:rFonts w:asciiTheme="majorBidi" w:hAnsiTheme="majorBidi" w:cstheme="majorBidi"/>
                <w:b/>
                <w:sz w:val="20"/>
                <w:szCs w:val="20"/>
              </w:rPr>
            </w:pPr>
            <w:r w:rsidRPr="00B7108A">
              <w:rPr>
                <w:b/>
                <w:bCs/>
                <w:sz w:val="20"/>
                <w:szCs w:val="20"/>
              </w:rPr>
              <w:t>$14,248,052</w:t>
            </w:r>
          </w:p>
        </w:tc>
      </w:tr>
      <w:tr w:rsidRPr="00B7108A" w:rsidR="00D10544" w:rsidTr="00072BCA" w14:paraId="78233477" w14:textId="77777777">
        <w:trPr>
          <w:trHeight w:val="288"/>
        </w:trPr>
        <w:tc>
          <w:tcPr>
            <w:tcW w:w="2013" w:type="pct"/>
            <w:tcBorders>
              <w:top w:val="single" w:color="808080" w:sz="6" w:space="0"/>
              <w:left w:val="double" w:color="808080" w:sz="4" w:space="0"/>
              <w:bottom w:val="single" w:color="808080" w:sz="6" w:space="0"/>
              <w:right w:val="single" w:color="808080" w:sz="6" w:space="0"/>
            </w:tcBorders>
            <w:shd w:val="clear" w:color="auto" w:fill="auto"/>
            <w:vAlign w:val="center"/>
            <w:hideMark/>
          </w:tcPr>
          <w:p w:rsidRPr="00B7108A" w:rsidR="00D10544" w:rsidP="009B774E" w:rsidRDefault="00D10544" w14:paraId="7D13854D" w14:textId="77777777">
            <w:pPr>
              <w:ind w:firstLine="384"/>
              <w:rPr>
                <w:rFonts w:asciiTheme="majorBidi" w:hAnsiTheme="majorBidi" w:cstheme="majorBidi"/>
                <w:sz w:val="20"/>
                <w:szCs w:val="20"/>
              </w:rPr>
            </w:pPr>
            <w:r w:rsidRPr="00B7108A">
              <w:rPr>
                <w:rFonts w:asciiTheme="majorBidi" w:hAnsiTheme="majorBidi" w:cstheme="majorBidi"/>
                <w:sz w:val="20"/>
                <w:szCs w:val="20"/>
              </w:rPr>
              <w:t>Annual “Type A” Responses</w:t>
            </w:r>
          </w:p>
        </w:tc>
        <w:tc>
          <w:tcPr>
            <w:tcW w:w="769" w:type="pct"/>
            <w:tcBorders>
              <w:top w:val="single" w:color="808080" w:sz="6" w:space="0"/>
              <w:left w:val="single" w:color="808080" w:sz="6" w:space="0"/>
              <w:bottom w:val="single" w:color="808080" w:sz="6" w:space="0"/>
              <w:right w:val="single" w:color="808080" w:sz="6" w:space="0"/>
            </w:tcBorders>
            <w:shd w:val="clear" w:color="auto" w:fill="auto"/>
            <w:vAlign w:val="center"/>
            <w:hideMark/>
          </w:tcPr>
          <w:p w:rsidRPr="00B7108A" w:rsidR="00D10544" w:rsidP="009B774E" w:rsidRDefault="00072BCA" w14:paraId="70EDCF09" w14:textId="27B9A080">
            <w:pPr>
              <w:jc w:val="center"/>
              <w:rPr>
                <w:rFonts w:asciiTheme="majorBidi" w:hAnsiTheme="majorBidi" w:cstheme="majorBidi"/>
                <w:sz w:val="20"/>
                <w:szCs w:val="20"/>
              </w:rPr>
            </w:pPr>
            <w:r w:rsidRPr="00B7108A">
              <w:rPr>
                <w:sz w:val="20"/>
                <w:szCs w:val="20"/>
              </w:rPr>
              <w:t>213</w:t>
            </w:r>
          </w:p>
        </w:tc>
        <w:tc>
          <w:tcPr>
            <w:tcW w:w="975" w:type="pct"/>
            <w:tcBorders>
              <w:top w:val="single" w:color="808080" w:sz="6" w:space="0"/>
              <w:left w:val="single" w:color="808080" w:sz="6" w:space="0"/>
              <w:bottom w:val="single" w:color="808080" w:sz="6" w:space="0"/>
              <w:right w:val="single" w:color="808080" w:sz="6" w:space="0"/>
            </w:tcBorders>
            <w:shd w:val="clear" w:color="auto" w:fill="auto"/>
            <w:vAlign w:val="center"/>
            <w:hideMark/>
          </w:tcPr>
          <w:p w:rsidRPr="00B7108A" w:rsidR="00D10544" w:rsidP="009B774E" w:rsidRDefault="00D10544" w14:paraId="6E2C740B" w14:textId="174F1349">
            <w:pPr>
              <w:jc w:val="center"/>
              <w:rPr>
                <w:rFonts w:asciiTheme="majorBidi" w:hAnsiTheme="majorBidi" w:cstheme="majorBidi"/>
                <w:sz w:val="20"/>
                <w:szCs w:val="20"/>
              </w:rPr>
            </w:pPr>
            <w:r w:rsidRPr="00B7108A">
              <w:rPr>
                <w:sz w:val="20"/>
                <w:szCs w:val="20"/>
              </w:rPr>
              <w:t>41,</w:t>
            </w:r>
            <w:r w:rsidRPr="00B7108A" w:rsidR="00072BCA">
              <w:rPr>
                <w:sz w:val="20"/>
                <w:szCs w:val="20"/>
              </w:rPr>
              <w:t>322</w:t>
            </w:r>
          </w:p>
        </w:tc>
        <w:tc>
          <w:tcPr>
            <w:tcW w:w="1243" w:type="pct"/>
            <w:tcBorders>
              <w:top w:val="single" w:color="808080" w:sz="6" w:space="0"/>
              <w:left w:val="single" w:color="808080" w:sz="6" w:space="0"/>
              <w:bottom w:val="single" w:color="808080" w:sz="6" w:space="0"/>
              <w:right w:val="double" w:color="808080" w:sz="4" w:space="0"/>
            </w:tcBorders>
            <w:shd w:val="clear" w:color="auto" w:fill="auto"/>
            <w:vAlign w:val="center"/>
            <w:hideMark/>
          </w:tcPr>
          <w:p w:rsidRPr="00B7108A" w:rsidR="00D10544" w:rsidP="009B774E" w:rsidRDefault="00072BCA" w14:paraId="3A6CB9DD" w14:textId="4FA3A79E">
            <w:pPr>
              <w:jc w:val="center"/>
              <w:rPr>
                <w:rFonts w:asciiTheme="majorBidi" w:hAnsiTheme="majorBidi" w:cstheme="majorBidi"/>
                <w:sz w:val="20"/>
                <w:szCs w:val="20"/>
              </w:rPr>
            </w:pPr>
            <w:r w:rsidRPr="00B7108A">
              <w:rPr>
                <w:sz w:val="20"/>
                <w:szCs w:val="20"/>
              </w:rPr>
              <w:t>$3,244,017</w:t>
            </w:r>
            <w:r w:rsidRPr="00B7108A" w:rsidR="00D10544">
              <w:rPr>
                <w:sz w:val="20"/>
                <w:szCs w:val="20"/>
              </w:rPr>
              <w:t xml:space="preserve"> </w:t>
            </w:r>
          </w:p>
        </w:tc>
      </w:tr>
      <w:tr w:rsidRPr="00B7108A" w:rsidR="00D10544" w:rsidTr="00072BCA" w14:paraId="5C3C425A" w14:textId="77777777">
        <w:trPr>
          <w:trHeight w:val="288"/>
        </w:trPr>
        <w:tc>
          <w:tcPr>
            <w:tcW w:w="2013" w:type="pct"/>
            <w:tcBorders>
              <w:top w:val="single" w:color="808080" w:sz="6" w:space="0"/>
              <w:left w:val="double" w:color="808080" w:sz="4" w:space="0"/>
              <w:bottom w:val="single" w:color="808080" w:sz="6" w:space="0"/>
              <w:right w:val="single" w:color="808080" w:sz="6" w:space="0"/>
            </w:tcBorders>
            <w:shd w:val="clear" w:color="auto" w:fill="auto"/>
            <w:vAlign w:val="center"/>
            <w:hideMark/>
          </w:tcPr>
          <w:p w:rsidRPr="00B7108A" w:rsidR="00D10544" w:rsidP="009B774E" w:rsidRDefault="00D10544" w14:paraId="79A0A99F" w14:textId="77777777">
            <w:pPr>
              <w:ind w:firstLine="384"/>
              <w:rPr>
                <w:rFonts w:asciiTheme="majorBidi" w:hAnsiTheme="majorBidi" w:cstheme="majorBidi"/>
                <w:sz w:val="20"/>
                <w:szCs w:val="20"/>
              </w:rPr>
            </w:pPr>
            <w:r w:rsidRPr="00B7108A">
              <w:rPr>
                <w:rFonts w:asciiTheme="majorBidi" w:hAnsiTheme="majorBidi" w:cstheme="majorBidi"/>
                <w:sz w:val="20"/>
                <w:szCs w:val="20"/>
              </w:rPr>
              <w:t>Annual “Type B” Responses</w:t>
            </w:r>
          </w:p>
        </w:tc>
        <w:tc>
          <w:tcPr>
            <w:tcW w:w="769" w:type="pct"/>
            <w:tcBorders>
              <w:top w:val="single" w:color="808080" w:sz="6" w:space="0"/>
              <w:left w:val="single" w:color="808080" w:sz="6" w:space="0"/>
              <w:bottom w:val="single" w:color="808080" w:sz="6" w:space="0"/>
              <w:right w:val="single" w:color="808080" w:sz="6" w:space="0"/>
            </w:tcBorders>
            <w:shd w:val="clear" w:color="auto" w:fill="auto"/>
            <w:vAlign w:val="center"/>
            <w:hideMark/>
          </w:tcPr>
          <w:p w:rsidRPr="00B7108A" w:rsidR="00D10544" w:rsidP="009B774E" w:rsidRDefault="00D10544" w14:paraId="23982449" w14:textId="22036616">
            <w:pPr>
              <w:jc w:val="center"/>
              <w:rPr>
                <w:rFonts w:asciiTheme="majorBidi" w:hAnsiTheme="majorBidi" w:cstheme="majorBidi"/>
                <w:sz w:val="20"/>
                <w:szCs w:val="20"/>
              </w:rPr>
            </w:pPr>
            <w:r w:rsidRPr="00B7108A">
              <w:rPr>
                <w:sz w:val="20"/>
                <w:szCs w:val="20"/>
              </w:rPr>
              <w:t>7,221</w:t>
            </w:r>
          </w:p>
        </w:tc>
        <w:tc>
          <w:tcPr>
            <w:tcW w:w="975" w:type="pct"/>
            <w:tcBorders>
              <w:top w:val="single" w:color="808080" w:sz="6" w:space="0"/>
              <w:left w:val="single" w:color="808080" w:sz="6" w:space="0"/>
              <w:bottom w:val="single" w:color="808080" w:sz="6" w:space="0"/>
              <w:right w:val="single" w:color="808080" w:sz="6" w:space="0"/>
            </w:tcBorders>
            <w:shd w:val="clear" w:color="auto" w:fill="auto"/>
            <w:vAlign w:val="center"/>
            <w:hideMark/>
          </w:tcPr>
          <w:p w:rsidRPr="00B7108A" w:rsidR="00D10544" w:rsidP="009B774E" w:rsidRDefault="00D10544" w14:paraId="1EB4D12C" w14:textId="777030D5">
            <w:pPr>
              <w:jc w:val="center"/>
              <w:rPr>
                <w:rFonts w:asciiTheme="majorBidi" w:hAnsiTheme="majorBidi" w:cstheme="majorBidi"/>
                <w:sz w:val="20"/>
                <w:szCs w:val="20"/>
              </w:rPr>
            </w:pPr>
            <w:r w:rsidRPr="00B7108A">
              <w:rPr>
                <w:sz w:val="20"/>
                <w:szCs w:val="20"/>
              </w:rPr>
              <w:t>101,094</w:t>
            </w:r>
          </w:p>
        </w:tc>
        <w:tc>
          <w:tcPr>
            <w:tcW w:w="1243" w:type="pct"/>
            <w:tcBorders>
              <w:top w:val="single" w:color="808080" w:sz="6" w:space="0"/>
              <w:left w:val="single" w:color="808080" w:sz="6" w:space="0"/>
              <w:bottom w:val="single" w:color="808080" w:sz="6" w:space="0"/>
              <w:right w:val="double" w:color="808080" w:sz="4" w:space="0"/>
            </w:tcBorders>
            <w:shd w:val="clear" w:color="auto" w:fill="auto"/>
            <w:vAlign w:val="center"/>
            <w:hideMark/>
          </w:tcPr>
          <w:p w:rsidRPr="00B7108A" w:rsidR="00D10544" w:rsidP="009B774E" w:rsidRDefault="00D10544" w14:paraId="19C957DC" w14:textId="260E493A">
            <w:pPr>
              <w:jc w:val="center"/>
              <w:rPr>
                <w:rFonts w:asciiTheme="majorBidi" w:hAnsiTheme="majorBidi" w:cstheme="majorBidi"/>
                <w:sz w:val="20"/>
                <w:szCs w:val="20"/>
              </w:rPr>
            </w:pPr>
            <w:r w:rsidRPr="00B7108A">
              <w:rPr>
                <w:sz w:val="20"/>
                <w:szCs w:val="20"/>
              </w:rPr>
              <w:t xml:space="preserve">$10,740,140 </w:t>
            </w:r>
          </w:p>
        </w:tc>
      </w:tr>
      <w:tr w:rsidRPr="00B7108A" w:rsidR="00D10544" w:rsidTr="00072BCA" w14:paraId="7E9E037C" w14:textId="77777777">
        <w:trPr>
          <w:trHeight w:val="288"/>
        </w:trPr>
        <w:tc>
          <w:tcPr>
            <w:tcW w:w="2013" w:type="pct"/>
            <w:tcBorders>
              <w:top w:val="single" w:color="808080" w:sz="6" w:space="0"/>
              <w:left w:val="double" w:color="808080" w:sz="4" w:space="0"/>
              <w:bottom w:val="double" w:color="808080" w:sz="4" w:space="0"/>
              <w:right w:val="single" w:color="808080" w:sz="6" w:space="0"/>
            </w:tcBorders>
            <w:shd w:val="clear" w:color="auto" w:fill="auto"/>
            <w:vAlign w:val="center"/>
            <w:hideMark/>
          </w:tcPr>
          <w:p w:rsidRPr="00B7108A" w:rsidR="00D10544" w:rsidP="009B774E" w:rsidRDefault="00D10544" w14:paraId="0ECA4FB7" w14:textId="77777777">
            <w:pPr>
              <w:ind w:firstLine="384"/>
              <w:rPr>
                <w:rFonts w:asciiTheme="majorBidi" w:hAnsiTheme="majorBidi" w:cstheme="majorBidi"/>
                <w:sz w:val="20"/>
                <w:szCs w:val="20"/>
              </w:rPr>
            </w:pPr>
            <w:r w:rsidRPr="00B7108A">
              <w:rPr>
                <w:rFonts w:asciiTheme="majorBidi" w:hAnsiTheme="majorBidi" w:cstheme="majorBidi"/>
                <w:sz w:val="20"/>
                <w:szCs w:val="20"/>
              </w:rPr>
              <w:t>Annual “Type C” Responses</w:t>
            </w:r>
          </w:p>
        </w:tc>
        <w:tc>
          <w:tcPr>
            <w:tcW w:w="769" w:type="pct"/>
            <w:tcBorders>
              <w:top w:val="single" w:color="808080" w:sz="6" w:space="0"/>
              <w:left w:val="single" w:color="808080" w:sz="6" w:space="0"/>
              <w:bottom w:val="double" w:color="808080" w:sz="4" w:space="0"/>
              <w:right w:val="single" w:color="808080" w:sz="6" w:space="0"/>
            </w:tcBorders>
            <w:shd w:val="clear" w:color="auto" w:fill="auto"/>
            <w:vAlign w:val="center"/>
            <w:hideMark/>
          </w:tcPr>
          <w:p w:rsidRPr="00B7108A" w:rsidR="00D10544" w:rsidP="009B774E" w:rsidRDefault="00D10544" w14:paraId="0260CADE" w14:textId="0D1BF4A4">
            <w:pPr>
              <w:jc w:val="center"/>
              <w:rPr>
                <w:rFonts w:asciiTheme="majorBidi" w:hAnsiTheme="majorBidi" w:cstheme="majorBidi"/>
                <w:sz w:val="20"/>
                <w:szCs w:val="20"/>
              </w:rPr>
            </w:pPr>
            <w:r w:rsidRPr="00B7108A">
              <w:rPr>
                <w:sz w:val="20"/>
                <w:szCs w:val="20"/>
              </w:rPr>
              <w:t>5</w:t>
            </w:r>
          </w:p>
        </w:tc>
        <w:tc>
          <w:tcPr>
            <w:tcW w:w="975" w:type="pct"/>
            <w:tcBorders>
              <w:top w:val="single" w:color="808080" w:sz="6" w:space="0"/>
              <w:left w:val="single" w:color="808080" w:sz="6" w:space="0"/>
              <w:bottom w:val="double" w:color="808080" w:sz="4" w:space="0"/>
              <w:right w:val="single" w:color="808080" w:sz="6" w:space="0"/>
            </w:tcBorders>
            <w:shd w:val="clear" w:color="auto" w:fill="auto"/>
            <w:vAlign w:val="center"/>
            <w:hideMark/>
          </w:tcPr>
          <w:p w:rsidRPr="00B7108A" w:rsidR="00D10544" w:rsidP="009B774E" w:rsidRDefault="00D10544" w14:paraId="565360A4" w14:textId="0484DE65">
            <w:pPr>
              <w:jc w:val="center"/>
              <w:rPr>
                <w:rFonts w:asciiTheme="majorBidi" w:hAnsiTheme="majorBidi" w:cstheme="majorBidi"/>
                <w:sz w:val="20"/>
                <w:szCs w:val="20"/>
              </w:rPr>
            </w:pPr>
            <w:r w:rsidRPr="00B7108A">
              <w:rPr>
                <w:sz w:val="20"/>
                <w:szCs w:val="20"/>
              </w:rPr>
              <w:t>3,230</w:t>
            </w:r>
          </w:p>
        </w:tc>
        <w:tc>
          <w:tcPr>
            <w:tcW w:w="1243" w:type="pct"/>
            <w:tcBorders>
              <w:top w:val="single" w:color="808080" w:sz="6" w:space="0"/>
              <w:left w:val="single" w:color="808080" w:sz="6" w:space="0"/>
              <w:bottom w:val="double" w:color="808080" w:sz="4" w:space="0"/>
              <w:right w:val="double" w:color="808080" w:sz="4" w:space="0"/>
            </w:tcBorders>
            <w:shd w:val="clear" w:color="auto" w:fill="auto"/>
            <w:vAlign w:val="center"/>
            <w:hideMark/>
          </w:tcPr>
          <w:p w:rsidRPr="00B7108A" w:rsidR="00D10544" w:rsidP="009B774E" w:rsidRDefault="00D10544" w14:paraId="57AF640C" w14:textId="78547F9C">
            <w:pPr>
              <w:jc w:val="center"/>
              <w:rPr>
                <w:rFonts w:asciiTheme="majorBidi" w:hAnsiTheme="majorBidi" w:cstheme="majorBidi"/>
                <w:sz w:val="20"/>
                <w:szCs w:val="20"/>
              </w:rPr>
            </w:pPr>
            <w:r w:rsidRPr="00B7108A">
              <w:rPr>
                <w:sz w:val="20"/>
                <w:szCs w:val="20"/>
              </w:rPr>
              <w:t xml:space="preserve">$263,895 </w:t>
            </w:r>
          </w:p>
        </w:tc>
      </w:tr>
      <w:tr w:rsidRPr="00B7108A" w:rsidR="00D10544" w:rsidTr="00072BCA" w14:paraId="332AD2D7" w14:textId="77777777">
        <w:trPr>
          <w:trHeight w:val="288"/>
        </w:trPr>
        <w:tc>
          <w:tcPr>
            <w:tcW w:w="2013" w:type="pct"/>
            <w:tcBorders>
              <w:top w:val="double" w:color="808080" w:sz="4" w:space="0"/>
              <w:left w:val="double" w:color="808080" w:sz="4" w:space="0"/>
              <w:bottom w:val="single" w:color="808080" w:sz="6" w:space="0"/>
              <w:right w:val="single" w:color="808080" w:sz="6" w:space="0"/>
            </w:tcBorders>
            <w:shd w:val="clear" w:color="auto" w:fill="auto"/>
            <w:vAlign w:val="center"/>
            <w:hideMark/>
          </w:tcPr>
          <w:p w:rsidRPr="00B7108A" w:rsidR="00D10544" w:rsidP="009B774E" w:rsidRDefault="00D10544" w14:paraId="0EF8B82B" w14:textId="77777777">
            <w:pPr>
              <w:ind w:firstLine="204"/>
              <w:rPr>
                <w:rFonts w:asciiTheme="majorBidi" w:hAnsiTheme="majorBidi" w:cstheme="majorBidi"/>
                <w:b/>
                <w:sz w:val="20"/>
                <w:szCs w:val="20"/>
              </w:rPr>
            </w:pPr>
            <w:r w:rsidRPr="00B7108A">
              <w:rPr>
                <w:rFonts w:asciiTheme="majorBidi" w:hAnsiTheme="majorBidi" w:cstheme="majorBidi"/>
                <w:b/>
                <w:sz w:val="20"/>
                <w:szCs w:val="20"/>
              </w:rPr>
              <w:t>Data Generation</w:t>
            </w:r>
          </w:p>
        </w:tc>
        <w:tc>
          <w:tcPr>
            <w:tcW w:w="769" w:type="pct"/>
            <w:tcBorders>
              <w:top w:val="double" w:color="808080" w:sz="4" w:space="0"/>
              <w:left w:val="single" w:color="808080" w:sz="6" w:space="0"/>
              <w:bottom w:val="single" w:color="808080" w:sz="6" w:space="0"/>
              <w:right w:val="single" w:color="808080" w:sz="6" w:space="0"/>
            </w:tcBorders>
            <w:shd w:val="clear" w:color="auto" w:fill="auto"/>
            <w:vAlign w:val="center"/>
            <w:hideMark/>
          </w:tcPr>
          <w:p w:rsidRPr="00B7108A" w:rsidR="00D10544" w:rsidP="009B774E" w:rsidRDefault="00D10544" w14:paraId="76BDF082" w14:textId="546238E8">
            <w:pPr>
              <w:jc w:val="center"/>
              <w:rPr>
                <w:rFonts w:asciiTheme="majorBidi" w:hAnsiTheme="majorBidi" w:cstheme="majorBidi"/>
                <w:b/>
                <w:sz w:val="20"/>
                <w:szCs w:val="20"/>
              </w:rPr>
            </w:pPr>
            <w:r w:rsidRPr="00B7108A">
              <w:rPr>
                <w:b/>
                <w:bCs/>
                <w:sz w:val="20"/>
                <w:szCs w:val="20"/>
              </w:rPr>
              <w:t>7</w:t>
            </w:r>
            <w:r w:rsidRPr="00B7108A" w:rsidR="00072BCA">
              <w:rPr>
                <w:b/>
                <w:bCs/>
                <w:sz w:val="20"/>
                <w:szCs w:val="20"/>
              </w:rPr>
              <w:t>89</w:t>
            </w:r>
          </w:p>
        </w:tc>
        <w:tc>
          <w:tcPr>
            <w:tcW w:w="975" w:type="pct"/>
            <w:tcBorders>
              <w:top w:val="double" w:color="808080" w:sz="4" w:space="0"/>
              <w:left w:val="single" w:color="808080" w:sz="6" w:space="0"/>
              <w:bottom w:val="single" w:color="808080" w:sz="6" w:space="0"/>
              <w:right w:val="single" w:color="808080" w:sz="6" w:space="0"/>
            </w:tcBorders>
            <w:shd w:val="clear" w:color="auto" w:fill="auto"/>
            <w:vAlign w:val="center"/>
            <w:hideMark/>
          </w:tcPr>
          <w:p w:rsidRPr="00B7108A" w:rsidR="00D10544" w:rsidP="009B774E" w:rsidRDefault="00072BCA" w14:paraId="6FC08F7A" w14:textId="572DF452">
            <w:pPr>
              <w:jc w:val="center"/>
              <w:rPr>
                <w:rFonts w:asciiTheme="majorBidi" w:hAnsiTheme="majorBidi" w:cstheme="majorBidi"/>
                <w:b/>
                <w:sz w:val="20"/>
                <w:szCs w:val="20"/>
              </w:rPr>
            </w:pPr>
            <w:r w:rsidRPr="00B7108A">
              <w:rPr>
                <w:b/>
                <w:bCs/>
                <w:sz w:val="20"/>
                <w:szCs w:val="20"/>
              </w:rPr>
              <w:t>1,416,831</w:t>
            </w:r>
          </w:p>
        </w:tc>
        <w:tc>
          <w:tcPr>
            <w:tcW w:w="1243" w:type="pct"/>
            <w:tcBorders>
              <w:top w:val="double" w:color="808080" w:sz="4" w:space="0"/>
              <w:left w:val="single" w:color="808080" w:sz="6" w:space="0"/>
              <w:bottom w:val="single" w:color="808080" w:sz="6" w:space="0"/>
              <w:right w:val="double" w:color="808080" w:sz="4" w:space="0"/>
            </w:tcBorders>
            <w:shd w:val="clear" w:color="auto" w:fill="auto"/>
            <w:vAlign w:val="center"/>
            <w:hideMark/>
          </w:tcPr>
          <w:p w:rsidRPr="00B7108A" w:rsidR="00D10544" w:rsidP="009B774E" w:rsidRDefault="00072BCA" w14:paraId="494D3D05" w14:textId="1902D80A">
            <w:pPr>
              <w:jc w:val="center"/>
              <w:rPr>
                <w:rFonts w:asciiTheme="majorBidi" w:hAnsiTheme="majorBidi" w:cstheme="majorBidi"/>
                <w:b/>
                <w:sz w:val="20"/>
                <w:szCs w:val="20"/>
              </w:rPr>
            </w:pPr>
            <w:r w:rsidRPr="00B7108A">
              <w:rPr>
                <w:b/>
                <w:bCs/>
                <w:sz w:val="20"/>
                <w:szCs w:val="20"/>
              </w:rPr>
              <w:t>$106,315,000</w:t>
            </w:r>
          </w:p>
        </w:tc>
      </w:tr>
      <w:tr w:rsidRPr="00B7108A" w:rsidR="00D10544" w:rsidTr="00072BCA" w14:paraId="2F5DFE54" w14:textId="77777777">
        <w:trPr>
          <w:trHeight w:val="288"/>
        </w:trPr>
        <w:tc>
          <w:tcPr>
            <w:tcW w:w="2013" w:type="pct"/>
            <w:tcBorders>
              <w:top w:val="single" w:color="808080" w:sz="6" w:space="0"/>
              <w:left w:val="double" w:color="808080" w:sz="4" w:space="0"/>
              <w:bottom w:val="single" w:color="808080" w:sz="6" w:space="0"/>
              <w:right w:val="single" w:color="808080" w:sz="6" w:space="0"/>
            </w:tcBorders>
            <w:shd w:val="clear" w:color="auto" w:fill="auto"/>
            <w:vAlign w:val="center"/>
            <w:hideMark/>
          </w:tcPr>
          <w:p w:rsidRPr="00B7108A" w:rsidR="00D10544" w:rsidP="009B774E" w:rsidRDefault="00D10544" w14:paraId="0CE75CC6" w14:textId="77777777">
            <w:pPr>
              <w:ind w:firstLine="384"/>
              <w:rPr>
                <w:rFonts w:asciiTheme="majorBidi" w:hAnsiTheme="majorBidi" w:cstheme="majorBidi"/>
                <w:sz w:val="20"/>
                <w:szCs w:val="20"/>
              </w:rPr>
            </w:pPr>
            <w:r w:rsidRPr="00B7108A">
              <w:rPr>
                <w:rFonts w:asciiTheme="majorBidi" w:hAnsiTheme="majorBidi" w:cstheme="majorBidi"/>
                <w:sz w:val="20"/>
                <w:szCs w:val="20"/>
              </w:rPr>
              <w:t>New AIs</w:t>
            </w:r>
          </w:p>
        </w:tc>
        <w:tc>
          <w:tcPr>
            <w:tcW w:w="769" w:type="pct"/>
            <w:tcBorders>
              <w:top w:val="single" w:color="808080" w:sz="6" w:space="0"/>
              <w:left w:val="single" w:color="808080" w:sz="6" w:space="0"/>
              <w:bottom w:val="single" w:color="808080" w:sz="6" w:space="0"/>
              <w:right w:val="single" w:color="808080" w:sz="6" w:space="0"/>
            </w:tcBorders>
            <w:shd w:val="clear" w:color="auto" w:fill="auto"/>
            <w:vAlign w:val="center"/>
            <w:hideMark/>
          </w:tcPr>
          <w:p w:rsidRPr="00B7108A" w:rsidR="00D10544" w:rsidP="009B774E" w:rsidRDefault="00D10544" w14:paraId="22DEC32A" w14:textId="1D26C0D7">
            <w:pPr>
              <w:jc w:val="center"/>
              <w:rPr>
                <w:rFonts w:asciiTheme="majorBidi" w:hAnsiTheme="majorBidi" w:cstheme="majorBidi"/>
                <w:sz w:val="20"/>
                <w:szCs w:val="20"/>
              </w:rPr>
            </w:pPr>
            <w:r w:rsidRPr="00B7108A">
              <w:rPr>
                <w:sz w:val="20"/>
                <w:szCs w:val="20"/>
              </w:rPr>
              <w:t>2</w:t>
            </w:r>
            <w:r w:rsidRPr="00B7108A" w:rsidR="00072BCA">
              <w:rPr>
                <w:sz w:val="20"/>
                <w:szCs w:val="20"/>
              </w:rPr>
              <w:t>7</w:t>
            </w:r>
          </w:p>
        </w:tc>
        <w:tc>
          <w:tcPr>
            <w:tcW w:w="975" w:type="pct"/>
            <w:tcBorders>
              <w:top w:val="single" w:color="808080" w:sz="6" w:space="0"/>
              <w:left w:val="single" w:color="808080" w:sz="6" w:space="0"/>
              <w:bottom w:val="single" w:color="808080" w:sz="6" w:space="0"/>
              <w:right w:val="single" w:color="808080" w:sz="6" w:space="0"/>
            </w:tcBorders>
            <w:shd w:val="clear" w:color="auto" w:fill="auto"/>
            <w:vAlign w:val="center"/>
            <w:hideMark/>
          </w:tcPr>
          <w:p w:rsidRPr="00B7108A" w:rsidR="00D10544" w:rsidP="009B774E" w:rsidRDefault="00072BCA" w14:paraId="56F1F4AE" w14:textId="72C0BD56">
            <w:pPr>
              <w:jc w:val="center"/>
              <w:rPr>
                <w:rFonts w:asciiTheme="majorBidi" w:hAnsiTheme="majorBidi" w:cstheme="majorBidi"/>
                <w:sz w:val="20"/>
                <w:szCs w:val="20"/>
              </w:rPr>
            </w:pPr>
            <w:r w:rsidRPr="00B7108A">
              <w:rPr>
                <w:sz w:val="20"/>
                <w:szCs w:val="20"/>
              </w:rPr>
              <w:t>839,987</w:t>
            </w:r>
          </w:p>
        </w:tc>
        <w:tc>
          <w:tcPr>
            <w:tcW w:w="1243" w:type="pct"/>
            <w:tcBorders>
              <w:top w:val="single" w:color="808080" w:sz="6" w:space="0"/>
              <w:left w:val="single" w:color="808080" w:sz="6" w:space="0"/>
              <w:bottom w:val="single" w:color="808080" w:sz="6" w:space="0"/>
              <w:right w:val="double" w:color="808080" w:sz="4" w:space="0"/>
            </w:tcBorders>
            <w:shd w:val="clear" w:color="auto" w:fill="auto"/>
            <w:vAlign w:val="center"/>
            <w:hideMark/>
          </w:tcPr>
          <w:p w:rsidRPr="00B7108A" w:rsidR="00D10544" w:rsidP="009B774E" w:rsidRDefault="00072BCA" w14:paraId="1B44898F" w14:textId="672C8626">
            <w:pPr>
              <w:jc w:val="center"/>
              <w:rPr>
                <w:rFonts w:asciiTheme="majorBidi" w:hAnsiTheme="majorBidi" w:cstheme="majorBidi"/>
                <w:sz w:val="20"/>
                <w:szCs w:val="20"/>
              </w:rPr>
            </w:pPr>
            <w:r w:rsidRPr="00B7108A">
              <w:rPr>
                <w:sz w:val="20"/>
                <w:szCs w:val="20"/>
              </w:rPr>
              <w:t>$62,640,000</w:t>
            </w:r>
            <w:r w:rsidRPr="00B7108A" w:rsidR="00D10544">
              <w:rPr>
                <w:sz w:val="20"/>
                <w:szCs w:val="20"/>
              </w:rPr>
              <w:t xml:space="preserve"> </w:t>
            </w:r>
          </w:p>
        </w:tc>
      </w:tr>
      <w:tr w:rsidRPr="00B7108A" w:rsidR="00D10544" w:rsidTr="00072BCA" w14:paraId="2F05B312" w14:textId="77777777">
        <w:trPr>
          <w:trHeight w:val="288"/>
        </w:trPr>
        <w:tc>
          <w:tcPr>
            <w:tcW w:w="2013" w:type="pct"/>
            <w:tcBorders>
              <w:top w:val="single" w:color="808080" w:sz="6" w:space="0"/>
              <w:left w:val="double" w:color="808080" w:sz="4" w:space="0"/>
              <w:bottom w:val="double" w:color="808080" w:sz="4" w:space="0"/>
              <w:right w:val="single" w:color="808080" w:sz="6" w:space="0"/>
            </w:tcBorders>
            <w:shd w:val="clear" w:color="auto" w:fill="auto"/>
            <w:vAlign w:val="center"/>
            <w:hideMark/>
          </w:tcPr>
          <w:p w:rsidRPr="00B7108A" w:rsidR="00D10544" w:rsidP="009B774E" w:rsidRDefault="00D10544" w14:paraId="43F2AC04" w14:textId="77777777">
            <w:pPr>
              <w:ind w:firstLine="384"/>
              <w:rPr>
                <w:rFonts w:asciiTheme="majorBidi" w:hAnsiTheme="majorBidi" w:cstheme="majorBidi"/>
                <w:sz w:val="20"/>
                <w:szCs w:val="20"/>
              </w:rPr>
            </w:pPr>
            <w:r w:rsidRPr="00B7108A">
              <w:rPr>
                <w:rFonts w:asciiTheme="majorBidi" w:hAnsiTheme="majorBidi" w:cstheme="majorBidi"/>
                <w:sz w:val="20"/>
                <w:szCs w:val="20"/>
              </w:rPr>
              <w:t>New Products</w:t>
            </w:r>
          </w:p>
        </w:tc>
        <w:tc>
          <w:tcPr>
            <w:tcW w:w="769" w:type="pct"/>
            <w:tcBorders>
              <w:top w:val="single" w:color="808080" w:sz="6" w:space="0"/>
              <w:left w:val="single" w:color="808080" w:sz="6" w:space="0"/>
              <w:bottom w:val="double" w:color="808080" w:sz="4" w:space="0"/>
              <w:right w:val="single" w:color="808080" w:sz="6" w:space="0"/>
            </w:tcBorders>
            <w:shd w:val="clear" w:color="auto" w:fill="auto"/>
            <w:vAlign w:val="center"/>
            <w:hideMark/>
          </w:tcPr>
          <w:p w:rsidRPr="00B7108A" w:rsidR="00D10544" w:rsidP="009B774E" w:rsidRDefault="00D10544" w14:paraId="4FBDE494" w14:textId="471954CD">
            <w:pPr>
              <w:jc w:val="center"/>
              <w:rPr>
                <w:rFonts w:asciiTheme="majorBidi" w:hAnsiTheme="majorBidi" w:cstheme="majorBidi"/>
                <w:sz w:val="20"/>
                <w:szCs w:val="20"/>
              </w:rPr>
            </w:pPr>
            <w:r w:rsidRPr="00B7108A">
              <w:rPr>
                <w:sz w:val="20"/>
                <w:szCs w:val="20"/>
              </w:rPr>
              <w:t>762</w:t>
            </w:r>
          </w:p>
        </w:tc>
        <w:tc>
          <w:tcPr>
            <w:tcW w:w="975" w:type="pct"/>
            <w:tcBorders>
              <w:top w:val="single" w:color="808080" w:sz="6" w:space="0"/>
              <w:left w:val="single" w:color="808080" w:sz="6" w:space="0"/>
              <w:bottom w:val="double" w:color="808080" w:sz="4" w:space="0"/>
              <w:right w:val="single" w:color="808080" w:sz="6" w:space="0"/>
            </w:tcBorders>
            <w:shd w:val="clear" w:color="auto" w:fill="auto"/>
            <w:vAlign w:val="center"/>
            <w:hideMark/>
          </w:tcPr>
          <w:p w:rsidRPr="00B7108A" w:rsidR="00D10544" w:rsidP="009B774E" w:rsidRDefault="00D10544" w14:paraId="42F6D469" w14:textId="31D71CE8">
            <w:pPr>
              <w:jc w:val="center"/>
              <w:rPr>
                <w:rFonts w:asciiTheme="majorBidi" w:hAnsiTheme="majorBidi" w:cstheme="majorBidi"/>
                <w:sz w:val="20"/>
                <w:szCs w:val="20"/>
              </w:rPr>
            </w:pPr>
            <w:r w:rsidRPr="00B7108A">
              <w:rPr>
                <w:sz w:val="20"/>
                <w:szCs w:val="20"/>
              </w:rPr>
              <w:t>576,844</w:t>
            </w:r>
          </w:p>
        </w:tc>
        <w:tc>
          <w:tcPr>
            <w:tcW w:w="1243" w:type="pct"/>
            <w:tcBorders>
              <w:top w:val="single" w:color="808080" w:sz="6" w:space="0"/>
              <w:left w:val="single" w:color="808080" w:sz="6" w:space="0"/>
              <w:bottom w:val="double" w:color="808080" w:sz="4" w:space="0"/>
              <w:right w:val="double" w:color="808080" w:sz="4" w:space="0"/>
            </w:tcBorders>
            <w:shd w:val="clear" w:color="auto" w:fill="auto"/>
            <w:vAlign w:val="center"/>
            <w:hideMark/>
          </w:tcPr>
          <w:p w:rsidRPr="00B7108A" w:rsidR="00D10544" w:rsidP="009B774E" w:rsidRDefault="00D10544" w14:paraId="123FA766" w14:textId="247CC15B">
            <w:pPr>
              <w:jc w:val="center"/>
              <w:rPr>
                <w:rFonts w:asciiTheme="majorBidi" w:hAnsiTheme="majorBidi" w:cstheme="majorBidi"/>
                <w:sz w:val="20"/>
                <w:szCs w:val="20"/>
              </w:rPr>
            </w:pPr>
            <w:r w:rsidRPr="00B7108A">
              <w:rPr>
                <w:sz w:val="20"/>
                <w:szCs w:val="20"/>
              </w:rPr>
              <w:t xml:space="preserve">$43,675,000 </w:t>
            </w:r>
          </w:p>
        </w:tc>
      </w:tr>
      <w:tr w:rsidRPr="008F5A07" w:rsidR="00D10544" w:rsidTr="00072BCA" w14:paraId="0099ED40" w14:textId="77777777">
        <w:trPr>
          <w:trHeight w:val="288"/>
        </w:trPr>
        <w:tc>
          <w:tcPr>
            <w:tcW w:w="2013" w:type="pct"/>
            <w:tcBorders>
              <w:top w:val="nil"/>
              <w:left w:val="double" w:color="808080" w:sz="6" w:space="0"/>
              <w:bottom w:val="double" w:color="808080" w:sz="6" w:space="0"/>
              <w:right w:val="single" w:color="808080" w:sz="4" w:space="0"/>
            </w:tcBorders>
            <w:shd w:val="clear" w:color="auto" w:fill="auto"/>
            <w:vAlign w:val="center"/>
            <w:hideMark/>
          </w:tcPr>
          <w:p w:rsidRPr="00B7108A" w:rsidR="00D10544" w:rsidP="009B774E" w:rsidRDefault="00D10544" w14:paraId="08B38A2A" w14:textId="77777777">
            <w:pPr>
              <w:rPr>
                <w:rFonts w:asciiTheme="majorBidi" w:hAnsiTheme="majorBidi" w:cstheme="majorBidi"/>
                <w:b/>
                <w:sz w:val="20"/>
                <w:szCs w:val="20"/>
              </w:rPr>
            </w:pPr>
            <w:r w:rsidRPr="00B7108A">
              <w:rPr>
                <w:rFonts w:asciiTheme="majorBidi" w:hAnsiTheme="majorBidi" w:cstheme="majorBidi"/>
                <w:b/>
                <w:sz w:val="20"/>
                <w:szCs w:val="20"/>
              </w:rPr>
              <w:t>TOTAL AGENCY BURDEN</w:t>
            </w:r>
          </w:p>
        </w:tc>
        <w:tc>
          <w:tcPr>
            <w:tcW w:w="769" w:type="pct"/>
            <w:tcBorders>
              <w:top w:val="nil"/>
              <w:left w:val="nil"/>
              <w:bottom w:val="double" w:color="808080" w:sz="6" w:space="0"/>
              <w:right w:val="single" w:color="808080" w:sz="4" w:space="0"/>
            </w:tcBorders>
            <w:shd w:val="clear" w:color="auto" w:fill="auto"/>
            <w:vAlign w:val="center"/>
            <w:hideMark/>
          </w:tcPr>
          <w:p w:rsidRPr="00B7108A" w:rsidR="00D10544" w:rsidP="009B774E" w:rsidRDefault="00D10544" w14:paraId="6AC831D1" w14:textId="61128810">
            <w:pPr>
              <w:jc w:val="center"/>
              <w:rPr>
                <w:rFonts w:asciiTheme="majorBidi" w:hAnsiTheme="majorBidi" w:cstheme="majorBidi"/>
                <w:sz w:val="20"/>
                <w:szCs w:val="20"/>
              </w:rPr>
            </w:pPr>
            <w:r w:rsidRPr="00B7108A">
              <w:rPr>
                <w:sz w:val="20"/>
                <w:szCs w:val="20"/>
              </w:rPr>
              <w:t> </w:t>
            </w:r>
          </w:p>
        </w:tc>
        <w:tc>
          <w:tcPr>
            <w:tcW w:w="975" w:type="pct"/>
            <w:tcBorders>
              <w:top w:val="nil"/>
              <w:left w:val="nil"/>
              <w:bottom w:val="double" w:color="808080" w:sz="6" w:space="0"/>
              <w:right w:val="single" w:color="808080" w:sz="4" w:space="0"/>
            </w:tcBorders>
            <w:shd w:val="clear" w:color="auto" w:fill="auto"/>
            <w:vAlign w:val="center"/>
            <w:hideMark/>
          </w:tcPr>
          <w:p w:rsidRPr="00B7108A" w:rsidR="00D10544" w:rsidP="009B774E" w:rsidRDefault="00D10544" w14:paraId="1D2C007C" w14:textId="1EFABD02">
            <w:pPr>
              <w:jc w:val="center"/>
              <w:rPr>
                <w:rFonts w:asciiTheme="majorBidi" w:hAnsiTheme="majorBidi" w:cstheme="majorBidi"/>
                <w:b/>
                <w:sz w:val="20"/>
                <w:szCs w:val="20"/>
              </w:rPr>
            </w:pPr>
            <w:r w:rsidRPr="00B7108A">
              <w:rPr>
                <w:b/>
                <w:sz w:val="20"/>
                <w:szCs w:val="20"/>
              </w:rPr>
              <w:t>369,127</w:t>
            </w:r>
          </w:p>
        </w:tc>
        <w:tc>
          <w:tcPr>
            <w:tcW w:w="1243" w:type="pct"/>
            <w:tcBorders>
              <w:top w:val="nil"/>
              <w:left w:val="nil"/>
              <w:bottom w:val="double" w:color="808080" w:sz="6" w:space="0"/>
              <w:right w:val="double" w:color="808080" w:sz="6" w:space="0"/>
            </w:tcBorders>
            <w:shd w:val="clear" w:color="auto" w:fill="auto"/>
            <w:vAlign w:val="center"/>
            <w:hideMark/>
          </w:tcPr>
          <w:p w:rsidRPr="008F5A07" w:rsidR="00D10544" w:rsidP="009B774E" w:rsidRDefault="00D10544" w14:paraId="3C1B5BB4" w14:textId="1431BE7C">
            <w:pPr>
              <w:jc w:val="center"/>
              <w:rPr>
                <w:rFonts w:asciiTheme="majorBidi" w:hAnsiTheme="majorBidi" w:cstheme="majorBidi"/>
                <w:b/>
                <w:sz w:val="20"/>
                <w:szCs w:val="20"/>
              </w:rPr>
            </w:pPr>
            <w:r w:rsidRPr="00B7108A">
              <w:rPr>
                <w:b/>
                <w:sz w:val="20"/>
                <w:szCs w:val="20"/>
              </w:rPr>
              <w:t>$33,929,979</w:t>
            </w:r>
            <w:r w:rsidRPr="008F5A07">
              <w:rPr>
                <w:b/>
                <w:sz w:val="20"/>
                <w:szCs w:val="20"/>
              </w:rPr>
              <w:t xml:space="preserve"> </w:t>
            </w:r>
          </w:p>
        </w:tc>
      </w:tr>
    </w:tbl>
    <w:p w:rsidR="005459DF" w:rsidP="009B774E" w:rsidRDefault="005459DF" w14:paraId="1E1392D7" w14:textId="77777777">
      <w:pPr>
        <w:rPr>
          <w:rFonts w:asciiTheme="majorBidi" w:hAnsiTheme="majorBidi" w:cstheme="majorBidi"/>
          <w:sz w:val="20"/>
        </w:rPr>
      </w:pPr>
      <w:r w:rsidRPr="008F5A07">
        <w:rPr>
          <w:rFonts w:asciiTheme="majorBidi" w:hAnsiTheme="majorBidi" w:cstheme="majorBidi"/>
          <w:sz w:val="20"/>
        </w:rPr>
        <w:t>*Numbers may not sum due to rounding.</w:t>
      </w:r>
    </w:p>
    <w:p w:rsidRPr="00C270C5" w:rsidR="00C47DDD" w:rsidP="009B774E" w:rsidRDefault="00C47DDD" w14:paraId="33FCD112" w14:textId="148B5387">
      <w:pPr>
        <w:rPr>
          <w:rFonts w:asciiTheme="majorBidi" w:hAnsiTheme="majorBidi" w:cstheme="majorBidi"/>
        </w:rPr>
      </w:pPr>
    </w:p>
    <w:p w:rsidR="00970B5B" w:rsidP="009B774E" w:rsidRDefault="00970B5B" w14:paraId="0FAD2C23" w14:textId="24363001">
      <w:pPr>
        <w:ind w:firstLine="720"/>
        <w:rPr>
          <w:rFonts w:asciiTheme="majorBidi" w:hAnsiTheme="majorBidi" w:cstheme="majorBidi"/>
          <w:b/>
          <w:bCs/>
        </w:rPr>
      </w:pPr>
      <w:r w:rsidRPr="00027D2B">
        <w:rPr>
          <w:rFonts w:asciiTheme="majorBidi" w:hAnsiTheme="majorBidi" w:cstheme="majorBidi"/>
          <w:b/>
          <w:bCs/>
        </w:rPr>
        <w:t>6(f)</w:t>
      </w:r>
      <w:r w:rsidRPr="00027D2B">
        <w:rPr>
          <w:rFonts w:asciiTheme="majorBidi" w:hAnsiTheme="majorBidi" w:cstheme="majorBidi"/>
          <w:b/>
          <w:bCs/>
        </w:rPr>
        <w:tab/>
        <w:t>Reasons for Change in Burden</w:t>
      </w:r>
    </w:p>
    <w:p w:rsidRPr="00027D2B" w:rsidR="00652C17" w:rsidP="009B774E" w:rsidRDefault="00652C17" w14:paraId="4DDC6EC7" w14:textId="77777777">
      <w:pPr>
        <w:ind w:firstLine="720"/>
        <w:rPr>
          <w:rFonts w:asciiTheme="majorBidi" w:hAnsiTheme="majorBidi" w:cstheme="majorBidi"/>
        </w:rPr>
      </w:pPr>
    </w:p>
    <w:p w:rsidR="00232436" w:rsidP="00232436" w:rsidRDefault="00232436" w14:paraId="45D063D8" w14:textId="77777777">
      <w:pPr>
        <w:ind w:firstLine="720"/>
        <w:rPr>
          <w:rFonts w:asciiTheme="majorBidi" w:hAnsiTheme="majorBidi" w:cstheme="majorBidi"/>
        </w:rPr>
      </w:pPr>
      <w:r>
        <w:rPr>
          <w:rFonts w:asciiTheme="majorBidi" w:hAnsiTheme="majorBidi" w:cstheme="majorBidi"/>
        </w:rPr>
        <w:t xml:space="preserve">The activities in this ICR increase net respondent burden by 37,624 hours annually over the levels </w:t>
      </w:r>
      <w:r w:rsidRPr="004F6E7B">
        <w:rPr>
          <w:rFonts w:asciiTheme="majorBidi" w:hAnsiTheme="majorBidi" w:cstheme="majorBidi"/>
        </w:rPr>
        <w:t xml:space="preserve">approved in the currently approved collection. </w:t>
      </w:r>
      <w:r>
        <w:rPr>
          <w:rFonts w:asciiTheme="majorBidi" w:hAnsiTheme="majorBidi" w:cstheme="majorBidi"/>
        </w:rPr>
        <w:t>While burden per response levels remain unchanged, the number of responses expected in certain categories has shifted as a result of using an updated data set (</w:t>
      </w:r>
      <w:r w:rsidRPr="004F6E7B">
        <w:rPr>
          <w:rFonts w:asciiTheme="majorBidi" w:hAnsiTheme="majorBidi" w:cstheme="majorBidi"/>
        </w:rPr>
        <w:t>Section 3 registration actions annually, on average, during the years 2015-2017</w:t>
      </w:r>
      <w:r>
        <w:rPr>
          <w:rFonts w:asciiTheme="majorBidi" w:hAnsiTheme="majorBidi" w:cstheme="majorBidi"/>
        </w:rPr>
        <w:t xml:space="preserve">) to predict future registration application levels. </w:t>
      </w:r>
      <w:r w:rsidRPr="004F6E7B">
        <w:rPr>
          <w:rFonts w:asciiTheme="majorBidi" w:hAnsiTheme="majorBidi" w:cstheme="majorBidi"/>
        </w:rPr>
        <w:t xml:space="preserve">Additionally, in this iteration of the ICR, the Agency calculates the expected annual application burden of three proposed programs that are anticipated to come online in the next three years.  </w:t>
      </w:r>
    </w:p>
    <w:p w:rsidRPr="004F6E7B" w:rsidR="00232436" w:rsidP="00232436" w:rsidRDefault="00232436" w14:paraId="669327AA" w14:textId="77777777">
      <w:pPr>
        <w:keepNext/>
        <w:ind w:firstLine="720"/>
        <w:rPr>
          <w:rFonts w:asciiTheme="majorBidi" w:hAnsiTheme="majorBidi" w:cstheme="majorBidi"/>
        </w:rPr>
      </w:pPr>
      <w:r>
        <w:rPr>
          <w:rFonts w:asciiTheme="majorBidi" w:hAnsiTheme="majorBidi" w:cstheme="majorBidi"/>
        </w:rPr>
        <w:t xml:space="preserve">  </w:t>
      </w:r>
      <w:r w:rsidRPr="004F6E7B">
        <w:rPr>
          <w:rFonts w:asciiTheme="majorBidi" w:hAnsiTheme="majorBidi" w:cstheme="majorBidi"/>
        </w:rPr>
        <w:t>The average</w:t>
      </w:r>
      <w:r>
        <w:rPr>
          <w:rFonts w:asciiTheme="majorBidi" w:hAnsiTheme="majorBidi" w:cstheme="majorBidi"/>
        </w:rPr>
        <w:t xml:space="preserve"> annual number of </w:t>
      </w:r>
      <w:r w:rsidRPr="004F6E7B">
        <w:rPr>
          <w:rFonts w:asciiTheme="majorBidi" w:hAnsiTheme="majorBidi" w:cstheme="majorBidi"/>
        </w:rPr>
        <w:t xml:space="preserve">Section 3 registration actions </w:t>
      </w:r>
      <w:r>
        <w:rPr>
          <w:rFonts w:asciiTheme="majorBidi" w:hAnsiTheme="majorBidi" w:cstheme="majorBidi"/>
        </w:rPr>
        <w:t>dropped</w:t>
      </w:r>
      <w:r w:rsidRPr="004F6E7B">
        <w:rPr>
          <w:rFonts w:asciiTheme="majorBidi" w:hAnsiTheme="majorBidi" w:cstheme="majorBidi"/>
        </w:rPr>
        <w:t xml:space="preserve"> during the years 2015-2017 from 7,478 to 7,292</w:t>
      </w:r>
      <w:r>
        <w:rPr>
          <w:rFonts w:asciiTheme="majorBidi" w:hAnsiTheme="majorBidi" w:cstheme="majorBidi"/>
        </w:rPr>
        <w:t xml:space="preserve">. As a result, baseline registration levels, exclusive of the new programs, were reset at </w:t>
      </w:r>
      <w:r w:rsidRPr="004F6E7B">
        <w:rPr>
          <w:rFonts w:asciiTheme="majorBidi" w:hAnsiTheme="majorBidi" w:cstheme="majorBidi"/>
        </w:rPr>
        <w:t>an</w:t>
      </w:r>
      <w:r>
        <w:rPr>
          <w:rFonts w:asciiTheme="majorBidi" w:hAnsiTheme="majorBidi" w:cstheme="majorBidi"/>
        </w:rPr>
        <w:t xml:space="preserve"> </w:t>
      </w:r>
      <w:proofErr w:type="gramStart"/>
      <w:r>
        <w:rPr>
          <w:rFonts w:asciiTheme="majorBidi" w:hAnsiTheme="majorBidi" w:cstheme="majorBidi"/>
        </w:rPr>
        <w:t>annual</w:t>
      </w:r>
      <w:r w:rsidRPr="004F6E7B">
        <w:rPr>
          <w:rFonts w:asciiTheme="majorBidi" w:hAnsiTheme="majorBidi" w:cstheme="majorBidi"/>
        </w:rPr>
        <w:t xml:space="preserve"> average</w:t>
      </w:r>
      <w:r>
        <w:rPr>
          <w:rFonts w:asciiTheme="majorBidi" w:hAnsiTheme="majorBidi" w:cstheme="majorBidi"/>
        </w:rPr>
        <w:t>s</w:t>
      </w:r>
      <w:proofErr w:type="gramEnd"/>
      <w:r w:rsidRPr="004F6E7B">
        <w:rPr>
          <w:rFonts w:asciiTheme="majorBidi" w:hAnsiTheme="majorBidi" w:cstheme="majorBidi"/>
        </w:rPr>
        <w:t xml:space="preserve"> of 205 “Type A” activities, 7,082 “Type B” activities, and 5 “Type C” activities. </w:t>
      </w:r>
    </w:p>
    <w:p w:rsidR="00232436" w:rsidP="00232436" w:rsidRDefault="00232436" w14:paraId="36658890" w14:textId="77777777">
      <w:pPr>
        <w:ind w:firstLine="720"/>
        <w:rPr>
          <w:rFonts w:asciiTheme="majorBidi" w:hAnsiTheme="majorBidi" w:cstheme="majorBidi"/>
        </w:rPr>
      </w:pPr>
      <w:r w:rsidRPr="004F6E7B">
        <w:rPr>
          <w:rFonts w:asciiTheme="majorBidi" w:hAnsiTheme="majorBidi" w:cstheme="majorBidi"/>
        </w:rPr>
        <w:t xml:space="preserve">EPA estimates that the addition of several new fee-for-service PRIA categories will increase the annual number of Type B actions by 40. </w:t>
      </w:r>
      <w:r>
        <w:rPr>
          <w:rFonts w:asciiTheme="majorBidi" w:hAnsiTheme="majorBidi" w:cstheme="majorBidi"/>
        </w:rPr>
        <w:t>T</w:t>
      </w:r>
      <w:r w:rsidRPr="004F6E7B">
        <w:rPr>
          <w:rFonts w:asciiTheme="majorBidi" w:hAnsiTheme="majorBidi" w:cstheme="majorBidi"/>
        </w:rPr>
        <w:t xml:space="preserve">he Agency does not anticipate any paperwork burden from data generation for new products </w:t>
      </w:r>
      <w:r>
        <w:rPr>
          <w:rFonts w:asciiTheme="majorBidi" w:hAnsiTheme="majorBidi" w:cstheme="majorBidi"/>
        </w:rPr>
        <w:t xml:space="preserve">or </w:t>
      </w:r>
      <w:r w:rsidRPr="004F6E7B">
        <w:t xml:space="preserve">for new active ingredients </w:t>
      </w:r>
      <w:r w:rsidRPr="004F6E7B">
        <w:rPr>
          <w:rFonts w:asciiTheme="majorBidi" w:hAnsiTheme="majorBidi" w:cstheme="majorBidi"/>
        </w:rPr>
        <w:t xml:space="preserve">resulting from these new PRIA categories.  </w:t>
      </w:r>
    </w:p>
    <w:p w:rsidR="00232436" w:rsidP="00232436" w:rsidRDefault="00232436" w14:paraId="7034D40D" w14:textId="77777777">
      <w:pPr>
        <w:ind w:firstLine="720"/>
        <w:rPr>
          <w:rFonts w:asciiTheme="majorBidi" w:hAnsiTheme="majorBidi" w:cstheme="majorBidi"/>
        </w:rPr>
      </w:pPr>
      <w:r w:rsidRPr="004F6E7B">
        <w:rPr>
          <w:rFonts w:asciiTheme="majorBidi" w:hAnsiTheme="majorBidi" w:cstheme="majorBidi"/>
        </w:rPr>
        <w:t xml:space="preserve">The Antimicrobial Performance Evaluation Program </w:t>
      </w:r>
      <w:r w:rsidRPr="004F6E7B">
        <w:t>(APEP)</w:t>
      </w:r>
      <w:r>
        <w:t xml:space="preserve"> </w:t>
      </w:r>
      <w:r w:rsidRPr="004F6E7B">
        <w:rPr>
          <w:rFonts w:asciiTheme="majorBidi" w:hAnsiTheme="majorBidi" w:cstheme="majorBidi"/>
        </w:rPr>
        <w:t xml:space="preserve">may impact up to 99 products annually, with an application burden for the registrant of each product. The Agency expects this burden to be similar to a Type B action. </w:t>
      </w:r>
      <w:r>
        <w:rPr>
          <w:rFonts w:asciiTheme="majorBidi" w:hAnsiTheme="majorBidi" w:cstheme="majorBidi"/>
        </w:rPr>
        <w:t>Furthermore, t</w:t>
      </w:r>
      <w:r w:rsidRPr="004F6E7B">
        <w:rPr>
          <w:rFonts w:asciiTheme="majorBidi" w:hAnsiTheme="majorBidi" w:cstheme="majorBidi"/>
        </w:rPr>
        <w:t xml:space="preserve">here may be a data generation burden for </w:t>
      </w:r>
      <w:r>
        <w:rPr>
          <w:rFonts w:asciiTheme="majorBidi" w:hAnsiTheme="majorBidi" w:cstheme="majorBidi"/>
        </w:rPr>
        <w:t>these</w:t>
      </w:r>
      <w:r w:rsidRPr="004F6E7B">
        <w:rPr>
          <w:rFonts w:asciiTheme="majorBidi" w:hAnsiTheme="majorBidi" w:cstheme="majorBidi"/>
        </w:rPr>
        <w:t xml:space="preserve"> products annually under </w:t>
      </w:r>
      <w:r w:rsidRPr="004F6E7B">
        <w:t>th</w:t>
      </w:r>
      <w:r>
        <w:t xml:space="preserve">is program.  </w:t>
      </w:r>
      <w:r w:rsidRPr="004F6E7B">
        <w:t xml:space="preserve">EPA conservatively estimates the </w:t>
      </w:r>
      <w:r w:rsidRPr="004F6E7B">
        <w:lastRenderedPageBreak/>
        <w:t xml:space="preserve">paperwork burden for data generation </w:t>
      </w:r>
      <w:r>
        <w:t>under</w:t>
      </w:r>
      <w:r w:rsidRPr="004F6E7B">
        <w:t xml:space="preserve"> APEP may look similar to the burden for an Antimicrobial new product</w:t>
      </w:r>
      <w:r>
        <w:t xml:space="preserve"> and has included this burden in the calculations for the Data Generation IC in this ICR</w:t>
      </w:r>
      <w:r w:rsidRPr="004F6E7B">
        <w:t xml:space="preserve">.  </w:t>
      </w:r>
    </w:p>
    <w:p w:rsidRPr="004F6E7B" w:rsidR="00232436" w:rsidP="00232436" w:rsidRDefault="00232436" w14:paraId="35B7EB76" w14:textId="77777777">
      <w:pPr>
        <w:ind w:firstLine="720"/>
      </w:pPr>
      <w:r w:rsidRPr="004F6E7B">
        <w:rPr>
          <w:rFonts w:asciiTheme="majorBidi" w:hAnsiTheme="majorBidi" w:cstheme="majorBidi"/>
        </w:rPr>
        <w:t xml:space="preserve">The Agency anticipates that the “Interim Process for Evaluating Potential Synergistic Effects of Pesticides During the Registration Process” will not cause a change in the number of </w:t>
      </w:r>
      <w:proofErr w:type="gramStart"/>
      <w:r w:rsidRPr="004F6E7B">
        <w:rPr>
          <w:rFonts w:asciiTheme="majorBidi" w:hAnsiTheme="majorBidi" w:cstheme="majorBidi"/>
        </w:rPr>
        <w:t>product</w:t>
      </w:r>
      <w:proofErr w:type="gramEnd"/>
      <w:r w:rsidRPr="004F6E7B">
        <w:rPr>
          <w:rFonts w:asciiTheme="majorBidi" w:hAnsiTheme="majorBidi" w:cstheme="majorBidi"/>
        </w:rPr>
        <w:t xml:space="preserve"> registrations, but will impose an additional Type A burden on registrants equivalent to about 8 active ingredients annually.</w:t>
      </w:r>
      <w:r w:rsidRPr="004F6E7B">
        <w:t xml:space="preserve">  </w:t>
      </w:r>
      <w:r>
        <w:t xml:space="preserve">The </w:t>
      </w:r>
      <w:r w:rsidRPr="004F6E7B">
        <w:t xml:space="preserve">Agency does not anticipate a paperwork burden from data generation for new active ingredients </w:t>
      </w:r>
      <w:r>
        <w:t xml:space="preserve">or new products </w:t>
      </w:r>
      <w:r w:rsidRPr="004F6E7B">
        <w:t>for the draft GTA guidance.</w:t>
      </w:r>
      <w:r w:rsidRPr="004F6E7B">
        <w:tab/>
      </w:r>
    </w:p>
    <w:p w:rsidR="00232436" w:rsidP="00232436" w:rsidRDefault="00232436" w14:paraId="6BD0E7B4" w14:textId="77777777"/>
    <w:p w:rsidRPr="00C270C5" w:rsidR="008253DD" w:rsidP="008253DD" w:rsidRDefault="008253DD" w14:paraId="47D2710A" w14:textId="2A2A3799">
      <w:pPr>
        <w:ind w:firstLine="720"/>
        <w:rPr>
          <w:rFonts w:asciiTheme="majorBidi" w:hAnsiTheme="majorBidi" w:cstheme="majorBidi"/>
          <w:b/>
        </w:rPr>
      </w:pPr>
      <w:r w:rsidRPr="00C270C5">
        <w:rPr>
          <w:rFonts w:asciiTheme="majorBidi" w:hAnsiTheme="majorBidi" w:cstheme="majorBidi"/>
          <w:b/>
        </w:rPr>
        <w:t>6(</w:t>
      </w:r>
      <w:r w:rsidRPr="00C270C5" w:rsidR="00970B5B">
        <w:rPr>
          <w:rFonts w:asciiTheme="majorBidi" w:hAnsiTheme="majorBidi" w:cstheme="majorBidi"/>
          <w:b/>
        </w:rPr>
        <w:t>g</w:t>
      </w:r>
      <w:r w:rsidRPr="00C270C5">
        <w:rPr>
          <w:rFonts w:asciiTheme="majorBidi" w:hAnsiTheme="majorBidi" w:cstheme="majorBidi"/>
          <w:b/>
        </w:rPr>
        <w:t>)</w:t>
      </w:r>
      <w:r w:rsidRPr="00C270C5">
        <w:rPr>
          <w:rFonts w:asciiTheme="majorBidi" w:hAnsiTheme="majorBidi" w:cstheme="majorBidi"/>
          <w:b/>
        </w:rPr>
        <w:tab/>
        <w:t xml:space="preserve">Burden Statement </w:t>
      </w:r>
    </w:p>
    <w:p w:rsidRPr="00C270C5" w:rsidR="008253DD" w:rsidP="008253DD" w:rsidRDefault="008253DD" w14:paraId="6F4761F9" w14:textId="77777777">
      <w:pPr>
        <w:rPr>
          <w:rFonts w:asciiTheme="majorBidi" w:hAnsiTheme="majorBidi" w:cstheme="majorBidi"/>
        </w:rPr>
      </w:pPr>
    </w:p>
    <w:p w:rsidRPr="00C270C5" w:rsidR="008253DD" w:rsidP="008253DD" w:rsidRDefault="008253DD" w14:paraId="20868964" w14:textId="55E55487">
      <w:pPr>
        <w:ind w:firstLine="720"/>
        <w:rPr>
          <w:rFonts w:asciiTheme="majorBidi" w:hAnsiTheme="majorBidi" w:cstheme="majorBidi"/>
        </w:rPr>
      </w:pPr>
      <w:r w:rsidRPr="00C270C5">
        <w:rPr>
          <w:rFonts w:asciiTheme="majorBidi" w:hAnsiTheme="majorBidi" w:cstheme="majorBidi"/>
        </w:rPr>
        <w:t>The annual average reporting and recordkeeping burdens for a registration application are estimated to range from 14 hours to 646 hours, depending upon the type of activity.</w:t>
      </w:r>
      <w:r w:rsidRPr="00C270C5" w:rsidR="007841AD">
        <w:rPr>
          <w:rFonts w:asciiTheme="majorBidi" w:hAnsiTheme="majorBidi" w:cstheme="majorBidi"/>
        </w:rPr>
        <w:t xml:space="preserve"> </w:t>
      </w:r>
      <w:r w:rsidRPr="00C270C5">
        <w:rPr>
          <w:rFonts w:asciiTheme="majorBidi" w:hAnsiTheme="majorBidi" w:cstheme="majorBidi"/>
        </w:rPr>
        <w:t xml:space="preserve">Estimates for the respondent’s application burden for </w:t>
      </w:r>
      <w:r w:rsidRPr="00C270C5" w:rsidR="00A9366B">
        <w:rPr>
          <w:rFonts w:asciiTheme="majorBidi" w:hAnsiTheme="majorBidi" w:cstheme="majorBidi"/>
        </w:rPr>
        <w:t xml:space="preserve">this </w:t>
      </w:r>
      <w:r w:rsidRPr="00C270C5">
        <w:rPr>
          <w:rFonts w:asciiTheme="majorBidi" w:hAnsiTheme="majorBidi" w:cstheme="majorBidi"/>
        </w:rPr>
        <w:t>collection of information average 194 hours per application for “Type A” activities (which include new active ingredients and new uses) and 14 hours per application for “Type B” activities (which include amendments and notifications).</w:t>
      </w:r>
      <w:r w:rsidRPr="00C270C5" w:rsidR="007841AD">
        <w:rPr>
          <w:rFonts w:asciiTheme="majorBidi" w:hAnsiTheme="majorBidi" w:cstheme="majorBidi"/>
        </w:rPr>
        <w:t xml:space="preserve"> </w:t>
      </w:r>
      <w:r w:rsidRPr="00C270C5">
        <w:rPr>
          <w:rFonts w:asciiTheme="majorBidi" w:hAnsiTheme="majorBidi" w:cstheme="majorBidi"/>
        </w:rPr>
        <w:t>The burden estimate for “Type C” reduced risk applications, which are handled only by RD, is an average of 646 hours per response.</w:t>
      </w:r>
      <w:r w:rsidRPr="00C270C5" w:rsidR="007841AD">
        <w:rPr>
          <w:rFonts w:asciiTheme="majorBidi" w:hAnsiTheme="majorBidi" w:cstheme="majorBidi"/>
        </w:rPr>
        <w:t xml:space="preserve"> </w:t>
      </w:r>
    </w:p>
    <w:p w:rsidRPr="00C270C5" w:rsidR="008253DD" w:rsidP="008253DD" w:rsidRDefault="008253DD" w14:paraId="64518596" w14:textId="77777777">
      <w:pPr>
        <w:ind w:firstLine="720"/>
        <w:rPr>
          <w:rFonts w:asciiTheme="majorBidi" w:hAnsiTheme="majorBidi" w:cstheme="majorBidi"/>
        </w:rPr>
      </w:pPr>
    </w:p>
    <w:p w:rsidRPr="00C270C5" w:rsidR="008253DD" w:rsidP="008253DD" w:rsidRDefault="008253DD" w14:paraId="267EB78A" w14:textId="0A47A3A0">
      <w:pPr>
        <w:ind w:firstLine="720"/>
        <w:rPr>
          <w:rFonts w:asciiTheme="majorBidi" w:hAnsiTheme="majorBidi" w:cstheme="majorBidi"/>
        </w:rPr>
      </w:pPr>
      <w:r w:rsidRPr="00C270C5">
        <w:rPr>
          <w:rFonts w:asciiTheme="majorBidi" w:hAnsiTheme="majorBidi" w:cstheme="majorBidi"/>
        </w:rPr>
        <w:t xml:space="preserve">The annual average reporting and recordkeeping burdens for data generation associated </w:t>
      </w:r>
      <w:r w:rsidRPr="00027D2B">
        <w:rPr>
          <w:rFonts w:asciiTheme="majorBidi" w:hAnsiTheme="majorBidi" w:cstheme="majorBidi"/>
        </w:rPr>
        <w:t>with registration of new active ingredients and new products are estimated to range from 52</w:t>
      </w:r>
      <w:r w:rsidR="006A2BF3">
        <w:rPr>
          <w:rFonts w:asciiTheme="majorBidi" w:hAnsiTheme="majorBidi" w:cstheme="majorBidi"/>
        </w:rPr>
        <w:t>7</w:t>
      </w:r>
      <w:r w:rsidRPr="00027D2B">
        <w:rPr>
          <w:rFonts w:asciiTheme="majorBidi" w:hAnsiTheme="majorBidi" w:cstheme="majorBidi"/>
        </w:rPr>
        <w:t xml:space="preserve"> hours to 4</w:t>
      </w:r>
      <w:r w:rsidR="006A2BF3">
        <w:rPr>
          <w:rFonts w:asciiTheme="majorBidi" w:hAnsiTheme="majorBidi" w:cstheme="majorBidi"/>
        </w:rPr>
        <w:t>6</w:t>
      </w:r>
      <w:r w:rsidRPr="00027D2B">
        <w:rPr>
          <w:rFonts w:asciiTheme="majorBidi" w:hAnsiTheme="majorBidi" w:cstheme="majorBidi"/>
        </w:rPr>
        <w:t>,000 hours, depending on the type of activity and division.</w:t>
      </w:r>
      <w:r w:rsidRPr="00027D2B" w:rsidR="007841AD">
        <w:rPr>
          <w:rFonts w:asciiTheme="majorBidi" w:hAnsiTheme="majorBidi" w:cstheme="majorBidi"/>
        </w:rPr>
        <w:t xml:space="preserve"> </w:t>
      </w:r>
      <w:r w:rsidRPr="00027D2B">
        <w:rPr>
          <w:rFonts w:asciiTheme="majorBidi" w:hAnsiTheme="majorBidi" w:cstheme="majorBidi"/>
        </w:rPr>
        <w:t xml:space="preserve">For new active ingredients, estimates for the respondent’s paperwork burden for data generation average </w:t>
      </w:r>
      <w:r w:rsidR="002E6A5D">
        <w:rPr>
          <w:rFonts w:asciiTheme="majorBidi" w:hAnsiTheme="majorBidi" w:cstheme="majorBidi"/>
        </w:rPr>
        <w:t>46,210</w:t>
      </w:r>
      <w:r w:rsidRPr="00027D2B">
        <w:rPr>
          <w:rFonts w:asciiTheme="majorBidi" w:hAnsiTheme="majorBidi" w:cstheme="majorBidi"/>
        </w:rPr>
        <w:t xml:space="preserve"> hours for a new conventional, </w:t>
      </w:r>
      <w:r w:rsidR="006A2BF3">
        <w:rPr>
          <w:rFonts w:asciiTheme="majorBidi" w:hAnsiTheme="majorBidi" w:cstheme="majorBidi"/>
        </w:rPr>
        <w:t xml:space="preserve">44,038 </w:t>
      </w:r>
      <w:r w:rsidRPr="00027D2B">
        <w:rPr>
          <w:rFonts w:asciiTheme="majorBidi" w:hAnsiTheme="majorBidi" w:cstheme="majorBidi"/>
        </w:rPr>
        <w:t xml:space="preserve">for a new antimicrobial, and </w:t>
      </w:r>
      <w:r w:rsidR="006A2BF3">
        <w:rPr>
          <w:rFonts w:asciiTheme="majorBidi" w:hAnsiTheme="majorBidi" w:cstheme="majorBidi"/>
        </w:rPr>
        <w:t>23,923</w:t>
      </w:r>
      <w:r w:rsidRPr="00027D2B">
        <w:rPr>
          <w:rFonts w:asciiTheme="majorBidi" w:hAnsiTheme="majorBidi" w:cstheme="majorBidi"/>
        </w:rPr>
        <w:t xml:space="preserve"> for a new biopesticide.</w:t>
      </w:r>
      <w:r w:rsidRPr="00027D2B" w:rsidR="007841AD">
        <w:rPr>
          <w:rFonts w:asciiTheme="majorBidi" w:hAnsiTheme="majorBidi" w:cstheme="majorBidi"/>
        </w:rPr>
        <w:t xml:space="preserve"> </w:t>
      </w:r>
      <w:r w:rsidRPr="00027D2B">
        <w:rPr>
          <w:rFonts w:asciiTheme="majorBidi" w:hAnsiTheme="majorBidi" w:cstheme="majorBidi"/>
        </w:rPr>
        <w:t xml:space="preserve">For new products, estimates for the respondent’s paperwork burden for data generation average </w:t>
      </w:r>
      <w:r w:rsidR="006A2BF3">
        <w:rPr>
          <w:rFonts w:asciiTheme="majorBidi" w:hAnsiTheme="majorBidi" w:cstheme="majorBidi"/>
        </w:rPr>
        <w:t>973</w:t>
      </w:r>
      <w:r w:rsidRPr="00027D2B">
        <w:rPr>
          <w:rFonts w:asciiTheme="majorBidi" w:hAnsiTheme="majorBidi" w:cstheme="majorBidi"/>
        </w:rPr>
        <w:t xml:space="preserve"> hours for a new conventional product, 52</w:t>
      </w:r>
      <w:r w:rsidR="006A2BF3">
        <w:rPr>
          <w:rFonts w:asciiTheme="majorBidi" w:hAnsiTheme="majorBidi" w:cstheme="majorBidi"/>
        </w:rPr>
        <w:t>7</w:t>
      </w:r>
      <w:r w:rsidRPr="00027D2B">
        <w:rPr>
          <w:rFonts w:asciiTheme="majorBidi" w:hAnsiTheme="majorBidi" w:cstheme="majorBidi"/>
        </w:rPr>
        <w:t xml:space="preserve"> hours for a new antimicrobial, and </w:t>
      </w:r>
      <w:r w:rsidR="006A2BF3">
        <w:rPr>
          <w:rFonts w:asciiTheme="majorBidi" w:hAnsiTheme="majorBidi" w:cstheme="majorBidi"/>
        </w:rPr>
        <w:t>585</w:t>
      </w:r>
      <w:r w:rsidRPr="00027D2B">
        <w:rPr>
          <w:rFonts w:asciiTheme="majorBidi" w:hAnsiTheme="majorBidi" w:cstheme="majorBidi"/>
        </w:rPr>
        <w:t xml:space="preserve"> hours for a new biopesticide. </w:t>
      </w:r>
    </w:p>
    <w:p w:rsidRPr="00C270C5" w:rsidR="00A9366B" w:rsidP="008253DD" w:rsidRDefault="00A9366B" w14:paraId="59E8A76B" w14:textId="77777777">
      <w:pPr>
        <w:ind w:firstLine="720"/>
        <w:rPr>
          <w:rFonts w:asciiTheme="majorBidi" w:hAnsiTheme="majorBidi" w:cstheme="majorBidi"/>
        </w:rPr>
      </w:pPr>
    </w:p>
    <w:p w:rsidRPr="00C270C5" w:rsidR="00A9366B" w:rsidP="00A9366B" w:rsidRDefault="00A9366B" w14:paraId="69438F59" w14:textId="11E7DED1">
      <w:pPr>
        <w:ind w:firstLine="720"/>
      </w:pPr>
      <w:r w:rsidRPr="00C270C5">
        <w:t xml:space="preserve">Burden is defined in 5 CFR </w:t>
      </w:r>
      <w:r w:rsidR="00301C21">
        <w:t xml:space="preserve">§ </w:t>
      </w:r>
      <w:r w:rsidRPr="00C270C5">
        <w:t xml:space="preserve">1320.3(b).  An agency may not conduct or sponsor, and a person is not required to respond to a collection of information unless it displays a current and valid OMB control number. The OMB control numbers for EPA’s regulations in title 40 of the CFR, after appearing in the </w:t>
      </w:r>
      <w:r w:rsidRPr="00C270C5">
        <w:rPr>
          <w:u w:val="single"/>
        </w:rPr>
        <w:t>Federal Register</w:t>
      </w:r>
      <w:r w:rsidRPr="00C270C5">
        <w:t>, are listed in 40 CFR part 9 and included on the related collection instrument or form, if applicable.</w:t>
      </w:r>
    </w:p>
    <w:p w:rsidRPr="00C270C5" w:rsidR="00A9366B" w:rsidP="008253DD" w:rsidRDefault="00A9366B" w14:paraId="4D6B8EAF" w14:textId="77777777">
      <w:pPr>
        <w:ind w:firstLine="720"/>
        <w:rPr>
          <w:rFonts w:asciiTheme="majorBidi" w:hAnsiTheme="majorBidi" w:cstheme="majorBidi"/>
        </w:rPr>
      </w:pPr>
    </w:p>
    <w:p w:rsidRPr="00C270C5" w:rsidR="00A9366B" w:rsidP="00A9366B" w:rsidRDefault="00A9366B" w14:paraId="3AE53448" w14:textId="70EFB190">
      <w:pPr>
        <w:ind w:firstLine="720"/>
        <w:rPr>
          <w:rFonts w:asciiTheme="majorBidi" w:hAnsiTheme="majorBidi" w:cstheme="majorBidi"/>
          <w:b/>
        </w:rPr>
      </w:pPr>
      <w:r w:rsidRPr="00C270C5">
        <w:rPr>
          <w:rFonts w:asciiTheme="majorBidi" w:hAnsiTheme="majorBidi" w:cstheme="majorBidi"/>
          <w:b/>
        </w:rPr>
        <w:t>6(h)</w:t>
      </w:r>
      <w:r w:rsidRPr="00C270C5">
        <w:rPr>
          <w:rFonts w:asciiTheme="majorBidi" w:hAnsiTheme="majorBidi" w:cstheme="majorBidi"/>
          <w:b/>
        </w:rPr>
        <w:tab/>
        <w:t xml:space="preserve">Docket Information  </w:t>
      </w:r>
    </w:p>
    <w:p w:rsidRPr="00C270C5" w:rsidR="00F14C02" w:rsidRDefault="00977193" w14:paraId="5350A556" w14:textId="4AC67734">
      <w:pPr>
        <w:ind w:firstLine="720"/>
        <w:rPr>
          <w:rFonts w:asciiTheme="majorBidi" w:hAnsiTheme="majorBidi" w:cstheme="majorBidi"/>
        </w:rPr>
      </w:pPr>
      <w:r w:rsidRPr="00C270C5">
        <w:rPr>
          <w:rFonts w:asciiTheme="majorBidi" w:hAnsiTheme="majorBidi" w:cstheme="majorBidi"/>
        </w:rPr>
        <w:t xml:space="preserve"> </w:t>
      </w:r>
    </w:p>
    <w:p w:rsidRPr="00C270C5" w:rsidR="00A9366B" w:rsidRDefault="00C47DDD" w14:paraId="72531458" w14:textId="3DF075C8">
      <w:pPr>
        <w:ind w:firstLine="720"/>
        <w:rPr>
          <w:rFonts w:asciiTheme="majorBidi" w:hAnsiTheme="majorBidi" w:cstheme="majorBidi"/>
        </w:rPr>
      </w:pPr>
      <w:r w:rsidRPr="00C270C5">
        <w:rPr>
          <w:rFonts w:asciiTheme="majorBidi" w:hAnsiTheme="majorBidi" w:cstheme="majorBidi"/>
        </w:rPr>
        <w:t xml:space="preserve">The Agency has established a docket for this ICR under Docket ID No. </w:t>
      </w:r>
      <w:bookmarkStart w:name="DocketWizardContainer_docket_id_0" w:id="11"/>
      <w:r w:rsidRPr="00FF0355" w:rsidR="004E1187">
        <w:rPr>
          <w:rFonts w:asciiTheme="majorBidi" w:hAnsiTheme="majorBidi" w:cstheme="majorBidi"/>
        </w:rPr>
        <w:t>EPA-HQ-OPP-201</w:t>
      </w:r>
      <w:bookmarkEnd w:id="11"/>
      <w:r w:rsidRPr="00FF0355" w:rsidR="000439E0">
        <w:rPr>
          <w:rStyle w:val="Hyperlink"/>
          <w:rFonts w:asciiTheme="majorBidi" w:hAnsiTheme="majorBidi" w:cstheme="majorBidi"/>
          <w:color w:val="auto"/>
          <w:u w:val="none"/>
        </w:rPr>
        <w:t>9</w:t>
      </w:r>
      <w:r w:rsidRPr="00FF0355" w:rsidR="00AB1D87">
        <w:rPr>
          <w:rStyle w:val="Hyperlink"/>
          <w:rFonts w:asciiTheme="majorBidi" w:hAnsiTheme="majorBidi" w:cstheme="majorBidi"/>
          <w:color w:val="auto"/>
          <w:u w:val="none"/>
        </w:rPr>
        <w:t>-</w:t>
      </w:r>
      <w:r w:rsidRPr="00FF0355" w:rsidR="00FF0355">
        <w:rPr>
          <w:rStyle w:val="Hyperlink"/>
          <w:rFonts w:asciiTheme="majorBidi" w:hAnsiTheme="majorBidi" w:cstheme="majorBidi"/>
          <w:color w:val="auto"/>
          <w:u w:val="none"/>
        </w:rPr>
        <w:t>0644</w:t>
      </w:r>
      <w:r w:rsidRPr="00FF0355" w:rsidR="004E1187">
        <w:rPr>
          <w:rFonts w:asciiTheme="majorBidi" w:hAnsiTheme="majorBidi" w:cstheme="majorBidi"/>
        </w:rPr>
        <w:t xml:space="preserve">, </w:t>
      </w:r>
      <w:r w:rsidRPr="00C270C5" w:rsidR="004E1187">
        <w:rPr>
          <w:rFonts w:asciiTheme="majorBidi" w:hAnsiTheme="majorBidi" w:cstheme="majorBidi"/>
        </w:rPr>
        <w:t xml:space="preserve">which is available for online viewing at </w:t>
      </w:r>
      <w:r w:rsidRPr="00C270C5" w:rsidR="00A9366B">
        <w:rPr>
          <w:rFonts w:asciiTheme="majorBidi" w:hAnsiTheme="majorBidi" w:cstheme="majorBidi"/>
        </w:rPr>
        <w:t>http://</w:t>
      </w:r>
      <w:hyperlink w:history="1" r:id="rId21">
        <w:r w:rsidRPr="00C270C5" w:rsidR="004E1187">
          <w:rPr>
            <w:rStyle w:val="Hyperlink"/>
            <w:rFonts w:asciiTheme="majorBidi" w:hAnsiTheme="majorBidi" w:cstheme="majorBidi"/>
            <w:color w:val="auto"/>
          </w:rPr>
          <w:t>www.regulations.gov</w:t>
        </w:r>
      </w:hyperlink>
      <w:r w:rsidRPr="00C270C5" w:rsidR="004E1187">
        <w:rPr>
          <w:rFonts w:asciiTheme="majorBidi" w:hAnsiTheme="majorBidi" w:cstheme="majorBidi"/>
        </w:rPr>
        <w:t xml:space="preserve"> or in person viewing at the EPA Docket Center Public Reading Room, EPA West Building, Room 3334, 1301 Constitution Avenue, NW, Washington, DC 20004.</w:t>
      </w:r>
      <w:r w:rsidRPr="00C270C5" w:rsidR="007841AD">
        <w:rPr>
          <w:rFonts w:asciiTheme="majorBidi" w:hAnsiTheme="majorBidi" w:cstheme="majorBidi"/>
        </w:rPr>
        <w:t xml:space="preserve"> </w:t>
      </w:r>
      <w:r w:rsidRPr="00C270C5" w:rsidR="004E1187">
        <w:rPr>
          <w:rFonts w:asciiTheme="majorBidi" w:hAnsiTheme="majorBidi" w:cstheme="majorBidi"/>
        </w:rPr>
        <w:t>The EPA/DC is open from 8:30 a.m. to 4 p.m., Monday through Friday, excluding federal holidays.</w:t>
      </w:r>
      <w:r w:rsidRPr="00C270C5" w:rsidR="007841AD">
        <w:rPr>
          <w:rFonts w:asciiTheme="majorBidi" w:hAnsiTheme="majorBidi" w:cstheme="majorBidi"/>
        </w:rPr>
        <w:t xml:space="preserve"> </w:t>
      </w:r>
      <w:r w:rsidRPr="00C270C5">
        <w:rPr>
          <w:rFonts w:asciiTheme="majorBidi" w:hAnsiTheme="majorBidi" w:cstheme="majorBidi"/>
        </w:rPr>
        <w:t xml:space="preserve">The docket telephone number is </w:t>
      </w:r>
      <w:r w:rsidRPr="00C270C5" w:rsidR="008B7CCF">
        <w:rPr>
          <w:rFonts w:asciiTheme="majorBidi" w:hAnsiTheme="majorBidi" w:cstheme="majorBidi"/>
        </w:rPr>
        <w:t>(202) 566-1744</w:t>
      </w:r>
      <w:r w:rsidRPr="00C270C5">
        <w:rPr>
          <w:rFonts w:asciiTheme="majorBidi" w:hAnsiTheme="majorBidi" w:cstheme="majorBidi"/>
        </w:rPr>
        <w:t>.</w:t>
      </w:r>
      <w:r w:rsidRPr="00C270C5" w:rsidR="007841AD">
        <w:rPr>
          <w:rFonts w:asciiTheme="majorBidi" w:hAnsiTheme="majorBidi" w:cstheme="majorBidi"/>
        </w:rPr>
        <w:t xml:space="preserve"> </w:t>
      </w:r>
    </w:p>
    <w:p w:rsidRPr="00C270C5" w:rsidR="00A9366B" w:rsidRDefault="00A9366B" w14:paraId="590F2C40" w14:textId="77777777">
      <w:pPr>
        <w:ind w:firstLine="720"/>
        <w:rPr>
          <w:rFonts w:asciiTheme="majorBidi" w:hAnsiTheme="majorBidi" w:cstheme="majorBidi"/>
        </w:rPr>
      </w:pPr>
    </w:p>
    <w:p w:rsidRPr="00C270C5" w:rsidR="00A9366B" w:rsidP="00A9366B" w:rsidRDefault="00C47DDD" w14:paraId="3DE5F07D" w14:textId="32EE030F">
      <w:pPr>
        <w:tabs>
          <w:tab w:val="left" w:pos="-1080"/>
          <w:tab w:val="left" w:pos="-720"/>
        </w:tabs>
      </w:pPr>
      <w:r w:rsidRPr="00C270C5">
        <w:rPr>
          <w:rFonts w:asciiTheme="majorBidi" w:hAnsiTheme="majorBidi" w:cstheme="majorBidi"/>
        </w:rPr>
        <w:t>You may submit comments regarding the Agency's need for this information, the accuracy of the provided burden estimates and any suggested methods for minimizing respondent burden, including the use of automated collection techniques.</w:t>
      </w:r>
      <w:r w:rsidRPr="00C270C5" w:rsidR="007841AD">
        <w:rPr>
          <w:rFonts w:asciiTheme="majorBidi" w:hAnsiTheme="majorBidi" w:cstheme="majorBidi"/>
        </w:rPr>
        <w:t xml:space="preserve"> </w:t>
      </w:r>
      <w:r w:rsidRPr="00C270C5">
        <w:rPr>
          <w:rFonts w:asciiTheme="majorBidi" w:hAnsiTheme="majorBidi" w:cstheme="majorBidi"/>
        </w:rPr>
        <w:t xml:space="preserve">Submit your comments, referencing </w:t>
      </w:r>
      <w:r w:rsidRPr="00C270C5">
        <w:rPr>
          <w:rFonts w:asciiTheme="majorBidi" w:hAnsiTheme="majorBidi" w:cstheme="majorBidi"/>
        </w:rPr>
        <w:lastRenderedPageBreak/>
        <w:t>Docket ID No. EPA-HQ-OPP-20</w:t>
      </w:r>
      <w:r w:rsidR="00FF0355">
        <w:rPr>
          <w:rFonts w:asciiTheme="majorBidi" w:hAnsiTheme="majorBidi" w:cstheme="majorBidi"/>
        </w:rPr>
        <w:t>19-0644</w:t>
      </w:r>
      <w:r w:rsidRPr="00C270C5">
        <w:rPr>
          <w:rFonts w:asciiTheme="majorBidi" w:hAnsiTheme="majorBidi" w:cstheme="majorBidi"/>
        </w:rPr>
        <w:t> and OMB Control No. 2070-0060</w:t>
      </w:r>
      <w:r w:rsidRPr="00C270C5" w:rsidR="00DC6C7E">
        <w:rPr>
          <w:rFonts w:asciiTheme="majorBidi" w:hAnsiTheme="majorBidi" w:cstheme="majorBidi"/>
        </w:rPr>
        <w:t xml:space="preserve">, </w:t>
      </w:r>
      <w:r w:rsidRPr="00C270C5" w:rsidR="00DC6C7E">
        <w:t>to</w:t>
      </w:r>
      <w:r w:rsidRPr="00C270C5" w:rsidR="00A9366B">
        <w:t xml:space="preserve"> both EPA and OMB as follows: </w:t>
      </w:r>
    </w:p>
    <w:p w:rsidRPr="00C270C5" w:rsidR="00A9366B" w:rsidP="00A9366B" w:rsidRDefault="00A9366B" w14:paraId="3947B61D" w14:textId="77777777">
      <w:pPr>
        <w:pStyle w:val="ListParagraph"/>
        <w:widowControl w:val="0"/>
        <w:numPr>
          <w:ilvl w:val="0"/>
          <w:numId w:val="28"/>
        </w:numPr>
        <w:tabs>
          <w:tab w:val="left" w:pos="-1080"/>
          <w:tab w:val="left" w:pos="-720"/>
        </w:tabs>
        <w:adjustRightInd w:val="0"/>
      </w:pPr>
      <w:r w:rsidRPr="00C270C5">
        <w:t xml:space="preserve">To EPA online using http://www.regulations.gov (our preferred method) or by mail </w:t>
      </w:r>
      <w:proofErr w:type="gramStart"/>
      <w:r w:rsidRPr="00C270C5">
        <w:t>to:</w:t>
      </w:r>
      <w:proofErr w:type="gramEnd"/>
      <w:r w:rsidRPr="00C270C5">
        <w:t xml:space="preserve"> EPA Docket Center, Environmental Protection Agency, Mail Code 28221T, 1200 Pennsylvania Ave., NW, Washington, DC 20460, and </w:t>
      </w:r>
    </w:p>
    <w:p w:rsidRPr="00C270C5" w:rsidR="00DC6C7E" w:rsidP="00935E45" w:rsidRDefault="00A9366B" w14:paraId="3AF0DA61" w14:textId="71C0D2DE">
      <w:pPr>
        <w:pStyle w:val="ListParagraph"/>
        <w:widowControl w:val="0"/>
        <w:numPr>
          <w:ilvl w:val="0"/>
          <w:numId w:val="28"/>
        </w:numPr>
        <w:tabs>
          <w:tab w:val="left" w:pos="-1080"/>
          <w:tab w:val="left" w:pos="-720"/>
        </w:tabs>
        <w:adjustRightInd w:val="0"/>
      </w:pPr>
      <w:r w:rsidRPr="00C270C5">
        <w:t xml:space="preserve">To OMB via email to oira_submission@omb.eop.gov. Address comments to </w:t>
      </w:r>
      <w:r w:rsidRPr="00C270C5">
        <w:rPr>
          <w:i/>
        </w:rPr>
        <w:t>OMB Desk Officer for EPA</w:t>
      </w:r>
      <w:r w:rsidRPr="00C270C5">
        <w:t>.</w:t>
      </w:r>
    </w:p>
    <w:p w:rsidR="00935E45" w:rsidP="00935E45" w:rsidRDefault="00935E45" w14:paraId="0D667408" w14:textId="3DBB500B">
      <w:pPr>
        <w:pStyle w:val="ListParagraph"/>
        <w:widowControl w:val="0"/>
        <w:tabs>
          <w:tab w:val="left" w:pos="-1080"/>
          <w:tab w:val="left" w:pos="-720"/>
        </w:tabs>
        <w:adjustRightInd w:val="0"/>
      </w:pPr>
    </w:p>
    <w:p w:rsidRPr="00C270C5" w:rsidR="00D73043" w:rsidP="00D73043" w:rsidRDefault="00D73043" w14:paraId="07F13BFB" w14:textId="1A6BB15A">
      <w:pPr>
        <w:spacing w:after="200" w:line="276" w:lineRule="auto"/>
        <w:rPr>
          <w:rFonts w:asciiTheme="majorBidi" w:hAnsiTheme="majorBidi" w:cstheme="majorBidi"/>
        </w:rPr>
      </w:pPr>
      <w:r w:rsidRPr="00C270C5">
        <w:rPr>
          <w:rFonts w:asciiTheme="majorBidi" w:hAnsiTheme="majorBidi" w:cstheme="majorBidi"/>
          <w:b/>
          <w:u w:val="single"/>
        </w:rPr>
        <w:t>ATTACHMENTS TO THE SUPPORTING STATEMENT</w:t>
      </w:r>
    </w:p>
    <w:p w:rsidRPr="00D73043" w:rsidR="00D73043" w:rsidP="00D73043" w:rsidRDefault="00D73043" w14:paraId="55FA8C9D" w14:textId="20F097EE">
      <w:pPr>
        <w:ind w:firstLine="720"/>
        <w:rPr>
          <w:rFonts w:asciiTheme="majorBidi" w:hAnsiTheme="majorBidi" w:cstheme="majorBidi"/>
        </w:rPr>
      </w:pPr>
      <w:r w:rsidRPr="00C270C5">
        <w:rPr>
          <w:rFonts w:asciiTheme="majorBidi" w:hAnsiTheme="majorBidi" w:cstheme="majorBidi"/>
        </w:rPr>
        <w:t>Attachments to the supporting statement are available in the public docket established for</w:t>
      </w:r>
      <w:r>
        <w:rPr>
          <w:rFonts w:asciiTheme="majorBidi" w:hAnsiTheme="majorBidi" w:cstheme="majorBidi"/>
        </w:rPr>
        <w:t xml:space="preserve"> </w:t>
      </w:r>
      <w:r w:rsidRPr="00C270C5">
        <w:rPr>
          <w:rFonts w:asciiTheme="majorBidi" w:hAnsiTheme="majorBidi" w:cstheme="majorBidi"/>
        </w:rPr>
        <w:t>this Information Collection Request (ICR) under the docket identification number EPA-HQ-OPP-</w:t>
      </w:r>
      <w:r w:rsidRPr="00325E82">
        <w:rPr>
          <w:rFonts w:asciiTheme="majorBidi" w:hAnsiTheme="majorBidi" w:cstheme="majorBidi"/>
        </w:rPr>
        <w:t>201</w:t>
      </w:r>
      <w:r w:rsidRPr="00325E82">
        <w:rPr>
          <w:rStyle w:val="Hyperlink"/>
          <w:rFonts w:asciiTheme="majorBidi" w:hAnsiTheme="majorBidi" w:cstheme="majorBidi"/>
          <w:color w:val="auto"/>
          <w:u w:val="none"/>
        </w:rPr>
        <w:t>9-0644</w:t>
      </w:r>
      <w:r w:rsidRPr="00325E82">
        <w:rPr>
          <w:rFonts w:asciiTheme="majorBidi" w:hAnsiTheme="majorBidi" w:cstheme="majorBidi"/>
        </w:rPr>
        <w:t>.</w:t>
      </w:r>
      <w:r w:rsidRPr="00C270C5">
        <w:rPr>
          <w:rFonts w:asciiTheme="majorBidi" w:hAnsiTheme="majorBidi" w:cstheme="majorBidi"/>
        </w:rPr>
        <w:t xml:space="preserve"> These attachments are available for online viewing at </w:t>
      </w:r>
      <w:hyperlink w:history="1" r:id="rId22">
        <w:r w:rsidRPr="00C270C5">
          <w:rPr>
            <w:rStyle w:val="Hyperlink"/>
            <w:rFonts w:asciiTheme="majorBidi" w:hAnsiTheme="majorBidi" w:cstheme="majorBidi"/>
            <w:color w:val="auto"/>
          </w:rPr>
          <w:t>www.regulations.gov</w:t>
        </w:r>
      </w:hyperlink>
      <w:r w:rsidRPr="00C270C5">
        <w:rPr>
          <w:rFonts w:asciiTheme="majorBidi" w:hAnsiTheme="majorBidi" w:cstheme="majorBidi"/>
        </w:rPr>
        <w:t xml:space="preserve"> or otherwise accessed as described in the sections below. </w:t>
      </w:r>
    </w:p>
    <w:tbl>
      <w:tblPr>
        <w:tblpPr w:leftFromText="180" w:rightFromText="180" w:vertAnchor="text" w:horzAnchor="page" w:tblpX="1436" w:tblpY="431"/>
        <w:tblW w:w="9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65"/>
        <w:gridCol w:w="7200"/>
      </w:tblGrid>
      <w:tr w:rsidRPr="00C270C5" w:rsidR="00EC2524" w:rsidTr="006506F2" w14:paraId="47BF276E" w14:textId="77777777">
        <w:trPr>
          <w:trHeight w:val="414"/>
        </w:trPr>
        <w:tc>
          <w:tcPr>
            <w:tcW w:w="2065" w:type="dxa"/>
            <w:vAlign w:val="center"/>
          </w:tcPr>
          <w:p w:rsidRPr="00C270C5" w:rsidR="00EC2524" w:rsidP="00D73043" w:rsidRDefault="00EC2524" w14:paraId="20A4BA6C" w14:textId="77777777">
            <w:pPr>
              <w:rPr>
                <w:rFonts w:asciiTheme="majorBidi" w:hAnsiTheme="majorBidi" w:cstheme="majorBidi"/>
                <w:b/>
                <w:bCs/>
              </w:rPr>
            </w:pPr>
            <w:r w:rsidRPr="00C270C5">
              <w:rPr>
                <w:rFonts w:asciiTheme="majorBidi" w:hAnsiTheme="majorBidi" w:cstheme="majorBidi"/>
                <w:b/>
                <w:bCs/>
              </w:rPr>
              <w:t>Attachment A:</w:t>
            </w:r>
          </w:p>
        </w:tc>
        <w:tc>
          <w:tcPr>
            <w:tcW w:w="7200" w:type="dxa"/>
            <w:vAlign w:val="center"/>
          </w:tcPr>
          <w:p w:rsidRPr="00C270C5" w:rsidR="00EC2524" w:rsidP="00D73043" w:rsidRDefault="00EC2524" w14:paraId="6A90955E" w14:textId="536E4802">
            <w:pPr>
              <w:tabs>
                <w:tab w:val="left" w:pos="1379"/>
              </w:tabs>
              <w:rPr>
                <w:rFonts w:asciiTheme="majorBidi" w:hAnsiTheme="majorBidi" w:cstheme="majorBidi"/>
                <w:b/>
                <w:bCs/>
              </w:rPr>
            </w:pPr>
            <w:r w:rsidRPr="00C270C5">
              <w:rPr>
                <w:rFonts w:asciiTheme="majorBidi" w:hAnsiTheme="majorBidi" w:cstheme="majorBidi"/>
                <w:b/>
                <w:bCs/>
              </w:rPr>
              <w:t>7 U.S.C. 136a – Section 3 of FIFRA</w:t>
            </w:r>
            <w:r w:rsidRPr="00C270C5">
              <w:rPr>
                <w:rFonts w:asciiTheme="majorBidi" w:hAnsiTheme="majorBidi" w:cstheme="majorBidi"/>
              </w:rPr>
              <w:t xml:space="preserve">. </w:t>
            </w:r>
            <w:r w:rsidR="00D73043">
              <w:rPr>
                <w:rFonts w:asciiTheme="majorBidi" w:hAnsiTheme="majorBidi" w:cstheme="majorBidi"/>
              </w:rPr>
              <w:t>A</w:t>
            </w:r>
            <w:r w:rsidRPr="00C270C5">
              <w:rPr>
                <w:rFonts w:asciiTheme="majorBidi" w:hAnsiTheme="majorBidi" w:cstheme="majorBidi"/>
              </w:rPr>
              <w:t xml:space="preserve">vailable at </w:t>
            </w:r>
            <w:hyperlink w:history="1" r:id="rId23">
              <w:r w:rsidRPr="00C270C5">
                <w:rPr>
                  <w:rFonts w:asciiTheme="majorBidi" w:hAnsiTheme="majorBidi" w:cstheme="majorBidi"/>
                  <w:u w:val="single"/>
                </w:rPr>
                <w:t>US Code website</w:t>
              </w:r>
            </w:hyperlink>
            <w:r>
              <w:rPr>
                <w:rFonts w:asciiTheme="majorBidi" w:hAnsiTheme="majorBidi" w:cstheme="majorBidi"/>
                <w:u w:val="single"/>
              </w:rPr>
              <w:t xml:space="preserve">, </w:t>
            </w:r>
            <w:hyperlink w:history="1" r:id="rId24">
              <w:r>
                <w:rPr>
                  <w:rStyle w:val="Hyperlink"/>
                </w:rPr>
                <w:t>https://uscode.house.gov/view.xhtml?path=/prelim@title7/chapter6&amp;edition=prelim</w:t>
              </w:r>
            </w:hyperlink>
          </w:p>
        </w:tc>
      </w:tr>
      <w:tr w:rsidRPr="00C270C5" w:rsidR="00EC2524" w:rsidTr="006506F2" w14:paraId="31A04237" w14:textId="77777777">
        <w:trPr>
          <w:trHeight w:val="626"/>
        </w:trPr>
        <w:tc>
          <w:tcPr>
            <w:tcW w:w="2065" w:type="dxa"/>
            <w:vAlign w:val="center"/>
          </w:tcPr>
          <w:p w:rsidRPr="00C270C5" w:rsidR="00EC2524" w:rsidP="00D73043" w:rsidRDefault="00EC2524" w14:paraId="0B5874E4" w14:textId="77777777">
            <w:pPr>
              <w:rPr>
                <w:rFonts w:asciiTheme="majorBidi" w:hAnsiTheme="majorBidi" w:cstheme="majorBidi"/>
                <w:b/>
                <w:bCs/>
              </w:rPr>
            </w:pPr>
            <w:r w:rsidRPr="00C270C5">
              <w:rPr>
                <w:rFonts w:asciiTheme="majorBidi" w:hAnsiTheme="majorBidi" w:cstheme="majorBidi"/>
                <w:b/>
                <w:bCs/>
              </w:rPr>
              <w:t>Attachment B:</w:t>
            </w:r>
          </w:p>
        </w:tc>
        <w:tc>
          <w:tcPr>
            <w:tcW w:w="7200" w:type="dxa"/>
            <w:vAlign w:val="center"/>
          </w:tcPr>
          <w:p w:rsidRPr="00C270C5" w:rsidR="00EC2524" w:rsidP="00D73043" w:rsidRDefault="00EC2524" w14:paraId="5B88FEB5" w14:textId="34CED309">
            <w:pPr>
              <w:tabs>
                <w:tab w:val="left" w:pos="1379"/>
              </w:tabs>
              <w:rPr>
                <w:rFonts w:asciiTheme="majorBidi" w:hAnsiTheme="majorBidi" w:cstheme="majorBidi"/>
                <w:b/>
                <w:bCs/>
              </w:rPr>
            </w:pPr>
            <w:r w:rsidRPr="00C270C5">
              <w:rPr>
                <w:rFonts w:asciiTheme="majorBidi" w:hAnsiTheme="majorBidi" w:cstheme="majorBidi"/>
                <w:b/>
              </w:rPr>
              <w:t xml:space="preserve">7 U.S.C. 136w-8 – Section 33 of FIFRA. </w:t>
            </w:r>
            <w:r w:rsidRPr="00C270C5">
              <w:rPr>
                <w:rFonts w:asciiTheme="majorBidi" w:hAnsiTheme="majorBidi" w:cstheme="majorBidi"/>
              </w:rPr>
              <w:t xml:space="preserve">Pesticide registration service fees. Available online at </w:t>
            </w:r>
            <w:hyperlink w:history="1" r:id="rId25">
              <w:r w:rsidRPr="00C270C5">
                <w:rPr>
                  <w:rFonts w:asciiTheme="majorBidi" w:hAnsiTheme="majorBidi" w:cstheme="majorBidi"/>
                  <w:u w:val="single"/>
                </w:rPr>
                <w:t>US Code website</w:t>
              </w:r>
            </w:hyperlink>
            <w:r>
              <w:rPr>
                <w:rFonts w:asciiTheme="majorBidi" w:hAnsiTheme="majorBidi" w:cstheme="majorBidi"/>
                <w:u w:val="single"/>
              </w:rPr>
              <w:t xml:space="preserve">, </w:t>
            </w:r>
            <w:hyperlink w:history="1" r:id="rId26">
              <w:r>
                <w:rPr>
                  <w:rStyle w:val="Hyperlink"/>
                </w:rPr>
                <w:t>https://uscode.house.gov/view.xhtml?hl=false&amp;edition=prelim&amp;path=%2Fprelim%40title7%2Fchapter6%2Fsubchapter2&amp;req=granuleid%3AUSC-prelim-title7-section136w-8&amp;num=0&amp;saved=L3ByZWxpbUB0aXRsZTcvY2hhcHRlcjYvc3ViY2hhcHRlcjI%3D%7CZ3JhbnVsZWlkOlVTQy1wcmVsaW0tdGl0bGU3LWNoYXB0ZXI2LXN1YmNoYXB0ZXIy%7C%7C%7C0%7Cfalse%7Cprelim</w:t>
              </w:r>
            </w:hyperlink>
          </w:p>
        </w:tc>
      </w:tr>
      <w:tr w:rsidRPr="00C270C5" w:rsidR="00EC2524" w:rsidTr="006506F2" w14:paraId="7DB430AA" w14:textId="77777777">
        <w:trPr>
          <w:trHeight w:val="360"/>
        </w:trPr>
        <w:tc>
          <w:tcPr>
            <w:tcW w:w="2065" w:type="dxa"/>
            <w:vAlign w:val="center"/>
          </w:tcPr>
          <w:p w:rsidRPr="00C270C5" w:rsidR="00EC2524" w:rsidP="00D73043" w:rsidRDefault="00EC2524" w14:paraId="6C19175D" w14:textId="77777777">
            <w:pPr>
              <w:rPr>
                <w:rFonts w:asciiTheme="majorBidi" w:hAnsiTheme="majorBidi" w:cstheme="majorBidi"/>
                <w:b/>
              </w:rPr>
            </w:pPr>
            <w:r w:rsidRPr="00C270C5">
              <w:rPr>
                <w:rFonts w:asciiTheme="majorBidi" w:hAnsiTheme="majorBidi" w:cstheme="majorBidi"/>
                <w:b/>
                <w:bCs/>
              </w:rPr>
              <w:t>Attachment C:</w:t>
            </w:r>
          </w:p>
        </w:tc>
        <w:tc>
          <w:tcPr>
            <w:tcW w:w="7200" w:type="dxa"/>
            <w:vAlign w:val="center"/>
          </w:tcPr>
          <w:p w:rsidRPr="00182959" w:rsidR="00EC2524" w:rsidDel="000C2CD5" w:rsidP="00D73043" w:rsidRDefault="00EC2524" w14:paraId="19A22D65" w14:textId="79C34B8F">
            <w:pPr>
              <w:tabs>
                <w:tab w:val="left" w:pos="1379"/>
              </w:tabs>
              <w:rPr>
                <w:rFonts w:asciiTheme="majorBidi" w:hAnsiTheme="majorBidi" w:cstheme="majorBidi"/>
              </w:rPr>
            </w:pPr>
            <w:r w:rsidRPr="00C270C5">
              <w:rPr>
                <w:rFonts w:asciiTheme="majorBidi" w:hAnsiTheme="majorBidi" w:cstheme="majorBidi"/>
                <w:b/>
              </w:rPr>
              <w:t>Forms for Pesticide Registration</w:t>
            </w:r>
            <w:r w:rsidRPr="00C270C5">
              <w:rPr>
                <w:rFonts w:asciiTheme="majorBidi" w:hAnsiTheme="majorBidi" w:cstheme="majorBidi"/>
              </w:rPr>
              <w:t xml:space="preserve">. </w:t>
            </w:r>
            <w:hyperlink w:history="1" r:id="rId27">
              <w:r w:rsidRPr="00D73043" w:rsidR="00D73043">
                <w:rPr>
                  <w:rStyle w:val="Hyperlink"/>
                  <w:rFonts w:asciiTheme="majorBidi" w:hAnsiTheme="majorBidi" w:cstheme="majorBidi"/>
                  <w:color w:val="auto"/>
                  <w:u w:val="none"/>
                </w:rPr>
                <w:t>Available</w:t>
              </w:r>
            </w:hyperlink>
            <w:r w:rsidRPr="00D73043" w:rsidR="00D73043">
              <w:rPr>
                <w:rStyle w:val="Hyperlink"/>
                <w:rFonts w:asciiTheme="majorBidi" w:hAnsiTheme="majorBidi" w:cstheme="majorBidi"/>
                <w:color w:val="auto"/>
                <w:u w:val="none"/>
              </w:rPr>
              <w:t xml:space="preserve"> online at </w:t>
            </w:r>
            <w:hyperlink w:history="1" r:id="rId28">
              <w:r w:rsidR="00D73043">
                <w:rPr>
                  <w:rStyle w:val="Hyperlink"/>
                </w:rPr>
                <w:t>https://www.epa.gov/pesticide-registration/pesticide-registration-manual-blank-forms</w:t>
              </w:r>
            </w:hyperlink>
          </w:p>
        </w:tc>
      </w:tr>
      <w:tr w:rsidRPr="00C270C5" w:rsidR="00EC2524" w:rsidTr="006506F2" w14:paraId="7C872ABB" w14:textId="77777777">
        <w:trPr>
          <w:trHeight w:val="2349"/>
        </w:trPr>
        <w:tc>
          <w:tcPr>
            <w:tcW w:w="9265" w:type="dxa"/>
            <w:gridSpan w:val="2"/>
            <w:vAlign w:val="center"/>
          </w:tcPr>
          <w:p w:rsidRPr="00C270C5" w:rsidR="00EC2524" w:rsidP="00D73043" w:rsidRDefault="00EC2524" w14:paraId="04BBD3B6" w14:textId="77777777">
            <w:pPr>
              <w:tabs>
                <w:tab w:val="left" w:pos="1379"/>
              </w:tabs>
              <w:ind w:left="720" w:right="-108"/>
              <w:rPr>
                <w:rFonts w:asciiTheme="majorBidi" w:hAnsiTheme="majorBidi" w:cstheme="majorBidi"/>
              </w:rPr>
            </w:pPr>
            <w:r w:rsidRPr="00C270C5">
              <w:rPr>
                <w:rFonts w:asciiTheme="majorBidi" w:hAnsiTheme="majorBidi" w:cstheme="majorBidi"/>
                <w:b/>
              </w:rPr>
              <w:t>C – 1.</w:t>
            </w:r>
            <w:r w:rsidRPr="00C270C5">
              <w:rPr>
                <w:rFonts w:asciiTheme="majorBidi" w:hAnsiTheme="majorBidi" w:cstheme="majorBidi"/>
              </w:rPr>
              <w:t xml:space="preserve">   </w:t>
            </w:r>
            <w:r w:rsidRPr="00C270C5">
              <w:rPr>
                <w:rFonts w:asciiTheme="majorBidi" w:hAnsiTheme="majorBidi" w:cstheme="majorBidi"/>
                <w:i/>
              </w:rPr>
              <w:t>EPA Form 8570-1</w:t>
            </w:r>
            <w:r w:rsidRPr="00C270C5">
              <w:rPr>
                <w:rFonts w:asciiTheme="majorBidi" w:hAnsiTheme="majorBidi" w:cstheme="majorBidi"/>
              </w:rPr>
              <w:t xml:space="preserve"> - Application for Pesticide, Registration</w:t>
            </w:r>
            <w:r>
              <w:rPr>
                <w:rFonts w:asciiTheme="majorBidi" w:hAnsiTheme="majorBidi" w:cstheme="majorBidi"/>
              </w:rPr>
              <w:t>/</w:t>
            </w:r>
            <w:r w:rsidRPr="00C270C5">
              <w:rPr>
                <w:rFonts w:asciiTheme="majorBidi" w:hAnsiTheme="majorBidi" w:cstheme="majorBidi"/>
              </w:rPr>
              <w:t>Amendment</w:t>
            </w:r>
          </w:p>
          <w:p w:rsidRPr="00C270C5" w:rsidR="00EC2524" w:rsidP="00D73043" w:rsidRDefault="00EC2524" w14:paraId="34B59A9A" w14:textId="77777777">
            <w:pPr>
              <w:tabs>
                <w:tab w:val="left" w:pos="1379"/>
              </w:tabs>
              <w:ind w:left="720" w:right="-108"/>
              <w:rPr>
                <w:rFonts w:asciiTheme="majorBidi" w:hAnsiTheme="majorBidi" w:cstheme="majorBidi"/>
              </w:rPr>
            </w:pPr>
            <w:r w:rsidRPr="00C270C5">
              <w:rPr>
                <w:rFonts w:asciiTheme="majorBidi" w:hAnsiTheme="majorBidi" w:cstheme="majorBidi"/>
                <w:b/>
              </w:rPr>
              <w:t>C – 2.</w:t>
            </w:r>
            <w:r w:rsidRPr="00C270C5">
              <w:rPr>
                <w:rFonts w:asciiTheme="majorBidi" w:hAnsiTheme="majorBidi" w:cstheme="majorBidi"/>
                <w:i/>
              </w:rPr>
              <w:t xml:space="preserve">   EPA Form No. 8570-4</w:t>
            </w:r>
            <w:r w:rsidRPr="00C270C5">
              <w:rPr>
                <w:rFonts w:asciiTheme="majorBidi" w:hAnsiTheme="majorBidi" w:cstheme="majorBidi"/>
              </w:rPr>
              <w:t xml:space="preserve"> - Confidential Statement of Formula</w:t>
            </w:r>
          </w:p>
          <w:p w:rsidRPr="00C270C5" w:rsidR="00EC2524" w:rsidP="00D73043" w:rsidRDefault="00EC2524" w14:paraId="35F8C33D" w14:textId="77777777">
            <w:pPr>
              <w:tabs>
                <w:tab w:val="left" w:pos="1379"/>
              </w:tabs>
              <w:ind w:left="720" w:right="-108"/>
              <w:rPr>
                <w:rFonts w:asciiTheme="majorBidi" w:hAnsiTheme="majorBidi" w:cstheme="majorBidi"/>
              </w:rPr>
            </w:pPr>
            <w:r w:rsidRPr="00C270C5">
              <w:rPr>
                <w:rFonts w:asciiTheme="majorBidi" w:hAnsiTheme="majorBidi" w:cstheme="majorBidi"/>
                <w:b/>
              </w:rPr>
              <w:t>C – 3.</w:t>
            </w:r>
            <w:r w:rsidRPr="00C270C5">
              <w:rPr>
                <w:rFonts w:asciiTheme="majorBidi" w:hAnsiTheme="majorBidi" w:cstheme="majorBidi"/>
                <w:i/>
              </w:rPr>
              <w:t xml:space="preserve">   EPA Form No. 8570-27</w:t>
            </w:r>
            <w:r w:rsidRPr="00C270C5">
              <w:rPr>
                <w:rFonts w:asciiTheme="majorBidi" w:hAnsiTheme="majorBidi" w:cstheme="majorBidi"/>
              </w:rPr>
              <w:t xml:space="preserve"> - Formulator's Exemption Statement</w:t>
            </w:r>
          </w:p>
          <w:p w:rsidRPr="00C270C5" w:rsidR="00EC2524" w:rsidP="00D73043" w:rsidRDefault="00EC2524" w14:paraId="2366C4F7" w14:textId="77777777">
            <w:pPr>
              <w:tabs>
                <w:tab w:val="left" w:pos="1379"/>
              </w:tabs>
              <w:ind w:left="720" w:right="-108"/>
              <w:rPr>
                <w:rFonts w:asciiTheme="majorBidi" w:hAnsiTheme="majorBidi" w:cstheme="majorBidi"/>
              </w:rPr>
            </w:pPr>
            <w:r w:rsidRPr="00C270C5">
              <w:rPr>
                <w:rFonts w:asciiTheme="majorBidi" w:hAnsiTheme="majorBidi" w:cstheme="majorBidi"/>
                <w:b/>
              </w:rPr>
              <w:t>C – 4.</w:t>
            </w:r>
            <w:r w:rsidRPr="00C270C5">
              <w:rPr>
                <w:rFonts w:asciiTheme="majorBidi" w:hAnsiTheme="majorBidi" w:cstheme="majorBidi"/>
                <w:i/>
              </w:rPr>
              <w:t xml:space="preserve">   EPA Form No. 8570-34</w:t>
            </w:r>
            <w:r w:rsidRPr="00C270C5">
              <w:rPr>
                <w:rFonts w:asciiTheme="majorBidi" w:hAnsiTheme="majorBidi" w:cstheme="majorBidi"/>
              </w:rPr>
              <w:t xml:space="preserve"> - Certification with Respect to Citation of Data </w:t>
            </w:r>
          </w:p>
          <w:p w:rsidRPr="00C270C5" w:rsidR="00EC2524" w:rsidP="00D73043" w:rsidRDefault="00EC2524" w14:paraId="389F0E59" w14:textId="77777777">
            <w:pPr>
              <w:tabs>
                <w:tab w:val="left" w:pos="1379"/>
              </w:tabs>
              <w:ind w:left="720" w:right="-108"/>
              <w:rPr>
                <w:rFonts w:asciiTheme="majorBidi" w:hAnsiTheme="majorBidi" w:cstheme="majorBidi"/>
              </w:rPr>
            </w:pPr>
            <w:r w:rsidRPr="00C270C5">
              <w:rPr>
                <w:rFonts w:asciiTheme="majorBidi" w:hAnsiTheme="majorBidi" w:cstheme="majorBidi"/>
                <w:b/>
              </w:rPr>
              <w:t>C – 5.</w:t>
            </w:r>
            <w:r w:rsidRPr="00C270C5">
              <w:rPr>
                <w:rFonts w:asciiTheme="majorBidi" w:hAnsiTheme="majorBidi" w:cstheme="majorBidi"/>
                <w:i/>
              </w:rPr>
              <w:t xml:space="preserve">   EPA Form No. 8570-35</w:t>
            </w:r>
            <w:r w:rsidRPr="00C270C5">
              <w:rPr>
                <w:rFonts w:asciiTheme="majorBidi" w:hAnsiTheme="majorBidi" w:cstheme="majorBidi"/>
              </w:rPr>
              <w:t xml:space="preserve"> - Data Matrix </w:t>
            </w:r>
          </w:p>
          <w:p w:rsidRPr="00C270C5" w:rsidR="00EC2524" w:rsidP="00D73043" w:rsidRDefault="00EC2524" w14:paraId="48F64546" w14:textId="77777777">
            <w:pPr>
              <w:tabs>
                <w:tab w:val="left" w:pos="1379"/>
              </w:tabs>
              <w:ind w:left="720" w:right="-108"/>
              <w:rPr>
                <w:rFonts w:asciiTheme="majorBidi" w:hAnsiTheme="majorBidi" w:cstheme="majorBidi"/>
              </w:rPr>
            </w:pPr>
            <w:r w:rsidRPr="00C270C5">
              <w:rPr>
                <w:rFonts w:asciiTheme="majorBidi" w:hAnsiTheme="majorBidi" w:cstheme="majorBidi"/>
                <w:b/>
              </w:rPr>
              <w:t>C – 6.</w:t>
            </w:r>
            <w:r w:rsidRPr="00C270C5">
              <w:rPr>
                <w:rFonts w:asciiTheme="majorBidi" w:hAnsiTheme="majorBidi" w:cstheme="majorBidi"/>
                <w:i/>
              </w:rPr>
              <w:t xml:space="preserve">   EPA Form No. 8570-36 - </w:t>
            </w:r>
            <w:r w:rsidRPr="00C270C5">
              <w:rPr>
                <w:rFonts w:asciiTheme="majorBidi" w:hAnsiTheme="majorBidi" w:cstheme="majorBidi"/>
              </w:rPr>
              <w:t>Summary of the Physical/Chemical Properties</w:t>
            </w:r>
          </w:p>
          <w:p w:rsidRPr="00C270C5" w:rsidR="00EC2524" w:rsidP="00D73043" w:rsidRDefault="00EC2524" w14:paraId="2ACC5936" w14:textId="77777777">
            <w:pPr>
              <w:tabs>
                <w:tab w:val="left" w:pos="1379"/>
              </w:tabs>
              <w:ind w:left="720"/>
              <w:rPr>
                <w:rFonts w:asciiTheme="majorBidi" w:hAnsiTheme="majorBidi" w:cstheme="majorBidi"/>
                <w:b/>
              </w:rPr>
            </w:pPr>
            <w:r w:rsidRPr="00C270C5">
              <w:rPr>
                <w:rFonts w:asciiTheme="majorBidi" w:hAnsiTheme="majorBidi" w:cstheme="majorBidi"/>
                <w:b/>
              </w:rPr>
              <w:t>C – 7.</w:t>
            </w:r>
            <w:r w:rsidRPr="00C270C5">
              <w:rPr>
                <w:rFonts w:asciiTheme="majorBidi" w:hAnsiTheme="majorBidi" w:cstheme="majorBidi"/>
                <w:i/>
              </w:rPr>
              <w:t xml:space="preserve">   EPA Form No. 8570-37 - </w:t>
            </w:r>
            <w:r w:rsidRPr="00C270C5">
              <w:rPr>
                <w:rFonts w:asciiTheme="majorBidi" w:hAnsiTheme="majorBidi" w:cstheme="majorBidi"/>
              </w:rPr>
              <w:t>Self-Certification Statement for the Physical/Chemical Properties</w:t>
            </w:r>
          </w:p>
        </w:tc>
      </w:tr>
      <w:tr w:rsidRPr="00C270C5" w:rsidR="00EC2524" w:rsidTr="006506F2" w14:paraId="3E0018DD" w14:textId="77777777">
        <w:trPr>
          <w:trHeight w:val="1251"/>
        </w:trPr>
        <w:tc>
          <w:tcPr>
            <w:tcW w:w="2065" w:type="dxa"/>
            <w:vAlign w:val="center"/>
          </w:tcPr>
          <w:p w:rsidRPr="00C270C5" w:rsidR="00EC2524" w:rsidP="00D73043" w:rsidRDefault="00EC2524" w14:paraId="687F3806" w14:textId="77777777">
            <w:pPr>
              <w:rPr>
                <w:rFonts w:asciiTheme="majorBidi" w:hAnsiTheme="majorBidi" w:cstheme="majorBidi"/>
                <w:b/>
              </w:rPr>
            </w:pPr>
            <w:r w:rsidRPr="00C270C5">
              <w:rPr>
                <w:rFonts w:asciiTheme="majorBidi" w:hAnsiTheme="majorBidi" w:cstheme="majorBidi"/>
                <w:b/>
                <w:bCs/>
              </w:rPr>
              <w:t>Attachment D:</w:t>
            </w:r>
          </w:p>
        </w:tc>
        <w:tc>
          <w:tcPr>
            <w:tcW w:w="7200" w:type="dxa"/>
            <w:vAlign w:val="center"/>
          </w:tcPr>
          <w:p w:rsidRPr="00C270C5" w:rsidR="00EC2524" w:rsidDel="00946695" w:rsidP="00D73043" w:rsidRDefault="00EC2524" w14:paraId="73953430" w14:textId="1C35B27E">
            <w:pPr>
              <w:tabs>
                <w:tab w:val="left" w:pos="1379"/>
              </w:tabs>
              <w:rPr>
                <w:rFonts w:asciiTheme="majorBidi" w:hAnsiTheme="majorBidi" w:cstheme="majorBidi"/>
                <w:b/>
              </w:rPr>
            </w:pPr>
            <w:r w:rsidRPr="00C270C5">
              <w:rPr>
                <w:rFonts w:asciiTheme="majorBidi" w:hAnsiTheme="majorBidi" w:cstheme="majorBidi"/>
                <w:b/>
              </w:rPr>
              <w:t>Pesticide Registration (PR) Notice 97-3 – Guidelines for Expedited Review of Conventional Pesticides under the Reduced-Risk Initiative and for Biological Pesticides.</w:t>
            </w:r>
            <w:r w:rsidRPr="00C270C5">
              <w:rPr>
                <w:rFonts w:asciiTheme="majorBidi" w:hAnsiTheme="majorBidi" w:cstheme="majorBidi"/>
              </w:rPr>
              <w:t xml:space="preserve"> </w:t>
            </w:r>
            <w:r w:rsidR="00D73043">
              <w:rPr>
                <w:rFonts w:asciiTheme="majorBidi" w:hAnsiTheme="majorBidi" w:cstheme="majorBidi"/>
              </w:rPr>
              <w:t>A</w:t>
            </w:r>
            <w:r w:rsidRPr="00C270C5">
              <w:rPr>
                <w:rFonts w:asciiTheme="majorBidi" w:hAnsiTheme="majorBidi" w:cstheme="majorBidi"/>
              </w:rPr>
              <w:t xml:space="preserve">vailable at online at </w:t>
            </w:r>
            <w:hyperlink w:history="1" r:id="rId29">
              <w:r w:rsidRPr="00C270C5">
                <w:rPr>
                  <w:rStyle w:val="Hyperlink"/>
                  <w:rFonts w:asciiTheme="majorBidi" w:hAnsiTheme="majorBidi" w:cstheme="majorBidi"/>
                  <w:color w:val="auto"/>
                </w:rPr>
                <w:t>http://www.epa.gov/PR_Notices/pr97-3.html</w:t>
              </w:r>
            </w:hyperlink>
          </w:p>
        </w:tc>
      </w:tr>
      <w:tr w:rsidRPr="00C270C5" w:rsidR="00EC2524" w:rsidTr="006506F2" w14:paraId="0DA0144F" w14:textId="77777777">
        <w:trPr>
          <w:trHeight w:val="990"/>
        </w:trPr>
        <w:tc>
          <w:tcPr>
            <w:tcW w:w="2065" w:type="dxa"/>
            <w:vAlign w:val="center"/>
          </w:tcPr>
          <w:p w:rsidRPr="00C270C5" w:rsidR="00EC2524" w:rsidP="00D73043" w:rsidRDefault="00EC2524" w14:paraId="24C6A0D7" w14:textId="77777777">
            <w:pPr>
              <w:rPr>
                <w:rFonts w:asciiTheme="majorBidi" w:hAnsiTheme="majorBidi" w:cstheme="majorBidi"/>
                <w:b/>
              </w:rPr>
            </w:pPr>
            <w:r w:rsidRPr="00C270C5">
              <w:rPr>
                <w:rFonts w:asciiTheme="majorBidi" w:hAnsiTheme="majorBidi" w:cstheme="majorBidi"/>
                <w:b/>
                <w:bCs/>
              </w:rPr>
              <w:lastRenderedPageBreak/>
              <w:t>Attachment E:</w:t>
            </w:r>
          </w:p>
        </w:tc>
        <w:tc>
          <w:tcPr>
            <w:tcW w:w="7200" w:type="dxa"/>
            <w:vAlign w:val="center"/>
          </w:tcPr>
          <w:p w:rsidRPr="00C270C5" w:rsidR="00EC2524" w:rsidDel="00946695" w:rsidP="00D73043" w:rsidRDefault="00EC2524" w14:paraId="731527AD" w14:textId="03F01E58">
            <w:pPr>
              <w:tabs>
                <w:tab w:val="left" w:pos="1379"/>
              </w:tabs>
              <w:rPr>
                <w:rFonts w:asciiTheme="majorBidi" w:hAnsiTheme="majorBidi" w:cstheme="majorBidi"/>
                <w:b/>
              </w:rPr>
            </w:pPr>
            <w:r w:rsidRPr="00C270C5">
              <w:rPr>
                <w:rFonts w:asciiTheme="majorBidi" w:hAnsiTheme="majorBidi" w:cstheme="majorBidi"/>
                <w:b/>
              </w:rPr>
              <w:t xml:space="preserve">40 CFR </w:t>
            </w:r>
            <w:r>
              <w:rPr>
                <w:rFonts w:asciiTheme="majorBidi" w:hAnsiTheme="majorBidi" w:cstheme="majorBidi"/>
                <w:b/>
              </w:rPr>
              <w:t xml:space="preserve">part </w:t>
            </w:r>
            <w:r w:rsidRPr="00C270C5">
              <w:rPr>
                <w:rFonts w:asciiTheme="majorBidi" w:hAnsiTheme="majorBidi" w:cstheme="majorBidi"/>
                <w:b/>
              </w:rPr>
              <w:t>152 – Pesticide Registration and Classification Procedures.</w:t>
            </w:r>
            <w:r w:rsidRPr="00C270C5">
              <w:rPr>
                <w:rFonts w:asciiTheme="majorBidi" w:hAnsiTheme="majorBidi" w:cstheme="majorBidi"/>
              </w:rPr>
              <w:t xml:space="preserve"> </w:t>
            </w:r>
            <w:r w:rsidR="00D73043">
              <w:rPr>
                <w:rFonts w:asciiTheme="majorBidi" w:hAnsiTheme="majorBidi" w:cstheme="majorBidi"/>
              </w:rPr>
              <w:t>A</w:t>
            </w:r>
            <w:r w:rsidRPr="00C270C5">
              <w:rPr>
                <w:rFonts w:asciiTheme="majorBidi" w:hAnsiTheme="majorBidi" w:cstheme="majorBidi"/>
              </w:rPr>
              <w:t xml:space="preserve">vailable online at </w:t>
            </w:r>
            <w:hyperlink w:history="1" r:id="rId30">
              <w:r w:rsidR="00D73043">
                <w:rPr>
                  <w:rStyle w:val="Hyperlink"/>
                </w:rPr>
                <w:t>https://www.ecfr.gov/cgi-bin/text-idx?SID=acde416ef7c416ec92c63b02c82911b8&amp;mc=true&amp;node=pt40.24.152&amp;rgn=div5</w:t>
              </w:r>
            </w:hyperlink>
          </w:p>
        </w:tc>
      </w:tr>
      <w:tr w:rsidRPr="00C270C5" w:rsidR="00EC2524" w:rsidTr="006506F2" w14:paraId="652D9B9B" w14:textId="77777777">
        <w:trPr>
          <w:trHeight w:val="720"/>
        </w:trPr>
        <w:tc>
          <w:tcPr>
            <w:tcW w:w="2065" w:type="dxa"/>
            <w:vAlign w:val="center"/>
          </w:tcPr>
          <w:p w:rsidRPr="00C270C5" w:rsidR="00EC2524" w:rsidP="00D73043" w:rsidRDefault="00EC2524" w14:paraId="5137C2EF" w14:textId="77777777">
            <w:pPr>
              <w:rPr>
                <w:rFonts w:asciiTheme="majorBidi" w:hAnsiTheme="majorBidi" w:cstheme="majorBidi"/>
                <w:b/>
              </w:rPr>
            </w:pPr>
            <w:r w:rsidRPr="00C270C5">
              <w:rPr>
                <w:rFonts w:asciiTheme="majorBidi" w:hAnsiTheme="majorBidi" w:cstheme="majorBidi"/>
                <w:b/>
                <w:bCs/>
              </w:rPr>
              <w:t>Attachment F:</w:t>
            </w:r>
          </w:p>
        </w:tc>
        <w:tc>
          <w:tcPr>
            <w:tcW w:w="7200" w:type="dxa"/>
            <w:vAlign w:val="center"/>
          </w:tcPr>
          <w:p w:rsidRPr="00C270C5" w:rsidR="00EC2524" w:rsidDel="00946695" w:rsidP="00D73043" w:rsidRDefault="00EC2524" w14:paraId="633E396B" w14:textId="282D45B8">
            <w:pPr>
              <w:tabs>
                <w:tab w:val="left" w:pos="1379"/>
              </w:tabs>
              <w:rPr>
                <w:rFonts w:asciiTheme="majorBidi" w:hAnsiTheme="majorBidi" w:cstheme="majorBidi"/>
                <w:b/>
              </w:rPr>
            </w:pPr>
            <w:r w:rsidRPr="00C270C5">
              <w:rPr>
                <w:rFonts w:asciiTheme="majorBidi" w:hAnsiTheme="majorBidi" w:cstheme="majorBidi"/>
                <w:b/>
              </w:rPr>
              <w:t xml:space="preserve">40 CFR </w:t>
            </w:r>
            <w:r>
              <w:rPr>
                <w:rFonts w:asciiTheme="majorBidi" w:hAnsiTheme="majorBidi" w:cstheme="majorBidi"/>
                <w:b/>
              </w:rPr>
              <w:t xml:space="preserve">part </w:t>
            </w:r>
            <w:r w:rsidRPr="00C270C5">
              <w:rPr>
                <w:rFonts w:asciiTheme="majorBidi" w:hAnsiTheme="majorBidi" w:cstheme="majorBidi"/>
                <w:b/>
              </w:rPr>
              <w:t>156 – Labeling Requirements for Pesticides and Devices.</w:t>
            </w:r>
            <w:r w:rsidRPr="00C270C5">
              <w:rPr>
                <w:rFonts w:asciiTheme="majorBidi" w:hAnsiTheme="majorBidi" w:cstheme="majorBidi"/>
              </w:rPr>
              <w:t xml:space="preserve"> </w:t>
            </w:r>
            <w:r w:rsidR="00D73043">
              <w:rPr>
                <w:rFonts w:asciiTheme="majorBidi" w:hAnsiTheme="majorBidi" w:cstheme="majorBidi"/>
              </w:rPr>
              <w:t>A</w:t>
            </w:r>
            <w:r w:rsidRPr="00C270C5">
              <w:rPr>
                <w:rFonts w:asciiTheme="majorBidi" w:hAnsiTheme="majorBidi" w:cstheme="majorBidi"/>
              </w:rPr>
              <w:t>vailable at</w:t>
            </w:r>
            <w:r w:rsidR="00D73043">
              <w:rPr>
                <w:rFonts w:asciiTheme="majorBidi" w:hAnsiTheme="majorBidi" w:cstheme="majorBidi"/>
              </w:rPr>
              <w:t xml:space="preserve"> </w:t>
            </w:r>
            <w:hyperlink w:history="1" r:id="rId31">
              <w:r w:rsidR="00D73043">
                <w:rPr>
                  <w:rStyle w:val="Hyperlink"/>
                </w:rPr>
                <w:t>https://www.ecfr.gov/cgi-bin/text-idx?SID=acde416ef7c416ec92c63b02c82911b8&amp;mc=true&amp;node=pt40.24.156&amp;rgn=div5</w:t>
              </w:r>
            </w:hyperlink>
          </w:p>
        </w:tc>
      </w:tr>
      <w:tr w:rsidRPr="00C270C5" w:rsidR="00EC2524" w:rsidTr="006506F2" w14:paraId="2D19ACB3" w14:textId="77777777">
        <w:trPr>
          <w:trHeight w:val="711"/>
        </w:trPr>
        <w:tc>
          <w:tcPr>
            <w:tcW w:w="2065" w:type="dxa"/>
            <w:vAlign w:val="center"/>
          </w:tcPr>
          <w:p w:rsidRPr="00C270C5" w:rsidR="00EC2524" w:rsidP="00D73043" w:rsidRDefault="00EC2524" w14:paraId="21B76C11" w14:textId="77777777">
            <w:pPr>
              <w:rPr>
                <w:rFonts w:asciiTheme="majorBidi" w:hAnsiTheme="majorBidi" w:cstheme="majorBidi"/>
                <w:b/>
                <w:bCs/>
              </w:rPr>
            </w:pPr>
            <w:r w:rsidRPr="00C270C5">
              <w:rPr>
                <w:rFonts w:asciiTheme="majorBidi" w:hAnsiTheme="majorBidi" w:cstheme="majorBidi"/>
                <w:b/>
              </w:rPr>
              <w:t>Attachment G:</w:t>
            </w:r>
            <w:r w:rsidRPr="00C270C5">
              <w:rPr>
                <w:rFonts w:asciiTheme="majorBidi" w:hAnsiTheme="majorBidi" w:cstheme="majorBidi"/>
                <w:b/>
                <w:bCs/>
              </w:rPr>
              <w:t xml:space="preserve"> </w:t>
            </w:r>
          </w:p>
        </w:tc>
        <w:tc>
          <w:tcPr>
            <w:tcW w:w="7200" w:type="dxa"/>
            <w:vAlign w:val="center"/>
          </w:tcPr>
          <w:p w:rsidRPr="00C270C5" w:rsidR="00EC2524" w:rsidP="00D73043" w:rsidRDefault="00EC2524" w14:paraId="14B98B17" w14:textId="2A0E0D64">
            <w:pPr>
              <w:tabs>
                <w:tab w:val="left" w:pos="1379"/>
              </w:tabs>
              <w:rPr>
                <w:rFonts w:asciiTheme="majorBidi" w:hAnsiTheme="majorBidi" w:cstheme="majorBidi"/>
                <w:u w:val="single"/>
              </w:rPr>
            </w:pPr>
            <w:r w:rsidRPr="00C270C5">
              <w:rPr>
                <w:rFonts w:asciiTheme="majorBidi" w:hAnsiTheme="majorBidi" w:cstheme="majorBidi"/>
                <w:b/>
              </w:rPr>
              <w:t xml:space="preserve">40 CFR </w:t>
            </w:r>
            <w:r>
              <w:rPr>
                <w:rFonts w:asciiTheme="majorBidi" w:hAnsiTheme="majorBidi" w:cstheme="majorBidi"/>
                <w:b/>
              </w:rPr>
              <w:t xml:space="preserve">part </w:t>
            </w:r>
            <w:r w:rsidRPr="00C270C5">
              <w:rPr>
                <w:rFonts w:asciiTheme="majorBidi" w:hAnsiTheme="majorBidi" w:cstheme="majorBidi"/>
                <w:b/>
              </w:rPr>
              <w:t>158 – Data Requirements For Registration.</w:t>
            </w:r>
            <w:r w:rsidRPr="00C270C5">
              <w:rPr>
                <w:rFonts w:asciiTheme="majorBidi" w:hAnsiTheme="majorBidi" w:cstheme="majorBidi"/>
              </w:rPr>
              <w:t xml:space="preserve"> Available online at t</w:t>
            </w:r>
            <w:hyperlink w:history="1" r:id="rId32">
              <w:r w:rsidR="00D73043">
                <w:rPr>
                  <w:rStyle w:val="Hyperlink"/>
                </w:rPr>
                <w:t>https://www.ecfr.gov/cgi-bin/text-idx?SID=acde416ef7c416ec92c63b02c82911b8&amp;mc=true&amp;node=pt40.24.158&amp;rgn=div5</w:t>
              </w:r>
            </w:hyperlink>
          </w:p>
        </w:tc>
      </w:tr>
      <w:tr w:rsidRPr="00C270C5" w:rsidR="00EC2524" w:rsidTr="006506F2" w14:paraId="724FC10C" w14:textId="77777777">
        <w:trPr>
          <w:trHeight w:val="440"/>
        </w:trPr>
        <w:tc>
          <w:tcPr>
            <w:tcW w:w="2065" w:type="dxa"/>
            <w:vAlign w:val="center"/>
          </w:tcPr>
          <w:p w:rsidRPr="00841A5E" w:rsidR="00EC2524" w:rsidP="00D73043" w:rsidRDefault="00EC2524" w14:paraId="4D032379" w14:textId="77777777">
            <w:pPr>
              <w:rPr>
                <w:rFonts w:asciiTheme="majorBidi" w:hAnsiTheme="majorBidi" w:cstheme="majorBidi"/>
                <w:b/>
                <w:bCs/>
              </w:rPr>
            </w:pPr>
            <w:r w:rsidRPr="00841A5E">
              <w:rPr>
                <w:rFonts w:asciiTheme="majorBidi" w:hAnsiTheme="majorBidi" w:cstheme="majorBidi"/>
                <w:b/>
                <w:bCs/>
              </w:rPr>
              <w:t>Attachment H:</w:t>
            </w:r>
          </w:p>
        </w:tc>
        <w:tc>
          <w:tcPr>
            <w:tcW w:w="7200" w:type="dxa"/>
            <w:vAlign w:val="center"/>
          </w:tcPr>
          <w:p w:rsidRPr="00841A5E" w:rsidR="00EC2524" w:rsidP="00D73043" w:rsidRDefault="00EC2524" w14:paraId="0C74A7A3" w14:textId="77777777">
            <w:pPr>
              <w:tabs>
                <w:tab w:val="left" w:pos="1379"/>
              </w:tabs>
              <w:rPr>
                <w:rFonts w:asciiTheme="majorBidi" w:hAnsiTheme="majorBidi" w:cstheme="majorBidi"/>
                <w:b/>
              </w:rPr>
            </w:pPr>
            <w:r w:rsidRPr="00841A5E">
              <w:rPr>
                <w:rFonts w:asciiTheme="majorBidi" w:hAnsiTheme="majorBidi" w:cstheme="majorBidi"/>
                <w:b/>
              </w:rPr>
              <w:t>Revised Formulator’s Exemption Statement Form 8570-27</w:t>
            </w:r>
          </w:p>
        </w:tc>
      </w:tr>
      <w:tr w:rsidRPr="00C270C5" w:rsidR="00EC2524" w:rsidTr="006506F2" w14:paraId="436D0157" w14:textId="77777777">
        <w:trPr>
          <w:trHeight w:val="440"/>
        </w:trPr>
        <w:tc>
          <w:tcPr>
            <w:tcW w:w="2065" w:type="dxa"/>
            <w:vAlign w:val="center"/>
          </w:tcPr>
          <w:p w:rsidRPr="00C270C5" w:rsidR="00EC2524" w:rsidP="00D73043" w:rsidRDefault="00EC2524" w14:paraId="78ADE955" w14:textId="77777777">
            <w:pPr>
              <w:rPr>
                <w:rFonts w:asciiTheme="majorBidi" w:hAnsiTheme="majorBidi" w:cstheme="majorBidi"/>
                <w:b/>
                <w:bCs/>
              </w:rPr>
            </w:pPr>
            <w:r w:rsidRPr="00C270C5">
              <w:rPr>
                <w:rFonts w:asciiTheme="majorBidi" w:hAnsiTheme="majorBidi" w:cstheme="majorBidi"/>
                <w:b/>
                <w:bCs/>
              </w:rPr>
              <w:t>Attachment I:</w:t>
            </w:r>
          </w:p>
        </w:tc>
        <w:tc>
          <w:tcPr>
            <w:tcW w:w="7200" w:type="dxa"/>
            <w:vAlign w:val="center"/>
          </w:tcPr>
          <w:p w:rsidRPr="00C270C5" w:rsidR="00EC2524" w:rsidP="00D73043" w:rsidRDefault="00EC2524" w14:paraId="42DD6B5F" w14:textId="77777777">
            <w:pPr>
              <w:tabs>
                <w:tab w:val="left" w:pos="1379"/>
              </w:tabs>
              <w:rPr>
                <w:rFonts w:asciiTheme="majorBidi" w:hAnsiTheme="majorBidi" w:cstheme="majorBidi"/>
                <w:b/>
              </w:rPr>
            </w:pPr>
            <w:r w:rsidRPr="00C270C5">
              <w:rPr>
                <w:rFonts w:asciiTheme="majorBidi" w:hAnsiTheme="majorBidi" w:cstheme="majorBidi"/>
                <w:b/>
              </w:rPr>
              <w:t xml:space="preserve">Proposed New e-CSF </w:t>
            </w:r>
          </w:p>
        </w:tc>
      </w:tr>
      <w:tr w:rsidRPr="00C270C5" w:rsidR="00EC2524" w:rsidTr="006506F2" w14:paraId="47DC76CD" w14:textId="77777777">
        <w:trPr>
          <w:trHeight w:val="927"/>
        </w:trPr>
        <w:tc>
          <w:tcPr>
            <w:tcW w:w="2065" w:type="dxa"/>
            <w:vAlign w:val="center"/>
          </w:tcPr>
          <w:p w:rsidRPr="00C270C5" w:rsidR="00EC2524" w:rsidP="00D73043" w:rsidRDefault="00EC2524" w14:paraId="47D93AAD" w14:textId="77777777">
            <w:pPr>
              <w:rPr>
                <w:rFonts w:asciiTheme="majorBidi" w:hAnsiTheme="majorBidi" w:cstheme="majorBidi"/>
                <w:b/>
                <w:bCs/>
              </w:rPr>
            </w:pPr>
            <w:r w:rsidRPr="00C270C5">
              <w:rPr>
                <w:rFonts w:asciiTheme="majorBidi" w:hAnsiTheme="majorBidi" w:cstheme="majorBidi"/>
                <w:b/>
                <w:bCs/>
              </w:rPr>
              <w:t>Attachment J:</w:t>
            </w:r>
          </w:p>
        </w:tc>
        <w:tc>
          <w:tcPr>
            <w:tcW w:w="7200" w:type="dxa"/>
            <w:vAlign w:val="center"/>
          </w:tcPr>
          <w:p w:rsidRPr="00C270C5" w:rsidR="00EC2524" w:rsidP="00D73043" w:rsidRDefault="00EC2524" w14:paraId="73ACD10B" w14:textId="77777777">
            <w:pPr>
              <w:tabs>
                <w:tab w:val="left" w:pos="1379"/>
              </w:tabs>
              <w:rPr>
                <w:rFonts w:asciiTheme="majorBidi" w:hAnsiTheme="majorBidi" w:cstheme="majorBidi"/>
                <w:bCs/>
              </w:rPr>
            </w:pPr>
            <w:r w:rsidRPr="00C270C5">
              <w:rPr>
                <w:rFonts w:asciiTheme="majorBidi" w:hAnsiTheme="majorBidi" w:cstheme="majorBidi"/>
                <w:b/>
              </w:rPr>
              <w:t>EPA ICR Number 0277.17 Labor Wage Formulas.</w:t>
            </w:r>
            <w:r w:rsidRPr="00C270C5">
              <w:rPr>
                <w:rFonts w:asciiTheme="majorBidi" w:hAnsiTheme="majorBidi" w:cstheme="majorBidi"/>
                <w:bCs/>
              </w:rPr>
              <w:t xml:space="preserve"> Work Sheets used to Calculate Pesticide Registrant Industry Labor Costs; Work Sheets used to Calculate EPA and Federal Government Labor Costs</w:t>
            </w:r>
          </w:p>
        </w:tc>
      </w:tr>
      <w:tr w:rsidRPr="00C270C5" w:rsidR="00EC2524" w:rsidTr="006506F2" w14:paraId="658A36E5" w14:textId="77777777">
        <w:trPr>
          <w:trHeight w:val="773"/>
        </w:trPr>
        <w:tc>
          <w:tcPr>
            <w:tcW w:w="2065" w:type="dxa"/>
            <w:vAlign w:val="center"/>
          </w:tcPr>
          <w:p w:rsidRPr="00C270C5" w:rsidR="00EC2524" w:rsidP="00D73043" w:rsidRDefault="00EC2524" w14:paraId="6FC66E36" w14:textId="77777777">
            <w:pPr>
              <w:rPr>
                <w:rFonts w:asciiTheme="majorBidi" w:hAnsiTheme="majorBidi" w:cstheme="majorBidi"/>
                <w:b/>
                <w:bCs/>
              </w:rPr>
            </w:pPr>
            <w:r w:rsidRPr="00C270C5">
              <w:rPr>
                <w:rFonts w:asciiTheme="majorBidi" w:hAnsiTheme="majorBidi" w:cstheme="majorBidi"/>
                <w:b/>
                <w:bCs/>
              </w:rPr>
              <w:t>Attachment K:</w:t>
            </w:r>
          </w:p>
        </w:tc>
        <w:tc>
          <w:tcPr>
            <w:tcW w:w="7200" w:type="dxa"/>
            <w:vAlign w:val="center"/>
          </w:tcPr>
          <w:p w:rsidRPr="00C270C5" w:rsidR="00EC2524" w:rsidP="00D73043" w:rsidRDefault="00EC2524" w14:paraId="2A7F025B" w14:textId="669BF25C">
            <w:pPr>
              <w:tabs>
                <w:tab w:val="left" w:pos="1379"/>
              </w:tabs>
              <w:rPr>
                <w:rFonts w:asciiTheme="majorBidi" w:hAnsiTheme="majorBidi" w:cstheme="majorBidi"/>
                <w:b/>
              </w:rPr>
            </w:pPr>
            <w:r w:rsidRPr="00C270C5">
              <w:rPr>
                <w:rFonts w:asciiTheme="majorBidi" w:hAnsiTheme="majorBidi" w:cstheme="majorBidi"/>
                <w:b/>
              </w:rPr>
              <w:t xml:space="preserve">Display Related to OMB Control #2070-0060 – Listings of Related Regulations in 40 CFR </w:t>
            </w:r>
            <w:r>
              <w:rPr>
                <w:rFonts w:asciiTheme="majorBidi" w:hAnsiTheme="majorBidi" w:cstheme="majorBidi"/>
                <w:b/>
              </w:rPr>
              <w:t xml:space="preserve">§ </w:t>
            </w:r>
            <w:r w:rsidRPr="00C270C5">
              <w:rPr>
                <w:rFonts w:asciiTheme="majorBidi" w:hAnsiTheme="majorBidi" w:cstheme="majorBidi"/>
                <w:b/>
              </w:rPr>
              <w:t>9.1.</w:t>
            </w:r>
            <w:r w:rsidRPr="00C270C5">
              <w:rPr>
                <w:rFonts w:asciiTheme="majorBidi" w:hAnsiTheme="majorBidi" w:cstheme="majorBidi"/>
              </w:rPr>
              <w:t xml:space="preserve"> </w:t>
            </w:r>
            <w:r w:rsidR="008C3AB1">
              <w:rPr>
                <w:rFonts w:asciiTheme="majorBidi" w:hAnsiTheme="majorBidi" w:cstheme="majorBidi"/>
              </w:rPr>
              <w:t>A</w:t>
            </w:r>
            <w:r w:rsidRPr="00C270C5">
              <w:rPr>
                <w:rFonts w:asciiTheme="majorBidi" w:hAnsiTheme="majorBidi" w:cstheme="majorBidi"/>
              </w:rPr>
              <w:t>vailable at</w:t>
            </w:r>
            <w:r w:rsidR="008C3AB1">
              <w:rPr>
                <w:rFonts w:asciiTheme="majorBidi" w:hAnsiTheme="majorBidi" w:cstheme="majorBidi"/>
              </w:rPr>
              <w:t xml:space="preserve"> </w:t>
            </w:r>
            <w:hyperlink w:history="1" r:id="rId33">
              <w:r w:rsidR="008C3AB1">
                <w:rPr>
                  <w:rStyle w:val="Hyperlink"/>
                </w:rPr>
                <w:t>https://www.ecfr.gov/cgi-bin/text-idx?SID=acde416ef7c416ec92c63b02c82911b8&amp;mc=true&amp;node=pt40.1.9&amp;rgn=div5</w:t>
              </w:r>
            </w:hyperlink>
          </w:p>
        </w:tc>
      </w:tr>
      <w:tr w:rsidRPr="00C270C5" w:rsidR="00EC2524" w:rsidTr="006506F2" w14:paraId="5455FE18" w14:textId="77777777">
        <w:trPr>
          <w:trHeight w:val="530"/>
        </w:trPr>
        <w:tc>
          <w:tcPr>
            <w:tcW w:w="2065" w:type="dxa"/>
            <w:vAlign w:val="center"/>
          </w:tcPr>
          <w:p w:rsidRPr="00C270C5" w:rsidR="00EC2524" w:rsidP="00D73043" w:rsidRDefault="00EC2524" w14:paraId="0268E73B" w14:textId="77777777">
            <w:pPr>
              <w:rPr>
                <w:rFonts w:asciiTheme="majorBidi" w:hAnsiTheme="majorBidi" w:cstheme="majorBidi"/>
                <w:b/>
                <w:bCs/>
              </w:rPr>
            </w:pPr>
            <w:r w:rsidRPr="00C270C5">
              <w:rPr>
                <w:rFonts w:asciiTheme="majorBidi" w:hAnsiTheme="majorBidi" w:cstheme="majorBidi"/>
                <w:b/>
                <w:bCs/>
              </w:rPr>
              <w:t>Attachment L:</w:t>
            </w:r>
          </w:p>
        </w:tc>
        <w:tc>
          <w:tcPr>
            <w:tcW w:w="7200" w:type="dxa"/>
            <w:vAlign w:val="center"/>
          </w:tcPr>
          <w:p w:rsidRPr="00C270C5" w:rsidR="00EC2524" w:rsidP="00D73043" w:rsidRDefault="00EC2524" w14:paraId="0D7B7577" w14:textId="77777777">
            <w:pPr>
              <w:tabs>
                <w:tab w:val="left" w:pos="1379"/>
              </w:tabs>
              <w:rPr>
                <w:rFonts w:asciiTheme="majorBidi" w:hAnsiTheme="majorBidi" w:cstheme="majorBidi"/>
                <w:bCs/>
              </w:rPr>
            </w:pPr>
            <w:r>
              <w:rPr>
                <w:rFonts w:asciiTheme="majorBidi" w:hAnsiTheme="majorBidi" w:cstheme="majorBidi"/>
                <w:bCs/>
              </w:rPr>
              <w:t xml:space="preserve">Consultation Questions </w:t>
            </w:r>
          </w:p>
        </w:tc>
      </w:tr>
      <w:tr w:rsidRPr="00C270C5" w:rsidR="00EC2524" w:rsidTr="006506F2" w14:paraId="6EDC4124" w14:textId="77777777">
        <w:trPr>
          <w:trHeight w:val="530"/>
        </w:trPr>
        <w:tc>
          <w:tcPr>
            <w:tcW w:w="2065" w:type="dxa"/>
            <w:vAlign w:val="center"/>
          </w:tcPr>
          <w:p w:rsidRPr="00C270C5" w:rsidR="00EC2524" w:rsidP="00D73043" w:rsidRDefault="00EC2524" w14:paraId="0201C17A" w14:textId="77777777">
            <w:pPr>
              <w:rPr>
                <w:rFonts w:asciiTheme="majorBidi" w:hAnsiTheme="majorBidi" w:cstheme="majorBidi"/>
                <w:b/>
                <w:bCs/>
              </w:rPr>
            </w:pPr>
            <w:r w:rsidRPr="00C270C5">
              <w:rPr>
                <w:rFonts w:asciiTheme="majorBidi" w:hAnsiTheme="majorBidi" w:cstheme="majorBidi"/>
                <w:b/>
                <w:bCs/>
              </w:rPr>
              <w:t>Attachment M</w:t>
            </w:r>
          </w:p>
        </w:tc>
        <w:tc>
          <w:tcPr>
            <w:tcW w:w="7200" w:type="dxa"/>
            <w:vAlign w:val="center"/>
          </w:tcPr>
          <w:p w:rsidRPr="00C270C5" w:rsidR="00EC2524" w:rsidP="00D73043" w:rsidRDefault="00EC2524" w14:paraId="1868283C" w14:textId="77777777">
            <w:pPr>
              <w:tabs>
                <w:tab w:val="left" w:pos="1379"/>
              </w:tabs>
              <w:rPr>
                <w:rFonts w:asciiTheme="majorBidi" w:hAnsiTheme="majorBidi" w:cstheme="majorBidi"/>
                <w:bCs/>
              </w:rPr>
            </w:pPr>
            <w:r w:rsidRPr="00C270C5">
              <w:rPr>
                <w:rFonts w:asciiTheme="majorBidi" w:hAnsiTheme="majorBidi" w:cstheme="majorBidi"/>
                <w:bCs/>
              </w:rPr>
              <w:t>Public Comment</w:t>
            </w:r>
            <w:r>
              <w:rPr>
                <w:rFonts w:asciiTheme="majorBidi" w:hAnsiTheme="majorBidi" w:cstheme="majorBidi"/>
                <w:bCs/>
              </w:rPr>
              <w:t xml:space="preserve"> Received for this ICR</w:t>
            </w:r>
          </w:p>
        </w:tc>
      </w:tr>
      <w:tr w:rsidRPr="00C270C5" w:rsidR="00EC2524" w:rsidTr="006506F2" w14:paraId="22AEAB6F" w14:textId="77777777">
        <w:trPr>
          <w:trHeight w:val="530"/>
        </w:trPr>
        <w:tc>
          <w:tcPr>
            <w:tcW w:w="2065" w:type="dxa"/>
            <w:vAlign w:val="center"/>
          </w:tcPr>
          <w:p w:rsidRPr="00C270C5" w:rsidR="00EC2524" w:rsidP="00D73043" w:rsidRDefault="00EC2524" w14:paraId="12BBED87" w14:textId="77777777">
            <w:pPr>
              <w:rPr>
                <w:rFonts w:asciiTheme="majorBidi" w:hAnsiTheme="majorBidi" w:cstheme="majorBidi"/>
                <w:b/>
                <w:bCs/>
              </w:rPr>
            </w:pPr>
            <w:r w:rsidRPr="00C270C5">
              <w:rPr>
                <w:rFonts w:asciiTheme="majorBidi" w:hAnsiTheme="majorBidi" w:cstheme="majorBidi"/>
                <w:b/>
                <w:bCs/>
              </w:rPr>
              <w:t>Attachment N</w:t>
            </w:r>
          </w:p>
        </w:tc>
        <w:tc>
          <w:tcPr>
            <w:tcW w:w="7200" w:type="dxa"/>
            <w:vAlign w:val="center"/>
          </w:tcPr>
          <w:p w:rsidRPr="00C270C5" w:rsidR="00EC2524" w:rsidP="00D73043" w:rsidRDefault="00EC2524" w14:paraId="4E9419CD" w14:textId="77777777">
            <w:pPr>
              <w:tabs>
                <w:tab w:val="left" w:pos="1379"/>
              </w:tabs>
              <w:rPr>
                <w:rFonts w:asciiTheme="majorBidi" w:hAnsiTheme="majorBidi" w:cstheme="majorBidi"/>
                <w:bCs/>
              </w:rPr>
            </w:pPr>
            <w:r w:rsidRPr="00C270C5">
              <w:rPr>
                <w:rFonts w:asciiTheme="majorBidi" w:hAnsiTheme="majorBidi" w:cstheme="majorBidi"/>
                <w:bCs/>
              </w:rPr>
              <w:t>Pesticide Submission Portal (PSP): Screen Shots, Instructions and Related Guidance</w:t>
            </w:r>
          </w:p>
        </w:tc>
      </w:tr>
    </w:tbl>
    <w:p w:rsidRPr="00C270C5" w:rsidR="00A9488B" w:rsidP="00935E45" w:rsidRDefault="00A9488B" w14:paraId="7DB2E89B" w14:textId="77777777">
      <w:pPr>
        <w:pStyle w:val="ListParagraph"/>
        <w:widowControl w:val="0"/>
        <w:tabs>
          <w:tab w:val="left" w:pos="-1080"/>
          <w:tab w:val="left" w:pos="-720"/>
        </w:tabs>
        <w:adjustRightInd w:val="0"/>
      </w:pPr>
    </w:p>
    <w:p w:rsidRPr="00C270C5" w:rsidR="00FD318E" w:rsidP="008B7CCF" w:rsidRDefault="00FD318E" w14:paraId="6435E6B1" w14:textId="77777777">
      <w:pPr>
        <w:rPr>
          <w:rFonts w:asciiTheme="majorBidi" w:hAnsiTheme="majorBidi" w:cstheme="majorBidi"/>
        </w:rPr>
      </w:pPr>
    </w:p>
    <w:sectPr w:rsidRPr="00C270C5" w:rsidR="00FD318E" w:rsidSect="005A59D5">
      <w:headerReference w:type="default" r:id="rId34"/>
      <w:footerReference w:type="default" r:id="rId35"/>
      <w:pgSz w:w="12240" w:h="15840" w:code="1"/>
      <w:pgMar w:top="1440" w:right="1440" w:bottom="1440" w:left="1440" w:header="540" w:footer="3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FDCD2" w14:textId="77777777" w:rsidR="00E67D1F" w:rsidRDefault="00E67D1F" w:rsidP="00C47DDD">
      <w:r>
        <w:separator/>
      </w:r>
    </w:p>
  </w:endnote>
  <w:endnote w:type="continuationSeparator" w:id="0">
    <w:p w14:paraId="686EE1DC" w14:textId="77777777" w:rsidR="00E67D1F" w:rsidRDefault="00E67D1F" w:rsidP="00C47DDD">
      <w:r>
        <w:continuationSeparator/>
      </w:r>
    </w:p>
  </w:endnote>
  <w:endnote w:type="continuationNotice" w:id="1">
    <w:p w14:paraId="03708FF6" w14:textId="77777777" w:rsidR="00E67D1F" w:rsidRDefault="00E67D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478374665"/>
      <w:docPartObj>
        <w:docPartGallery w:val="Page Numbers (Bottom of Page)"/>
        <w:docPartUnique/>
      </w:docPartObj>
    </w:sdtPr>
    <w:sdtEndPr/>
    <w:sdtContent>
      <w:sdt>
        <w:sdtPr>
          <w:rPr>
            <w:sz w:val="20"/>
            <w:szCs w:val="20"/>
          </w:rPr>
          <w:id w:val="-677729625"/>
          <w:docPartObj>
            <w:docPartGallery w:val="Page Numbers (Bottom of Page)"/>
            <w:docPartUnique/>
          </w:docPartObj>
        </w:sdtPr>
        <w:sdtEndPr/>
        <w:sdtContent>
          <w:sdt>
            <w:sdtPr>
              <w:rPr>
                <w:sz w:val="20"/>
                <w:szCs w:val="20"/>
              </w:rPr>
              <w:id w:val="712853151"/>
              <w:docPartObj>
                <w:docPartGallery w:val="Page Numbers (Top of Page)"/>
                <w:docPartUnique/>
              </w:docPartObj>
            </w:sdtPr>
            <w:sdtEndPr/>
            <w:sdtContent>
              <w:p w14:paraId="763BC1A0" w14:textId="2A9A8C93" w:rsidR="00910D48" w:rsidRPr="005A59D5" w:rsidRDefault="00910D48" w:rsidP="005A59D5">
                <w:pPr>
                  <w:pStyle w:val="Footer"/>
                  <w:spacing w:before="120"/>
                  <w:jc w:val="center"/>
                  <w:rPr>
                    <w:sz w:val="20"/>
                    <w:szCs w:val="20"/>
                  </w:rPr>
                </w:pPr>
                <w:r w:rsidRPr="005A59D5">
                  <w:rPr>
                    <w:sz w:val="20"/>
                    <w:szCs w:val="20"/>
                  </w:rPr>
                  <w:t xml:space="preserve">Page </w:t>
                </w:r>
                <w:r w:rsidRPr="005A59D5">
                  <w:rPr>
                    <w:bCs/>
                    <w:sz w:val="20"/>
                    <w:szCs w:val="20"/>
                  </w:rPr>
                  <w:fldChar w:fldCharType="begin"/>
                </w:r>
                <w:r w:rsidRPr="005A59D5">
                  <w:rPr>
                    <w:bCs/>
                    <w:sz w:val="20"/>
                    <w:szCs w:val="20"/>
                  </w:rPr>
                  <w:instrText xml:space="preserve"> PAGE </w:instrText>
                </w:r>
                <w:r w:rsidRPr="005A59D5">
                  <w:rPr>
                    <w:bCs/>
                    <w:sz w:val="20"/>
                    <w:szCs w:val="20"/>
                  </w:rPr>
                  <w:fldChar w:fldCharType="separate"/>
                </w:r>
                <w:r>
                  <w:rPr>
                    <w:bCs/>
                    <w:noProof/>
                    <w:sz w:val="20"/>
                    <w:szCs w:val="20"/>
                  </w:rPr>
                  <w:t>10</w:t>
                </w:r>
                <w:r w:rsidRPr="005A59D5">
                  <w:rPr>
                    <w:bCs/>
                    <w:sz w:val="20"/>
                    <w:szCs w:val="20"/>
                  </w:rPr>
                  <w:fldChar w:fldCharType="end"/>
                </w:r>
                <w:r w:rsidRPr="005A59D5">
                  <w:rPr>
                    <w:sz w:val="20"/>
                    <w:szCs w:val="20"/>
                  </w:rPr>
                  <w:t xml:space="preserve"> of </w:t>
                </w:r>
                <w:r w:rsidRPr="005A59D5">
                  <w:rPr>
                    <w:bCs/>
                    <w:sz w:val="20"/>
                    <w:szCs w:val="20"/>
                  </w:rPr>
                  <w:fldChar w:fldCharType="begin"/>
                </w:r>
                <w:r w:rsidRPr="005A59D5">
                  <w:rPr>
                    <w:bCs/>
                    <w:sz w:val="20"/>
                    <w:szCs w:val="20"/>
                  </w:rPr>
                  <w:instrText xml:space="preserve"> NUMPAGES  </w:instrText>
                </w:r>
                <w:r w:rsidRPr="005A59D5">
                  <w:rPr>
                    <w:bCs/>
                    <w:sz w:val="20"/>
                    <w:szCs w:val="20"/>
                  </w:rPr>
                  <w:fldChar w:fldCharType="separate"/>
                </w:r>
                <w:r>
                  <w:rPr>
                    <w:bCs/>
                    <w:noProof/>
                    <w:sz w:val="20"/>
                    <w:szCs w:val="20"/>
                  </w:rPr>
                  <w:t>30</w:t>
                </w:r>
                <w:r w:rsidRPr="005A59D5">
                  <w:rPr>
                    <w:bCs/>
                    <w:sz w:val="20"/>
                    <w:szCs w:val="20"/>
                  </w:rPr>
                  <w:fldChar w:fldCharType="end"/>
                </w:r>
              </w:p>
            </w:sdtContent>
          </w:sdt>
        </w:sdtContent>
      </w:sdt>
      <w:p w14:paraId="080BA08C" w14:textId="472BCBF1" w:rsidR="00910D48" w:rsidRPr="005A59D5" w:rsidRDefault="00E67D1F">
        <w:pPr>
          <w:pStyle w:val="Footer"/>
          <w:jc w:val="center"/>
          <w:rPr>
            <w:sz w:val="20"/>
            <w:szCs w:val="20"/>
          </w:rPr>
        </w:pPr>
      </w:p>
    </w:sdtContent>
  </w:sdt>
  <w:p w14:paraId="023D0607" w14:textId="77777777" w:rsidR="00910D48" w:rsidRDefault="00910D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7374E" w14:textId="77777777" w:rsidR="00E67D1F" w:rsidRDefault="00E67D1F" w:rsidP="00C47DDD">
      <w:r>
        <w:separator/>
      </w:r>
    </w:p>
  </w:footnote>
  <w:footnote w:type="continuationSeparator" w:id="0">
    <w:p w14:paraId="0783CD71" w14:textId="77777777" w:rsidR="00E67D1F" w:rsidRDefault="00E67D1F" w:rsidP="00C47DDD">
      <w:r>
        <w:continuationSeparator/>
      </w:r>
    </w:p>
  </w:footnote>
  <w:footnote w:type="continuationNotice" w:id="1">
    <w:p w14:paraId="01DD0632" w14:textId="77777777" w:rsidR="00E67D1F" w:rsidRDefault="00E67D1F"/>
  </w:footnote>
  <w:footnote w:id="2">
    <w:p w14:paraId="06BA1726" w14:textId="436C3096" w:rsidR="00910D48" w:rsidRDefault="00910D48">
      <w:pPr>
        <w:pStyle w:val="FootnoteText"/>
      </w:pPr>
      <w:r>
        <w:rPr>
          <w:rStyle w:val="FootnoteReference"/>
        </w:rPr>
        <w:footnoteRef/>
      </w:r>
      <w:r>
        <w:t xml:space="preserve"> The Agency anticipates revising existing language in EPA Form 8570-37 within the next three years to better clarify processes for registrants.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0CE0F" w14:textId="623F497F" w:rsidR="00910D48" w:rsidRPr="005A59D5" w:rsidRDefault="00910D48" w:rsidP="00393228">
    <w:pPr>
      <w:pStyle w:val="Header"/>
      <w:jc w:val="right"/>
      <w:rPr>
        <w:sz w:val="20"/>
        <w:szCs w:val="20"/>
      </w:rPr>
    </w:pPr>
    <w:r>
      <w:rPr>
        <w:sz w:val="20"/>
        <w:szCs w:val="20"/>
      </w:rPr>
      <w:t>September 24</w:t>
    </w:r>
    <w:r w:rsidRPr="005A59D5">
      <w:rPr>
        <w:sz w:val="20"/>
        <w:szCs w:val="20"/>
      </w:rPr>
      <w:t>, 20</w:t>
    </w:r>
    <w:r>
      <w:rPr>
        <w:sz w:val="20"/>
        <w:szCs w:val="20"/>
      </w:rPr>
      <w:t>20</w:t>
    </w:r>
  </w:p>
  <w:p w14:paraId="1B5E77BB" w14:textId="77777777" w:rsidR="00910D48" w:rsidRDefault="00910D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C2EAB"/>
    <w:multiLevelType w:val="hybridMultilevel"/>
    <w:tmpl w:val="3AF08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961EA"/>
    <w:multiLevelType w:val="hybridMultilevel"/>
    <w:tmpl w:val="F76C78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C31D5"/>
    <w:multiLevelType w:val="hybridMultilevel"/>
    <w:tmpl w:val="ED84AA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38408D"/>
    <w:multiLevelType w:val="singleLevel"/>
    <w:tmpl w:val="32771255"/>
    <w:lvl w:ilvl="0">
      <w:start w:val="1"/>
      <w:numFmt w:val="decimal"/>
      <w:lvlText w:val="%1."/>
      <w:lvlJc w:val="left"/>
      <w:pPr>
        <w:tabs>
          <w:tab w:val="num" w:pos="1440"/>
        </w:tabs>
        <w:ind w:left="720"/>
      </w:pPr>
      <w:rPr>
        <w:color w:val="000000"/>
      </w:rPr>
    </w:lvl>
  </w:abstractNum>
  <w:abstractNum w:abstractNumId="4" w15:restartNumberingAfterBreak="0">
    <w:nsid w:val="0CB11FA8"/>
    <w:multiLevelType w:val="hybridMultilevel"/>
    <w:tmpl w:val="72940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60434"/>
    <w:multiLevelType w:val="hybridMultilevel"/>
    <w:tmpl w:val="18D87E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81730"/>
    <w:multiLevelType w:val="hybridMultilevel"/>
    <w:tmpl w:val="9A1208E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88F4E3F"/>
    <w:multiLevelType w:val="hybridMultilevel"/>
    <w:tmpl w:val="092C2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F94023"/>
    <w:multiLevelType w:val="hybridMultilevel"/>
    <w:tmpl w:val="7DE06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1E058D"/>
    <w:multiLevelType w:val="hybridMultilevel"/>
    <w:tmpl w:val="F864C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A10610"/>
    <w:multiLevelType w:val="hybridMultilevel"/>
    <w:tmpl w:val="13504528"/>
    <w:lvl w:ilvl="0" w:tplc="90CA068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F7FBE"/>
    <w:multiLevelType w:val="hybridMultilevel"/>
    <w:tmpl w:val="FF30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3751A"/>
    <w:multiLevelType w:val="hybridMultilevel"/>
    <w:tmpl w:val="10445BB0"/>
    <w:lvl w:ilvl="0" w:tplc="FDF67E2C">
      <w:start w:val="1"/>
      <w:numFmt w:val="bullet"/>
      <w:lvlText w:val=""/>
      <w:lvlJc w:val="left"/>
      <w:pPr>
        <w:ind w:left="1080" w:hanging="360"/>
      </w:pPr>
      <w:rPr>
        <w:rFonts w:ascii="Symbol"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676350"/>
    <w:multiLevelType w:val="hybridMultilevel"/>
    <w:tmpl w:val="0B3EBA38"/>
    <w:lvl w:ilvl="0" w:tplc="09345A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144821"/>
    <w:multiLevelType w:val="hybridMultilevel"/>
    <w:tmpl w:val="A79CB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8F2707"/>
    <w:multiLevelType w:val="hybridMultilevel"/>
    <w:tmpl w:val="BCDCEA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5F37041"/>
    <w:multiLevelType w:val="hybridMultilevel"/>
    <w:tmpl w:val="110E8E2C"/>
    <w:lvl w:ilvl="0" w:tplc="064E176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3311A6"/>
    <w:multiLevelType w:val="hybridMultilevel"/>
    <w:tmpl w:val="0EDC6D88"/>
    <w:lvl w:ilvl="0" w:tplc="04090001">
      <w:start w:val="1"/>
      <w:numFmt w:val="bullet"/>
      <w:lvlText w:val=""/>
      <w:lvlJc w:val="left"/>
      <w:pPr>
        <w:ind w:left="1080" w:hanging="360"/>
      </w:pPr>
      <w:rPr>
        <w:rFonts w:ascii="Symbol" w:hAnsi="Symbol" w:hint="default"/>
      </w:rPr>
    </w:lvl>
    <w:lvl w:ilvl="1" w:tplc="04090017">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690D20"/>
    <w:multiLevelType w:val="multilevel"/>
    <w:tmpl w:val="4E86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3954E9"/>
    <w:multiLevelType w:val="hybridMultilevel"/>
    <w:tmpl w:val="4886D4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7A90288"/>
    <w:multiLevelType w:val="hybridMultilevel"/>
    <w:tmpl w:val="6ECC12DE"/>
    <w:lvl w:ilvl="0" w:tplc="FDF67E2C">
      <w:start w:val="1"/>
      <w:numFmt w:val="bullet"/>
      <w:lvlText w:val=""/>
      <w:lvlJc w:val="left"/>
      <w:pPr>
        <w:tabs>
          <w:tab w:val="num" w:pos="1440"/>
        </w:tabs>
        <w:ind w:left="1440" w:hanging="360"/>
      </w:pPr>
      <w:rPr>
        <w:rFonts w:ascii="Symbol" w:hAnsi="Symbol" w:cs="Times New Roman"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B6C5DBC"/>
    <w:multiLevelType w:val="multilevel"/>
    <w:tmpl w:val="7980A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86495B"/>
    <w:multiLevelType w:val="hybridMultilevel"/>
    <w:tmpl w:val="70782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37D5321"/>
    <w:multiLevelType w:val="hybridMultilevel"/>
    <w:tmpl w:val="C302B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313D7F"/>
    <w:multiLevelType w:val="hybridMultilevel"/>
    <w:tmpl w:val="40D48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714521"/>
    <w:multiLevelType w:val="hybridMultilevel"/>
    <w:tmpl w:val="915E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E90B39"/>
    <w:multiLevelType w:val="hybridMultilevel"/>
    <w:tmpl w:val="017E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822BAB"/>
    <w:multiLevelType w:val="hybridMultilevel"/>
    <w:tmpl w:val="B11605A6"/>
    <w:lvl w:ilvl="0" w:tplc="87C2950E">
      <w:start w:val="1"/>
      <w:numFmt w:val="decimal"/>
      <w:lvlText w:val="(%1)"/>
      <w:lvlJc w:val="left"/>
      <w:pPr>
        <w:ind w:left="726" w:hanging="51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8" w15:restartNumberingAfterBreak="0">
    <w:nsid w:val="5BDF4AA7"/>
    <w:multiLevelType w:val="hybridMultilevel"/>
    <w:tmpl w:val="A81A9206"/>
    <w:lvl w:ilvl="0" w:tplc="04090001">
      <w:start w:val="1"/>
      <w:numFmt w:val="bullet"/>
      <w:lvlText w:val=""/>
      <w:lvlJc w:val="left"/>
      <w:pPr>
        <w:ind w:left="1080" w:hanging="360"/>
      </w:pPr>
      <w:rPr>
        <w:rFonts w:ascii="Symbol" w:hAnsi="Symbol" w:hint="default"/>
      </w:rPr>
    </w:lvl>
    <w:lvl w:ilvl="1" w:tplc="04090017">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EA4122"/>
    <w:multiLevelType w:val="hybridMultilevel"/>
    <w:tmpl w:val="E9CE06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A16BF1"/>
    <w:multiLevelType w:val="hybridMultilevel"/>
    <w:tmpl w:val="EB26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DF7B81"/>
    <w:multiLevelType w:val="hybridMultilevel"/>
    <w:tmpl w:val="9EA00E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B2058FD"/>
    <w:multiLevelType w:val="hybridMultilevel"/>
    <w:tmpl w:val="3730A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CC6035C"/>
    <w:multiLevelType w:val="hybridMultilevel"/>
    <w:tmpl w:val="FB42C21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CE11189"/>
    <w:multiLevelType w:val="hybridMultilevel"/>
    <w:tmpl w:val="D1BA6686"/>
    <w:lvl w:ilvl="0" w:tplc="14BA6D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7D72C0"/>
    <w:multiLevelType w:val="hybridMultilevel"/>
    <w:tmpl w:val="1C868A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6"/>
  </w:num>
  <w:num w:numId="2">
    <w:abstractNumId w:val="3"/>
  </w:num>
  <w:num w:numId="3">
    <w:abstractNumId w:val="20"/>
  </w:num>
  <w:num w:numId="4">
    <w:abstractNumId w:val="6"/>
  </w:num>
  <w:num w:numId="5">
    <w:abstractNumId w:val="0"/>
  </w:num>
  <w:num w:numId="6">
    <w:abstractNumId w:val="33"/>
  </w:num>
  <w:num w:numId="7">
    <w:abstractNumId w:val="15"/>
  </w:num>
  <w:num w:numId="8">
    <w:abstractNumId w:val="10"/>
  </w:num>
  <w:num w:numId="9">
    <w:abstractNumId w:val="22"/>
  </w:num>
  <w:num w:numId="10">
    <w:abstractNumId w:val="35"/>
  </w:num>
  <w:num w:numId="11">
    <w:abstractNumId w:val="31"/>
  </w:num>
  <w:num w:numId="12">
    <w:abstractNumId w:val="8"/>
  </w:num>
  <w:num w:numId="13">
    <w:abstractNumId w:val="19"/>
  </w:num>
  <w:num w:numId="14">
    <w:abstractNumId w:val="7"/>
  </w:num>
  <w:num w:numId="15">
    <w:abstractNumId w:val="14"/>
  </w:num>
  <w:num w:numId="16">
    <w:abstractNumId w:val="5"/>
  </w:num>
  <w:num w:numId="17">
    <w:abstractNumId w:val="18"/>
  </w:num>
  <w:num w:numId="18">
    <w:abstractNumId w:val="1"/>
  </w:num>
  <w:num w:numId="19">
    <w:abstractNumId w:val="25"/>
  </w:num>
  <w:num w:numId="20">
    <w:abstractNumId w:val="29"/>
  </w:num>
  <w:num w:numId="21">
    <w:abstractNumId w:val="12"/>
  </w:num>
  <w:num w:numId="22">
    <w:abstractNumId w:val="2"/>
  </w:num>
  <w:num w:numId="23">
    <w:abstractNumId w:val="27"/>
  </w:num>
  <w:num w:numId="24">
    <w:abstractNumId w:val="4"/>
  </w:num>
  <w:num w:numId="25">
    <w:abstractNumId w:val="28"/>
  </w:num>
  <w:num w:numId="26">
    <w:abstractNumId w:val="17"/>
  </w:num>
  <w:num w:numId="27">
    <w:abstractNumId w:val="21"/>
  </w:num>
  <w:num w:numId="28">
    <w:abstractNumId w:val="26"/>
  </w:num>
  <w:num w:numId="29">
    <w:abstractNumId w:val="9"/>
  </w:num>
  <w:num w:numId="30">
    <w:abstractNumId w:val="24"/>
  </w:num>
  <w:num w:numId="31">
    <w:abstractNumId w:val="13"/>
  </w:num>
  <w:num w:numId="32">
    <w:abstractNumId w:val="34"/>
  </w:num>
  <w:num w:numId="33">
    <w:abstractNumId w:val="30"/>
  </w:num>
  <w:num w:numId="34">
    <w:abstractNumId w:val="32"/>
  </w:num>
  <w:num w:numId="35">
    <w:abstractNumId w:val="11"/>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DDD"/>
    <w:rsid w:val="00000081"/>
    <w:rsid w:val="000065DD"/>
    <w:rsid w:val="0002030C"/>
    <w:rsid w:val="00020447"/>
    <w:rsid w:val="00021B93"/>
    <w:rsid w:val="00022786"/>
    <w:rsid w:val="00024363"/>
    <w:rsid w:val="00025BE6"/>
    <w:rsid w:val="0002771E"/>
    <w:rsid w:val="00027994"/>
    <w:rsid w:val="00027C58"/>
    <w:rsid w:val="00027D2B"/>
    <w:rsid w:val="000307B9"/>
    <w:rsid w:val="00030BE9"/>
    <w:rsid w:val="00030E51"/>
    <w:rsid w:val="00031A07"/>
    <w:rsid w:val="00032146"/>
    <w:rsid w:val="000325E0"/>
    <w:rsid w:val="00032D2E"/>
    <w:rsid w:val="000368AC"/>
    <w:rsid w:val="00036CB3"/>
    <w:rsid w:val="00036EAB"/>
    <w:rsid w:val="00040626"/>
    <w:rsid w:val="00040EB7"/>
    <w:rsid w:val="00041563"/>
    <w:rsid w:val="00041663"/>
    <w:rsid w:val="0004228A"/>
    <w:rsid w:val="000438C1"/>
    <w:rsid w:val="000439E0"/>
    <w:rsid w:val="00044760"/>
    <w:rsid w:val="00045CDD"/>
    <w:rsid w:val="00046A6E"/>
    <w:rsid w:val="00047734"/>
    <w:rsid w:val="00047CFB"/>
    <w:rsid w:val="00047E0F"/>
    <w:rsid w:val="00050117"/>
    <w:rsid w:val="00050AE3"/>
    <w:rsid w:val="00050B42"/>
    <w:rsid w:val="00050C03"/>
    <w:rsid w:val="00052697"/>
    <w:rsid w:val="00053E05"/>
    <w:rsid w:val="00054872"/>
    <w:rsid w:val="00054D06"/>
    <w:rsid w:val="00055083"/>
    <w:rsid w:val="00055CEA"/>
    <w:rsid w:val="00061124"/>
    <w:rsid w:val="00062274"/>
    <w:rsid w:val="0006236F"/>
    <w:rsid w:val="00062CB6"/>
    <w:rsid w:val="00062E6F"/>
    <w:rsid w:val="00064F7C"/>
    <w:rsid w:val="00064FAF"/>
    <w:rsid w:val="00067701"/>
    <w:rsid w:val="000707A5"/>
    <w:rsid w:val="000716E6"/>
    <w:rsid w:val="00072BCA"/>
    <w:rsid w:val="00073056"/>
    <w:rsid w:val="00073CA1"/>
    <w:rsid w:val="000761E2"/>
    <w:rsid w:val="0007646D"/>
    <w:rsid w:val="00077EF0"/>
    <w:rsid w:val="000805A5"/>
    <w:rsid w:val="00082DA0"/>
    <w:rsid w:val="00084CB3"/>
    <w:rsid w:val="00085230"/>
    <w:rsid w:val="00086126"/>
    <w:rsid w:val="000867C5"/>
    <w:rsid w:val="0008759F"/>
    <w:rsid w:val="00090DF2"/>
    <w:rsid w:val="000913BE"/>
    <w:rsid w:val="00091D5D"/>
    <w:rsid w:val="00094EF7"/>
    <w:rsid w:val="00095971"/>
    <w:rsid w:val="000969F3"/>
    <w:rsid w:val="0009736B"/>
    <w:rsid w:val="000A16A8"/>
    <w:rsid w:val="000A2711"/>
    <w:rsid w:val="000A2E92"/>
    <w:rsid w:val="000A456C"/>
    <w:rsid w:val="000A6BB1"/>
    <w:rsid w:val="000A6BEF"/>
    <w:rsid w:val="000A7E3F"/>
    <w:rsid w:val="000B004F"/>
    <w:rsid w:val="000B00BD"/>
    <w:rsid w:val="000B0760"/>
    <w:rsid w:val="000B3192"/>
    <w:rsid w:val="000B5081"/>
    <w:rsid w:val="000B6821"/>
    <w:rsid w:val="000B6A75"/>
    <w:rsid w:val="000B7DE2"/>
    <w:rsid w:val="000C0E10"/>
    <w:rsid w:val="000C0E8E"/>
    <w:rsid w:val="000C258B"/>
    <w:rsid w:val="000C2CD5"/>
    <w:rsid w:val="000C3135"/>
    <w:rsid w:val="000C4DA9"/>
    <w:rsid w:val="000C59FB"/>
    <w:rsid w:val="000D0938"/>
    <w:rsid w:val="000D359F"/>
    <w:rsid w:val="000D369B"/>
    <w:rsid w:val="000D678A"/>
    <w:rsid w:val="000E06B3"/>
    <w:rsid w:val="000E19D5"/>
    <w:rsid w:val="000E37D2"/>
    <w:rsid w:val="000E390C"/>
    <w:rsid w:val="000E43FA"/>
    <w:rsid w:val="000E5882"/>
    <w:rsid w:val="000E5B09"/>
    <w:rsid w:val="000E6472"/>
    <w:rsid w:val="000F0E9B"/>
    <w:rsid w:val="000F215D"/>
    <w:rsid w:val="000F2654"/>
    <w:rsid w:val="000F2EB5"/>
    <w:rsid w:val="000F35FE"/>
    <w:rsid w:val="00100DFB"/>
    <w:rsid w:val="00101CF2"/>
    <w:rsid w:val="00105D34"/>
    <w:rsid w:val="00110041"/>
    <w:rsid w:val="001106E3"/>
    <w:rsid w:val="001108B0"/>
    <w:rsid w:val="00110D43"/>
    <w:rsid w:val="00111DFD"/>
    <w:rsid w:val="00113037"/>
    <w:rsid w:val="0011371E"/>
    <w:rsid w:val="00113DF1"/>
    <w:rsid w:val="001144FE"/>
    <w:rsid w:val="00115901"/>
    <w:rsid w:val="00121FBC"/>
    <w:rsid w:val="00122867"/>
    <w:rsid w:val="00124475"/>
    <w:rsid w:val="00124501"/>
    <w:rsid w:val="001254BE"/>
    <w:rsid w:val="001259C4"/>
    <w:rsid w:val="0012755A"/>
    <w:rsid w:val="00131D6C"/>
    <w:rsid w:val="0013201F"/>
    <w:rsid w:val="00133A34"/>
    <w:rsid w:val="00135A54"/>
    <w:rsid w:val="0014074C"/>
    <w:rsid w:val="00141191"/>
    <w:rsid w:val="00141E89"/>
    <w:rsid w:val="001422CD"/>
    <w:rsid w:val="00142E94"/>
    <w:rsid w:val="001432C4"/>
    <w:rsid w:val="0014535C"/>
    <w:rsid w:val="0015132A"/>
    <w:rsid w:val="00151AEC"/>
    <w:rsid w:val="00152295"/>
    <w:rsid w:val="00153B4D"/>
    <w:rsid w:val="0015567E"/>
    <w:rsid w:val="001578B2"/>
    <w:rsid w:val="00160314"/>
    <w:rsid w:val="001616D7"/>
    <w:rsid w:val="0016260F"/>
    <w:rsid w:val="00162E01"/>
    <w:rsid w:val="001632FD"/>
    <w:rsid w:val="00163D90"/>
    <w:rsid w:val="00164E16"/>
    <w:rsid w:val="00167170"/>
    <w:rsid w:val="00171AF0"/>
    <w:rsid w:val="00173D77"/>
    <w:rsid w:val="001752A0"/>
    <w:rsid w:val="0017544C"/>
    <w:rsid w:val="00181061"/>
    <w:rsid w:val="00181384"/>
    <w:rsid w:val="00182959"/>
    <w:rsid w:val="00184006"/>
    <w:rsid w:val="00184E0C"/>
    <w:rsid w:val="001857CB"/>
    <w:rsid w:val="00185821"/>
    <w:rsid w:val="00186403"/>
    <w:rsid w:val="001866EF"/>
    <w:rsid w:val="00187D04"/>
    <w:rsid w:val="00190AAE"/>
    <w:rsid w:val="00190BD4"/>
    <w:rsid w:val="001914E4"/>
    <w:rsid w:val="00191E00"/>
    <w:rsid w:val="00192AD8"/>
    <w:rsid w:val="00193014"/>
    <w:rsid w:val="00193E99"/>
    <w:rsid w:val="001943DE"/>
    <w:rsid w:val="00194E86"/>
    <w:rsid w:val="00195C89"/>
    <w:rsid w:val="00195D5F"/>
    <w:rsid w:val="001963DA"/>
    <w:rsid w:val="00196BAF"/>
    <w:rsid w:val="00197A26"/>
    <w:rsid w:val="001A2D0C"/>
    <w:rsid w:val="001A38E7"/>
    <w:rsid w:val="001B07A3"/>
    <w:rsid w:val="001B0C31"/>
    <w:rsid w:val="001B13E8"/>
    <w:rsid w:val="001B19E6"/>
    <w:rsid w:val="001B1E32"/>
    <w:rsid w:val="001B2398"/>
    <w:rsid w:val="001B3D5F"/>
    <w:rsid w:val="001B4E7F"/>
    <w:rsid w:val="001B526F"/>
    <w:rsid w:val="001B639E"/>
    <w:rsid w:val="001C21FD"/>
    <w:rsid w:val="001C22B9"/>
    <w:rsid w:val="001C44AA"/>
    <w:rsid w:val="001C4D7E"/>
    <w:rsid w:val="001C4ED6"/>
    <w:rsid w:val="001C5E58"/>
    <w:rsid w:val="001C7096"/>
    <w:rsid w:val="001C7F02"/>
    <w:rsid w:val="001D0832"/>
    <w:rsid w:val="001D122E"/>
    <w:rsid w:val="001D30BF"/>
    <w:rsid w:val="001D339B"/>
    <w:rsid w:val="001D3F10"/>
    <w:rsid w:val="001E057B"/>
    <w:rsid w:val="001E0CC8"/>
    <w:rsid w:val="001E1DD8"/>
    <w:rsid w:val="001E1EC1"/>
    <w:rsid w:val="001E1F3C"/>
    <w:rsid w:val="001E1FC5"/>
    <w:rsid w:val="001E3C03"/>
    <w:rsid w:val="001E4A66"/>
    <w:rsid w:val="001E50BC"/>
    <w:rsid w:val="001E51E9"/>
    <w:rsid w:val="001E6FC9"/>
    <w:rsid w:val="001E747C"/>
    <w:rsid w:val="001E7C18"/>
    <w:rsid w:val="001E7D32"/>
    <w:rsid w:val="001F0A45"/>
    <w:rsid w:val="001F0B8F"/>
    <w:rsid w:val="001F192E"/>
    <w:rsid w:val="001F216E"/>
    <w:rsid w:val="001F4F67"/>
    <w:rsid w:val="001F54C9"/>
    <w:rsid w:val="001F584A"/>
    <w:rsid w:val="001F6F6E"/>
    <w:rsid w:val="001F7B86"/>
    <w:rsid w:val="002004E1"/>
    <w:rsid w:val="0020138B"/>
    <w:rsid w:val="002021BF"/>
    <w:rsid w:val="00202BD1"/>
    <w:rsid w:val="00203F9F"/>
    <w:rsid w:val="00204BEE"/>
    <w:rsid w:val="00205E3D"/>
    <w:rsid w:val="0020630C"/>
    <w:rsid w:val="0021038C"/>
    <w:rsid w:val="002103BE"/>
    <w:rsid w:val="00210D34"/>
    <w:rsid w:val="0021119C"/>
    <w:rsid w:val="00211C9E"/>
    <w:rsid w:val="00211F43"/>
    <w:rsid w:val="0021329B"/>
    <w:rsid w:val="00213736"/>
    <w:rsid w:val="00213EEB"/>
    <w:rsid w:val="002155D4"/>
    <w:rsid w:val="00216001"/>
    <w:rsid w:val="00216AA7"/>
    <w:rsid w:val="002179F8"/>
    <w:rsid w:val="00217ADE"/>
    <w:rsid w:val="0022222D"/>
    <w:rsid w:val="002235ED"/>
    <w:rsid w:val="00223A4E"/>
    <w:rsid w:val="0022480B"/>
    <w:rsid w:val="00225564"/>
    <w:rsid w:val="00225E9F"/>
    <w:rsid w:val="00232306"/>
    <w:rsid w:val="00232436"/>
    <w:rsid w:val="002328C1"/>
    <w:rsid w:val="00233734"/>
    <w:rsid w:val="0023430D"/>
    <w:rsid w:val="00234FDB"/>
    <w:rsid w:val="002373EE"/>
    <w:rsid w:val="0024154B"/>
    <w:rsid w:val="00245445"/>
    <w:rsid w:val="0024623D"/>
    <w:rsid w:val="002472E5"/>
    <w:rsid w:val="00247750"/>
    <w:rsid w:val="00250AB0"/>
    <w:rsid w:val="002518D6"/>
    <w:rsid w:val="00254C95"/>
    <w:rsid w:val="00255DA4"/>
    <w:rsid w:val="00256B9A"/>
    <w:rsid w:val="002620E3"/>
    <w:rsid w:val="0026296E"/>
    <w:rsid w:val="00265677"/>
    <w:rsid w:val="0027089F"/>
    <w:rsid w:val="00270A05"/>
    <w:rsid w:val="00271612"/>
    <w:rsid w:val="00272CD6"/>
    <w:rsid w:val="00272E88"/>
    <w:rsid w:val="00274730"/>
    <w:rsid w:val="00275FFE"/>
    <w:rsid w:val="00277501"/>
    <w:rsid w:val="00280076"/>
    <w:rsid w:val="00280389"/>
    <w:rsid w:val="002812C7"/>
    <w:rsid w:val="00281A6D"/>
    <w:rsid w:val="00281C62"/>
    <w:rsid w:val="002834D2"/>
    <w:rsid w:val="00283C11"/>
    <w:rsid w:val="00283E1E"/>
    <w:rsid w:val="002860AB"/>
    <w:rsid w:val="002877C7"/>
    <w:rsid w:val="00287E6E"/>
    <w:rsid w:val="00290DB6"/>
    <w:rsid w:val="002911EC"/>
    <w:rsid w:val="0029163A"/>
    <w:rsid w:val="00291F4C"/>
    <w:rsid w:val="00291F99"/>
    <w:rsid w:val="00292742"/>
    <w:rsid w:val="00292C0F"/>
    <w:rsid w:val="002930DA"/>
    <w:rsid w:val="002939DD"/>
    <w:rsid w:val="00293C54"/>
    <w:rsid w:val="00295F92"/>
    <w:rsid w:val="00296E8C"/>
    <w:rsid w:val="002A1D7F"/>
    <w:rsid w:val="002A2141"/>
    <w:rsid w:val="002A2D2D"/>
    <w:rsid w:val="002A37EE"/>
    <w:rsid w:val="002A3F04"/>
    <w:rsid w:val="002A5AFB"/>
    <w:rsid w:val="002A5CF2"/>
    <w:rsid w:val="002B39B0"/>
    <w:rsid w:val="002B4B11"/>
    <w:rsid w:val="002B5EC1"/>
    <w:rsid w:val="002B664D"/>
    <w:rsid w:val="002B68A6"/>
    <w:rsid w:val="002B6B74"/>
    <w:rsid w:val="002B6C86"/>
    <w:rsid w:val="002B6DB4"/>
    <w:rsid w:val="002B6DE8"/>
    <w:rsid w:val="002B7493"/>
    <w:rsid w:val="002C0A7C"/>
    <w:rsid w:val="002C12F1"/>
    <w:rsid w:val="002C1486"/>
    <w:rsid w:val="002C278C"/>
    <w:rsid w:val="002C28F6"/>
    <w:rsid w:val="002C31FC"/>
    <w:rsid w:val="002C39BD"/>
    <w:rsid w:val="002C4420"/>
    <w:rsid w:val="002D0E9E"/>
    <w:rsid w:val="002D279A"/>
    <w:rsid w:val="002D4F5F"/>
    <w:rsid w:val="002D5D4C"/>
    <w:rsid w:val="002D6477"/>
    <w:rsid w:val="002E006B"/>
    <w:rsid w:val="002E04F7"/>
    <w:rsid w:val="002E06AC"/>
    <w:rsid w:val="002E17CA"/>
    <w:rsid w:val="002E1C9B"/>
    <w:rsid w:val="002E23C7"/>
    <w:rsid w:val="002E27D2"/>
    <w:rsid w:val="002E2D21"/>
    <w:rsid w:val="002E3821"/>
    <w:rsid w:val="002E416F"/>
    <w:rsid w:val="002E6A5D"/>
    <w:rsid w:val="002E6DB4"/>
    <w:rsid w:val="002E6F41"/>
    <w:rsid w:val="002E7605"/>
    <w:rsid w:val="002E7AF3"/>
    <w:rsid w:val="002E7F8B"/>
    <w:rsid w:val="002F052E"/>
    <w:rsid w:val="002F15CC"/>
    <w:rsid w:val="002F3329"/>
    <w:rsid w:val="002F4016"/>
    <w:rsid w:val="002F69F7"/>
    <w:rsid w:val="003007AA"/>
    <w:rsid w:val="00300CF6"/>
    <w:rsid w:val="00301C21"/>
    <w:rsid w:val="00301FE6"/>
    <w:rsid w:val="0030369B"/>
    <w:rsid w:val="00303A80"/>
    <w:rsid w:val="0030484E"/>
    <w:rsid w:val="00305C34"/>
    <w:rsid w:val="003062E9"/>
    <w:rsid w:val="00307E52"/>
    <w:rsid w:val="003102B8"/>
    <w:rsid w:val="00310DDA"/>
    <w:rsid w:val="00312ACF"/>
    <w:rsid w:val="00312FD9"/>
    <w:rsid w:val="00314BAC"/>
    <w:rsid w:val="003176E4"/>
    <w:rsid w:val="00317955"/>
    <w:rsid w:val="0032048D"/>
    <w:rsid w:val="00322D54"/>
    <w:rsid w:val="00322D9E"/>
    <w:rsid w:val="00322EC1"/>
    <w:rsid w:val="0032322A"/>
    <w:rsid w:val="00325E82"/>
    <w:rsid w:val="00326872"/>
    <w:rsid w:val="0032731F"/>
    <w:rsid w:val="00331699"/>
    <w:rsid w:val="003319DB"/>
    <w:rsid w:val="00332A17"/>
    <w:rsid w:val="003338A5"/>
    <w:rsid w:val="00333BCE"/>
    <w:rsid w:val="00333F21"/>
    <w:rsid w:val="00334F32"/>
    <w:rsid w:val="00337019"/>
    <w:rsid w:val="00337EAD"/>
    <w:rsid w:val="00340017"/>
    <w:rsid w:val="0034069A"/>
    <w:rsid w:val="00340B4D"/>
    <w:rsid w:val="00341011"/>
    <w:rsid w:val="00342E7A"/>
    <w:rsid w:val="003432A2"/>
    <w:rsid w:val="00344304"/>
    <w:rsid w:val="00344F00"/>
    <w:rsid w:val="003465CC"/>
    <w:rsid w:val="00351E14"/>
    <w:rsid w:val="003526C0"/>
    <w:rsid w:val="0035365B"/>
    <w:rsid w:val="00355879"/>
    <w:rsid w:val="003573D3"/>
    <w:rsid w:val="003576E8"/>
    <w:rsid w:val="00357AC6"/>
    <w:rsid w:val="003626ED"/>
    <w:rsid w:val="00362E04"/>
    <w:rsid w:val="003632F6"/>
    <w:rsid w:val="00364DDC"/>
    <w:rsid w:val="00364FD9"/>
    <w:rsid w:val="00365D44"/>
    <w:rsid w:val="003671E1"/>
    <w:rsid w:val="00367668"/>
    <w:rsid w:val="00370916"/>
    <w:rsid w:val="00371177"/>
    <w:rsid w:val="00372654"/>
    <w:rsid w:val="00372B13"/>
    <w:rsid w:val="00375BC1"/>
    <w:rsid w:val="003775C1"/>
    <w:rsid w:val="003804C2"/>
    <w:rsid w:val="00381D02"/>
    <w:rsid w:val="00384A73"/>
    <w:rsid w:val="00384D22"/>
    <w:rsid w:val="00385035"/>
    <w:rsid w:val="00393228"/>
    <w:rsid w:val="00393DC7"/>
    <w:rsid w:val="00395815"/>
    <w:rsid w:val="00395F6B"/>
    <w:rsid w:val="00396653"/>
    <w:rsid w:val="003A1A85"/>
    <w:rsid w:val="003A1DDE"/>
    <w:rsid w:val="003A3432"/>
    <w:rsid w:val="003A3C64"/>
    <w:rsid w:val="003A6619"/>
    <w:rsid w:val="003A6E9A"/>
    <w:rsid w:val="003A6F3A"/>
    <w:rsid w:val="003A7497"/>
    <w:rsid w:val="003A7676"/>
    <w:rsid w:val="003B2DF6"/>
    <w:rsid w:val="003B2F59"/>
    <w:rsid w:val="003B371A"/>
    <w:rsid w:val="003B3EB4"/>
    <w:rsid w:val="003B5E29"/>
    <w:rsid w:val="003B6361"/>
    <w:rsid w:val="003C0031"/>
    <w:rsid w:val="003C11A2"/>
    <w:rsid w:val="003C15A8"/>
    <w:rsid w:val="003C356A"/>
    <w:rsid w:val="003C3BAF"/>
    <w:rsid w:val="003C7DA2"/>
    <w:rsid w:val="003D0192"/>
    <w:rsid w:val="003D0617"/>
    <w:rsid w:val="003D16EF"/>
    <w:rsid w:val="003D1DBF"/>
    <w:rsid w:val="003D240E"/>
    <w:rsid w:val="003D2A57"/>
    <w:rsid w:val="003D2DE9"/>
    <w:rsid w:val="003D3AE8"/>
    <w:rsid w:val="003D3DBA"/>
    <w:rsid w:val="003D43AD"/>
    <w:rsid w:val="003D4F49"/>
    <w:rsid w:val="003D54AD"/>
    <w:rsid w:val="003D761B"/>
    <w:rsid w:val="003D7B3D"/>
    <w:rsid w:val="003E27E8"/>
    <w:rsid w:val="003E2C2B"/>
    <w:rsid w:val="003E3CC0"/>
    <w:rsid w:val="003E691C"/>
    <w:rsid w:val="003F0348"/>
    <w:rsid w:val="003F09F8"/>
    <w:rsid w:val="003F0E9A"/>
    <w:rsid w:val="003F30F6"/>
    <w:rsid w:val="003F3824"/>
    <w:rsid w:val="003F61F4"/>
    <w:rsid w:val="003F64C7"/>
    <w:rsid w:val="003F6689"/>
    <w:rsid w:val="003F775F"/>
    <w:rsid w:val="004021AF"/>
    <w:rsid w:val="0040421E"/>
    <w:rsid w:val="004054ED"/>
    <w:rsid w:val="00405556"/>
    <w:rsid w:val="0040561A"/>
    <w:rsid w:val="004060D1"/>
    <w:rsid w:val="00406620"/>
    <w:rsid w:val="004074D7"/>
    <w:rsid w:val="00410217"/>
    <w:rsid w:val="00410944"/>
    <w:rsid w:val="00412F50"/>
    <w:rsid w:val="00413B25"/>
    <w:rsid w:val="004147EA"/>
    <w:rsid w:val="00414DBC"/>
    <w:rsid w:val="00414E35"/>
    <w:rsid w:val="004150FB"/>
    <w:rsid w:val="004157BB"/>
    <w:rsid w:val="004159E3"/>
    <w:rsid w:val="00416019"/>
    <w:rsid w:val="00420054"/>
    <w:rsid w:val="00420214"/>
    <w:rsid w:val="00420413"/>
    <w:rsid w:val="00421A03"/>
    <w:rsid w:val="00423CF3"/>
    <w:rsid w:val="004241B6"/>
    <w:rsid w:val="00425F2E"/>
    <w:rsid w:val="00426211"/>
    <w:rsid w:val="004310AD"/>
    <w:rsid w:val="004315F8"/>
    <w:rsid w:val="00431FA2"/>
    <w:rsid w:val="00432464"/>
    <w:rsid w:val="00437070"/>
    <w:rsid w:val="00440BF8"/>
    <w:rsid w:val="00442281"/>
    <w:rsid w:val="004435FE"/>
    <w:rsid w:val="00443F8D"/>
    <w:rsid w:val="004441B7"/>
    <w:rsid w:val="004445F4"/>
    <w:rsid w:val="004448E1"/>
    <w:rsid w:val="00444918"/>
    <w:rsid w:val="00450C12"/>
    <w:rsid w:val="00451CD5"/>
    <w:rsid w:val="004558C4"/>
    <w:rsid w:val="004558CD"/>
    <w:rsid w:val="00455C48"/>
    <w:rsid w:val="0045643C"/>
    <w:rsid w:val="004579EA"/>
    <w:rsid w:val="00457C64"/>
    <w:rsid w:val="00457C68"/>
    <w:rsid w:val="004614D0"/>
    <w:rsid w:val="00465EAE"/>
    <w:rsid w:val="004663F4"/>
    <w:rsid w:val="00470D92"/>
    <w:rsid w:val="00471B79"/>
    <w:rsid w:val="00472724"/>
    <w:rsid w:val="00473A0C"/>
    <w:rsid w:val="00473C9F"/>
    <w:rsid w:val="0047460D"/>
    <w:rsid w:val="00476D46"/>
    <w:rsid w:val="0047711A"/>
    <w:rsid w:val="00482025"/>
    <w:rsid w:val="004825FB"/>
    <w:rsid w:val="00483E44"/>
    <w:rsid w:val="0048490D"/>
    <w:rsid w:val="0049008B"/>
    <w:rsid w:val="0049222D"/>
    <w:rsid w:val="004927B3"/>
    <w:rsid w:val="00492858"/>
    <w:rsid w:val="00493E35"/>
    <w:rsid w:val="00495318"/>
    <w:rsid w:val="004961EA"/>
    <w:rsid w:val="00496382"/>
    <w:rsid w:val="00496F0C"/>
    <w:rsid w:val="004976F4"/>
    <w:rsid w:val="004A14F8"/>
    <w:rsid w:val="004A28E5"/>
    <w:rsid w:val="004A35E6"/>
    <w:rsid w:val="004A6331"/>
    <w:rsid w:val="004A6CF5"/>
    <w:rsid w:val="004B03C2"/>
    <w:rsid w:val="004B148C"/>
    <w:rsid w:val="004B1A09"/>
    <w:rsid w:val="004B2895"/>
    <w:rsid w:val="004B3413"/>
    <w:rsid w:val="004B36D3"/>
    <w:rsid w:val="004B447D"/>
    <w:rsid w:val="004B50AE"/>
    <w:rsid w:val="004B5B7C"/>
    <w:rsid w:val="004C3B6A"/>
    <w:rsid w:val="004C7F8E"/>
    <w:rsid w:val="004D011E"/>
    <w:rsid w:val="004D1FE2"/>
    <w:rsid w:val="004D21C2"/>
    <w:rsid w:val="004D2530"/>
    <w:rsid w:val="004D32C3"/>
    <w:rsid w:val="004D3C5B"/>
    <w:rsid w:val="004D424C"/>
    <w:rsid w:val="004D5EF3"/>
    <w:rsid w:val="004D7A08"/>
    <w:rsid w:val="004E1187"/>
    <w:rsid w:val="004E2260"/>
    <w:rsid w:val="004E3234"/>
    <w:rsid w:val="004E33C4"/>
    <w:rsid w:val="004E49CA"/>
    <w:rsid w:val="004E55E6"/>
    <w:rsid w:val="004F0385"/>
    <w:rsid w:val="004F1A89"/>
    <w:rsid w:val="004F1F2A"/>
    <w:rsid w:val="004F31B5"/>
    <w:rsid w:val="005005BA"/>
    <w:rsid w:val="00500FE3"/>
    <w:rsid w:val="0050217F"/>
    <w:rsid w:val="0050291B"/>
    <w:rsid w:val="00502FBB"/>
    <w:rsid w:val="00503D7B"/>
    <w:rsid w:val="00504885"/>
    <w:rsid w:val="00504FE0"/>
    <w:rsid w:val="00505187"/>
    <w:rsid w:val="00505A78"/>
    <w:rsid w:val="005060A7"/>
    <w:rsid w:val="00507952"/>
    <w:rsid w:val="005216F4"/>
    <w:rsid w:val="00522E96"/>
    <w:rsid w:val="00525DA3"/>
    <w:rsid w:val="005266A6"/>
    <w:rsid w:val="00526A9F"/>
    <w:rsid w:val="005271BB"/>
    <w:rsid w:val="00527275"/>
    <w:rsid w:val="00527D4E"/>
    <w:rsid w:val="005303C0"/>
    <w:rsid w:val="00531A06"/>
    <w:rsid w:val="00532D61"/>
    <w:rsid w:val="005341CC"/>
    <w:rsid w:val="00535895"/>
    <w:rsid w:val="00536F54"/>
    <w:rsid w:val="005404D9"/>
    <w:rsid w:val="005410B4"/>
    <w:rsid w:val="00541A05"/>
    <w:rsid w:val="005425DD"/>
    <w:rsid w:val="00542855"/>
    <w:rsid w:val="00543997"/>
    <w:rsid w:val="00544A1C"/>
    <w:rsid w:val="005459DF"/>
    <w:rsid w:val="00547514"/>
    <w:rsid w:val="005502CD"/>
    <w:rsid w:val="00551B32"/>
    <w:rsid w:val="00552A01"/>
    <w:rsid w:val="00552CEF"/>
    <w:rsid w:val="00553668"/>
    <w:rsid w:val="00553DB3"/>
    <w:rsid w:val="00554200"/>
    <w:rsid w:val="00555012"/>
    <w:rsid w:val="0055732C"/>
    <w:rsid w:val="00560726"/>
    <w:rsid w:val="00560954"/>
    <w:rsid w:val="00560DF1"/>
    <w:rsid w:val="00561802"/>
    <w:rsid w:val="0056259D"/>
    <w:rsid w:val="00564784"/>
    <w:rsid w:val="00564E4D"/>
    <w:rsid w:val="00565CA1"/>
    <w:rsid w:val="00566145"/>
    <w:rsid w:val="0056650A"/>
    <w:rsid w:val="005700F3"/>
    <w:rsid w:val="00570595"/>
    <w:rsid w:val="005715A8"/>
    <w:rsid w:val="00571692"/>
    <w:rsid w:val="005720F7"/>
    <w:rsid w:val="005740FD"/>
    <w:rsid w:val="005746E5"/>
    <w:rsid w:val="00576571"/>
    <w:rsid w:val="005775CD"/>
    <w:rsid w:val="00580714"/>
    <w:rsid w:val="00580B3B"/>
    <w:rsid w:val="0058130A"/>
    <w:rsid w:val="00581994"/>
    <w:rsid w:val="00582E67"/>
    <w:rsid w:val="00585760"/>
    <w:rsid w:val="0058610A"/>
    <w:rsid w:val="0058615F"/>
    <w:rsid w:val="00586D28"/>
    <w:rsid w:val="00587DF7"/>
    <w:rsid w:val="00590B5A"/>
    <w:rsid w:val="00594C2A"/>
    <w:rsid w:val="0059509A"/>
    <w:rsid w:val="00595637"/>
    <w:rsid w:val="00595B62"/>
    <w:rsid w:val="00597CBF"/>
    <w:rsid w:val="005A1EA1"/>
    <w:rsid w:val="005A4498"/>
    <w:rsid w:val="005A4AEC"/>
    <w:rsid w:val="005A59D5"/>
    <w:rsid w:val="005A6304"/>
    <w:rsid w:val="005A6F74"/>
    <w:rsid w:val="005A78B5"/>
    <w:rsid w:val="005B037A"/>
    <w:rsid w:val="005B1813"/>
    <w:rsid w:val="005B2C0F"/>
    <w:rsid w:val="005B4667"/>
    <w:rsid w:val="005B5B94"/>
    <w:rsid w:val="005B606B"/>
    <w:rsid w:val="005B64B5"/>
    <w:rsid w:val="005B68A0"/>
    <w:rsid w:val="005C0558"/>
    <w:rsid w:val="005C06EA"/>
    <w:rsid w:val="005C137F"/>
    <w:rsid w:val="005C295B"/>
    <w:rsid w:val="005C2B5B"/>
    <w:rsid w:val="005C44AD"/>
    <w:rsid w:val="005C4F3C"/>
    <w:rsid w:val="005C6829"/>
    <w:rsid w:val="005D00CF"/>
    <w:rsid w:val="005D1F0A"/>
    <w:rsid w:val="005D5368"/>
    <w:rsid w:val="005E06FB"/>
    <w:rsid w:val="005E1D02"/>
    <w:rsid w:val="005E2A87"/>
    <w:rsid w:val="005E364A"/>
    <w:rsid w:val="005E413B"/>
    <w:rsid w:val="005E4C96"/>
    <w:rsid w:val="005E7F87"/>
    <w:rsid w:val="005F37A7"/>
    <w:rsid w:val="005F6830"/>
    <w:rsid w:val="005F6D1F"/>
    <w:rsid w:val="005F77A0"/>
    <w:rsid w:val="00600E2E"/>
    <w:rsid w:val="00601236"/>
    <w:rsid w:val="0060151C"/>
    <w:rsid w:val="006033ED"/>
    <w:rsid w:val="00603940"/>
    <w:rsid w:val="006057C8"/>
    <w:rsid w:val="006066A7"/>
    <w:rsid w:val="0060681D"/>
    <w:rsid w:val="00607EAD"/>
    <w:rsid w:val="00610311"/>
    <w:rsid w:val="00611CDE"/>
    <w:rsid w:val="00612EE7"/>
    <w:rsid w:val="006130DC"/>
    <w:rsid w:val="00613A1B"/>
    <w:rsid w:val="00615E39"/>
    <w:rsid w:val="0062152C"/>
    <w:rsid w:val="00626B60"/>
    <w:rsid w:val="006278C2"/>
    <w:rsid w:val="00627AA6"/>
    <w:rsid w:val="0063035F"/>
    <w:rsid w:val="00630AD8"/>
    <w:rsid w:val="00631856"/>
    <w:rsid w:val="00632210"/>
    <w:rsid w:val="0063397D"/>
    <w:rsid w:val="0063502D"/>
    <w:rsid w:val="00637472"/>
    <w:rsid w:val="00640946"/>
    <w:rsid w:val="00643347"/>
    <w:rsid w:val="0064335F"/>
    <w:rsid w:val="00643E2D"/>
    <w:rsid w:val="006446E0"/>
    <w:rsid w:val="006476A5"/>
    <w:rsid w:val="006506F2"/>
    <w:rsid w:val="00650B2D"/>
    <w:rsid w:val="00652101"/>
    <w:rsid w:val="006525B3"/>
    <w:rsid w:val="00652C17"/>
    <w:rsid w:val="00655101"/>
    <w:rsid w:val="00656BB8"/>
    <w:rsid w:val="00657B58"/>
    <w:rsid w:val="00661922"/>
    <w:rsid w:val="00662081"/>
    <w:rsid w:val="00662F48"/>
    <w:rsid w:val="0066400A"/>
    <w:rsid w:val="00665564"/>
    <w:rsid w:val="00667790"/>
    <w:rsid w:val="00667C61"/>
    <w:rsid w:val="00667D21"/>
    <w:rsid w:val="00670E8D"/>
    <w:rsid w:val="0067229D"/>
    <w:rsid w:val="00672E07"/>
    <w:rsid w:val="00675A1C"/>
    <w:rsid w:val="00676555"/>
    <w:rsid w:val="00676BA5"/>
    <w:rsid w:val="00676BE3"/>
    <w:rsid w:val="00680721"/>
    <w:rsid w:val="00683917"/>
    <w:rsid w:val="00685D10"/>
    <w:rsid w:val="00687D24"/>
    <w:rsid w:val="0069064B"/>
    <w:rsid w:val="00691ABC"/>
    <w:rsid w:val="006934CC"/>
    <w:rsid w:val="00693CF5"/>
    <w:rsid w:val="00694330"/>
    <w:rsid w:val="00694609"/>
    <w:rsid w:val="00694620"/>
    <w:rsid w:val="00694EC6"/>
    <w:rsid w:val="00695269"/>
    <w:rsid w:val="006974DA"/>
    <w:rsid w:val="006A2BF3"/>
    <w:rsid w:val="006A346C"/>
    <w:rsid w:val="006A34EC"/>
    <w:rsid w:val="006A38F5"/>
    <w:rsid w:val="006A6677"/>
    <w:rsid w:val="006A7016"/>
    <w:rsid w:val="006B00DD"/>
    <w:rsid w:val="006B41BA"/>
    <w:rsid w:val="006B592D"/>
    <w:rsid w:val="006B5939"/>
    <w:rsid w:val="006B6D06"/>
    <w:rsid w:val="006C27B6"/>
    <w:rsid w:val="006C79A8"/>
    <w:rsid w:val="006D09DF"/>
    <w:rsid w:val="006D3847"/>
    <w:rsid w:val="006D3B4A"/>
    <w:rsid w:val="006D4726"/>
    <w:rsid w:val="006D477E"/>
    <w:rsid w:val="006D524E"/>
    <w:rsid w:val="006D5852"/>
    <w:rsid w:val="006D58B6"/>
    <w:rsid w:val="006D7787"/>
    <w:rsid w:val="006E0849"/>
    <w:rsid w:val="006E2382"/>
    <w:rsid w:val="006E3590"/>
    <w:rsid w:val="006E368F"/>
    <w:rsid w:val="006E3BE0"/>
    <w:rsid w:val="006E5C7A"/>
    <w:rsid w:val="006F049C"/>
    <w:rsid w:val="006F0B3C"/>
    <w:rsid w:val="006F10AB"/>
    <w:rsid w:val="006F19F0"/>
    <w:rsid w:val="006F1E6D"/>
    <w:rsid w:val="006F2B80"/>
    <w:rsid w:val="006F3C0B"/>
    <w:rsid w:val="006F440C"/>
    <w:rsid w:val="00704553"/>
    <w:rsid w:val="00704668"/>
    <w:rsid w:val="00704E80"/>
    <w:rsid w:val="00706707"/>
    <w:rsid w:val="00707165"/>
    <w:rsid w:val="00711F19"/>
    <w:rsid w:val="00713332"/>
    <w:rsid w:val="00713355"/>
    <w:rsid w:val="00714163"/>
    <w:rsid w:val="00714D96"/>
    <w:rsid w:val="0071599F"/>
    <w:rsid w:val="007160F5"/>
    <w:rsid w:val="00716707"/>
    <w:rsid w:val="00716C6D"/>
    <w:rsid w:val="00717072"/>
    <w:rsid w:val="007207DA"/>
    <w:rsid w:val="00720B10"/>
    <w:rsid w:val="00721A36"/>
    <w:rsid w:val="007229EC"/>
    <w:rsid w:val="00723744"/>
    <w:rsid w:val="007247A6"/>
    <w:rsid w:val="00725012"/>
    <w:rsid w:val="0072623A"/>
    <w:rsid w:val="007278E0"/>
    <w:rsid w:val="00727EE2"/>
    <w:rsid w:val="0073060E"/>
    <w:rsid w:val="00730A38"/>
    <w:rsid w:val="007322BC"/>
    <w:rsid w:val="007341EE"/>
    <w:rsid w:val="007357EB"/>
    <w:rsid w:val="00736901"/>
    <w:rsid w:val="00736E52"/>
    <w:rsid w:val="007373EE"/>
    <w:rsid w:val="00740FE7"/>
    <w:rsid w:val="0074306D"/>
    <w:rsid w:val="0074327A"/>
    <w:rsid w:val="00744615"/>
    <w:rsid w:val="00744A91"/>
    <w:rsid w:val="00745014"/>
    <w:rsid w:val="0074540D"/>
    <w:rsid w:val="00747D1E"/>
    <w:rsid w:val="0075012F"/>
    <w:rsid w:val="00752954"/>
    <w:rsid w:val="00752EF6"/>
    <w:rsid w:val="00753CB5"/>
    <w:rsid w:val="00753E9B"/>
    <w:rsid w:val="00753F7E"/>
    <w:rsid w:val="00754A8C"/>
    <w:rsid w:val="00755F3B"/>
    <w:rsid w:val="00757A7A"/>
    <w:rsid w:val="007600BB"/>
    <w:rsid w:val="007609F2"/>
    <w:rsid w:val="00761F38"/>
    <w:rsid w:val="007624C0"/>
    <w:rsid w:val="00762CD0"/>
    <w:rsid w:val="00763388"/>
    <w:rsid w:val="00764C90"/>
    <w:rsid w:val="00765390"/>
    <w:rsid w:val="00765F61"/>
    <w:rsid w:val="00766BBD"/>
    <w:rsid w:val="00767431"/>
    <w:rsid w:val="00767815"/>
    <w:rsid w:val="0077175C"/>
    <w:rsid w:val="00771957"/>
    <w:rsid w:val="007720D4"/>
    <w:rsid w:val="00772DEE"/>
    <w:rsid w:val="00772F0C"/>
    <w:rsid w:val="00773105"/>
    <w:rsid w:val="0077566A"/>
    <w:rsid w:val="00775854"/>
    <w:rsid w:val="00775859"/>
    <w:rsid w:val="0077591B"/>
    <w:rsid w:val="0077635C"/>
    <w:rsid w:val="00777B5A"/>
    <w:rsid w:val="00777F30"/>
    <w:rsid w:val="00780E6A"/>
    <w:rsid w:val="00780F81"/>
    <w:rsid w:val="007813C0"/>
    <w:rsid w:val="00781584"/>
    <w:rsid w:val="007818A8"/>
    <w:rsid w:val="007823EA"/>
    <w:rsid w:val="007841AA"/>
    <w:rsid w:val="007841AD"/>
    <w:rsid w:val="007906C3"/>
    <w:rsid w:val="00790E27"/>
    <w:rsid w:val="00791009"/>
    <w:rsid w:val="00791649"/>
    <w:rsid w:val="00791CB9"/>
    <w:rsid w:val="00792343"/>
    <w:rsid w:val="00793B94"/>
    <w:rsid w:val="00793F19"/>
    <w:rsid w:val="00794DEF"/>
    <w:rsid w:val="007961C2"/>
    <w:rsid w:val="00796F76"/>
    <w:rsid w:val="00797883"/>
    <w:rsid w:val="007A0E5F"/>
    <w:rsid w:val="007A10C3"/>
    <w:rsid w:val="007A15F8"/>
    <w:rsid w:val="007A18E4"/>
    <w:rsid w:val="007A18E6"/>
    <w:rsid w:val="007A1E55"/>
    <w:rsid w:val="007A34BA"/>
    <w:rsid w:val="007A3B5A"/>
    <w:rsid w:val="007A3F71"/>
    <w:rsid w:val="007A6249"/>
    <w:rsid w:val="007A6470"/>
    <w:rsid w:val="007A6A0D"/>
    <w:rsid w:val="007A6DE2"/>
    <w:rsid w:val="007B1483"/>
    <w:rsid w:val="007B14E9"/>
    <w:rsid w:val="007B2652"/>
    <w:rsid w:val="007B306E"/>
    <w:rsid w:val="007B38FF"/>
    <w:rsid w:val="007B4243"/>
    <w:rsid w:val="007B5116"/>
    <w:rsid w:val="007B5962"/>
    <w:rsid w:val="007B5B59"/>
    <w:rsid w:val="007B62E9"/>
    <w:rsid w:val="007B75A6"/>
    <w:rsid w:val="007B7BEE"/>
    <w:rsid w:val="007C0B6F"/>
    <w:rsid w:val="007C1975"/>
    <w:rsid w:val="007C35A3"/>
    <w:rsid w:val="007C3ADE"/>
    <w:rsid w:val="007C42D7"/>
    <w:rsid w:val="007C448B"/>
    <w:rsid w:val="007C4FEF"/>
    <w:rsid w:val="007C64DA"/>
    <w:rsid w:val="007C6BD9"/>
    <w:rsid w:val="007D0157"/>
    <w:rsid w:val="007D140D"/>
    <w:rsid w:val="007D2855"/>
    <w:rsid w:val="007D3078"/>
    <w:rsid w:val="007D3353"/>
    <w:rsid w:val="007D440F"/>
    <w:rsid w:val="007D6A43"/>
    <w:rsid w:val="007D6E10"/>
    <w:rsid w:val="007E0642"/>
    <w:rsid w:val="007E30CB"/>
    <w:rsid w:val="007E36AF"/>
    <w:rsid w:val="007E3CE4"/>
    <w:rsid w:val="007E4A60"/>
    <w:rsid w:val="007E6634"/>
    <w:rsid w:val="007E69EC"/>
    <w:rsid w:val="007E7028"/>
    <w:rsid w:val="007E77FC"/>
    <w:rsid w:val="007F0BA5"/>
    <w:rsid w:val="007F26B0"/>
    <w:rsid w:val="007F2923"/>
    <w:rsid w:val="007F4202"/>
    <w:rsid w:val="007F44ED"/>
    <w:rsid w:val="007F460A"/>
    <w:rsid w:val="007F5496"/>
    <w:rsid w:val="007F5571"/>
    <w:rsid w:val="007F5BC6"/>
    <w:rsid w:val="007F64A2"/>
    <w:rsid w:val="008004FB"/>
    <w:rsid w:val="00801E8F"/>
    <w:rsid w:val="00802289"/>
    <w:rsid w:val="00802D09"/>
    <w:rsid w:val="00802D4C"/>
    <w:rsid w:val="0080300D"/>
    <w:rsid w:val="00803B30"/>
    <w:rsid w:val="00803BB6"/>
    <w:rsid w:val="0080471D"/>
    <w:rsid w:val="00807380"/>
    <w:rsid w:val="008105F5"/>
    <w:rsid w:val="00811159"/>
    <w:rsid w:val="008115AE"/>
    <w:rsid w:val="008121B4"/>
    <w:rsid w:val="00812E62"/>
    <w:rsid w:val="008130DD"/>
    <w:rsid w:val="0081477F"/>
    <w:rsid w:val="00817A11"/>
    <w:rsid w:val="008207A2"/>
    <w:rsid w:val="0082135C"/>
    <w:rsid w:val="00822572"/>
    <w:rsid w:val="00823B55"/>
    <w:rsid w:val="00823FA3"/>
    <w:rsid w:val="0082459B"/>
    <w:rsid w:val="008253DD"/>
    <w:rsid w:val="00826B6D"/>
    <w:rsid w:val="00827043"/>
    <w:rsid w:val="00827314"/>
    <w:rsid w:val="00830370"/>
    <w:rsid w:val="00832560"/>
    <w:rsid w:val="0083388A"/>
    <w:rsid w:val="00835A73"/>
    <w:rsid w:val="00837E81"/>
    <w:rsid w:val="00840D9E"/>
    <w:rsid w:val="00841A5E"/>
    <w:rsid w:val="008423ED"/>
    <w:rsid w:val="00842A37"/>
    <w:rsid w:val="00844E2D"/>
    <w:rsid w:val="0084521B"/>
    <w:rsid w:val="00845555"/>
    <w:rsid w:val="0085039B"/>
    <w:rsid w:val="008602E3"/>
    <w:rsid w:val="00861702"/>
    <w:rsid w:val="008640E9"/>
    <w:rsid w:val="00864268"/>
    <w:rsid w:val="00864754"/>
    <w:rsid w:val="0086594A"/>
    <w:rsid w:val="008659D4"/>
    <w:rsid w:val="008666F7"/>
    <w:rsid w:val="00866988"/>
    <w:rsid w:val="00871B3A"/>
    <w:rsid w:val="00872F61"/>
    <w:rsid w:val="008736B3"/>
    <w:rsid w:val="00873FCF"/>
    <w:rsid w:val="00880FDC"/>
    <w:rsid w:val="0088106E"/>
    <w:rsid w:val="0088292C"/>
    <w:rsid w:val="00883003"/>
    <w:rsid w:val="00883FD0"/>
    <w:rsid w:val="00885551"/>
    <w:rsid w:val="00885CEF"/>
    <w:rsid w:val="00891446"/>
    <w:rsid w:val="0089163C"/>
    <w:rsid w:val="00892505"/>
    <w:rsid w:val="00892B2E"/>
    <w:rsid w:val="00894DCB"/>
    <w:rsid w:val="008976D1"/>
    <w:rsid w:val="008A05D1"/>
    <w:rsid w:val="008A0B97"/>
    <w:rsid w:val="008A169C"/>
    <w:rsid w:val="008A2EC3"/>
    <w:rsid w:val="008A2F9B"/>
    <w:rsid w:val="008A3990"/>
    <w:rsid w:val="008A42D2"/>
    <w:rsid w:val="008A4E1E"/>
    <w:rsid w:val="008A7FB6"/>
    <w:rsid w:val="008B0EA2"/>
    <w:rsid w:val="008B226C"/>
    <w:rsid w:val="008B2A70"/>
    <w:rsid w:val="008B539B"/>
    <w:rsid w:val="008B5578"/>
    <w:rsid w:val="008B5691"/>
    <w:rsid w:val="008B63DA"/>
    <w:rsid w:val="008B746E"/>
    <w:rsid w:val="008B7CCF"/>
    <w:rsid w:val="008B7F36"/>
    <w:rsid w:val="008C14D7"/>
    <w:rsid w:val="008C3AB1"/>
    <w:rsid w:val="008C4637"/>
    <w:rsid w:val="008C5643"/>
    <w:rsid w:val="008D0188"/>
    <w:rsid w:val="008D0FC4"/>
    <w:rsid w:val="008D253D"/>
    <w:rsid w:val="008D2B50"/>
    <w:rsid w:val="008D60AB"/>
    <w:rsid w:val="008D6A81"/>
    <w:rsid w:val="008D79E5"/>
    <w:rsid w:val="008E1890"/>
    <w:rsid w:val="008E2FA8"/>
    <w:rsid w:val="008E48FF"/>
    <w:rsid w:val="008E4F7A"/>
    <w:rsid w:val="008F0A65"/>
    <w:rsid w:val="008F266E"/>
    <w:rsid w:val="008F4072"/>
    <w:rsid w:val="008F469A"/>
    <w:rsid w:val="008F4D9A"/>
    <w:rsid w:val="008F5A07"/>
    <w:rsid w:val="00901157"/>
    <w:rsid w:val="0090190E"/>
    <w:rsid w:val="009023EB"/>
    <w:rsid w:val="00902F95"/>
    <w:rsid w:val="00903941"/>
    <w:rsid w:val="009043BB"/>
    <w:rsid w:val="009045F4"/>
    <w:rsid w:val="00905024"/>
    <w:rsid w:val="00905BD6"/>
    <w:rsid w:val="00910D48"/>
    <w:rsid w:val="00910DB3"/>
    <w:rsid w:val="00911512"/>
    <w:rsid w:val="00911BF8"/>
    <w:rsid w:val="00911FFF"/>
    <w:rsid w:val="0091338F"/>
    <w:rsid w:val="009143BE"/>
    <w:rsid w:val="00914A9A"/>
    <w:rsid w:val="009154DF"/>
    <w:rsid w:val="00916814"/>
    <w:rsid w:val="00916BE1"/>
    <w:rsid w:val="00917DE3"/>
    <w:rsid w:val="00920344"/>
    <w:rsid w:val="00921988"/>
    <w:rsid w:val="009227BF"/>
    <w:rsid w:val="00924F19"/>
    <w:rsid w:val="00926632"/>
    <w:rsid w:val="00926C3E"/>
    <w:rsid w:val="009272A4"/>
    <w:rsid w:val="00927A09"/>
    <w:rsid w:val="00927E9E"/>
    <w:rsid w:val="009316F3"/>
    <w:rsid w:val="00931880"/>
    <w:rsid w:val="00932424"/>
    <w:rsid w:val="0093579E"/>
    <w:rsid w:val="009357D9"/>
    <w:rsid w:val="00935E45"/>
    <w:rsid w:val="009367CF"/>
    <w:rsid w:val="0094113D"/>
    <w:rsid w:val="0094273F"/>
    <w:rsid w:val="009451BE"/>
    <w:rsid w:val="0094634E"/>
    <w:rsid w:val="00946695"/>
    <w:rsid w:val="00947489"/>
    <w:rsid w:val="00947D95"/>
    <w:rsid w:val="00950625"/>
    <w:rsid w:val="009522AA"/>
    <w:rsid w:val="009528AD"/>
    <w:rsid w:val="0095336D"/>
    <w:rsid w:val="009533FF"/>
    <w:rsid w:val="0095667F"/>
    <w:rsid w:val="00956A1E"/>
    <w:rsid w:val="00956B00"/>
    <w:rsid w:val="00960BAF"/>
    <w:rsid w:val="0096196A"/>
    <w:rsid w:val="009619E2"/>
    <w:rsid w:val="00961A53"/>
    <w:rsid w:val="0096265D"/>
    <w:rsid w:val="0096300A"/>
    <w:rsid w:val="009644C8"/>
    <w:rsid w:val="009649CC"/>
    <w:rsid w:val="00964C05"/>
    <w:rsid w:val="00964CD5"/>
    <w:rsid w:val="00965685"/>
    <w:rsid w:val="00966013"/>
    <w:rsid w:val="00966276"/>
    <w:rsid w:val="00966B68"/>
    <w:rsid w:val="00966E1E"/>
    <w:rsid w:val="00970B5B"/>
    <w:rsid w:val="00972381"/>
    <w:rsid w:val="0097275D"/>
    <w:rsid w:val="00972F99"/>
    <w:rsid w:val="009744AB"/>
    <w:rsid w:val="009752AF"/>
    <w:rsid w:val="00977193"/>
    <w:rsid w:val="00977E14"/>
    <w:rsid w:val="00982363"/>
    <w:rsid w:val="0098346A"/>
    <w:rsid w:val="0098367A"/>
    <w:rsid w:val="009862E2"/>
    <w:rsid w:val="00987EC6"/>
    <w:rsid w:val="0099007A"/>
    <w:rsid w:val="00991FE2"/>
    <w:rsid w:val="00991FE5"/>
    <w:rsid w:val="00992A4B"/>
    <w:rsid w:val="00992D52"/>
    <w:rsid w:val="0099473F"/>
    <w:rsid w:val="009954C1"/>
    <w:rsid w:val="009974D2"/>
    <w:rsid w:val="009A00B5"/>
    <w:rsid w:val="009A0956"/>
    <w:rsid w:val="009A1486"/>
    <w:rsid w:val="009A14C3"/>
    <w:rsid w:val="009A24F0"/>
    <w:rsid w:val="009A3204"/>
    <w:rsid w:val="009A425A"/>
    <w:rsid w:val="009A4569"/>
    <w:rsid w:val="009A46CB"/>
    <w:rsid w:val="009A4F7F"/>
    <w:rsid w:val="009A5CF4"/>
    <w:rsid w:val="009A74F8"/>
    <w:rsid w:val="009A7703"/>
    <w:rsid w:val="009B07A6"/>
    <w:rsid w:val="009B13C1"/>
    <w:rsid w:val="009B157C"/>
    <w:rsid w:val="009B25FA"/>
    <w:rsid w:val="009B29CB"/>
    <w:rsid w:val="009B5C6D"/>
    <w:rsid w:val="009B774E"/>
    <w:rsid w:val="009B77FE"/>
    <w:rsid w:val="009C0745"/>
    <w:rsid w:val="009C1068"/>
    <w:rsid w:val="009C1A05"/>
    <w:rsid w:val="009C219B"/>
    <w:rsid w:val="009C2537"/>
    <w:rsid w:val="009C3B39"/>
    <w:rsid w:val="009C3CC5"/>
    <w:rsid w:val="009C4328"/>
    <w:rsid w:val="009C43A5"/>
    <w:rsid w:val="009C457E"/>
    <w:rsid w:val="009C4FC0"/>
    <w:rsid w:val="009C576E"/>
    <w:rsid w:val="009D0D7B"/>
    <w:rsid w:val="009D1100"/>
    <w:rsid w:val="009D166A"/>
    <w:rsid w:val="009D1758"/>
    <w:rsid w:val="009D3482"/>
    <w:rsid w:val="009D4233"/>
    <w:rsid w:val="009D6F6C"/>
    <w:rsid w:val="009E23FA"/>
    <w:rsid w:val="009E3261"/>
    <w:rsid w:val="009E358B"/>
    <w:rsid w:val="009E40B5"/>
    <w:rsid w:val="009E41DF"/>
    <w:rsid w:val="009E5FFA"/>
    <w:rsid w:val="009E63E9"/>
    <w:rsid w:val="009E6B9B"/>
    <w:rsid w:val="009E6E16"/>
    <w:rsid w:val="009E7A92"/>
    <w:rsid w:val="009F036C"/>
    <w:rsid w:val="009F1E73"/>
    <w:rsid w:val="009F3758"/>
    <w:rsid w:val="009F46D2"/>
    <w:rsid w:val="009F49B3"/>
    <w:rsid w:val="009F54B4"/>
    <w:rsid w:val="009F6256"/>
    <w:rsid w:val="009F668D"/>
    <w:rsid w:val="009F7BC9"/>
    <w:rsid w:val="00A0113A"/>
    <w:rsid w:val="00A03C3E"/>
    <w:rsid w:val="00A04491"/>
    <w:rsid w:val="00A07BBF"/>
    <w:rsid w:val="00A109C2"/>
    <w:rsid w:val="00A115E8"/>
    <w:rsid w:val="00A12965"/>
    <w:rsid w:val="00A142D8"/>
    <w:rsid w:val="00A150D2"/>
    <w:rsid w:val="00A16077"/>
    <w:rsid w:val="00A16550"/>
    <w:rsid w:val="00A16C77"/>
    <w:rsid w:val="00A17021"/>
    <w:rsid w:val="00A22E1D"/>
    <w:rsid w:val="00A234A0"/>
    <w:rsid w:val="00A25EBE"/>
    <w:rsid w:val="00A2652E"/>
    <w:rsid w:val="00A26FD8"/>
    <w:rsid w:val="00A30C34"/>
    <w:rsid w:val="00A30F88"/>
    <w:rsid w:val="00A335F9"/>
    <w:rsid w:val="00A36B1C"/>
    <w:rsid w:val="00A401CC"/>
    <w:rsid w:val="00A4030C"/>
    <w:rsid w:val="00A429FC"/>
    <w:rsid w:val="00A433D3"/>
    <w:rsid w:val="00A44C6A"/>
    <w:rsid w:val="00A46D89"/>
    <w:rsid w:val="00A525F6"/>
    <w:rsid w:val="00A5463C"/>
    <w:rsid w:val="00A547AE"/>
    <w:rsid w:val="00A57A3C"/>
    <w:rsid w:val="00A57B5F"/>
    <w:rsid w:val="00A6133D"/>
    <w:rsid w:val="00A63404"/>
    <w:rsid w:val="00A6387C"/>
    <w:rsid w:val="00A63902"/>
    <w:rsid w:val="00A64E20"/>
    <w:rsid w:val="00A65CA6"/>
    <w:rsid w:val="00A6653C"/>
    <w:rsid w:val="00A710D9"/>
    <w:rsid w:val="00A750C7"/>
    <w:rsid w:val="00A7744B"/>
    <w:rsid w:val="00A8100B"/>
    <w:rsid w:val="00A84431"/>
    <w:rsid w:val="00A85867"/>
    <w:rsid w:val="00A85B2D"/>
    <w:rsid w:val="00A865E4"/>
    <w:rsid w:val="00A900D2"/>
    <w:rsid w:val="00A92DB0"/>
    <w:rsid w:val="00A9366B"/>
    <w:rsid w:val="00A9488B"/>
    <w:rsid w:val="00A94F6D"/>
    <w:rsid w:val="00A951E9"/>
    <w:rsid w:val="00A95B15"/>
    <w:rsid w:val="00A96172"/>
    <w:rsid w:val="00AA0A79"/>
    <w:rsid w:val="00AA119C"/>
    <w:rsid w:val="00AA3BFE"/>
    <w:rsid w:val="00AA7393"/>
    <w:rsid w:val="00AA74CB"/>
    <w:rsid w:val="00AA7D9B"/>
    <w:rsid w:val="00AB010B"/>
    <w:rsid w:val="00AB106F"/>
    <w:rsid w:val="00AB1396"/>
    <w:rsid w:val="00AB1641"/>
    <w:rsid w:val="00AB1D87"/>
    <w:rsid w:val="00AB2DE4"/>
    <w:rsid w:val="00AB613C"/>
    <w:rsid w:val="00AB7A4D"/>
    <w:rsid w:val="00AC03C9"/>
    <w:rsid w:val="00AC22C4"/>
    <w:rsid w:val="00AC3F2A"/>
    <w:rsid w:val="00AC7B20"/>
    <w:rsid w:val="00AD055F"/>
    <w:rsid w:val="00AD2449"/>
    <w:rsid w:val="00AD400C"/>
    <w:rsid w:val="00AD4B08"/>
    <w:rsid w:val="00AD4BB6"/>
    <w:rsid w:val="00AD7532"/>
    <w:rsid w:val="00AD76A0"/>
    <w:rsid w:val="00AD78BA"/>
    <w:rsid w:val="00AD7A14"/>
    <w:rsid w:val="00AD7A21"/>
    <w:rsid w:val="00AE2211"/>
    <w:rsid w:val="00AE2E47"/>
    <w:rsid w:val="00AE4E04"/>
    <w:rsid w:val="00AE6B69"/>
    <w:rsid w:val="00AE76B0"/>
    <w:rsid w:val="00AF0D53"/>
    <w:rsid w:val="00AF0E43"/>
    <w:rsid w:val="00AF26E0"/>
    <w:rsid w:val="00AF31D6"/>
    <w:rsid w:val="00AF3732"/>
    <w:rsid w:val="00AF420D"/>
    <w:rsid w:val="00AF5B3B"/>
    <w:rsid w:val="00AF741A"/>
    <w:rsid w:val="00B005C9"/>
    <w:rsid w:val="00B00D54"/>
    <w:rsid w:val="00B039D7"/>
    <w:rsid w:val="00B04C0A"/>
    <w:rsid w:val="00B04FAA"/>
    <w:rsid w:val="00B064FB"/>
    <w:rsid w:val="00B06878"/>
    <w:rsid w:val="00B111C6"/>
    <w:rsid w:val="00B168DF"/>
    <w:rsid w:val="00B16EE0"/>
    <w:rsid w:val="00B17C95"/>
    <w:rsid w:val="00B223B9"/>
    <w:rsid w:val="00B22EEB"/>
    <w:rsid w:val="00B24741"/>
    <w:rsid w:val="00B2548A"/>
    <w:rsid w:val="00B25F6D"/>
    <w:rsid w:val="00B264E2"/>
    <w:rsid w:val="00B27331"/>
    <w:rsid w:val="00B30169"/>
    <w:rsid w:val="00B301D1"/>
    <w:rsid w:val="00B3023A"/>
    <w:rsid w:val="00B30BC9"/>
    <w:rsid w:val="00B325F6"/>
    <w:rsid w:val="00B33DDF"/>
    <w:rsid w:val="00B37E48"/>
    <w:rsid w:val="00B405B6"/>
    <w:rsid w:val="00B40B2A"/>
    <w:rsid w:val="00B410B8"/>
    <w:rsid w:val="00B41F5B"/>
    <w:rsid w:val="00B43413"/>
    <w:rsid w:val="00B43581"/>
    <w:rsid w:val="00B43830"/>
    <w:rsid w:val="00B44F75"/>
    <w:rsid w:val="00B514BD"/>
    <w:rsid w:val="00B5220F"/>
    <w:rsid w:val="00B52BC0"/>
    <w:rsid w:val="00B54D6E"/>
    <w:rsid w:val="00B556F5"/>
    <w:rsid w:val="00B561F1"/>
    <w:rsid w:val="00B574AA"/>
    <w:rsid w:val="00B618F4"/>
    <w:rsid w:val="00B62CED"/>
    <w:rsid w:val="00B63D14"/>
    <w:rsid w:val="00B6452E"/>
    <w:rsid w:val="00B66B87"/>
    <w:rsid w:val="00B67581"/>
    <w:rsid w:val="00B7108A"/>
    <w:rsid w:val="00B710C6"/>
    <w:rsid w:val="00B7163D"/>
    <w:rsid w:val="00B728E1"/>
    <w:rsid w:val="00B74D02"/>
    <w:rsid w:val="00B74FAD"/>
    <w:rsid w:val="00B75549"/>
    <w:rsid w:val="00B768AB"/>
    <w:rsid w:val="00B769EC"/>
    <w:rsid w:val="00B77BF5"/>
    <w:rsid w:val="00B816F9"/>
    <w:rsid w:val="00B823CF"/>
    <w:rsid w:val="00B84135"/>
    <w:rsid w:val="00B85DF7"/>
    <w:rsid w:val="00B902A7"/>
    <w:rsid w:val="00B90300"/>
    <w:rsid w:val="00B910EA"/>
    <w:rsid w:val="00B919A9"/>
    <w:rsid w:val="00B92E4E"/>
    <w:rsid w:val="00B93BE6"/>
    <w:rsid w:val="00B960B4"/>
    <w:rsid w:val="00B96BE0"/>
    <w:rsid w:val="00B97C0E"/>
    <w:rsid w:val="00BA14A2"/>
    <w:rsid w:val="00BA389A"/>
    <w:rsid w:val="00BA3FED"/>
    <w:rsid w:val="00BA45FF"/>
    <w:rsid w:val="00BA5FED"/>
    <w:rsid w:val="00BA6A63"/>
    <w:rsid w:val="00BA772A"/>
    <w:rsid w:val="00BB21BD"/>
    <w:rsid w:val="00BB3251"/>
    <w:rsid w:val="00BB34B8"/>
    <w:rsid w:val="00BB3BC6"/>
    <w:rsid w:val="00BB3F3B"/>
    <w:rsid w:val="00BB4B23"/>
    <w:rsid w:val="00BB60D4"/>
    <w:rsid w:val="00BB69C2"/>
    <w:rsid w:val="00BB6F1A"/>
    <w:rsid w:val="00BB708C"/>
    <w:rsid w:val="00BB7AE8"/>
    <w:rsid w:val="00BC06B4"/>
    <w:rsid w:val="00BC29CF"/>
    <w:rsid w:val="00BC4805"/>
    <w:rsid w:val="00BC6AB1"/>
    <w:rsid w:val="00BD017B"/>
    <w:rsid w:val="00BD0BDE"/>
    <w:rsid w:val="00BD3A4E"/>
    <w:rsid w:val="00BD3E75"/>
    <w:rsid w:val="00BD4065"/>
    <w:rsid w:val="00BD504B"/>
    <w:rsid w:val="00BD7116"/>
    <w:rsid w:val="00BE0AEF"/>
    <w:rsid w:val="00BE23CB"/>
    <w:rsid w:val="00BE3674"/>
    <w:rsid w:val="00BE695C"/>
    <w:rsid w:val="00BF0F50"/>
    <w:rsid w:val="00BF0F77"/>
    <w:rsid w:val="00BF265D"/>
    <w:rsid w:val="00BF2B17"/>
    <w:rsid w:val="00BF33EB"/>
    <w:rsid w:val="00BF3D9B"/>
    <w:rsid w:val="00BF53A4"/>
    <w:rsid w:val="00BF5DC2"/>
    <w:rsid w:val="00BF7B9B"/>
    <w:rsid w:val="00C03299"/>
    <w:rsid w:val="00C0354B"/>
    <w:rsid w:val="00C05BE9"/>
    <w:rsid w:val="00C05CA2"/>
    <w:rsid w:val="00C06357"/>
    <w:rsid w:val="00C11606"/>
    <w:rsid w:val="00C11EBF"/>
    <w:rsid w:val="00C12321"/>
    <w:rsid w:val="00C1371D"/>
    <w:rsid w:val="00C1437E"/>
    <w:rsid w:val="00C14BBD"/>
    <w:rsid w:val="00C14D8A"/>
    <w:rsid w:val="00C15A21"/>
    <w:rsid w:val="00C15D86"/>
    <w:rsid w:val="00C164EB"/>
    <w:rsid w:val="00C20102"/>
    <w:rsid w:val="00C20A8E"/>
    <w:rsid w:val="00C213A4"/>
    <w:rsid w:val="00C21F32"/>
    <w:rsid w:val="00C25440"/>
    <w:rsid w:val="00C26144"/>
    <w:rsid w:val="00C270C5"/>
    <w:rsid w:val="00C300FD"/>
    <w:rsid w:val="00C310BF"/>
    <w:rsid w:val="00C31587"/>
    <w:rsid w:val="00C34219"/>
    <w:rsid w:val="00C342D0"/>
    <w:rsid w:val="00C34856"/>
    <w:rsid w:val="00C37F5F"/>
    <w:rsid w:val="00C37FB8"/>
    <w:rsid w:val="00C41E46"/>
    <w:rsid w:val="00C42296"/>
    <w:rsid w:val="00C436C3"/>
    <w:rsid w:val="00C4372A"/>
    <w:rsid w:val="00C44244"/>
    <w:rsid w:val="00C457E8"/>
    <w:rsid w:val="00C458EC"/>
    <w:rsid w:val="00C46A57"/>
    <w:rsid w:val="00C4749E"/>
    <w:rsid w:val="00C47656"/>
    <w:rsid w:val="00C47DDD"/>
    <w:rsid w:val="00C50297"/>
    <w:rsid w:val="00C516F2"/>
    <w:rsid w:val="00C51A10"/>
    <w:rsid w:val="00C51B5F"/>
    <w:rsid w:val="00C51F5B"/>
    <w:rsid w:val="00C5298D"/>
    <w:rsid w:val="00C52AF3"/>
    <w:rsid w:val="00C5410C"/>
    <w:rsid w:val="00C5555A"/>
    <w:rsid w:val="00C565FB"/>
    <w:rsid w:val="00C578F6"/>
    <w:rsid w:val="00C6044D"/>
    <w:rsid w:val="00C60E37"/>
    <w:rsid w:val="00C6127D"/>
    <w:rsid w:val="00C644FB"/>
    <w:rsid w:val="00C64785"/>
    <w:rsid w:val="00C65328"/>
    <w:rsid w:val="00C6563D"/>
    <w:rsid w:val="00C65A82"/>
    <w:rsid w:val="00C66206"/>
    <w:rsid w:val="00C66739"/>
    <w:rsid w:val="00C6675D"/>
    <w:rsid w:val="00C668B2"/>
    <w:rsid w:val="00C66D2D"/>
    <w:rsid w:val="00C71DFC"/>
    <w:rsid w:val="00C742CC"/>
    <w:rsid w:val="00C772E7"/>
    <w:rsid w:val="00C77D16"/>
    <w:rsid w:val="00C80229"/>
    <w:rsid w:val="00C8029E"/>
    <w:rsid w:val="00C80D61"/>
    <w:rsid w:val="00C815DA"/>
    <w:rsid w:val="00C83245"/>
    <w:rsid w:val="00C83881"/>
    <w:rsid w:val="00C86405"/>
    <w:rsid w:val="00C86FE5"/>
    <w:rsid w:val="00C909F0"/>
    <w:rsid w:val="00C91C3D"/>
    <w:rsid w:val="00C92290"/>
    <w:rsid w:val="00C922CF"/>
    <w:rsid w:val="00C9384C"/>
    <w:rsid w:val="00C93BB0"/>
    <w:rsid w:val="00C93EF3"/>
    <w:rsid w:val="00C948AD"/>
    <w:rsid w:val="00C94FCC"/>
    <w:rsid w:val="00C95E04"/>
    <w:rsid w:val="00C96270"/>
    <w:rsid w:val="00CA1A82"/>
    <w:rsid w:val="00CA36C0"/>
    <w:rsid w:val="00CA49B4"/>
    <w:rsid w:val="00CA5631"/>
    <w:rsid w:val="00CA6789"/>
    <w:rsid w:val="00CA6A92"/>
    <w:rsid w:val="00CA7534"/>
    <w:rsid w:val="00CA75B2"/>
    <w:rsid w:val="00CB2F03"/>
    <w:rsid w:val="00CB3962"/>
    <w:rsid w:val="00CB3B2A"/>
    <w:rsid w:val="00CB40F4"/>
    <w:rsid w:val="00CB48B8"/>
    <w:rsid w:val="00CB7162"/>
    <w:rsid w:val="00CC1A46"/>
    <w:rsid w:val="00CC1B24"/>
    <w:rsid w:val="00CC3E71"/>
    <w:rsid w:val="00CC45EE"/>
    <w:rsid w:val="00CC688E"/>
    <w:rsid w:val="00CC785E"/>
    <w:rsid w:val="00CC7872"/>
    <w:rsid w:val="00CD49A8"/>
    <w:rsid w:val="00CD604A"/>
    <w:rsid w:val="00CD70FB"/>
    <w:rsid w:val="00CD75C4"/>
    <w:rsid w:val="00CE0423"/>
    <w:rsid w:val="00CE1005"/>
    <w:rsid w:val="00CE1E31"/>
    <w:rsid w:val="00CE20E7"/>
    <w:rsid w:val="00CE3189"/>
    <w:rsid w:val="00CE44AE"/>
    <w:rsid w:val="00CE53E5"/>
    <w:rsid w:val="00CE6176"/>
    <w:rsid w:val="00CE78E2"/>
    <w:rsid w:val="00CF0762"/>
    <w:rsid w:val="00CF5509"/>
    <w:rsid w:val="00CF583A"/>
    <w:rsid w:val="00CF7408"/>
    <w:rsid w:val="00CF7459"/>
    <w:rsid w:val="00D00EA0"/>
    <w:rsid w:val="00D01247"/>
    <w:rsid w:val="00D022FA"/>
    <w:rsid w:val="00D02D8E"/>
    <w:rsid w:val="00D0456A"/>
    <w:rsid w:val="00D05E83"/>
    <w:rsid w:val="00D06142"/>
    <w:rsid w:val="00D06218"/>
    <w:rsid w:val="00D066C6"/>
    <w:rsid w:val="00D07AFF"/>
    <w:rsid w:val="00D103AD"/>
    <w:rsid w:val="00D10544"/>
    <w:rsid w:val="00D12496"/>
    <w:rsid w:val="00D128B5"/>
    <w:rsid w:val="00D12983"/>
    <w:rsid w:val="00D1446D"/>
    <w:rsid w:val="00D1502C"/>
    <w:rsid w:val="00D153B6"/>
    <w:rsid w:val="00D17875"/>
    <w:rsid w:val="00D20DE4"/>
    <w:rsid w:val="00D22A94"/>
    <w:rsid w:val="00D23E05"/>
    <w:rsid w:val="00D248D7"/>
    <w:rsid w:val="00D24CF7"/>
    <w:rsid w:val="00D26E2C"/>
    <w:rsid w:val="00D35083"/>
    <w:rsid w:val="00D35118"/>
    <w:rsid w:val="00D35216"/>
    <w:rsid w:val="00D3545F"/>
    <w:rsid w:val="00D35AD3"/>
    <w:rsid w:val="00D36689"/>
    <w:rsid w:val="00D3682F"/>
    <w:rsid w:val="00D37E1C"/>
    <w:rsid w:val="00D42A7E"/>
    <w:rsid w:val="00D43CFF"/>
    <w:rsid w:val="00D5080F"/>
    <w:rsid w:val="00D50EE7"/>
    <w:rsid w:val="00D50F3E"/>
    <w:rsid w:val="00D51A80"/>
    <w:rsid w:val="00D52372"/>
    <w:rsid w:val="00D52907"/>
    <w:rsid w:val="00D55993"/>
    <w:rsid w:val="00D56B7D"/>
    <w:rsid w:val="00D57741"/>
    <w:rsid w:val="00D61C0B"/>
    <w:rsid w:val="00D626C8"/>
    <w:rsid w:val="00D63293"/>
    <w:rsid w:val="00D634EB"/>
    <w:rsid w:val="00D636E3"/>
    <w:rsid w:val="00D63779"/>
    <w:rsid w:val="00D64602"/>
    <w:rsid w:val="00D6563D"/>
    <w:rsid w:val="00D67116"/>
    <w:rsid w:val="00D67BE5"/>
    <w:rsid w:val="00D7104A"/>
    <w:rsid w:val="00D71365"/>
    <w:rsid w:val="00D73043"/>
    <w:rsid w:val="00D73662"/>
    <w:rsid w:val="00D75A2F"/>
    <w:rsid w:val="00D7775D"/>
    <w:rsid w:val="00D806F3"/>
    <w:rsid w:val="00D82752"/>
    <w:rsid w:val="00D833DA"/>
    <w:rsid w:val="00D83B59"/>
    <w:rsid w:val="00D83BF6"/>
    <w:rsid w:val="00D83ED0"/>
    <w:rsid w:val="00D85F2B"/>
    <w:rsid w:val="00D87ACC"/>
    <w:rsid w:val="00D904D6"/>
    <w:rsid w:val="00D90C24"/>
    <w:rsid w:val="00D914DD"/>
    <w:rsid w:val="00D918AF"/>
    <w:rsid w:val="00D91F16"/>
    <w:rsid w:val="00D93417"/>
    <w:rsid w:val="00D959DC"/>
    <w:rsid w:val="00D96798"/>
    <w:rsid w:val="00D96D10"/>
    <w:rsid w:val="00D97EDF"/>
    <w:rsid w:val="00DA0317"/>
    <w:rsid w:val="00DA172B"/>
    <w:rsid w:val="00DA1868"/>
    <w:rsid w:val="00DA216C"/>
    <w:rsid w:val="00DA7180"/>
    <w:rsid w:val="00DA7AB9"/>
    <w:rsid w:val="00DB0ABB"/>
    <w:rsid w:val="00DB5948"/>
    <w:rsid w:val="00DB6D6F"/>
    <w:rsid w:val="00DB6E3D"/>
    <w:rsid w:val="00DB7E0D"/>
    <w:rsid w:val="00DC1743"/>
    <w:rsid w:val="00DC27D6"/>
    <w:rsid w:val="00DC286A"/>
    <w:rsid w:val="00DC45FC"/>
    <w:rsid w:val="00DC6C7E"/>
    <w:rsid w:val="00DD0677"/>
    <w:rsid w:val="00DD0C81"/>
    <w:rsid w:val="00DD1066"/>
    <w:rsid w:val="00DD20F3"/>
    <w:rsid w:val="00DD3062"/>
    <w:rsid w:val="00DD36DA"/>
    <w:rsid w:val="00DD3C46"/>
    <w:rsid w:val="00DD3CD0"/>
    <w:rsid w:val="00DD4027"/>
    <w:rsid w:val="00DD50AF"/>
    <w:rsid w:val="00DD5504"/>
    <w:rsid w:val="00DD5F06"/>
    <w:rsid w:val="00DD7F1D"/>
    <w:rsid w:val="00DE10D6"/>
    <w:rsid w:val="00DE2410"/>
    <w:rsid w:val="00DE3B03"/>
    <w:rsid w:val="00DE4D08"/>
    <w:rsid w:val="00DE4E23"/>
    <w:rsid w:val="00DE5C17"/>
    <w:rsid w:val="00DE6763"/>
    <w:rsid w:val="00DF329D"/>
    <w:rsid w:val="00DF3820"/>
    <w:rsid w:val="00DF581E"/>
    <w:rsid w:val="00DF5F72"/>
    <w:rsid w:val="00DF6A41"/>
    <w:rsid w:val="00DF70AE"/>
    <w:rsid w:val="00E025EF"/>
    <w:rsid w:val="00E02E4A"/>
    <w:rsid w:val="00E04017"/>
    <w:rsid w:val="00E04A80"/>
    <w:rsid w:val="00E06F82"/>
    <w:rsid w:val="00E07D17"/>
    <w:rsid w:val="00E11A72"/>
    <w:rsid w:val="00E11E89"/>
    <w:rsid w:val="00E134CE"/>
    <w:rsid w:val="00E13B2D"/>
    <w:rsid w:val="00E1427E"/>
    <w:rsid w:val="00E151ED"/>
    <w:rsid w:val="00E20210"/>
    <w:rsid w:val="00E20FC6"/>
    <w:rsid w:val="00E2106C"/>
    <w:rsid w:val="00E214D1"/>
    <w:rsid w:val="00E2319C"/>
    <w:rsid w:val="00E23D63"/>
    <w:rsid w:val="00E23E12"/>
    <w:rsid w:val="00E2402E"/>
    <w:rsid w:val="00E2567D"/>
    <w:rsid w:val="00E25B9C"/>
    <w:rsid w:val="00E273BB"/>
    <w:rsid w:val="00E27F81"/>
    <w:rsid w:val="00E3053B"/>
    <w:rsid w:val="00E306EF"/>
    <w:rsid w:val="00E30EF4"/>
    <w:rsid w:val="00E31880"/>
    <w:rsid w:val="00E37879"/>
    <w:rsid w:val="00E407A7"/>
    <w:rsid w:val="00E4125C"/>
    <w:rsid w:val="00E41D7A"/>
    <w:rsid w:val="00E44621"/>
    <w:rsid w:val="00E44B7B"/>
    <w:rsid w:val="00E45046"/>
    <w:rsid w:val="00E45EAF"/>
    <w:rsid w:val="00E46114"/>
    <w:rsid w:val="00E46E4D"/>
    <w:rsid w:val="00E46E87"/>
    <w:rsid w:val="00E475AD"/>
    <w:rsid w:val="00E503E9"/>
    <w:rsid w:val="00E509BA"/>
    <w:rsid w:val="00E50F96"/>
    <w:rsid w:val="00E538A9"/>
    <w:rsid w:val="00E5662B"/>
    <w:rsid w:val="00E57A6E"/>
    <w:rsid w:val="00E57E4F"/>
    <w:rsid w:val="00E60230"/>
    <w:rsid w:val="00E60675"/>
    <w:rsid w:val="00E6149C"/>
    <w:rsid w:val="00E64153"/>
    <w:rsid w:val="00E64528"/>
    <w:rsid w:val="00E659DA"/>
    <w:rsid w:val="00E67D1F"/>
    <w:rsid w:val="00E71E33"/>
    <w:rsid w:val="00E72C48"/>
    <w:rsid w:val="00E74BC6"/>
    <w:rsid w:val="00E750A0"/>
    <w:rsid w:val="00E76036"/>
    <w:rsid w:val="00E76C06"/>
    <w:rsid w:val="00E82894"/>
    <w:rsid w:val="00E83C1D"/>
    <w:rsid w:val="00E855C1"/>
    <w:rsid w:val="00E8595D"/>
    <w:rsid w:val="00E866F4"/>
    <w:rsid w:val="00E86D7C"/>
    <w:rsid w:val="00E87964"/>
    <w:rsid w:val="00E87F38"/>
    <w:rsid w:val="00E90434"/>
    <w:rsid w:val="00E91EC2"/>
    <w:rsid w:val="00E92832"/>
    <w:rsid w:val="00E9687F"/>
    <w:rsid w:val="00E973F4"/>
    <w:rsid w:val="00EA2BA5"/>
    <w:rsid w:val="00EA379E"/>
    <w:rsid w:val="00EA40F0"/>
    <w:rsid w:val="00EA46C9"/>
    <w:rsid w:val="00EA4A0A"/>
    <w:rsid w:val="00EB0285"/>
    <w:rsid w:val="00EB0A83"/>
    <w:rsid w:val="00EB1B26"/>
    <w:rsid w:val="00EB2329"/>
    <w:rsid w:val="00EB48F9"/>
    <w:rsid w:val="00EB4F56"/>
    <w:rsid w:val="00EB5198"/>
    <w:rsid w:val="00EB664E"/>
    <w:rsid w:val="00EB7448"/>
    <w:rsid w:val="00EC0C01"/>
    <w:rsid w:val="00EC2524"/>
    <w:rsid w:val="00EC26E5"/>
    <w:rsid w:val="00EC2D68"/>
    <w:rsid w:val="00EC3963"/>
    <w:rsid w:val="00ED044F"/>
    <w:rsid w:val="00ED10EB"/>
    <w:rsid w:val="00ED1F17"/>
    <w:rsid w:val="00ED2801"/>
    <w:rsid w:val="00ED308C"/>
    <w:rsid w:val="00ED614C"/>
    <w:rsid w:val="00EE1E45"/>
    <w:rsid w:val="00EE204D"/>
    <w:rsid w:val="00EE27EC"/>
    <w:rsid w:val="00EE362F"/>
    <w:rsid w:val="00EE393A"/>
    <w:rsid w:val="00EE4D7C"/>
    <w:rsid w:val="00EE5BFF"/>
    <w:rsid w:val="00EE7333"/>
    <w:rsid w:val="00EE7706"/>
    <w:rsid w:val="00EF027D"/>
    <w:rsid w:val="00EF0731"/>
    <w:rsid w:val="00EF0794"/>
    <w:rsid w:val="00EF1E58"/>
    <w:rsid w:val="00EF1F9E"/>
    <w:rsid w:val="00EF34E1"/>
    <w:rsid w:val="00EF3EC6"/>
    <w:rsid w:val="00EF4491"/>
    <w:rsid w:val="00EF66D9"/>
    <w:rsid w:val="00EF6829"/>
    <w:rsid w:val="00EF7140"/>
    <w:rsid w:val="00EF7E4D"/>
    <w:rsid w:val="00F02D3D"/>
    <w:rsid w:val="00F03C71"/>
    <w:rsid w:val="00F114A0"/>
    <w:rsid w:val="00F11C94"/>
    <w:rsid w:val="00F11E1C"/>
    <w:rsid w:val="00F11F3D"/>
    <w:rsid w:val="00F12152"/>
    <w:rsid w:val="00F121A1"/>
    <w:rsid w:val="00F12D1C"/>
    <w:rsid w:val="00F14C02"/>
    <w:rsid w:val="00F15219"/>
    <w:rsid w:val="00F15FD2"/>
    <w:rsid w:val="00F165BE"/>
    <w:rsid w:val="00F167B3"/>
    <w:rsid w:val="00F204D4"/>
    <w:rsid w:val="00F20537"/>
    <w:rsid w:val="00F20B63"/>
    <w:rsid w:val="00F21385"/>
    <w:rsid w:val="00F219B4"/>
    <w:rsid w:val="00F21E06"/>
    <w:rsid w:val="00F22969"/>
    <w:rsid w:val="00F2348E"/>
    <w:rsid w:val="00F24019"/>
    <w:rsid w:val="00F26915"/>
    <w:rsid w:val="00F26DCD"/>
    <w:rsid w:val="00F35749"/>
    <w:rsid w:val="00F36CA8"/>
    <w:rsid w:val="00F37929"/>
    <w:rsid w:val="00F37DBB"/>
    <w:rsid w:val="00F41026"/>
    <w:rsid w:val="00F4183C"/>
    <w:rsid w:val="00F42A6E"/>
    <w:rsid w:val="00F434E2"/>
    <w:rsid w:val="00F442E4"/>
    <w:rsid w:val="00F44583"/>
    <w:rsid w:val="00F45726"/>
    <w:rsid w:val="00F46754"/>
    <w:rsid w:val="00F506FE"/>
    <w:rsid w:val="00F527E9"/>
    <w:rsid w:val="00F53990"/>
    <w:rsid w:val="00F53AFD"/>
    <w:rsid w:val="00F55233"/>
    <w:rsid w:val="00F553CD"/>
    <w:rsid w:val="00F55BDE"/>
    <w:rsid w:val="00F563F1"/>
    <w:rsid w:val="00F57FC9"/>
    <w:rsid w:val="00F6046C"/>
    <w:rsid w:val="00F611F5"/>
    <w:rsid w:val="00F61571"/>
    <w:rsid w:val="00F61EAC"/>
    <w:rsid w:val="00F62C52"/>
    <w:rsid w:val="00F65997"/>
    <w:rsid w:val="00F67199"/>
    <w:rsid w:val="00F67DBB"/>
    <w:rsid w:val="00F70299"/>
    <w:rsid w:val="00F72AC4"/>
    <w:rsid w:val="00F738E1"/>
    <w:rsid w:val="00F73F2C"/>
    <w:rsid w:val="00F749C1"/>
    <w:rsid w:val="00F757B8"/>
    <w:rsid w:val="00F761D1"/>
    <w:rsid w:val="00F8144A"/>
    <w:rsid w:val="00F81AB1"/>
    <w:rsid w:val="00F82A08"/>
    <w:rsid w:val="00F85FC1"/>
    <w:rsid w:val="00F86466"/>
    <w:rsid w:val="00F8753F"/>
    <w:rsid w:val="00F908F3"/>
    <w:rsid w:val="00F91E8A"/>
    <w:rsid w:val="00F93566"/>
    <w:rsid w:val="00FA3485"/>
    <w:rsid w:val="00FA3BB2"/>
    <w:rsid w:val="00FA4A92"/>
    <w:rsid w:val="00FA7F1A"/>
    <w:rsid w:val="00FB0A6E"/>
    <w:rsid w:val="00FB2A60"/>
    <w:rsid w:val="00FB2FDC"/>
    <w:rsid w:val="00FB30D6"/>
    <w:rsid w:val="00FB330E"/>
    <w:rsid w:val="00FB5659"/>
    <w:rsid w:val="00FB5CEC"/>
    <w:rsid w:val="00FC003B"/>
    <w:rsid w:val="00FC19D0"/>
    <w:rsid w:val="00FC1A41"/>
    <w:rsid w:val="00FC20CC"/>
    <w:rsid w:val="00FC24F9"/>
    <w:rsid w:val="00FC361B"/>
    <w:rsid w:val="00FC386A"/>
    <w:rsid w:val="00FC4513"/>
    <w:rsid w:val="00FC4A8B"/>
    <w:rsid w:val="00FC594A"/>
    <w:rsid w:val="00FC65BE"/>
    <w:rsid w:val="00FC66B4"/>
    <w:rsid w:val="00FC7BFE"/>
    <w:rsid w:val="00FD0CB9"/>
    <w:rsid w:val="00FD1706"/>
    <w:rsid w:val="00FD318E"/>
    <w:rsid w:val="00FD6598"/>
    <w:rsid w:val="00FE0250"/>
    <w:rsid w:val="00FE051A"/>
    <w:rsid w:val="00FE059A"/>
    <w:rsid w:val="00FE0611"/>
    <w:rsid w:val="00FE0BA5"/>
    <w:rsid w:val="00FE19F2"/>
    <w:rsid w:val="00FE2751"/>
    <w:rsid w:val="00FE283C"/>
    <w:rsid w:val="00FE3095"/>
    <w:rsid w:val="00FE3BD8"/>
    <w:rsid w:val="00FE3BE1"/>
    <w:rsid w:val="00FE3DA7"/>
    <w:rsid w:val="00FE4C96"/>
    <w:rsid w:val="00FF0355"/>
    <w:rsid w:val="00FF076C"/>
    <w:rsid w:val="00FF18FF"/>
    <w:rsid w:val="00FF2D71"/>
    <w:rsid w:val="00FF5847"/>
    <w:rsid w:val="00FF6E48"/>
    <w:rsid w:val="065BB81F"/>
    <w:rsid w:val="095E94BD"/>
    <w:rsid w:val="0A322B60"/>
    <w:rsid w:val="0D716033"/>
    <w:rsid w:val="0F94DA3D"/>
    <w:rsid w:val="0FF0C9AB"/>
    <w:rsid w:val="12B5D809"/>
    <w:rsid w:val="134A0AF4"/>
    <w:rsid w:val="193E34D8"/>
    <w:rsid w:val="19FBF8BA"/>
    <w:rsid w:val="1A6B7761"/>
    <w:rsid w:val="1A8F0551"/>
    <w:rsid w:val="1B37F8E2"/>
    <w:rsid w:val="1F63E7C9"/>
    <w:rsid w:val="22F703B5"/>
    <w:rsid w:val="23919254"/>
    <w:rsid w:val="23D07DBC"/>
    <w:rsid w:val="24ABA235"/>
    <w:rsid w:val="271D7AA0"/>
    <w:rsid w:val="2A3258B1"/>
    <w:rsid w:val="2E076769"/>
    <w:rsid w:val="30618066"/>
    <w:rsid w:val="31767C52"/>
    <w:rsid w:val="3636E3D0"/>
    <w:rsid w:val="39C6310C"/>
    <w:rsid w:val="3B89A703"/>
    <w:rsid w:val="3C18D9B0"/>
    <w:rsid w:val="3C934C4E"/>
    <w:rsid w:val="3DF2EC12"/>
    <w:rsid w:val="3EC1DDA8"/>
    <w:rsid w:val="3EF19389"/>
    <w:rsid w:val="405EB9DB"/>
    <w:rsid w:val="46361F97"/>
    <w:rsid w:val="47C76352"/>
    <w:rsid w:val="498E8E20"/>
    <w:rsid w:val="4FF0CA39"/>
    <w:rsid w:val="524A4F68"/>
    <w:rsid w:val="5445A5E9"/>
    <w:rsid w:val="55396A9B"/>
    <w:rsid w:val="553E6702"/>
    <w:rsid w:val="56079866"/>
    <w:rsid w:val="5A038148"/>
    <w:rsid w:val="5A59979E"/>
    <w:rsid w:val="5D13F8C5"/>
    <w:rsid w:val="5DC4C80E"/>
    <w:rsid w:val="5F1F0C0F"/>
    <w:rsid w:val="62B520A4"/>
    <w:rsid w:val="6385DC7A"/>
    <w:rsid w:val="67E966DF"/>
    <w:rsid w:val="685E050B"/>
    <w:rsid w:val="68A4D590"/>
    <w:rsid w:val="6964E08B"/>
    <w:rsid w:val="6A063D3B"/>
    <w:rsid w:val="6A53BDB2"/>
    <w:rsid w:val="6C3B2451"/>
    <w:rsid w:val="6C7FADC0"/>
    <w:rsid w:val="6E571919"/>
    <w:rsid w:val="70116C8E"/>
    <w:rsid w:val="70C9A0A3"/>
    <w:rsid w:val="7211498A"/>
    <w:rsid w:val="72F83891"/>
    <w:rsid w:val="732A2595"/>
    <w:rsid w:val="741EE4A7"/>
    <w:rsid w:val="76F922A1"/>
    <w:rsid w:val="7A348A32"/>
    <w:rsid w:val="7A80B6C0"/>
    <w:rsid w:val="7B18B765"/>
    <w:rsid w:val="7CDD5816"/>
    <w:rsid w:val="7D16F954"/>
    <w:rsid w:val="7F0596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56F96"/>
  <w15:docId w15:val="{DA992731-9571-4927-9AC8-C67E2C8C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DD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D6F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204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77EF0"/>
    <w:pPr>
      <w:keepNext/>
      <w:keepLines/>
      <w:widowControl w:val="0"/>
      <w:autoSpaceDE w:val="0"/>
      <w:autoSpaceDN w:val="0"/>
      <w:adjustRightInd w:val="0"/>
      <w:spacing w:before="360" w:after="2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47DDD"/>
    <w:pPr>
      <w:tabs>
        <w:tab w:val="center" w:pos="4320"/>
        <w:tab w:val="right" w:pos="8640"/>
      </w:tabs>
    </w:pPr>
  </w:style>
  <w:style w:type="character" w:customStyle="1" w:styleId="HeaderChar">
    <w:name w:val="Header Char"/>
    <w:basedOn w:val="DefaultParagraphFont"/>
    <w:link w:val="Header"/>
    <w:rsid w:val="00C47DDD"/>
    <w:rPr>
      <w:rFonts w:ascii="Times New Roman" w:eastAsia="Times New Roman" w:hAnsi="Times New Roman" w:cs="Times New Roman"/>
      <w:sz w:val="24"/>
      <w:szCs w:val="24"/>
    </w:rPr>
  </w:style>
  <w:style w:type="paragraph" w:styleId="Footer">
    <w:name w:val="footer"/>
    <w:basedOn w:val="Normal"/>
    <w:link w:val="FooterChar"/>
    <w:uiPriority w:val="99"/>
    <w:rsid w:val="00C47DDD"/>
    <w:pPr>
      <w:tabs>
        <w:tab w:val="center" w:pos="4320"/>
        <w:tab w:val="right" w:pos="8640"/>
      </w:tabs>
    </w:pPr>
  </w:style>
  <w:style w:type="character" w:customStyle="1" w:styleId="FooterChar">
    <w:name w:val="Footer Char"/>
    <w:basedOn w:val="DefaultParagraphFont"/>
    <w:link w:val="Footer"/>
    <w:uiPriority w:val="99"/>
    <w:rsid w:val="00C47DDD"/>
    <w:rPr>
      <w:rFonts w:ascii="Times New Roman" w:eastAsia="Times New Roman" w:hAnsi="Times New Roman" w:cs="Times New Roman"/>
      <w:sz w:val="24"/>
      <w:szCs w:val="24"/>
    </w:rPr>
  </w:style>
  <w:style w:type="table" w:styleId="TableGrid">
    <w:name w:val="Table Grid"/>
    <w:basedOn w:val="TableNormal"/>
    <w:rsid w:val="00C47D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47DDD"/>
    <w:rPr>
      <w:color w:val="0000FF"/>
      <w:u w:val="single"/>
    </w:rPr>
  </w:style>
  <w:style w:type="paragraph" w:styleId="DocumentMap">
    <w:name w:val="Document Map"/>
    <w:basedOn w:val="Normal"/>
    <w:link w:val="DocumentMapChar"/>
    <w:semiHidden/>
    <w:rsid w:val="00C47DD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47DDD"/>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C47DDD"/>
    <w:rPr>
      <w:sz w:val="20"/>
      <w:szCs w:val="20"/>
    </w:rPr>
  </w:style>
  <w:style w:type="character" w:customStyle="1" w:styleId="FootnoteTextChar">
    <w:name w:val="Footnote Text Char"/>
    <w:basedOn w:val="DefaultParagraphFont"/>
    <w:link w:val="FootnoteText"/>
    <w:semiHidden/>
    <w:rsid w:val="00C47DDD"/>
    <w:rPr>
      <w:rFonts w:ascii="Times New Roman" w:eastAsia="Times New Roman" w:hAnsi="Times New Roman" w:cs="Times New Roman"/>
      <w:sz w:val="20"/>
      <w:szCs w:val="20"/>
    </w:rPr>
  </w:style>
  <w:style w:type="character" w:styleId="FootnoteReference">
    <w:name w:val="footnote reference"/>
    <w:basedOn w:val="DefaultParagraphFont"/>
    <w:semiHidden/>
    <w:rsid w:val="00C47DDD"/>
    <w:rPr>
      <w:vertAlign w:val="superscript"/>
    </w:rPr>
  </w:style>
  <w:style w:type="character" w:styleId="FollowedHyperlink">
    <w:name w:val="FollowedHyperlink"/>
    <w:basedOn w:val="DefaultParagraphFont"/>
    <w:rsid w:val="00C47DDD"/>
    <w:rPr>
      <w:color w:val="800080"/>
      <w:u w:val="single"/>
    </w:rPr>
  </w:style>
  <w:style w:type="table" w:customStyle="1" w:styleId="TableGrid1">
    <w:name w:val="Table Grid1"/>
    <w:basedOn w:val="TableNormal"/>
    <w:next w:val="TableGrid"/>
    <w:rsid w:val="00C47D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47DDD"/>
    <w:rPr>
      <w:rFonts w:ascii="Tahoma" w:hAnsi="Tahoma" w:cs="Tahoma"/>
      <w:sz w:val="16"/>
      <w:szCs w:val="16"/>
    </w:rPr>
  </w:style>
  <w:style w:type="character" w:customStyle="1" w:styleId="BalloonTextChar">
    <w:name w:val="Balloon Text Char"/>
    <w:basedOn w:val="DefaultParagraphFont"/>
    <w:link w:val="BalloonText"/>
    <w:semiHidden/>
    <w:rsid w:val="00C47DDD"/>
    <w:rPr>
      <w:rFonts w:ascii="Tahoma" w:eastAsia="Times New Roman" w:hAnsi="Tahoma" w:cs="Tahoma"/>
      <w:sz w:val="16"/>
      <w:szCs w:val="16"/>
    </w:rPr>
  </w:style>
  <w:style w:type="character" w:styleId="CommentReference">
    <w:name w:val="annotation reference"/>
    <w:basedOn w:val="DefaultParagraphFont"/>
    <w:uiPriority w:val="99"/>
    <w:rsid w:val="00C47DDD"/>
    <w:rPr>
      <w:sz w:val="16"/>
      <w:szCs w:val="16"/>
    </w:rPr>
  </w:style>
  <w:style w:type="paragraph" w:styleId="CommentText">
    <w:name w:val="annotation text"/>
    <w:basedOn w:val="Normal"/>
    <w:link w:val="CommentTextChar"/>
    <w:uiPriority w:val="99"/>
    <w:rsid w:val="00C47DDD"/>
    <w:rPr>
      <w:sz w:val="20"/>
      <w:szCs w:val="20"/>
    </w:rPr>
  </w:style>
  <w:style w:type="character" w:customStyle="1" w:styleId="CommentTextChar">
    <w:name w:val="Comment Text Char"/>
    <w:basedOn w:val="DefaultParagraphFont"/>
    <w:link w:val="CommentText"/>
    <w:uiPriority w:val="99"/>
    <w:rsid w:val="00C47D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47DDD"/>
    <w:rPr>
      <w:b/>
      <w:bCs/>
    </w:rPr>
  </w:style>
  <w:style w:type="character" w:customStyle="1" w:styleId="CommentSubjectChar">
    <w:name w:val="Comment Subject Char"/>
    <w:basedOn w:val="CommentTextChar"/>
    <w:link w:val="CommentSubject"/>
    <w:rsid w:val="00C47DDD"/>
    <w:rPr>
      <w:rFonts w:ascii="Times New Roman" w:eastAsia="Times New Roman" w:hAnsi="Times New Roman" w:cs="Times New Roman"/>
      <w:b/>
      <w:bCs/>
      <w:sz w:val="20"/>
      <w:szCs w:val="20"/>
    </w:rPr>
  </w:style>
  <w:style w:type="paragraph" w:styleId="Revision">
    <w:name w:val="Revision"/>
    <w:hidden/>
    <w:uiPriority w:val="99"/>
    <w:semiHidden/>
    <w:rsid w:val="00C47DDD"/>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47DDD"/>
    <w:pPr>
      <w:ind w:left="720"/>
      <w:contextualSpacing/>
    </w:pPr>
  </w:style>
  <w:style w:type="character" w:customStyle="1" w:styleId="Heading3Char">
    <w:name w:val="Heading 3 Char"/>
    <w:basedOn w:val="DefaultParagraphFont"/>
    <w:link w:val="Heading3"/>
    <w:rsid w:val="00077EF0"/>
    <w:rPr>
      <w:rFonts w:ascii="Times New Roman" w:eastAsia="Times New Roman" w:hAnsi="Times New Roman" w:cs="Times New Roman"/>
      <w:b/>
      <w:bCs/>
      <w:sz w:val="24"/>
      <w:szCs w:val="24"/>
    </w:rPr>
  </w:style>
  <w:style w:type="paragraph" w:styleId="NoSpacing">
    <w:name w:val="No Spacing"/>
    <w:uiPriority w:val="1"/>
    <w:qFormat/>
    <w:rsid w:val="002C278C"/>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BodyText">
    <w:name w:val="Body Text"/>
    <w:basedOn w:val="Normal"/>
    <w:link w:val="BodyTextChar"/>
    <w:uiPriority w:val="99"/>
    <w:semiHidden/>
    <w:unhideWhenUsed/>
    <w:rsid w:val="002C278C"/>
    <w:pPr>
      <w:spacing w:after="120"/>
    </w:pPr>
  </w:style>
  <w:style w:type="character" w:customStyle="1" w:styleId="BodyTextChar">
    <w:name w:val="Body Text Char"/>
    <w:basedOn w:val="DefaultParagraphFont"/>
    <w:link w:val="BodyText"/>
    <w:uiPriority w:val="99"/>
    <w:semiHidden/>
    <w:rsid w:val="002C278C"/>
    <w:rPr>
      <w:rFonts w:ascii="Times New Roman" w:eastAsia="Times New Roman" w:hAnsi="Times New Roman" w:cs="Times New Roman"/>
      <w:sz w:val="24"/>
      <w:szCs w:val="24"/>
    </w:rPr>
  </w:style>
  <w:style w:type="paragraph" w:styleId="BodyTextFirstIndent">
    <w:name w:val="Body Text First Indent"/>
    <w:basedOn w:val="BodyText"/>
    <w:link w:val="BodyTextFirstIndentChar"/>
    <w:rsid w:val="002C278C"/>
    <w:pPr>
      <w:widowControl w:val="0"/>
      <w:autoSpaceDE w:val="0"/>
      <w:autoSpaceDN w:val="0"/>
      <w:adjustRightInd w:val="0"/>
      <w:ind w:firstLine="210"/>
    </w:pPr>
    <w:rPr>
      <w:szCs w:val="20"/>
    </w:rPr>
  </w:style>
  <w:style w:type="character" w:customStyle="1" w:styleId="BodyTextFirstIndentChar">
    <w:name w:val="Body Text First Indent Char"/>
    <w:basedOn w:val="BodyTextChar"/>
    <w:link w:val="BodyTextFirstIndent"/>
    <w:rsid w:val="002C278C"/>
    <w:rPr>
      <w:rFonts w:ascii="Times New Roman" w:eastAsia="Times New Roman" w:hAnsi="Times New Roman" w:cs="Times New Roman"/>
      <w:sz w:val="24"/>
      <w:szCs w:val="20"/>
    </w:rPr>
  </w:style>
  <w:style w:type="paragraph" w:styleId="NormalWeb">
    <w:name w:val="Normal (Web)"/>
    <w:basedOn w:val="Normal"/>
    <w:uiPriority w:val="99"/>
    <w:unhideWhenUsed/>
    <w:rsid w:val="004054ED"/>
    <w:pPr>
      <w:spacing w:before="100" w:beforeAutospacing="1" w:after="100" w:afterAutospacing="1"/>
    </w:pPr>
  </w:style>
  <w:style w:type="character" w:customStyle="1" w:styleId="apple-converted-space">
    <w:name w:val="apple-converted-space"/>
    <w:basedOn w:val="DefaultParagraphFont"/>
    <w:rsid w:val="004054ED"/>
  </w:style>
  <w:style w:type="paragraph" w:customStyle="1" w:styleId="SectionHeading">
    <w:name w:val="Section Heading"/>
    <w:basedOn w:val="Normal"/>
    <w:rsid w:val="004054ED"/>
    <w:rPr>
      <w:rFonts w:ascii="Book Antiqua" w:hAnsi="Book Antiqua"/>
      <w:b/>
      <w:szCs w:val="20"/>
    </w:rPr>
  </w:style>
  <w:style w:type="character" w:styleId="Strong">
    <w:name w:val="Strong"/>
    <w:basedOn w:val="DefaultParagraphFont"/>
    <w:uiPriority w:val="22"/>
    <w:qFormat/>
    <w:rsid w:val="0059509A"/>
    <w:rPr>
      <w:b/>
      <w:bCs/>
    </w:rPr>
  </w:style>
  <w:style w:type="character" w:customStyle="1" w:styleId="Heading2Char">
    <w:name w:val="Heading 2 Char"/>
    <w:basedOn w:val="DefaultParagraphFont"/>
    <w:link w:val="Heading2"/>
    <w:uiPriority w:val="9"/>
    <w:semiHidden/>
    <w:rsid w:val="00420413"/>
    <w:rPr>
      <w:rFonts w:asciiTheme="majorHAnsi" w:eastAsiaTheme="majorEastAsia" w:hAnsiTheme="majorHAnsi" w:cstheme="majorBidi"/>
      <w:color w:val="365F91" w:themeColor="accent1" w:themeShade="BF"/>
      <w:sz w:val="26"/>
      <w:szCs w:val="26"/>
    </w:rPr>
  </w:style>
  <w:style w:type="character" w:customStyle="1" w:styleId="volume">
    <w:name w:val="volume"/>
    <w:basedOn w:val="DefaultParagraphFont"/>
    <w:rsid w:val="000B6821"/>
  </w:style>
  <w:style w:type="character" w:customStyle="1" w:styleId="page">
    <w:name w:val="page"/>
    <w:basedOn w:val="DefaultParagraphFont"/>
    <w:rsid w:val="000B6821"/>
  </w:style>
  <w:style w:type="paragraph" w:customStyle="1" w:styleId="Default">
    <w:name w:val="Default"/>
    <w:rsid w:val="00C77D16"/>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unhideWhenUsed/>
    <w:rsid w:val="002D4F5F"/>
    <w:rPr>
      <w:rFonts w:ascii="Calibri" w:eastAsiaTheme="minorEastAsia" w:hAnsi="Calibri" w:cstheme="minorBidi"/>
      <w:sz w:val="22"/>
      <w:szCs w:val="21"/>
      <w:lang w:eastAsia="zh-CN"/>
    </w:rPr>
  </w:style>
  <w:style w:type="character" w:customStyle="1" w:styleId="PlainTextChar">
    <w:name w:val="Plain Text Char"/>
    <w:basedOn w:val="DefaultParagraphFont"/>
    <w:link w:val="PlainText"/>
    <w:uiPriority w:val="99"/>
    <w:rsid w:val="002D4F5F"/>
    <w:rPr>
      <w:rFonts w:ascii="Calibri" w:eastAsiaTheme="minorEastAsia" w:hAnsi="Calibri"/>
      <w:szCs w:val="21"/>
      <w:lang w:eastAsia="zh-CN"/>
    </w:rPr>
  </w:style>
  <w:style w:type="character" w:styleId="UnresolvedMention">
    <w:name w:val="Unresolved Mention"/>
    <w:basedOn w:val="DefaultParagraphFont"/>
    <w:uiPriority w:val="99"/>
    <w:semiHidden/>
    <w:unhideWhenUsed/>
    <w:rsid w:val="00FE19F2"/>
    <w:rPr>
      <w:color w:val="605E5C"/>
      <w:shd w:val="clear" w:color="auto" w:fill="E1DFDD"/>
    </w:rPr>
  </w:style>
  <w:style w:type="character" w:customStyle="1" w:styleId="Heading1Char">
    <w:name w:val="Heading 1 Char"/>
    <w:basedOn w:val="DefaultParagraphFont"/>
    <w:link w:val="Heading1"/>
    <w:uiPriority w:val="9"/>
    <w:rsid w:val="009D6F6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80229">
      <w:bodyDiv w:val="1"/>
      <w:marLeft w:val="0"/>
      <w:marRight w:val="0"/>
      <w:marTop w:val="0"/>
      <w:marBottom w:val="0"/>
      <w:divBdr>
        <w:top w:val="none" w:sz="0" w:space="0" w:color="auto"/>
        <w:left w:val="none" w:sz="0" w:space="0" w:color="auto"/>
        <w:bottom w:val="none" w:sz="0" w:space="0" w:color="auto"/>
        <w:right w:val="none" w:sz="0" w:space="0" w:color="auto"/>
      </w:divBdr>
      <w:divsChild>
        <w:div w:id="1526165749">
          <w:marLeft w:val="0"/>
          <w:marRight w:val="0"/>
          <w:marTop w:val="0"/>
          <w:marBottom w:val="0"/>
          <w:divBdr>
            <w:top w:val="none" w:sz="0" w:space="0" w:color="auto"/>
            <w:left w:val="none" w:sz="0" w:space="0" w:color="auto"/>
            <w:bottom w:val="none" w:sz="0" w:space="0" w:color="auto"/>
            <w:right w:val="none" w:sz="0" w:space="0" w:color="auto"/>
          </w:divBdr>
          <w:divsChild>
            <w:div w:id="1667856054">
              <w:marLeft w:val="0"/>
              <w:marRight w:val="0"/>
              <w:marTop w:val="0"/>
              <w:marBottom w:val="0"/>
              <w:divBdr>
                <w:top w:val="none" w:sz="0" w:space="0" w:color="auto"/>
                <w:left w:val="none" w:sz="0" w:space="0" w:color="auto"/>
                <w:bottom w:val="none" w:sz="0" w:space="0" w:color="auto"/>
                <w:right w:val="none" w:sz="0" w:space="0" w:color="auto"/>
              </w:divBdr>
              <w:divsChild>
                <w:div w:id="789935685">
                  <w:marLeft w:val="0"/>
                  <w:marRight w:val="0"/>
                  <w:marTop w:val="0"/>
                  <w:marBottom w:val="0"/>
                  <w:divBdr>
                    <w:top w:val="none" w:sz="0" w:space="0" w:color="auto"/>
                    <w:left w:val="none" w:sz="0" w:space="0" w:color="auto"/>
                    <w:bottom w:val="none" w:sz="0" w:space="0" w:color="auto"/>
                    <w:right w:val="none" w:sz="0" w:space="0" w:color="auto"/>
                  </w:divBdr>
                  <w:divsChild>
                    <w:div w:id="777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94043">
      <w:bodyDiv w:val="1"/>
      <w:marLeft w:val="0"/>
      <w:marRight w:val="0"/>
      <w:marTop w:val="0"/>
      <w:marBottom w:val="0"/>
      <w:divBdr>
        <w:top w:val="none" w:sz="0" w:space="0" w:color="auto"/>
        <w:left w:val="none" w:sz="0" w:space="0" w:color="auto"/>
        <w:bottom w:val="none" w:sz="0" w:space="0" w:color="auto"/>
        <w:right w:val="none" w:sz="0" w:space="0" w:color="auto"/>
      </w:divBdr>
    </w:div>
    <w:div w:id="224799147">
      <w:bodyDiv w:val="1"/>
      <w:marLeft w:val="0"/>
      <w:marRight w:val="0"/>
      <w:marTop w:val="0"/>
      <w:marBottom w:val="0"/>
      <w:divBdr>
        <w:top w:val="none" w:sz="0" w:space="0" w:color="auto"/>
        <w:left w:val="none" w:sz="0" w:space="0" w:color="auto"/>
        <w:bottom w:val="none" w:sz="0" w:space="0" w:color="auto"/>
        <w:right w:val="none" w:sz="0" w:space="0" w:color="auto"/>
      </w:divBdr>
    </w:div>
    <w:div w:id="225386045">
      <w:bodyDiv w:val="1"/>
      <w:marLeft w:val="0"/>
      <w:marRight w:val="0"/>
      <w:marTop w:val="0"/>
      <w:marBottom w:val="0"/>
      <w:divBdr>
        <w:top w:val="none" w:sz="0" w:space="0" w:color="auto"/>
        <w:left w:val="none" w:sz="0" w:space="0" w:color="auto"/>
        <w:bottom w:val="none" w:sz="0" w:space="0" w:color="auto"/>
        <w:right w:val="none" w:sz="0" w:space="0" w:color="auto"/>
      </w:divBdr>
    </w:div>
    <w:div w:id="288778615">
      <w:bodyDiv w:val="1"/>
      <w:marLeft w:val="0"/>
      <w:marRight w:val="0"/>
      <w:marTop w:val="0"/>
      <w:marBottom w:val="0"/>
      <w:divBdr>
        <w:top w:val="none" w:sz="0" w:space="0" w:color="auto"/>
        <w:left w:val="none" w:sz="0" w:space="0" w:color="auto"/>
        <w:bottom w:val="none" w:sz="0" w:space="0" w:color="auto"/>
        <w:right w:val="none" w:sz="0" w:space="0" w:color="auto"/>
      </w:divBdr>
    </w:div>
    <w:div w:id="347411554">
      <w:bodyDiv w:val="1"/>
      <w:marLeft w:val="0"/>
      <w:marRight w:val="0"/>
      <w:marTop w:val="0"/>
      <w:marBottom w:val="0"/>
      <w:divBdr>
        <w:top w:val="none" w:sz="0" w:space="0" w:color="auto"/>
        <w:left w:val="none" w:sz="0" w:space="0" w:color="auto"/>
        <w:bottom w:val="none" w:sz="0" w:space="0" w:color="auto"/>
        <w:right w:val="none" w:sz="0" w:space="0" w:color="auto"/>
      </w:divBdr>
    </w:div>
    <w:div w:id="352462688">
      <w:bodyDiv w:val="1"/>
      <w:marLeft w:val="0"/>
      <w:marRight w:val="0"/>
      <w:marTop w:val="0"/>
      <w:marBottom w:val="0"/>
      <w:divBdr>
        <w:top w:val="none" w:sz="0" w:space="0" w:color="auto"/>
        <w:left w:val="none" w:sz="0" w:space="0" w:color="auto"/>
        <w:bottom w:val="none" w:sz="0" w:space="0" w:color="auto"/>
        <w:right w:val="none" w:sz="0" w:space="0" w:color="auto"/>
      </w:divBdr>
    </w:div>
    <w:div w:id="368917856">
      <w:bodyDiv w:val="1"/>
      <w:marLeft w:val="0"/>
      <w:marRight w:val="0"/>
      <w:marTop w:val="0"/>
      <w:marBottom w:val="0"/>
      <w:divBdr>
        <w:top w:val="none" w:sz="0" w:space="0" w:color="auto"/>
        <w:left w:val="none" w:sz="0" w:space="0" w:color="auto"/>
        <w:bottom w:val="none" w:sz="0" w:space="0" w:color="auto"/>
        <w:right w:val="none" w:sz="0" w:space="0" w:color="auto"/>
      </w:divBdr>
    </w:div>
    <w:div w:id="377048603">
      <w:bodyDiv w:val="1"/>
      <w:marLeft w:val="0"/>
      <w:marRight w:val="0"/>
      <w:marTop w:val="0"/>
      <w:marBottom w:val="0"/>
      <w:divBdr>
        <w:top w:val="none" w:sz="0" w:space="0" w:color="auto"/>
        <w:left w:val="none" w:sz="0" w:space="0" w:color="auto"/>
        <w:bottom w:val="none" w:sz="0" w:space="0" w:color="auto"/>
        <w:right w:val="none" w:sz="0" w:space="0" w:color="auto"/>
      </w:divBdr>
    </w:div>
    <w:div w:id="382675045">
      <w:bodyDiv w:val="1"/>
      <w:marLeft w:val="0"/>
      <w:marRight w:val="0"/>
      <w:marTop w:val="0"/>
      <w:marBottom w:val="0"/>
      <w:divBdr>
        <w:top w:val="none" w:sz="0" w:space="0" w:color="auto"/>
        <w:left w:val="none" w:sz="0" w:space="0" w:color="auto"/>
        <w:bottom w:val="none" w:sz="0" w:space="0" w:color="auto"/>
        <w:right w:val="none" w:sz="0" w:space="0" w:color="auto"/>
      </w:divBdr>
    </w:div>
    <w:div w:id="602760063">
      <w:bodyDiv w:val="1"/>
      <w:marLeft w:val="0"/>
      <w:marRight w:val="0"/>
      <w:marTop w:val="0"/>
      <w:marBottom w:val="0"/>
      <w:divBdr>
        <w:top w:val="none" w:sz="0" w:space="0" w:color="auto"/>
        <w:left w:val="none" w:sz="0" w:space="0" w:color="auto"/>
        <w:bottom w:val="none" w:sz="0" w:space="0" w:color="auto"/>
        <w:right w:val="none" w:sz="0" w:space="0" w:color="auto"/>
      </w:divBdr>
    </w:div>
    <w:div w:id="770006024">
      <w:bodyDiv w:val="1"/>
      <w:marLeft w:val="0"/>
      <w:marRight w:val="0"/>
      <w:marTop w:val="0"/>
      <w:marBottom w:val="0"/>
      <w:divBdr>
        <w:top w:val="none" w:sz="0" w:space="0" w:color="auto"/>
        <w:left w:val="none" w:sz="0" w:space="0" w:color="auto"/>
        <w:bottom w:val="none" w:sz="0" w:space="0" w:color="auto"/>
        <w:right w:val="none" w:sz="0" w:space="0" w:color="auto"/>
      </w:divBdr>
      <w:divsChild>
        <w:div w:id="868765606">
          <w:marLeft w:val="0"/>
          <w:marRight w:val="0"/>
          <w:marTop w:val="0"/>
          <w:marBottom w:val="0"/>
          <w:divBdr>
            <w:top w:val="none" w:sz="0" w:space="0" w:color="auto"/>
            <w:left w:val="none" w:sz="0" w:space="0" w:color="auto"/>
            <w:bottom w:val="none" w:sz="0" w:space="0" w:color="auto"/>
            <w:right w:val="none" w:sz="0" w:space="0" w:color="auto"/>
          </w:divBdr>
          <w:divsChild>
            <w:div w:id="1416318883">
              <w:marLeft w:val="-240"/>
              <w:marRight w:val="-240"/>
              <w:marTop w:val="0"/>
              <w:marBottom w:val="0"/>
              <w:divBdr>
                <w:top w:val="none" w:sz="0" w:space="0" w:color="auto"/>
                <w:left w:val="none" w:sz="0" w:space="0" w:color="auto"/>
                <w:bottom w:val="none" w:sz="0" w:space="0" w:color="auto"/>
                <w:right w:val="none" w:sz="0" w:space="0" w:color="auto"/>
              </w:divBdr>
              <w:divsChild>
                <w:div w:id="1844974312">
                  <w:marLeft w:val="0"/>
                  <w:marRight w:val="0"/>
                  <w:marTop w:val="0"/>
                  <w:marBottom w:val="0"/>
                  <w:divBdr>
                    <w:top w:val="none" w:sz="0" w:space="0" w:color="auto"/>
                    <w:left w:val="none" w:sz="0" w:space="0" w:color="auto"/>
                    <w:bottom w:val="none" w:sz="0" w:space="0" w:color="auto"/>
                    <w:right w:val="none" w:sz="0" w:space="0" w:color="auto"/>
                  </w:divBdr>
                  <w:divsChild>
                    <w:div w:id="997422501">
                      <w:marLeft w:val="0"/>
                      <w:marRight w:val="0"/>
                      <w:marTop w:val="0"/>
                      <w:marBottom w:val="0"/>
                      <w:divBdr>
                        <w:top w:val="none" w:sz="0" w:space="0" w:color="auto"/>
                        <w:left w:val="none" w:sz="0" w:space="0" w:color="auto"/>
                        <w:bottom w:val="none" w:sz="0" w:space="0" w:color="auto"/>
                        <w:right w:val="none" w:sz="0" w:space="0" w:color="auto"/>
                      </w:divBdr>
                      <w:divsChild>
                        <w:div w:id="1497913395">
                          <w:marLeft w:val="0"/>
                          <w:marRight w:val="0"/>
                          <w:marTop w:val="0"/>
                          <w:marBottom w:val="0"/>
                          <w:divBdr>
                            <w:top w:val="none" w:sz="0" w:space="0" w:color="auto"/>
                            <w:left w:val="none" w:sz="0" w:space="0" w:color="auto"/>
                            <w:bottom w:val="none" w:sz="0" w:space="0" w:color="auto"/>
                            <w:right w:val="none" w:sz="0" w:space="0" w:color="auto"/>
                          </w:divBdr>
                          <w:divsChild>
                            <w:div w:id="90912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282335">
      <w:bodyDiv w:val="1"/>
      <w:marLeft w:val="0"/>
      <w:marRight w:val="0"/>
      <w:marTop w:val="0"/>
      <w:marBottom w:val="0"/>
      <w:divBdr>
        <w:top w:val="none" w:sz="0" w:space="0" w:color="auto"/>
        <w:left w:val="none" w:sz="0" w:space="0" w:color="auto"/>
        <w:bottom w:val="none" w:sz="0" w:space="0" w:color="auto"/>
        <w:right w:val="none" w:sz="0" w:space="0" w:color="auto"/>
      </w:divBdr>
    </w:div>
    <w:div w:id="849217160">
      <w:bodyDiv w:val="1"/>
      <w:marLeft w:val="0"/>
      <w:marRight w:val="0"/>
      <w:marTop w:val="0"/>
      <w:marBottom w:val="0"/>
      <w:divBdr>
        <w:top w:val="none" w:sz="0" w:space="0" w:color="auto"/>
        <w:left w:val="none" w:sz="0" w:space="0" w:color="auto"/>
        <w:bottom w:val="none" w:sz="0" w:space="0" w:color="auto"/>
        <w:right w:val="none" w:sz="0" w:space="0" w:color="auto"/>
      </w:divBdr>
    </w:div>
    <w:div w:id="1007907438">
      <w:bodyDiv w:val="1"/>
      <w:marLeft w:val="0"/>
      <w:marRight w:val="0"/>
      <w:marTop w:val="0"/>
      <w:marBottom w:val="0"/>
      <w:divBdr>
        <w:top w:val="none" w:sz="0" w:space="0" w:color="auto"/>
        <w:left w:val="none" w:sz="0" w:space="0" w:color="auto"/>
        <w:bottom w:val="none" w:sz="0" w:space="0" w:color="auto"/>
        <w:right w:val="none" w:sz="0" w:space="0" w:color="auto"/>
      </w:divBdr>
    </w:div>
    <w:div w:id="1545365887">
      <w:bodyDiv w:val="1"/>
      <w:marLeft w:val="0"/>
      <w:marRight w:val="0"/>
      <w:marTop w:val="0"/>
      <w:marBottom w:val="0"/>
      <w:divBdr>
        <w:top w:val="none" w:sz="0" w:space="0" w:color="auto"/>
        <w:left w:val="none" w:sz="0" w:space="0" w:color="auto"/>
        <w:bottom w:val="none" w:sz="0" w:space="0" w:color="auto"/>
        <w:right w:val="none" w:sz="0" w:space="0" w:color="auto"/>
      </w:divBdr>
    </w:div>
    <w:div w:id="1565482306">
      <w:bodyDiv w:val="1"/>
      <w:marLeft w:val="0"/>
      <w:marRight w:val="0"/>
      <w:marTop w:val="0"/>
      <w:marBottom w:val="0"/>
      <w:divBdr>
        <w:top w:val="none" w:sz="0" w:space="0" w:color="auto"/>
        <w:left w:val="none" w:sz="0" w:space="0" w:color="auto"/>
        <w:bottom w:val="none" w:sz="0" w:space="0" w:color="auto"/>
        <w:right w:val="none" w:sz="0" w:space="0" w:color="auto"/>
      </w:divBdr>
    </w:div>
    <w:div w:id="1589997671">
      <w:bodyDiv w:val="1"/>
      <w:marLeft w:val="0"/>
      <w:marRight w:val="0"/>
      <w:marTop w:val="0"/>
      <w:marBottom w:val="0"/>
      <w:divBdr>
        <w:top w:val="none" w:sz="0" w:space="0" w:color="auto"/>
        <w:left w:val="none" w:sz="0" w:space="0" w:color="auto"/>
        <w:bottom w:val="none" w:sz="0" w:space="0" w:color="auto"/>
        <w:right w:val="none" w:sz="0" w:space="0" w:color="auto"/>
      </w:divBdr>
    </w:div>
    <w:div w:id="1619680103">
      <w:bodyDiv w:val="1"/>
      <w:marLeft w:val="0"/>
      <w:marRight w:val="0"/>
      <w:marTop w:val="0"/>
      <w:marBottom w:val="0"/>
      <w:divBdr>
        <w:top w:val="none" w:sz="0" w:space="0" w:color="auto"/>
        <w:left w:val="none" w:sz="0" w:space="0" w:color="auto"/>
        <w:bottom w:val="none" w:sz="0" w:space="0" w:color="auto"/>
        <w:right w:val="none" w:sz="0" w:space="0" w:color="auto"/>
      </w:divBdr>
    </w:div>
    <w:div w:id="1660035118">
      <w:bodyDiv w:val="1"/>
      <w:marLeft w:val="0"/>
      <w:marRight w:val="0"/>
      <w:marTop w:val="0"/>
      <w:marBottom w:val="0"/>
      <w:divBdr>
        <w:top w:val="none" w:sz="0" w:space="0" w:color="auto"/>
        <w:left w:val="none" w:sz="0" w:space="0" w:color="auto"/>
        <w:bottom w:val="none" w:sz="0" w:space="0" w:color="auto"/>
        <w:right w:val="none" w:sz="0" w:space="0" w:color="auto"/>
      </w:divBdr>
      <w:divsChild>
        <w:div w:id="1020736018">
          <w:marLeft w:val="0"/>
          <w:marRight w:val="0"/>
          <w:marTop w:val="0"/>
          <w:marBottom w:val="0"/>
          <w:divBdr>
            <w:top w:val="none" w:sz="0" w:space="0" w:color="auto"/>
            <w:left w:val="none" w:sz="0" w:space="0" w:color="auto"/>
            <w:bottom w:val="none" w:sz="0" w:space="0" w:color="auto"/>
            <w:right w:val="none" w:sz="0" w:space="0" w:color="auto"/>
          </w:divBdr>
          <w:divsChild>
            <w:div w:id="630064040">
              <w:marLeft w:val="0"/>
              <w:marRight w:val="0"/>
              <w:marTop w:val="0"/>
              <w:marBottom w:val="0"/>
              <w:divBdr>
                <w:top w:val="none" w:sz="0" w:space="0" w:color="auto"/>
                <w:left w:val="none" w:sz="0" w:space="0" w:color="auto"/>
                <w:bottom w:val="none" w:sz="0" w:space="0" w:color="auto"/>
                <w:right w:val="none" w:sz="0" w:space="0" w:color="auto"/>
              </w:divBdr>
              <w:divsChild>
                <w:div w:id="2034527077">
                  <w:marLeft w:val="0"/>
                  <w:marRight w:val="0"/>
                  <w:marTop w:val="0"/>
                  <w:marBottom w:val="0"/>
                  <w:divBdr>
                    <w:top w:val="none" w:sz="0" w:space="0" w:color="auto"/>
                    <w:left w:val="none" w:sz="0" w:space="0" w:color="auto"/>
                    <w:bottom w:val="none" w:sz="0" w:space="0" w:color="auto"/>
                    <w:right w:val="none" w:sz="0" w:space="0" w:color="auto"/>
                  </w:divBdr>
                  <w:divsChild>
                    <w:div w:id="17745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319933">
      <w:bodyDiv w:val="1"/>
      <w:marLeft w:val="0"/>
      <w:marRight w:val="0"/>
      <w:marTop w:val="0"/>
      <w:marBottom w:val="0"/>
      <w:divBdr>
        <w:top w:val="none" w:sz="0" w:space="0" w:color="auto"/>
        <w:left w:val="none" w:sz="0" w:space="0" w:color="auto"/>
        <w:bottom w:val="none" w:sz="0" w:space="0" w:color="auto"/>
        <w:right w:val="none" w:sz="0" w:space="0" w:color="auto"/>
      </w:divBdr>
      <w:divsChild>
        <w:div w:id="627472195">
          <w:marLeft w:val="0"/>
          <w:marRight w:val="0"/>
          <w:marTop w:val="0"/>
          <w:marBottom w:val="0"/>
          <w:divBdr>
            <w:top w:val="none" w:sz="0" w:space="0" w:color="auto"/>
            <w:left w:val="none" w:sz="0" w:space="0" w:color="auto"/>
            <w:bottom w:val="none" w:sz="0" w:space="0" w:color="auto"/>
            <w:right w:val="none" w:sz="0" w:space="0" w:color="auto"/>
          </w:divBdr>
          <w:divsChild>
            <w:div w:id="3750857">
              <w:marLeft w:val="0"/>
              <w:marRight w:val="0"/>
              <w:marTop w:val="0"/>
              <w:marBottom w:val="0"/>
              <w:divBdr>
                <w:top w:val="none" w:sz="0" w:space="0" w:color="auto"/>
                <w:left w:val="none" w:sz="0" w:space="0" w:color="auto"/>
                <w:bottom w:val="none" w:sz="0" w:space="0" w:color="auto"/>
                <w:right w:val="none" w:sz="0" w:space="0" w:color="auto"/>
              </w:divBdr>
              <w:divsChild>
                <w:div w:id="781807340">
                  <w:marLeft w:val="0"/>
                  <w:marRight w:val="0"/>
                  <w:marTop w:val="0"/>
                  <w:marBottom w:val="0"/>
                  <w:divBdr>
                    <w:top w:val="none" w:sz="0" w:space="0" w:color="auto"/>
                    <w:left w:val="none" w:sz="0" w:space="0" w:color="auto"/>
                    <w:bottom w:val="none" w:sz="0" w:space="0" w:color="auto"/>
                    <w:right w:val="none" w:sz="0" w:space="0" w:color="auto"/>
                  </w:divBdr>
                  <w:divsChild>
                    <w:div w:id="1491409389">
                      <w:marLeft w:val="0"/>
                      <w:marRight w:val="0"/>
                      <w:marTop w:val="0"/>
                      <w:marBottom w:val="0"/>
                      <w:divBdr>
                        <w:top w:val="none" w:sz="0" w:space="0" w:color="auto"/>
                        <w:left w:val="none" w:sz="0" w:space="0" w:color="auto"/>
                        <w:bottom w:val="none" w:sz="0" w:space="0" w:color="auto"/>
                        <w:right w:val="none" w:sz="0" w:space="0" w:color="auto"/>
                      </w:divBdr>
                      <w:divsChild>
                        <w:div w:id="1010178756">
                          <w:marLeft w:val="0"/>
                          <w:marRight w:val="0"/>
                          <w:marTop w:val="0"/>
                          <w:marBottom w:val="0"/>
                          <w:divBdr>
                            <w:top w:val="none" w:sz="0" w:space="0" w:color="auto"/>
                            <w:left w:val="none" w:sz="0" w:space="0" w:color="auto"/>
                            <w:bottom w:val="none" w:sz="0" w:space="0" w:color="auto"/>
                            <w:right w:val="none" w:sz="0" w:space="0" w:color="auto"/>
                          </w:divBdr>
                          <w:divsChild>
                            <w:div w:id="1961105050">
                              <w:marLeft w:val="0"/>
                              <w:marRight w:val="0"/>
                              <w:marTop w:val="0"/>
                              <w:marBottom w:val="0"/>
                              <w:divBdr>
                                <w:top w:val="none" w:sz="0" w:space="0" w:color="auto"/>
                                <w:left w:val="none" w:sz="0" w:space="0" w:color="auto"/>
                                <w:bottom w:val="none" w:sz="0" w:space="0" w:color="auto"/>
                                <w:right w:val="none" w:sz="0" w:space="0" w:color="auto"/>
                              </w:divBdr>
                              <w:divsChild>
                                <w:div w:id="156850038">
                                  <w:marLeft w:val="0"/>
                                  <w:marRight w:val="0"/>
                                  <w:marTop w:val="0"/>
                                  <w:marBottom w:val="0"/>
                                  <w:divBdr>
                                    <w:top w:val="none" w:sz="0" w:space="0" w:color="auto"/>
                                    <w:left w:val="none" w:sz="0" w:space="0" w:color="auto"/>
                                    <w:bottom w:val="none" w:sz="0" w:space="0" w:color="auto"/>
                                    <w:right w:val="none" w:sz="0" w:space="0" w:color="auto"/>
                                  </w:divBdr>
                                  <w:divsChild>
                                    <w:div w:id="709111238">
                                      <w:marLeft w:val="0"/>
                                      <w:marRight w:val="0"/>
                                      <w:marTop w:val="0"/>
                                      <w:marBottom w:val="0"/>
                                      <w:divBdr>
                                        <w:top w:val="none" w:sz="0" w:space="0" w:color="auto"/>
                                        <w:left w:val="none" w:sz="0" w:space="0" w:color="auto"/>
                                        <w:bottom w:val="none" w:sz="0" w:space="0" w:color="auto"/>
                                        <w:right w:val="none" w:sz="0" w:space="0" w:color="auto"/>
                                      </w:divBdr>
                                      <w:divsChild>
                                        <w:div w:id="2056585978">
                                          <w:marLeft w:val="0"/>
                                          <w:marRight w:val="0"/>
                                          <w:marTop w:val="0"/>
                                          <w:marBottom w:val="0"/>
                                          <w:divBdr>
                                            <w:top w:val="none" w:sz="0" w:space="0" w:color="auto"/>
                                            <w:left w:val="none" w:sz="0" w:space="0" w:color="auto"/>
                                            <w:bottom w:val="none" w:sz="0" w:space="0" w:color="auto"/>
                                            <w:right w:val="none" w:sz="0" w:space="0" w:color="auto"/>
                                          </w:divBdr>
                                          <w:divsChild>
                                            <w:div w:id="13422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323786">
      <w:bodyDiv w:val="1"/>
      <w:marLeft w:val="0"/>
      <w:marRight w:val="0"/>
      <w:marTop w:val="0"/>
      <w:marBottom w:val="0"/>
      <w:divBdr>
        <w:top w:val="none" w:sz="0" w:space="0" w:color="auto"/>
        <w:left w:val="none" w:sz="0" w:space="0" w:color="auto"/>
        <w:bottom w:val="none" w:sz="0" w:space="0" w:color="auto"/>
        <w:right w:val="none" w:sz="0" w:space="0" w:color="auto"/>
      </w:divBdr>
    </w:div>
    <w:div w:id="1824809951">
      <w:bodyDiv w:val="1"/>
      <w:marLeft w:val="0"/>
      <w:marRight w:val="0"/>
      <w:marTop w:val="0"/>
      <w:marBottom w:val="0"/>
      <w:divBdr>
        <w:top w:val="none" w:sz="0" w:space="0" w:color="auto"/>
        <w:left w:val="none" w:sz="0" w:space="0" w:color="auto"/>
        <w:bottom w:val="none" w:sz="0" w:space="0" w:color="auto"/>
        <w:right w:val="none" w:sz="0" w:space="0" w:color="auto"/>
      </w:divBdr>
    </w:div>
    <w:div w:id="2057467384">
      <w:bodyDiv w:val="1"/>
      <w:marLeft w:val="0"/>
      <w:marRight w:val="0"/>
      <w:marTop w:val="0"/>
      <w:marBottom w:val="0"/>
      <w:divBdr>
        <w:top w:val="none" w:sz="0" w:space="0" w:color="auto"/>
        <w:left w:val="none" w:sz="0" w:space="0" w:color="auto"/>
        <w:bottom w:val="none" w:sz="0" w:space="0" w:color="auto"/>
        <w:right w:val="none" w:sz="0" w:space="0" w:color="auto"/>
      </w:divBdr>
    </w:div>
    <w:div w:id="208039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www.regulations.gov/document?D=EPA_FRDOC_0001-24444" TargetMode="External"/><Relationship Id="rId26" Type="http://schemas.openxmlformats.org/officeDocument/2006/relationships/hyperlink" Target="https://uscode.house.gov/view.xhtml?hl=false&amp;edition=prelim&amp;path=%2Fprelim%40title7%2Fchapter6%2Fsubchapter2&amp;req=granuleid%3AUSC-prelim-title7-section136w-8&amp;num=0&amp;saved=L3ByZWxpbUB0aXRsZTcvY2hhcHRlcjYvc3ViY2hhcHRlcjI%3D%7CZ3JhbnVsZWlkOlVTQy1wcmVsaW0tdGl0bGU3LWNoYXB0ZXI2LXN1YmNoYXB0ZXIy%7C%7C%7C0%7Cfalse%7Cprelim" TargetMode="External"/><Relationship Id="rId3" Type="http://schemas.openxmlformats.org/officeDocument/2006/relationships/customXml" Target="../customXml/item3.xml"/><Relationship Id="rId21" Type="http://schemas.openxmlformats.org/officeDocument/2006/relationships/hyperlink" Target="http://www.regulations.gov" TargetMode="Externa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links.govdelivery.com:80/track?type=click&amp;enid=ZWFzPTEmbXNpZD0mYXVpZD0mbWFpbGluZ2lkPTIwMTkxMDAyLjEwOTc3NzcxJm1lc3NhZ2VpZD1NREItUFJELUJVTC0yMDE5MTAwMi4xMDk3Nzc3MSZkYXRhYmFzZWlkPTEwMDEmc2VyaWFsPTE2Nzk0MDI1JmVtYWlsaWQ9a29sbGVyLmNhbGxpZUBlcGEuZ292JnVzZXJpZD1rb2xsZXIuY2FsbGllQGVwYS5nb3YmdGFyZ2V0aWQ9JmZsPSZtdmlkPSZleHRyYT0mJiY=&amp;&amp;&amp;104&amp;&amp;&amp;https://www.regulations.gov/docket?D=EPA-HQ-OPP-2018-0265" TargetMode="External"/><Relationship Id="rId25" Type="http://schemas.openxmlformats.org/officeDocument/2006/relationships/hyperlink" Target="http://uscode.house.gov/view.xhtml?hl=false&amp;edition=prelim&amp;path=%2Fprelim%40title7%2Fchapter6%2Fsubchapter2&amp;req=granuleid%3AUSC-prelim-title7-section136w-8&amp;num=0&amp;saved=L3ByZWxpbUB0aXRsZTcvY2hhcHRlcjYvc3ViY2hhcHRlcjI%3D%7CZ3JhbnVsZWlkOlVTQy1wcmVsaW0tdGl0bGU3LWNoYXB0ZXI2LXN1YmNoYXB0ZXIy%7C%7C%7C0%7Cfalse%7Cprelim" TargetMode="External"/><Relationship Id="rId33" Type="http://schemas.openxmlformats.org/officeDocument/2006/relationships/hyperlink" Target="https://www.ecfr.gov/cgi-bin/text-idx?SID=acde416ef7c416ec92c63b02c82911b8&amp;mc=true&amp;node=pt40.1.9&amp;rgn=div5" TargetMode="External"/><Relationship Id="rId2" Type="http://schemas.openxmlformats.org/officeDocument/2006/relationships/customXml" Target="../customXml/item2.xml"/><Relationship Id="rId16" Type="http://schemas.openxmlformats.org/officeDocument/2006/relationships/hyperlink" Target="https://www.epa.gov/sites/production/files/2016-09/documents/_epaoig_20160919-16-p-0316.pdf" TargetMode="External"/><Relationship Id="rId20" Type="http://schemas.openxmlformats.org/officeDocument/2006/relationships/hyperlink" Target="http://www2.epa.gov/pesticide-registration/assembly-electronic-packages-and-discs" TargetMode="External"/><Relationship Id="rId29" Type="http://schemas.openxmlformats.org/officeDocument/2006/relationships/hyperlink" Target="http://www.epa.gov/PR_Notices/pr97-3.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uscode.house.gov/view.xhtml?path=/prelim@title7/chapter6&amp;edition=prelim" TargetMode="External"/><Relationship Id="rId32" Type="http://schemas.openxmlformats.org/officeDocument/2006/relationships/hyperlink" Target="https://www.ecfr.gov/cgi-bin/text-idx?SID=acde416ef7c416ec92c63b02c82911b8&amp;mc=true&amp;node=pt40.24.158&amp;rgn=div5"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2.epa.gov/pesticide-registration/prn-97-3-guidelines-expedited-review-conventional-pesticides-under-reduced" TargetMode="External"/><Relationship Id="rId23" Type="http://schemas.openxmlformats.org/officeDocument/2006/relationships/hyperlink" Target="https://uscode.house.gov/view.xhtml?path=/prelim@title7/chapter6&amp;edition=prelim" TargetMode="External"/><Relationship Id="rId28" Type="http://schemas.openxmlformats.org/officeDocument/2006/relationships/hyperlink" Target="https://www.epa.gov/pesticide-registration/pesticide-registration-manual-blank-forms" TargetMode="External"/><Relationship Id="rId36"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www2.epa.gov/pesticide-registration/electronic-submissions-pesticide-applications" TargetMode="External"/><Relationship Id="rId31" Type="http://schemas.openxmlformats.org/officeDocument/2006/relationships/hyperlink" Target="https://www.ecfr.gov/cgi-bin/text-idx?SID=acde416ef7c416ec92c63b02c82911b8&amp;mc=true&amp;node=pt40.24.156&amp;rgn=div5"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www.regulations.gov" TargetMode="External"/><Relationship Id="rId27" Type="http://schemas.openxmlformats.org/officeDocument/2006/relationships/hyperlink" Target="https://usepa-my.sharepoint.com/personal/johnson_amaris_epa_gov/Documents/ICR/OCSPP/2070-0060;%200277.20%20Pesticide%20Registration/DO%20Final%20Review/Available" TargetMode="External"/><Relationship Id="rId30" Type="http://schemas.openxmlformats.org/officeDocument/2006/relationships/hyperlink" Target="https://www.ecfr.gov/cgi-bin/text-idx?SID=acde416ef7c416ec92c63b02c82911b8&amp;mc=true&amp;node=pt40.24.152&amp;rgn=div5"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5" ma:contentTypeDescription="Create a new document." ma:contentTypeScope="" ma:versionID="42fead2d66f8f2da2ace1c5f10435cb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818d80bbc1cdb8990c11c3243ec2ca33"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SharedWithUsers xmlns="f15e4d92-675c-4df7-a5c5-11f59c7da362">
      <UserInfo>
        <DisplayName>Rosenblatt, Daniel</DisplayName>
        <AccountId>913</AccountId>
        <AccountType/>
      </UserInfo>
      <UserInfo>
        <DisplayName>Hill, Shaunta</DisplayName>
        <AccountId>884</AccountId>
        <AccountType/>
      </UserInfo>
      <UserInfo>
        <DisplayName>Schuler, Dominic</DisplayName>
        <AccountId>1208</AccountId>
        <AccountType/>
      </UserInfo>
      <UserInfo>
        <DisplayName>Forrest, Robert A</DisplayName>
        <AccountId>1231</AccountId>
        <AccountType/>
      </UserInfo>
      <UserInfo>
        <DisplayName>Schaible, Stephen</DisplayName>
        <AccountId>986</AccountId>
        <AccountType/>
      </UserInfo>
    </SharedWithUsers>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2020-09-24T17:57:43+00:00</Document_x0020_Creation_x0020_Date>
    <EPA_x0020_Office xmlns="4ffa91fb-a0ff-4ac5-b2db-65c790d184a4"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29f62856-1543-49d4-a736-4569d363f533"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F5C2D-B3D6-46E2-85CF-BF7D8E642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103DBB-561C-453A-9298-1E25588CEE08}">
  <ds:schemaRefs>
    <ds:schemaRef ds:uri="http://schemas.microsoft.com/sharepoint/v3/contenttype/forms"/>
  </ds:schemaRefs>
</ds:datastoreItem>
</file>

<file path=customXml/itemProps3.xml><?xml version="1.0" encoding="utf-8"?>
<ds:datastoreItem xmlns:ds="http://schemas.openxmlformats.org/officeDocument/2006/customXml" ds:itemID="{EF6B9B5D-6D9B-4C4C-9FBE-BC99A32DABE5}">
  <ds:schemaRefs>
    <ds:schemaRef ds:uri="http://schemas.microsoft.com/office/2006/metadata/properties"/>
    <ds:schemaRef ds:uri="http://schemas.microsoft.com/office/infopath/2007/PartnerControls"/>
    <ds:schemaRef ds:uri="http://schemas.microsoft.com/sharepoint.v3"/>
    <ds:schemaRef ds:uri="4ffa91fb-a0ff-4ac5-b2db-65c790d184a4"/>
    <ds:schemaRef ds:uri="f15e4d92-675c-4df7-a5c5-11f59c7da362"/>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CDD42ACB-D862-44CB-BBF9-5E74E22E57E7}">
  <ds:schemaRefs>
    <ds:schemaRef ds:uri="http://schemas.openxmlformats.org/officeDocument/2006/bibliography"/>
  </ds:schemaRefs>
</ds:datastoreItem>
</file>

<file path=customXml/itemProps5.xml><?xml version="1.0" encoding="utf-8"?>
<ds:datastoreItem xmlns:ds="http://schemas.openxmlformats.org/officeDocument/2006/customXml" ds:itemID="{2DB26418-19BE-46A0-88C7-7772E85E87FA}">
  <ds:schemaRefs>
    <ds:schemaRef ds:uri="http://schemas.openxmlformats.org/officeDocument/2006/bibliography"/>
  </ds:schemaRefs>
</ds:datastoreItem>
</file>

<file path=customXml/itemProps6.xml><?xml version="1.0" encoding="utf-8"?>
<ds:datastoreItem xmlns:ds="http://schemas.openxmlformats.org/officeDocument/2006/customXml" ds:itemID="{F33C32D4-9F80-4B7D-B422-8AC5043B96B1}">
  <ds:schemaRefs>
    <ds:schemaRef ds:uri="Microsoft.SharePoint.Taxonomy.ContentTypeSync"/>
  </ds:schemaRefs>
</ds:datastoreItem>
</file>

<file path=customXml/itemProps7.xml><?xml version="1.0" encoding="utf-8"?>
<ds:datastoreItem xmlns:ds="http://schemas.openxmlformats.org/officeDocument/2006/customXml" ds:itemID="{F617BD35-85D6-4899-974E-2807089BA486}">
  <ds:schemaRefs>
    <ds:schemaRef ds:uri="http://schemas.openxmlformats.org/officeDocument/2006/bibliography"/>
  </ds:schemaRefs>
</ds:datastoreItem>
</file>

<file path=customXml/itemProps8.xml><?xml version="1.0" encoding="utf-8"?>
<ds:datastoreItem xmlns:ds="http://schemas.openxmlformats.org/officeDocument/2006/customXml" ds:itemID="{9B593506-63AA-4867-A2A2-21185AC97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13030</Words>
  <Characters>74273</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87129</CharactersWithSpaces>
  <SharedDoc>false</SharedDoc>
  <HLinks>
    <vt:vector size="96" baseType="variant">
      <vt:variant>
        <vt:i4>6029330</vt:i4>
      </vt:variant>
      <vt:variant>
        <vt:i4>45</vt:i4>
      </vt:variant>
      <vt:variant>
        <vt:i4>0</vt:i4>
      </vt:variant>
      <vt:variant>
        <vt:i4>5</vt:i4>
      </vt:variant>
      <vt:variant>
        <vt:lpwstr>http://www.ecfr.gov/cgi-bin/text-idx?SID=acde416ef7c416ec92c63b02c82911b8&amp;mc=true&amp;node=pt40.1.9&amp;rgn=div5</vt:lpwstr>
      </vt:variant>
      <vt:variant>
        <vt:lpwstr/>
      </vt:variant>
      <vt:variant>
        <vt:i4>6357032</vt:i4>
      </vt:variant>
      <vt:variant>
        <vt:i4>42</vt:i4>
      </vt:variant>
      <vt:variant>
        <vt:i4>0</vt:i4>
      </vt:variant>
      <vt:variant>
        <vt:i4>5</vt:i4>
      </vt:variant>
      <vt:variant>
        <vt:lpwstr>http://www.ecfr.gov/cgi-bin/text-idx?SID=acde416ef7c416ec92c63b02c82911b8&amp;mc=true&amp;node=pt40.24.158&amp;rgn=div5</vt:lpwstr>
      </vt:variant>
      <vt:variant>
        <vt:lpwstr/>
      </vt:variant>
      <vt:variant>
        <vt:i4>7274536</vt:i4>
      </vt:variant>
      <vt:variant>
        <vt:i4>39</vt:i4>
      </vt:variant>
      <vt:variant>
        <vt:i4>0</vt:i4>
      </vt:variant>
      <vt:variant>
        <vt:i4>5</vt:i4>
      </vt:variant>
      <vt:variant>
        <vt:lpwstr>http://www.ecfr.gov/cgi-bin/text-idx?SID=acde416ef7c416ec92c63b02c82911b8&amp;mc=true&amp;node=pt40.24.156&amp;rgn=div5</vt:lpwstr>
      </vt:variant>
      <vt:variant>
        <vt:lpwstr/>
      </vt:variant>
      <vt:variant>
        <vt:i4>7012392</vt:i4>
      </vt:variant>
      <vt:variant>
        <vt:i4>36</vt:i4>
      </vt:variant>
      <vt:variant>
        <vt:i4>0</vt:i4>
      </vt:variant>
      <vt:variant>
        <vt:i4>5</vt:i4>
      </vt:variant>
      <vt:variant>
        <vt:lpwstr>http://www.ecfr.gov/cgi-bin/text-idx?SID=acde416ef7c416ec92c63b02c82911b8&amp;mc=true&amp;node=pt40.24.152&amp;rgn=div5</vt:lpwstr>
      </vt:variant>
      <vt:variant>
        <vt:lpwstr/>
      </vt:variant>
      <vt:variant>
        <vt:i4>3014664</vt:i4>
      </vt:variant>
      <vt:variant>
        <vt:i4>33</vt:i4>
      </vt:variant>
      <vt:variant>
        <vt:i4>0</vt:i4>
      </vt:variant>
      <vt:variant>
        <vt:i4>5</vt:i4>
      </vt:variant>
      <vt:variant>
        <vt:lpwstr>http://www.epa.gov/PR_Notices/pr97-3.html</vt:lpwstr>
      </vt:variant>
      <vt:variant>
        <vt:lpwstr/>
      </vt:variant>
      <vt:variant>
        <vt:i4>4194388</vt:i4>
      </vt:variant>
      <vt:variant>
        <vt:i4>30</vt:i4>
      </vt:variant>
      <vt:variant>
        <vt:i4>0</vt:i4>
      </vt:variant>
      <vt:variant>
        <vt:i4>5</vt:i4>
      </vt:variant>
      <vt:variant>
        <vt:lpwstr>https://www.epa.gov/pesticide-registration/pesticide-registration-manual-blank-forms</vt:lpwstr>
      </vt:variant>
      <vt:variant>
        <vt:lpwstr/>
      </vt:variant>
      <vt:variant>
        <vt:i4>2228286</vt:i4>
      </vt:variant>
      <vt:variant>
        <vt:i4>27</vt:i4>
      </vt:variant>
      <vt:variant>
        <vt:i4>0</vt:i4>
      </vt:variant>
      <vt:variant>
        <vt:i4>5</vt:i4>
      </vt:variant>
      <vt:variant>
        <vt:lpwstr>http://uscode.house.gov/view.xhtml?hl=false&amp;edition=prelim&amp;path=%2Fprelim%40title7%2Fchapter6%2Fsubchapter2&amp;req=granuleid%3AUSC-prelim-title7-section136w-8&amp;num=0&amp;saved=L3ByZWxpbUB0aXRsZTcvY2hhcHRlcjYvc3ViY2hhcHRlcjI%3D%7CZ3JhbnVsZWlkOlVTQy1wcmVsaW0tdGl0bGU3LWNoYXB0ZXI2LXN1YmNoYXB0ZXIy%7C%7C%7C0%7Cfalse%7Cprelim</vt:lpwstr>
      </vt:variant>
      <vt:variant>
        <vt:lpwstr/>
      </vt:variant>
      <vt:variant>
        <vt:i4>2424921</vt:i4>
      </vt:variant>
      <vt:variant>
        <vt:i4>24</vt:i4>
      </vt:variant>
      <vt:variant>
        <vt:i4>0</vt:i4>
      </vt:variant>
      <vt:variant>
        <vt:i4>5</vt:i4>
      </vt:variant>
      <vt:variant>
        <vt:lpwstr>https://uscode.house.gov/view.xhtml?path=/prelim@title7/chapter6&amp;edition=prelim</vt:lpwstr>
      </vt:variant>
      <vt:variant>
        <vt:lpwstr/>
      </vt:variant>
      <vt:variant>
        <vt:i4>2818151</vt:i4>
      </vt:variant>
      <vt:variant>
        <vt:i4>21</vt:i4>
      </vt:variant>
      <vt:variant>
        <vt:i4>0</vt:i4>
      </vt:variant>
      <vt:variant>
        <vt:i4>5</vt:i4>
      </vt:variant>
      <vt:variant>
        <vt:lpwstr>http://www.regulations.gov/</vt:lpwstr>
      </vt:variant>
      <vt:variant>
        <vt:lpwstr/>
      </vt:variant>
      <vt:variant>
        <vt:i4>2818151</vt:i4>
      </vt:variant>
      <vt:variant>
        <vt:i4>18</vt:i4>
      </vt:variant>
      <vt:variant>
        <vt:i4>0</vt:i4>
      </vt:variant>
      <vt:variant>
        <vt:i4>5</vt:i4>
      </vt:variant>
      <vt:variant>
        <vt:lpwstr>http://www.regulations.gov/</vt:lpwstr>
      </vt:variant>
      <vt:variant>
        <vt:lpwstr/>
      </vt:variant>
      <vt:variant>
        <vt:i4>196673</vt:i4>
      </vt:variant>
      <vt:variant>
        <vt:i4>15</vt:i4>
      </vt:variant>
      <vt:variant>
        <vt:i4>0</vt:i4>
      </vt:variant>
      <vt:variant>
        <vt:i4>5</vt:i4>
      </vt:variant>
      <vt:variant>
        <vt:lpwstr>http://www2.epa.gov/pesticide-registration/assembly-electronic-packages-and-discs</vt:lpwstr>
      </vt:variant>
      <vt:variant>
        <vt:lpwstr/>
      </vt:variant>
      <vt:variant>
        <vt:i4>786432</vt:i4>
      </vt:variant>
      <vt:variant>
        <vt:i4>12</vt:i4>
      </vt:variant>
      <vt:variant>
        <vt:i4>0</vt:i4>
      </vt:variant>
      <vt:variant>
        <vt:i4>5</vt:i4>
      </vt:variant>
      <vt:variant>
        <vt:lpwstr>http://www2.epa.gov/pesticide-registration/electronic-submissions-pesticide-applications</vt:lpwstr>
      </vt:variant>
      <vt:variant>
        <vt:lpwstr/>
      </vt:variant>
      <vt:variant>
        <vt:i4>7798828</vt:i4>
      </vt:variant>
      <vt:variant>
        <vt:i4>9</vt:i4>
      </vt:variant>
      <vt:variant>
        <vt:i4>0</vt:i4>
      </vt:variant>
      <vt:variant>
        <vt:i4>5</vt:i4>
      </vt:variant>
      <vt:variant>
        <vt:lpwstr>https://www.regulations.gov/document?D=EPA_FRDOC_0001-24444</vt:lpwstr>
      </vt:variant>
      <vt:variant>
        <vt:lpwstr/>
      </vt:variant>
      <vt:variant>
        <vt:i4>3080314</vt:i4>
      </vt:variant>
      <vt:variant>
        <vt:i4>6</vt:i4>
      </vt:variant>
      <vt:variant>
        <vt:i4>0</vt:i4>
      </vt:variant>
      <vt:variant>
        <vt:i4>5</vt:i4>
      </vt:variant>
      <vt:variant>
        <vt:lpwstr>http://links.govdelivery.com/track?type=click&amp;enid=ZWFzPTEmbXNpZD0mYXVpZD0mbWFpbGluZ2lkPTIwMTkxMDAyLjEwOTc3NzcxJm1lc3NhZ2VpZD1NREItUFJELUJVTC0yMDE5MTAwMi4xMDk3Nzc3MSZkYXRhYmFzZWlkPTEwMDEmc2VyaWFsPTE2Nzk0MDI1JmVtYWlsaWQ9a29sbGVyLmNhbGxpZUBlcGEuZ292JnVzZXJpZD1rb2xsZXIuY2FsbGllQGVwYS5nb3YmdGFyZ2V0aWQ9JmZsPSZtdmlkPSZleHRyYT0mJiY=&amp;&amp;&amp;104&amp;&amp;&amp;https://www.regulations.gov/docket?D=EPA-HQ-OPP-2018-0265</vt:lpwstr>
      </vt:variant>
      <vt:variant>
        <vt:lpwstr/>
      </vt:variant>
      <vt:variant>
        <vt:i4>1769489</vt:i4>
      </vt:variant>
      <vt:variant>
        <vt:i4>3</vt:i4>
      </vt:variant>
      <vt:variant>
        <vt:i4>0</vt:i4>
      </vt:variant>
      <vt:variant>
        <vt:i4>5</vt:i4>
      </vt:variant>
      <vt:variant>
        <vt:lpwstr>https://www.epa.gov/sites/production/files/2016-09/documents/_epaoig_20160919-16-p-0316.pdf</vt:lpwstr>
      </vt:variant>
      <vt:variant>
        <vt:lpwstr/>
      </vt:variant>
      <vt:variant>
        <vt:i4>5242885</vt:i4>
      </vt:variant>
      <vt:variant>
        <vt:i4>0</vt:i4>
      </vt:variant>
      <vt:variant>
        <vt:i4>0</vt:i4>
      </vt:variant>
      <vt:variant>
        <vt:i4>5</vt:i4>
      </vt:variant>
      <vt:variant>
        <vt:lpwstr>http://www2.epa.gov/pesticide-registration/prn-97-3-guidelines-expedited-review-conventional-pesticides-under-reduced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newuser</dc:creator>
  <cp:keywords/>
  <dc:description/>
  <cp:lastModifiedBy>Eric Schultz</cp:lastModifiedBy>
  <cp:revision>2</cp:revision>
  <cp:lastPrinted>2019-12-10T19:18:00Z</cp:lastPrinted>
  <dcterms:created xsi:type="dcterms:W3CDTF">2020-09-29T23:37:00Z</dcterms:created>
  <dcterms:modified xsi:type="dcterms:W3CDTF">2020-09-29T23:37:00Z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0x0101002274334ADE6F1449A54A4F49D59A3694</vt:lpwstr>
  </property>
  <property fmtid="{D5CDD505-2E9C-101B-9397-08002B2CF9AE}" pid="4" name="TaxKeyword">
    <vt:lpwstr/>
  </property>
  <property fmtid="{D5CDD505-2E9C-101B-9397-08002B2CF9AE}" pid="5" name="Document Type">
    <vt:lpwstr/>
  </property>
  <property fmtid="{D5CDD505-2E9C-101B-9397-08002B2CF9AE}" pid="6" name="EPA Subject">
    <vt:lpwstr/>
  </property>
</Properties>
</file>