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525A" w:rsidR="00376728" w:rsidP="00376728" w:rsidRDefault="00376728" w14:paraId="2C17C9D0" w14:textId="77777777">
      <w:pPr>
        <w:jc w:val="center"/>
        <w:rPr>
          <w:b/>
          <w:bCs/>
        </w:rPr>
      </w:pPr>
      <w:r w:rsidRPr="0096525A">
        <w:rPr>
          <w:b/>
          <w:bCs/>
        </w:rPr>
        <w:t xml:space="preserve">Department </w:t>
      </w:r>
      <w:r w:rsidRPr="0096525A">
        <w:rPr>
          <w:b/>
          <w:bCs/>
        </w:rPr>
        <w:tab/>
        <w:t>of Transportation</w:t>
      </w:r>
    </w:p>
    <w:p w:rsidRPr="0096525A" w:rsidR="00376728" w:rsidP="00376728" w:rsidRDefault="00376728" w14:paraId="27A5FD24" w14:textId="77777777">
      <w:pPr>
        <w:jc w:val="center"/>
        <w:rPr>
          <w:b/>
          <w:bCs/>
        </w:rPr>
      </w:pPr>
      <w:r w:rsidRPr="0096525A">
        <w:rPr>
          <w:b/>
          <w:bCs/>
        </w:rPr>
        <w:t>Office of the Chief Information Officer</w:t>
      </w:r>
    </w:p>
    <w:p w:rsidR="00376728" w:rsidP="00376728" w:rsidRDefault="00376728" w14:paraId="25ED19FB" w14:textId="77777777">
      <w:pPr>
        <w:jc w:val="center"/>
        <w:rPr>
          <w:bCs/>
        </w:rPr>
      </w:pPr>
    </w:p>
    <w:p w:rsidR="00376728" w:rsidP="00376728" w:rsidRDefault="00376728" w14:paraId="140A8C1A" w14:textId="77777777">
      <w:pPr>
        <w:jc w:val="center"/>
        <w:rPr>
          <w:b/>
          <w:bCs/>
        </w:rPr>
      </w:pPr>
      <w:r w:rsidRPr="0096525A">
        <w:rPr>
          <w:b/>
          <w:bCs/>
        </w:rPr>
        <w:t>Supporting Statement</w:t>
      </w:r>
      <w:r w:rsidRPr="0096525A" w:rsidDel="0096525A">
        <w:rPr>
          <w:b/>
          <w:bCs/>
        </w:rPr>
        <w:t xml:space="preserve"> </w:t>
      </w:r>
    </w:p>
    <w:p w:rsidR="00376728" w:rsidP="00376728" w:rsidRDefault="00376728" w14:paraId="73AD73B8" w14:textId="2005A6D1">
      <w:pPr>
        <w:jc w:val="center"/>
        <w:rPr>
          <w:b/>
          <w:bCs/>
        </w:rPr>
      </w:pPr>
      <w:r>
        <w:rPr>
          <w:b/>
          <w:bCs/>
        </w:rPr>
        <w:t>“</w:t>
      </w:r>
      <w:r w:rsidRPr="002D368B">
        <w:rPr>
          <w:b/>
          <w:bCs/>
        </w:rPr>
        <w:t>Annual</w:t>
      </w:r>
      <w:r w:rsidRPr="00BB19F5" w:rsidR="00BB19F5">
        <w:rPr>
          <w:b/>
          <w:bCs/>
        </w:rPr>
        <w:t xml:space="preserve"> </w:t>
      </w:r>
      <w:r w:rsidR="00BB19F5">
        <w:rPr>
          <w:b/>
          <w:bCs/>
        </w:rPr>
        <w:t>and</w:t>
      </w:r>
      <w:r w:rsidRPr="002D368B">
        <w:rPr>
          <w:b/>
          <w:bCs/>
        </w:rPr>
        <w:t xml:space="preserve"> </w:t>
      </w:r>
      <w:r w:rsidR="00BB19F5">
        <w:rPr>
          <w:b/>
          <w:bCs/>
        </w:rPr>
        <w:t>Incident</w:t>
      </w:r>
      <w:r w:rsidRPr="002D368B" w:rsidR="00BB19F5">
        <w:rPr>
          <w:b/>
          <w:bCs/>
        </w:rPr>
        <w:t xml:space="preserve"> </w:t>
      </w:r>
      <w:r w:rsidRPr="002D368B">
        <w:rPr>
          <w:b/>
          <w:bCs/>
        </w:rPr>
        <w:t>Reports for Gas Pipeline Operators</w:t>
      </w:r>
      <w:r>
        <w:rPr>
          <w:b/>
          <w:bCs/>
        </w:rPr>
        <w:t>”</w:t>
      </w:r>
    </w:p>
    <w:p w:rsidR="00376728" w:rsidP="00376728" w:rsidRDefault="00376728" w14:paraId="603D5579" w14:textId="77777777">
      <w:pPr>
        <w:jc w:val="center"/>
        <w:rPr>
          <w:b/>
          <w:bCs/>
        </w:rPr>
      </w:pPr>
      <w:r>
        <w:rPr>
          <w:b/>
          <w:bCs/>
        </w:rPr>
        <w:t>OMB Control No. 2137-0522</w:t>
      </w:r>
    </w:p>
    <w:p w:rsidR="00376728" w:rsidP="00D967B1" w:rsidRDefault="003566F3" w14:paraId="2C04F812" w14:textId="4CB99A6A">
      <w:pPr>
        <w:autoSpaceDE w:val="0"/>
        <w:autoSpaceDN w:val="0"/>
        <w:adjustRightInd w:val="0"/>
        <w:jc w:val="center"/>
        <w:rPr>
          <w:b/>
        </w:rPr>
      </w:pPr>
      <w:r w:rsidRPr="003566F3">
        <w:rPr>
          <w:b/>
        </w:rPr>
        <w:t xml:space="preserve">Docket No. </w:t>
      </w:r>
      <w:r w:rsidRPr="004F26ED" w:rsidR="00D967B1">
        <w:rPr>
          <w:b/>
        </w:rPr>
        <w:t>PHMSA-201</w:t>
      </w:r>
      <w:r w:rsidR="00BB19F5">
        <w:rPr>
          <w:b/>
        </w:rPr>
        <w:t>8</w:t>
      </w:r>
      <w:r w:rsidRPr="004F26ED" w:rsidR="00D967B1">
        <w:rPr>
          <w:b/>
        </w:rPr>
        <w:t>-00</w:t>
      </w:r>
      <w:r w:rsidR="00BB19F5">
        <w:rPr>
          <w:b/>
        </w:rPr>
        <w:t>46</w:t>
      </w:r>
    </w:p>
    <w:p w:rsidRPr="007F2B6B" w:rsidR="007B2D48" w:rsidP="00D967B1" w:rsidRDefault="007B2D48" w14:paraId="0765A5F5" w14:textId="6BBE565F">
      <w:pPr>
        <w:autoSpaceDE w:val="0"/>
        <w:autoSpaceDN w:val="0"/>
        <w:adjustRightInd w:val="0"/>
        <w:jc w:val="center"/>
        <w:rPr>
          <w:b/>
          <w:bCs/>
        </w:rPr>
      </w:pPr>
      <w:r>
        <w:rPr>
          <w:b/>
        </w:rPr>
        <w:t>RIN 2137-AF36</w:t>
      </w:r>
    </w:p>
    <w:p w:rsidR="00376728" w:rsidP="00376728" w:rsidRDefault="00376728" w14:paraId="55ADA0B5" w14:textId="77777777">
      <w:pPr>
        <w:jc w:val="center"/>
        <w:rPr>
          <w:bCs/>
        </w:rPr>
      </w:pPr>
    </w:p>
    <w:p w:rsidR="00376728" w:rsidP="00376728" w:rsidRDefault="00376728" w14:paraId="00FB1540" w14:textId="77777777">
      <w:pPr>
        <w:rPr>
          <w:bCs/>
        </w:rPr>
      </w:pPr>
    </w:p>
    <w:p w:rsidRPr="007F2B6B" w:rsidR="00376728" w:rsidP="00376728" w:rsidRDefault="00376728" w14:paraId="3B6AF564" w14:textId="77777777">
      <w:pPr>
        <w:rPr>
          <w:b/>
          <w:bCs/>
          <w:u w:val="single"/>
        </w:rPr>
      </w:pPr>
      <w:r w:rsidRPr="007F2B6B">
        <w:rPr>
          <w:b/>
          <w:bCs/>
          <w:u w:val="single"/>
        </w:rPr>
        <w:t>INTRODUCTION</w:t>
      </w:r>
    </w:p>
    <w:p w:rsidR="00DE7CC5" w:rsidP="00A72CE8" w:rsidRDefault="00DE7CC5" w14:paraId="1154DF90" w14:textId="77777777"/>
    <w:p w:rsidR="00D81A16" w:rsidP="00A72CE8" w:rsidRDefault="003566F3" w14:paraId="00115B47" w14:textId="0E593AE8">
      <w:r w:rsidRPr="002A2BA0">
        <w:t xml:space="preserve">The Pipeline and Hazardous Materials Safety Administration (PHMSA) requests approval from the Office of Management and Budget (OMB) for an extension and amendment of a currently approved collection entitled </w:t>
      </w:r>
      <w:r w:rsidRPr="002B7DAA" w:rsidR="00A72CE8">
        <w:rPr>
          <w:bCs/>
        </w:rPr>
        <w:t>“</w:t>
      </w:r>
      <w:r w:rsidR="003D6686">
        <w:rPr>
          <w:bCs/>
        </w:rPr>
        <w:t xml:space="preserve">Incident and </w:t>
      </w:r>
      <w:r w:rsidRPr="002D368B" w:rsidR="00A72CE8">
        <w:rPr>
          <w:bCs/>
        </w:rPr>
        <w:t xml:space="preserve">Annual Reports for </w:t>
      </w:r>
      <w:r w:rsidR="00FB5DD9">
        <w:rPr>
          <w:bCs/>
        </w:rPr>
        <w:t xml:space="preserve">Natural </w:t>
      </w:r>
      <w:r w:rsidRPr="002D368B" w:rsidR="00A72CE8">
        <w:rPr>
          <w:bCs/>
        </w:rPr>
        <w:t>Gas Pipeline Operators</w:t>
      </w:r>
      <w:r w:rsidR="00A72CE8">
        <w:rPr>
          <w:bCs/>
        </w:rPr>
        <w:t xml:space="preserve">” (OMB Control No. 2137-0522).  </w:t>
      </w:r>
      <w:r w:rsidR="00A72CE8">
        <w:t xml:space="preserve">The current expiration date for this information collection is </w:t>
      </w:r>
      <w:r w:rsidR="00BB19F5">
        <w:t>January</w:t>
      </w:r>
      <w:r w:rsidR="00D967B1">
        <w:t xml:space="preserve"> </w:t>
      </w:r>
      <w:r>
        <w:t xml:space="preserve">31, </w:t>
      </w:r>
      <w:r w:rsidR="00D967B1">
        <w:t>202</w:t>
      </w:r>
      <w:r w:rsidR="00BB19F5">
        <w:t>3</w:t>
      </w:r>
      <w:r w:rsidR="00A72CE8">
        <w:t xml:space="preserve">.  </w:t>
      </w:r>
    </w:p>
    <w:p w:rsidR="00D81A16" w:rsidP="00A72CE8" w:rsidRDefault="00D81A16" w14:paraId="34E75C9B" w14:textId="77777777"/>
    <w:p w:rsidRPr="003566F3" w:rsidR="003566F3" w:rsidP="003566F3" w:rsidRDefault="003566F3" w14:paraId="2AD8676D" w14:textId="77777777">
      <w:pPr>
        <w:widowControl w:val="0"/>
        <w:autoSpaceDE w:val="0"/>
        <w:autoSpaceDN w:val="0"/>
        <w:adjustRightInd w:val="0"/>
      </w:pPr>
      <w:r w:rsidRPr="003566F3">
        <w:t>The amendment of this information collection is necessary due to the following PHMSA action that will affect the current collection of information:</w:t>
      </w:r>
    </w:p>
    <w:p w:rsidRPr="003566F3" w:rsidR="003566F3" w:rsidP="003566F3" w:rsidRDefault="003566F3" w14:paraId="4B047BCA" w14:textId="77777777">
      <w:pPr>
        <w:widowControl w:val="0"/>
        <w:autoSpaceDE w:val="0"/>
        <w:autoSpaceDN w:val="0"/>
        <w:adjustRightInd w:val="0"/>
      </w:pPr>
    </w:p>
    <w:p w:rsidR="001A00B8" w:rsidP="001A00B8" w:rsidRDefault="003566F3" w14:paraId="060DE142" w14:textId="6B448A6C">
      <w:pPr>
        <w:autoSpaceDE w:val="0"/>
        <w:autoSpaceDN w:val="0"/>
        <w:rPr>
          <w:b/>
          <w:bCs/>
        </w:rPr>
      </w:pPr>
      <w:r w:rsidRPr="001A00B8">
        <w:rPr>
          <w:b/>
        </w:rPr>
        <w:t xml:space="preserve">Docket No. </w:t>
      </w:r>
      <w:r w:rsidRPr="001A00B8" w:rsidR="00D967B1">
        <w:rPr>
          <w:b/>
        </w:rPr>
        <w:t>PHMSA-201</w:t>
      </w:r>
      <w:r w:rsidR="00BB19F5">
        <w:rPr>
          <w:b/>
        </w:rPr>
        <w:t>8</w:t>
      </w:r>
      <w:r w:rsidRPr="001A00B8" w:rsidR="00D967B1">
        <w:rPr>
          <w:b/>
        </w:rPr>
        <w:t>-00</w:t>
      </w:r>
      <w:r w:rsidR="00BB19F5">
        <w:rPr>
          <w:b/>
        </w:rPr>
        <w:t>46 -</w:t>
      </w:r>
      <w:r w:rsidRPr="001A00B8">
        <w:rPr>
          <w:b/>
        </w:rPr>
        <w:t xml:space="preserve"> </w:t>
      </w:r>
      <w:r w:rsidRPr="001A00B8" w:rsidR="001A00B8">
        <w:rPr>
          <w:b/>
          <w:bCs/>
        </w:rPr>
        <w:t>Pipeline Safety:</w:t>
      </w:r>
      <w:r w:rsidRPr="001A00B8" w:rsidR="001A00B8">
        <w:rPr>
          <w:rFonts w:ascii="Segoe UI" w:hAnsi="Segoe UI" w:cs="Segoe UI"/>
          <w:b/>
          <w:bCs/>
        </w:rPr>
        <w:t>  </w:t>
      </w:r>
      <w:r w:rsidR="00BB19F5">
        <w:rPr>
          <w:b/>
          <w:bCs/>
        </w:rPr>
        <w:t>Gas Pipeline Regulatory Reform</w:t>
      </w:r>
    </w:p>
    <w:p w:rsidRPr="001A00B8" w:rsidR="00AF2B23" w:rsidP="001A00B8" w:rsidRDefault="00AF2B23" w14:paraId="5D875187" w14:textId="77777777">
      <w:pPr>
        <w:autoSpaceDE w:val="0"/>
        <w:autoSpaceDN w:val="0"/>
        <w:rPr>
          <w:rFonts w:ascii="Calibri" w:hAnsi="Calibri" w:cs="Calibri"/>
          <w:sz w:val="22"/>
          <w:szCs w:val="22"/>
        </w:rPr>
      </w:pPr>
    </w:p>
    <w:p w:rsidR="00BB19F5" w:rsidP="001A00B8" w:rsidRDefault="00BB19F5" w14:paraId="2E079336" w14:textId="77777777">
      <w:pPr>
        <w:widowControl w:val="0"/>
        <w:numPr>
          <w:ilvl w:val="0"/>
          <w:numId w:val="8"/>
        </w:numPr>
        <w:autoSpaceDE w:val="0"/>
        <w:autoSpaceDN w:val="0"/>
        <w:adjustRightInd w:val="0"/>
        <w:contextualSpacing/>
      </w:pPr>
      <w:r>
        <w:t>Eliminates the Mechanical Fitting Failure Report form</w:t>
      </w:r>
    </w:p>
    <w:p w:rsidR="003566F3" w:rsidP="001A00B8" w:rsidRDefault="00BB19F5" w14:paraId="28415E38" w14:textId="3401FAB7">
      <w:pPr>
        <w:widowControl w:val="0"/>
        <w:numPr>
          <w:ilvl w:val="0"/>
          <w:numId w:val="8"/>
        </w:numPr>
        <w:autoSpaceDE w:val="0"/>
        <w:autoSpaceDN w:val="0"/>
        <w:adjustRightInd w:val="0"/>
        <w:contextualSpacing/>
      </w:pPr>
      <w:r>
        <w:t>Reduces overall burden by 8,300 hours for</w:t>
      </w:r>
      <w:r w:rsidR="00066868">
        <w:t xml:space="preserve"> </w:t>
      </w:r>
      <w:r w:rsidRPr="003566F3" w:rsidR="003566F3">
        <w:t>re</w:t>
      </w:r>
      <w:r w:rsidR="00D13582">
        <w:t>porting</w:t>
      </w:r>
      <w:r w:rsidRPr="003566F3" w:rsidR="003566F3">
        <w:t xml:space="preserve"> activities.</w:t>
      </w:r>
    </w:p>
    <w:p w:rsidRPr="003566F3" w:rsidR="00A76880" w:rsidP="00A76880" w:rsidRDefault="00A76880" w14:paraId="6EC849F5" w14:textId="77777777">
      <w:pPr>
        <w:widowControl w:val="0"/>
        <w:autoSpaceDE w:val="0"/>
        <w:autoSpaceDN w:val="0"/>
        <w:adjustRightInd w:val="0"/>
        <w:contextualSpacing/>
      </w:pPr>
    </w:p>
    <w:p w:rsidRPr="007F2B6B" w:rsidR="00376728" w:rsidP="00376728" w:rsidRDefault="00376728" w14:paraId="28EE230C" w14:textId="77777777">
      <w:pPr>
        <w:rPr>
          <w:b/>
          <w:bCs/>
          <w:u w:val="single"/>
        </w:rPr>
      </w:pPr>
      <w:r w:rsidRPr="007F2B6B">
        <w:rPr>
          <w:b/>
          <w:bCs/>
          <w:u w:val="single"/>
        </w:rPr>
        <w:t>Part A. Justification</w:t>
      </w:r>
    </w:p>
    <w:p w:rsidR="00376728" w:rsidP="00376728" w:rsidRDefault="00376728" w14:paraId="52C3418D" w14:textId="77777777">
      <w:pPr>
        <w:rPr>
          <w:bCs/>
        </w:rPr>
      </w:pPr>
    </w:p>
    <w:p w:rsidRPr="004B4409" w:rsidR="00376728" w:rsidP="00376728" w:rsidRDefault="00376728" w14:paraId="27B68EEC" w14:textId="77777777">
      <w:r w:rsidRPr="004B4409">
        <w:rPr>
          <w:bCs/>
        </w:rPr>
        <w:t>1.</w:t>
      </w:r>
      <w:r w:rsidRPr="004B4409">
        <w:rPr>
          <w:bCs/>
        </w:rPr>
        <w:tab/>
      </w:r>
      <w:r w:rsidRPr="004B4409">
        <w:rPr>
          <w:bCs/>
          <w:u w:val="single"/>
        </w:rPr>
        <w:t>Circumstances that make collection of information necessary.</w:t>
      </w:r>
      <w:r w:rsidRPr="004B4409">
        <w:t xml:space="preserve"> </w:t>
      </w:r>
    </w:p>
    <w:p w:rsidR="00376728" w:rsidP="00376728" w:rsidRDefault="00376728" w14:paraId="2195BF44" w14:textId="77777777">
      <w:pPr>
        <w:rPr>
          <w:i/>
        </w:rPr>
      </w:pPr>
    </w:p>
    <w:p w:rsidR="00376728" w:rsidP="00376728" w:rsidRDefault="00481952" w14:paraId="08D74AC7" w14:textId="77777777">
      <w:r>
        <w:t xml:space="preserve">The reports contained within this information collection support the Department of Transportation’s strategic goal of safety.  </w:t>
      </w:r>
      <w:r w:rsidR="00024697">
        <w:t>A</w:t>
      </w:r>
      <w:r w:rsidR="00376728">
        <w:t xml:space="preserve">nnual summary reports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w:t>
      </w:r>
      <w:r w:rsidR="00D13582">
        <w:t xml:space="preserve">storage, </w:t>
      </w:r>
      <w:r w:rsidR="00376728">
        <w:t>transmission, gathering, and d</w:t>
      </w:r>
      <w:r w:rsidR="00B809E8">
        <w:t xml:space="preserve">istribution pipeline failures.  </w:t>
      </w:r>
    </w:p>
    <w:p w:rsidR="00FF7653" w:rsidP="00376728" w:rsidRDefault="00FF7653" w14:paraId="465C7B2D" w14:textId="77777777"/>
    <w:p w:rsidR="005A4737" w:rsidP="00376728" w:rsidRDefault="00376728" w14:paraId="64EE40BE" w14:textId="298582E8">
      <w:r>
        <w:t>The requirements for</w:t>
      </w:r>
      <w:r w:rsidR="005A4737">
        <w:t xml:space="preserve"> annual</w:t>
      </w:r>
      <w:r>
        <w:t xml:space="preserve"> reporting </w:t>
      </w:r>
      <w:r w:rsidR="003D6686">
        <w:t xml:space="preserve">and telephonic notification of incidents </w:t>
      </w:r>
      <w:r>
        <w:t xml:space="preserve">are in 49 CFR Part 191.  </w:t>
      </w:r>
      <w:r w:rsidR="005A4737">
        <w:t xml:space="preserve"> The PHMSA delegation of authority is found in 49 CFR 1.97 which allows for PHMSA to exercise the authority vested in the Secretary in under Chapter 601 of title 49, U.S.C.</w:t>
      </w:r>
    </w:p>
    <w:p w:rsidR="00376728" w:rsidP="00376728" w:rsidRDefault="00376728" w14:paraId="2336993C" w14:textId="77777777">
      <w:r>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the recently revised 6013</w:t>
      </w:r>
      <w:r w:rsidR="0035611E">
        <w:t>9</w:t>
      </w:r>
      <w:r>
        <w:t xml:space="preserve">.  </w:t>
      </w:r>
    </w:p>
    <w:p w:rsidR="00376728" w:rsidP="00376728" w:rsidRDefault="00376728" w14:paraId="00A14EF8" w14:textId="77777777"/>
    <w:p w:rsidRPr="004B4409" w:rsidR="00376728" w:rsidP="00376728" w:rsidRDefault="00376728" w14:paraId="475F2E19" w14:textId="77777777">
      <w:r w:rsidRPr="004B4409">
        <w:rPr>
          <w:bCs/>
        </w:rPr>
        <w:lastRenderedPageBreak/>
        <w:t>2.</w:t>
      </w:r>
      <w:r w:rsidRPr="004B4409">
        <w:rPr>
          <w:bCs/>
        </w:rPr>
        <w:tab/>
      </w:r>
      <w:r w:rsidRPr="004B4409">
        <w:rPr>
          <w:bCs/>
          <w:u w:val="single"/>
        </w:rPr>
        <w:t>How, by whom, and for what purpose is the information used.</w:t>
      </w:r>
      <w:r w:rsidRPr="004B4409">
        <w:t xml:space="preserve"> </w:t>
      </w:r>
    </w:p>
    <w:p w:rsidR="00376728" w:rsidP="00376728" w:rsidRDefault="00376728" w14:paraId="29786328" w14:textId="77777777">
      <w:pPr>
        <w:rPr>
          <w:i/>
        </w:rPr>
      </w:pPr>
    </w:p>
    <w:p w:rsidR="00F3387A" w:rsidP="00376728" w:rsidRDefault="00F3387A" w14:paraId="0A80ADF5" w14:textId="77777777">
      <w:r>
        <w:t xml:space="preserve">PHMSA uses this information </w:t>
      </w:r>
      <w:r w:rsidR="00D13582">
        <w:t xml:space="preserve">collection </w:t>
      </w:r>
      <w:r>
        <w:t xml:space="preserve">to gather annual </w:t>
      </w:r>
      <w:r w:rsidR="00024697">
        <w:t xml:space="preserve">data </w:t>
      </w:r>
      <w:r>
        <w:t xml:space="preserve">and failure information from </w:t>
      </w:r>
      <w:r w:rsidR="00D13582">
        <w:t xml:space="preserve">natural </w:t>
      </w:r>
      <w:r>
        <w:t>gas pipeline operators.  The term “</w:t>
      </w:r>
      <w:r w:rsidR="00D13582">
        <w:t xml:space="preserve">natural </w:t>
      </w:r>
      <w:r>
        <w:t>gas pipeline operators” includes Gas Transmission operators, Gas Distribution operators, and LNG pipeline facility operators.</w:t>
      </w:r>
    </w:p>
    <w:p w:rsidR="00F3387A" w:rsidP="00376728" w:rsidRDefault="00F3387A" w14:paraId="059E3ADE" w14:textId="77777777"/>
    <w:p w:rsidR="00EE1FBD" w:rsidRDefault="00D32396" w14:paraId="4D0CC605" w14:textId="77777777">
      <w:pPr>
        <w:ind w:firstLine="720"/>
      </w:pPr>
      <w:r>
        <w:t>PHMSA collect</w:t>
      </w:r>
      <w:r w:rsidR="005C03FE">
        <w:t>s annual information from gas pipeline operators</w:t>
      </w:r>
      <w:r>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t>The annual report forms</w:t>
      </w:r>
      <w:r w:rsidR="00A076D6">
        <w:t xml:space="preserve"> are </w:t>
      </w:r>
      <w:r w:rsidR="009111F0">
        <w:t>identified as follows</w:t>
      </w:r>
      <w:r w:rsidR="00A076D6">
        <w:t>:</w:t>
      </w:r>
    </w:p>
    <w:p w:rsidR="001B4315" w:rsidP="001B4315" w:rsidRDefault="00D13582" w14:paraId="7E159DAE" w14:textId="77777777">
      <w:pPr>
        <w:pStyle w:val="ListParagraph"/>
        <w:numPr>
          <w:ilvl w:val="0"/>
          <w:numId w:val="1"/>
        </w:numPr>
      </w:pPr>
      <w:r>
        <w:t>Underground Natural Gas Storage</w:t>
      </w:r>
      <w:r w:rsidRPr="001B4315" w:rsidR="00673951">
        <w:t xml:space="preserve"> Annual Report</w:t>
      </w:r>
      <w:r w:rsidR="00980327">
        <w:t xml:space="preserve"> </w:t>
      </w:r>
    </w:p>
    <w:p w:rsidR="00EE1FBD" w:rsidP="001B4315" w:rsidRDefault="00A076D6" w14:paraId="1E4F23AF" w14:textId="77777777">
      <w:pPr>
        <w:pStyle w:val="ListParagraph"/>
        <w:numPr>
          <w:ilvl w:val="0"/>
          <w:numId w:val="1"/>
        </w:numPr>
      </w:pPr>
      <w:r>
        <w:t>Gas Transmission Annual Report</w:t>
      </w:r>
    </w:p>
    <w:p w:rsidR="00EE1FBD" w:rsidRDefault="00782D87" w14:paraId="5D18B3A2" w14:textId="77777777">
      <w:pPr>
        <w:pStyle w:val="ListParagraph"/>
        <w:numPr>
          <w:ilvl w:val="0"/>
          <w:numId w:val="1"/>
        </w:numPr>
      </w:pPr>
      <w:r>
        <w:t>LNG Annual</w:t>
      </w:r>
      <w:r w:rsidR="00A076D6">
        <w:t xml:space="preserve"> Report</w:t>
      </w:r>
    </w:p>
    <w:p w:rsidR="00EE1FBD" w:rsidRDefault="00EE1FBD" w14:paraId="17B03D7F" w14:textId="77777777">
      <w:pPr>
        <w:pStyle w:val="ListParagraph"/>
      </w:pPr>
    </w:p>
    <w:p w:rsidR="00376728" w:rsidP="00376728" w:rsidRDefault="001263CB" w14:paraId="4691BD94" w14:textId="77777777">
      <w:r>
        <w:t xml:space="preserve">The information from annual reports </w:t>
      </w:r>
      <w:r w:rsidR="00376728">
        <w:t>are used for identifying existing or potential pipeline safety problems, to develop statistical and data/safety reports, and to develop benefit-cost analyses pertaining to pipeline safety.</w:t>
      </w:r>
      <w:r w:rsidR="0089426E">
        <w:t xml:space="preserve">  </w:t>
      </w:r>
    </w:p>
    <w:p w:rsidR="00FF7653" w:rsidP="00376728" w:rsidRDefault="00FF7653" w14:paraId="6022BDA4" w14:textId="77777777"/>
    <w:p w:rsidR="00376728" w:rsidP="00376728" w:rsidRDefault="00376728" w14:paraId="2FD2257B" w14:textId="77777777">
      <w:pPr>
        <w:rPr>
          <w:bCs/>
          <w:u w:val="single"/>
        </w:rPr>
      </w:pPr>
      <w:r w:rsidRPr="004B4409">
        <w:rPr>
          <w:bCs/>
        </w:rPr>
        <w:t xml:space="preserve">3.  </w:t>
      </w:r>
      <w:r w:rsidRPr="004B4409">
        <w:rPr>
          <w:bCs/>
        </w:rPr>
        <w:tab/>
      </w:r>
      <w:r w:rsidRPr="004B4409">
        <w:rPr>
          <w:bCs/>
          <w:u w:val="single"/>
        </w:rPr>
        <w:t>Extent of automated information collection.</w:t>
      </w:r>
    </w:p>
    <w:p w:rsidR="00376728" w:rsidP="00376728" w:rsidRDefault="00376728" w14:paraId="2BF49E8D" w14:textId="77777777"/>
    <w:p w:rsidR="00376728" w:rsidP="00376728" w:rsidRDefault="00E3677C" w14:paraId="627349E8" w14:textId="77777777">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annual reports on-line</w:t>
      </w:r>
      <w:r w:rsidR="00C578CE">
        <w:t xml:space="preserve"> at www.opsweb.phmsa.dot.gov</w:t>
      </w:r>
      <w:r w:rsidR="00376728">
        <w:t xml:space="preserve">.  </w:t>
      </w:r>
    </w:p>
    <w:p w:rsidR="00376728" w:rsidP="00376728" w:rsidRDefault="00376728" w14:paraId="7BE73C71" w14:textId="77777777"/>
    <w:p w:rsidR="00376728" w:rsidP="00376728" w:rsidRDefault="00376728" w14:paraId="7106C238" w14:textId="77777777">
      <w:r w:rsidRPr="004B4409">
        <w:rPr>
          <w:bCs/>
        </w:rPr>
        <w:t xml:space="preserve">4.  </w:t>
      </w:r>
      <w:r w:rsidRPr="004B4409">
        <w:rPr>
          <w:bCs/>
        </w:rPr>
        <w:tab/>
      </w:r>
      <w:r w:rsidRPr="004B4409">
        <w:rPr>
          <w:bCs/>
          <w:u w:val="single"/>
        </w:rPr>
        <w:t>Efforts to identify duplication.</w:t>
      </w:r>
    </w:p>
    <w:p w:rsidR="009F13DF" w:rsidP="00376728" w:rsidRDefault="009F13DF" w14:paraId="2B55D242" w14:textId="77777777"/>
    <w:p w:rsidR="00376728" w:rsidP="00376728" w:rsidRDefault="00376728" w14:paraId="167007D2" w14:textId="77777777">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P="00376728" w:rsidRDefault="00376728" w14:paraId="62E8AE99" w14:textId="77777777"/>
    <w:p w:rsidR="00376728" w:rsidP="00376728" w:rsidRDefault="00376728" w14:paraId="137EFCF9" w14:textId="77777777">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rsidR="00376728" w:rsidP="00376728" w:rsidRDefault="00376728" w14:paraId="09BBAAB0" w14:textId="77777777"/>
    <w:p w:rsidR="00376728" w:rsidP="00376728" w:rsidRDefault="00376728" w14:paraId="7F8FC753" w14:textId="77777777">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P="00376728" w:rsidRDefault="00376728" w14:paraId="49DEAD7E" w14:textId="77777777">
      <w:pPr>
        <w:rPr>
          <w:i/>
        </w:rPr>
      </w:pPr>
    </w:p>
    <w:p w:rsidR="00376728" w:rsidP="00376728" w:rsidRDefault="00376728" w14:paraId="7EB29BCD" w14:textId="77777777">
      <w:r>
        <w:t xml:space="preserve">For PHMSA to be able to effectively carry out its legislative mandate and monitor natural gas pipeline safety, it is essential that both large and small operators of pipelines provide </w:t>
      </w:r>
      <w:r>
        <w:lastRenderedPageBreak/>
        <w:t xml:space="preserve">annual reports.  </w:t>
      </w:r>
      <w:r w:rsidR="001457D4">
        <w:t>PHMSA will make exception in cases where it is not feasible for operators to submit electronically.</w:t>
      </w:r>
    </w:p>
    <w:p w:rsidR="00376728" w:rsidP="00376728" w:rsidRDefault="00376728" w14:paraId="2510104B" w14:textId="77777777"/>
    <w:p w:rsidRPr="004B4409" w:rsidR="00376728" w:rsidP="00376728" w:rsidRDefault="00376728" w14:paraId="744DDACB" w14:textId="77777777">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P="00376728" w:rsidRDefault="00376728" w14:paraId="69CF9DDF" w14:textId="77777777">
      <w:pPr>
        <w:rPr>
          <w:i/>
        </w:rPr>
      </w:pPr>
    </w:p>
    <w:p w:rsidR="00376728" w:rsidP="00376728" w:rsidRDefault="00376728" w14:paraId="5CE8653A" w14:textId="77777777">
      <w:pPr>
        <w:rPr>
          <w:bCs/>
        </w:rPr>
      </w:pPr>
      <w:r>
        <w:t>The biennial report to Congress mandated by 49 U.S.C. 60124(b) would not have current information without the annual report</w:t>
      </w:r>
      <w:r w:rsidR="00D13582">
        <w:t xml:space="preserve"> data</w:t>
      </w:r>
      <w:r>
        <w:t xml:space="preserve">.  Less frequent information collection could compromise the safety and economic viability of the U.S. pipeline system.    </w:t>
      </w:r>
    </w:p>
    <w:p w:rsidR="00376728" w:rsidP="00376728" w:rsidRDefault="00376728" w14:paraId="5A804D84" w14:textId="77777777">
      <w:pPr>
        <w:rPr>
          <w:bCs/>
        </w:rPr>
      </w:pPr>
    </w:p>
    <w:p w:rsidRPr="004B4409" w:rsidR="00376728" w:rsidP="00376728" w:rsidRDefault="00376728" w14:paraId="072AACEE" w14:textId="77777777">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P="00376728" w:rsidRDefault="00376728" w14:paraId="0B38D020" w14:textId="77777777">
      <w:pPr>
        <w:rPr>
          <w:i/>
        </w:rPr>
      </w:pPr>
    </w:p>
    <w:p w:rsidR="00376728" w:rsidP="00376728" w:rsidRDefault="00376728" w14:paraId="1D950ECE" w14:textId="77777777">
      <w:r>
        <w:t xml:space="preserve">There </w:t>
      </w:r>
      <w:r w:rsidR="00D34FE9">
        <w:t>are no special circumstances within this request.</w:t>
      </w:r>
    </w:p>
    <w:p w:rsidR="00376728" w:rsidP="00376728" w:rsidRDefault="00376728" w14:paraId="7A65AAA2" w14:textId="77777777">
      <w:pPr>
        <w:rPr>
          <w:bCs/>
        </w:rPr>
      </w:pPr>
    </w:p>
    <w:p w:rsidRPr="00390EAD" w:rsidR="00376728" w:rsidP="00376728" w:rsidRDefault="00376728" w14:paraId="294FF2BA" w14:textId="77777777">
      <w:r w:rsidRPr="004B4409">
        <w:rPr>
          <w:bCs/>
        </w:rPr>
        <w:t xml:space="preserve">8.  </w:t>
      </w:r>
      <w:r w:rsidRPr="004B4409">
        <w:rPr>
          <w:bCs/>
        </w:rPr>
        <w:tab/>
      </w:r>
      <w:r w:rsidRPr="00390EAD">
        <w:rPr>
          <w:bCs/>
          <w:u w:val="single"/>
        </w:rPr>
        <w:t>Compliance with 5 CFR 1320.8.</w:t>
      </w:r>
      <w:r w:rsidRPr="00390EAD">
        <w:t xml:space="preserve"> </w:t>
      </w:r>
    </w:p>
    <w:p w:rsidRPr="00390EAD" w:rsidR="00CE3167" w:rsidP="00376728" w:rsidRDefault="00CE3167" w14:paraId="7B1F965E" w14:textId="77777777">
      <w:pPr>
        <w:rPr>
          <w:bCs/>
        </w:rPr>
      </w:pPr>
    </w:p>
    <w:p w:rsidR="0007000D" w:rsidRDefault="00865A0B" w14:paraId="05D89B53" w14:textId="2FE6B7E6">
      <w:pPr>
        <w:jc w:val="both"/>
      </w:pPr>
      <w:r>
        <w:t xml:space="preserve">PHMSA published </w:t>
      </w:r>
      <w:r w:rsidR="00EA698A">
        <w:t xml:space="preserve">a </w:t>
      </w:r>
      <w:r w:rsidR="00A73B2D">
        <w:t>Notice of Proposed Rulemaking</w:t>
      </w:r>
      <w:r w:rsidR="003D4BF2">
        <w:t xml:space="preserve"> </w:t>
      </w:r>
      <w:r>
        <w:t>[</w:t>
      </w:r>
      <w:r w:rsidR="007C33B8">
        <w:t>8</w:t>
      </w:r>
      <w:r w:rsidR="008365E4">
        <w:t>5</w:t>
      </w:r>
      <w:r w:rsidR="007C33B8">
        <w:t xml:space="preserve"> </w:t>
      </w:r>
      <w:r>
        <w:t>FR</w:t>
      </w:r>
      <w:r w:rsidR="00AC0A57">
        <w:t xml:space="preserve"> </w:t>
      </w:r>
      <w:r w:rsidR="002A7FBE">
        <w:t>35240</w:t>
      </w:r>
      <w:r>
        <w:t>] on</w:t>
      </w:r>
      <w:r w:rsidR="00054B9D">
        <w:t xml:space="preserve"> </w:t>
      </w:r>
      <w:r w:rsidR="002A7FBE">
        <w:t>June 9</w:t>
      </w:r>
      <w:bookmarkStart w:name="_GoBack" w:id="0"/>
      <w:bookmarkEnd w:id="0"/>
      <w:r w:rsidR="00D64713">
        <w:t>,</w:t>
      </w:r>
      <w:r w:rsidR="00054B9D">
        <w:t xml:space="preserve"> </w:t>
      </w:r>
      <w:r w:rsidR="007C33B8">
        <w:t>20</w:t>
      </w:r>
      <w:r w:rsidR="00A73B2D">
        <w:t>20</w:t>
      </w:r>
      <w:r w:rsidR="007C33B8">
        <w:t>.</w:t>
      </w:r>
      <w:r>
        <w:t xml:space="preserve">    </w:t>
      </w:r>
    </w:p>
    <w:p w:rsidR="0007000D" w:rsidP="00865A0B" w:rsidRDefault="0007000D" w14:paraId="61CB6657" w14:textId="77777777">
      <w:pPr>
        <w:jc w:val="both"/>
      </w:pPr>
    </w:p>
    <w:p w:rsidR="00376728" w:rsidP="00376728" w:rsidRDefault="00376728" w14:paraId="58359437" w14:textId="77777777">
      <w:pPr>
        <w:rPr>
          <w:bCs/>
          <w:u w:val="single"/>
        </w:rPr>
      </w:pPr>
      <w:r w:rsidRPr="004B4409">
        <w:rPr>
          <w:bCs/>
        </w:rPr>
        <w:t xml:space="preserve">9.  </w:t>
      </w:r>
      <w:r w:rsidRPr="004B4409">
        <w:rPr>
          <w:bCs/>
        </w:rPr>
        <w:tab/>
      </w:r>
      <w:r w:rsidRPr="004B4409">
        <w:rPr>
          <w:bCs/>
          <w:u w:val="single"/>
        </w:rPr>
        <w:t>Payments or gifts to respondents.</w:t>
      </w:r>
    </w:p>
    <w:p w:rsidR="00376728" w:rsidP="00376728" w:rsidRDefault="00376728" w14:paraId="1A83DF7E" w14:textId="77777777"/>
    <w:p w:rsidRPr="0032069D" w:rsidR="00376728" w:rsidP="00376728" w:rsidRDefault="00376728" w14:paraId="5021B2A0" w14:textId="77777777">
      <w:pPr>
        <w:jc w:val="both"/>
      </w:pPr>
      <w:r w:rsidRPr="0032069D">
        <w:t>There is no payment or gift provided to respondents associated with this collection of information.</w:t>
      </w:r>
    </w:p>
    <w:p w:rsidR="00376728" w:rsidP="00376728" w:rsidRDefault="00376728" w14:paraId="37CE7366" w14:textId="77777777"/>
    <w:p w:rsidRPr="004B4409" w:rsidR="00376728" w:rsidP="00376728" w:rsidRDefault="00376728" w14:paraId="062DF0A4" w14:textId="77777777">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P="00376728" w:rsidRDefault="00376728" w14:paraId="2B757C3A" w14:textId="77777777">
      <w:pPr>
        <w:rPr>
          <w:i/>
        </w:rPr>
      </w:pPr>
    </w:p>
    <w:p w:rsidR="00376728" w:rsidP="00376728" w:rsidRDefault="00EA698A" w14:paraId="552B7CD5" w14:textId="77777777">
      <w:pPr>
        <w:rPr>
          <w:bCs/>
        </w:rPr>
      </w:pPr>
      <w:r>
        <w:rPr>
          <w:bCs/>
        </w:rPr>
        <w:t>PHMSA does not have the authority to guarantee confidentiality, however, t</w:t>
      </w:r>
      <w:r w:rsidR="00F63DF5">
        <w:rPr>
          <w:bCs/>
        </w:rPr>
        <w:t>his</w:t>
      </w:r>
      <w:r w:rsidR="00376728">
        <w:rPr>
          <w:bCs/>
        </w:rPr>
        <w:t xml:space="preserve"> information collection do</w:t>
      </w:r>
      <w:r w:rsidR="00F63DF5">
        <w:rPr>
          <w:bCs/>
        </w:rPr>
        <w:t>es</w:t>
      </w:r>
      <w:r w:rsidR="00376728">
        <w:rPr>
          <w:bCs/>
        </w:rPr>
        <w:t xml:space="preserve"> not include anything of a sensitive nature or of any matters considered private.  </w:t>
      </w:r>
    </w:p>
    <w:p w:rsidR="00C92A17" w:rsidP="00376728" w:rsidRDefault="00C92A17" w14:paraId="0060E753" w14:textId="77777777">
      <w:pPr>
        <w:rPr>
          <w:bCs/>
        </w:rPr>
      </w:pPr>
    </w:p>
    <w:p w:rsidR="00376728" w:rsidP="00376728" w:rsidRDefault="00376728" w14:paraId="20971CDE" w14:textId="77777777">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P="00376728" w:rsidRDefault="00376728" w14:paraId="603B2F97" w14:textId="77777777">
      <w:pPr>
        <w:rPr>
          <w:i/>
        </w:rPr>
      </w:pPr>
    </w:p>
    <w:p w:rsidR="00376728" w:rsidP="00376728" w:rsidRDefault="00F63DF5" w14:paraId="599D8BE5" w14:textId="77777777">
      <w:pPr>
        <w:jc w:val="both"/>
      </w:pPr>
      <w:r>
        <w:t>T</w:t>
      </w:r>
      <w:r w:rsidR="00376728">
        <w:t>his information collection do</w:t>
      </w:r>
      <w:r>
        <w:t>es</w:t>
      </w:r>
      <w:r w:rsidR="00376728">
        <w:t xml:space="preserve"> not involve questions of a sensitive nature.</w:t>
      </w:r>
    </w:p>
    <w:p w:rsidR="00376728" w:rsidP="00376728" w:rsidRDefault="00376728" w14:paraId="0C0CBA71" w14:textId="77777777"/>
    <w:p w:rsidR="005959AF" w:rsidP="00376728" w:rsidRDefault="00376728" w14:paraId="696CCFB8" w14:textId="77777777">
      <w:pPr>
        <w:rPr>
          <w:bCs/>
        </w:rPr>
      </w:pPr>
      <w:r>
        <w:rPr>
          <w:bCs/>
        </w:rPr>
        <w:t>12.</w:t>
      </w:r>
      <w:r w:rsidRPr="004B4409">
        <w:rPr>
          <w:bCs/>
        </w:rPr>
        <w:t xml:space="preserve"> </w:t>
      </w:r>
      <w:r w:rsidRPr="004B4409">
        <w:rPr>
          <w:bCs/>
        </w:rPr>
        <w:tab/>
      </w:r>
    </w:p>
    <w:p w:rsidR="005959AF" w:rsidP="00376728" w:rsidRDefault="005959AF" w14:paraId="21E4EE84" w14:textId="77777777">
      <w:pPr>
        <w:rPr>
          <w:bCs/>
        </w:rPr>
      </w:pPr>
    </w:p>
    <w:p w:rsidRPr="006077EB" w:rsidR="00376728" w:rsidP="00376728" w:rsidRDefault="00376728" w14:paraId="5F594A41" w14:textId="78E26FB8">
      <w:r w:rsidRPr="006077EB">
        <w:rPr>
          <w:bCs/>
          <w:u w:val="single"/>
        </w:rPr>
        <w:t>Estimate of burden hours for information requested.</w:t>
      </w:r>
      <w:r w:rsidRPr="006077EB">
        <w:t xml:space="preserve"> </w:t>
      </w:r>
    </w:p>
    <w:p w:rsidR="00C92A17" w:rsidP="00FE63A5" w:rsidRDefault="00C92A17" w14:paraId="7F828B35" w14:textId="77777777">
      <w:pPr>
        <w:rPr>
          <w:bCs/>
        </w:rPr>
      </w:pPr>
    </w:p>
    <w:tbl>
      <w:tblPr>
        <w:tblStyle w:val="TableGrid1"/>
        <w:tblW w:w="0" w:type="auto"/>
        <w:tblLook w:val="04A0" w:firstRow="1" w:lastRow="0" w:firstColumn="1" w:lastColumn="0" w:noHBand="0" w:noVBand="1"/>
      </w:tblPr>
      <w:tblGrid>
        <w:gridCol w:w="4320"/>
        <w:gridCol w:w="4310"/>
      </w:tblGrid>
      <w:tr w:rsidRPr="00C92A17" w:rsidR="00C92A17" w:rsidTr="0007000D" w14:paraId="5AE15ACA" w14:textId="77777777">
        <w:tc>
          <w:tcPr>
            <w:tcW w:w="4675" w:type="dxa"/>
          </w:tcPr>
          <w:p w:rsidRPr="00C92A17" w:rsidR="00C92A17" w:rsidP="00C92A17" w:rsidRDefault="00C92A17" w14:paraId="4E236A29" w14:textId="4B0815CE">
            <w:pPr>
              <w:autoSpaceDE w:val="0"/>
              <w:autoSpaceDN w:val="0"/>
              <w:adjustRightInd w:val="0"/>
            </w:pPr>
            <w:r w:rsidRPr="00C92A17">
              <w:t xml:space="preserve">Current Number of Responses: </w:t>
            </w:r>
            <w:r w:rsidR="006B1E38">
              <w:t>10,</w:t>
            </w:r>
            <w:r w:rsidR="00A73B2D">
              <w:t>547</w:t>
            </w:r>
          </w:p>
        </w:tc>
        <w:tc>
          <w:tcPr>
            <w:tcW w:w="4675" w:type="dxa"/>
          </w:tcPr>
          <w:p w:rsidRPr="00C92A17" w:rsidR="00C92A17" w:rsidP="00AE4DA5" w:rsidRDefault="00C92A17" w14:paraId="3FAC951D" w14:textId="627180C7">
            <w:pPr>
              <w:autoSpaceDE w:val="0"/>
              <w:autoSpaceDN w:val="0"/>
              <w:adjustRightInd w:val="0"/>
            </w:pPr>
            <w:r w:rsidRPr="00C92A17">
              <w:t xml:space="preserve">Proposed Number of Reponses: </w:t>
            </w:r>
            <w:r w:rsidR="00A73B2D">
              <w:t>2,247</w:t>
            </w:r>
          </w:p>
        </w:tc>
      </w:tr>
      <w:tr w:rsidRPr="00C92A17" w:rsidR="00C92A17" w:rsidTr="0007000D" w14:paraId="2459E08D" w14:textId="77777777">
        <w:tc>
          <w:tcPr>
            <w:tcW w:w="4675" w:type="dxa"/>
          </w:tcPr>
          <w:p w:rsidRPr="00C92A17" w:rsidR="00C92A17" w:rsidP="00C92A17" w:rsidRDefault="00C92A17" w14:paraId="1264EEBF" w14:textId="67F78265">
            <w:pPr>
              <w:autoSpaceDE w:val="0"/>
              <w:autoSpaceDN w:val="0"/>
              <w:adjustRightInd w:val="0"/>
            </w:pPr>
            <w:r w:rsidRPr="00C92A17">
              <w:t xml:space="preserve">Current Burden Estimate: </w:t>
            </w:r>
            <w:r w:rsidR="00A73B2D">
              <w:t>80,101</w:t>
            </w:r>
            <w:r w:rsidRPr="00C92A17" w:rsidR="006B1E38">
              <w:t xml:space="preserve"> hours</w:t>
            </w:r>
          </w:p>
        </w:tc>
        <w:tc>
          <w:tcPr>
            <w:tcW w:w="4675" w:type="dxa"/>
          </w:tcPr>
          <w:p w:rsidRPr="00C92A17" w:rsidR="00C92A17" w:rsidP="00964E71" w:rsidRDefault="00C92A17" w14:paraId="4527D66D" w14:textId="76444083">
            <w:pPr>
              <w:autoSpaceDE w:val="0"/>
              <w:autoSpaceDN w:val="0"/>
              <w:adjustRightInd w:val="0"/>
            </w:pPr>
            <w:r w:rsidRPr="00C92A17">
              <w:t xml:space="preserve">Proposed Burden Estimate: </w:t>
            </w:r>
            <w:r w:rsidR="00A73B2D">
              <w:t>71</w:t>
            </w:r>
            <w:r w:rsidR="00DC0A08">
              <w:t xml:space="preserve">, </w:t>
            </w:r>
            <w:r w:rsidR="00A73B2D">
              <w:t>8</w:t>
            </w:r>
            <w:r w:rsidR="00DC0A08">
              <w:t>01</w:t>
            </w:r>
            <w:r w:rsidR="006B1E38">
              <w:t xml:space="preserve"> hours</w:t>
            </w:r>
          </w:p>
        </w:tc>
      </w:tr>
    </w:tbl>
    <w:p w:rsidR="00C92A17" w:rsidP="00FE63A5" w:rsidRDefault="00C92A17" w14:paraId="2708499B" w14:textId="77777777">
      <w:pPr>
        <w:rPr>
          <w:bCs/>
        </w:rPr>
      </w:pPr>
    </w:p>
    <w:p w:rsidR="00C92A17" w:rsidP="00FE63A5" w:rsidRDefault="00C92A17" w14:paraId="03FC849F" w14:textId="77777777">
      <w:pPr>
        <w:rPr>
          <w:bCs/>
        </w:rPr>
      </w:pPr>
    </w:p>
    <w:p w:rsidR="00A23D30" w:rsidP="00A23D30" w:rsidRDefault="00B66E72" w14:paraId="3FEE556D" w14:textId="738B2FCD">
      <w:r>
        <w:t xml:space="preserve">The </w:t>
      </w:r>
      <w:r w:rsidR="00782D87">
        <w:t xml:space="preserve">burden </w:t>
      </w:r>
      <w:r w:rsidR="00A23D30">
        <w:t xml:space="preserve">estimate for this information collection </w:t>
      </w:r>
      <w:r w:rsidR="00782D87">
        <w:t xml:space="preserve">has been revised to include </w:t>
      </w:r>
      <w:r w:rsidR="00A23D30">
        <w:t>a</w:t>
      </w:r>
      <w:r w:rsidR="00A73B2D">
        <w:t xml:space="preserve"> de</w:t>
      </w:r>
      <w:r w:rsidR="00A23D30">
        <w:t xml:space="preserve">crease in </w:t>
      </w:r>
      <w:r w:rsidR="00782D87">
        <w:t xml:space="preserve">burden </w:t>
      </w:r>
      <w:r w:rsidR="00A23D30">
        <w:t>r</w:t>
      </w:r>
      <w:r w:rsidR="00782D87">
        <w:t xml:space="preserve">esulting from </w:t>
      </w:r>
      <w:r w:rsidR="00F50338">
        <w:t xml:space="preserve">provisions of </w:t>
      </w:r>
      <w:r w:rsidR="00782D87">
        <w:t xml:space="preserve">the </w:t>
      </w:r>
      <w:r w:rsidRPr="00EA698A" w:rsidR="00EA698A">
        <w:rPr>
          <w:bCs/>
        </w:rPr>
        <w:t>Pipeline Safety:</w:t>
      </w:r>
      <w:r w:rsidRPr="00EA698A" w:rsidR="00EA698A">
        <w:rPr>
          <w:rFonts w:ascii="Segoe UI" w:hAnsi="Segoe UI" w:cs="Segoe UI"/>
          <w:bCs/>
        </w:rPr>
        <w:t> </w:t>
      </w:r>
      <w:r w:rsidR="00A73B2D">
        <w:rPr>
          <w:bCs/>
        </w:rPr>
        <w:t>Gas Pipeline Regulatory Notice of Proposed Rulemaking</w:t>
      </w:r>
      <w:r w:rsidR="00EA698A">
        <w:rPr>
          <w:bCs/>
        </w:rPr>
        <w:t xml:space="preserve">.  </w:t>
      </w:r>
      <w:r w:rsidR="00782D87">
        <w:t xml:space="preserve">PHMSA expects that the </w:t>
      </w:r>
      <w:r w:rsidRPr="00A73B2D" w:rsidR="00782D87">
        <w:rPr>
          <w:b/>
        </w:rPr>
        <w:t>currently-approved</w:t>
      </w:r>
      <w:r w:rsidR="00782D87">
        <w:t xml:space="preserve"> </w:t>
      </w:r>
      <w:r w:rsidRPr="00782D87" w:rsidR="00782D87">
        <w:rPr>
          <w:b/>
        </w:rPr>
        <w:t xml:space="preserve">burden for this information collection will </w:t>
      </w:r>
      <w:r w:rsidR="00A73B2D">
        <w:rPr>
          <w:b/>
        </w:rPr>
        <w:t>decrease</w:t>
      </w:r>
      <w:r w:rsidRPr="00782D87" w:rsidR="00782D87">
        <w:rPr>
          <w:b/>
        </w:rPr>
        <w:t xml:space="preserve"> by </w:t>
      </w:r>
      <w:r w:rsidR="00A73B2D">
        <w:rPr>
          <w:b/>
        </w:rPr>
        <w:t>8,300</w:t>
      </w:r>
      <w:r w:rsidRPr="00782D87" w:rsidR="007A51FB">
        <w:rPr>
          <w:b/>
        </w:rPr>
        <w:t xml:space="preserve"> </w:t>
      </w:r>
      <w:r w:rsidRPr="00782D87" w:rsidR="00782D87">
        <w:rPr>
          <w:b/>
        </w:rPr>
        <w:t>hours</w:t>
      </w:r>
      <w:r w:rsidR="00782D87">
        <w:t xml:space="preserve"> </w:t>
      </w:r>
      <w:r w:rsidR="00A23D30">
        <w:t xml:space="preserve">for </w:t>
      </w:r>
      <w:r w:rsidR="00A73B2D">
        <w:t xml:space="preserve">the reporting of mechanical fitting failures </w:t>
      </w:r>
      <w:r w:rsidR="00352F4B">
        <w:t>on DOT PHMSA Form 7100.</w:t>
      </w:r>
      <w:r w:rsidR="00A73B2D">
        <w:t>1</w:t>
      </w:r>
      <w:r w:rsidR="00352F4B">
        <w:t>-</w:t>
      </w:r>
      <w:r w:rsidR="00A73B2D">
        <w:t xml:space="preserve">2. </w:t>
      </w:r>
      <w:r w:rsidRPr="00C4399F" w:rsidR="00352F4B">
        <w:t xml:space="preserve"> </w:t>
      </w:r>
      <w:r w:rsidR="00A73B2D">
        <w:t xml:space="preserve">PHMSA proposes to </w:t>
      </w:r>
      <w:r w:rsidR="00A73B2D">
        <w:lastRenderedPageBreak/>
        <w:t>eliminate this form altogether and have operators submit the annual number of mechanical joint failures on the Gas Distribution Annual Report under 2137-0629.</w:t>
      </w:r>
    </w:p>
    <w:p w:rsidR="00A73B2D" w:rsidP="00A23D30" w:rsidRDefault="00A73B2D" w14:paraId="2928CD3C" w14:textId="77777777"/>
    <w:p w:rsidR="00B2010F" w:rsidP="00A23D30" w:rsidRDefault="00B2010F" w14:paraId="086E96C0" w14:textId="77777777">
      <w:pPr>
        <w:rPr>
          <w:bCs/>
        </w:rPr>
      </w:pPr>
    </w:p>
    <w:p w:rsidRPr="006077EB" w:rsidR="00A23D30" w:rsidP="00A23D30" w:rsidRDefault="00A23D30" w14:paraId="43DEFE5D" w14:textId="70264D40">
      <w:pPr>
        <w:rPr>
          <w:b/>
          <w:bCs/>
        </w:rPr>
      </w:pPr>
      <w:r>
        <w:rPr>
          <w:bCs/>
        </w:rPr>
        <w:t xml:space="preserve"> A breakdown of the estimated burden for this information collection is</w:t>
      </w:r>
      <w:r w:rsidRPr="00455CC4" w:rsidR="00455CC4">
        <w:rPr>
          <w:bCs/>
        </w:rPr>
        <w:t xml:space="preserve"> </w:t>
      </w:r>
      <w:r w:rsidR="00455CC4">
        <w:rPr>
          <w:bCs/>
        </w:rPr>
        <w:t>detailed</w:t>
      </w:r>
      <w:r>
        <w:rPr>
          <w:bCs/>
        </w:rPr>
        <w:t xml:space="preserve"> below:</w:t>
      </w:r>
    </w:p>
    <w:p w:rsidR="00B66E72" w:rsidP="00F62B69" w:rsidRDefault="00B66E72" w14:paraId="09787BEA" w14:textId="4B741549">
      <w:pPr>
        <w:autoSpaceDE w:val="0"/>
        <w:autoSpaceDN w:val="0"/>
      </w:pPr>
    </w:p>
    <w:p w:rsidR="00667FA1" w:rsidP="00376728" w:rsidRDefault="00667FA1" w14:paraId="4F13C88F" w14:textId="0811362A"/>
    <w:tbl>
      <w:tblPr>
        <w:tblStyle w:val="TableGrid"/>
        <w:tblW w:w="9715" w:type="dxa"/>
        <w:tblLook w:val="04A0" w:firstRow="1" w:lastRow="0" w:firstColumn="1" w:lastColumn="0" w:noHBand="0" w:noVBand="1"/>
      </w:tblPr>
      <w:tblGrid>
        <w:gridCol w:w="2157"/>
        <w:gridCol w:w="2157"/>
        <w:gridCol w:w="2158"/>
        <w:gridCol w:w="3243"/>
      </w:tblGrid>
      <w:tr w:rsidR="00D67B5C" w:rsidTr="00B2010F" w14:paraId="76DE4FA1" w14:textId="77777777">
        <w:tc>
          <w:tcPr>
            <w:tcW w:w="2157" w:type="dxa"/>
            <w:shd w:val="clear" w:color="auto" w:fill="DAEEF3" w:themeFill="accent5" w:themeFillTint="33"/>
          </w:tcPr>
          <w:p w:rsidRPr="00B2010F" w:rsidR="00D67B5C" w:rsidP="00B2010F" w:rsidRDefault="00D67B5C" w14:paraId="09269EE3" w14:textId="703F9CDB">
            <w:pPr>
              <w:jc w:val="center"/>
              <w:rPr>
                <w:b/>
              </w:rPr>
            </w:pPr>
            <w:r w:rsidRPr="00B2010F">
              <w:rPr>
                <w:b/>
              </w:rPr>
              <w:t>IC</w:t>
            </w:r>
          </w:p>
        </w:tc>
        <w:tc>
          <w:tcPr>
            <w:tcW w:w="2157" w:type="dxa"/>
            <w:shd w:val="clear" w:color="auto" w:fill="DAEEF3" w:themeFill="accent5" w:themeFillTint="33"/>
          </w:tcPr>
          <w:p w:rsidRPr="00B2010F" w:rsidR="00D67B5C" w:rsidP="00B2010F" w:rsidRDefault="00D67B5C" w14:paraId="29AA2C1B" w14:textId="2741D2F4">
            <w:pPr>
              <w:jc w:val="center"/>
              <w:rPr>
                <w:b/>
              </w:rPr>
            </w:pPr>
            <w:r w:rsidRPr="00B2010F">
              <w:rPr>
                <w:b/>
              </w:rPr>
              <w:t>Responses</w:t>
            </w:r>
          </w:p>
        </w:tc>
        <w:tc>
          <w:tcPr>
            <w:tcW w:w="2158" w:type="dxa"/>
            <w:shd w:val="clear" w:color="auto" w:fill="DAEEF3" w:themeFill="accent5" w:themeFillTint="33"/>
          </w:tcPr>
          <w:p w:rsidRPr="00B2010F" w:rsidR="00D67B5C" w:rsidP="00B2010F" w:rsidRDefault="00D67B5C" w14:paraId="006ABFC9" w14:textId="62242137">
            <w:pPr>
              <w:jc w:val="center"/>
              <w:rPr>
                <w:b/>
              </w:rPr>
            </w:pPr>
            <w:r w:rsidRPr="00B2010F">
              <w:rPr>
                <w:b/>
              </w:rPr>
              <w:t>Burden Per Response</w:t>
            </w:r>
          </w:p>
        </w:tc>
        <w:tc>
          <w:tcPr>
            <w:tcW w:w="3243" w:type="dxa"/>
            <w:shd w:val="clear" w:color="auto" w:fill="DAEEF3" w:themeFill="accent5" w:themeFillTint="33"/>
          </w:tcPr>
          <w:p w:rsidRPr="00B2010F" w:rsidR="00D67B5C" w:rsidP="00B2010F" w:rsidRDefault="00D67B5C" w14:paraId="1A4C296F" w14:textId="0E2DE429">
            <w:pPr>
              <w:jc w:val="center"/>
              <w:rPr>
                <w:b/>
              </w:rPr>
            </w:pPr>
            <w:r w:rsidRPr="00B2010F">
              <w:rPr>
                <w:b/>
              </w:rPr>
              <w:t>Total Burden</w:t>
            </w:r>
          </w:p>
        </w:tc>
      </w:tr>
      <w:tr w:rsidR="00D67B5C" w:rsidTr="00B2010F" w14:paraId="7AC0E405" w14:textId="77777777">
        <w:tc>
          <w:tcPr>
            <w:tcW w:w="2157" w:type="dxa"/>
          </w:tcPr>
          <w:p w:rsidR="00D67B5C" w:rsidP="00376728" w:rsidRDefault="00D67B5C" w14:paraId="49A1C3B1" w14:textId="4D9869BA">
            <w:r>
              <w:t>Gas Transmission and Gathering Annual Report</w:t>
            </w:r>
          </w:p>
        </w:tc>
        <w:tc>
          <w:tcPr>
            <w:tcW w:w="2157" w:type="dxa"/>
          </w:tcPr>
          <w:p w:rsidR="00D67B5C" w:rsidP="00376728" w:rsidRDefault="00D67B5C" w14:paraId="5DDD4A9F" w14:textId="108DA46D">
            <w:r>
              <w:t>1,440`</w:t>
            </w:r>
          </w:p>
        </w:tc>
        <w:tc>
          <w:tcPr>
            <w:tcW w:w="2158" w:type="dxa"/>
          </w:tcPr>
          <w:p w:rsidR="00D67B5C" w:rsidP="00376728" w:rsidRDefault="00D67B5C" w14:paraId="0D849021" w14:textId="0EBECFAA">
            <w:r>
              <w:t>47 hours per report</w:t>
            </w:r>
          </w:p>
        </w:tc>
        <w:tc>
          <w:tcPr>
            <w:tcW w:w="3243" w:type="dxa"/>
          </w:tcPr>
          <w:p w:rsidR="00D67B5C" w:rsidP="00376728" w:rsidRDefault="00D67B5C" w14:paraId="3199F7B7" w14:textId="2BD2E3B7">
            <w:r>
              <w:t>67,680 hours</w:t>
            </w:r>
          </w:p>
        </w:tc>
      </w:tr>
      <w:tr w:rsidR="00D67B5C" w:rsidTr="00B2010F" w14:paraId="65DA85B3" w14:textId="77777777">
        <w:tc>
          <w:tcPr>
            <w:tcW w:w="2157" w:type="dxa"/>
          </w:tcPr>
          <w:p w:rsidR="00D67B5C" w:rsidP="00376728" w:rsidRDefault="00D67B5C" w14:paraId="54F88B07" w14:textId="4D09D7B4">
            <w:r>
              <w:t>LNG Annual Report</w:t>
            </w:r>
          </w:p>
        </w:tc>
        <w:tc>
          <w:tcPr>
            <w:tcW w:w="2157" w:type="dxa"/>
          </w:tcPr>
          <w:p w:rsidR="00D67B5C" w:rsidP="00376728" w:rsidRDefault="00D67B5C" w14:paraId="5DFA6515" w14:textId="782D4957">
            <w:r>
              <w:t>113</w:t>
            </w:r>
          </w:p>
        </w:tc>
        <w:tc>
          <w:tcPr>
            <w:tcW w:w="2158" w:type="dxa"/>
          </w:tcPr>
          <w:p w:rsidR="00D67B5C" w:rsidP="00376728" w:rsidRDefault="00D67B5C" w14:paraId="6A04B2CA" w14:textId="36CCEEB4">
            <w:r>
              <w:t>12 hours per report</w:t>
            </w:r>
          </w:p>
        </w:tc>
        <w:tc>
          <w:tcPr>
            <w:tcW w:w="3243" w:type="dxa"/>
          </w:tcPr>
          <w:p w:rsidR="00D67B5C" w:rsidP="00376728" w:rsidRDefault="00D67B5C" w14:paraId="514BD941" w14:textId="339CA769">
            <w:r>
              <w:t>1356 hours</w:t>
            </w:r>
          </w:p>
        </w:tc>
      </w:tr>
      <w:tr w:rsidR="00D67B5C" w:rsidTr="00B2010F" w14:paraId="09AD9FDF" w14:textId="77777777">
        <w:tc>
          <w:tcPr>
            <w:tcW w:w="2157" w:type="dxa"/>
          </w:tcPr>
          <w:p w:rsidR="00D67B5C" w:rsidP="00376728" w:rsidRDefault="00D67B5C" w14:paraId="0B48243C" w14:textId="1394A4B7">
            <w:r>
              <w:t>Underground Storage Annual Report</w:t>
            </w:r>
          </w:p>
        </w:tc>
        <w:tc>
          <w:tcPr>
            <w:tcW w:w="2157" w:type="dxa"/>
          </w:tcPr>
          <w:p w:rsidR="00D67B5C" w:rsidP="00376728" w:rsidRDefault="00D67B5C" w14:paraId="69A2BD1A" w14:textId="64FF8D54">
            <w:r>
              <w:t>124</w:t>
            </w:r>
          </w:p>
        </w:tc>
        <w:tc>
          <w:tcPr>
            <w:tcW w:w="2158" w:type="dxa"/>
          </w:tcPr>
          <w:p w:rsidR="00D67B5C" w:rsidP="00376728" w:rsidRDefault="00D67B5C" w14:paraId="233D8E33" w14:textId="24890205">
            <w:r>
              <w:t>20 hours per report</w:t>
            </w:r>
          </w:p>
        </w:tc>
        <w:tc>
          <w:tcPr>
            <w:tcW w:w="3243" w:type="dxa"/>
          </w:tcPr>
          <w:p w:rsidR="00D67B5C" w:rsidP="00376728" w:rsidRDefault="00D67B5C" w14:paraId="0B8508C2" w14:textId="6C14B7BB">
            <w:r>
              <w:t>2,480 hours</w:t>
            </w:r>
          </w:p>
        </w:tc>
      </w:tr>
      <w:tr w:rsidR="00D67B5C" w:rsidTr="00B2010F" w14:paraId="1C28E2C3" w14:textId="77777777">
        <w:tc>
          <w:tcPr>
            <w:tcW w:w="2157" w:type="dxa"/>
          </w:tcPr>
          <w:p w:rsidR="00D67B5C" w:rsidP="00376728" w:rsidRDefault="00D67B5C" w14:paraId="27A6280A" w14:textId="3C484795">
            <w:r>
              <w:t>Immediate Notice of Incidents</w:t>
            </w:r>
          </w:p>
        </w:tc>
        <w:tc>
          <w:tcPr>
            <w:tcW w:w="2157" w:type="dxa"/>
          </w:tcPr>
          <w:p w:rsidR="00D67B5C" w:rsidP="00376728" w:rsidRDefault="00D67B5C" w14:paraId="2C5AC0E1" w14:textId="4505009F">
            <w:r>
              <w:t xml:space="preserve">570 </w:t>
            </w:r>
          </w:p>
        </w:tc>
        <w:tc>
          <w:tcPr>
            <w:tcW w:w="2158" w:type="dxa"/>
          </w:tcPr>
          <w:p w:rsidR="00D67B5C" w:rsidP="00376728" w:rsidRDefault="00D67B5C" w14:paraId="30A648E3" w14:textId="1DBB4D40">
            <w:r>
              <w:t>0.5 hours per report</w:t>
            </w:r>
          </w:p>
        </w:tc>
        <w:tc>
          <w:tcPr>
            <w:tcW w:w="3243" w:type="dxa"/>
          </w:tcPr>
          <w:p w:rsidR="00D67B5C" w:rsidP="00376728" w:rsidRDefault="00D67B5C" w14:paraId="7646FB70" w14:textId="4C945774">
            <w:r>
              <w:t xml:space="preserve">285 hours </w:t>
            </w:r>
          </w:p>
        </w:tc>
      </w:tr>
      <w:tr w:rsidR="00D67B5C" w:rsidTr="00B2010F" w14:paraId="2C4806D6" w14:textId="77777777">
        <w:tc>
          <w:tcPr>
            <w:tcW w:w="2157" w:type="dxa"/>
            <w:shd w:val="clear" w:color="auto" w:fill="DAEEF3" w:themeFill="accent5" w:themeFillTint="33"/>
          </w:tcPr>
          <w:p w:rsidRPr="00B2010F" w:rsidR="00D67B5C" w:rsidP="00376728" w:rsidRDefault="00D67B5C" w14:paraId="67901C0B" w14:textId="444A6D7D">
            <w:pPr>
              <w:rPr>
                <w:b/>
              </w:rPr>
            </w:pPr>
            <w:r w:rsidRPr="00B2010F">
              <w:rPr>
                <w:b/>
              </w:rPr>
              <w:t xml:space="preserve">Total </w:t>
            </w:r>
          </w:p>
        </w:tc>
        <w:tc>
          <w:tcPr>
            <w:tcW w:w="2157" w:type="dxa"/>
            <w:shd w:val="clear" w:color="auto" w:fill="DAEEF3" w:themeFill="accent5" w:themeFillTint="33"/>
          </w:tcPr>
          <w:p w:rsidRPr="00B2010F" w:rsidR="00D67B5C" w:rsidP="00376728" w:rsidRDefault="000039E9" w14:paraId="1E90BD98" w14:textId="53A7513B">
            <w:pPr>
              <w:rPr>
                <w:b/>
              </w:rPr>
            </w:pPr>
            <w:r>
              <w:rPr>
                <w:b/>
              </w:rPr>
              <w:t>2,247</w:t>
            </w:r>
            <w:r w:rsidRPr="00B2010F" w:rsidR="00B2010F">
              <w:rPr>
                <w:b/>
              </w:rPr>
              <w:t xml:space="preserve"> </w:t>
            </w:r>
            <w:r w:rsidR="00B2010F">
              <w:rPr>
                <w:b/>
              </w:rPr>
              <w:t>Annual Resp</w:t>
            </w:r>
            <w:r w:rsidRPr="00B2010F" w:rsidR="00D67B5C">
              <w:rPr>
                <w:b/>
              </w:rPr>
              <w:t>onses</w:t>
            </w:r>
          </w:p>
        </w:tc>
        <w:tc>
          <w:tcPr>
            <w:tcW w:w="2158" w:type="dxa"/>
            <w:shd w:val="clear" w:color="auto" w:fill="DAEEF3" w:themeFill="accent5" w:themeFillTint="33"/>
          </w:tcPr>
          <w:p w:rsidRPr="00B2010F" w:rsidR="00D67B5C" w:rsidP="00376728" w:rsidRDefault="00D67B5C" w14:paraId="31C643C4" w14:textId="5C508686">
            <w:pPr>
              <w:rPr>
                <w:b/>
              </w:rPr>
            </w:pPr>
          </w:p>
        </w:tc>
        <w:tc>
          <w:tcPr>
            <w:tcW w:w="3243" w:type="dxa"/>
            <w:shd w:val="clear" w:color="auto" w:fill="DAEEF3" w:themeFill="accent5" w:themeFillTint="33"/>
          </w:tcPr>
          <w:p w:rsidRPr="00B2010F" w:rsidR="00D67B5C" w:rsidP="00376728" w:rsidRDefault="00A73B2D" w14:paraId="1E227DFD" w14:textId="7F8208AF">
            <w:pPr>
              <w:rPr>
                <w:b/>
              </w:rPr>
            </w:pPr>
            <w:r>
              <w:rPr>
                <w:b/>
              </w:rPr>
              <w:t>71</w:t>
            </w:r>
            <w:r w:rsidR="00D67B5C">
              <w:rPr>
                <w:b/>
              </w:rPr>
              <w:t xml:space="preserve">, </w:t>
            </w:r>
            <w:r>
              <w:rPr>
                <w:b/>
              </w:rPr>
              <w:t>8</w:t>
            </w:r>
            <w:r w:rsidR="00D67B5C">
              <w:rPr>
                <w:b/>
              </w:rPr>
              <w:t>01</w:t>
            </w:r>
            <w:r w:rsidR="00B2010F">
              <w:rPr>
                <w:b/>
              </w:rPr>
              <w:t xml:space="preserve"> Annual Burden Hours</w:t>
            </w:r>
          </w:p>
        </w:tc>
      </w:tr>
    </w:tbl>
    <w:p w:rsidR="00871BE4" w:rsidP="00376728" w:rsidRDefault="00871BE4" w14:paraId="1757AB6C" w14:textId="757FC6DA"/>
    <w:p w:rsidR="00871BE4" w:rsidP="00376728" w:rsidRDefault="00871BE4" w14:paraId="41FC9D5E" w14:textId="5E57C629"/>
    <w:p w:rsidRPr="006077EB" w:rsidR="00871BE4" w:rsidP="00376728" w:rsidRDefault="00871BE4" w14:paraId="6859F679" w14:textId="77777777"/>
    <w:p w:rsidR="004602FF" w:rsidP="004602FF" w:rsidRDefault="004602FF" w14:paraId="4FB12602" w14:textId="77777777">
      <w:pPr>
        <w:rPr>
          <w:i/>
        </w:rPr>
      </w:pPr>
      <w:r>
        <w:rPr>
          <w:i/>
        </w:rPr>
        <w:t>(a) Annual Reports for gas transmission and gas gathering systems, LNG Facilities, and underground natural gas storage facilities (Section 191.17) w</w:t>
      </w:r>
      <w:r>
        <w:rPr>
          <w:b/>
          <w:i/>
        </w:rPr>
        <w:t>/</w:t>
      </w:r>
      <w:r>
        <w:rPr>
          <w:i/>
        </w:rPr>
        <w:t>1677 responses</w:t>
      </w:r>
    </w:p>
    <w:p w:rsidR="004602FF" w:rsidP="004602FF" w:rsidRDefault="004602FF" w14:paraId="5742504B" w14:textId="64B43A8C">
      <w:pPr>
        <w:rPr>
          <w:i/>
        </w:rPr>
      </w:pPr>
    </w:p>
    <w:p w:rsidRPr="006077EB" w:rsidR="00376728" w:rsidP="00376728" w:rsidRDefault="00376728" w14:paraId="79BD02FF" w14:textId="77777777"/>
    <w:p w:rsidRPr="006077EB" w:rsidR="00376728" w:rsidP="00376728" w:rsidRDefault="00376728" w14:paraId="6328DF74" w14:textId="77777777">
      <w:r w:rsidRPr="006077EB">
        <w:t>Annual reports are required for all operators of gas transmission and gathering pipeline</w:t>
      </w:r>
      <w:r w:rsidR="00AE4DA5">
        <w:t xml:space="preserve"> </w:t>
      </w:r>
      <w:r w:rsidRPr="006077EB">
        <w:t>s</w:t>
      </w:r>
      <w:r w:rsidR="00AE4DA5">
        <w:t>ystems</w:t>
      </w:r>
      <w:r w:rsidRPr="006077EB" w:rsidR="00CE1FF7">
        <w:t xml:space="preserve">, </w:t>
      </w:r>
      <w:r w:rsidR="00A66F27">
        <w:t xml:space="preserve">liquefied natural gas </w:t>
      </w:r>
      <w:r w:rsidR="00AE4DA5">
        <w:t xml:space="preserve">facilities </w:t>
      </w:r>
      <w:r w:rsidR="00A66F27">
        <w:t xml:space="preserve">and </w:t>
      </w:r>
      <w:r w:rsidR="00D93F00">
        <w:t xml:space="preserve">underground natural gas storage </w:t>
      </w:r>
      <w:r w:rsidRPr="006077EB" w:rsidR="00CE1FF7">
        <w:t>facilities</w:t>
      </w:r>
      <w:r w:rsidRPr="006077EB">
        <w:t xml:space="preserve">.  An explanation of the estimated burden for </w:t>
      </w:r>
      <w:r w:rsidR="00A66F27">
        <w:t xml:space="preserve">each </w:t>
      </w:r>
      <w:r w:rsidR="00DC418F">
        <w:t xml:space="preserve">report collection </w:t>
      </w:r>
      <w:r w:rsidRPr="006077EB">
        <w:t xml:space="preserve">is detailed as follows: </w:t>
      </w:r>
    </w:p>
    <w:p w:rsidRPr="006077EB" w:rsidR="00376728" w:rsidP="00376728" w:rsidRDefault="00376728" w14:paraId="321157DB" w14:textId="77777777"/>
    <w:p w:rsidRPr="006077EB" w:rsidR="00C06182" w:rsidP="00376728" w:rsidRDefault="00C06182" w14:paraId="5E6449EB" w14:textId="77777777"/>
    <w:p w:rsidRPr="006077EB" w:rsidR="00376728" w:rsidP="00160A14" w:rsidRDefault="00A66F27" w14:paraId="4874A2A6" w14:textId="77777777">
      <w:pPr>
        <w:ind w:firstLine="720"/>
        <w:rPr>
          <w:b/>
          <w:u w:val="single"/>
        </w:rPr>
      </w:pPr>
      <w:r>
        <w:t>1</w:t>
      </w:r>
      <w:r w:rsidRPr="006077EB" w:rsidR="00376728">
        <w:t>. Transmission Systems Annual Report</w:t>
      </w:r>
      <w:r w:rsidRPr="006077EB" w:rsidR="00864F8D">
        <w:t xml:space="preserve"> </w:t>
      </w:r>
      <w:r w:rsidRPr="00FC781F" w:rsidR="00864F8D">
        <w:rPr>
          <w:u w:val="single"/>
        </w:rPr>
        <w:t>(</w:t>
      </w:r>
      <w:r w:rsidR="00DE640B">
        <w:rPr>
          <w:b/>
          <w:u w:val="single"/>
        </w:rPr>
        <w:t>67,680</w:t>
      </w:r>
      <w:r w:rsidRPr="00FC781F" w:rsidR="00864F8D">
        <w:rPr>
          <w:b/>
          <w:u w:val="single"/>
        </w:rPr>
        <w:t xml:space="preserve"> hours)</w:t>
      </w:r>
    </w:p>
    <w:p w:rsidR="007C389F" w:rsidP="00376728" w:rsidRDefault="009B251B" w14:paraId="3D9091D2" w14:textId="77777777">
      <w:r w:rsidRPr="006077EB">
        <w:t xml:space="preserve">PHMSA </w:t>
      </w:r>
      <w:r w:rsidR="00C906B8">
        <w:t>estimates that it receives</w:t>
      </w:r>
      <w:r w:rsidRPr="006077EB" w:rsidR="00C906B8">
        <w:t xml:space="preserve"> </w:t>
      </w:r>
      <w:r w:rsidRPr="006077EB">
        <w:t xml:space="preserve">approximately 1,440 gas transmission annual reports each year.  </w:t>
      </w:r>
      <w:r w:rsidR="00C906B8">
        <w:t xml:space="preserve">PHMSA </w:t>
      </w:r>
      <w:r w:rsidR="001F3CB9">
        <w:t xml:space="preserve">previously </w:t>
      </w:r>
      <w:r w:rsidR="00C906B8">
        <w:t>estimate</w:t>
      </w:r>
      <w:r w:rsidR="001F3CB9">
        <w:t>d</w:t>
      </w:r>
      <w:r w:rsidR="00C906B8">
        <w:t xml:space="preserve"> that it </w:t>
      </w:r>
      <w:r w:rsidR="00DE640B">
        <w:t xml:space="preserve">would </w:t>
      </w:r>
      <w:r w:rsidR="00C906B8">
        <w:t xml:space="preserve">take operators of natural gas transmission and gathering systems approximately 42 hours, per response, to satisfy the reporting requirement.  This includes time for reviewing instructions, gathering the data needed, completing, reviewing and submitting the requested data. </w:t>
      </w:r>
      <w:r w:rsidRPr="00C12253" w:rsidR="00DE640B">
        <w:rPr>
          <w:iCs/>
        </w:rPr>
        <w:t>Based on the proposed revisions</w:t>
      </w:r>
      <w:r w:rsidR="00DE640B">
        <w:rPr>
          <w:iCs/>
        </w:rPr>
        <w:t xml:space="preserve"> associated with the </w:t>
      </w:r>
      <w:r w:rsidRPr="00EA698A" w:rsidR="00DE640B">
        <w:rPr>
          <w:bCs/>
        </w:rPr>
        <w:t>Pipeline Safety:</w:t>
      </w:r>
      <w:r w:rsidRPr="00EA698A" w:rsidR="00DE640B">
        <w:rPr>
          <w:rFonts w:ascii="Segoe UI" w:hAnsi="Segoe UI" w:cs="Segoe UI"/>
          <w:bCs/>
        </w:rPr>
        <w:t>  </w:t>
      </w:r>
      <w:r w:rsidRPr="00EA698A" w:rsidR="00DE640B">
        <w:rPr>
          <w:bCs/>
        </w:rPr>
        <w:t>Safety of Gas Transmission Pipelines:</w:t>
      </w:r>
      <w:r w:rsidRPr="00EA698A" w:rsidR="00DE640B">
        <w:rPr>
          <w:rFonts w:ascii="Segoe UI" w:hAnsi="Segoe UI" w:cs="Segoe UI"/>
          <w:bCs/>
        </w:rPr>
        <w:t>  </w:t>
      </w:r>
      <w:r w:rsidRPr="00EA698A" w:rsidR="00DE640B">
        <w:rPr>
          <w:bCs/>
        </w:rPr>
        <w:t>MAOP Reconfirmation, Expansion of Assessment Requirements, and Other Related Amendments</w:t>
      </w:r>
      <w:r w:rsidR="00DE640B">
        <w:rPr>
          <w:bCs/>
        </w:rPr>
        <w:t xml:space="preserve"> Final Rule</w:t>
      </w:r>
      <w:r w:rsidR="00DE640B">
        <w:rPr>
          <w:iCs/>
        </w:rPr>
        <w:t xml:space="preserve">, PHMSA estimates that completing the Gas Transmission and Gathering </w:t>
      </w:r>
      <w:r w:rsidRPr="00C12253" w:rsidR="00DE640B">
        <w:rPr>
          <w:iCs/>
        </w:rPr>
        <w:t>Annual report will require an additional 5 hours</w:t>
      </w:r>
      <w:r w:rsidR="00DE640B">
        <w:rPr>
          <w:iCs/>
        </w:rPr>
        <w:t xml:space="preserve"> per r</w:t>
      </w:r>
      <w:r w:rsidRPr="00C12253" w:rsidR="00DE640B">
        <w:rPr>
          <w:iCs/>
        </w:rPr>
        <w:t xml:space="preserve">eport to </w:t>
      </w:r>
      <w:r w:rsidR="00DE640B">
        <w:rPr>
          <w:iCs/>
        </w:rPr>
        <w:t xml:space="preserve">include the newly required data increasing the burden for each report to 47 burden hours for an overall </w:t>
      </w:r>
      <w:r w:rsidRPr="00DE640B" w:rsidR="00DE640B">
        <w:rPr>
          <w:b/>
          <w:iCs/>
        </w:rPr>
        <w:t>burden increase of 7,200</w:t>
      </w:r>
      <w:r w:rsidR="00DE640B">
        <w:rPr>
          <w:iCs/>
        </w:rPr>
        <w:t xml:space="preserve"> burden hours across all natural gas transmission operators. </w:t>
      </w:r>
      <w:r w:rsidR="00C906B8">
        <w:t xml:space="preserve">Accordingly, PHMSA estimates the burden associated with collecting Gas </w:t>
      </w:r>
      <w:r w:rsidR="00C906B8">
        <w:lastRenderedPageBreak/>
        <w:t xml:space="preserve">Transmission and Gathering Systems annual data to be </w:t>
      </w:r>
      <w:r w:rsidR="00DE640B">
        <w:t>67,680</w:t>
      </w:r>
      <w:r w:rsidR="00C906B8">
        <w:t xml:space="preserve"> hours (1,</w:t>
      </w:r>
      <w:r w:rsidR="00985A9F">
        <w:t>4</w:t>
      </w:r>
      <w:r w:rsidR="00C906B8">
        <w:t>40 reports *</w:t>
      </w:r>
      <w:r w:rsidR="00DE640B">
        <w:t xml:space="preserve">47 </w:t>
      </w:r>
      <w:r w:rsidR="00C906B8">
        <w:t>hours per report)</w:t>
      </w:r>
      <w:r w:rsidR="00F418DE">
        <w:t xml:space="preserve"> each year.</w:t>
      </w:r>
    </w:p>
    <w:p w:rsidRPr="006077EB" w:rsidR="00C906B8" w:rsidP="00376728" w:rsidRDefault="00C906B8" w14:paraId="6E37051F" w14:textId="77777777"/>
    <w:p w:rsidRPr="006077EB" w:rsidR="00DA38F0" w:rsidP="00160A14" w:rsidRDefault="00C906B8" w14:paraId="4FCC5C50" w14:textId="77777777">
      <w:pPr>
        <w:ind w:firstLine="720"/>
      </w:pPr>
      <w:r>
        <w:t>2</w:t>
      </w:r>
      <w:r w:rsidRPr="006077EB" w:rsidR="00DA38F0">
        <w:t xml:space="preserve">. LNG Annual Report </w:t>
      </w:r>
      <w:r w:rsidRPr="006077EB" w:rsidR="00DA38F0">
        <w:rPr>
          <w:u w:val="single"/>
        </w:rPr>
        <w:t>(</w:t>
      </w:r>
      <w:r w:rsidRPr="007A51FB" w:rsidR="00CE1FF7">
        <w:rPr>
          <w:b/>
          <w:u w:val="single"/>
        </w:rPr>
        <w:t>1,356 hours</w:t>
      </w:r>
      <w:r w:rsidRPr="006077EB" w:rsidR="00DA38F0">
        <w:rPr>
          <w:u w:val="single"/>
        </w:rPr>
        <w:t>)</w:t>
      </w:r>
    </w:p>
    <w:p w:rsidR="00376728" w:rsidP="00376728" w:rsidRDefault="007671AC" w14:paraId="6DFE522F" w14:textId="77777777">
      <w:r w:rsidRPr="006077EB">
        <w:t>PHMSA estimates that there are 82 LNG pipeline operators for 113 LNG facilities.</w:t>
      </w:r>
      <w:r w:rsidRPr="006077EB" w:rsidR="00376728">
        <w:t xml:space="preserve"> </w:t>
      </w:r>
      <w:r w:rsidRPr="006077EB" w:rsidR="00DA38F0">
        <w:t>PHMSA e</w:t>
      </w:r>
      <w:r w:rsidR="00C906B8">
        <w:t xml:space="preserve">xpects to receive an annual report submission for each of the 113 LNG facilities.  PHMSA </w:t>
      </w:r>
      <w:r w:rsidR="00F418DE">
        <w:t>estimates that it will take LNG operators 12 hours to prepare each annual report submission.  This includes the time it will take to review instructions, gathering the data needed, completing, reviewing and submitting the requested data.  Accordingly, PHMSA e</w:t>
      </w:r>
      <w:r w:rsidRPr="006077EB" w:rsidR="00DA38F0">
        <w:t xml:space="preserve">stimates the information collection burden </w:t>
      </w:r>
      <w:r w:rsidR="00F418DE">
        <w:t>associated with</w:t>
      </w:r>
      <w:r w:rsidRPr="006077EB" w:rsidR="00DA38F0">
        <w:t xml:space="preserve"> the LNG annual report</w:t>
      </w:r>
      <w:r w:rsidR="00F418DE">
        <w:t xml:space="preserve"> information collection</w:t>
      </w:r>
      <w:r w:rsidRPr="006077EB" w:rsidR="00DA38F0">
        <w:t xml:space="preserve"> </w:t>
      </w:r>
      <w:r w:rsidRPr="006077EB" w:rsidR="00D34FE9">
        <w:t xml:space="preserve">to </w:t>
      </w:r>
      <w:r w:rsidRPr="006077EB" w:rsidR="00DA38F0">
        <w:t>be approximately 1,356 hours (</w:t>
      </w:r>
      <w:r w:rsidRPr="006077EB">
        <w:t xml:space="preserve">113 LNG </w:t>
      </w:r>
      <w:r w:rsidR="00F418DE">
        <w:t>reports</w:t>
      </w:r>
      <w:r w:rsidRPr="006077EB" w:rsidR="00DA38F0">
        <w:t xml:space="preserve">* 12 hours </w:t>
      </w:r>
      <w:r w:rsidR="00F418DE">
        <w:t>per</w:t>
      </w:r>
      <w:r w:rsidRPr="006077EB" w:rsidR="00DA38F0">
        <w:t xml:space="preserve"> report) </w:t>
      </w:r>
      <w:r w:rsidR="00F418DE">
        <w:t>each</w:t>
      </w:r>
      <w:r w:rsidRPr="006077EB" w:rsidR="00F418DE">
        <w:t xml:space="preserve"> </w:t>
      </w:r>
      <w:r w:rsidRPr="006077EB" w:rsidR="00DA38F0">
        <w:t>year.</w:t>
      </w:r>
    </w:p>
    <w:p w:rsidR="00D93F00" w:rsidP="00376728" w:rsidRDefault="00D93F00" w14:paraId="50A3CF35" w14:textId="77777777"/>
    <w:p w:rsidR="00D93F00" w:rsidP="00C35A6E" w:rsidRDefault="00DC418F" w14:paraId="37510117" w14:textId="77777777">
      <w:pPr>
        <w:ind w:firstLine="720"/>
      </w:pPr>
      <w:r>
        <w:t>3</w:t>
      </w:r>
      <w:r w:rsidR="00C35A6E">
        <w:t>. Underground Natural Gas Storage Facility Annual Report (</w:t>
      </w:r>
      <w:r w:rsidRPr="00985A9F" w:rsidR="007A51FB">
        <w:rPr>
          <w:b/>
          <w:u w:val="single"/>
        </w:rPr>
        <w:t xml:space="preserve">2,480 </w:t>
      </w:r>
      <w:r w:rsidRPr="00985A9F" w:rsidR="00C35A6E">
        <w:rPr>
          <w:b/>
          <w:u w:val="single"/>
        </w:rPr>
        <w:t>hours</w:t>
      </w:r>
      <w:r w:rsidR="00C35A6E">
        <w:t>)</w:t>
      </w:r>
    </w:p>
    <w:p w:rsidR="00C35A6E" w:rsidP="00C35A6E" w:rsidRDefault="00C35A6E" w14:paraId="39A3AB38" w14:textId="77777777"/>
    <w:p w:rsidRPr="006077EB" w:rsidR="00C35A6E" w:rsidP="00C35A6E" w:rsidRDefault="00352F4B" w14:paraId="56EC5158" w14:textId="77777777">
      <w:r>
        <w:t>49 CFR § 191.17 requires e</w:t>
      </w:r>
      <w:r w:rsidRPr="00C4399F">
        <w:t xml:space="preserve">ach operator of </w:t>
      </w:r>
      <w:r>
        <w:t xml:space="preserve">an </w:t>
      </w:r>
      <w:r w:rsidRPr="00C4399F">
        <w:t xml:space="preserve">underground </w:t>
      </w:r>
      <w:r>
        <w:t xml:space="preserve">natural </w:t>
      </w:r>
      <w:r w:rsidRPr="00C4399F">
        <w:t xml:space="preserve">gas storage </w:t>
      </w:r>
      <w:r>
        <w:t>facility</w:t>
      </w:r>
      <w:r w:rsidRPr="00C4399F">
        <w:t xml:space="preserve"> </w:t>
      </w:r>
      <w:r>
        <w:t xml:space="preserve">to </w:t>
      </w:r>
      <w:r w:rsidRPr="00C4399F">
        <w:t xml:space="preserve">submit </w:t>
      </w:r>
      <w:r>
        <w:t>an annual report on DOT PHMSA Form 7100.4-1</w:t>
      </w:r>
      <w:r w:rsidRPr="00C4399F">
        <w:t xml:space="preserve"> by March 15, </w:t>
      </w:r>
      <w:r>
        <w:t>for</w:t>
      </w:r>
      <w:r w:rsidRPr="00C4399F">
        <w:t xml:space="preserve"> the preceding calendar year</w:t>
      </w:r>
      <w:r w:rsidR="007A1447">
        <w:t>.</w:t>
      </w:r>
      <w:r w:rsidRPr="00B46111">
        <w:t xml:space="preserve"> </w:t>
      </w:r>
      <w:r w:rsidR="00C35A6E">
        <w:rPr>
          <w:iCs/>
        </w:rPr>
        <w:t>PHMSA estimates that there are 124 operators of underground natural gas storage facilities.  PHMSA expects each of the</w:t>
      </w:r>
      <w:r w:rsidR="00DC418F">
        <w:rPr>
          <w:iCs/>
        </w:rPr>
        <w:t>se</w:t>
      </w:r>
      <w:r w:rsidR="00C35A6E">
        <w:rPr>
          <w:iCs/>
        </w:rPr>
        <w:t xml:space="preserve"> operators to spend </w:t>
      </w:r>
      <w:r w:rsidR="007A51FB">
        <w:rPr>
          <w:iCs/>
        </w:rPr>
        <w:t xml:space="preserve">20 </w:t>
      </w:r>
      <w:r w:rsidR="00C35A6E">
        <w:rPr>
          <w:iCs/>
        </w:rPr>
        <w:t>hours</w:t>
      </w:r>
      <w:r w:rsidR="00DC418F">
        <w:rPr>
          <w:iCs/>
        </w:rPr>
        <w:t>,</w:t>
      </w:r>
      <w:r w:rsidR="00C35A6E">
        <w:rPr>
          <w:iCs/>
        </w:rPr>
        <w:t xml:space="preserve"> annually,</w:t>
      </w:r>
      <w:r w:rsidRPr="00E5701A" w:rsidR="00C35A6E">
        <w:rPr>
          <w:iCs/>
        </w:rPr>
        <w:t xml:space="preserve"> </w:t>
      </w:r>
      <w:r w:rsidR="00DC418F">
        <w:rPr>
          <w:iCs/>
        </w:rPr>
        <w:t xml:space="preserve">to prepare annual report submissions.  This includes </w:t>
      </w:r>
      <w:r w:rsidRPr="00E5701A" w:rsidR="00C35A6E">
        <w:rPr>
          <w:iCs/>
        </w:rPr>
        <w:t>time for reviewing instructions, gathering the data needed, reviewing</w:t>
      </w:r>
      <w:r w:rsidR="00C35A6E">
        <w:rPr>
          <w:iCs/>
        </w:rPr>
        <w:t xml:space="preserve"> the required data, </w:t>
      </w:r>
      <w:r w:rsidR="00DC418F">
        <w:rPr>
          <w:iCs/>
        </w:rPr>
        <w:t xml:space="preserve">and </w:t>
      </w:r>
      <w:r w:rsidR="00C35A6E">
        <w:rPr>
          <w:iCs/>
        </w:rPr>
        <w:t>completing</w:t>
      </w:r>
      <w:r w:rsidR="00DC418F">
        <w:rPr>
          <w:iCs/>
        </w:rPr>
        <w:t xml:space="preserve"> and submitting</w:t>
      </w:r>
      <w:r w:rsidR="00C35A6E">
        <w:rPr>
          <w:iCs/>
        </w:rPr>
        <w:t xml:space="preserve"> PHMSA Form 7100.4-1for an overall burden of </w:t>
      </w:r>
      <w:r w:rsidR="007A51FB">
        <w:rPr>
          <w:iCs/>
        </w:rPr>
        <w:t>2,480</w:t>
      </w:r>
      <w:r w:rsidR="00964E71">
        <w:rPr>
          <w:iCs/>
        </w:rPr>
        <w:t xml:space="preserve"> </w:t>
      </w:r>
      <w:r w:rsidR="00C35A6E">
        <w:rPr>
          <w:iCs/>
        </w:rPr>
        <w:t>hours</w:t>
      </w:r>
      <w:r w:rsidR="00DC418F">
        <w:rPr>
          <w:iCs/>
        </w:rPr>
        <w:t xml:space="preserve"> (124 reports *</w:t>
      </w:r>
      <w:r w:rsidR="00931E3E">
        <w:rPr>
          <w:iCs/>
        </w:rPr>
        <w:t xml:space="preserve">20 </w:t>
      </w:r>
      <w:r w:rsidR="00DC418F">
        <w:rPr>
          <w:iCs/>
        </w:rPr>
        <w:t>hours per report)</w:t>
      </w:r>
      <w:r w:rsidR="00C35A6E">
        <w:rPr>
          <w:iCs/>
        </w:rPr>
        <w:t xml:space="preserve"> for annual report submissions.</w:t>
      </w:r>
    </w:p>
    <w:p w:rsidRPr="006077EB" w:rsidR="00DA38F0" w:rsidP="00376728" w:rsidRDefault="00DA38F0" w14:paraId="42F97A2E" w14:textId="77777777"/>
    <w:p w:rsidR="00936673" w:rsidP="00936673" w:rsidRDefault="000039E9" w14:paraId="5720735E" w14:textId="3AFA6B09">
      <w:pPr>
        <w:rPr>
          <w:i/>
        </w:rPr>
      </w:pPr>
      <w:r>
        <w:rPr>
          <w:i/>
        </w:rPr>
        <w:t xml:space="preserve"> </w:t>
      </w:r>
      <w:r w:rsidR="004602FF">
        <w:rPr>
          <w:i/>
        </w:rPr>
        <w:t>(</w:t>
      </w:r>
      <w:r>
        <w:rPr>
          <w:i/>
        </w:rPr>
        <w:t>b</w:t>
      </w:r>
      <w:r w:rsidR="004602FF">
        <w:rPr>
          <w:i/>
        </w:rPr>
        <w:t xml:space="preserve">) </w:t>
      </w:r>
      <w:r w:rsidR="00936673">
        <w:rPr>
          <w:i/>
        </w:rPr>
        <w:t>Immediate Notice of Incidents (Section 191.5) w/570 Responses</w:t>
      </w:r>
    </w:p>
    <w:p w:rsidR="00936673" w:rsidP="00936673" w:rsidRDefault="00936673" w14:paraId="12F6B950" w14:textId="77777777">
      <w:pPr>
        <w:rPr>
          <w:i/>
        </w:rPr>
      </w:pPr>
    </w:p>
    <w:p w:rsidR="00936673" w:rsidP="00936673" w:rsidRDefault="00936673" w14:paraId="1E2FF593" w14:textId="77777777">
      <w:r>
        <w:t xml:space="preserve">Gas Pipeline operators are required to provide immediate notification of incidents as detailed in § 191.5.  Based on past estimates, there was an annual average of 570 immediate notifications.  PHMSA estimates that these notifications are estimated to require 30 minutes for operators to complete.  The total time is expected to be </w:t>
      </w:r>
      <w:r>
        <w:rPr>
          <w:b/>
        </w:rPr>
        <w:t>285 hours</w:t>
      </w:r>
      <w:r>
        <w:t xml:space="preserve"> (= 570 reports x 0.5 hours).  </w:t>
      </w:r>
    </w:p>
    <w:p w:rsidRPr="006077EB" w:rsidR="00936673" w:rsidP="007C389F" w:rsidRDefault="00936673" w14:paraId="22F4B73E" w14:textId="77777777"/>
    <w:p w:rsidRPr="006077EB" w:rsidR="007C389F" w:rsidP="00376728" w:rsidRDefault="007C389F" w14:paraId="77C78D36" w14:textId="77777777">
      <w:pPr>
        <w:rPr>
          <w:b/>
          <w:bCs/>
          <w:i/>
          <w:sz w:val="32"/>
        </w:rPr>
      </w:pPr>
    </w:p>
    <w:p w:rsidRPr="006077EB" w:rsidR="00376728" w:rsidP="00376728" w:rsidRDefault="00160A14" w14:paraId="3D8139D1" w14:textId="61A4567C">
      <w:pPr>
        <w:rPr>
          <w:b/>
          <w:bCs/>
          <w:i/>
        </w:rPr>
      </w:pPr>
      <w:r w:rsidRPr="006077EB">
        <w:rPr>
          <w:b/>
          <w:bCs/>
          <w:i/>
        </w:rPr>
        <w:t>(</w:t>
      </w:r>
      <w:r w:rsidR="000039E9">
        <w:rPr>
          <w:b/>
          <w:bCs/>
          <w:i/>
        </w:rPr>
        <w:t>c</w:t>
      </w:r>
      <w:r w:rsidRPr="006077EB">
        <w:rPr>
          <w:b/>
          <w:bCs/>
          <w:i/>
        </w:rPr>
        <w:t xml:space="preserve">) </w:t>
      </w:r>
      <w:r w:rsidRPr="006077EB" w:rsidR="00376728">
        <w:rPr>
          <w:b/>
          <w:bCs/>
          <w:i/>
        </w:rPr>
        <w:t>Total Hours:</w:t>
      </w:r>
    </w:p>
    <w:p w:rsidRPr="006077EB" w:rsidR="00376728" w:rsidP="00376728" w:rsidRDefault="00376728" w14:paraId="2193ED35" w14:textId="5480EE57">
      <w:pPr>
        <w:rPr>
          <w:b/>
          <w:bCs/>
        </w:rPr>
      </w:pPr>
      <w:r w:rsidRPr="006077EB">
        <w:rPr>
          <w:bCs/>
        </w:rPr>
        <w:t>Telephonic Notification (285 hours) Annual Reports (</w:t>
      </w:r>
      <w:r w:rsidRPr="006077EB" w:rsidR="00544F07">
        <w:rPr>
          <w:bCs/>
        </w:rPr>
        <w:t>+</w:t>
      </w:r>
      <w:r w:rsidR="00DE640B">
        <w:t xml:space="preserve">67,680 </w:t>
      </w:r>
      <w:r w:rsidRPr="006077EB" w:rsidR="00544F07">
        <w:rPr>
          <w:bCs/>
        </w:rPr>
        <w:t>+1,356</w:t>
      </w:r>
      <w:r w:rsidR="00183684">
        <w:rPr>
          <w:bCs/>
        </w:rPr>
        <w:t>+</w:t>
      </w:r>
      <w:r w:rsidR="00985A9F">
        <w:rPr>
          <w:bCs/>
        </w:rPr>
        <w:t>2,480</w:t>
      </w:r>
      <w:r w:rsidRPr="006077EB">
        <w:rPr>
          <w:bCs/>
        </w:rPr>
        <w:t>)</w:t>
      </w:r>
      <w:r w:rsidRPr="006077EB" w:rsidR="00160A14">
        <w:rPr>
          <w:bCs/>
        </w:rPr>
        <w:t xml:space="preserve"> </w:t>
      </w:r>
      <w:r w:rsidRPr="006077EB">
        <w:rPr>
          <w:bCs/>
        </w:rPr>
        <w:t xml:space="preserve">= </w:t>
      </w:r>
      <w:r w:rsidR="000039E9">
        <w:rPr>
          <w:b/>
          <w:bCs/>
        </w:rPr>
        <w:t>71</w:t>
      </w:r>
      <w:r w:rsidR="00DC0A08">
        <w:rPr>
          <w:b/>
          <w:bCs/>
        </w:rPr>
        <w:t>,</w:t>
      </w:r>
      <w:r w:rsidR="000039E9">
        <w:rPr>
          <w:b/>
          <w:bCs/>
        </w:rPr>
        <w:t>8</w:t>
      </w:r>
      <w:r w:rsidR="00DC0A08">
        <w:rPr>
          <w:b/>
          <w:bCs/>
        </w:rPr>
        <w:t>01</w:t>
      </w:r>
      <w:r w:rsidR="00C60E56">
        <w:rPr>
          <w:b/>
          <w:bCs/>
        </w:rPr>
        <w:t xml:space="preserve"> </w:t>
      </w:r>
      <w:r w:rsidRPr="00183684" w:rsidR="00160A14">
        <w:rPr>
          <w:b/>
          <w:bCs/>
        </w:rPr>
        <w:t>hours</w:t>
      </w:r>
      <w:r w:rsidRPr="006077EB" w:rsidR="00160A14">
        <w:rPr>
          <w:bCs/>
        </w:rPr>
        <w:t>.</w:t>
      </w:r>
      <w:r w:rsidR="00DC0A08">
        <w:rPr>
          <w:bCs/>
        </w:rPr>
        <w:t xml:space="preserve">  </w:t>
      </w:r>
    </w:p>
    <w:p w:rsidRPr="006077EB" w:rsidR="009E6DCC" w:rsidP="009E6DCC" w:rsidRDefault="009E6DCC" w14:paraId="42FFBB68" w14:textId="77777777"/>
    <w:p w:rsidR="00376728" w:rsidP="00376728" w:rsidRDefault="00376728" w14:paraId="07DA5CEE" w14:textId="77777777">
      <w:pPr>
        <w:rPr>
          <w:bCs/>
        </w:rPr>
      </w:pPr>
    </w:p>
    <w:p w:rsidR="00376728" w:rsidP="00376728" w:rsidRDefault="00376728" w14:paraId="5F2BD506" w14:textId="77777777">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P="00376728" w:rsidRDefault="00376728" w14:paraId="2F983AB8" w14:textId="77777777"/>
    <w:p w:rsidRPr="005959AF" w:rsidR="005959AF" w:rsidP="005959AF" w:rsidRDefault="005959AF" w14:paraId="346CBF66" w14:textId="77777777">
      <w:pPr>
        <w:autoSpaceDE w:val="0"/>
        <w:autoSpaceDN w:val="0"/>
        <w:adjustRightInd w:val="0"/>
        <w:rPr>
          <w:bCs/>
        </w:rPr>
      </w:pPr>
      <w:r w:rsidRPr="006077EB">
        <w:t>PHMSA assumes that the reporting would be made by an engineering manager</w:t>
      </w:r>
      <w:r>
        <w:rPr>
          <w:bCs/>
        </w:rPr>
        <w:t xml:space="preserve">.  </w:t>
      </w:r>
      <w:r w:rsidRPr="005959AF">
        <w:rPr>
          <w:bCs/>
        </w:rPr>
        <w:t>Based on the industry-specific occupational and wage estimates provided by the U.S. Department of Labor’s Bureau of Labor Statistics, median hourly wage of an engineering manager (for NAICS 486000 – pipeline transportation)</w:t>
      </w:r>
      <w:r w:rsidRPr="005959AF">
        <w:rPr>
          <w:rFonts w:ascii="Courier" w:hAnsi="Courier"/>
          <w:bCs/>
        </w:rPr>
        <w:footnoteReference w:id="1"/>
      </w:r>
      <w:r w:rsidRPr="005959AF">
        <w:rPr>
          <w:bCs/>
        </w:rPr>
        <w:t xml:space="preserve"> is estimated as $77.50. Using an </w:t>
      </w:r>
      <w:r w:rsidRPr="005959AF">
        <w:rPr>
          <w:bCs/>
        </w:rPr>
        <w:lastRenderedPageBreak/>
        <w:t xml:space="preserve">estimated fringe benefit of approximately 35 percent, the recordkeeping requirements for the gas operators are prepared at the average rate of $104.63 per hour. </w:t>
      </w:r>
    </w:p>
    <w:p w:rsidR="005959AF" w:rsidP="005959AF" w:rsidRDefault="005959AF" w14:paraId="4AF78272" w14:textId="77777777"/>
    <w:p w:rsidR="005959AF" w:rsidP="005959AF" w:rsidRDefault="005959AF" w14:paraId="145439D1" w14:textId="2AAFE148">
      <w:r w:rsidRPr="006077EB">
        <w:t>The total annual estimated costs for this information collection with all of the incorporated proposals would be $</w:t>
      </w:r>
      <w:r w:rsidR="000039E9">
        <w:t>7</w:t>
      </w:r>
      <w:r>
        <w:t>,</w:t>
      </w:r>
      <w:r w:rsidR="000039E9">
        <w:t>512</w:t>
      </w:r>
      <w:r>
        <w:t>,</w:t>
      </w:r>
      <w:r w:rsidR="000039E9">
        <w:t>538</w:t>
      </w:r>
      <w:r>
        <w:t>.63</w:t>
      </w:r>
      <w:r w:rsidRPr="006077EB">
        <w:t xml:space="preserve"> (= $</w:t>
      </w:r>
      <w:r>
        <w:t>104.63</w:t>
      </w:r>
      <w:r w:rsidRPr="006077EB">
        <w:t xml:space="preserve"> * </w:t>
      </w:r>
      <w:r w:rsidR="000039E9">
        <w:t>71</w:t>
      </w:r>
      <w:r>
        <w:t>,</w:t>
      </w:r>
      <w:r w:rsidR="000039E9">
        <w:t>8</w:t>
      </w:r>
      <w:r>
        <w:t>01</w:t>
      </w:r>
      <w:r w:rsidRPr="006077EB">
        <w:t xml:space="preserve"> hours)</w:t>
      </w:r>
    </w:p>
    <w:p w:rsidR="00376728" w:rsidP="00376728" w:rsidRDefault="00376728" w14:paraId="00BA0B4D" w14:textId="77777777"/>
    <w:p w:rsidR="00B2010F" w:rsidP="00376728" w:rsidRDefault="00B2010F" w14:paraId="4CCC64F1" w14:textId="77777777">
      <w:pPr>
        <w:rPr>
          <w:bCs/>
        </w:rPr>
      </w:pPr>
    </w:p>
    <w:p w:rsidR="00376728" w:rsidP="00376728" w:rsidRDefault="00376728" w14:paraId="7C503E3E" w14:textId="6953BED2">
      <w:r w:rsidRPr="004B4409">
        <w:rPr>
          <w:bCs/>
        </w:rPr>
        <w:t xml:space="preserve">14. </w:t>
      </w:r>
      <w:r w:rsidRPr="004B4409">
        <w:rPr>
          <w:bCs/>
        </w:rPr>
        <w:tab/>
      </w:r>
      <w:r w:rsidRPr="004B4409">
        <w:rPr>
          <w:bCs/>
          <w:u w:val="single"/>
        </w:rPr>
        <w:t>Estimate of cost to the Federal Government.</w:t>
      </w:r>
      <w:r w:rsidRPr="004B4409">
        <w:t xml:space="preserve"> </w:t>
      </w:r>
    </w:p>
    <w:p w:rsidR="00376728" w:rsidP="00376728" w:rsidRDefault="00376728" w14:paraId="2D70D659" w14:textId="77777777">
      <w:pPr>
        <w:rPr>
          <w:bCs/>
        </w:rPr>
      </w:pPr>
    </w:p>
    <w:p w:rsidR="00D0331D" w:rsidP="00D0331D" w:rsidRDefault="00D0331D" w14:paraId="5CDBE315" w14:textId="5959CC2E">
      <w:r w:rsidRPr="00EF4BE6">
        <w:t>PHMSA spends an estimated cost of $</w:t>
      </w:r>
      <w:r w:rsidR="000039E9">
        <w:t>189,969</w:t>
      </w:r>
      <w:r w:rsidR="00936673">
        <w:t>.00</w:t>
      </w:r>
      <w:r w:rsidRPr="00EF4BE6" w:rsidR="00936673">
        <w:t xml:space="preserve"> </w:t>
      </w:r>
      <w:r w:rsidRPr="00EF4BE6">
        <w:t>to operate and maintain this information collection.  Operations and maintenance includes PRA compliance, interface improvements, database management, planning, revisions, and customer service.</w:t>
      </w:r>
    </w:p>
    <w:p w:rsidR="00B2010F" w:rsidP="00D0331D" w:rsidRDefault="00B2010F" w14:paraId="727CAC5E" w14:textId="3346C286"/>
    <w:p w:rsidR="00B2010F" w:rsidP="00D0331D" w:rsidRDefault="00B2010F" w14:paraId="3CA15663" w14:textId="77777777"/>
    <w:p w:rsidRPr="00EF4BE6" w:rsidR="00D0331D" w:rsidP="00D0331D" w:rsidRDefault="00D0331D" w14:paraId="7AA372CB" w14:textId="77777777"/>
    <w:tbl>
      <w:tblPr>
        <w:tblStyle w:val="TableGrid"/>
        <w:tblW w:w="0" w:type="auto"/>
        <w:tblLook w:val="04A0" w:firstRow="1" w:lastRow="0" w:firstColumn="1" w:lastColumn="0" w:noHBand="0" w:noVBand="1"/>
      </w:tblPr>
      <w:tblGrid>
        <w:gridCol w:w="2382"/>
        <w:gridCol w:w="1493"/>
        <w:gridCol w:w="1218"/>
        <w:gridCol w:w="1093"/>
        <w:gridCol w:w="1530"/>
      </w:tblGrid>
      <w:tr w:rsidRPr="00F66136" w:rsidR="00D0331D" w:rsidTr="006E1DC7" w14:paraId="0B9DE3DD" w14:textId="77777777">
        <w:tc>
          <w:tcPr>
            <w:tcW w:w="2382" w:type="dxa"/>
          </w:tcPr>
          <w:p w:rsidRPr="00F66136" w:rsidR="00D0331D" w:rsidP="006E1DC7" w:rsidRDefault="00D0331D" w14:paraId="6B77D19A" w14:textId="77777777">
            <w:pPr>
              <w:rPr>
                <w:sz w:val="22"/>
                <w:szCs w:val="22"/>
              </w:rPr>
            </w:pPr>
          </w:p>
        </w:tc>
        <w:tc>
          <w:tcPr>
            <w:tcW w:w="1493" w:type="dxa"/>
          </w:tcPr>
          <w:p w:rsidRPr="00F66136" w:rsidR="00D0331D" w:rsidP="006E1DC7" w:rsidRDefault="00D0331D" w14:paraId="6EB0E486" w14:textId="77777777">
            <w:pPr>
              <w:rPr>
                <w:sz w:val="22"/>
                <w:szCs w:val="22"/>
              </w:rPr>
            </w:pPr>
            <w:r w:rsidRPr="00F66136">
              <w:rPr>
                <w:sz w:val="22"/>
                <w:szCs w:val="22"/>
              </w:rPr>
              <w:t>Monthly Average (Hrs)</w:t>
            </w:r>
          </w:p>
        </w:tc>
        <w:tc>
          <w:tcPr>
            <w:tcW w:w="1218" w:type="dxa"/>
          </w:tcPr>
          <w:p w:rsidRPr="00F66136" w:rsidR="00D0331D" w:rsidP="006E1DC7" w:rsidRDefault="00D0331D" w14:paraId="133BD1F5" w14:textId="77777777">
            <w:pPr>
              <w:rPr>
                <w:sz w:val="22"/>
                <w:szCs w:val="22"/>
              </w:rPr>
            </w:pPr>
            <w:r w:rsidRPr="00F66136">
              <w:rPr>
                <w:sz w:val="22"/>
                <w:szCs w:val="22"/>
              </w:rPr>
              <w:t>Hourly Rate</w:t>
            </w:r>
          </w:p>
        </w:tc>
        <w:tc>
          <w:tcPr>
            <w:tcW w:w="1093" w:type="dxa"/>
          </w:tcPr>
          <w:p w:rsidRPr="00F66136" w:rsidR="00D0331D" w:rsidP="006E1DC7" w:rsidRDefault="00D0331D" w14:paraId="78F25F6B" w14:textId="77777777">
            <w:pPr>
              <w:rPr>
                <w:sz w:val="22"/>
                <w:szCs w:val="22"/>
              </w:rPr>
            </w:pPr>
            <w:r w:rsidRPr="00F66136">
              <w:rPr>
                <w:sz w:val="22"/>
                <w:szCs w:val="22"/>
              </w:rPr>
              <w:t>Annual Hours</w:t>
            </w:r>
          </w:p>
        </w:tc>
        <w:tc>
          <w:tcPr>
            <w:tcW w:w="1530" w:type="dxa"/>
          </w:tcPr>
          <w:p w:rsidRPr="00F66136" w:rsidR="00D0331D" w:rsidP="006E1DC7" w:rsidRDefault="00D0331D" w14:paraId="05438DA7" w14:textId="77777777">
            <w:pPr>
              <w:rPr>
                <w:sz w:val="22"/>
                <w:szCs w:val="22"/>
              </w:rPr>
            </w:pPr>
            <w:r w:rsidRPr="00F66136">
              <w:rPr>
                <w:sz w:val="22"/>
                <w:szCs w:val="22"/>
              </w:rPr>
              <w:t>Total Costs</w:t>
            </w:r>
          </w:p>
        </w:tc>
      </w:tr>
      <w:tr w:rsidRPr="00F66136" w:rsidR="00D0331D" w:rsidTr="006E1DC7" w14:paraId="5D809738" w14:textId="77777777">
        <w:tc>
          <w:tcPr>
            <w:tcW w:w="2382" w:type="dxa"/>
          </w:tcPr>
          <w:p w:rsidRPr="00F66136" w:rsidR="00D0331D" w:rsidP="006E1DC7" w:rsidRDefault="00D0331D" w14:paraId="433B3E7F" w14:textId="77777777">
            <w:pPr>
              <w:rPr>
                <w:sz w:val="22"/>
                <w:szCs w:val="22"/>
              </w:rPr>
            </w:pPr>
            <w:r w:rsidRPr="00F66136">
              <w:rPr>
                <w:sz w:val="22"/>
                <w:szCs w:val="22"/>
              </w:rPr>
              <w:t xml:space="preserve">Salary Costs* </w:t>
            </w:r>
          </w:p>
        </w:tc>
        <w:tc>
          <w:tcPr>
            <w:tcW w:w="1493" w:type="dxa"/>
          </w:tcPr>
          <w:p w:rsidRPr="00F66136" w:rsidR="00D0331D" w:rsidP="006E1DC7" w:rsidRDefault="00D0331D" w14:paraId="52D9643A" w14:textId="77777777">
            <w:pPr>
              <w:rPr>
                <w:sz w:val="22"/>
                <w:szCs w:val="22"/>
              </w:rPr>
            </w:pPr>
            <w:r w:rsidRPr="00F66136">
              <w:rPr>
                <w:sz w:val="22"/>
                <w:szCs w:val="22"/>
              </w:rPr>
              <w:t>7</w:t>
            </w:r>
          </w:p>
        </w:tc>
        <w:tc>
          <w:tcPr>
            <w:tcW w:w="1218" w:type="dxa"/>
          </w:tcPr>
          <w:p w:rsidRPr="00F66136" w:rsidR="00D0331D" w:rsidP="006E1DC7" w:rsidRDefault="00D0331D" w14:paraId="78E6F9F5" w14:textId="77777777">
            <w:pPr>
              <w:rPr>
                <w:sz w:val="22"/>
                <w:szCs w:val="22"/>
              </w:rPr>
            </w:pPr>
            <w:r w:rsidRPr="00F66136">
              <w:rPr>
                <w:sz w:val="22"/>
                <w:szCs w:val="22"/>
              </w:rPr>
              <w:t>$38.82/hr</w:t>
            </w:r>
          </w:p>
        </w:tc>
        <w:tc>
          <w:tcPr>
            <w:tcW w:w="1093" w:type="dxa"/>
          </w:tcPr>
          <w:p w:rsidRPr="00F66136" w:rsidR="00D0331D" w:rsidP="006E1DC7" w:rsidRDefault="00D0331D" w14:paraId="501013A1" w14:textId="77777777">
            <w:pPr>
              <w:rPr>
                <w:sz w:val="22"/>
                <w:szCs w:val="22"/>
              </w:rPr>
            </w:pPr>
            <w:r w:rsidRPr="00F66136">
              <w:rPr>
                <w:sz w:val="22"/>
                <w:szCs w:val="22"/>
              </w:rPr>
              <w:t>84</w:t>
            </w:r>
          </w:p>
        </w:tc>
        <w:tc>
          <w:tcPr>
            <w:tcW w:w="1530" w:type="dxa"/>
          </w:tcPr>
          <w:p w:rsidRPr="00F66136" w:rsidR="00D0331D" w:rsidP="006E1DC7" w:rsidRDefault="00D0331D" w14:paraId="13CDE96C" w14:textId="77777777">
            <w:pPr>
              <w:rPr>
                <w:sz w:val="22"/>
                <w:szCs w:val="22"/>
              </w:rPr>
            </w:pPr>
            <w:r w:rsidRPr="00F66136">
              <w:rPr>
                <w:sz w:val="22"/>
                <w:szCs w:val="22"/>
              </w:rPr>
              <w:t>$3,260</w:t>
            </w:r>
          </w:p>
        </w:tc>
      </w:tr>
      <w:tr w:rsidRPr="00F66136" w:rsidR="00D0331D" w:rsidTr="006E1DC7" w14:paraId="521F3772" w14:textId="77777777">
        <w:tc>
          <w:tcPr>
            <w:tcW w:w="2382" w:type="dxa"/>
          </w:tcPr>
          <w:p w:rsidRPr="00F66136" w:rsidR="00D0331D" w:rsidP="006E1DC7" w:rsidRDefault="00D0331D" w14:paraId="08C3911D" w14:textId="77777777">
            <w:pPr>
              <w:rPr>
                <w:sz w:val="22"/>
                <w:szCs w:val="22"/>
              </w:rPr>
            </w:pPr>
            <w:r w:rsidRPr="00F66136">
              <w:rPr>
                <w:sz w:val="22"/>
                <w:szCs w:val="22"/>
              </w:rPr>
              <w:t>Contracting Costs- Gas Annual Forms</w:t>
            </w:r>
          </w:p>
          <w:p w:rsidRPr="00F66136" w:rsidR="00D0331D" w:rsidP="00AE4DA5" w:rsidRDefault="00D0331D" w14:paraId="51A2C200" w14:textId="745A274A">
            <w:pPr>
              <w:rPr>
                <w:sz w:val="22"/>
                <w:szCs w:val="22"/>
              </w:rPr>
            </w:pPr>
            <w:r w:rsidRPr="00F66136">
              <w:rPr>
                <w:sz w:val="22"/>
                <w:szCs w:val="22"/>
              </w:rPr>
              <w:t xml:space="preserve"> (</w:t>
            </w:r>
            <w:r w:rsidRPr="00F66136" w:rsidR="004602FF">
              <w:rPr>
                <w:sz w:val="22"/>
                <w:szCs w:val="22"/>
              </w:rPr>
              <w:t>GT, LNG</w:t>
            </w:r>
            <w:r w:rsidR="00AE4DA5">
              <w:rPr>
                <w:sz w:val="22"/>
                <w:szCs w:val="22"/>
              </w:rPr>
              <w:t>, UNGS</w:t>
            </w:r>
            <w:r w:rsidRPr="00F66136">
              <w:rPr>
                <w:sz w:val="22"/>
                <w:szCs w:val="22"/>
              </w:rPr>
              <w:t>)</w:t>
            </w:r>
          </w:p>
        </w:tc>
        <w:tc>
          <w:tcPr>
            <w:tcW w:w="1493" w:type="dxa"/>
          </w:tcPr>
          <w:p w:rsidRPr="00F66136" w:rsidR="00D0331D" w:rsidP="006E1DC7" w:rsidRDefault="00D0331D" w14:paraId="6BF96A3D" w14:textId="77777777">
            <w:pPr>
              <w:rPr>
                <w:sz w:val="22"/>
                <w:szCs w:val="22"/>
              </w:rPr>
            </w:pPr>
            <w:r w:rsidRPr="00F66136">
              <w:rPr>
                <w:sz w:val="22"/>
                <w:szCs w:val="22"/>
              </w:rPr>
              <w:t>129.25</w:t>
            </w:r>
          </w:p>
        </w:tc>
        <w:tc>
          <w:tcPr>
            <w:tcW w:w="1218" w:type="dxa"/>
          </w:tcPr>
          <w:p w:rsidRPr="00F66136" w:rsidR="00D0331D" w:rsidP="006E1DC7" w:rsidRDefault="00D0331D" w14:paraId="5A6DAA1C" w14:textId="77777777">
            <w:pPr>
              <w:rPr>
                <w:sz w:val="22"/>
                <w:szCs w:val="22"/>
              </w:rPr>
            </w:pPr>
            <w:r w:rsidRPr="00F66136">
              <w:rPr>
                <w:sz w:val="22"/>
                <w:szCs w:val="22"/>
              </w:rPr>
              <w:t>$120.38/hr</w:t>
            </w:r>
          </w:p>
        </w:tc>
        <w:tc>
          <w:tcPr>
            <w:tcW w:w="1093" w:type="dxa"/>
          </w:tcPr>
          <w:p w:rsidRPr="00F66136" w:rsidR="00D0331D" w:rsidP="006E1DC7" w:rsidRDefault="00D0331D" w14:paraId="3C23C911" w14:textId="77777777">
            <w:pPr>
              <w:rPr>
                <w:sz w:val="22"/>
                <w:szCs w:val="22"/>
              </w:rPr>
            </w:pPr>
            <w:r w:rsidRPr="00F66136">
              <w:rPr>
                <w:sz w:val="22"/>
                <w:szCs w:val="22"/>
              </w:rPr>
              <w:t>1551</w:t>
            </w:r>
          </w:p>
        </w:tc>
        <w:tc>
          <w:tcPr>
            <w:tcW w:w="1530" w:type="dxa"/>
          </w:tcPr>
          <w:p w:rsidRPr="00F66136" w:rsidR="00D0331D" w:rsidP="006E1DC7" w:rsidRDefault="00D0331D" w14:paraId="43E5634C" w14:textId="77777777">
            <w:pPr>
              <w:rPr>
                <w:sz w:val="22"/>
                <w:szCs w:val="22"/>
              </w:rPr>
            </w:pPr>
            <w:r w:rsidRPr="00F66136">
              <w:rPr>
                <w:sz w:val="22"/>
                <w:szCs w:val="22"/>
              </w:rPr>
              <w:t>$186,709</w:t>
            </w:r>
          </w:p>
        </w:tc>
      </w:tr>
      <w:tr w:rsidRPr="00F66136" w:rsidR="00D0331D" w:rsidTr="006E1DC7" w14:paraId="2A7C7D87" w14:textId="77777777">
        <w:tc>
          <w:tcPr>
            <w:tcW w:w="2382" w:type="dxa"/>
          </w:tcPr>
          <w:p w:rsidRPr="00F66136" w:rsidR="00D0331D" w:rsidP="006E1DC7" w:rsidRDefault="00D0331D" w14:paraId="129EEC47" w14:textId="77777777">
            <w:pPr>
              <w:rPr>
                <w:sz w:val="22"/>
                <w:szCs w:val="22"/>
              </w:rPr>
            </w:pPr>
            <w:r w:rsidRPr="00F66136">
              <w:rPr>
                <w:sz w:val="22"/>
                <w:szCs w:val="22"/>
              </w:rPr>
              <w:t>TOTAL</w:t>
            </w:r>
          </w:p>
        </w:tc>
        <w:tc>
          <w:tcPr>
            <w:tcW w:w="1493" w:type="dxa"/>
          </w:tcPr>
          <w:p w:rsidRPr="00F66136" w:rsidR="00D0331D" w:rsidP="006E1DC7" w:rsidRDefault="00D0331D" w14:paraId="75DB2DCA" w14:textId="77777777">
            <w:pPr>
              <w:rPr>
                <w:sz w:val="22"/>
                <w:szCs w:val="22"/>
              </w:rPr>
            </w:pPr>
          </w:p>
        </w:tc>
        <w:tc>
          <w:tcPr>
            <w:tcW w:w="1218" w:type="dxa"/>
          </w:tcPr>
          <w:p w:rsidRPr="00F66136" w:rsidR="00D0331D" w:rsidP="006E1DC7" w:rsidRDefault="00D0331D" w14:paraId="7478A1F4" w14:textId="77777777">
            <w:pPr>
              <w:rPr>
                <w:sz w:val="22"/>
                <w:szCs w:val="22"/>
              </w:rPr>
            </w:pPr>
          </w:p>
        </w:tc>
        <w:tc>
          <w:tcPr>
            <w:tcW w:w="1093" w:type="dxa"/>
          </w:tcPr>
          <w:p w:rsidRPr="00F66136" w:rsidR="00D0331D" w:rsidP="006E1DC7" w:rsidRDefault="00D0331D" w14:paraId="52EA0C58" w14:textId="77777777">
            <w:pPr>
              <w:rPr>
                <w:sz w:val="22"/>
                <w:szCs w:val="22"/>
              </w:rPr>
            </w:pPr>
          </w:p>
        </w:tc>
        <w:tc>
          <w:tcPr>
            <w:tcW w:w="1530" w:type="dxa"/>
          </w:tcPr>
          <w:p w:rsidRPr="00F66136" w:rsidR="00D0331D" w:rsidP="006E1DC7" w:rsidRDefault="00D0331D" w14:paraId="77E86BCD" w14:textId="4FDB7685">
            <w:pPr>
              <w:rPr>
                <w:sz w:val="22"/>
                <w:szCs w:val="22"/>
              </w:rPr>
            </w:pPr>
            <w:r w:rsidRPr="00F66136">
              <w:rPr>
                <w:sz w:val="22"/>
                <w:szCs w:val="22"/>
              </w:rPr>
              <w:t>$</w:t>
            </w:r>
            <w:r w:rsidR="000039E9">
              <w:rPr>
                <w:sz w:val="22"/>
                <w:szCs w:val="22"/>
              </w:rPr>
              <w:t>189,969</w:t>
            </w:r>
            <w:r w:rsidR="00936673">
              <w:rPr>
                <w:sz w:val="22"/>
                <w:szCs w:val="22"/>
              </w:rPr>
              <w:t>.00</w:t>
            </w:r>
          </w:p>
        </w:tc>
      </w:tr>
    </w:tbl>
    <w:p w:rsidR="00D0331D" w:rsidP="00D0331D" w:rsidRDefault="00D0331D" w14:paraId="04E866CF" w14:textId="77777777"/>
    <w:p w:rsidRPr="00864F8D" w:rsidR="00376728" w:rsidP="00376728" w:rsidRDefault="00376728" w14:paraId="62BCC09B" w14:textId="77777777">
      <w:r w:rsidRPr="00864F8D">
        <w:rPr>
          <w:bCs/>
        </w:rPr>
        <w:t>15.</w:t>
      </w:r>
      <w:r w:rsidRPr="00864F8D">
        <w:rPr>
          <w:bCs/>
        </w:rPr>
        <w:tab/>
        <w:t xml:space="preserve"> </w:t>
      </w:r>
      <w:r w:rsidRPr="00864F8D">
        <w:rPr>
          <w:bCs/>
          <w:u w:val="single"/>
        </w:rPr>
        <w:t>Explanation of program changes or adjustments.</w:t>
      </w:r>
      <w:r w:rsidRPr="00864F8D">
        <w:t xml:space="preserve"> </w:t>
      </w:r>
    </w:p>
    <w:p w:rsidR="000039E9" w:rsidP="004602FF" w:rsidRDefault="000039E9" w14:paraId="411ECFAF" w14:textId="77777777">
      <w:pPr>
        <w:autoSpaceDE w:val="0"/>
        <w:autoSpaceDN w:val="0"/>
      </w:pPr>
    </w:p>
    <w:p w:rsidR="00F81F83" w:rsidP="004602FF" w:rsidRDefault="004602FF" w14:paraId="7285C28F" w14:textId="0C1FE9F6">
      <w:pPr>
        <w:autoSpaceDE w:val="0"/>
        <w:autoSpaceDN w:val="0"/>
        <w:rPr>
          <w:bCs/>
        </w:rPr>
      </w:pPr>
      <w:r>
        <w:t xml:space="preserve">Due to </w:t>
      </w:r>
      <w:r w:rsidRPr="00F81F83" w:rsidR="00B66E72">
        <w:rPr>
          <w:bCs/>
        </w:rPr>
        <w:t xml:space="preserve">the provisions in the </w:t>
      </w:r>
      <w:r w:rsidRPr="00833E10" w:rsidR="00833E10">
        <w:rPr>
          <w:bCs/>
        </w:rPr>
        <w:t>Pipeline Safety:</w:t>
      </w:r>
      <w:r w:rsidRPr="00833E10" w:rsidR="00833E10">
        <w:rPr>
          <w:rFonts w:ascii="Segoe UI" w:hAnsi="Segoe UI" w:cs="Segoe UI"/>
          <w:bCs/>
        </w:rPr>
        <w:t>  </w:t>
      </w:r>
      <w:r w:rsidR="000039E9">
        <w:rPr>
          <w:bCs/>
        </w:rPr>
        <w:t>Gas Regulatory Reform Notice of Proposed Rulemaking</w:t>
      </w:r>
      <w:r w:rsidR="00833E10">
        <w:rPr>
          <w:bCs/>
        </w:rPr>
        <w:t xml:space="preserve">, </w:t>
      </w:r>
      <w:r w:rsidR="00833E10">
        <w:rPr>
          <w:iCs/>
        </w:rPr>
        <w:t xml:space="preserve">PHMSA </w:t>
      </w:r>
      <w:r w:rsidR="000039E9">
        <w:rPr>
          <w:iCs/>
        </w:rPr>
        <w:t xml:space="preserve">has eliminated form PHMSA F&amp;100 1-2 Mechanical Fitting Failure Report.  This change has resulted in a decrease of 8,300 responses and 8,300 burden hours for this information collection.  </w:t>
      </w:r>
    </w:p>
    <w:p w:rsidR="00505397" w:rsidP="004602FF" w:rsidRDefault="00505397" w14:paraId="1085E48F" w14:textId="77777777">
      <w:pPr>
        <w:autoSpaceDE w:val="0"/>
        <w:autoSpaceDN w:val="0"/>
        <w:rPr>
          <w:bCs/>
        </w:rPr>
      </w:pPr>
    </w:p>
    <w:p w:rsidRPr="004B4409" w:rsidR="00376728" w:rsidP="00376728" w:rsidRDefault="00376728" w14:paraId="7B9DF81E" w14:textId="77777777">
      <w:r w:rsidRPr="004B4409">
        <w:rPr>
          <w:bCs/>
        </w:rPr>
        <w:t xml:space="preserve">16. </w:t>
      </w:r>
      <w:r w:rsidRPr="004B4409">
        <w:rPr>
          <w:bCs/>
        </w:rPr>
        <w:tab/>
      </w:r>
      <w:r w:rsidRPr="004B4409">
        <w:rPr>
          <w:bCs/>
          <w:u w:val="single"/>
        </w:rPr>
        <w:t>Publication of results of data collection.</w:t>
      </w:r>
      <w:r w:rsidRPr="004B4409">
        <w:t xml:space="preserve"> </w:t>
      </w:r>
    </w:p>
    <w:p w:rsidR="00376728" w:rsidP="00376728" w:rsidRDefault="00376728" w14:paraId="7644A39C" w14:textId="77777777"/>
    <w:p w:rsidR="00376728" w:rsidP="00376728" w:rsidRDefault="00376728" w14:paraId="42459CAB" w14:textId="77777777">
      <w:pPr>
        <w:rPr>
          <w:i/>
        </w:rPr>
      </w:pPr>
      <w:r>
        <w:t>PHMSA will summarize the incident and annual reports post the results on PHMSA’s website.</w:t>
      </w:r>
    </w:p>
    <w:p w:rsidR="00376728" w:rsidP="00376728" w:rsidRDefault="00376728" w14:paraId="039835D9" w14:textId="77777777"/>
    <w:p w:rsidRPr="004B4409" w:rsidR="00376728" w:rsidP="00376728" w:rsidRDefault="00376728" w14:paraId="015684A0" w14:textId="77777777">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P="00376728" w:rsidRDefault="00376728" w14:paraId="6F2AA9D7" w14:textId="77777777"/>
    <w:p w:rsidR="00376728" w:rsidP="00376728" w:rsidRDefault="00376728" w14:paraId="52C29464" w14:textId="77777777">
      <w:r>
        <w:t>PHMSA will display the expiration date.</w:t>
      </w:r>
    </w:p>
    <w:p w:rsidR="00376728" w:rsidP="00376728" w:rsidRDefault="00376728" w14:paraId="0DC3AC4E" w14:textId="77777777">
      <w:pPr>
        <w:rPr>
          <w:bCs/>
        </w:rPr>
      </w:pPr>
    </w:p>
    <w:p w:rsidRPr="004B4409" w:rsidR="00376728" w:rsidP="00376728" w:rsidRDefault="00376728" w14:paraId="26B5D5FF" w14:textId="77777777">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P="00376728" w:rsidRDefault="00376728" w14:paraId="28DF712E" w14:textId="77777777">
      <w:pPr>
        <w:rPr>
          <w:u w:val="single"/>
        </w:rPr>
      </w:pPr>
    </w:p>
    <w:p w:rsidR="00376728" w:rsidP="00376728" w:rsidRDefault="00376728" w14:paraId="1F05A783" w14:textId="77777777">
      <w:pPr>
        <w:rPr>
          <w:bCs/>
        </w:rPr>
      </w:pPr>
      <w:r>
        <w:rPr>
          <w:bCs/>
        </w:rPr>
        <w:t>There are no exceptions to the certification statement.</w:t>
      </w:r>
    </w:p>
    <w:p w:rsidR="00376728" w:rsidP="00376728" w:rsidRDefault="00376728" w14:paraId="36F8101A" w14:textId="77777777">
      <w:pPr>
        <w:rPr>
          <w:bCs/>
        </w:rPr>
      </w:pPr>
    </w:p>
    <w:p w:rsidR="00AF32CB" w:rsidP="00A46EF4" w:rsidRDefault="00AF32CB" w14:paraId="658E822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name="OLE_LINK1" w:id="1"/>
      <w:bookmarkStart w:name="OLE_LINK2" w:id="2"/>
    </w:p>
    <w:bookmarkEnd w:id="1"/>
    <w:bookmarkEnd w:id="2"/>
    <w:p w:rsidRPr="00F81F83" w:rsidR="00AF32CB" w:rsidP="00A46EF4" w:rsidRDefault="00AF32CB" w14:paraId="75E73C8A" w14:textId="48EF62D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sectPr w:rsidRPr="00F81F83" w:rsidR="00AF32CB" w:rsidSect="0037672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359D9" w14:textId="77777777" w:rsidR="0007000D" w:rsidRDefault="0007000D" w:rsidP="008063B7">
      <w:r>
        <w:separator/>
      </w:r>
    </w:p>
  </w:endnote>
  <w:endnote w:type="continuationSeparator" w:id="0">
    <w:p w14:paraId="41531019" w14:textId="77777777" w:rsidR="0007000D" w:rsidRDefault="0007000D" w:rsidP="008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1365" w14:textId="654D8AD4" w:rsidR="0007000D" w:rsidRDefault="0007000D">
    <w:pPr>
      <w:pStyle w:val="Footer"/>
      <w:jc w:val="center"/>
    </w:pPr>
    <w:r>
      <w:rPr>
        <w:rStyle w:val="PageNumber"/>
      </w:rPr>
      <w:fldChar w:fldCharType="begin"/>
    </w:r>
    <w:r>
      <w:rPr>
        <w:rStyle w:val="PageNumber"/>
      </w:rPr>
      <w:instrText xml:space="preserve"> PAGE </w:instrText>
    </w:r>
    <w:r>
      <w:rPr>
        <w:rStyle w:val="PageNumber"/>
      </w:rPr>
      <w:fldChar w:fldCharType="separate"/>
    </w:r>
    <w:r w:rsidR="002A7FBE">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760F4" w14:textId="77777777" w:rsidR="0007000D" w:rsidRDefault="0007000D" w:rsidP="008063B7">
      <w:r>
        <w:separator/>
      </w:r>
    </w:p>
  </w:footnote>
  <w:footnote w:type="continuationSeparator" w:id="0">
    <w:p w14:paraId="7F69BFD7" w14:textId="77777777" w:rsidR="0007000D" w:rsidRDefault="0007000D" w:rsidP="008063B7">
      <w:r>
        <w:continuationSeparator/>
      </w:r>
    </w:p>
  </w:footnote>
  <w:footnote w:id="1">
    <w:p w14:paraId="7E3AB7B3" w14:textId="77777777" w:rsidR="005959AF" w:rsidRDefault="005959AF" w:rsidP="005959AF">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577"/>
    <w:multiLevelType w:val="hybridMultilevel"/>
    <w:tmpl w:val="C1CE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27A76"/>
    <w:multiLevelType w:val="hybridMultilevel"/>
    <w:tmpl w:val="CDF4C20C"/>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5" w15:restartNumberingAfterBreak="0">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6B7959"/>
    <w:multiLevelType w:val="hybridMultilevel"/>
    <w:tmpl w:val="30F6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636DE"/>
    <w:multiLevelType w:val="hybridMultilevel"/>
    <w:tmpl w:val="D294F4F6"/>
    <w:lvl w:ilvl="0" w:tplc="133658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3E1301"/>
    <w:multiLevelType w:val="hybridMultilevel"/>
    <w:tmpl w:val="7A58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D1A8E"/>
    <w:multiLevelType w:val="hybridMultilevel"/>
    <w:tmpl w:val="651677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0"/>
  </w:num>
  <w:num w:numId="5">
    <w:abstractNumId w:val="1"/>
  </w:num>
  <w:num w:numId="6">
    <w:abstractNumId w:val="5"/>
  </w:num>
  <w:num w:numId="7">
    <w:abstractNumId w:val="0"/>
  </w:num>
  <w:num w:numId="8">
    <w:abstractNumId w:val="2"/>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28"/>
    <w:rsid w:val="000039E9"/>
    <w:rsid w:val="000114ED"/>
    <w:rsid w:val="00022703"/>
    <w:rsid w:val="00024697"/>
    <w:rsid w:val="000273B3"/>
    <w:rsid w:val="00032140"/>
    <w:rsid w:val="000357B8"/>
    <w:rsid w:val="00043481"/>
    <w:rsid w:val="00054B9D"/>
    <w:rsid w:val="00066868"/>
    <w:rsid w:val="0007000D"/>
    <w:rsid w:val="00070660"/>
    <w:rsid w:val="00073412"/>
    <w:rsid w:val="000B0275"/>
    <w:rsid w:val="000B2E17"/>
    <w:rsid w:val="000E3EA2"/>
    <w:rsid w:val="000F4CF4"/>
    <w:rsid w:val="00107392"/>
    <w:rsid w:val="00122549"/>
    <w:rsid w:val="001263CB"/>
    <w:rsid w:val="0014275C"/>
    <w:rsid w:val="00144F00"/>
    <w:rsid w:val="001457D4"/>
    <w:rsid w:val="00160A14"/>
    <w:rsid w:val="00165FB1"/>
    <w:rsid w:val="00173A6B"/>
    <w:rsid w:val="0017741A"/>
    <w:rsid w:val="00183684"/>
    <w:rsid w:val="001A00B8"/>
    <w:rsid w:val="001B4315"/>
    <w:rsid w:val="001C3919"/>
    <w:rsid w:val="001D135F"/>
    <w:rsid w:val="001F3CB9"/>
    <w:rsid w:val="001F3D85"/>
    <w:rsid w:val="001F6B64"/>
    <w:rsid w:val="002076A2"/>
    <w:rsid w:val="00227124"/>
    <w:rsid w:val="0025028B"/>
    <w:rsid w:val="0027529E"/>
    <w:rsid w:val="00287F94"/>
    <w:rsid w:val="0029541D"/>
    <w:rsid w:val="002A5A7C"/>
    <w:rsid w:val="002A7FBE"/>
    <w:rsid w:val="002B5544"/>
    <w:rsid w:val="002D0412"/>
    <w:rsid w:val="002F32B9"/>
    <w:rsid w:val="002F3D71"/>
    <w:rsid w:val="002F447C"/>
    <w:rsid w:val="00303DB1"/>
    <w:rsid w:val="003043E1"/>
    <w:rsid w:val="00313367"/>
    <w:rsid w:val="00352F4B"/>
    <w:rsid w:val="0035611E"/>
    <w:rsid w:val="003566F3"/>
    <w:rsid w:val="00357A52"/>
    <w:rsid w:val="00372063"/>
    <w:rsid w:val="00374DE0"/>
    <w:rsid w:val="00376728"/>
    <w:rsid w:val="00390EAD"/>
    <w:rsid w:val="0039172F"/>
    <w:rsid w:val="003C5D4A"/>
    <w:rsid w:val="003C61A2"/>
    <w:rsid w:val="003D4BF2"/>
    <w:rsid w:val="003D6686"/>
    <w:rsid w:val="00403669"/>
    <w:rsid w:val="004124FE"/>
    <w:rsid w:val="0041472A"/>
    <w:rsid w:val="00424026"/>
    <w:rsid w:val="00432088"/>
    <w:rsid w:val="00455CC4"/>
    <w:rsid w:val="004602FF"/>
    <w:rsid w:val="0047502B"/>
    <w:rsid w:val="00475741"/>
    <w:rsid w:val="00481952"/>
    <w:rsid w:val="00490540"/>
    <w:rsid w:val="00495772"/>
    <w:rsid w:val="004A2D46"/>
    <w:rsid w:val="004E5292"/>
    <w:rsid w:val="004E629F"/>
    <w:rsid w:val="004F153D"/>
    <w:rsid w:val="00505397"/>
    <w:rsid w:val="00515EA5"/>
    <w:rsid w:val="00520DF2"/>
    <w:rsid w:val="00542010"/>
    <w:rsid w:val="00544F07"/>
    <w:rsid w:val="00563569"/>
    <w:rsid w:val="0056456C"/>
    <w:rsid w:val="00587CEF"/>
    <w:rsid w:val="00593286"/>
    <w:rsid w:val="005959AF"/>
    <w:rsid w:val="005A36AB"/>
    <w:rsid w:val="005A4737"/>
    <w:rsid w:val="005C03FE"/>
    <w:rsid w:val="005C74D1"/>
    <w:rsid w:val="005E417B"/>
    <w:rsid w:val="005E64B4"/>
    <w:rsid w:val="005F2BE8"/>
    <w:rsid w:val="005F416F"/>
    <w:rsid w:val="006077EB"/>
    <w:rsid w:val="00627F91"/>
    <w:rsid w:val="00632DBE"/>
    <w:rsid w:val="00640C62"/>
    <w:rsid w:val="0064392C"/>
    <w:rsid w:val="00667FA1"/>
    <w:rsid w:val="00673951"/>
    <w:rsid w:val="00685855"/>
    <w:rsid w:val="006978DC"/>
    <w:rsid w:val="006A2E1A"/>
    <w:rsid w:val="006B1E38"/>
    <w:rsid w:val="006B2792"/>
    <w:rsid w:val="006E1DC7"/>
    <w:rsid w:val="006F75A4"/>
    <w:rsid w:val="00706344"/>
    <w:rsid w:val="0071204F"/>
    <w:rsid w:val="00716826"/>
    <w:rsid w:val="00724380"/>
    <w:rsid w:val="0075382D"/>
    <w:rsid w:val="00756BB0"/>
    <w:rsid w:val="007671AC"/>
    <w:rsid w:val="007772C2"/>
    <w:rsid w:val="00782D87"/>
    <w:rsid w:val="007856B1"/>
    <w:rsid w:val="0078624F"/>
    <w:rsid w:val="00786D4D"/>
    <w:rsid w:val="00794009"/>
    <w:rsid w:val="00797058"/>
    <w:rsid w:val="007A1447"/>
    <w:rsid w:val="007A1F7D"/>
    <w:rsid w:val="007A4A63"/>
    <w:rsid w:val="007A51FB"/>
    <w:rsid w:val="007B2D48"/>
    <w:rsid w:val="007B3D50"/>
    <w:rsid w:val="007C33B8"/>
    <w:rsid w:val="007C3892"/>
    <w:rsid w:val="007C389F"/>
    <w:rsid w:val="007D5C2A"/>
    <w:rsid w:val="007E16CB"/>
    <w:rsid w:val="007E48BA"/>
    <w:rsid w:val="008031C7"/>
    <w:rsid w:val="008063B7"/>
    <w:rsid w:val="00833E10"/>
    <w:rsid w:val="008365E4"/>
    <w:rsid w:val="00861D96"/>
    <w:rsid w:val="00864F8D"/>
    <w:rsid w:val="00865A0B"/>
    <w:rsid w:val="00871BE4"/>
    <w:rsid w:val="00874E9C"/>
    <w:rsid w:val="00887DCF"/>
    <w:rsid w:val="008912EC"/>
    <w:rsid w:val="0089426E"/>
    <w:rsid w:val="008C1C10"/>
    <w:rsid w:val="008C5DF5"/>
    <w:rsid w:val="008D0146"/>
    <w:rsid w:val="008D6616"/>
    <w:rsid w:val="00910CE1"/>
    <w:rsid w:val="009111F0"/>
    <w:rsid w:val="009121DE"/>
    <w:rsid w:val="00931E3E"/>
    <w:rsid w:val="00935CA7"/>
    <w:rsid w:val="00936673"/>
    <w:rsid w:val="00937119"/>
    <w:rsid w:val="00944529"/>
    <w:rsid w:val="00960FC9"/>
    <w:rsid w:val="00964E71"/>
    <w:rsid w:val="00980327"/>
    <w:rsid w:val="00985A9F"/>
    <w:rsid w:val="00987505"/>
    <w:rsid w:val="00993B83"/>
    <w:rsid w:val="009A66B6"/>
    <w:rsid w:val="009B251B"/>
    <w:rsid w:val="009E1756"/>
    <w:rsid w:val="009E3397"/>
    <w:rsid w:val="009E6DCC"/>
    <w:rsid w:val="009F10B1"/>
    <w:rsid w:val="009F13DF"/>
    <w:rsid w:val="00A018AE"/>
    <w:rsid w:val="00A076D6"/>
    <w:rsid w:val="00A15E5C"/>
    <w:rsid w:val="00A23D30"/>
    <w:rsid w:val="00A36863"/>
    <w:rsid w:val="00A46EF4"/>
    <w:rsid w:val="00A61CE8"/>
    <w:rsid w:val="00A66F27"/>
    <w:rsid w:val="00A72CE8"/>
    <w:rsid w:val="00A73B2D"/>
    <w:rsid w:val="00A76880"/>
    <w:rsid w:val="00AA0F25"/>
    <w:rsid w:val="00AA41B1"/>
    <w:rsid w:val="00AB1E64"/>
    <w:rsid w:val="00AB5759"/>
    <w:rsid w:val="00AC0A57"/>
    <w:rsid w:val="00AC6E99"/>
    <w:rsid w:val="00AD60C1"/>
    <w:rsid w:val="00AE4DA5"/>
    <w:rsid w:val="00AF2B23"/>
    <w:rsid w:val="00AF32CB"/>
    <w:rsid w:val="00AF67DF"/>
    <w:rsid w:val="00B12BBB"/>
    <w:rsid w:val="00B2010F"/>
    <w:rsid w:val="00B210DA"/>
    <w:rsid w:val="00B36D82"/>
    <w:rsid w:val="00B37988"/>
    <w:rsid w:val="00B47217"/>
    <w:rsid w:val="00B6625F"/>
    <w:rsid w:val="00B66E72"/>
    <w:rsid w:val="00B71696"/>
    <w:rsid w:val="00B809E8"/>
    <w:rsid w:val="00B96716"/>
    <w:rsid w:val="00BA0D1B"/>
    <w:rsid w:val="00BA6E77"/>
    <w:rsid w:val="00BB19F5"/>
    <w:rsid w:val="00BD282A"/>
    <w:rsid w:val="00BF20D3"/>
    <w:rsid w:val="00C06182"/>
    <w:rsid w:val="00C21471"/>
    <w:rsid w:val="00C341FE"/>
    <w:rsid w:val="00C34A58"/>
    <w:rsid w:val="00C35A6E"/>
    <w:rsid w:val="00C4648F"/>
    <w:rsid w:val="00C578CE"/>
    <w:rsid w:val="00C60E56"/>
    <w:rsid w:val="00C66F47"/>
    <w:rsid w:val="00C906B8"/>
    <w:rsid w:val="00C92A17"/>
    <w:rsid w:val="00CA1D82"/>
    <w:rsid w:val="00CB7810"/>
    <w:rsid w:val="00CC2011"/>
    <w:rsid w:val="00CE1FF7"/>
    <w:rsid w:val="00CE3167"/>
    <w:rsid w:val="00CE4CD3"/>
    <w:rsid w:val="00CF5CFB"/>
    <w:rsid w:val="00D0331D"/>
    <w:rsid w:val="00D053F7"/>
    <w:rsid w:val="00D05708"/>
    <w:rsid w:val="00D13582"/>
    <w:rsid w:val="00D149C7"/>
    <w:rsid w:val="00D24B37"/>
    <w:rsid w:val="00D32396"/>
    <w:rsid w:val="00D34FE9"/>
    <w:rsid w:val="00D52E12"/>
    <w:rsid w:val="00D610F4"/>
    <w:rsid w:val="00D631CC"/>
    <w:rsid w:val="00D63FAD"/>
    <w:rsid w:val="00D64713"/>
    <w:rsid w:val="00D67B5C"/>
    <w:rsid w:val="00D77086"/>
    <w:rsid w:val="00D80B30"/>
    <w:rsid w:val="00D81822"/>
    <w:rsid w:val="00D81A16"/>
    <w:rsid w:val="00D85780"/>
    <w:rsid w:val="00D93F00"/>
    <w:rsid w:val="00D967B1"/>
    <w:rsid w:val="00DA38F0"/>
    <w:rsid w:val="00DA57C4"/>
    <w:rsid w:val="00DB6BB6"/>
    <w:rsid w:val="00DB6D02"/>
    <w:rsid w:val="00DC0A08"/>
    <w:rsid w:val="00DC1282"/>
    <w:rsid w:val="00DC418F"/>
    <w:rsid w:val="00DD021A"/>
    <w:rsid w:val="00DE640B"/>
    <w:rsid w:val="00DE7CC5"/>
    <w:rsid w:val="00E036CB"/>
    <w:rsid w:val="00E03CFC"/>
    <w:rsid w:val="00E236CD"/>
    <w:rsid w:val="00E27BB9"/>
    <w:rsid w:val="00E31867"/>
    <w:rsid w:val="00E3677C"/>
    <w:rsid w:val="00E545E5"/>
    <w:rsid w:val="00E56768"/>
    <w:rsid w:val="00E57603"/>
    <w:rsid w:val="00EA6572"/>
    <w:rsid w:val="00EA698A"/>
    <w:rsid w:val="00EB0AFA"/>
    <w:rsid w:val="00EC65B7"/>
    <w:rsid w:val="00EC7D79"/>
    <w:rsid w:val="00EE1FBD"/>
    <w:rsid w:val="00EE6A0A"/>
    <w:rsid w:val="00EF51DC"/>
    <w:rsid w:val="00F24DC7"/>
    <w:rsid w:val="00F26AF1"/>
    <w:rsid w:val="00F3387A"/>
    <w:rsid w:val="00F3720E"/>
    <w:rsid w:val="00F418DE"/>
    <w:rsid w:val="00F50338"/>
    <w:rsid w:val="00F62B69"/>
    <w:rsid w:val="00F63DF5"/>
    <w:rsid w:val="00F66136"/>
    <w:rsid w:val="00F804FD"/>
    <w:rsid w:val="00F81E4A"/>
    <w:rsid w:val="00F81F83"/>
    <w:rsid w:val="00F851E2"/>
    <w:rsid w:val="00F8564A"/>
    <w:rsid w:val="00F87DF4"/>
    <w:rsid w:val="00F91FA0"/>
    <w:rsid w:val="00F93357"/>
    <w:rsid w:val="00FB5DD9"/>
    <w:rsid w:val="00FB6C3E"/>
    <w:rsid w:val="00FC781F"/>
    <w:rsid w:val="00FD7CF2"/>
    <w:rsid w:val="00FE63A5"/>
    <w:rsid w:val="00FF0F6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AE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table" w:customStyle="1" w:styleId="TableGrid1">
    <w:name w:val="Table Grid1"/>
    <w:basedOn w:val="TableNormal"/>
    <w:next w:val="TableGrid"/>
    <w:rsid w:val="00C92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6E72"/>
    <w:pPr>
      <w:spacing w:after="0" w:line="240" w:lineRule="auto"/>
    </w:pPr>
    <w:rPr>
      <w:rFonts w:ascii="Calibri" w:eastAsia="Calibri" w:hAnsi="Calibri" w:cs="Times New Roman"/>
    </w:rPr>
  </w:style>
  <w:style w:type="paragraph" w:customStyle="1" w:styleId="Default">
    <w:name w:val="Default"/>
    <w:rsid w:val="00F81F83"/>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semiHidden/>
    <w:rsid w:val="005959AF"/>
    <w:rPr>
      <w:rFonts w:ascii="Times New Roman" w:hAnsi="Times New Roman"/>
      <w:vertAlign w:val="superscript"/>
    </w:rPr>
  </w:style>
  <w:style w:type="paragraph" w:styleId="FootnoteText">
    <w:name w:val="footnote text"/>
    <w:basedOn w:val="Normal"/>
    <w:link w:val="FootnoteTextChar"/>
    <w:semiHidden/>
    <w:rsid w:val="005959A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5959AF"/>
    <w:rPr>
      <w:rFonts w:ascii="Times New Roman" w:eastAsia="Times New Roman" w:hAnsi="Times New Roman" w:cs="Times New Roman"/>
      <w:sz w:val="20"/>
      <w:szCs w:val="20"/>
    </w:rPr>
  </w:style>
  <w:style w:type="character" w:styleId="Hyperlink">
    <w:name w:val="Hyperlink"/>
    <w:basedOn w:val="DefaultParagraphFont"/>
    <w:rsid w:val="00595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7391">
      <w:bodyDiv w:val="1"/>
      <w:marLeft w:val="0"/>
      <w:marRight w:val="0"/>
      <w:marTop w:val="0"/>
      <w:marBottom w:val="0"/>
      <w:divBdr>
        <w:top w:val="none" w:sz="0" w:space="0" w:color="auto"/>
        <w:left w:val="none" w:sz="0" w:space="0" w:color="auto"/>
        <w:bottom w:val="none" w:sz="0" w:space="0" w:color="auto"/>
        <w:right w:val="none" w:sz="0" w:space="0" w:color="auto"/>
      </w:divBdr>
    </w:div>
    <w:div w:id="463813148">
      <w:bodyDiv w:val="1"/>
      <w:marLeft w:val="0"/>
      <w:marRight w:val="0"/>
      <w:marTop w:val="0"/>
      <w:marBottom w:val="0"/>
      <w:divBdr>
        <w:top w:val="none" w:sz="0" w:space="0" w:color="auto"/>
        <w:left w:val="none" w:sz="0" w:space="0" w:color="auto"/>
        <w:bottom w:val="none" w:sz="0" w:space="0" w:color="auto"/>
        <w:right w:val="none" w:sz="0" w:space="0" w:color="auto"/>
      </w:divBdr>
    </w:div>
    <w:div w:id="942222435">
      <w:bodyDiv w:val="1"/>
      <w:marLeft w:val="0"/>
      <w:marRight w:val="0"/>
      <w:marTop w:val="0"/>
      <w:marBottom w:val="0"/>
      <w:divBdr>
        <w:top w:val="none" w:sz="0" w:space="0" w:color="auto"/>
        <w:left w:val="none" w:sz="0" w:space="0" w:color="auto"/>
        <w:bottom w:val="none" w:sz="0" w:space="0" w:color="auto"/>
        <w:right w:val="none" w:sz="0" w:space="0" w:color="auto"/>
      </w:divBdr>
    </w:div>
    <w:div w:id="1023241416">
      <w:bodyDiv w:val="1"/>
      <w:marLeft w:val="0"/>
      <w:marRight w:val="0"/>
      <w:marTop w:val="0"/>
      <w:marBottom w:val="0"/>
      <w:divBdr>
        <w:top w:val="none" w:sz="0" w:space="0" w:color="auto"/>
        <w:left w:val="none" w:sz="0" w:space="0" w:color="auto"/>
        <w:bottom w:val="none" w:sz="0" w:space="0" w:color="auto"/>
        <w:right w:val="none" w:sz="0" w:space="0" w:color="auto"/>
      </w:divBdr>
    </w:div>
    <w:div w:id="1073043537">
      <w:bodyDiv w:val="1"/>
      <w:marLeft w:val="0"/>
      <w:marRight w:val="0"/>
      <w:marTop w:val="0"/>
      <w:marBottom w:val="0"/>
      <w:divBdr>
        <w:top w:val="none" w:sz="0" w:space="0" w:color="auto"/>
        <w:left w:val="none" w:sz="0" w:space="0" w:color="auto"/>
        <w:bottom w:val="none" w:sz="0" w:space="0" w:color="auto"/>
        <w:right w:val="none" w:sz="0" w:space="0" w:color="auto"/>
      </w:divBdr>
    </w:div>
    <w:div w:id="1468547217">
      <w:bodyDiv w:val="1"/>
      <w:marLeft w:val="0"/>
      <w:marRight w:val="0"/>
      <w:marTop w:val="0"/>
      <w:marBottom w:val="0"/>
      <w:divBdr>
        <w:top w:val="none" w:sz="0" w:space="0" w:color="auto"/>
        <w:left w:val="none" w:sz="0" w:space="0" w:color="auto"/>
        <w:bottom w:val="none" w:sz="0" w:space="0" w:color="auto"/>
        <w:right w:val="none" w:sz="0" w:space="0" w:color="auto"/>
      </w:divBdr>
    </w:div>
    <w:div w:id="1580945010">
      <w:bodyDiv w:val="1"/>
      <w:marLeft w:val="0"/>
      <w:marRight w:val="0"/>
      <w:marTop w:val="0"/>
      <w:marBottom w:val="0"/>
      <w:divBdr>
        <w:top w:val="none" w:sz="0" w:space="0" w:color="auto"/>
        <w:left w:val="none" w:sz="0" w:space="0" w:color="auto"/>
        <w:bottom w:val="none" w:sz="0" w:space="0" w:color="auto"/>
        <w:right w:val="none" w:sz="0" w:space="0" w:color="auto"/>
      </w:divBdr>
    </w:div>
    <w:div w:id="1963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3BB7-F297-4743-B770-5E5B5927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2020-02-06T20:59:00Z</dcterms:created>
  <dcterms:modified xsi:type="dcterms:W3CDTF">2020-06-09T15:38:00Z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