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body>
    <w:p w:rsidR="009E118C" w:rsidP="009E118C" w:rsidRDefault="009E118C" w14:paraId="37F76B22"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jc w:val="center"/>
        <w:rPr>
          <w:rFonts w:ascii="Helvetica" w:hAnsi="Helvetica"/>
          <w:b/>
          <w:color w:val="000000"/>
          <w:sz w:val="28"/>
        </w:rPr>
      </w:pPr>
      <w:r>
        <w:rPr>
          <w:rFonts w:ascii="Helvetica" w:hAnsi="Helvetica"/>
          <w:b/>
          <w:color w:val="000000"/>
          <w:sz w:val="28"/>
        </w:rPr>
        <w:t>Supporting Statement for Paperwork Reduction Act Submissions</w:t>
      </w:r>
    </w:p>
    <w:p w:rsidRPr="00EC31DE" w:rsidR="00BB11D1" w:rsidP="00BB11D1" w:rsidRDefault="00BB11D1" w14:paraId="29D5D11E" w14:textId="77777777">
      <w:pPr>
        <w:pStyle w:val="Heading2"/>
        <w:spacing w:after="0pt"/>
        <w:jc w:val="center"/>
        <w:rPr>
          <w:color w:val="auto"/>
          <w:sz w:val="24"/>
          <w:szCs w:val="24"/>
        </w:rPr>
      </w:pPr>
      <w:r w:rsidRPr="00EC31DE">
        <w:rPr>
          <w:color w:val="auto"/>
          <w:sz w:val="24"/>
          <w:szCs w:val="24"/>
        </w:rPr>
        <w:t>Quality Control Requirements for Direct Endorsement Lenders</w:t>
      </w:r>
    </w:p>
    <w:p w:rsidRPr="00EC31DE" w:rsidR="00BB11D1" w:rsidP="00BB11D1" w:rsidRDefault="00BB11D1" w14:paraId="0AC4369B" w14:textId="77777777">
      <w:pPr>
        <w:tabs>
          <w:tab w:val="left" w:pos="18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jc w:val="center"/>
        <w:rPr>
          <w:rFonts w:ascii="Helvetica" w:hAnsi="Helvetica"/>
          <w:b/>
          <w:sz w:val="24"/>
        </w:rPr>
      </w:pPr>
      <w:r w:rsidRPr="00EC31DE">
        <w:rPr>
          <w:rFonts w:ascii="Helvetica" w:hAnsi="Helvetica"/>
          <w:b/>
          <w:sz w:val="24"/>
        </w:rPr>
        <w:t>OMB Control Number 2502-0600</w:t>
      </w:r>
    </w:p>
    <w:p w:rsidR="009E118C" w:rsidP="009E118C" w:rsidRDefault="009E118C" w14:paraId="246F8F75" w14:textId="77777777">
      <w:pPr>
        <w:tabs>
          <w:tab w:val="left" w:pos="18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rPr>
          <w:rFonts w:ascii="Helvetica" w:hAnsi="Helvetica"/>
          <w:b/>
          <w:color w:val="000000"/>
          <w:sz w:val="24"/>
        </w:rPr>
      </w:pPr>
    </w:p>
    <w:p w:rsidRPr="00575D07" w:rsidR="009E118C" w:rsidP="009E118C" w:rsidRDefault="009E118C" w14:paraId="66DF495A" w14:textId="77777777">
      <w:pPr>
        <w:tabs>
          <w:tab w:val="left" w:pos="18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rPr>
          <w:rFonts w:ascii="Courier" w:hAnsi="Courier"/>
          <w:sz w:val="24"/>
        </w:rPr>
      </w:pPr>
      <w:r w:rsidRPr="00575D07">
        <w:rPr>
          <w:rFonts w:ascii="Helvetica" w:hAnsi="Helvetica"/>
          <w:b/>
          <w:sz w:val="24"/>
        </w:rPr>
        <w:t xml:space="preserve">A. </w:t>
      </w:r>
      <w:r w:rsidRPr="00575D07">
        <w:rPr>
          <w:rFonts w:ascii="Helvetica" w:hAnsi="Helvetica"/>
          <w:b/>
          <w:sz w:val="24"/>
        </w:rPr>
        <w:tab/>
        <w:t>Justification</w:t>
      </w:r>
    </w:p>
    <w:p w:rsidR="004F330A" w:rsidP="00BB11D1" w:rsidRDefault="00075224" w14:paraId="1F0DF756"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szCs w:val="24"/>
        </w:rPr>
      </w:pPr>
      <w:r w:rsidRPr="00575D07">
        <w:rPr>
          <w:rFonts w:ascii="Times New Roman" w:hAnsi="Times New Roman"/>
          <w:sz w:val="24"/>
          <w:szCs w:val="24"/>
        </w:rPr>
        <w:t xml:space="preserve">1. </w:t>
      </w:r>
      <w:r w:rsidRPr="00575D07" w:rsidR="004F330A">
        <w:rPr>
          <w:rFonts w:ascii="Times New Roman" w:hAnsi="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4F330A" w:rsidP="00BB11D1" w:rsidRDefault="004F330A" w14:paraId="75D65875"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szCs w:val="24"/>
        </w:rPr>
      </w:pPr>
    </w:p>
    <w:p w:rsidRPr="0076017E" w:rsidR="00BB11D1" w:rsidP="00BB11D1" w:rsidRDefault="00BB11D1" w14:paraId="3B0C85E0"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r w:rsidRPr="0076017E">
        <w:rPr>
          <w:rFonts w:ascii="Times New Roman" w:hAnsi="Times New Roman"/>
          <w:sz w:val="24"/>
        </w:rPr>
        <w:t>This information collection package provides an estimate of the burden for Direct Endorsement (DE) lenders to perform quality control reviews of loans originated by sponsored third</w:t>
      </w:r>
      <w:r>
        <w:rPr>
          <w:rFonts w:ascii="Times New Roman" w:hAnsi="Times New Roman"/>
          <w:sz w:val="24"/>
        </w:rPr>
        <w:t>-</w:t>
      </w:r>
      <w:r w:rsidRPr="0076017E">
        <w:rPr>
          <w:rFonts w:ascii="Times New Roman" w:hAnsi="Times New Roman"/>
          <w:sz w:val="24"/>
        </w:rPr>
        <w:t xml:space="preserve">party originators (TPOs) and to self-report findings of fraud, material misrepresentation, and other material findings to FHA.  Per 24 CFR 202.8(3), </w:t>
      </w:r>
      <w:r>
        <w:rPr>
          <w:rFonts w:ascii="Times New Roman" w:hAnsi="Times New Roman"/>
          <w:sz w:val="24"/>
        </w:rPr>
        <w:t xml:space="preserve">a </w:t>
      </w:r>
      <w:r w:rsidRPr="0076017E">
        <w:rPr>
          <w:rFonts w:ascii="Times New Roman" w:hAnsi="Times New Roman"/>
          <w:sz w:val="24"/>
        </w:rPr>
        <w:t xml:space="preserve">DE lender </w:t>
      </w:r>
      <w:r>
        <w:rPr>
          <w:rFonts w:ascii="Times New Roman" w:hAnsi="Times New Roman"/>
          <w:sz w:val="24"/>
        </w:rPr>
        <w:t>that</w:t>
      </w:r>
      <w:r w:rsidRPr="0076017E">
        <w:rPr>
          <w:rFonts w:ascii="Times New Roman" w:hAnsi="Times New Roman"/>
          <w:sz w:val="24"/>
        </w:rPr>
        <w:t xml:space="preserve"> sponsor</w:t>
      </w:r>
      <w:r>
        <w:rPr>
          <w:rFonts w:ascii="Times New Roman" w:hAnsi="Times New Roman"/>
          <w:sz w:val="24"/>
        </w:rPr>
        <w:t>s</w:t>
      </w:r>
      <w:r w:rsidRPr="0076017E">
        <w:rPr>
          <w:rFonts w:ascii="Times New Roman" w:hAnsi="Times New Roman"/>
          <w:sz w:val="24"/>
        </w:rPr>
        <w:t xml:space="preserve"> TPOs </w:t>
      </w:r>
      <w:r>
        <w:rPr>
          <w:rFonts w:ascii="Times New Roman" w:hAnsi="Times New Roman"/>
          <w:sz w:val="24"/>
        </w:rPr>
        <w:t>is</w:t>
      </w:r>
      <w:r w:rsidRPr="0076017E">
        <w:rPr>
          <w:rFonts w:ascii="Times New Roman" w:hAnsi="Times New Roman"/>
          <w:sz w:val="24"/>
        </w:rPr>
        <w:t xml:space="preserve"> </w:t>
      </w:r>
      <w:r>
        <w:rPr>
          <w:rFonts w:ascii="Times New Roman" w:hAnsi="Times New Roman"/>
          <w:sz w:val="24"/>
        </w:rPr>
        <w:t>“</w:t>
      </w:r>
      <w:r w:rsidRPr="0076017E">
        <w:rPr>
          <w:rFonts w:ascii="Times New Roman" w:hAnsi="Times New Roman"/>
          <w:sz w:val="24"/>
        </w:rPr>
        <w:t xml:space="preserve">responsible to the Secretary for the actions of </w:t>
      </w:r>
      <w:r>
        <w:rPr>
          <w:rFonts w:ascii="Times New Roman" w:hAnsi="Times New Roman"/>
          <w:sz w:val="24"/>
        </w:rPr>
        <w:t xml:space="preserve">its sponsored </w:t>
      </w:r>
      <w:r w:rsidRPr="0076017E">
        <w:rPr>
          <w:rFonts w:ascii="Times New Roman" w:hAnsi="Times New Roman"/>
          <w:sz w:val="24"/>
        </w:rPr>
        <w:t>third-party originators or mortgagees in originating loans or mortgages, unless applicable law or regulation requires specific knowledge on the part of the party to be held responsible.</w:t>
      </w:r>
      <w:r>
        <w:rPr>
          <w:rFonts w:ascii="Times New Roman" w:hAnsi="Times New Roman"/>
          <w:sz w:val="24"/>
        </w:rPr>
        <w:t>”</w:t>
      </w:r>
      <w:r w:rsidRPr="0076017E">
        <w:rPr>
          <w:rFonts w:ascii="Times New Roman" w:hAnsi="Times New Roman"/>
          <w:sz w:val="24"/>
        </w:rPr>
        <w:t xml:space="preserve">  As a result, DE lenders are responsible for conducting quality control reviews on TPO originations of FHA-insured mortgage loans and ensuring </w:t>
      </w:r>
      <w:r>
        <w:rPr>
          <w:rFonts w:ascii="Times New Roman" w:hAnsi="Times New Roman"/>
          <w:sz w:val="24"/>
        </w:rPr>
        <w:t xml:space="preserve">that </w:t>
      </w:r>
      <w:r w:rsidRPr="0076017E">
        <w:rPr>
          <w:rFonts w:ascii="Times New Roman" w:hAnsi="Times New Roman"/>
          <w:sz w:val="24"/>
        </w:rPr>
        <w:t xml:space="preserve">their Quality Control Plans contain this oversight provision.  This creates an information collection burden on DE lenders since these institutions must also conduct quality control on loans they originate and underwrite.  </w:t>
      </w:r>
    </w:p>
    <w:p w:rsidRPr="0076017E" w:rsidR="00BB11D1" w:rsidP="00BB11D1" w:rsidRDefault="00BB11D1" w14:paraId="6A78C880"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p>
    <w:p w:rsidRPr="0076017E" w:rsidR="00BB11D1" w:rsidP="00BB11D1" w:rsidRDefault="00BB11D1" w14:paraId="36B0C672"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r w:rsidRPr="0076017E">
        <w:rPr>
          <w:rFonts w:ascii="Times New Roman" w:hAnsi="Times New Roman"/>
          <w:sz w:val="24"/>
        </w:rPr>
        <w:t xml:space="preserve">DE lenders </w:t>
      </w:r>
      <w:r>
        <w:rPr>
          <w:rFonts w:ascii="Times New Roman" w:hAnsi="Times New Roman"/>
          <w:sz w:val="24"/>
        </w:rPr>
        <w:t>must</w:t>
      </w:r>
      <w:r w:rsidRPr="0076017E">
        <w:rPr>
          <w:rFonts w:ascii="Times New Roman" w:hAnsi="Times New Roman"/>
          <w:sz w:val="24"/>
        </w:rPr>
        <w:t xml:space="preserve"> conduct quality control </w:t>
      </w:r>
      <w:r>
        <w:rPr>
          <w:rFonts w:ascii="Times New Roman" w:hAnsi="Times New Roman"/>
          <w:sz w:val="24"/>
        </w:rPr>
        <w:t xml:space="preserve">reviews </w:t>
      </w:r>
      <w:r w:rsidRPr="0076017E">
        <w:rPr>
          <w:rFonts w:ascii="Times New Roman" w:hAnsi="Times New Roman"/>
          <w:sz w:val="24"/>
        </w:rPr>
        <w:t xml:space="preserve">on </w:t>
      </w:r>
      <w:r>
        <w:rPr>
          <w:rFonts w:ascii="Times New Roman" w:hAnsi="Times New Roman"/>
          <w:sz w:val="24"/>
        </w:rPr>
        <w:t>a sample</w:t>
      </w:r>
      <w:r w:rsidRPr="0076017E">
        <w:rPr>
          <w:rFonts w:ascii="Times New Roman" w:hAnsi="Times New Roman"/>
          <w:sz w:val="24"/>
        </w:rPr>
        <w:t xml:space="preserve"> of loans </w:t>
      </w:r>
      <w:r>
        <w:rPr>
          <w:rFonts w:ascii="Times New Roman" w:hAnsi="Times New Roman"/>
          <w:sz w:val="24"/>
        </w:rPr>
        <w:t xml:space="preserve">that </w:t>
      </w:r>
      <w:r w:rsidRPr="0076017E">
        <w:rPr>
          <w:rFonts w:ascii="Times New Roman" w:hAnsi="Times New Roman"/>
          <w:sz w:val="24"/>
        </w:rPr>
        <w:t>they originate</w:t>
      </w:r>
      <w:r>
        <w:rPr>
          <w:rFonts w:ascii="Times New Roman" w:hAnsi="Times New Roman"/>
          <w:sz w:val="24"/>
        </w:rPr>
        <w:t xml:space="preserve"> or underwrite, including loans originated by </w:t>
      </w:r>
      <w:r w:rsidRPr="0076017E">
        <w:rPr>
          <w:rFonts w:ascii="Times New Roman" w:hAnsi="Times New Roman"/>
          <w:sz w:val="24"/>
        </w:rPr>
        <w:t>TPOs</w:t>
      </w:r>
      <w:r>
        <w:rPr>
          <w:rFonts w:ascii="Times New Roman" w:hAnsi="Times New Roman"/>
          <w:sz w:val="24"/>
        </w:rPr>
        <w:t xml:space="preserve">.  </w:t>
      </w:r>
      <w:r w:rsidRPr="0076017E">
        <w:rPr>
          <w:rFonts w:ascii="Times New Roman" w:hAnsi="Times New Roman"/>
          <w:sz w:val="24"/>
        </w:rPr>
        <w:t xml:space="preserve">For the purposes of this information collection, it is </w:t>
      </w:r>
      <w:r>
        <w:rPr>
          <w:rFonts w:ascii="Times New Roman" w:hAnsi="Times New Roman"/>
          <w:sz w:val="24"/>
        </w:rPr>
        <w:t>assumed</w:t>
      </w:r>
      <w:r w:rsidRPr="0076017E">
        <w:rPr>
          <w:rFonts w:ascii="Times New Roman" w:hAnsi="Times New Roman"/>
          <w:sz w:val="24"/>
        </w:rPr>
        <w:t xml:space="preserve"> that </w:t>
      </w:r>
      <w:r>
        <w:rPr>
          <w:rFonts w:ascii="Times New Roman" w:hAnsi="Times New Roman"/>
          <w:sz w:val="24"/>
        </w:rPr>
        <w:t>the number of loans reviewed by each DE lender will comply with the Sample Size Standard and Sample Composition Standard described in HUD Handbook 4000.1, section V.A.3.a</w:t>
      </w:r>
      <w:r w:rsidRPr="0076017E">
        <w:rPr>
          <w:rFonts w:ascii="Times New Roman" w:hAnsi="Times New Roman"/>
          <w:sz w:val="24"/>
        </w:rPr>
        <w:t>.</w:t>
      </w:r>
    </w:p>
    <w:p w:rsidR="00BB11D1" w:rsidP="00BB11D1" w:rsidRDefault="00BB11D1" w14:paraId="36B9C521"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p>
    <w:p w:rsidR="00BB11D1" w:rsidP="00BB11D1" w:rsidRDefault="00BB11D1" w14:paraId="0FCC41EE"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r w:rsidRPr="0076017E">
        <w:rPr>
          <w:rFonts w:ascii="Times New Roman" w:hAnsi="Times New Roman"/>
          <w:sz w:val="24"/>
        </w:rPr>
        <w:t>In addition, under 24 CFR 203.255(c) and (e), HUD conducts both pre- and post-endorsement reviews of loans submitted for FHA insurance by DE lenders.  As part of those reviews, the Secretary is authorized to determine if there is any information indicating that any certification or required document is false, misleading, or constitutes fraud or misrepresentation on the part of any party, or that the mortgage fails to meet a statutory or regulatory requirement.  In order to assist the Secretary with this directive, FHA requires that lenders self-report all findings of fraud and material misrepresentation, as well any material findings concerning the origination, underwriting, or servicing of the loan that the lender is unable to mitigate or otherwise resolve.  The obligation to self-report these findings creates an additional information collection burden.</w:t>
      </w:r>
    </w:p>
    <w:p w:rsidR="00BB11D1" w:rsidP="00BB11D1" w:rsidRDefault="00BB11D1" w14:paraId="2A0A111E"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p>
    <w:p w:rsidR="00BB11D1" w:rsidP="00BB11D1" w:rsidRDefault="00BB11D1" w14:paraId="5F3F7494"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r w:rsidRPr="0076017E">
        <w:rPr>
          <w:rFonts w:ascii="Times New Roman" w:hAnsi="Times New Roman"/>
          <w:sz w:val="24"/>
        </w:rPr>
        <w:t>There are no regulatory changes associated with this request.</w:t>
      </w:r>
    </w:p>
    <w:p w:rsidRPr="00575D07" w:rsidR="00075224" w:rsidP="00075224" w:rsidRDefault="00075224" w14:paraId="206832F3" w14:textId="77777777">
      <w:pPr>
        <w:rPr>
          <w:rFonts w:ascii="Times New Roman" w:hAnsi="Times New Roman"/>
          <w:sz w:val="24"/>
          <w:szCs w:val="24"/>
        </w:rPr>
      </w:pPr>
    </w:p>
    <w:p w:rsidR="004F330A" w:rsidP="00075224" w:rsidRDefault="00075224" w14:paraId="58775E4E" w14:textId="77777777">
      <w:pPr>
        <w:rPr>
          <w:rFonts w:ascii="Times New Roman" w:hAnsi="Times New Roman"/>
          <w:sz w:val="24"/>
          <w:szCs w:val="24"/>
        </w:rPr>
      </w:pPr>
      <w:r w:rsidRPr="00575D07">
        <w:rPr>
          <w:rFonts w:ascii="Times New Roman" w:hAnsi="Times New Roman"/>
          <w:sz w:val="24"/>
          <w:szCs w:val="24"/>
        </w:rPr>
        <w:t xml:space="preserve">2. </w:t>
      </w:r>
      <w:r w:rsidRPr="00575D07" w:rsidR="004F330A">
        <w:rPr>
          <w:rFonts w:ascii="Times New Roman" w:hAnsi="Times New Roman"/>
          <w:sz w:val="24"/>
          <w:szCs w:val="24"/>
        </w:rPr>
        <w:t xml:space="preserve">Indicate how, by whom, and for what purpose the information is to be used. Except for a new collection, indicate the actual use the agency has made of the information received from the current collection. </w:t>
      </w:r>
    </w:p>
    <w:p w:rsidRPr="00575D07" w:rsidR="00075224" w:rsidP="00075224" w:rsidRDefault="00BB11D1" w14:paraId="7669C1DB" w14:textId="77777777">
      <w:pPr>
        <w:rPr>
          <w:rFonts w:ascii="Times New Roman" w:hAnsi="Times New Roman"/>
          <w:sz w:val="24"/>
          <w:szCs w:val="24"/>
        </w:rPr>
      </w:pPr>
      <w:r w:rsidRPr="0076017E">
        <w:rPr>
          <w:rFonts w:ascii="Times New Roman" w:hAnsi="Times New Roman"/>
          <w:sz w:val="24"/>
        </w:rPr>
        <w:lastRenderedPageBreak/>
        <w:t>This information will be used to monitor DE lender performance for potential risk to FHA</w:t>
      </w:r>
      <w:r>
        <w:rPr>
          <w:rFonts w:ascii="Times New Roman" w:hAnsi="Times New Roman"/>
          <w:sz w:val="24"/>
        </w:rPr>
        <w:t xml:space="preserve"> </w:t>
      </w:r>
      <w:r w:rsidRPr="0076017E">
        <w:rPr>
          <w:rFonts w:ascii="Times New Roman" w:hAnsi="Times New Roman"/>
          <w:sz w:val="24"/>
        </w:rPr>
        <w:t>insurance funds.  The information collected will also be used to determine DE lender compliance with FHA program requirements.</w:t>
      </w:r>
    </w:p>
    <w:p w:rsidR="00657AE8" w:rsidP="00BB11D1" w:rsidRDefault="00075224" w14:paraId="523EE17F"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szCs w:val="24"/>
        </w:rPr>
      </w:pPr>
      <w:r w:rsidRPr="00575D07">
        <w:rPr>
          <w:rFonts w:ascii="Times New Roman" w:hAnsi="Times New Roman"/>
          <w:sz w:val="24"/>
          <w:szCs w:val="24"/>
        </w:rPr>
        <w:t>3.</w:t>
      </w:r>
      <w:r w:rsidR="00BB11D1">
        <w:rPr>
          <w:rFonts w:ascii="Times New Roman" w:hAnsi="Times New Roman"/>
          <w:sz w:val="24"/>
          <w:szCs w:val="24"/>
        </w:rPr>
        <w:t xml:space="preserve"> </w:t>
      </w:r>
      <w:r w:rsidRPr="00575D07" w:rsidR="00657AE8">
        <w:rPr>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57AE8" w:rsidP="00BB11D1" w:rsidRDefault="00657AE8" w14:paraId="515DB78D"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szCs w:val="24"/>
        </w:rPr>
      </w:pPr>
    </w:p>
    <w:p w:rsidR="00075224" w:rsidP="00657AE8" w:rsidRDefault="00BB11D1" w14:paraId="13578414"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r w:rsidRPr="0076017E">
        <w:rPr>
          <w:rFonts w:ascii="Times New Roman" w:hAnsi="Times New Roman"/>
          <w:sz w:val="24"/>
        </w:rPr>
        <w:t>The burden associated with the approval process is the minimum required to achieve program objectives.  Consideration for small business is not a factor.  Each lender’s quality control plan is uniquely customized to fit the institution’s business model.  Consequently, the creation of a blanket automated system to process responses would not be practical.</w:t>
      </w:r>
    </w:p>
    <w:p w:rsidRPr="00657AE8" w:rsidR="00657AE8" w:rsidP="00657AE8" w:rsidRDefault="00657AE8" w14:paraId="1F729D4D"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p>
    <w:p w:rsidR="00657AE8" w:rsidP="00075224" w:rsidRDefault="00075224" w14:paraId="0B0968FE" w14:textId="77777777">
      <w:pPr>
        <w:rPr>
          <w:rFonts w:ascii="Times New Roman" w:hAnsi="Times New Roman"/>
          <w:sz w:val="24"/>
          <w:szCs w:val="24"/>
        </w:rPr>
      </w:pPr>
      <w:r w:rsidRPr="00575D07">
        <w:rPr>
          <w:rFonts w:ascii="Times New Roman" w:hAnsi="Times New Roman"/>
          <w:sz w:val="24"/>
          <w:szCs w:val="24"/>
        </w:rPr>
        <w:t xml:space="preserve">4. </w:t>
      </w:r>
      <w:r w:rsidRPr="00575D07" w:rsidR="00657AE8">
        <w:rPr>
          <w:rFonts w:ascii="Times New Roman" w:hAnsi="Times New Roman"/>
          <w:sz w:val="24"/>
          <w:szCs w:val="24"/>
        </w:rPr>
        <w:t xml:space="preserve">Describe efforts to identify duplication. Show specifically why any similar information already available cannot be used or modified for use for the purposes described in Item 2 above. </w:t>
      </w:r>
    </w:p>
    <w:p w:rsidRPr="00575D07" w:rsidR="00075224" w:rsidP="00075224" w:rsidRDefault="00BB11D1" w14:paraId="030D9FD6" w14:textId="77777777">
      <w:pPr>
        <w:rPr>
          <w:rFonts w:ascii="Times New Roman" w:hAnsi="Times New Roman"/>
          <w:sz w:val="24"/>
          <w:szCs w:val="24"/>
        </w:rPr>
      </w:pPr>
      <w:r w:rsidRPr="0076017E">
        <w:rPr>
          <w:rFonts w:ascii="Times New Roman" w:hAnsi="Times New Roman"/>
          <w:sz w:val="24"/>
        </w:rPr>
        <w:t>There are no duplicate methods in place to collect and monitor this information.</w:t>
      </w:r>
    </w:p>
    <w:p w:rsidR="00657AE8" w:rsidP="00075224" w:rsidRDefault="00075224" w14:paraId="3CB973C3" w14:textId="77777777">
      <w:pPr>
        <w:rPr>
          <w:rFonts w:ascii="Times New Roman" w:hAnsi="Times New Roman"/>
          <w:sz w:val="24"/>
          <w:szCs w:val="24"/>
        </w:rPr>
      </w:pPr>
      <w:r w:rsidRPr="00575D07">
        <w:rPr>
          <w:rFonts w:ascii="Times New Roman" w:hAnsi="Times New Roman"/>
          <w:sz w:val="24"/>
          <w:szCs w:val="24"/>
        </w:rPr>
        <w:t xml:space="preserve">5. </w:t>
      </w:r>
      <w:r w:rsidRPr="00575D07" w:rsidR="00657AE8">
        <w:rPr>
          <w:rFonts w:ascii="Times New Roman" w:hAnsi="Times New Roman"/>
          <w:sz w:val="24"/>
          <w:szCs w:val="24"/>
        </w:rPr>
        <w:t xml:space="preserve">If the collection of information impacts small businesses or other small entities (Item 5 of OMB Form 83-I), describe any methods used to minimize burden. </w:t>
      </w:r>
    </w:p>
    <w:p w:rsidRPr="00575D07" w:rsidR="00075224" w:rsidP="00075224" w:rsidRDefault="00BB11D1" w14:paraId="319AE153" w14:textId="77777777">
      <w:pPr>
        <w:rPr>
          <w:rFonts w:ascii="Times New Roman" w:hAnsi="Times New Roman"/>
          <w:sz w:val="24"/>
          <w:szCs w:val="24"/>
        </w:rPr>
      </w:pPr>
      <w:r w:rsidRPr="0076017E">
        <w:rPr>
          <w:rFonts w:ascii="Times New Roman" w:hAnsi="Times New Roman"/>
          <w:sz w:val="24"/>
        </w:rPr>
        <w:t>The information collected does not have a significant economic impact on a substantial number of small entities.</w:t>
      </w:r>
    </w:p>
    <w:p w:rsidR="00657AE8" w:rsidP="00BB11D1" w:rsidRDefault="00075224" w14:paraId="1DC303B2"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szCs w:val="24"/>
        </w:rPr>
      </w:pPr>
      <w:r w:rsidRPr="00575D07">
        <w:rPr>
          <w:rFonts w:ascii="Times New Roman" w:hAnsi="Times New Roman"/>
          <w:sz w:val="24"/>
          <w:szCs w:val="24"/>
        </w:rPr>
        <w:t xml:space="preserve">6. </w:t>
      </w:r>
      <w:r w:rsidRPr="00575D07" w:rsidR="00657AE8">
        <w:rPr>
          <w:rFonts w:ascii="Times New Roman" w:hAnsi="Times New Roman"/>
          <w:sz w:val="24"/>
          <w:szCs w:val="24"/>
        </w:rPr>
        <w:t xml:space="preserve">Describe the consequence to Federal program or policy activities if the collection is not conducted or is conducted less frequently, as well as any technical or legal obstacles to reducing burden. </w:t>
      </w:r>
    </w:p>
    <w:p w:rsidR="00657AE8" w:rsidP="00BB11D1" w:rsidRDefault="00657AE8" w14:paraId="5D7195A2"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szCs w:val="24"/>
        </w:rPr>
      </w:pPr>
    </w:p>
    <w:p w:rsidR="00075224" w:rsidP="00BB11D1" w:rsidRDefault="00BB11D1" w14:paraId="69865D1D"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r w:rsidRPr="0076017E">
        <w:rPr>
          <w:rFonts w:ascii="Times New Roman" w:hAnsi="Times New Roman"/>
          <w:sz w:val="24"/>
        </w:rPr>
        <w:t>The information collection frequency is the minimum consistent with program objectives.</w:t>
      </w:r>
    </w:p>
    <w:p w:rsidRPr="00BB11D1" w:rsidR="00BB11D1" w:rsidP="00BB11D1" w:rsidRDefault="00BB11D1" w14:paraId="62AF05A3"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p>
    <w:p w:rsidRPr="00575D07" w:rsidR="00657AE8" w:rsidP="00657AE8" w:rsidRDefault="00075224" w14:paraId="6F7831D4" w14:textId="77777777">
      <w:pPr>
        <w:rPr>
          <w:rFonts w:ascii="Times New Roman" w:hAnsi="Times New Roman"/>
          <w:sz w:val="24"/>
          <w:szCs w:val="24"/>
        </w:rPr>
      </w:pPr>
      <w:r w:rsidRPr="00575D07">
        <w:rPr>
          <w:rFonts w:ascii="Times New Roman" w:hAnsi="Times New Roman"/>
          <w:sz w:val="24"/>
          <w:szCs w:val="24"/>
        </w:rPr>
        <w:t xml:space="preserve">7. </w:t>
      </w:r>
      <w:r w:rsidRPr="00575D07" w:rsidR="00657AE8">
        <w:rPr>
          <w:rFonts w:ascii="Times New Roman" w:hAnsi="Times New Roman"/>
          <w:sz w:val="24"/>
          <w:szCs w:val="24"/>
        </w:rPr>
        <w:t xml:space="preserve">Explain any special circumstances that would cause an information collection to be conducted in a manner: </w:t>
      </w:r>
    </w:p>
    <w:p w:rsidRPr="004846FB" w:rsidR="003E6C7A" w:rsidP="003E6C7A" w:rsidRDefault="003E6C7A" w14:paraId="711C7644" w14:textId="77777777">
      <w:pPr>
        <w:spacing w:after="0pt" w:line="12pt" w:lineRule="auto"/>
        <w:ind w:start="54pt" w:hanging="18pt"/>
        <w:rPr>
          <w:rFonts w:ascii="Times New Roman" w:hAnsi="Times New Roman"/>
          <w:b/>
          <w:bCs/>
          <w:sz w:val="24"/>
          <w:szCs w:val="24"/>
        </w:rPr>
      </w:pPr>
    </w:p>
    <w:p w:rsidRPr="003E6C7A" w:rsidR="003E6C7A" w:rsidP="003E6C7A" w:rsidRDefault="003E6C7A" w14:paraId="6BF21067" w14:textId="77777777">
      <w:pPr>
        <w:numPr>
          <w:ilvl w:val="0"/>
          <w:numId w:val="8"/>
        </w:numPr>
        <w:overflowPunct w:val="0"/>
        <w:autoSpaceDE w:val="0"/>
        <w:autoSpaceDN w:val="0"/>
        <w:adjustRightInd w:val="0"/>
        <w:spacing w:after="0pt" w:line="12pt" w:lineRule="auto"/>
        <w:textAlignment w:val="baseline"/>
        <w:rPr>
          <w:rFonts w:ascii="Times New Roman" w:hAnsi="Times New Roman"/>
          <w:b/>
          <w:bCs/>
          <w:sz w:val="24"/>
          <w:szCs w:val="24"/>
        </w:rPr>
      </w:pPr>
      <w:r w:rsidRPr="003E6C7A">
        <w:rPr>
          <w:rFonts w:ascii="Times New Roman" w:hAnsi="Times New Roman"/>
          <w:b/>
          <w:bCs/>
          <w:sz w:val="24"/>
          <w:szCs w:val="24"/>
        </w:rPr>
        <w:t xml:space="preserve">requiring respondents to report information to the agency more often than </w:t>
      </w:r>
      <w:proofErr w:type="gramStart"/>
      <w:r w:rsidRPr="003E6C7A">
        <w:rPr>
          <w:rFonts w:ascii="Times New Roman" w:hAnsi="Times New Roman"/>
          <w:b/>
          <w:bCs/>
          <w:sz w:val="24"/>
          <w:szCs w:val="24"/>
        </w:rPr>
        <w:t>quarterly;</w:t>
      </w:r>
      <w:proofErr w:type="gramEnd"/>
    </w:p>
    <w:p w:rsidRPr="004846FB" w:rsidR="003E6C7A" w:rsidP="003E6C7A" w:rsidRDefault="003E6C7A" w14:paraId="406C2971" w14:textId="77777777">
      <w:pPr>
        <w:spacing w:after="0pt" w:line="12pt" w:lineRule="auto"/>
        <w:rPr>
          <w:rFonts w:ascii="Times New Roman" w:hAnsi="Times New Roman"/>
          <w:sz w:val="24"/>
          <w:szCs w:val="24"/>
        </w:rPr>
      </w:pPr>
    </w:p>
    <w:p w:rsidRPr="003E6C7A" w:rsidR="003E6C7A" w:rsidP="003E6C7A" w:rsidRDefault="003E6C7A" w14:paraId="107EAECB"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No special circumstances are noted that would cause this information collection to be conducted in an unusual manner that would require respondents to report information to the agency more often than quarterly.</w:t>
      </w:r>
    </w:p>
    <w:p w:rsidRPr="004846FB" w:rsidR="003E6C7A" w:rsidP="003E6C7A" w:rsidRDefault="003E6C7A" w14:paraId="670453F2" w14:textId="77777777">
      <w:pPr>
        <w:spacing w:after="0pt" w:line="12pt" w:lineRule="auto"/>
        <w:rPr>
          <w:rFonts w:ascii="Times New Roman" w:hAnsi="Times New Roman"/>
          <w:b/>
          <w:bCs/>
          <w:sz w:val="24"/>
          <w:szCs w:val="24"/>
        </w:rPr>
      </w:pPr>
    </w:p>
    <w:p w:rsidRPr="004846FB" w:rsidR="003E6C7A" w:rsidP="003E6C7A" w:rsidRDefault="003E6C7A" w14:paraId="2C155F94" w14:textId="77777777">
      <w:pPr>
        <w:numPr>
          <w:ilvl w:val="0"/>
          <w:numId w:val="8"/>
        </w:numPr>
        <w:overflowPunct w:val="0"/>
        <w:autoSpaceDE w:val="0"/>
        <w:autoSpaceDN w:val="0"/>
        <w:adjustRightInd w:val="0"/>
        <w:spacing w:after="0pt" w:line="12pt" w:lineRule="auto"/>
        <w:textAlignment w:val="baseline"/>
        <w:rPr>
          <w:rFonts w:ascii="Times New Roman" w:hAnsi="Times New Roman"/>
          <w:sz w:val="24"/>
          <w:szCs w:val="24"/>
        </w:rPr>
      </w:pPr>
      <w:r w:rsidRPr="004846FB">
        <w:rPr>
          <w:rFonts w:ascii="Times New Roman" w:hAnsi="Times New Roman"/>
          <w:b/>
          <w:bCs/>
          <w:sz w:val="24"/>
          <w:szCs w:val="24"/>
        </w:rPr>
        <w:t xml:space="preserve">requiring respondents to prepare a written response to a collection of information in fewer than 30 days after receipt of </w:t>
      </w:r>
      <w:proofErr w:type="gramStart"/>
      <w:r w:rsidRPr="004846FB">
        <w:rPr>
          <w:rFonts w:ascii="Times New Roman" w:hAnsi="Times New Roman"/>
          <w:b/>
          <w:bCs/>
          <w:sz w:val="24"/>
          <w:szCs w:val="24"/>
        </w:rPr>
        <w:t>it;</w:t>
      </w:r>
      <w:proofErr w:type="gramEnd"/>
      <w:r w:rsidRPr="004846FB">
        <w:rPr>
          <w:rFonts w:ascii="Times New Roman" w:hAnsi="Times New Roman"/>
          <w:b/>
          <w:bCs/>
          <w:sz w:val="24"/>
          <w:szCs w:val="24"/>
        </w:rPr>
        <w:br/>
      </w:r>
    </w:p>
    <w:p w:rsidRPr="004846FB" w:rsidR="003E6C7A" w:rsidP="003E6C7A" w:rsidRDefault="003E6C7A" w14:paraId="4B00837C"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 xml:space="preserve">No special circumstances are noted that would cause this information collection to be conducted in an unusual manner that would require respondents to prepare and submit a written response in less than 30 days after receipt of the information obtained on the </w:t>
      </w:r>
      <w:r w:rsidRPr="003E6C7A">
        <w:rPr>
          <w:rFonts w:ascii="Times New Roman" w:hAnsi="Times New Roman"/>
          <w:sz w:val="24"/>
          <w:szCs w:val="24"/>
        </w:rPr>
        <w:lastRenderedPageBreak/>
        <w:t>forms.  Both forms are directly related to the processing of mortgages for homes that require FHA mortgage insurance.  Therefore, the forms are likely to be completed within 30 days to minimize any delay in processing</w:t>
      </w:r>
      <w:r w:rsidRPr="004846FB">
        <w:rPr>
          <w:rFonts w:ascii="Times New Roman" w:hAnsi="Times New Roman"/>
          <w:sz w:val="24"/>
          <w:szCs w:val="24"/>
        </w:rPr>
        <w:t>.</w:t>
      </w:r>
    </w:p>
    <w:p w:rsidRPr="004846FB" w:rsidR="003E6C7A" w:rsidP="003E6C7A" w:rsidRDefault="003E6C7A" w14:paraId="6DC11A44" w14:textId="77777777">
      <w:pPr>
        <w:spacing w:after="0pt" w:line="12pt" w:lineRule="auto"/>
        <w:rPr>
          <w:rFonts w:ascii="Times New Roman" w:hAnsi="Times New Roman"/>
          <w:b/>
          <w:bCs/>
          <w:sz w:val="24"/>
          <w:szCs w:val="24"/>
        </w:rPr>
      </w:pPr>
    </w:p>
    <w:p w:rsidRPr="004846FB" w:rsidR="003E6C7A" w:rsidP="003E6C7A" w:rsidRDefault="003E6C7A" w14:paraId="241983F6" w14:textId="77777777">
      <w:pPr>
        <w:numPr>
          <w:ilvl w:val="0"/>
          <w:numId w:val="8"/>
        </w:numPr>
        <w:overflowPunct w:val="0"/>
        <w:autoSpaceDE w:val="0"/>
        <w:autoSpaceDN w:val="0"/>
        <w:adjustRightInd w:val="0"/>
        <w:spacing w:after="0pt" w:line="12pt" w:lineRule="auto"/>
        <w:textAlignment w:val="baseline"/>
        <w:rPr>
          <w:rFonts w:ascii="Times New Roman" w:hAnsi="Times New Roman"/>
          <w:b/>
          <w:bCs/>
          <w:sz w:val="24"/>
          <w:szCs w:val="24"/>
        </w:rPr>
      </w:pPr>
      <w:r w:rsidRPr="004846FB">
        <w:rPr>
          <w:rFonts w:ascii="Times New Roman" w:hAnsi="Times New Roman"/>
          <w:b/>
          <w:bCs/>
          <w:sz w:val="24"/>
          <w:szCs w:val="24"/>
        </w:rPr>
        <w:t xml:space="preserve">requiring respondents to submit more than an original and two copies of any </w:t>
      </w:r>
      <w:proofErr w:type="gramStart"/>
      <w:r w:rsidRPr="004846FB">
        <w:rPr>
          <w:rFonts w:ascii="Times New Roman" w:hAnsi="Times New Roman"/>
          <w:b/>
          <w:bCs/>
          <w:sz w:val="24"/>
          <w:szCs w:val="24"/>
        </w:rPr>
        <w:t>document;</w:t>
      </w:r>
      <w:proofErr w:type="gramEnd"/>
    </w:p>
    <w:p w:rsidRPr="004846FB" w:rsidR="003E6C7A" w:rsidP="003E6C7A" w:rsidRDefault="003E6C7A" w14:paraId="01E84585" w14:textId="77777777">
      <w:pPr>
        <w:spacing w:after="0pt" w:line="12pt" w:lineRule="auto"/>
        <w:rPr>
          <w:rFonts w:ascii="Times New Roman" w:hAnsi="Times New Roman"/>
          <w:sz w:val="24"/>
          <w:szCs w:val="24"/>
        </w:rPr>
      </w:pPr>
    </w:p>
    <w:p w:rsidRPr="003E6C7A" w:rsidR="003E6C7A" w:rsidP="003E6C7A" w:rsidRDefault="003E6C7A" w14:paraId="46BFA7ED"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No special circumstances are noted that would require respondents to submit more than an original and two copies of any document.</w:t>
      </w:r>
    </w:p>
    <w:p w:rsidRPr="004846FB" w:rsidR="003E6C7A" w:rsidP="003E6C7A" w:rsidRDefault="003E6C7A" w14:paraId="419A1A2C" w14:textId="77777777">
      <w:pPr>
        <w:spacing w:after="0pt" w:line="12pt" w:lineRule="auto"/>
        <w:rPr>
          <w:rFonts w:ascii="Times New Roman" w:hAnsi="Times New Roman"/>
          <w:b/>
          <w:bCs/>
          <w:sz w:val="24"/>
          <w:szCs w:val="24"/>
        </w:rPr>
      </w:pPr>
    </w:p>
    <w:p w:rsidRPr="003E6C7A" w:rsidR="003E6C7A" w:rsidP="003E6C7A" w:rsidRDefault="003E6C7A" w14:paraId="4FEAEA1E" w14:textId="77777777">
      <w:pPr>
        <w:numPr>
          <w:ilvl w:val="0"/>
          <w:numId w:val="8"/>
        </w:numPr>
        <w:overflowPunct w:val="0"/>
        <w:autoSpaceDE w:val="0"/>
        <w:autoSpaceDN w:val="0"/>
        <w:adjustRightInd w:val="0"/>
        <w:spacing w:after="0pt" w:line="12pt" w:lineRule="auto"/>
        <w:textAlignment w:val="baseline"/>
        <w:rPr>
          <w:rFonts w:ascii="Times New Roman" w:hAnsi="Times New Roman"/>
          <w:b/>
          <w:bCs/>
          <w:sz w:val="24"/>
          <w:szCs w:val="24"/>
        </w:rPr>
      </w:pPr>
      <w:r w:rsidRPr="004846FB">
        <w:rPr>
          <w:rFonts w:ascii="Times New Roman" w:hAnsi="Times New Roman"/>
          <w:b/>
          <w:bCs/>
          <w:sz w:val="24"/>
          <w:szCs w:val="24"/>
        </w:rPr>
        <w:t xml:space="preserve">requiring respondents to retain records, other than health, medical, government contract, grant-in-aid, or tax records, for more than three </w:t>
      </w:r>
      <w:proofErr w:type="gramStart"/>
      <w:r w:rsidRPr="004846FB">
        <w:rPr>
          <w:rFonts w:ascii="Times New Roman" w:hAnsi="Times New Roman"/>
          <w:b/>
          <w:bCs/>
          <w:sz w:val="24"/>
          <w:szCs w:val="24"/>
        </w:rPr>
        <w:t>years;</w:t>
      </w:r>
      <w:proofErr w:type="gramEnd"/>
    </w:p>
    <w:p w:rsidRPr="004846FB" w:rsidR="003E6C7A" w:rsidP="003E6C7A" w:rsidRDefault="003E6C7A" w14:paraId="02245C77" w14:textId="77777777">
      <w:pPr>
        <w:spacing w:after="0pt" w:line="12pt" w:lineRule="auto"/>
        <w:rPr>
          <w:rFonts w:ascii="Times New Roman" w:hAnsi="Times New Roman"/>
          <w:b/>
          <w:bCs/>
          <w:sz w:val="24"/>
          <w:szCs w:val="24"/>
        </w:rPr>
      </w:pPr>
    </w:p>
    <w:p w:rsidRPr="004846FB" w:rsidR="003E6C7A" w:rsidP="003E6C7A" w:rsidRDefault="003E6C7A" w14:paraId="47FBF35B"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No special circumstances are noted that would require respondents to retain records for more than three years</w:t>
      </w:r>
      <w:r w:rsidRPr="004846FB">
        <w:rPr>
          <w:rFonts w:ascii="Times New Roman" w:hAnsi="Times New Roman"/>
          <w:sz w:val="24"/>
          <w:szCs w:val="24"/>
        </w:rPr>
        <w:t>.</w:t>
      </w:r>
    </w:p>
    <w:p w:rsidRPr="004846FB" w:rsidR="003E6C7A" w:rsidP="003E6C7A" w:rsidRDefault="003E6C7A" w14:paraId="27B3D7C2" w14:textId="77777777">
      <w:pPr>
        <w:spacing w:after="0pt" w:line="12pt" w:lineRule="auto"/>
        <w:rPr>
          <w:rFonts w:ascii="Times New Roman" w:hAnsi="Times New Roman"/>
          <w:sz w:val="24"/>
          <w:szCs w:val="24"/>
        </w:rPr>
      </w:pPr>
    </w:p>
    <w:p w:rsidRPr="003E6C7A" w:rsidR="003E6C7A" w:rsidP="003E6C7A" w:rsidRDefault="003E6C7A" w14:paraId="3968F4F5" w14:textId="77777777">
      <w:pPr>
        <w:numPr>
          <w:ilvl w:val="0"/>
          <w:numId w:val="8"/>
        </w:numPr>
        <w:overflowPunct w:val="0"/>
        <w:autoSpaceDE w:val="0"/>
        <w:autoSpaceDN w:val="0"/>
        <w:adjustRightInd w:val="0"/>
        <w:spacing w:after="0pt" w:line="12pt" w:lineRule="auto"/>
        <w:textAlignment w:val="baseline"/>
        <w:rPr>
          <w:rFonts w:ascii="Times New Roman" w:hAnsi="Times New Roman"/>
          <w:b/>
          <w:bCs/>
          <w:sz w:val="24"/>
          <w:szCs w:val="24"/>
        </w:rPr>
      </w:pPr>
      <w:r w:rsidRPr="004846FB">
        <w:rPr>
          <w:rFonts w:ascii="Times New Roman" w:hAnsi="Times New Roman"/>
          <w:b/>
          <w:bCs/>
          <w:sz w:val="24"/>
          <w:szCs w:val="24"/>
        </w:rPr>
        <w:t xml:space="preserve">in connection with a statistical survey, that is not designed to produce valid and reliable results that can be generalized to the universe of </w:t>
      </w:r>
      <w:proofErr w:type="gramStart"/>
      <w:r w:rsidRPr="004846FB">
        <w:rPr>
          <w:rFonts w:ascii="Times New Roman" w:hAnsi="Times New Roman"/>
          <w:b/>
          <w:bCs/>
          <w:sz w:val="24"/>
          <w:szCs w:val="24"/>
        </w:rPr>
        <w:t>study;</w:t>
      </w:r>
      <w:proofErr w:type="gramEnd"/>
    </w:p>
    <w:p w:rsidRPr="004846FB" w:rsidR="003E6C7A" w:rsidP="003E6C7A" w:rsidRDefault="003E6C7A" w14:paraId="0A8A3FC9" w14:textId="77777777">
      <w:pPr>
        <w:spacing w:after="0pt" w:line="12pt" w:lineRule="auto"/>
        <w:rPr>
          <w:rFonts w:ascii="Times New Roman" w:hAnsi="Times New Roman"/>
          <w:b/>
          <w:bCs/>
          <w:sz w:val="24"/>
          <w:szCs w:val="24"/>
        </w:rPr>
      </w:pPr>
    </w:p>
    <w:p w:rsidRPr="003E6C7A" w:rsidR="003E6C7A" w:rsidP="003E6C7A" w:rsidRDefault="003E6C7A" w14:paraId="74BDC142"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No special circumstances are noted in connection with a statistical survey that is not designed to produce valid and reliable results that can be generalized to the universe of study.</w:t>
      </w:r>
    </w:p>
    <w:p w:rsidRPr="004846FB" w:rsidR="003E6C7A" w:rsidP="003E6C7A" w:rsidRDefault="003E6C7A" w14:paraId="2EABE681" w14:textId="77777777">
      <w:pPr>
        <w:spacing w:after="0pt" w:line="12pt" w:lineRule="auto"/>
        <w:rPr>
          <w:rFonts w:ascii="Times New Roman" w:hAnsi="Times New Roman"/>
          <w:sz w:val="24"/>
          <w:szCs w:val="24"/>
        </w:rPr>
      </w:pPr>
    </w:p>
    <w:p w:rsidRPr="003E6C7A" w:rsidR="003E6C7A" w:rsidP="003E6C7A" w:rsidRDefault="003E6C7A" w14:paraId="13B6C180" w14:textId="77777777">
      <w:pPr>
        <w:numPr>
          <w:ilvl w:val="0"/>
          <w:numId w:val="8"/>
        </w:numPr>
        <w:overflowPunct w:val="0"/>
        <w:autoSpaceDE w:val="0"/>
        <w:autoSpaceDN w:val="0"/>
        <w:adjustRightInd w:val="0"/>
        <w:spacing w:after="0pt" w:line="12pt" w:lineRule="auto"/>
        <w:textAlignment w:val="baseline"/>
        <w:rPr>
          <w:rFonts w:ascii="Times New Roman" w:hAnsi="Times New Roman"/>
          <w:b/>
          <w:bCs/>
          <w:sz w:val="24"/>
          <w:szCs w:val="24"/>
        </w:rPr>
      </w:pPr>
      <w:r w:rsidRPr="004846FB">
        <w:rPr>
          <w:rFonts w:ascii="Times New Roman" w:hAnsi="Times New Roman"/>
          <w:b/>
          <w:bCs/>
          <w:sz w:val="24"/>
          <w:szCs w:val="24"/>
        </w:rPr>
        <w:t xml:space="preserve">requiring the use of a statistical data classification that has not been reviewed and approved by </w:t>
      </w:r>
      <w:proofErr w:type="gramStart"/>
      <w:r w:rsidRPr="004846FB">
        <w:rPr>
          <w:rFonts w:ascii="Times New Roman" w:hAnsi="Times New Roman"/>
          <w:b/>
          <w:bCs/>
          <w:sz w:val="24"/>
          <w:szCs w:val="24"/>
        </w:rPr>
        <w:t>OMB;</w:t>
      </w:r>
      <w:proofErr w:type="gramEnd"/>
    </w:p>
    <w:p w:rsidRPr="004846FB" w:rsidR="003E6C7A" w:rsidP="003E6C7A" w:rsidRDefault="003E6C7A" w14:paraId="652A0EC9" w14:textId="77777777">
      <w:pPr>
        <w:spacing w:after="0pt" w:line="12pt" w:lineRule="auto"/>
        <w:rPr>
          <w:rFonts w:ascii="Times New Roman" w:hAnsi="Times New Roman"/>
          <w:b/>
          <w:bCs/>
          <w:sz w:val="24"/>
          <w:szCs w:val="24"/>
        </w:rPr>
      </w:pPr>
    </w:p>
    <w:p w:rsidRPr="003E6C7A" w:rsidR="003E6C7A" w:rsidP="003E6C7A" w:rsidRDefault="003E6C7A" w14:paraId="19861335"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No special circumstances are noted requiring the use of a statistical data classification that has not been reviewed and approved by OMB.</w:t>
      </w:r>
    </w:p>
    <w:p w:rsidRPr="004846FB" w:rsidR="003E6C7A" w:rsidP="003E6C7A" w:rsidRDefault="003E6C7A" w14:paraId="479B9818" w14:textId="77777777">
      <w:pPr>
        <w:spacing w:after="0pt" w:line="12pt" w:lineRule="auto"/>
        <w:rPr>
          <w:rFonts w:ascii="Times New Roman" w:hAnsi="Times New Roman"/>
          <w:sz w:val="24"/>
          <w:szCs w:val="24"/>
        </w:rPr>
      </w:pPr>
    </w:p>
    <w:p w:rsidRPr="003E6C7A" w:rsidR="003E6C7A" w:rsidP="003E6C7A" w:rsidRDefault="003E6C7A" w14:paraId="3726A144" w14:textId="77777777">
      <w:pPr>
        <w:numPr>
          <w:ilvl w:val="0"/>
          <w:numId w:val="8"/>
        </w:numPr>
        <w:overflowPunct w:val="0"/>
        <w:autoSpaceDE w:val="0"/>
        <w:autoSpaceDN w:val="0"/>
        <w:adjustRightInd w:val="0"/>
        <w:spacing w:after="0pt" w:line="12pt" w:lineRule="auto"/>
        <w:textAlignment w:val="baseline"/>
        <w:rPr>
          <w:rFonts w:ascii="Times New Roman" w:hAnsi="Times New Roman"/>
          <w:b/>
          <w:bCs/>
          <w:sz w:val="24"/>
          <w:szCs w:val="24"/>
        </w:rPr>
      </w:pPr>
      <w:r w:rsidRPr="004846FB">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846FB" w:rsidR="003E6C7A" w:rsidP="003E6C7A" w:rsidRDefault="003E6C7A" w14:paraId="600591A8" w14:textId="77777777">
      <w:pPr>
        <w:spacing w:after="0pt" w:line="12pt" w:lineRule="auto"/>
        <w:rPr>
          <w:rFonts w:ascii="Times New Roman" w:hAnsi="Times New Roman"/>
          <w:b/>
          <w:bCs/>
          <w:sz w:val="24"/>
          <w:szCs w:val="24"/>
        </w:rPr>
      </w:pPr>
    </w:p>
    <w:p w:rsidRPr="004846FB" w:rsidR="003E6C7A" w:rsidP="003E6C7A" w:rsidRDefault="003E6C7A" w14:paraId="50B1BFB5"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No special circumstances are noted that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4846FB">
        <w:rPr>
          <w:rFonts w:ascii="Times New Roman" w:hAnsi="Times New Roman"/>
          <w:sz w:val="24"/>
          <w:szCs w:val="24"/>
        </w:rPr>
        <w:t>.</w:t>
      </w:r>
    </w:p>
    <w:p w:rsidRPr="004846FB" w:rsidR="003E6C7A" w:rsidP="003E6C7A" w:rsidRDefault="003E6C7A" w14:paraId="4E146F40" w14:textId="77777777">
      <w:pPr>
        <w:spacing w:after="0pt" w:line="12pt" w:lineRule="auto"/>
        <w:rPr>
          <w:rFonts w:ascii="Times New Roman" w:hAnsi="Times New Roman"/>
          <w:sz w:val="24"/>
          <w:szCs w:val="24"/>
        </w:rPr>
      </w:pPr>
    </w:p>
    <w:p w:rsidRPr="003E6C7A" w:rsidR="003E6C7A" w:rsidP="003E6C7A" w:rsidRDefault="003E6C7A" w14:paraId="00FCC4B1" w14:textId="77777777">
      <w:pPr>
        <w:numPr>
          <w:ilvl w:val="0"/>
          <w:numId w:val="8"/>
        </w:numPr>
        <w:overflowPunct w:val="0"/>
        <w:autoSpaceDE w:val="0"/>
        <w:autoSpaceDN w:val="0"/>
        <w:adjustRightInd w:val="0"/>
        <w:spacing w:after="0pt" w:line="12pt" w:lineRule="auto"/>
        <w:textAlignment w:val="baseline"/>
        <w:rPr>
          <w:rFonts w:ascii="Times New Roman" w:hAnsi="Times New Roman"/>
          <w:b/>
          <w:bCs/>
          <w:sz w:val="24"/>
          <w:szCs w:val="24"/>
        </w:rPr>
      </w:pPr>
      <w:r w:rsidRPr="004846FB">
        <w:rPr>
          <w:rFonts w:ascii="Times New Roman" w:hAnsi="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4846FB" w:rsidR="003E6C7A" w:rsidP="003E6C7A" w:rsidRDefault="003E6C7A" w14:paraId="7C1276FD" w14:textId="77777777">
      <w:pPr>
        <w:spacing w:after="0pt" w:line="12pt" w:lineRule="auto"/>
        <w:rPr>
          <w:rFonts w:ascii="Times New Roman" w:hAnsi="Times New Roman"/>
          <w:b/>
          <w:bCs/>
          <w:sz w:val="24"/>
          <w:szCs w:val="24"/>
        </w:rPr>
      </w:pPr>
    </w:p>
    <w:p w:rsidRPr="004846FB" w:rsidR="003E6C7A" w:rsidP="003E6C7A" w:rsidRDefault="003E6C7A" w14:paraId="6B6BCD0E" w14:textId="77777777">
      <w:pPr>
        <w:spacing w:after="0pt" w:line="12pt" w:lineRule="auto"/>
        <w:ind w:start="36pt"/>
        <w:rPr>
          <w:rFonts w:ascii="Times New Roman" w:hAnsi="Times New Roman"/>
          <w:sz w:val="24"/>
          <w:szCs w:val="24"/>
        </w:rPr>
      </w:pPr>
      <w:r w:rsidRPr="003E6C7A">
        <w:rPr>
          <w:rFonts w:ascii="Times New Roman" w:hAnsi="Times New Roman"/>
          <w:sz w:val="24"/>
          <w:szCs w:val="24"/>
        </w:rPr>
        <w:t>No special circumstances are noted that would require respondents to submit proprietary trade secrets, or other confidential information</w:t>
      </w:r>
      <w:r w:rsidRPr="004846FB">
        <w:rPr>
          <w:rFonts w:ascii="Times New Roman" w:hAnsi="Times New Roman"/>
          <w:sz w:val="24"/>
          <w:szCs w:val="24"/>
        </w:rPr>
        <w:t>.</w:t>
      </w:r>
    </w:p>
    <w:p w:rsidR="000400D4" w:rsidP="000400D4" w:rsidRDefault="000400D4" w14:paraId="21A6954A"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p>
    <w:p w:rsidRPr="000400D4" w:rsidR="003E6C7A" w:rsidP="000400D4" w:rsidRDefault="003E6C7A" w14:paraId="0EB9ED76"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p>
    <w:p w:rsidR="00075224" w:rsidP="00075224" w:rsidRDefault="00075224" w14:paraId="0DD7767A" w14:textId="77777777">
      <w:pPr>
        <w:rPr>
          <w:rFonts w:ascii="Times New Roman" w:hAnsi="Times New Roman"/>
          <w:sz w:val="24"/>
          <w:szCs w:val="24"/>
        </w:rPr>
      </w:pPr>
      <w:r w:rsidRPr="00575D07">
        <w:rPr>
          <w:rFonts w:ascii="Times New Roman" w:hAnsi="Times New Roman"/>
          <w:sz w:val="24"/>
          <w:szCs w:val="24"/>
        </w:rPr>
        <w:lastRenderedPageBreak/>
        <w:t xml:space="preserve">8. </w:t>
      </w:r>
      <w:r w:rsidRPr="00575D07" w:rsidR="000400D4">
        <w:rPr>
          <w:rFonts w:ascii="Times New Roman" w:hAnsi="Times New Roman"/>
          <w:sz w:val="24"/>
          <w:szCs w:val="24"/>
        </w:rPr>
        <w:t xml:space="preserve">If applicable, provide a copy and identify the date and page number of </w:t>
      </w:r>
      <w:proofErr w:type="gramStart"/>
      <w:r w:rsidRPr="00575D07" w:rsidR="000400D4">
        <w:rPr>
          <w:rFonts w:ascii="Times New Roman" w:hAnsi="Times New Roman"/>
          <w:sz w:val="24"/>
          <w:szCs w:val="24"/>
        </w:rPr>
        <w:t>publication</w:t>
      </w:r>
      <w:proofErr w:type="gramEnd"/>
      <w:r w:rsidRPr="00575D07" w:rsidR="000400D4">
        <w:rPr>
          <w:rFonts w:ascii="Times New Roman" w:hAnsi="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462B1" w:rsidR="003B0413" w:rsidP="003B0413" w:rsidRDefault="003B0413" w14:paraId="1DE8D90D" w14:textId="77777777">
      <w:pPr>
        <w:overflowPunct w:val="0"/>
        <w:autoSpaceDE w:val="0"/>
        <w:autoSpaceDN w:val="0"/>
        <w:adjustRightInd w:val="0"/>
        <w:spacing w:after="0pt" w:line="12pt" w:lineRule="auto"/>
        <w:textAlignment w:val="baseline"/>
        <w:rPr>
          <w:rFonts w:ascii="Times New Roman" w:hAnsi="Times New Roman"/>
          <w:sz w:val="24"/>
          <w:szCs w:val="24"/>
        </w:rPr>
      </w:pPr>
      <w:r w:rsidRPr="00D462B1">
        <w:rPr>
          <w:rFonts w:ascii="Times New Roman" w:hAnsi="Times New Roman"/>
          <w:sz w:val="24"/>
          <w:szCs w:val="24"/>
        </w:rPr>
        <w:t>In accordance with the guidelines in 5 CFR 1320.8(d), HUD published a notice comments for</w:t>
      </w:r>
      <w:r w:rsidR="000B55BA">
        <w:rPr>
          <w:rFonts w:ascii="Times New Roman" w:hAnsi="Times New Roman"/>
          <w:sz w:val="24"/>
          <w:szCs w:val="24"/>
        </w:rPr>
        <w:t xml:space="preserve"> </w:t>
      </w:r>
      <w:r w:rsidRPr="00D462B1" w:rsidR="000B55BA">
        <w:rPr>
          <w:rFonts w:ascii="Times New Roman" w:hAnsi="Times New Roman"/>
          <w:sz w:val="24"/>
          <w:szCs w:val="24"/>
        </w:rPr>
        <w:t>in</w:t>
      </w:r>
      <w:r w:rsidR="000B55BA">
        <w:rPr>
          <w:rFonts w:ascii="Times New Roman" w:hAnsi="Times New Roman"/>
          <w:sz w:val="24"/>
          <w:szCs w:val="24"/>
        </w:rPr>
        <w:t xml:space="preserve"> </w:t>
      </w:r>
      <w:r w:rsidRPr="00D462B1" w:rsidR="000B55BA">
        <w:rPr>
          <w:rFonts w:ascii="Times New Roman" w:hAnsi="Times New Roman"/>
          <w:sz w:val="24"/>
          <w:szCs w:val="24"/>
        </w:rPr>
        <w:t xml:space="preserve">the </w:t>
      </w:r>
      <w:r w:rsidRPr="00D462B1" w:rsidR="000B55BA">
        <w:rPr>
          <w:rFonts w:ascii="Times New Roman" w:hAnsi="Times New Roman"/>
          <w:sz w:val="24"/>
          <w:szCs w:val="24"/>
          <w:u w:val="single"/>
        </w:rPr>
        <w:t>Federal Register</w:t>
      </w:r>
      <w:r w:rsidRPr="00D462B1" w:rsidR="000B55BA">
        <w:rPr>
          <w:rFonts w:ascii="Times New Roman" w:hAnsi="Times New Roman"/>
          <w:sz w:val="24"/>
          <w:szCs w:val="24"/>
        </w:rPr>
        <w:t xml:space="preserve"> on</w:t>
      </w:r>
      <w:r w:rsidR="000B55BA">
        <w:rPr>
          <w:rFonts w:ascii="Times New Roman" w:hAnsi="Times New Roman"/>
          <w:sz w:val="24"/>
          <w:szCs w:val="24"/>
        </w:rPr>
        <w:t>:</w:t>
      </w:r>
      <w:r w:rsidRPr="00D462B1">
        <w:rPr>
          <w:rFonts w:ascii="Times New Roman" w:hAnsi="Times New Roman"/>
          <w:sz w:val="24"/>
          <w:szCs w:val="24"/>
        </w:rPr>
        <w:t xml:space="preserve"> </w:t>
      </w:r>
      <w:r w:rsidR="000B55BA">
        <w:rPr>
          <w:rFonts w:ascii="Times New Roman" w:hAnsi="Times New Roman"/>
          <w:sz w:val="24"/>
          <w:szCs w:val="24"/>
        </w:rPr>
        <w:t>Wednesday, April 15, 2020</w:t>
      </w:r>
      <w:r w:rsidRPr="00D462B1">
        <w:rPr>
          <w:rFonts w:ascii="Times New Roman" w:hAnsi="Times New Roman"/>
          <w:sz w:val="24"/>
          <w:szCs w:val="24"/>
        </w:rPr>
        <w:t xml:space="preserve">, (Volume </w:t>
      </w:r>
      <w:r w:rsidR="000B55BA">
        <w:rPr>
          <w:rFonts w:ascii="Times New Roman" w:hAnsi="Times New Roman"/>
          <w:sz w:val="24"/>
          <w:szCs w:val="24"/>
        </w:rPr>
        <w:t>85</w:t>
      </w:r>
      <w:r w:rsidRPr="00D462B1">
        <w:rPr>
          <w:rFonts w:ascii="Times New Roman" w:hAnsi="Times New Roman"/>
          <w:sz w:val="24"/>
          <w:szCs w:val="24"/>
        </w:rPr>
        <w:t xml:space="preserve">, Number </w:t>
      </w:r>
      <w:r w:rsidR="000B55BA">
        <w:rPr>
          <w:rFonts w:ascii="Times New Roman" w:hAnsi="Times New Roman"/>
          <w:sz w:val="24"/>
          <w:szCs w:val="24"/>
        </w:rPr>
        <w:t>73</w:t>
      </w:r>
      <w:r w:rsidRPr="00D462B1">
        <w:rPr>
          <w:rFonts w:ascii="Times New Roman" w:hAnsi="Times New Roman"/>
          <w:sz w:val="24"/>
          <w:szCs w:val="24"/>
        </w:rPr>
        <w:t xml:space="preserve">, Page </w:t>
      </w:r>
      <w:r w:rsidR="000B55BA">
        <w:rPr>
          <w:rFonts w:ascii="Times New Roman" w:hAnsi="Times New Roman"/>
          <w:sz w:val="24"/>
          <w:szCs w:val="24"/>
        </w:rPr>
        <w:t>21018</w:t>
      </w:r>
      <w:r w:rsidRPr="00D462B1">
        <w:rPr>
          <w:rFonts w:ascii="Times New Roman" w:hAnsi="Times New Roman"/>
          <w:sz w:val="24"/>
          <w:szCs w:val="24"/>
        </w:rPr>
        <w:t xml:space="preserve">).  </w:t>
      </w:r>
    </w:p>
    <w:p w:rsidRPr="004846FB" w:rsidR="003B0413" w:rsidP="003B0413" w:rsidRDefault="003B0413" w14:paraId="08DB7A14" w14:textId="77777777">
      <w:pPr>
        <w:spacing w:after="0pt" w:line="12pt" w:lineRule="auto"/>
        <w:ind w:start="54pt" w:hanging="18pt"/>
        <w:rPr>
          <w:rFonts w:ascii="Times New Roman" w:hAnsi="Times New Roman"/>
          <w:sz w:val="24"/>
          <w:szCs w:val="24"/>
        </w:rPr>
      </w:pPr>
    </w:p>
    <w:p w:rsidRPr="003B0413" w:rsidR="003B0413" w:rsidP="00D462B1" w:rsidRDefault="003B0413" w14:paraId="66E70723" w14:textId="77777777">
      <w:pPr>
        <w:spacing w:after="0pt" w:line="12pt" w:lineRule="auto"/>
        <w:rPr>
          <w:rFonts w:ascii="Times New Roman" w:hAnsi="Times New Roman"/>
          <w:sz w:val="24"/>
          <w:szCs w:val="24"/>
        </w:rPr>
      </w:pPr>
      <w:r w:rsidRPr="003B0413">
        <w:rPr>
          <w:rFonts w:ascii="Times New Roman" w:hAnsi="Times New Roman"/>
          <w:sz w:val="24"/>
          <w:szCs w:val="24"/>
        </w:rPr>
        <w:t>The agency contacted the four Home Ownership Centers to ascertain how often certain sections</w:t>
      </w:r>
      <w:r w:rsidR="00D462B1">
        <w:rPr>
          <w:rFonts w:ascii="Times New Roman" w:hAnsi="Times New Roman"/>
          <w:sz w:val="24"/>
          <w:szCs w:val="24"/>
        </w:rPr>
        <w:t xml:space="preserve"> </w:t>
      </w:r>
      <w:r w:rsidRPr="003B0413">
        <w:rPr>
          <w:rFonts w:ascii="Times New Roman" w:hAnsi="Times New Roman"/>
          <w:sz w:val="24"/>
          <w:szCs w:val="24"/>
        </w:rPr>
        <w:t>on the forms were used.  The following individuals were contacted:</w:t>
      </w:r>
    </w:p>
    <w:p w:rsidRPr="003B0413" w:rsidR="003B0413" w:rsidP="00D462B1" w:rsidRDefault="003B0413" w14:paraId="4809BA8F" w14:textId="77777777">
      <w:pPr>
        <w:spacing w:after="0pt" w:line="12pt" w:lineRule="auto"/>
        <w:ind w:start="18pt" w:hanging="18pt"/>
        <w:rPr>
          <w:rFonts w:ascii="Times New Roman" w:hAnsi="Times New Roman"/>
          <w:sz w:val="24"/>
          <w:szCs w:val="24"/>
        </w:rPr>
      </w:pPr>
    </w:p>
    <w:p w:rsidRPr="003B0413" w:rsidR="003B0413" w:rsidP="00D462B1" w:rsidRDefault="003B0413" w14:paraId="3846C88E" w14:textId="77777777">
      <w:pPr>
        <w:spacing w:after="0pt" w:line="12pt" w:lineRule="auto"/>
        <w:ind w:start="18pt" w:hanging="18pt"/>
        <w:rPr>
          <w:rFonts w:ascii="Times New Roman" w:hAnsi="Times New Roman"/>
          <w:sz w:val="24"/>
          <w:szCs w:val="24"/>
        </w:rPr>
      </w:pPr>
      <w:r w:rsidRPr="003B0413">
        <w:rPr>
          <w:rFonts w:ascii="Times New Roman" w:hAnsi="Times New Roman"/>
          <w:sz w:val="24"/>
          <w:szCs w:val="24"/>
        </w:rPr>
        <w:t>Carl Heckman, Atlanta Homeownership Center, Carl.E.Heckman@hud.gov</w:t>
      </w:r>
    </w:p>
    <w:p w:rsidRPr="003B0413" w:rsidR="003B0413" w:rsidP="00D462B1" w:rsidRDefault="003B0413" w14:paraId="0E88C9CE" w14:textId="77777777">
      <w:pPr>
        <w:spacing w:after="0pt" w:line="12pt" w:lineRule="auto"/>
        <w:ind w:start="18pt" w:hanging="18pt"/>
        <w:rPr>
          <w:rFonts w:ascii="Times New Roman" w:hAnsi="Times New Roman"/>
          <w:sz w:val="24"/>
          <w:szCs w:val="24"/>
        </w:rPr>
      </w:pPr>
      <w:r w:rsidRPr="003B0413">
        <w:rPr>
          <w:rFonts w:ascii="Times New Roman" w:hAnsi="Times New Roman"/>
          <w:sz w:val="24"/>
          <w:szCs w:val="24"/>
        </w:rPr>
        <w:t>Amy Trujillo, Denver Homeownership Center, Amy.K.Trujillo@hud.gov</w:t>
      </w:r>
    </w:p>
    <w:p w:rsidRPr="003B0413" w:rsidR="003B0413" w:rsidP="00D462B1" w:rsidRDefault="003B0413" w14:paraId="30B28BA0" w14:textId="77777777">
      <w:pPr>
        <w:spacing w:after="0pt" w:line="12pt" w:lineRule="auto"/>
        <w:ind w:start="18pt" w:hanging="18pt"/>
        <w:rPr>
          <w:rFonts w:ascii="Times New Roman" w:hAnsi="Times New Roman"/>
          <w:sz w:val="24"/>
          <w:szCs w:val="24"/>
        </w:rPr>
      </w:pPr>
      <w:r w:rsidRPr="003B0413">
        <w:rPr>
          <w:rFonts w:ascii="Times New Roman" w:hAnsi="Times New Roman"/>
          <w:sz w:val="24"/>
          <w:szCs w:val="24"/>
        </w:rPr>
        <w:t>Donald Doan, Santa</w:t>
      </w:r>
      <w:r w:rsidR="000B55BA">
        <w:rPr>
          <w:rFonts w:ascii="Times New Roman" w:hAnsi="Times New Roman"/>
          <w:sz w:val="24"/>
          <w:szCs w:val="24"/>
        </w:rPr>
        <w:t>15</w:t>
      </w:r>
      <w:r w:rsidRPr="003B0413">
        <w:rPr>
          <w:rFonts w:ascii="Times New Roman" w:hAnsi="Times New Roman"/>
          <w:sz w:val="24"/>
          <w:szCs w:val="24"/>
        </w:rPr>
        <w:t xml:space="preserve"> Ana Homeownership Center, Donald.D.Doan@hud.gov</w:t>
      </w:r>
    </w:p>
    <w:p w:rsidRPr="003B0413" w:rsidR="003B0413" w:rsidP="00D462B1" w:rsidRDefault="003B0413" w14:paraId="4CA33DE9" w14:textId="77777777">
      <w:pPr>
        <w:spacing w:after="0pt" w:line="12pt" w:lineRule="auto"/>
        <w:ind w:start="18pt" w:hanging="18pt"/>
        <w:rPr>
          <w:rFonts w:ascii="Times New Roman" w:hAnsi="Times New Roman"/>
          <w:sz w:val="24"/>
          <w:szCs w:val="24"/>
        </w:rPr>
      </w:pPr>
      <w:r w:rsidRPr="003B0413">
        <w:rPr>
          <w:rFonts w:ascii="Times New Roman" w:hAnsi="Times New Roman"/>
          <w:sz w:val="24"/>
          <w:szCs w:val="24"/>
        </w:rPr>
        <w:t>Michael McArdle, Philadelphia Homeownership Center, Michael.H.McArdle@hud.gov</w:t>
      </w:r>
    </w:p>
    <w:p w:rsidRPr="00575D07" w:rsidR="003B0413" w:rsidP="00075224" w:rsidRDefault="003B0413" w14:paraId="2D8AE3BF" w14:textId="77777777">
      <w:pPr>
        <w:rPr>
          <w:rFonts w:ascii="Times New Roman" w:hAnsi="Times New Roman"/>
          <w:sz w:val="24"/>
          <w:szCs w:val="24"/>
        </w:rPr>
      </w:pPr>
    </w:p>
    <w:p w:rsidR="00657AE8" w:rsidP="00075224" w:rsidRDefault="00075224" w14:paraId="444FD088" w14:textId="77777777">
      <w:pPr>
        <w:rPr>
          <w:rFonts w:ascii="Times New Roman" w:hAnsi="Times New Roman"/>
          <w:sz w:val="24"/>
          <w:szCs w:val="24"/>
        </w:rPr>
      </w:pPr>
      <w:r w:rsidRPr="00575D07">
        <w:rPr>
          <w:rFonts w:ascii="Times New Roman" w:hAnsi="Times New Roman"/>
          <w:sz w:val="24"/>
          <w:szCs w:val="24"/>
        </w:rPr>
        <w:t xml:space="preserve">9. </w:t>
      </w:r>
      <w:r w:rsidRPr="00575D07" w:rsidR="00657AE8">
        <w:rPr>
          <w:rFonts w:ascii="Times New Roman" w:hAnsi="Times New Roman"/>
          <w:sz w:val="24"/>
          <w:szCs w:val="24"/>
        </w:rPr>
        <w:t xml:space="preserve">Explain any decision to provide any payment or gift to respondents, other than renumeration of contractors or grantees. </w:t>
      </w:r>
    </w:p>
    <w:p w:rsidRPr="00575D07" w:rsidR="00075224" w:rsidP="00075224" w:rsidRDefault="000400D4" w14:paraId="44FFC972" w14:textId="77777777">
      <w:pPr>
        <w:rPr>
          <w:rFonts w:ascii="Times New Roman" w:hAnsi="Times New Roman"/>
          <w:sz w:val="24"/>
          <w:szCs w:val="24"/>
        </w:rPr>
      </w:pPr>
      <w:r w:rsidRPr="0076017E">
        <w:rPr>
          <w:rFonts w:ascii="Times New Roman" w:hAnsi="Times New Roman"/>
          <w:sz w:val="24"/>
        </w:rPr>
        <w:t>There have been no payments or gifts to respondents.</w:t>
      </w:r>
    </w:p>
    <w:p w:rsidR="005F6450" w:rsidP="00075224" w:rsidRDefault="00075224" w14:paraId="23E004AA" w14:textId="77777777">
      <w:pPr>
        <w:rPr>
          <w:rFonts w:ascii="Times New Roman" w:hAnsi="Times New Roman"/>
          <w:sz w:val="24"/>
          <w:szCs w:val="24"/>
        </w:rPr>
      </w:pPr>
      <w:r w:rsidRPr="00575D07">
        <w:rPr>
          <w:rFonts w:ascii="Times New Roman" w:hAnsi="Times New Roman"/>
          <w:sz w:val="24"/>
          <w:szCs w:val="24"/>
        </w:rPr>
        <w:t xml:space="preserve">10. </w:t>
      </w:r>
      <w:r w:rsidRPr="00575D07" w:rsidR="005F6450">
        <w:rPr>
          <w:rFonts w:ascii="Times New Roman" w:hAnsi="Times New Roman"/>
          <w:sz w:val="24"/>
          <w:szCs w:val="24"/>
        </w:rPr>
        <w:t xml:space="preserve">Describe any assurance of confidentiality provided to respondents and the basis for the assurance in statute, regulation, or agency policy. </w:t>
      </w:r>
    </w:p>
    <w:p w:rsidRPr="00575D07" w:rsidR="00075224" w:rsidP="00075224" w:rsidRDefault="000400D4" w14:paraId="641FB6F6" w14:textId="77777777">
      <w:pPr>
        <w:rPr>
          <w:rFonts w:ascii="Times New Roman" w:hAnsi="Times New Roman"/>
          <w:sz w:val="24"/>
          <w:szCs w:val="24"/>
        </w:rPr>
      </w:pPr>
      <w:r w:rsidRPr="0076017E">
        <w:rPr>
          <w:rFonts w:ascii="Times New Roman" w:hAnsi="Times New Roman"/>
          <w:sz w:val="24"/>
        </w:rPr>
        <w:t>The information collected is not of a confidential nature.  HUD does not assure confidentiality to respondents.</w:t>
      </w:r>
    </w:p>
    <w:p w:rsidR="000C7718" w:rsidP="00075224" w:rsidRDefault="00075224" w14:paraId="2FBAE6F7" w14:textId="77777777">
      <w:pPr>
        <w:rPr>
          <w:rFonts w:ascii="Times New Roman" w:hAnsi="Times New Roman"/>
          <w:sz w:val="24"/>
          <w:szCs w:val="24"/>
        </w:rPr>
      </w:pPr>
      <w:r w:rsidRPr="00575D07">
        <w:rPr>
          <w:rFonts w:ascii="Times New Roman" w:hAnsi="Times New Roman"/>
          <w:sz w:val="24"/>
          <w:szCs w:val="24"/>
        </w:rPr>
        <w:t xml:space="preserve">11. </w:t>
      </w:r>
      <w:r w:rsidRPr="00575D07" w:rsidR="000C7718">
        <w:rPr>
          <w:rFonts w:ascii="Times New Roman" w:hAnsi="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75D07" w:rsidR="00075224" w:rsidP="00075224" w:rsidRDefault="001E0019" w14:paraId="303B6547" w14:textId="77777777">
      <w:pPr>
        <w:rPr>
          <w:rFonts w:ascii="Times New Roman" w:hAnsi="Times New Roman"/>
          <w:sz w:val="24"/>
          <w:szCs w:val="24"/>
        </w:rPr>
      </w:pPr>
      <w:r w:rsidRPr="00EC31DE">
        <w:rPr>
          <w:rFonts w:ascii="Times New Roman" w:hAnsi="Times New Roman"/>
          <w:sz w:val="24"/>
        </w:rPr>
        <w:t>This collection requirement does not request information that is sensitive in nature.</w:t>
      </w:r>
    </w:p>
    <w:p w:rsidRPr="00575D07" w:rsidR="000C7718" w:rsidP="000C7718" w:rsidRDefault="00075224" w14:paraId="71A91C92" w14:textId="77777777">
      <w:pPr>
        <w:rPr>
          <w:rFonts w:ascii="Times New Roman" w:hAnsi="Times New Roman"/>
          <w:sz w:val="24"/>
          <w:szCs w:val="24"/>
        </w:rPr>
      </w:pPr>
      <w:r w:rsidRPr="00575D07">
        <w:rPr>
          <w:rFonts w:ascii="Times New Roman" w:hAnsi="Times New Roman"/>
          <w:sz w:val="24"/>
          <w:szCs w:val="24"/>
        </w:rPr>
        <w:t>12.</w:t>
      </w:r>
      <w:r w:rsidR="000C7718">
        <w:rPr>
          <w:rFonts w:ascii="Times New Roman" w:hAnsi="Times New Roman"/>
          <w:sz w:val="24"/>
          <w:szCs w:val="24"/>
        </w:rPr>
        <w:t xml:space="preserve"> </w:t>
      </w:r>
      <w:r w:rsidRPr="00575D07" w:rsidR="000C7718">
        <w:rPr>
          <w:rFonts w:ascii="Times New Roman" w:hAnsi="Times New Roman"/>
          <w:sz w:val="24"/>
          <w:szCs w:val="24"/>
        </w:rPr>
        <w:t xml:space="preserve">Provide estimates of the hour burden of the collection of information. The statement should: </w:t>
      </w:r>
    </w:p>
    <w:p w:rsidRPr="00575D07" w:rsidR="000C7718" w:rsidP="000C7718" w:rsidRDefault="000C7718" w14:paraId="7FBA0DB0" w14:textId="77777777">
      <w:pPr>
        <w:rPr>
          <w:rFonts w:ascii="Times New Roman" w:hAnsi="Times New Roman"/>
          <w:sz w:val="24"/>
          <w:szCs w:val="24"/>
        </w:rPr>
      </w:pPr>
      <w:r w:rsidRPr="00575D07">
        <w:rPr>
          <w:rFonts w:ascii="Times New Roman" w:hAnsi="Times New Roman"/>
          <w:sz w:val="24"/>
          <w:szCs w:val="24"/>
        </w:rPr>
        <w:t xml:space="preserve">* Indicate the number of respondents, frequency of response, annual hour burden, and an explanation of how the burden was estimated. </w:t>
      </w:r>
      <w:r>
        <w:rPr>
          <w:rFonts w:ascii="Times New Roman" w:hAnsi="Times New Roman"/>
          <w:sz w:val="24"/>
          <w:szCs w:val="24"/>
        </w:rPr>
        <w:t xml:space="preserve">Please use </w:t>
      </w:r>
      <w:hyperlink w:history="1" r:id="rId7">
        <w:r w:rsidRPr="00B83B06">
          <w:rPr>
            <w:rStyle w:val="Hyperlink"/>
            <w:color w:val="1F3864"/>
            <w:sz w:val="24"/>
            <w:szCs w:val="24"/>
          </w:rPr>
          <w:t>https://www.bls.gov/oes/current/oes_nat.htm#13-0000</w:t>
        </w:r>
      </w:hyperlink>
      <w:r>
        <w:rPr>
          <w:color w:val="1F3864"/>
          <w:sz w:val="24"/>
          <w:szCs w:val="24"/>
        </w:rPr>
        <w:t xml:space="preserve">. </w:t>
      </w:r>
      <w:r w:rsidRPr="00575D07">
        <w:rPr>
          <w:rFonts w:ascii="Times New Roman" w:hAnsi="Times New Roman"/>
          <w:sz w:val="24"/>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75D07" w:rsidR="000C7718" w:rsidP="000C7718" w:rsidRDefault="000C7718" w14:paraId="1FAC147F" w14:textId="77777777">
      <w:pPr>
        <w:rPr>
          <w:rFonts w:ascii="Times New Roman" w:hAnsi="Times New Roman"/>
          <w:sz w:val="24"/>
          <w:szCs w:val="24"/>
        </w:rPr>
      </w:pPr>
      <w:r w:rsidRPr="00575D07">
        <w:rPr>
          <w:rFonts w:ascii="Times New Roman" w:hAnsi="Times New Roman"/>
          <w:sz w:val="24"/>
          <w:szCs w:val="24"/>
        </w:rPr>
        <w:t xml:space="preserve">* If this request for approval covers more than one form, provide separate hour burden estimates for each </w:t>
      </w:r>
      <w:proofErr w:type="gramStart"/>
      <w:r w:rsidRPr="00575D07">
        <w:rPr>
          <w:rFonts w:ascii="Times New Roman" w:hAnsi="Times New Roman"/>
          <w:sz w:val="24"/>
          <w:szCs w:val="24"/>
        </w:rPr>
        <w:t>form</w:t>
      </w:r>
      <w:proofErr w:type="gramEnd"/>
      <w:r w:rsidRPr="00575D07">
        <w:rPr>
          <w:rFonts w:ascii="Times New Roman" w:hAnsi="Times New Roman"/>
          <w:sz w:val="24"/>
          <w:szCs w:val="24"/>
        </w:rPr>
        <w:t xml:space="preserve"> and aggregate the hour burdens in Item 13 of OMB Form 83-I. </w:t>
      </w:r>
    </w:p>
    <w:p w:rsidR="001E0019" w:rsidP="001E0019" w:rsidRDefault="000C7718" w14:paraId="279B13D8" w14:textId="77777777">
      <w:pPr>
        <w:rPr>
          <w:rFonts w:ascii="Times New Roman" w:hAnsi="Times New Roman"/>
          <w:sz w:val="24"/>
          <w:szCs w:val="24"/>
        </w:rPr>
      </w:pPr>
      <w:r w:rsidRPr="00575D07">
        <w:rPr>
          <w:rFonts w:ascii="Times New Roman" w:hAnsi="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r w:rsidRPr="00575D07" w:rsidR="00075224">
        <w:rPr>
          <w:rFonts w:ascii="Times New Roman" w:hAnsi="Times New Roman"/>
          <w:sz w:val="24"/>
          <w:szCs w:val="24"/>
        </w:rPr>
        <w:t xml:space="preserve"> </w:t>
      </w:r>
    </w:p>
    <w:p w:rsidRPr="00575D07" w:rsidR="000C7718" w:rsidP="001E0019" w:rsidRDefault="000C7718" w14:paraId="035518CB" w14:textId="77777777">
      <w:pPr>
        <w:rPr>
          <w:rFonts w:ascii="Times New Roman" w:hAnsi="Times New Roman"/>
          <w:sz w:val="24"/>
          <w:szCs w:val="24"/>
        </w:rPr>
      </w:pPr>
    </w:p>
    <w:tbl>
      <w:tblPr>
        <w:tblW w:w="504.90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ayout w:type="fixed"/>
        <w:tblLook w:val="04a0"/>
      </w:tblPr>
      <w:tblGrid>
        <w:gridCol w:w="2202"/>
        <w:gridCol w:w="1170"/>
        <w:gridCol w:w="1170"/>
        <w:gridCol w:w="1170"/>
        <w:gridCol w:w="900"/>
        <w:gridCol w:w="1146"/>
        <w:gridCol w:w="972"/>
        <w:gridCol w:w="1368"/>
      </w:tblGrid>
      <w:tr w:rsidRPr="00EC31DE" w:rsidR="001E0019" w:rsidTr="007B386A" w14:paraId="292F3877" w14:textId="77777777">
        <w:trPr>
          <w:tblHeader/>
        </w:trPr>
        <w:tc>
          <w:tcPr>
            <w:tcW w:w="110.1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72A4D69F" w14:textId="77777777">
            <w:pPr>
              <w:spacing w:before="2pt" w:after="2pt"/>
              <w:jc w:val="center"/>
              <w:rPr>
                <w:rFonts w:ascii="Arial" w:hAnsi="Arial" w:cs="Arial"/>
                <w:sz w:val="18"/>
              </w:rPr>
            </w:pPr>
            <w:r w:rsidRPr="00EC31DE">
              <w:rPr>
                <w:rFonts w:ascii="Arial" w:hAnsi="Arial" w:cs="Arial"/>
                <w:sz w:val="18"/>
              </w:rPr>
              <w:t>Information Collection</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38CA786B" w14:textId="77777777">
            <w:pPr>
              <w:spacing w:before="2pt" w:after="2pt"/>
              <w:ind w:start="-5.40pt" w:end="-5.40pt"/>
              <w:jc w:val="center"/>
              <w:rPr>
                <w:rFonts w:ascii="Arial" w:hAnsi="Arial" w:cs="Arial"/>
                <w:sz w:val="18"/>
              </w:rPr>
            </w:pPr>
            <w:r w:rsidRPr="00EC31DE">
              <w:rPr>
                <w:rFonts w:ascii="Arial" w:hAnsi="Arial" w:cs="Arial"/>
                <w:sz w:val="18"/>
              </w:rPr>
              <w:t>No. of Respondents</w:t>
            </w:r>
            <w:r w:rsidRPr="00EC31DE">
              <w:rPr>
                <w:rFonts w:ascii="Arial" w:hAnsi="Arial" w:cs="Arial"/>
                <w:sz w:val="18"/>
                <w:vertAlign w:val="superscript"/>
              </w:rPr>
              <w:t>1</w:t>
            </w:r>
          </w:p>
        </w:tc>
        <w:tc>
          <w:tcPr>
            <w:tcW w:w="58.50pt" w:type="dxa"/>
            <w:tcBorders>
              <w:top w:val="single" w:color="auto" w:sz="4" w:space="0"/>
              <w:start w:val="single" w:color="auto" w:sz="4" w:space="0"/>
              <w:bottom w:val="single" w:color="auto" w:sz="4" w:space="0"/>
              <w:end w:val="single" w:color="auto" w:sz="4" w:space="0"/>
            </w:tcBorders>
            <w:hideMark/>
          </w:tcPr>
          <w:p w:rsidRPr="00EC31DE" w:rsidR="001E0019" w:rsidP="007B386A" w:rsidRDefault="001E0019" w14:paraId="4A7A6594" w14:textId="77777777">
            <w:pPr>
              <w:spacing w:before="2pt" w:after="2pt"/>
              <w:jc w:val="center"/>
              <w:rPr>
                <w:rFonts w:ascii="Arial" w:hAnsi="Arial" w:cs="Arial"/>
                <w:sz w:val="18"/>
              </w:rPr>
            </w:pPr>
            <w:r w:rsidRPr="00EC31DE">
              <w:rPr>
                <w:rFonts w:ascii="Arial" w:hAnsi="Arial" w:cs="Arial"/>
                <w:sz w:val="18"/>
              </w:rPr>
              <w:t>Frequency of Response</w:t>
            </w:r>
            <w:r w:rsidRPr="00EC31DE">
              <w:rPr>
                <w:rFonts w:ascii="Arial" w:hAnsi="Arial" w:cs="Arial"/>
                <w:sz w:val="18"/>
                <w:vertAlign w:val="superscript"/>
              </w:rPr>
              <w:t>2</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5497CE42" w14:textId="77777777">
            <w:pPr>
              <w:spacing w:before="2pt" w:after="2pt"/>
              <w:jc w:val="center"/>
              <w:rPr>
                <w:rFonts w:ascii="Arial" w:hAnsi="Arial" w:cs="Arial"/>
                <w:sz w:val="18"/>
              </w:rPr>
            </w:pPr>
            <w:r w:rsidRPr="00EC31DE">
              <w:rPr>
                <w:rFonts w:ascii="Arial" w:hAnsi="Arial" w:cs="Arial"/>
                <w:sz w:val="18"/>
              </w:rPr>
              <w:t>Total Annual Responses</w:t>
            </w:r>
            <w:r w:rsidRPr="00EC31DE">
              <w:rPr>
                <w:rFonts w:ascii="Arial" w:hAnsi="Arial" w:cs="Arial"/>
                <w:b/>
                <w:sz w:val="18"/>
                <w:vertAlign w:val="superscript"/>
              </w:rPr>
              <w:t>3</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5ED09E9B" w14:textId="77777777">
            <w:pPr>
              <w:spacing w:before="2pt" w:after="2pt"/>
              <w:ind w:start="-5.40pt" w:end="-5.40pt"/>
              <w:jc w:val="center"/>
              <w:rPr>
                <w:rFonts w:ascii="Arial" w:hAnsi="Arial" w:cs="Arial"/>
                <w:sz w:val="18"/>
              </w:rPr>
            </w:pPr>
            <w:r w:rsidRPr="00EC31DE">
              <w:rPr>
                <w:rFonts w:ascii="Arial" w:hAnsi="Arial" w:cs="Arial"/>
                <w:sz w:val="18"/>
              </w:rPr>
              <w:t>Burden Hours Per Response</w:t>
            </w:r>
          </w:p>
        </w:tc>
        <w:tc>
          <w:tcPr>
            <w:tcW w:w="57.3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046177FB" w14:textId="77777777">
            <w:pPr>
              <w:spacing w:before="2pt" w:after="2pt"/>
              <w:ind w:start="-5.40pt" w:end="-5.40pt"/>
              <w:jc w:val="center"/>
              <w:rPr>
                <w:rFonts w:ascii="Arial" w:hAnsi="Arial" w:cs="Arial"/>
                <w:sz w:val="18"/>
              </w:rPr>
            </w:pPr>
            <w:r w:rsidRPr="00EC31DE">
              <w:rPr>
                <w:rFonts w:ascii="Arial" w:hAnsi="Arial" w:cs="Arial"/>
                <w:sz w:val="18"/>
              </w:rPr>
              <w:t>Total Annual Burden Hours</w:t>
            </w:r>
          </w:p>
        </w:tc>
        <w:tc>
          <w:tcPr>
            <w:tcW w:w="48.6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2A44793B" w14:textId="77777777">
            <w:pPr>
              <w:spacing w:before="2pt" w:after="2pt"/>
              <w:ind w:start="-5.40pt" w:end="-5.40pt"/>
              <w:jc w:val="center"/>
              <w:rPr>
                <w:rFonts w:ascii="Arial" w:hAnsi="Arial" w:cs="Arial"/>
                <w:sz w:val="18"/>
              </w:rPr>
            </w:pPr>
            <w:r w:rsidRPr="00EC31DE">
              <w:rPr>
                <w:rFonts w:ascii="Arial" w:hAnsi="Arial" w:cs="Arial"/>
                <w:sz w:val="18"/>
              </w:rPr>
              <w:t>Hourly Cost</w:t>
            </w:r>
            <w:r w:rsidRPr="00EC31DE">
              <w:rPr>
                <w:rFonts w:ascii="Arial" w:hAnsi="Arial" w:cs="Arial"/>
                <w:sz w:val="18"/>
                <w:vertAlign w:val="superscript"/>
              </w:rPr>
              <w:t>4</w:t>
            </w:r>
          </w:p>
        </w:tc>
        <w:tc>
          <w:tcPr>
            <w:tcW w:w="68.4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1FEB83E2" w14:textId="77777777">
            <w:pPr>
              <w:spacing w:before="2pt" w:after="2pt"/>
              <w:ind w:start="-5.40pt" w:end="-5.40pt"/>
              <w:jc w:val="center"/>
              <w:rPr>
                <w:rFonts w:ascii="Arial" w:hAnsi="Arial" w:cs="Arial"/>
                <w:sz w:val="18"/>
              </w:rPr>
            </w:pPr>
            <w:r w:rsidRPr="00EC31DE">
              <w:rPr>
                <w:rFonts w:ascii="Arial" w:hAnsi="Arial" w:cs="Arial"/>
                <w:sz w:val="18"/>
              </w:rPr>
              <w:t>Total Annual Cost</w:t>
            </w:r>
          </w:p>
        </w:tc>
      </w:tr>
      <w:tr w:rsidRPr="00EC31DE" w:rsidR="001E0019" w:rsidTr="007B386A" w14:paraId="48B6833B" w14:textId="77777777">
        <w:trPr>
          <w:trHeight w:val="530"/>
        </w:trPr>
        <w:tc>
          <w:tcPr>
            <w:tcW w:w="110.1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1395EC06" w14:textId="77777777">
            <w:pPr>
              <w:spacing w:before="2pt" w:after="2pt"/>
              <w:ind w:start="36pt"/>
              <w:rPr>
                <w:rFonts w:ascii="Arial" w:hAnsi="Arial" w:cs="Arial"/>
                <w:sz w:val="18"/>
              </w:rPr>
            </w:pPr>
            <w:r w:rsidRPr="00EC31DE">
              <w:rPr>
                <w:rFonts w:ascii="Arial" w:hAnsi="Arial" w:cs="Arial"/>
                <w:sz w:val="18"/>
              </w:rPr>
              <w:t>Quality control of early payment defaults (EPD)</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798C5DE5" w14:textId="77777777">
            <w:pPr>
              <w:jc w:val="center"/>
              <w:rPr>
                <w:rFonts w:ascii="Arial" w:hAnsi="Arial" w:cs="Arial"/>
                <w:sz w:val="18"/>
              </w:rPr>
            </w:pPr>
            <w:r w:rsidRPr="00EC31DE">
              <w:rPr>
                <w:rFonts w:ascii="Arial" w:hAnsi="Arial" w:cs="Arial"/>
                <w:sz w:val="18"/>
              </w:rPr>
              <w:t>1,550</w:t>
            </w:r>
          </w:p>
        </w:tc>
        <w:tc>
          <w:tcPr>
            <w:tcW w:w="58.50pt" w:type="dxa"/>
            <w:tcBorders>
              <w:top w:val="single" w:color="auto" w:sz="4" w:space="0"/>
              <w:start w:val="single" w:color="auto" w:sz="4" w:space="0"/>
              <w:bottom w:val="single" w:color="auto" w:sz="4" w:space="0"/>
              <w:end w:val="single" w:color="auto" w:sz="4" w:space="0"/>
            </w:tcBorders>
          </w:tcPr>
          <w:p w:rsidRPr="00EC31DE" w:rsidR="001E0019" w:rsidP="007B386A" w:rsidRDefault="001E0019" w14:paraId="18FB117B" w14:textId="77777777">
            <w:pPr>
              <w:jc w:val="center"/>
              <w:rPr>
                <w:rFonts w:ascii="Arial" w:hAnsi="Arial" w:cs="Arial"/>
                <w:sz w:val="18"/>
                <w:szCs w:val="18"/>
              </w:rPr>
            </w:pPr>
          </w:p>
          <w:p w:rsidRPr="00EC31DE" w:rsidR="001E0019" w:rsidP="007B386A" w:rsidRDefault="001E0019" w14:paraId="72DA55C0" w14:textId="77777777">
            <w:pPr>
              <w:jc w:val="center"/>
              <w:rPr>
                <w:rFonts w:ascii="Arial" w:hAnsi="Arial" w:cs="Arial"/>
                <w:sz w:val="18"/>
                <w:szCs w:val="18"/>
              </w:rPr>
            </w:pPr>
            <w:r w:rsidRPr="00EC31DE">
              <w:rPr>
                <w:rFonts w:ascii="Arial" w:hAnsi="Arial" w:cs="Arial"/>
                <w:sz w:val="18"/>
                <w:szCs w:val="18"/>
              </w:rPr>
              <w:t>1</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3D189E30" w14:textId="77777777">
            <w:pPr>
              <w:jc w:val="center"/>
              <w:rPr>
                <w:rFonts w:ascii="Arial" w:hAnsi="Arial" w:cs="Arial"/>
                <w:sz w:val="18"/>
                <w:szCs w:val="18"/>
              </w:rPr>
            </w:pPr>
            <w:r w:rsidRPr="00EC31DE">
              <w:rPr>
                <w:rFonts w:ascii="Arial" w:hAnsi="Arial" w:cs="Arial"/>
                <w:sz w:val="18"/>
                <w:szCs w:val="18"/>
              </w:rPr>
              <w:t>13,839</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74795F97" w14:textId="77777777">
            <w:pPr>
              <w:jc w:val="center"/>
              <w:rPr>
                <w:rFonts w:ascii="Arial" w:hAnsi="Arial" w:cs="Arial"/>
                <w:sz w:val="18"/>
                <w:szCs w:val="18"/>
              </w:rPr>
            </w:pPr>
            <w:r w:rsidRPr="00EC31DE">
              <w:rPr>
                <w:rFonts w:ascii="Arial" w:hAnsi="Arial" w:cs="Arial"/>
                <w:sz w:val="18"/>
                <w:szCs w:val="18"/>
              </w:rPr>
              <w:t>.25</w:t>
            </w:r>
          </w:p>
        </w:tc>
        <w:tc>
          <w:tcPr>
            <w:tcW w:w="57.3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6F5520FC" w14:textId="77777777">
            <w:pPr>
              <w:jc w:val="center"/>
              <w:rPr>
                <w:rFonts w:ascii="Arial" w:hAnsi="Arial" w:cs="Arial"/>
                <w:sz w:val="18"/>
                <w:szCs w:val="18"/>
              </w:rPr>
            </w:pPr>
            <w:r w:rsidRPr="00EC31DE">
              <w:rPr>
                <w:rFonts w:ascii="Arial" w:hAnsi="Arial" w:cs="Arial"/>
                <w:sz w:val="18"/>
                <w:szCs w:val="18"/>
              </w:rPr>
              <w:t>3,459.75</w:t>
            </w:r>
          </w:p>
        </w:tc>
        <w:tc>
          <w:tcPr>
            <w:tcW w:w="48.6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2FDF4A93" w14:textId="77777777">
            <w:pPr>
              <w:jc w:val="center"/>
              <w:rPr>
                <w:rFonts w:ascii="Arial" w:hAnsi="Arial" w:cs="Arial"/>
                <w:sz w:val="18"/>
                <w:szCs w:val="18"/>
              </w:rPr>
            </w:pPr>
            <w:r w:rsidRPr="00EC31DE">
              <w:rPr>
                <w:rFonts w:ascii="Arial" w:hAnsi="Arial" w:cs="Arial"/>
                <w:sz w:val="18"/>
              </w:rPr>
              <w:t>$34.86</w:t>
            </w:r>
          </w:p>
        </w:tc>
        <w:tc>
          <w:tcPr>
            <w:tcW w:w="68.4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243CB9F4" w14:textId="77777777">
            <w:pPr>
              <w:jc w:val="center"/>
              <w:rPr>
                <w:rFonts w:ascii="Arial" w:hAnsi="Arial" w:cs="Arial"/>
                <w:sz w:val="18"/>
                <w:szCs w:val="18"/>
              </w:rPr>
            </w:pPr>
            <w:r w:rsidRPr="00EC31DE">
              <w:rPr>
                <w:rFonts w:ascii="Arial" w:hAnsi="Arial" w:cs="Arial"/>
                <w:sz w:val="18"/>
                <w:szCs w:val="18"/>
              </w:rPr>
              <w:t>$120,606.89</w:t>
            </w:r>
          </w:p>
        </w:tc>
      </w:tr>
      <w:tr w:rsidRPr="00EC31DE" w:rsidR="001E0019" w:rsidTr="007B386A" w14:paraId="6C5661F8" w14:textId="77777777">
        <w:trPr>
          <w:trHeight w:val="530"/>
        </w:trPr>
        <w:tc>
          <w:tcPr>
            <w:tcW w:w="110.1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1CD5541D" w14:textId="77777777">
            <w:pPr>
              <w:spacing w:before="2pt" w:after="2pt"/>
              <w:ind w:start="36pt"/>
              <w:rPr>
                <w:rFonts w:ascii="Arial" w:hAnsi="Arial" w:cs="Arial"/>
                <w:sz w:val="18"/>
              </w:rPr>
            </w:pPr>
            <w:r w:rsidRPr="00EC31DE">
              <w:rPr>
                <w:rFonts w:ascii="Arial" w:hAnsi="Arial" w:cs="Arial"/>
                <w:sz w:val="18"/>
              </w:rPr>
              <w:t>Quality control of loan originations</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3F08A2AB" w14:textId="77777777">
            <w:pPr>
              <w:jc w:val="center"/>
              <w:rPr>
                <w:rFonts w:ascii="Arial" w:hAnsi="Arial" w:cs="Arial"/>
                <w:sz w:val="18"/>
              </w:rPr>
            </w:pPr>
            <w:r w:rsidRPr="00EC31DE">
              <w:rPr>
                <w:rFonts w:ascii="Arial" w:hAnsi="Arial" w:cs="Arial"/>
                <w:sz w:val="18"/>
              </w:rPr>
              <w:t>1,550</w:t>
            </w:r>
          </w:p>
        </w:tc>
        <w:tc>
          <w:tcPr>
            <w:tcW w:w="58.50pt" w:type="dxa"/>
            <w:tcBorders>
              <w:top w:val="single" w:color="auto" w:sz="4" w:space="0"/>
              <w:start w:val="single" w:color="auto" w:sz="4" w:space="0"/>
              <w:bottom w:val="single" w:color="auto" w:sz="4" w:space="0"/>
              <w:end w:val="single" w:color="auto" w:sz="4" w:space="0"/>
            </w:tcBorders>
          </w:tcPr>
          <w:p w:rsidRPr="00EC31DE" w:rsidR="001E0019" w:rsidP="007B386A" w:rsidRDefault="001E0019" w14:paraId="4955548F" w14:textId="77777777">
            <w:pPr>
              <w:jc w:val="center"/>
              <w:rPr>
                <w:rFonts w:ascii="Arial" w:hAnsi="Arial" w:cs="Arial"/>
                <w:sz w:val="18"/>
                <w:szCs w:val="18"/>
              </w:rPr>
            </w:pPr>
          </w:p>
          <w:p w:rsidRPr="00EC31DE" w:rsidR="001E0019" w:rsidP="007B386A" w:rsidRDefault="001E0019" w14:paraId="6999D501" w14:textId="77777777">
            <w:pPr>
              <w:jc w:val="center"/>
              <w:rPr>
                <w:rFonts w:ascii="Arial" w:hAnsi="Arial" w:cs="Arial"/>
                <w:sz w:val="18"/>
                <w:szCs w:val="18"/>
              </w:rPr>
            </w:pPr>
            <w:r w:rsidRPr="00EC31DE">
              <w:rPr>
                <w:rFonts w:ascii="Arial" w:hAnsi="Arial" w:cs="Arial"/>
                <w:sz w:val="18"/>
                <w:szCs w:val="18"/>
              </w:rPr>
              <w:t>1</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4D8D6626" w14:textId="77777777">
            <w:pPr>
              <w:jc w:val="center"/>
              <w:rPr>
                <w:rFonts w:ascii="Arial" w:hAnsi="Arial" w:cs="Arial"/>
                <w:sz w:val="18"/>
                <w:szCs w:val="18"/>
              </w:rPr>
            </w:pPr>
            <w:r w:rsidRPr="00EC31DE">
              <w:rPr>
                <w:rFonts w:ascii="Arial" w:hAnsi="Arial" w:cs="Arial"/>
                <w:sz w:val="18"/>
                <w:szCs w:val="18"/>
              </w:rPr>
              <w:t>97,385</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44949107" w14:textId="77777777">
            <w:pPr>
              <w:jc w:val="center"/>
              <w:rPr>
                <w:rFonts w:ascii="Arial" w:hAnsi="Arial" w:cs="Arial"/>
                <w:sz w:val="18"/>
                <w:szCs w:val="18"/>
              </w:rPr>
            </w:pPr>
            <w:r w:rsidRPr="00EC31DE">
              <w:rPr>
                <w:rFonts w:ascii="Arial" w:hAnsi="Arial" w:cs="Arial"/>
                <w:sz w:val="18"/>
                <w:szCs w:val="18"/>
              </w:rPr>
              <w:t>.25</w:t>
            </w:r>
          </w:p>
        </w:tc>
        <w:tc>
          <w:tcPr>
            <w:tcW w:w="57.3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128C8F7D" w14:textId="77777777">
            <w:pPr>
              <w:jc w:val="center"/>
              <w:rPr>
                <w:rFonts w:ascii="Arial" w:hAnsi="Arial" w:cs="Arial"/>
                <w:sz w:val="18"/>
                <w:szCs w:val="18"/>
              </w:rPr>
            </w:pPr>
            <w:r w:rsidRPr="00EC31DE">
              <w:rPr>
                <w:rFonts w:ascii="Arial" w:hAnsi="Arial" w:cs="Arial"/>
                <w:sz w:val="18"/>
                <w:szCs w:val="18"/>
              </w:rPr>
              <w:t>24,346.25</w:t>
            </w:r>
          </w:p>
        </w:tc>
        <w:tc>
          <w:tcPr>
            <w:tcW w:w="48.6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35696F00" w14:textId="77777777">
            <w:pPr>
              <w:jc w:val="center"/>
              <w:rPr>
                <w:rFonts w:ascii="Arial" w:hAnsi="Arial" w:cs="Arial"/>
                <w:sz w:val="18"/>
              </w:rPr>
            </w:pPr>
            <w:r w:rsidRPr="00EC31DE">
              <w:rPr>
                <w:rFonts w:ascii="Arial" w:hAnsi="Arial" w:cs="Arial"/>
                <w:sz w:val="18"/>
              </w:rPr>
              <w:t>$34.86</w:t>
            </w:r>
          </w:p>
        </w:tc>
        <w:tc>
          <w:tcPr>
            <w:tcW w:w="68.4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28D41C82" w14:textId="77777777">
            <w:pPr>
              <w:jc w:val="center"/>
              <w:rPr>
                <w:rFonts w:ascii="Arial" w:hAnsi="Arial" w:cs="Arial"/>
                <w:sz w:val="18"/>
                <w:szCs w:val="18"/>
              </w:rPr>
            </w:pPr>
            <w:r w:rsidRPr="00EC31DE">
              <w:rPr>
                <w:rFonts w:ascii="Arial" w:hAnsi="Arial" w:cs="Arial"/>
                <w:sz w:val="18"/>
                <w:szCs w:val="18"/>
              </w:rPr>
              <w:t>$848,710.28</w:t>
            </w:r>
          </w:p>
        </w:tc>
      </w:tr>
      <w:tr w:rsidRPr="00EC31DE" w:rsidR="001E0019" w:rsidTr="007B386A" w14:paraId="3DD8FA0F" w14:textId="77777777">
        <w:trPr>
          <w:trHeight w:val="530"/>
        </w:trPr>
        <w:tc>
          <w:tcPr>
            <w:tcW w:w="110.10pt" w:type="dxa"/>
            <w:tcBorders>
              <w:top w:val="single" w:color="auto" w:sz="4" w:space="0"/>
              <w:start w:val="single" w:color="auto" w:sz="4" w:space="0"/>
              <w:bottom w:val="single" w:color="auto" w:sz="4" w:space="0"/>
              <w:end w:val="single" w:color="auto" w:sz="4" w:space="0"/>
            </w:tcBorders>
            <w:vAlign w:val="center"/>
          </w:tcPr>
          <w:p w:rsidRPr="00EC31DE" w:rsidR="001E0019" w:rsidP="007B386A" w:rsidRDefault="001E0019" w14:paraId="48F95085" w14:textId="77777777">
            <w:pPr>
              <w:spacing w:before="2pt" w:after="2pt"/>
              <w:ind w:start="36pt"/>
              <w:rPr>
                <w:rFonts w:ascii="Arial" w:hAnsi="Arial" w:cs="Arial"/>
                <w:sz w:val="18"/>
              </w:rPr>
            </w:pPr>
            <w:r w:rsidRPr="00EC31DE">
              <w:rPr>
                <w:rFonts w:ascii="Arial" w:hAnsi="Arial" w:cs="Arial"/>
                <w:sz w:val="18"/>
              </w:rPr>
              <w:t>Quality control through lender self-reports</w:t>
            </w:r>
          </w:p>
        </w:tc>
        <w:tc>
          <w:tcPr>
            <w:tcW w:w="58.50pt" w:type="dxa"/>
            <w:tcBorders>
              <w:top w:val="single" w:color="auto" w:sz="4" w:space="0"/>
              <w:start w:val="single" w:color="auto" w:sz="4" w:space="0"/>
              <w:bottom w:val="single" w:color="auto" w:sz="4" w:space="0"/>
              <w:end w:val="single" w:color="auto" w:sz="4" w:space="0"/>
            </w:tcBorders>
            <w:vAlign w:val="center"/>
          </w:tcPr>
          <w:p w:rsidRPr="00EC31DE" w:rsidR="001E0019" w:rsidP="007B386A" w:rsidRDefault="001E0019" w14:paraId="1F92C7AC" w14:textId="77777777">
            <w:pPr>
              <w:jc w:val="center"/>
              <w:rPr>
                <w:rFonts w:ascii="Arial" w:hAnsi="Arial" w:cs="Arial"/>
                <w:sz w:val="18"/>
              </w:rPr>
            </w:pPr>
            <w:r w:rsidRPr="00EC31DE">
              <w:rPr>
                <w:rFonts w:ascii="Arial" w:hAnsi="Arial" w:cs="Arial"/>
                <w:sz w:val="18"/>
              </w:rPr>
              <w:t>276</w:t>
            </w:r>
          </w:p>
        </w:tc>
        <w:tc>
          <w:tcPr>
            <w:tcW w:w="58.50pt" w:type="dxa"/>
            <w:tcBorders>
              <w:top w:val="single" w:color="auto" w:sz="4" w:space="0"/>
              <w:start w:val="single" w:color="auto" w:sz="4" w:space="0"/>
              <w:bottom w:val="single" w:color="auto" w:sz="4" w:space="0"/>
              <w:end w:val="single" w:color="auto" w:sz="4" w:space="0"/>
            </w:tcBorders>
          </w:tcPr>
          <w:p w:rsidRPr="00EC31DE" w:rsidR="001E0019" w:rsidP="007B386A" w:rsidRDefault="001E0019" w14:paraId="5D02E4A7" w14:textId="77777777">
            <w:pPr>
              <w:jc w:val="center"/>
              <w:rPr>
                <w:rFonts w:ascii="Arial" w:hAnsi="Arial" w:cs="Arial"/>
                <w:sz w:val="18"/>
                <w:szCs w:val="18"/>
              </w:rPr>
            </w:pPr>
          </w:p>
          <w:p w:rsidRPr="00EC31DE" w:rsidR="001E0019" w:rsidP="007B386A" w:rsidRDefault="001E0019" w14:paraId="530ACC55" w14:textId="77777777">
            <w:pPr>
              <w:jc w:val="center"/>
              <w:rPr>
                <w:rFonts w:ascii="Arial" w:hAnsi="Arial" w:cs="Arial"/>
                <w:sz w:val="18"/>
                <w:szCs w:val="18"/>
              </w:rPr>
            </w:pPr>
            <w:r w:rsidRPr="00EC31DE">
              <w:rPr>
                <w:rFonts w:ascii="Arial" w:hAnsi="Arial" w:cs="Arial"/>
                <w:sz w:val="18"/>
                <w:szCs w:val="18"/>
              </w:rPr>
              <w:t>28</w:t>
            </w:r>
          </w:p>
        </w:tc>
        <w:tc>
          <w:tcPr>
            <w:tcW w:w="58.50pt" w:type="dxa"/>
            <w:tcBorders>
              <w:top w:val="single" w:color="auto" w:sz="4" w:space="0"/>
              <w:start w:val="single" w:color="auto" w:sz="4" w:space="0"/>
              <w:bottom w:val="single" w:color="auto" w:sz="4" w:space="0"/>
              <w:end w:val="single" w:color="auto" w:sz="4" w:space="0"/>
            </w:tcBorders>
            <w:vAlign w:val="center"/>
          </w:tcPr>
          <w:p w:rsidRPr="00EC31DE" w:rsidR="001E0019" w:rsidP="007B386A" w:rsidRDefault="001E0019" w14:paraId="604DC7C5" w14:textId="77777777">
            <w:pPr>
              <w:jc w:val="center"/>
              <w:rPr>
                <w:rFonts w:ascii="Arial" w:hAnsi="Arial" w:cs="Arial"/>
                <w:sz w:val="18"/>
                <w:szCs w:val="18"/>
              </w:rPr>
            </w:pPr>
            <w:r w:rsidRPr="00EC31DE">
              <w:rPr>
                <w:rFonts w:ascii="Arial" w:hAnsi="Arial" w:cs="Arial"/>
                <w:sz w:val="18"/>
                <w:szCs w:val="18"/>
              </w:rPr>
              <w:t>7,728</w:t>
            </w:r>
          </w:p>
        </w:tc>
        <w:tc>
          <w:tcPr>
            <w:tcW w:w="45pt" w:type="dxa"/>
            <w:tcBorders>
              <w:top w:val="single" w:color="auto" w:sz="4" w:space="0"/>
              <w:start w:val="single" w:color="auto" w:sz="4" w:space="0"/>
              <w:bottom w:val="single" w:color="auto" w:sz="4" w:space="0"/>
              <w:end w:val="single" w:color="auto" w:sz="4" w:space="0"/>
            </w:tcBorders>
            <w:vAlign w:val="center"/>
          </w:tcPr>
          <w:p w:rsidRPr="00EC31DE" w:rsidR="001E0019" w:rsidP="007B386A" w:rsidRDefault="001E0019" w14:paraId="22F5CA2D" w14:textId="77777777">
            <w:pPr>
              <w:jc w:val="center"/>
              <w:rPr>
                <w:rFonts w:ascii="Arial" w:hAnsi="Arial" w:cs="Arial"/>
                <w:sz w:val="18"/>
                <w:szCs w:val="18"/>
              </w:rPr>
            </w:pPr>
            <w:r w:rsidRPr="00EC31DE">
              <w:rPr>
                <w:rFonts w:ascii="Arial" w:hAnsi="Arial" w:cs="Arial"/>
                <w:sz w:val="18"/>
                <w:szCs w:val="18"/>
              </w:rPr>
              <w:t>.25</w:t>
            </w:r>
          </w:p>
        </w:tc>
        <w:tc>
          <w:tcPr>
            <w:tcW w:w="57.30pt" w:type="dxa"/>
            <w:tcBorders>
              <w:top w:val="single" w:color="auto" w:sz="4" w:space="0"/>
              <w:start w:val="single" w:color="auto" w:sz="4" w:space="0"/>
              <w:bottom w:val="single" w:color="auto" w:sz="4" w:space="0"/>
              <w:end w:val="single" w:color="auto" w:sz="4" w:space="0"/>
            </w:tcBorders>
            <w:vAlign w:val="center"/>
          </w:tcPr>
          <w:p w:rsidRPr="00EC31DE" w:rsidR="001E0019" w:rsidP="007B386A" w:rsidRDefault="001E0019" w14:paraId="4A59F29E" w14:textId="77777777">
            <w:pPr>
              <w:jc w:val="center"/>
              <w:rPr>
                <w:rFonts w:ascii="Arial" w:hAnsi="Arial" w:cs="Arial"/>
                <w:sz w:val="18"/>
                <w:szCs w:val="18"/>
              </w:rPr>
            </w:pPr>
            <w:r w:rsidRPr="00EC31DE">
              <w:rPr>
                <w:rFonts w:ascii="Arial" w:hAnsi="Arial" w:cs="Arial"/>
                <w:sz w:val="18"/>
                <w:szCs w:val="18"/>
              </w:rPr>
              <w:t>1,932</w:t>
            </w:r>
          </w:p>
        </w:tc>
        <w:tc>
          <w:tcPr>
            <w:tcW w:w="48.60pt" w:type="dxa"/>
            <w:tcBorders>
              <w:top w:val="single" w:color="auto" w:sz="4" w:space="0"/>
              <w:start w:val="single" w:color="auto" w:sz="4" w:space="0"/>
              <w:bottom w:val="single" w:color="auto" w:sz="4" w:space="0"/>
              <w:end w:val="single" w:color="auto" w:sz="4" w:space="0"/>
            </w:tcBorders>
            <w:vAlign w:val="center"/>
          </w:tcPr>
          <w:p w:rsidRPr="00EC31DE" w:rsidR="001E0019" w:rsidP="007B386A" w:rsidRDefault="001E0019" w14:paraId="77BD822B" w14:textId="77777777">
            <w:pPr>
              <w:jc w:val="center"/>
              <w:rPr>
                <w:rFonts w:ascii="Arial" w:hAnsi="Arial" w:cs="Arial"/>
                <w:sz w:val="18"/>
              </w:rPr>
            </w:pPr>
            <w:r w:rsidRPr="00EC31DE">
              <w:rPr>
                <w:rFonts w:ascii="Arial" w:hAnsi="Arial" w:cs="Arial"/>
                <w:sz w:val="18"/>
              </w:rPr>
              <w:t>$34.86</w:t>
            </w:r>
          </w:p>
        </w:tc>
        <w:tc>
          <w:tcPr>
            <w:tcW w:w="68.40pt" w:type="dxa"/>
            <w:tcBorders>
              <w:top w:val="single" w:color="auto" w:sz="4" w:space="0"/>
              <w:start w:val="single" w:color="auto" w:sz="4" w:space="0"/>
              <w:bottom w:val="single" w:color="auto" w:sz="4" w:space="0"/>
              <w:end w:val="single" w:color="auto" w:sz="4" w:space="0"/>
            </w:tcBorders>
            <w:vAlign w:val="center"/>
          </w:tcPr>
          <w:p w:rsidRPr="00EC31DE" w:rsidR="001E0019" w:rsidP="007B386A" w:rsidRDefault="001E0019" w14:paraId="3C37A59B" w14:textId="77777777">
            <w:pPr>
              <w:jc w:val="center"/>
              <w:rPr>
                <w:rFonts w:ascii="Arial" w:hAnsi="Arial" w:cs="Arial"/>
                <w:sz w:val="18"/>
                <w:szCs w:val="18"/>
              </w:rPr>
            </w:pPr>
            <w:r w:rsidRPr="00EC31DE">
              <w:rPr>
                <w:rFonts w:ascii="Arial" w:hAnsi="Arial" w:cs="Arial"/>
                <w:sz w:val="18"/>
                <w:szCs w:val="18"/>
              </w:rPr>
              <w:t>$67,349.52</w:t>
            </w:r>
          </w:p>
        </w:tc>
      </w:tr>
      <w:tr w:rsidRPr="00EC31DE" w:rsidR="001E0019" w:rsidTr="007B386A" w14:paraId="0C3431E0" w14:textId="77777777">
        <w:tc>
          <w:tcPr>
            <w:tcW w:w="110.1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47FDE79E" w14:textId="77777777">
            <w:pPr>
              <w:spacing w:before="2pt" w:after="2pt"/>
              <w:jc w:val="center"/>
              <w:rPr>
                <w:rFonts w:ascii="Arial" w:hAnsi="Arial" w:cs="Arial"/>
                <w:b/>
                <w:bCs/>
                <w:sz w:val="18"/>
              </w:rPr>
            </w:pPr>
            <w:r w:rsidRPr="00EC31DE">
              <w:rPr>
                <w:rFonts w:ascii="Arial" w:hAnsi="Arial" w:cs="Arial"/>
                <w:b/>
                <w:bCs/>
                <w:sz w:val="18"/>
              </w:rPr>
              <w:t>Total</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72AB6DE4" w14:textId="77777777">
            <w:pPr>
              <w:jc w:val="center"/>
              <w:rPr>
                <w:rFonts w:ascii="Arial" w:hAnsi="Arial" w:cs="Arial"/>
                <w:b/>
                <w:bCs/>
                <w:sz w:val="18"/>
              </w:rPr>
            </w:pPr>
            <w:r w:rsidRPr="00EC31DE">
              <w:rPr>
                <w:rFonts w:ascii="Arial" w:hAnsi="Arial" w:cs="Arial"/>
                <w:b/>
                <w:bCs/>
                <w:sz w:val="18"/>
              </w:rPr>
              <w:t>3,641</w:t>
            </w:r>
          </w:p>
        </w:tc>
        <w:tc>
          <w:tcPr>
            <w:tcW w:w="58.50pt" w:type="dxa"/>
            <w:tcBorders>
              <w:top w:val="single" w:color="auto" w:sz="4" w:space="0"/>
              <w:start w:val="single" w:color="auto" w:sz="4" w:space="0"/>
              <w:bottom w:val="single" w:color="auto" w:sz="4" w:space="0"/>
              <w:end w:val="single" w:color="auto" w:sz="4" w:space="0"/>
            </w:tcBorders>
            <w:hideMark/>
          </w:tcPr>
          <w:p w:rsidRPr="00EC31DE" w:rsidR="001E0019" w:rsidP="007B386A" w:rsidRDefault="001E0019" w14:paraId="35A3A755" w14:textId="77777777">
            <w:pPr>
              <w:jc w:val="center"/>
              <w:rPr>
                <w:rFonts w:ascii="Arial" w:hAnsi="Arial" w:cs="Arial"/>
                <w:b/>
                <w:bCs/>
                <w:sz w:val="18"/>
                <w:szCs w:val="18"/>
              </w:rPr>
            </w:pPr>
            <w:r w:rsidRPr="00EC31DE">
              <w:rPr>
                <w:rFonts w:ascii="Arial" w:hAnsi="Arial" w:cs="Arial"/>
                <w:b/>
                <w:bCs/>
                <w:sz w:val="18"/>
                <w:szCs w:val="18"/>
              </w:rPr>
              <w:t>-</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62574A1C" w14:textId="77777777">
            <w:pPr>
              <w:jc w:val="center"/>
              <w:rPr>
                <w:rFonts w:ascii="Arial" w:hAnsi="Arial" w:cs="Arial"/>
                <w:b/>
                <w:bCs/>
                <w:sz w:val="18"/>
                <w:szCs w:val="18"/>
              </w:rPr>
            </w:pPr>
            <w:r w:rsidRPr="00EC31DE">
              <w:rPr>
                <w:rFonts w:ascii="Arial" w:hAnsi="Arial" w:cs="Arial"/>
                <w:b/>
                <w:bCs/>
                <w:sz w:val="18"/>
                <w:szCs w:val="18"/>
              </w:rPr>
              <w:t>118,952</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49C2F308" w14:textId="77777777">
            <w:pPr>
              <w:pStyle w:val="Header"/>
              <w:tabs>
                <w:tab w:val="left" w:pos="36pt"/>
              </w:tabs>
              <w:jc w:val="center"/>
            </w:pPr>
            <w:r w:rsidRPr="00EC31DE">
              <w:t>-</w:t>
            </w:r>
          </w:p>
        </w:tc>
        <w:tc>
          <w:tcPr>
            <w:tcW w:w="57.3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56F25219" w14:textId="77777777">
            <w:pPr>
              <w:jc w:val="center"/>
              <w:rPr>
                <w:rFonts w:ascii="Arial" w:hAnsi="Arial" w:cs="Arial"/>
                <w:b/>
                <w:bCs/>
                <w:sz w:val="18"/>
                <w:szCs w:val="18"/>
              </w:rPr>
            </w:pPr>
            <w:r w:rsidRPr="00EC31DE">
              <w:rPr>
                <w:rFonts w:ascii="Arial" w:hAnsi="Arial" w:cs="Arial"/>
                <w:b/>
                <w:bCs/>
                <w:sz w:val="18"/>
                <w:szCs w:val="18"/>
              </w:rPr>
              <w:t>29,738</w:t>
            </w:r>
          </w:p>
        </w:tc>
        <w:tc>
          <w:tcPr>
            <w:tcW w:w="48.6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29445AE8" w14:textId="77777777">
            <w:pPr>
              <w:jc w:val="center"/>
              <w:rPr>
                <w:rFonts w:ascii="Arial" w:hAnsi="Arial" w:cs="Arial"/>
                <w:b/>
                <w:bCs/>
                <w:sz w:val="18"/>
                <w:szCs w:val="18"/>
              </w:rPr>
            </w:pPr>
            <w:r w:rsidRPr="00EC31DE">
              <w:rPr>
                <w:rFonts w:ascii="Arial" w:hAnsi="Arial" w:cs="Arial"/>
                <w:b/>
                <w:bCs/>
                <w:sz w:val="18"/>
              </w:rPr>
              <w:t>$34.86</w:t>
            </w:r>
          </w:p>
        </w:tc>
        <w:tc>
          <w:tcPr>
            <w:tcW w:w="68.40pt" w:type="dxa"/>
            <w:tcBorders>
              <w:top w:val="single" w:color="auto" w:sz="4" w:space="0"/>
              <w:start w:val="single" w:color="auto" w:sz="4" w:space="0"/>
              <w:bottom w:val="single" w:color="auto" w:sz="4" w:space="0"/>
              <w:end w:val="single" w:color="auto" w:sz="4" w:space="0"/>
            </w:tcBorders>
            <w:vAlign w:val="center"/>
            <w:hideMark/>
          </w:tcPr>
          <w:p w:rsidRPr="00EC31DE" w:rsidR="001E0019" w:rsidP="007B386A" w:rsidRDefault="001E0019" w14:paraId="3E60373F" w14:textId="77777777">
            <w:pPr>
              <w:jc w:val="center"/>
              <w:rPr>
                <w:rFonts w:ascii="Arial" w:hAnsi="Arial" w:cs="Arial"/>
                <w:b/>
                <w:bCs/>
                <w:sz w:val="18"/>
                <w:szCs w:val="18"/>
              </w:rPr>
            </w:pPr>
            <w:r w:rsidRPr="00EC31DE">
              <w:rPr>
                <w:rFonts w:ascii="Arial" w:hAnsi="Arial" w:cs="Arial"/>
                <w:b/>
                <w:bCs/>
                <w:sz w:val="18"/>
                <w:szCs w:val="18"/>
              </w:rPr>
              <w:t>$1,036,666.69</w:t>
            </w:r>
          </w:p>
        </w:tc>
      </w:tr>
    </w:tbl>
    <w:p w:rsidRPr="00EC31DE" w:rsidR="001E0019" w:rsidP="001E0019" w:rsidRDefault="001E0019" w14:paraId="496A0483" w14:textId="77777777">
      <w:pPr>
        <w:pStyle w:val="BodyTextIndent3"/>
        <w:tabs>
          <w:tab w:val="clear" w:pos="18pt"/>
        </w:tabs>
        <w:spacing w:before="6pt"/>
        <w:ind w:start="54pt" w:hanging="18pt"/>
        <w:rPr>
          <w:noProof w:val="0"/>
          <w:sz w:val="24"/>
        </w:rPr>
      </w:pPr>
      <w:r w:rsidRPr="00EC31DE">
        <w:rPr>
          <w:noProof w:val="0"/>
          <w:sz w:val="24"/>
          <w:vertAlign w:val="superscript"/>
        </w:rPr>
        <w:t>1</w:t>
      </w:r>
      <w:r w:rsidRPr="00EC31DE">
        <w:rPr>
          <w:noProof w:val="0"/>
          <w:sz w:val="24"/>
        </w:rPr>
        <w:t xml:space="preserve">The number of respondents for quality control of EPDs and loan originations was defined as the total number of active Title II lenders with unconditional DE authority granted on or before September 30, 2019.  This number was obtained from the </w:t>
      </w:r>
      <w:proofErr w:type="gramStart"/>
      <w:r w:rsidRPr="00EC31DE">
        <w:rPr>
          <w:noProof w:val="0"/>
          <w:sz w:val="24"/>
        </w:rPr>
        <w:t>Single Family</w:t>
      </w:r>
      <w:proofErr w:type="gramEnd"/>
      <w:r w:rsidRPr="00EC31DE">
        <w:rPr>
          <w:noProof w:val="0"/>
          <w:sz w:val="24"/>
        </w:rPr>
        <w:t xml:space="preserve"> Housing Enterprise Data Warehouse </w:t>
      </w:r>
      <w:r w:rsidRPr="0076017E">
        <w:rPr>
          <w:sz w:val="24"/>
        </w:rPr>
        <w:t xml:space="preserve">(SFHEDW) </w:t>
      </w:r>
      <w:r w:rsidRPr="00EC31DE">
        <w:rPr>
          <w:noProof w:val="0"/>
          <w:sz w:val="24"/>
        </w:rPr>
        <w:t>and the Office of Lender Activities and Program Compliance.  The number of respondents for quality control through lender self-reports was estimated based on the number of FHA-approved Title II lenders submitting self</w:t>
      </w:r>
      <w:r>
        <w:rPr>
          <w:noProof w:val="0"/>
          <w:sz w:val="24"/>
        </w:rPr>
        <w:t>-</w:t>
      </w:r>
      <w:r w:rsidRPr="00EC31DE">
        <w:rPr>
          <w:noProof w:val="0"/>
          <w:sz w:val="24"/>
        </w:rPr>
        <w:t>reports to HUD during FY 2019.  The data was obtained from the Loan Review System (LRS) administered by Single Family Housing’s Office of Lender Activities and Program Compliance.</w:t>
      </w:r>
    </w:p>
    <w:p w:rsidRPr="00EC31DE" w:rsidR="001E0019" w:rsidP="001E0019" w:rsidRDefault="001E0019" w14:paraId="033C00E4" w14:textId="77777777">
      <w:pPr>
        <w:pStyle w:val="BodyTextIndent3"/>
        <w:tabs>
          <w:tab w:val="clear" w:pos="18pt"/>
        </w:tabs>
        <w:spacing w:before="6pt"/>
        <w:ind w:start="54pt" w:hanging="18pt"/>
        <w:rPr>
          <w:noProof w:val="0"/>
          <w:sz w:val="24"/>
        </w:rPr>
      </w:pPr>
      <w:r w:rsidRPr="00EC31DE">
        <w:rPr>
          <w:noProof w:val="0"/>
          <w:sz w:val="24"/>
          <w:vertAlign w:val="superscript"/>
        </w:rPr>
        <w:t xml:space="preserve">2 </w:t>
      </w:r>
      <w:r w:rsidRPr="00EC31DE">
        <w:rPr>
          <w:noProof w:val="0"/>
          <w:sz w:val="24"/>
        </w:rPr>
        <w:t xml:space="preserve">It is anticipated that each DE lender will respond to the information collection once per year, </w:t>
      </w:r>
      <w:r>
        <w:rPr>
          <w:noProof w:val="0"/>
          <w:sz w:val="24"/>
        </w:rPr>
        <w:t>except for</w:t>
      </w:r>
      <w:r w:rsidRPr="00EC31DE">
        <w:rPr>
          <w:noProof w:val="0"/>
          <w:sz w:val="24"/>
        </w:rPr>
        <w:t xml:space="preserve"> lender self-reports which happen sporadically.  The frequency of response for lender self-reports was estimated based on the number of self</w:t>
      </w:r>
      <w:r>
        <w:rPr>
          <w:noProof w:val="0"/>
          <w:sz w:val="24"/>
        </w:rPr>
        <w:t>-</w:t>
      </w:r>
      <w:r w:rsidRPr="00EC31DE">
        <w:rPr>
          <w:noProof w:val="0"/>
          <w:sz w:val="24"/>
        </w:rPr>
        <w:t xml:space="preserve">reports submitted by FHA-approved Title II lenders to HUD during FY 2019 divided by the number of lenders submitting those reports.  The data was obtained from the LRS </w:t>
      </w:r>
      <w:r w:rsidRPr="00EC31DE">
        <w:rPr>
          <w:noProof w:val="0"/>
          <w:sz w:val="24"/>
        </w:rPr>
        <w:lastRenderedPageBreak/>
        <w:t>administered by Single Family Housing’s Office of Lender Activities and Program Compliance.</w:t>
      </w:r>
    </w:p>
    <w:p w:rsidRPr="00EC31DE" w:rsidR="001E0019" w:rsidP="001E0019" w:rsidRDefault="001E0019" w14:paraId="2FFAE280" w14:textId="77777777">
      <w:pPr>
        <w:pStyle w:val="BodyTextIndent3"/>
        <w:tabs>
          <w:tab w:val="clear" w:pos="18pt"/>
        </w:tabs>
        <w:spacing w:before="6pt"/>
        <w:ind w:start="54pt" w:hanging="18pt"/>
        <w:rPr>
          <w:noProof w:val="0"/>
          <w:sz w:val="24"/>
        </w:rPr>
      </w:pPr>
      <w:r w:rsidRPr="00EC31DE">
        <w:rPr>
          <w:noProof w:val="0"/>
          <w:sz w:val="24"/>
          <w:vertAlign w:val="superscript"/>
        </w:rPr>
        <w:t>3</w:t>
      </w:r>
      <w:r w:rsidRPr="00EC31DE">
        <w:rPr>
          <w:noProof w:val="0"/>
          <w:sz w:val="24"/>
        </w:rPr>
        <w:t xml:space="preserve"> The total annual response for EPDs was based on the total number of EPDs for the 2019 fiscal year.  This data was obtained from the </w:t>
      </w:r>
      <w:r>
        <w:rPr>
          <w:noProof w:val="0"/>
          <w:sz w:val="24"/>
        </w:rPr>
        <w:t>SFHEDW</w:t>
      </w:r>
      <w:r w:rsidRPr="00EC31DE">
        <w:rPr>
          <w:noProof w:val="0"/>
          <w:sz w:val="24"/>
        </w:rPr>
        <w:t>.  The total annual response for quality control on loan originations was based on a 10 percent sample of the 973,849 FHA-insured single-family mortgage loans originated in the 2019 fiscal year.  The total annual response for lender self-reports was estimated based on the number of lender self</w:t>
      </w:r>
      <w:r>
        <w:rPr>
          <w:noProof w:val="0"/>
          <w:sz w:val="24"/>
        </w:rPr>
        <w:t>-</w:t>
      </w:r>
      <w:r w:rsidRPr="00EC31DE">
        <w:rPr>
          <w:noProof w:val="0"/>
          <w:sz w:val="24"/>
        </w:rPr>
        <w:t xml:space="preserve">reports submitted by FHA-approved Title II mortgagees to the LRS during FY 2019.  The data for these information collection categories was obtained from Single Family Housing’s Office of Lender Activities and Program Compliance and the </w:t>
      </w:r>
      <w:r>
        <w:rPr>
          <w:noProof w:val="0"/>
          <w:sz w:val="24"/>
        </w:rPr>
        <w:t>SFHEDW</w:t>
      </w:r>
      <w:r w:rsidRPr="00EC31DE">
        <w:rPr>
          <w:noProof w:val="0"/>
          <w:sz w:val="24"/>
        </w:rPr>
        <w:t xml:space="preserve">. </w:t>
      </w:r>
    </w:p>
    <w:p w:rsidRPr="0076017E" w:rsidR="001E0019" w:rsidP="001E0019" w:rsidRDefault="001E0019" w14:paraId="46D020C5" w14:textId="77777777">
      <w:pPr>
        <w:pStyle w:val="BodyTextIndent3"/>
        <w:tabs>
          <w:tab w:val="clear" w:pos="18pt"/>
        </w:tabs>
        <w:spacing w:before="6pt"/>
        <w:ind w:start="54pt" w:hanging="18pt"/>
        <w:rPr>
          <w:noProof w:val="0"/>
          <w:sz w:val="24"/>
          <w:szCs w:val="24"/>
        </w:rPr>
      </w:pPr>
      <w:r w:rsidRPr="00EC31DE">
        <w:rPr>
          <w:noProof w:val="0"/>
          <w:sz w:val="24"/>
          <w:vertAlign w:val="superscript"/>
        </w:rPr>
        <w:t>4</w:t>
      </w:r>
      <w:r w:rsidRPr="00EC31DE">
        <w:rPr>
          <w:noProof w:val="0"/>
          <w:sz w:val="24"/>
        </w:rPr>
        <w:t xml:space="preserve"> The estimated hourly cost per response is based on the May 2018 private sector hourly rate of a Compliance Officer with a national average annual salary of $72,520.  This information was </w:t>
      </w:r>
      <w:r w:rsidRPr="0076017E">
        <w:rPr>
          <w:noProof w:val="0"/>
          <w:sz w:val="24"/>
          <w:szCs w:val="24"/>
        </w:rPr>
        <w:t xml:space="preserve">obtained from </w:t>
      </w:r>
      <w:hyperlink w:history="1" r:id="rId8">
        <w:r w:rsidRPr="0076017E">
          <w:rPr>
            <w:rStyle w:val="Hyperlink"/>
            <w:sz w:val="24"/>
            <w:szCs w:val="24"/>
          </w:rPr>
          <w:t>https://www.bls.gov/oes/current/oes_nat.htm</w:t>
        </w:r>
      </w:hyperlink>
      <w:r w:rsidRPr="0076017E">
        <w:rPr>
          <w:noProof w:val="0"/>
          <w:sz w:val="24"/>
          <w:szCs w:val="24"/>
        </w:rPr>
        <w:t>.</w:t>
      </w:r>
    </w:p>
    <w:p w:rsidR="000C7718" w:rsidP="000C7718" w:rsidRDefault="000C7718" w14:paraId="3985EEFF" w14:textId="77777777">
      <w:pPr>
        <w:rPr>
          <w:rFonts w:ascii="Times New Roman" w:hAnsi="Times New Roman"/>
          <w:sz w:val="24"/>
          <w:szCs w:val="24"/>
        </w:rPr>
      </w:pPr>
    </w:p>
    <w:p w:rsidRPr="00575D07" w:rsidR="000C7718" w:rsidP="000C7718" w:rsidRDefault="00075224" w14:paraId="622E86C6" w14:textId="77777777">
      <w:pPr>
        <w:rPr>
          <w:rFonts w:ascii="Times New Roman" w:hAnsi="Times New Roman"/>
          <w:sz w:val="24"/>
          <w:szCs w:val="24"/>
        </w:rPr>
      </w:pPr>
      <w:r w:rsidRPr="00575D07">
        <w:rPr>
          <w:rFonts w:ascii="Times New Roman" w:hAnsi="Times New Roman"/>
          <w:sz w:val="24"/>
          <w:szCs w:val="24"/>
        </w:rPr>
        <w:t xml:space="preserve">13. </w:t>
      </w:r>
      <w:r w:rsidRPr="00575D07" w:rsidR="000C7718">
        <w:rPr>
          <w:rFonts w:ascii="Times New Roman" w:hAnsi="Times New Roman"/>
          <w:sz w:val="24"/>
          <w:szCs w:val="24"/>
        </w:rPr>
        <w:t xml:space="preserve">Provide an estimate for the total annual cost burden to respondents or recordkeepers resulting from the collection of information. (Do not include the cost of any hour burden shown in Items 12 and 14). </w:t>
      </w:r>
    </w:p>
    <w:p w:rsidRPr="00575D07" w:rsidR="000C7718" w:rsidP="000C7718" w:rsidRDefault="000C7718" w14:paraId="2DF5477A" w14:textId="77777777">
      <w:pPr>
        <w:rPr>
          <w:rFonts w:ascii="Times New Roman" w:hAnsi="Times New Roman"/>
          <w:sz w:val="24"/>
          <w:szCs w:val="24"/>
        </w:rPr>
      </w:pPr>
      <w:r w:rsidRPr="00575D07">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75D07">
        <w:rPr>
          <w:rFonts w:ascii="Times New Roman" w:hAnsi="Times New Roman"/>
          <w:sz w:val="24"/>
          <w:szCs w:val="24"/>
        </w:rPr>
        <w:t>take into account</w:t>
      </w:r>
      <w:proofErr w:type="gramEnd"/>
      <w:r w:rsidRPr="00575D07">
        <w:rPr>
          <w:rFonts w:ascii="Times New Roman" w:hAnsi="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575D07">
        <w:rPr>
          <w:rFonts w:ascii="Times New Roman" w:hAnsi="Times New Roman"/>
          <w:sz w:val="24"/>
          <w:szCs w:val="24"/>
        </w:rPr>
        <w:t>time period</w:t>
      </w:r>
      <w:proofErr w:type="gramEnd"/>
      <w:r w:rsidRPr="00575D07">
        <w:rPr>
          <w:rFonts w:ascii="Times New Roman" w:hAnsi="Times New Roman"/>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575D07">
        <w:rPr>
          <w:rFonts w:ascii="Times New Roman" w:hAnsi="Times New Roman"/>
          <w:sz w:val="24"/>
          <w:szCs w:val="24"/>
        </w:rPr>
        <w:t>drilling</w:t>
      </w:r>
      <w:proofErr w:type="gramEnd"/>
      <w:r w:rsidRPr="00575D07">
        <w:rPr>
          <w:rFonts w:ascii="Times New Roman" w:hAnsi="Times New Roman"/>
          <w:sz w:val="24"/>
          <w:szCs w:val="24"/>
        </w:rPr>
        <w:t xml:space="preserve"> and testing equipment; and record storage facilities. </w:t>
      </w:r>
    </w:p>
    <w:p w:rsidRPr="00575D07" w:rsidR="000C7718" w:rsidP="000C7718" w:rsidRDefault="000C7718" w14:paraId="35C3DC3A" w14:textId="77777777">
      <w:pPr>
        <w:rPr>
          <w:rFonts w:ascii="Times New Roman" w:hAnsi="Times New Roman"/>
          <w:sz w:val="24"/>
          <w:szCs w:val="24"/>
        </w:rPr>
      </w:pPr>
      <w:r w:rsidRPr="00575D07">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75D07" w:rsidR="000C7718" w:rsidP="000C7718" w:rsidRDefault="000C7718" w14:paraId="35E46CCC" w14:textId="77777777">
      <w:pPr>
        <w:rPr>
          <w:rFonts w:ascii="Times New Roman" w:hAnsi="Times New Roman"/>
          <w:sz w:val="24"/>
          <w:szCs w:val="24"/>
        </w:rPr>
      </w:pPr>
      <w:r w:rsidRPr="00575D07">
        <w:rPr>
          <w:rFonts w:ascii="Times New Roman" w:hAnsi="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575D07" w:rsidR="00075224" w:rsidP="004F330A" w:rsidRDefault="004F330A" w14:paraId="172E8BC7" w14:textId="77777777">
      <w:pPr>
        <w:rPr>
          <w:rFonts w:ascii="Times New Roman" w:hAnsi="Times New Roman"/>
          <w:sz w:val="24"/>
          <w:szCs w:val="24"/>
        </w:rPr>
      </w:pPr>
      <w:r w:rsidRPr="00EC31DE">
        <w:rPr>
          <w:rFonts w:ascii="Times New Roman" w:hAnsi="Times New Roman"/>
          <w:sz w:val="24"/>
        </w:rPr>
        <w:t>There are no additional costs to the respondents.</w:t>
      </w:r>
    </w:p>
    <w:p w:rsidR="000C7718" w:rsidP="00075224" w:rsidRDefault="00075224" w14:paraId="6FB51793" w14:textId="77777777">
      <w:pPr>
        <w:rPr>
          <w:rFonts w:ascii="Times New Roman" w:hAnsi="Times New Roman"/>
          <w:sz w:val="24"/>
          <w:szCs w:val="24"/>
        </w:rPr>
      </w:pPr>
      <w:r w:rsidRPr="00575D07">
        <w:rPr>
          <w:rFonts w:ascii="Times New Roman" w:hAnsi="Times New Roman"/>
          <w:sz w:val="24"/>
          <w:szCs w:val="24"/>
        </w:rPr>
        <w:lastRenderedPageBreak/>
        <w:t xml:space="preserve">14. </w:t>
      </w:r>
      <w:r w:rsidRPr="00575D07" w:rsidR="000C7718">
        <w:rPr>
          <w:rFonts w:ascii="Times New Roman" w:hAnsi="Times New Roman"/>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r w:rsidRPr="00575D07">
        <w:rPr>
          <w:rFonts w:ascii="Times New Roman" w:hAnsi="Times New Roman"/>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tbl>
      <w:tblPr>
        <w:tblW w:w="513pt" w:type="dxa"/>
        <w:tblInd w:w="-12.60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ayout w:type="fixed"/>
        <w:tblLook w:val="04a0"/>
      </w:tblPr>
      <w:tblGrid>
        <w:gridCol w:w="3012"/>
        <w:gridCol w:w="1170"/>
        <w:gridCol w:w="1170"/>
        <w:gridCol w:w="1170"/>
        <w:gridCol w:w="900"/>
        <w:gridCol w:w="990"/>
        <w:gridCol w:w="810"/>
        <w:gridCol w:w="1038"/>
      </w:tblGrid>
      <w:tr w:rsidRPr="00EC31DE" w:rsidR="000C7718" w:rsidTr="007B386A" w14:paraId="3B653302" w14:textId="77777777">
        <w:trPr>
          <w:tblHeader/>
        </w:trPr>
        <w:tc>
          <w:tcPr>
            <w:tcW w:w="150.6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11564AC8" w14:textId="77777777">
            <w:pPr>
              <w:spacing w:before="2pt" w:after="2pt"/>
              <w:jc w:val="center"/>
              <w:rPr>
                <w:rFonts w:ascii="Arial" w:hAnsi="Arial" w:cs="Arial"/>
                <w:sz w:val="18"/>
              </w:rPr>
            </w:pPr>
            <w:r w:rsidRPr="00EC31DE">
              <w:rPr>
                <w:rFonts w:ascii="Arial" w:hAnsi="Arial" w:cs="Arial"/>
                <w:sz w:val="18"/>
              </w:rPr>
              <w:t>Information Collection</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367F8F2F" w14:textId="77777777">
            <w:pPr>
              <w:spacing w:before="2pt" w:after="2pt"/>
              <w:ind w:start="-5.40pt" w:end="-5.40pt"/>
              <w:jc w:val="center"/>
              <w:rPr>
                <w:rFonts w:ascii="Arial" w:hAnsi="Arial" w:cs="Arial"/>
                <w:sz w:val="18"/>
              </w:rPr>
            </w:pPr>
            <w:r w:rsidRPr="00EC31DE">
              <w:rPr>
                <w:rFonts w:ascii="Arial" w:hAnsi="Arial" w:cs="Arial"/>
                <w:sz w:val="18"/>
              </w:rPr>
              <w:t>No. of Respondents</w:t>
            </w:r>
            <w:r w:rsidRPr="00EC31DE">
              <w:rPr>
                <w:rFonts w:ascii="Arial" w:hAnsi="Arial" w:cs="Arial"/>
                <w:sz w:val="18"/>
                <w:vertAlign w:val="superscript"/>
              </w:rPr>
              <w:t>1</w:t>
            </w:r>
          </w:p>
        </w:tc>
        <w:tc>
          <w:tcPr>
            <w:tcW w:w="58.50pt" w:type="dxa"/>
            <w:tcBorders>
              <w:top w:val="single" w:color="auto" w:sz="4" w:space="0"/>
              <w:start w:val="single" w:color="auto" w:sz="4" w:space="0"/>
              <w:bottom w:val="single" w:color="auto" w:sz="4" w:space="0"/>
              <w:end w:val="single" w:color="auto" w:sz="4" w:space="0"/>
            </w:tcBorders>
            <w:hideMark/>
          </w:tcPr>
          <w:p w:rsidRPr="00EC31DE" w:rsidR="000C7718" w:rsidP="007B386A" w:rsidRDefault="000C7718" w14:paraId="56A4BE36" w14:textId="77777777">
            <w:pPr>
              <w:spacing w:before="2pt" w:after="2pt"/>
              <w:jc w:val="center"/>
              <w:rPr>
                <w:rFonts w:ascii="Arial" w:hAnsi="Arial" w:cs="Arial"/>
                <w:sz w:val="18"/>
              </w:rPr>
            </w:pPr>
            <w:r w:rsidRPr="00EC31DE">
              <w:rPr>
                <w:rFonts w:ascii="Arial" w:hAnsi="Arial" w:cs="Arial"/>
                <w:sz w:val="18"/>
              </w:rPr>
              <w:t>Frequency of Response</w:t>
            </w:r>
            <w:r w:rsidRPr="00EC31DE">
              <w:rPr>
                <w:rFonts w:ascii="Arial" w:hAnsi="Arial" w:cs="Arial"/>
                <w:sz w:val="18"/>
                <w:vertAlign w:val="superscript"/>
              </w:rPr>
              <w:t>2</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09220A0B" w14:textId="77777777">
            <w:pPr>
              <w:spacing w:before="2pt" w:after="2pt"/>
              <w:jc w:val="center"/>
              <w:rPr>
                <w:rFonts w:ascii="Arial" w:hAnsi="Arial" w:cs="Arial"/>
                <w:sz w:val="18"/>
              </w:rPr>
            </w:pPr>
            <w:r w:rsidRPr="00EC31DE">
              <w:rPr>
                <w:rFonts w:ascii="Arial" w:hAnsi="Arial" w:cs="Arial"/>
                <w:sz w:val="18"/>
              </w:rPr>
              <w:t>Total Annual Responses</w:t>
            </w:r>
            <w:r w:rsidRPr="00EC31DE">
              <w:rPr>
                <w:rFonts w:ascii="Arial" w:hAnsi="Arial" w:cs="Arial"/>
                <w:sz w:val="18"/>
                <w:vertAlign w:val="superscript"/>
              </w:rPr>
              <w:t>3</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79E7F51A" w14:textId="77777777">
            <w:pPr>
              <w:spacing w:before="2pt" w:after="2pt"/>
              <w:ind w:start="-5.40pt" w:end="-5.40pt"/>
              <w:jc w:val="center"/>
              <w:rPr>
                <w:rFonts w:ascii="Arial" w:hAnsi="Arial" w:cs="Arial"/>
                <w:sz w:val="18"/>
              </w:rPr>
            </w:pPr>
            <w:r w:rsidRPr="00EC31DE">
              <w:rPr>
                <w:rFonts w:ascii="Arial" w:hAnsi="Arial" w:cs="Arial"/>
                <w:sz w:val="18"/>
              </w:rPr>
              <w:t>Burden Hours Per Response</w:t>
            </w:r>
            <w:r w:rsidRPr="00EC31DE">
              <w:rPr>
                <w:rFonts w:ascii="Arial" w:hAnsi="Arial" w:cs="Arial"/>
                <w:sz w:val="18"/>
                <w:vertAlign w:val="superscript"/>
              </w:rPr>
              <w:t>4</w:t>
            </w:r>
          </w:p>
        </w:tc>
        <w:tc>
          <w:tcPr>
            <w:tcW w:w="49.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52B2CD9F" w14:textId="77777777">
            <w:pPr>
              <w:spacing w:before="2pt" w:after="2pt"/>
              <w:ind w:start="-5.40pt" w:end="-5.40pt"/>
              <w:jc w:val="center"/>
              <w:rPr>
                <w:rFonts w:ascii="Arial" w:hAnsi="Arial" w:cs="Arial"/>
                <w:sz w:val="18"/>
              </w:rPr>
            </w:pPr>
            <w:r w:rsidRPr="00EC31DE">
              <w:rPr>
                <w:rFonts w:ascii="Arial" w:hAnsi="Arial" w:cs="Arial"/>
                <w:sz w:val="18"/>
              </w:rPr>
              <w:t>Total Annual Burden Hours</w:t>
            </w:r>
          </w:p>
        </w:tc>
        <w:tc>
          <w:tcPr>
            <w:tcW w:w="40.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30872B3F" w14:textId="77777777">
            <w:pPr>
              <w:spacing w:before="2pt" w:after="2pt"/>
              <w:ind w:start="-5.40pt" w:end="-5.40pt"/>
              <w:jc w:val="center"/>
              <w:rPr>
                <w:rFonts w:ascii="Arial" w:hAnsi="Arial" w:cs="Arial"/>
                <w:sz w:val="18"/>
              </w:rPr>
            </w:pPr>
            <w:r w:rsidRPr="00EC31DE">
              <w:rPr>
                <w:rFonts w:ascii="Arial" w:hAnsi="Arial" w:cs="Arial"/>
                <w:sz w:val="18"/>
              </w:rPr>
              <w:t>Hourly Cost</w:t>
            </w:r>
            <w:r w:rsidRPr="00EC31DE">
              <w:rPr>
                <w:rFonts w:ascii="Arial" w:hAnsi="Arial" w:cs="Arial"/>
                <w:sz w:val="18"/>
                <w:vertAlign w:val="superscript"/>
              </w:rPr>
              <w:t>5</w:t>
            </w:r>
          </w:p>
        </w:tc>
        <w:tc>
          <w:tcPr>
            <w:tcW w:w="51.9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4C92EB99" w14:textId="77777777">
            <w:pPr>
              <w:spacing w:before="2pt" w:after="2pt"/>
              <w:ind w:start="-5.40pt" w:end="-5.40pt"/>
              <w:jc w:val="center"/>
              <w:rPr>
                <w:rFonts w:ascii="Arial" w:hAnsi="Arial" w:cs="Arial"/>
                <w:sz w:val="18"/>
              </w:rPr>
            </w:pPr>
            <w:r w:rsidRPr="00EC31DE">
              <w:rPr>
                <w:rFonts w:ascii="Arial" w:hAnsi="Arial" w:cs="Arial"/>
                <w:sz w:val="18"/>
              </w:rPr>
              <w:t>Total Annual Cost</w:t>
            </w:r>
          </w:p>
        </w:tc>
      </w:tr>
      <w:tr w:rsidRPr="00EC31DE" w:rsidR="000C7718" w:rsidTr="007B386A" w14:paraId="49346747" w14:textId="77777777">
        <w:trPr>
          <w:tblHeader/>
        </w:trPr>
        <w:tc>
          <w:tcPr>
            <w:tcW w:w="150.6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3462B92E" w14:textId="77777777">
            <w:pPr>
              <w:spacing w:before="2pt" w:after="2pt"/>
              <w:jc w:val="center"/>
              <w:rPr>
                <w:rFonts w:ascii="Arial" w:hAnsi="Arial" w:cs="Arial"/>
                <w:sz w:val="18"/>
              </w:rPr>
            </w:pPr>
            <w:r w:rsidRPr="00EC31DE">
              <w:rPr>
                <w:rFonts w:ascii="Arial" w:hAnsi="Arial" w:cs="Arial"/>
                <w:sz w:val="18"/>
              </w:rPr>
              <w:t>Review of DE Lender QC of EPD</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4A66F14D" w14:textId="77777777">
            <w:pPr>
              <w:spacing w:before="2pt" w:after="2pt"/>
              <w:ind w:start="-5.40pt" w:end="-5.40pt"/>
              <w:jc w:val="center"/>
              <w:rPr>
                <w:rFonts w:ascii="Arial" w:hAnsi="Arial" w:cs="Arial"/>
                <w:sz w:val="18"/>
              </w:rPr>
            </w:pPr>
            <w:r w:rsidRPr="00EC31DE">
              <w:rPr>
                <w:rFonts w:ascii="Arial" w:hAnsi="Arial" w:cs="Arial"/>
                <w:sz w:val="18"/>
              </w:rPr>
              <w:t>1,550</w:t>
            </w:r>
          </w:p>
        </w:tc>
        <w:tc>
          <w:tcPr>
            <w:tcW w:w="58.50pt" w:type="dxa"/>
            <w:tcBorders>
              <w:top w:val="single" w:color="auto" w:sz="4" w:space="0"/>
              <w:start w:val="single" w:color="auto" w:sz="4" w:space="0"/>
              <w:bottom w:val="single" w:color="auto" w:sz="4" w:space="0"/>
              <w:end w:val="single" w:color="auto" w:sz="4" w:space="0"/>
            </w:tcBorders>
            <w:hideMark/>
          </w:tcPr>
          <w:p w:rsidRPr="00EC31DE" w:rsidR="000C7718" w:rsidP="007B386A" w:rsidRDefault="000C7718" w14:paraId="6A43FDC6" w14:textId="77777777">
            <w:pPr>
              <w:spacing w:before="2pt" w:after="2pt"/>
              <w:jc w:val="center"/>
              <w:rPr>
                <w:rFonts w:ascii="Arial" w:hAnsi="Arial" w:cs="Arial"/>
                <w:sz w:val="18"/>
              </w:rPr>
            </w:pPr>
            <w:r w:rsidRPr="00EC31DE">
              <w:rPr>
                <w:rFonts w:ascii="Arial" w:hAnsi="Arial" w:cs="Arial"/>
                <w:sz w:val="18"/>
              </w:rPr>
              <w:t>1</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4D6B76DC" w14:textId="77777777">
            <w:pPr>
              <w:spacing w:before="2pt" w:after="2pt"/>
              <w:jc w:val="center"/>
              <w:rPr>
                <w:rFonts w:ascii="Arial" w:hAnsi="Arial" w:cs="Arial"/>
                <w:sz w:val="18"/>
              </w:rPr>
            </w:pPr>
            <w:r w:rsidRPr="00EC31DE">
              <w:rPr>
                <w:rFonts w:ascii="Arial" w:hAnsi="Arial" w:cs="Arial"/>
                <w:sz w:val="18"/>
              </w:rPr>
              <w:t>13,839</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2EBBBF46" w14:textId="77777777">
            <w:pPr>
              <w:spacing w:before="2pt" w:after="2pt"/>
              <w:ind w:start="-5.40pt" w:end="-5.40pt"/>
              <w:jc w:val="center"/>
              <w:rPr>
                <w:rFonts w:ascii="Arial" w:hAnsi="Arial" w:cs="Arial"/>
                <w:sz w:val="18"/>
              </w:rPr>
            </w:pPr>
            <w:r w:rsidRPr="00EC31DE">
              <w:rPr>
                <w:rFonts w:ascii="Arial" w:hAnsi="Arial" w:cs="Arial"/>
                <w:sz w:val="18"/>
              </w:rPr>
              <w:t>.25</w:t>
            </w:r>
          </w:p>
        </w:tc>
        <w:tc>
          <w:tcPr>
            <w:tcW w:w="49.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73A5A2BD" w14:textId="77777777">
            <w:pPr>
              <w:spacing w:before="2pt" w:after="2pt"/>
              <w:ind w:start="-5.40pt" w:end="-5.40pt"/>
              <w:jc w:val="center"/>
              <w:rPr>
                <w:rFonts w:ascii="Arial" w:hAnsi="Arial" w:cs="Arial"/>
                <w:sz w:val="18"/>
              </w:rPr>
            </w:pPr>
            <w:r w:rsidRPr="00EC31DE">
              <w:rPr>
                <w:rFonts w:ascii="Arial" w:hAnsi="Arial" w:cs="Arial"/>
                <w:sz w:val="18"/>
              </w:rPr>
              <w:t>3,459.75</w:t>
            </w:r>
          </w:p>
        </w:tc>
        <w:tc>
          <w:tcPr>
            <w:tcW w:w="40.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34612359" w14:textId="77777777">
            <w:pPr>
              <w:spacing w:before="2pt" w:after="2pt"/>
              <w:ind w:start="-5.40pt" w:end="-5.40pt"/>
              <w:jc w:val="center"/>
              <w:rPr>
                <w:rFonts w:ascii="Arial" w:hAnsi="Arial" w:cs="Arial"/>
                <w:sz w:val="18"/>
              </w:rPr>
            </w:pPr>
            <w:r w:rsidRPr="00EC31DE">
              <w:rPr>
                <w:rFonts w:ascii="Arial" w:hAnsi="Arial" w:cs="Arial"/>
                <w:sz w:val="18"/>
              </w:rPr>
              <w:t>$30.90</w:t>
            </w:r>
          </w:p>
        </w:tc>
        <w:tc>
          <w:tcPr>
            <w:tcW w:w="51.9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0D95DC63" w14:textId="77777777">
            <w:pPr>
              <w:spacing w:before="2pt" w:after="2pt"/>
              <w:ind w:start="-5.40pt" w:end="-5.40pt"/>
              <w:jc w:val="center"/>
              <w:rPr>
                <w:rFonts w:ascii="Arial" w:hAnsi="Arial" w:cs="Arial"/>
                <w:sz w:val="18"/>
              </w:rPr>
            </w:pPr>
            <w:r w:rsidRPr="00EC31DE">
              <w:rPr>
                <w:rFonts w:ascii="Arial" w:hAnsi="Arial" w:cs="Arial"/>
                <w:sz w:val="18"/>
              </w:rPr>
              <w:t>$106,906.28</w:t>
            </w:r>
          </w:p>
        </w:tc>
      </w:tr>
      <w:tr w:rsidRPr="00EC31DE" w:rsidR="000C7718" w:rsidTr="007B386A" w14:paraId="2B3211FB" w14:textId="77777777">
        <w:trPr>
          <w:tblHeader/>
        </w:trPr>
        <w:tc>
          <w:tcPr>
            <w:tcW w:w="150.6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7A6AFA29" w14:textId="77777777">
            <w:pPr>
              <w:spacing w:before="2pt" w:after="2pt"/>
              <w:jc w:val="center"/>
              <w:rPr>
                <w:rFonts w:ascii="Arial" w:hAnsi="Arial" w:cs="Arial"/>
                <w:sz w:val="18"/>
              </w:rPr>
            </w:pPr>
            <w:r w:rsidRPr="00EC31DE">
              <w:rPr>
                <w:rFonts w:ascii="Arial" w:hAnsi="Arial" w:cs="Arial"/>
                <w:sz w:val="18"/>
              </w:rPr>
              <w:t>Review of DE Lender QC plans</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750C0242" w14:textId="77777777">
            <w:pPr>
              <w:spacing w:before="2pt" w:after="2pt"/>
              <w:ind w:start="-5.40pt" w:end="-5.40pt"/>
              <w:jc w:val="center"/>
              <w:rPr>
                <w:rFonts w:ascii="Arial" w:hAnsi="Arial" w:cs="Arial"/>
                <w:sz w:val="18"/>
              </w:rPr>
            </w:pPr>
            <w:r w:rsidRPr="00EC31DE">
              <w:rPr>
                <w:rFonts w:ascii="Arial" w:hAnsi="Arial" w:cs="Arial"/>
                <w:sz w:val="18"/>
              </w:rPr>
              <w:t>1,550</w:t>
            </w:r>
          </w:p>
        </w:tc>
        <w:tc>
          <w:tcPr>
            <w:tcW w:w="58.50pt" w:type="dxa"/>
            <w:tcBorders>
              <w:top w:val="single" w:color="auto" w:sz="4" w:space="0"/>
              <w:start w:val="single" w:color="auto" w:sz="4" w:space="0"/>
              <w:bottom w:val="single" w:color="auto" w:sz="4" w:space="0"/>
              <w:end w:val="single" w:color="auto" w:sz="4" w:space="0"/>
            </w:tcBorders>
            <w:hideMark/>
          </w:tcPr>
          <w:p w:rsidRPr="00EC31DE" w:rsidR="000C7718" w:rsidP="007B386A" w:rsidRDefault="000C7718" w14:paraId="68BF987B" w14:textId="77777777">
            <w:pPr>
              <w:spacing w:before="2pt" w:after="2pt"/>
              <w:jc w:val="center"/>
              <w:rPr>
                <w:rFonts w:ascii="Arial" w:hAnsi="Arial" w:cs="Arial"/>
                <w:sz w:val="18"/>
              </w:rPr>
            </w:pPr>
            <w:r w:rsidRPr="00EC31DE">
              <w:rPr>
                <w:rFonts w:ascii="Arial" w:hAnsi="Arial" w:cs="Arial"/>
                <w:sz w:val="18"/>
              </w:rPr>
              <w:t>1</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1949A64A" w14:textId="77777777">
            <w:pPr>
              <w:spacing w:before="2pt" w:after="2pt"/>
              <w:jc w:val="center"/>
              <w:rPr>
                <w:rFonts w:ascii="Arial" w:hAnsi="Arial" w:cs="Arial"/>
                <w:sz w:val="18"/>
              </w:rPr>
            </w:pPr>
            <w:r w:rsidRPr="00EC31DE">
              <w:rPr>
                <w:rFonts w:ascii="Arial" w:hAnsi="Arial" w:cs="Arial"/>
                <w:sz w:val="18"/>
              </w:rPr>
              <w:t>1,550</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397D252C" w14:textId="77777777">
            <w:pPr>
              <w:spacing w:before="2pt" w:after="2pt"/>
              <w:ind w:start="-5.40pt" w:end="-5.40pt"/>
              <w:jc w:val="center"/>
              <w:rPr>
                <w:rFonts w:ascii="Arial" w:hAnsi="Arial" w:cs="Arial"/>
                <w:sz w:val="18"/>
              </w:rPr>
            </w:pPr>
            <w:r w:rsidRPr="00EC31DE">
              <w:rPr>
                <w:rFonts w:ascii="Arial" w:hAnsi="Arial" w:cs="Arial"/>
                <w:sz w:val="18"/>
              </w:rPr>
              <w:t>.25</w:t>
            </w:r>
          </w:p>
        </w:tc>
        <w:tc>
          <w:tcPr>
            <w:tcW w:w="49.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1107DCFB" w14:textId="77777777">
            <w:pPr>
              <w:spacing w:before="2pt" w:after="2pt"/>
              <w:ind w:start="-5.40pt" w:end="-5.40pt"/>
              <w:jc w:val="center"/>
              <w:rPr>
                <w:rFonts w:ascii="Arial" w:hAnsi="Arial" w:cs="Arial"/>
                <w:sz w:val="18"/>
              </w:rPr>
            </w:pPr>
            <w:r w:rsidRPr="00EC31DE">
              <w:rPr>
                <w:rFonts w:ascii="Arial" w:hAnsi="Arial" w:cs="Arial"/>
                <w:sz w:val="18"/>
              </w:rPr>
              <w:t>387.50</w:t>
            </w:r>
          </w:p>
        </w:tc>
        <w:tc>
          <w:tcPr>
            <w:tcW w:w="40.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75B55469" w14:textId="77777777">
            <w:pPr>
              <w:spacing w:before="2pt" w:after="2pt"/>
              <w:ind w:start="-5.40pt" w:end="-5.40pt"/>
              <w:jc w:val="center"/>
              <w:rPr>
                <w:rFonts w:ascii="Arial" w:hAnsi="Arial" w:cs="Arial"/>
                <w:sz w:val="18"/>
              </w:rPr>
            </w:pPr>
            <w:r w:rsidRPr="00EC31DE">
              <w:rPr>
                <w:rFonts w:ascii="Arial" w:hAnsi="Arial" w:cs="Arial"/>
                <w:sz w:val="18"/>
              </w:rPr>
              <w:t>$30.90</w:t>
            </w:r>
          </w:p>
        </w:tc>
        <w:tc>
          <w:tcPr>
            <w:tcW w:w="51.9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48742812" w14:textId="77777777">
            <w:pPr>
              <w:spacing w:before="2pt" w:after="2pt"/>
              <w:ind w:start="-5.40pt" w:end="-5.40pt"/>
              <w:jc w:val="center"/>
              <w:rPr>
                <w:rFonts w:ascii="Arial" w:hAnsi="Arial" w:cs="Arial"/>
                <w:sz w:val="18"/>
              </w:rPr>
            </w:pPr>
            <w:r w:rsidRPr="00EC31DE">
              <w:rPr>
                <w:rFonts w:ascii="Arial" w:hAnsi="Arial" w:cs="Arial"/>
                <w:sz w:val="18"/>
              </w:rPr>
              <w:t>$11,973.75</w:t>
            </w:r>
          </w:p>
        </w:tc>
      </w:tr>
      <w:tr w:rsidRPr="00EC31DE" w:rsidR="000C7718" w:rsidTr="007B386A" w14:paraId="481D50D3" w14:textId="77777777">
        <w:trPr>
          <w:tblHeader/>
        </w:trPr>
        <w:tc>
          <w:tcPr>
            <w:tcW w:w="150.60pt" w:type="dxa"/>
            <w:tcBorders>
              <w:top w:val="single" w:color="auto" w:sz="4" w:space="0"/>
              <w:start w:val="single" w:color="auto" w:sz="4" w:space="0"/>
              <w:bottom w:val="single" w:color="auto" w:sz="4" w:space="0"/>
              <w:end w:val="single" w:color="auto" w:sz="4" w:space="0"/>
            </w:tcBorders>
            <w:vAlign w:val="center"/>
          </w:tcPr>
          <w:p w:rsidRPr="00EC31DE" w:rsidR="000C7718" w:rsidP="007B386A" w:rsidRDefault="000C7718" w14:paraId="3AE8A30D" w14:textId="77777777">
            <w:pPr>
              <w:spacing w:before="2pt" w:after="2pt"/>
              <w:jc w:val="center"/>
              <w:rPr>
                <w:rFonts w:ascii="Arial" w:hAnsi="Arial" w:cs="Arial"/>
                <w:sz w:val="18"/>
              </w:rPr>
            </w:pPr>
            <w:r w:rsidRPr="00EC31DE">
              <w:rPr>
                <w:rFonts w:ascii="Arial" w:hAnsi="Arial" w:cs="Arial"/>
                <w:sz w:val="18"/>
              </w:rPr>
              <w:t>Review of DE Lender Self-Reports</w:t>
            </w:r>
          </w:p>
        </w:tc>
        <w:tc>
          <w:tcPr>
            <w:tcW w:w="58.50pt" w:type="dxa"/>
            <w:tcBorders>
              <w:top w:val="single" w:color="auto" w:sz="4" w:space="0"/>
              <w:start w:val="single" w:color="auto" w:sz="4" w:space="0"/>
              <w:bottom w:val="single" w:color="auto" w:sz="4" w:space="0"/>
              <w:end w:val="single" w:color="auto" w:sz="4" w:space="0"/>
            </w:tcBorders>
            <w:vAlign w:val="center"/>
          </w:tcPr>
          <w:p w:rsidRPr="00EC31DE" w:rsidR="000C7718" w:rsidP="007B386A" w:rsidRDefault="000C7718" w14:paraId="09C3ED89" w14:textId="77777777">
            <w:pPr>
              <w:spacing w:before="2pt" w:after="2pt"/>
              <w:ind w:start="-5.40pt" w:end="-5.40pt"/>
              <w:jc w:val="center"/>
              <w:rPr>
                <w:rFonts w:ascii="Arial" w:hAnsi="Arial" w:cs="Arial"/>
                <w:sz w:val="18"/>
              </w:rPr>
            </w:pPr>
            <w:r w:rsidRPr="00EC31DE">
              <w:rPr>
                <w:rFonts w:ascii="Arial" w:hAnsi="Arial" w:cs="Arial"/>
                <w:sz w:val="18"/>
              </w:rPr>
              <w:t>276</w:t>
            </w:r>
          </w:p>
        </w:tc>
        <w:tc>
          <w:tcPr>
            <w:tcW w:w="58.50pt" w:type="dxa"/>
            <w:tcBorders>
              <w:top w:val="single" w:color="auto" w:sz="4" w:space="0"/>
              <w:start w:val="single" w:color="auto" w:sz="4" w:space="0"/>
              <w:bottom w:val="single" w:color="auto" w:sz="4" w:space="0"/>
              <w:end w:val="single" w:color="auto" w:sz="4" w:space="0"/>
            </w:tcBorders>
          </w:tcPr>
          <w:p w:rsidRPr="00EC31DE" w:rsidR="000C7718" w:rsidP="007B386A" w:rsidRDefault="000C7718" w14:paraId="3C7C6302" w14:textId="77777777">
            <w:pPr>
              <w:spacing w:before="2pt" w:after="2pt"/>
              <w:jc w:val="center"/>
              <w:rPr>
                <w:rFonts w:ascii="Arial" w:hAnsi="Arial" w:cs="Arial"/>
                <w:sz w:val="18"/>
              </w:rPr>
            </w:pPr>
            <w:r w:rsidRPr="00EC31DE">
              <w:rPr>
                <w:rFonts w:ascii="Arial" w:hAnsi="Arial" w:cs="Arial"/>
                <w:sz w:val="18"/>
              </w:rPr>
              <w:t>28</w:t>
            </w:r>
          </w:p>
        </w:tc>
        <w:tc>
          <w:tcPr>
            <w:tcW w:w="58.50pt" w:type="dxa"/>
            <w:tcBorders>
              <w:top w:val="single" w:color="auto" w:sz="4" w:space="0"/>
              <w:start w:val="single" w:color="auto" w:sz="4" w:space="0"/>
              <w:bottom w:val="single" w:color="auto" w:sz="4" w:space="0"/>
              <w:end w:val="single" w:color="auto" w:sz="4" w:space="0"/>
            </w:tcBorders>
            <w:vAlign w:val="center"/>
          </w:tcPr>
          <w:p w:rsidRPr="00EC31DE" w:rsidR="000C7718" w:rsidP="007B386A" w:rsidRDefault="000C7718" w14:paraId="0AEF0D16" w14:textId="77777777">
            <w:pPr>
              <w:spacing w:before="2pt" w:after="2pt"/>
              <w:jc w:val="center"/>
              <w:rPr>
                <w:rFonts w:ascii="Arial" w:hAnsi="Arial" w:cs="Arial"/>
                <w:sz w:val="18"/>
              </w:rPr>
            </w:pPr>
            <w:r w:rsidRPr="00EC31DE">
              <w:rPr>
                <w:rFonts w:ascii="Arial" w:hAnsi="Arial" w:cs="Arial"/>
                <w:sz w:val="18"/>
              </w:rPr>
              <w:t>7,728</w:t>
            </w:r>
          </w:p>
        </w:tc>
        <w:tc>
          <w:tcPr>
            <w:tcW w:w="45pt" w:type="dxa"/>
            <w:tcBorders>
              <w:top w:val="single" w:color="auto" w:sz="4" w:space="0"/>
              <w:start w:val="single" w:color="auto" w:sz="4" w:space="0"/>
              <w:bottom w:val="single" w:color="auto" w:sz="4" w:space="0"/>
              <w:end w:val="single" w:color="auto" w:sz="4" w:space="0"/>
            </w:tcBorders>
            <w:vAlign w:val="center"/>
          </w:tcPr>
          <w:p w:rsidRPr="00EC31DE" w:rsidR="000C7718" w:rsidP="007B386A" w:rsidRDefault="000C7718" w14:paraId="0FD5B1CD" w14:textId="77777777">
            <w:pPr>
              <w:spacing w:before="2pt" w:after="2pt"/>
              <w:ind w:start="-5.40pt" w:end="-5.40pt"/>
              <w:jc w:val="center"/>
              <w:rPr>
                <w:rFonts w:ascii="Arial" w:hAnsi="Arial" w:cs="Arial"/>
                <w:sz w:val="18"/>
              </w:rPr>
            </w:pPr>
            <w:r w:rsidRPr="00EC31DE">
              <w:rPr>
                <w:rFonts w:ascii="Arial" w:hAnsi="Arial" w:cs="Arial"/>
                <w:sz w:val="18"/>
              </w:rPr>
              <w:t>.25</w:t>
            </w:r>
          </w:p>
        </w:tc>
        <w:tc>
          <w:tcPr>
            <w:tcW w:w="49.50pt" w:type="dxa"/>
            <w:tcBorders>
              <w:top w:val="single" w:color="auto" w:sz="4" w:space="0"/>
              <w:start w:val="single" w:color="auto" w:sz="4" w:space="0"/>
              <w:bottom w:val="single" w:color="auto" w:sz="4" w:space="0"/>
              <w:end w:val="single" w:color="auto" w:sz="4" w:space="0"/>
            </w:tcBorders>
            <w:vAlign w:val="center"/>
          </w:tcPr>
          <w:p w:rsidRPr="00EC31DE" w:rsidR="000C7718" w:rsidP="007B386A" w:rsidRDefault="000C7718" w14:paraId="1412D0C7" w14:textId="77777777">
            <w:pPr>
              <w:spacing w:before="2pt" w:after="2pt"/>
              <w:ind w:start="-5.40pt" w:end="-5.40pt"/>
              <w:jc w:val="center"/>
              <w:rPr>
                <w:rFonts w:ascii="Arial" w:hAnsi="Arial" w:cs="Arial"/>
                <w:sz w:val="18"/>
              </w:rPr>
            </w:pPr>
            <w:r w:rsidRPr="00EC31DE">
              <w:rPr>
                <w:rFonts w:ascii="Arial" w:hAnsi="Arial" w:cs="Arial"/>
                <w:sz w:val="18"/>
              </w:rPr>
              <w:t>1,932</w:t>
            </w:r>
          </w:p>
        </w:tc>
        <w:tc>
          <w:tcPr>
            <w:tcW w:w="40.50pt" w:type="dxa"/>
            <w:tcBorders>
              <w:top w:val="single" w:color="auto" w:sz="4" w:space="0"/>
              <w:start w:val="single" w:color="auto" w:sz="4" w:space="0"/>
              <w:bottom w:val="single" w:color="auto" w:sz="4" w:space="0"/>
              <w:end w:val="single" w:color="auto" w:sz="4" w:space="0"/>
            </w:tcBorders>
            <w:vAlign w:val="center"/>
          </w:tcPr>
          <w:p w:rsidRPr="00EC31DE" w:rsidR="000C7718" w:rsidP="007B386A" w:rsidRDefault="000C7718" w14:paraId="30E02AD3" w14:textId="77777777">
            <w:pPr>
              <w:spacing w:before="2pt" w:after="2pt"/>
              <w:ind w:start="-5.40pt" w:end="-5.40pt"/>
              <w:jc w:val="center"/>
              <w:rPr>
                <w:rFonts w:ascii="Arial" w:hAnsi="Arial" w:cs="Arial"/>
                <w:sz w:val="18"/>
              </w:rPr>
            </w:pPr>
            <w:r w:rsidRPr="00EC31DE">
              <w:rPr>
                <w:rFonts w:ascii="Arial" w:hAnsi="Arial" w:cs="Arial"/>
                <w:sz w:val="18"/>
              </w:rPr>
              <w:t>$30.90</w:t>
            </w:r>
          </w:p>
        </w:tc>
        <w:tc>
          <w:tcPr>
            <w:tcW w:w="51.90pt" w:type="dxa"/>
            <w:tcBorders>
              <w:top w:val="single" w:color="auto" w:sz="4" w:space="0"/>
              <w:start w:val="single" w:color="auto" w:sz="4" w:space="0"/>
              <w:bottom w:val="single" w:color="auto" w:sz="4" w:space="0"/>
              <w:end w:val="single" w:color="auto" w:sz="4" w:space="0"/>
            </w:tcBorders>
            <w:vAlign w:val="center"/>
          </w:tcPr>
          <w:p w:rsidRPr="00EC31DE" w:rsidR="000C7718" w:rsidP="007B386A" w:rsidRDefault="000C7718" w14:paraId="22D7B3E6" w14:textId="77777777">
            <w:pPr>
              <w:spacing w:before="2pt" w:after="2pt"/>
              <w:ind w:start="-5.40pt" w:end="-5.40pt"/>
              <w:jc w:val="center"/>
              <w:rPr>
                <w:rFonts w:ascii="Arial" w:hAnsi="Arial" w:cs="Arial"/>
                <w:sz w:val="18"/>
              </w:rPr>
            </w:pPr>
            <w:r w:rsidRPr="00EC31DE">
              <w:rPr>
                <w:rFonts w:ascii="Arial" w:hAnsi="Arial" w:cs="Arial"/>
                <w:sz w:val="18"/>
              </w:rPr>
              <w:t>$59,698.80</w:t>
            </w:r>
          </w:p>
        </w:tc>
      </w:tr>
      <w:tr w:rsidRPr="00EC31DE" w:rsidR="000C7718" w:rsidTr="007B386A" w14:paraId="4D8F78B7" w14:textId="77777777">
        <w:trPr>
          <w:tblHeader/>
        </w:trPr>
        <w:tc>
          <w:tcPr>
            <w:tcW w:w="150.6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27B2996D" w14:textId="77777777">
            <w:pPr>
              <w:spacing w:before="2pt" w:after="2pt"/>
              <w:jc w:val="center"/>
              <w:rPr>
                <w:rFonts w:ascii="Arial" w:hAnsi="Arial" w:cs="Arial"/>
                <w:b/>
                <w:sz w:val="18"/>
              </w:rPr>
            </w:pPr>
            <w:r w:rsidRPr="00EC31DE">
              <w:rPr>
                <w:rFonts w:ascii="Arial" w:hAnsi="Arial" w:cs="Arial"/>
                <w:b/>
                <w:sz w:val="18"/>
              </w:rPr>
              <w:t>Total</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09B4BE39" w14:textId="77777777">
            <w:pPr>
              <w:spacing w:before="2pt" w:after="2pt"/>
              <w:ind w:start="-5.40pt" w:end="-5.40pt"/>
              <w:jc w:val="center"/>
              <w:rPr>
                <w:rFonts w:ascii="Arial" w:hAnsi="Arial" w:cs="Arial"/>
                <w:b/>
                <w:sz w:val="18"/>
              </w:rPr>
            </w:pPr>
            <w:r w:rsidRPr="00EC31DE">
              <w:rPr>
                <w:rFonts w:ascii="Arial" w:hAnsi="Arial" w:cs="Arial"/>
                <w:b/>
                <w:sz w:val="18"/>
              </w:rPr>
              <w:t>3,376</w:t>
            </w:r>
          </w:p>
        </w:tc>
        <w:tc>
          <w:tcPr>
            <w:tcW w:w="58.50pt" w:type="dxa"/>
            <w:tcBorders>
              <w:top w:val="single" w:color="auto" w:sz="4" w:space="0"/>
              <w:start w:val="single" w:color="auto" w:sz="4" w:space="0"/>
              <w:bottom w:val="single" w:color="auto" w:sz="4" w:space="0"/>
              <w:end w:val="single" w:color="auto" w:sz="4" w:space="0"/>
            </w:tcBorders>
            <w:hideMark/>
          </w:tcPr>
          <w:p w:rsidRPr="00EC31DE" w:rsidR="000C7718" w:rsidP="007B386A" w:rsidRDefault="000C7718" w14:paraId="75F23917" w14:textId="77777777">
            <w:pPr>
              <w:spacing w:before="2pt" w:after="2pt"/>
              <w:jc w:val="center"/>
              <w:rPr>
                <w:rFonts w:ascii="Arial" w:hAnsi="Arial" w:cs="Arial"/>
                <w:b/>
                <w:sz w:val="18"/>
              </w:rPr>
            </w:pPr>
            <w:r w:rsidRPr="00EC31DE">
              <w:rPr>
                <w:rFonts w:ascii="Arial" w:hAnsi="Arial" w:cs="Arial"/>
                <w:b/>
                <w:sz w:val="18"/>
              </w:rPr>
              <w:t>-</w:t>
            </w:r>
          </w:p>
        </w:tc>
        <w:tc>
          <w:tcPr>
            <w:tcW w:w="58.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688523E2" w14:textId="77777777">
            <w:pPr>
              <w:spacing w:before="2pt" w:after="2pt"/>
              <w:jc w:val="center"/>
              <w:rPr>
                <w:rFonts w:ascii="Arial" w:hAnsi="Arial" w:cs="Arial"/>
                <w:b/>
                <w:sz w:val="18"/>
              </w:rPr>
            </w:pPr>
            <w:r w:rsidRPr="00EC31DE">
              <w:rPr>
                <w:rFonts w:ascii="Arial" w:hAnsi="Arial" w:cs="Arial"/>
                <w:b/>
                <w:sz w:val="18"/>
              </w:rPr>
              <w:t>23,117</w:t>
            </w:r>
          </w:p>
        </w:tc>
        <w:tc>
          <w:tcPr>
            <w:tcW w:w="45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56BE911B" w14:textId="77777777">
            <w:pPr>
              <w:spacing w:before="2pt" w:after="2pt"/>
              <w:ind w:start="-5.40pt" w:end="-5.40pt"/>
              <w:jc w:val="center"/>
              <w:rPr>
                <w:rFonts w:ascii="Arial" w:hAnsi="Arial" w:cs="Arial"/>
                <w:b/>
                <w:sz w:val="18"/>
              </w:rPr>
            </w:pPr>
            <w:r w:rsidRPr="00EC31DE">
              <w:rPr>
                <w:rFonts w:ascii="Arial" w:hAnsi="Arial" w:cs="Arial"/>
                <w:b/>
                <w:sz w:val="18"/>
              </w:rPr>
              <w:t>-</w:t>
            </w:r>
          </w:p>
        </w:tc>
        <w:tc>
          <w:tcPr>
            <w:tcW w:w="49.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67D1AA3F" w14:textId="77777777">
            <w:pPr>
              <w:spacing w:before="2pt" w:after="2pt"/>
              <w:ind w:start="-5.40pt" w:end="-5.40pt"/>
              <w:jc w:val="center"/>
              <w:rPr>
                <w:rFonts w:ascii="Arial" w:hAnsi="Arial" w:cs="Arial"/>
                <w:b/>
                <w:sz w:val="18"/>
              </w:rPr>
            </w:pPr>
            <w:r w:rsidRPr="00EC31DE">
              <w:rPr>
                <w:rFonts w:ascii="Arial" w:hAnsi="Arial" w:cs="Arial"/>
                <w:b/>
                <w:sz w:val="18"/>
              </w:rPr>
              <w:t>5,779.25</w:t>
            </w:r>
          </w:p>
        </w:tc>
        <w:tc>
          <w:tcPr>
            <w:tcW w:w="40.5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717D333C" w14:textId="77777777">
            <w:pPr>
              <w:spacing w:before="2pt" w:after="2pt"/>
              <w:ind w:start="-5.40pt" w:end="-5.40pt"/>
              <w:jc w:val="center"/>
              <w:rPr>
                <w:rFonts w:ascii="Arial" w:hAnsi="Arial" w:cs="Arial"/>
                <w:b/>
                <w:sz w:val="18"/>
              </w:rPr>
            </w:pPr>
            <w:r w:rsidRPr="00EC31DE">
              <w:rPr>
                <w:rFonts w:ascii="Arial" w:hAnsi="Arial" w:cs="Arial"/>
                <w:b/>
                <w:sz w:val="18"/>
              </w:rPr>
              <w:t>$30.90</w:t>
            </w:r>
          </w:p>
        </w:tc>
        <w:tc>
          <w:tcPr>
            <w:tcW w:w="51.90pt" w:type="dxa"/>
            <w:tcBorders>
              <w:top w:val="single" w:color="auto" w:sz="4" w:space="0"/>
              <w:start w:val="single" w:color="auto" w:sz="4" w:space="0"/>
              <w:bottom w:val="single" w:color="auto" w:sz="4" w:space="0"/>
              <w:end w:val="single" w:color="auto" w:sz="4" w:space="0"/>
            </w:tcBorders>
            <w:vAlign w:val="center"/>
            <w:hideMark/>
          </w:tcPr>
          <w:p w:rsidRPr="00EC31DE" w:rsidR="000C7718" w:rsidP="007B386A" w:rsidRDefault="000C7718" w14:paraId="6B238AC4" w14:textId="77777777">
            <w:pPr>
              <w:spacing w:before="2pt" w:after="2pt"/>
              <w:ind w:start="-5.40pt" w:end="-5.40pt"/>
              <w:jc w:val="center"/>
              <w:rPr>
                <w:rFonts w:ascii="Arial" w:hAnsi="Arial" w:cs="Arial"/>
                <w:b/>
                <w:sz w:val="18"/>
              </w:rPr>
            </w:pPr>
            <w:r w:rsidRPr="00EC31DE">
              <w:rPr>
                <w:rFonts w:ascii="Arial" w:hAnsi="Arial" w:cs="Arial"/>
                <w:b/>
                <w:sz w:val="18"/>
              </w:rPr>
              <w:t>$178,578.83</w:t>
            </w:r>
          </w:p>
        </w:tc>
      </w:tr>
    </w:tbl>
    <w:p w:rsidRPr="00EC31DE" w:rsidR="000C7718" w:rsidP="000C7718" w:rsidRDefault="000C7718" w14:paraId="1416D388" w14:textId="77777777">
      <w:pPr>
        <w:pStyle w:val="BodyTextIndent3"/>
        <w:tabs>
          <w:tab w:val="clear" w:pos="18pt"/>
        </w:tabs>
        <w:spacing w:before="6pt"/>
        <w:ind w:start="54pt" w:hanging="18pt"/>
        <w:rPr>
          <w:noProof w:val="0"/>
          <w:sz w:val="24"/>
        </w:rPr>
      </w:pPr>
      <w:r w:rsidRPr="00EC31DE">
        <w:rPr>
          <w:noProof w:val="0"/>
          <w:sz w:val="24"/>
          <w:vertAlign w:val="superscript"/>
        </w:rPr>
        <w:t>1</w:t>
      </w:r>
      <w:r w:rsidRPr="00EC31DE">
        <w:rPr>
          <w:noProof w:val="0"/>
          <w:sz w:val="24"/>
        </w:rPr>
        <w:t xml:space="preserve"> </w:t>
      </w:r>
      <w:r>
        <w:rPr>
          <w:noProof w:val="0"/>
          <w:sz w:val="24"/>
        </w:rPr>
        <w:t>See explanation in item 12.</w:t>
      </w:r>
    </w:p>
    <w:p w:rsidRPr="00EC31DE" w:rsidR="000C7718" w:rsidP="000C7718" w:rsidRDefault="000C7718" w14:paraId="4ABDD415" w14:textId="77777777">
      <w:pPr>
        <w:pStyle w:val="BodyTextIndent3"/>
        <w:tabs>
          <w:tab w:val="clear" w:pos="18pt"/>
        </w:tabs>
        <w:spacing w:before="6pt"/>
        <w:ind w:start="54pt" w:hanging="18pt"/>
        <w:rPr>
          <w:noProof w:val="0"/>
          <w:sz w:val="24"/>
        </w:rPr>
      </w:pPr>
      <w:r w:rsidRPr="00EC31DE">
        <w:rPr>
          <w:noProof w:val="0"/>
          <w:sz w:val="24"/>
          <w:vertAlign w:val="superscript"/>
        </w:rPr>
        <w:t>2</w:t>
      </w:r>
      <w:r w:rsidRPr="00EC31DE">
        <w:rPr>
          <w:noProof w:val="0"/>
          <w:sz w:val="24"/>
        </w:rPr>
        <w:t xml:space="preserve"> </w:t>
      </w:r>
      <w:r>
        <w:rPr>
          <w:noProof w:val="0"/>
          <w:sz w:val="24"/>
        </w:rPr>
        <w:t>See explanation in item 12</w:t>
      </w:r>
      <w:r w:rsidRPr="00EC31DE">
        <w:rPr>
          <w:noProof w:val="0"/>
          <w:sz w:val="24"/>
        </w:rPr>
        <w:t xml:space="preserve">. </w:t>
      </w:r>
    </w:p>
    <w:p w:rsidRPr="00EC31DE" w:rsidR="000C7718" w:rsidP="000C7718" w:rsidRDefault="000C7718" w14:paraId="6F7E1500" w14:textId="77777777">
      <w:pPr>
        <w:pStyle w:val="BodyTextIndent3"/>
        <w:tabs>
          <w:tab w:val="clear" w:pos="18pt"/>
        </w:tabs>
        <w:spacing w:before="6pt"/>
        <w:ind w:start="54pt" w:hanging="18pt"/>
        <w:rPr>
          <w:noProof w:val="0"/>
          <w:sz w:val="24"/>
        </w:rPr>
      </w:pPr>
      <w:r w:rsidRPr="00EC31DE">
        <w:rPr>
          <w:noProof w:val="0"/>
          <w:sz w:val="24"/>
          <w:vertAlign w:val="superscript"/>
        </w:rPr>
        <w:t>3</w:t>
      </w:r>
      <w:r w:rsidRPr="00EC31DE">
        <w:rPr>
          <w:noProof w:val="0"/>
          <w:sz w:val="24"/>
        </w:rPr>
        <w:t xml:space="preserve"> </w:t>
      </w:r>
      <w:r>
        <w:rPr>
          <w:noProof w:val="0"/>
          <w:sz w:val="24"/>
        </w:rPr>
        <w:t>See explanation in item 12</w:t>
      </w:r>
      <w:r w:rsidRPr="00EC31DE">
        <w:rPr>
          <w:noProof w:val="0"/>
          <w:sz w:val="24"/>
        </w:rPr>
        <w:t xml:space="preserve">. </w:t>
      </w:r>
    </w:p>
    <w:p w:rsidRPr="00EC31DE" w:rsidR="000C7718" w:rsidP="000C7718" w:rsidRDefault="000C7718" w14:paraId="52F88601" w14:textId="77777777">
      <w:pPr>
        <w:pStyle w:val="BodyTextIndent3"/>
        <w:tabs>
          <w:tab w:val="clear" w:pos="18pt"/>
        </w:tabs>
        <w:spacing w:before="6pt"/>
        <w:ind w:start="54pt" w:hanging="18pt"/>
        <w:rPr>
          <w:noProof w:val="0"/>
          <w:sz w:val="24"/>
        </w:rPr>
      </w:pPr>
      <w:r w:rsidRPr="00EC31DE">
        <w:rPr>
          <w:noProof w:val="0"/>
          <w:sz w:val="24"/>
          <w:vertAlign w:val="superscript"/>
        </w:rPr>
        <w:t xml:space="preserve">4 </w:t>
      </w:r>
      <w:r w:rsidRPr="00EC31DE">
        <w:rPr>
          <w:sz w:val="24"/>
        </w:rPr>
        <w:t>The burden hour per response is based on the estimated time required for a Quality Assurance Division Housing Program Specialist to review a DE lender QC plan and its provisions for quality control review of EPDs in order to evaluate compliance with HUD’s third party originator oversight requirements.</w:t>
      </w:r>
    </w:p>
    <w:p w:rsidRPr="0076017E" w:rsidR="000C7718" w:rsidP="000C7718" w:rsidRDefault="000C7718" w14:paraId="2339A883" w14:textId="77777777">
      <w:pPr>
        <w:pStyle w:val="BodyTextIndent3"/>
        <w:tabs>
          <w:tab w:val="clear" w:pos="18pt"/>
        </w:tabs>
        <w:spacing w:before="6pt"/>
        <w:ind w:start="54pt" w:hanging="18pt"/>
        <w:rPr>
          <w:noProof w:val="0"/>
          <w:sz w:val="24"/>
          <w:szCs w:val="24"/>
        </w:rPr>
      </w:pPr>
      <w:r w:rsidRPr="00EC31DE">
        <w:rPr>
          <w:noProof w:val="0"/>
          <w:sz w:val="24"/>
          <w:vertAlign w:val="superscript"/>
        </w:rPr>
        <w:t>5</w:t>
      </w:r>
      <w:r w:rsidRPr="00EC31DE">
        <w:rPr>
          <w:noProof w:val="0"/>
          <w:sz w:val="24"/>
        </w:rPr>
        <w:t xml:space="preserve"> </w:t>
      </w:r>
      <w:r w:rsidRPr="0076017E">
        <w:rPr>
          <w:noProof w:val="0"/>
          <w:sz w:val="24"/>
          <w:szCs w:val="24"/>
        </w:rPr>
        <w:t xml:space="preserve">The estimated hourly cost per response is based on the 2019 hourly rate for a GS-12, Step 1 employee on the non-locality pay scale.  Data was obtained from </w:t>
      </w:r>
      <w:r w:rsidRPr="0076017E">
        <w:rPr>
          <w:rStyle w:val="Hyperlink"/>
          <w:sz w:val="24"/>
          <w:szCs w:val="24"/>
        </w:rPr>
        <w:t>www.opm.gov.</w:t>
      </w:r>
      <w:r w:rsidRPr="0076017E">
        <w:rPr>
          <w:noProof w:val="0"/>
          <w:sz w:val="24"/>
          <w:szCs w:val="24"/>
        </w:rPr>
        <w:t xml:space="preserve">  </w:t>
      </w:r>
    </w:p>
    <w:p w:rsidR="000C7718" w:rsidP="00075224" w:rsidRDefault="00075224" w14:paraId="76025C63" w14:textId="77777777">
      <w:pPr>
        <w:rPr>
          <w:rFonts w:ascii="Times New Roman" w:hAnsi="Times New Roman"/>
          <w:sz w:val="24"/>
          <w:szCs w:val="24"/>
        </w:rPr>
      </w:pPr>
      <w:r w:rsidRPr="00575D07">
        <w:rPr>
          <w:rFonts w:ascii="Times New Roman" w:hAnsi="Times New Roman"/>
          <w:sz w:val="24"/>
          <w:szCs w:val="24"/>
        </w:rPr>
        <w:t xml:space="preserve"> </w:t>
      </w:r>
    </w:p>
    <w:p w:rsidR="00075224" w:rsidP="00075224" w:rsidRDefault="00075224" w14:paraId="539F4803" w14:textId="77777777">
      <w:pPr>
        <w:rPr>
          <w:rFonts w:ascii="Times New Roman" w:hAnsi="Times New Roman"/>
          <w:sz w:val="24"/>
          <w:szCs w:val="24"/>
        </w:rPr>
      </w:pPr>
      <w:r w:rsidRPr="00575D07">
        <w:rPr>
          <w:rFonts w:ascii="Times New Roman" w:hAnsi="Times New Roman"/>
          <w:sz w:val="24"/>
          <w:szCs w:val="24"/>
        </w:rPr>
        <w:t xml:space="preserve">15. Explain the reasons for any program changes or adjustments reported in Items 13 or 14 of the OMB Form 83-I. </w:t>
      </w:r>
    </w:p>
    <w:p w:rsidRPr="00575D07" w:rsidR="000C7718" w:rsidP="00075224" w:rsidRDefault="000C7718" w14:paraId="209A7348" w14:textId="77777777">
      <w:pPr>
        <w:rPr>
          <w:rFonts w:ascii="Times New Roman" w:hAnsi="Times New Roman"/>
          <w:sz w:val="24"/>
          <w:szCs w:val="24"/>
        </w:rPr>
      </w:pPr>
      <w:r w:rsidRPr="0076017E">
        <w:rPr>
          <w:rFonts w:ascii="Times New Roman" w:hAnsi="Times New Roman"/>
          <w:sz w:val="24"/>
        </w:rPr>
        <w:t>This is a</w:t>
      </w:r>
      <w:r w:rsidR="00D5641A">
        <w:rPr>
          <w:rFonts w:ascii="Times New Roman" w:hAnsi="Times New Roman"/>
          <w:sz w:val="24"/>
        </w:rPr>
        <w:t xml:space="preserve"> revision</w:t>
      </w:r>
      <w:r w:rsidRPr="0076017E">
        <w:rPr>
          <w:rFonts w:ascii="Times New Roman" w:hAnsi="Times New Roman"/>
          <w:sz w:val="24"/>
        </w:rPr>
        <w:t xml:space="preserve"> of an existing submission to cover information collection required to meet the Department’s regulatory and programmatic requirements for quality control of DE lenders and oversight of TPOs.  FHA has revised its estimates from the previous submission with real data collected from the SFHEDW and the LRS, which was implemented in May 2017 as the primary compliance review workload management system for the Office of Lender Activities and Program Compliance.  LRS is the primary system of record on the number of lender self</w:t>
      </w:r>
      <w:r>
        <w:rPr>
          <w:rFonts w:ascii="Times New Roman" w:hAnsi="Times New Roman"/>
          <w:sz w:val="24"/>
        </w:rPr>
        <w:t>-</w:t>
      </w:r>
      <w:r w:rsidRPr="0076017E">
        <w:rPr>
          <w:rFonts w:ascii="Times New Roman" w:hAnsi="Times New Roman"/>
          <w:sz w:val="24"/>
        </w:rPr>
        <w:t>reports submitted to HUD.  This new data has been used to revise the information collection burden associated with OMB Control Number 2502-0600.</w:t>
      </w:r>
    </w:p>
    <w:p w:rsidR="00075224" w:rsidP="00075224" w:rsidRDefault="00075224" w14:paraId="604562FA" w14:textId="77777777">
      <w:pPr>
        <w:rPr>
          <w:rFonts w:ascii="Times New Roman" w:hAnsi="Times New Roman"/>
          <w:sz w:val="24"/>
          <w:szCs w:val="24"/>
        </w:rPr>
      </w:pPr>
      <w:r w:rsidRPr="00575D07">
        <w:rPr>
          <w:rFonts w:ascii="Times New Roman" w:hAnsi="Times New Roman"/>
          <w:sz w:val="24"/>
          <w:szCs w:val="24"/>
        </w:rPr>
        <w:lastRenderedPageBreak/>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75D07" w:rsidR="000C7718" w:rsidP="00075224" w:rsidRDefault="000C7718" w14:paraId="60F2F825" w14:textId="77777777">
      <w:pPr>
        <w:rPr>
          <w:rFonts w:ascii="Times New Roman" w:hAnsi="Times New Roman"/>
          <w:sz w:val="24"/>
          <w:szCs w:val="24"/>
        </w:rPr>
      </w:pPr>
      <w:r w:rsidRPr="0076017E">
        <w:rPr>
          <w:rFonts w:ascii="Times New Roman" w:hAnsi="Times New Roman"/>
          <w:sz w:val="24"/>
        </w:rPr>
        <w:t>This information collection does not include results that will be published.</w:t>
      </w:r>
    </w:p>
    <w:p w:rsidR="003D2405" w:rsidP="00075224" w:rsidRDefault="00075224" w14:paraId="64268FC9" w14:textId="77777777">
      <w:pPr>
        <w:rPr>
          <w:rFonts w:ascii="Times New Roman" w:hAnsi="Times New Roman"/>
          <w:sz w:val="24"/>
          <w:szCs w:val="24"/>
        </w:rPr>
      </w:pPr>
      <w:r w:rsidRPr="00575D07">
        <w:rPr>
          <w:rFonts w:ascii="Times New Roman" w:hAnsi="Times New Roman"/>
          <w:sz w:val="24"/>
          <w:szCs w:val="24"/>
        </w:rPr>
        <w:t>17. If seeking approval to not display the expiration date for OMB approval of the information collection, explain the reasons that display would be inappropriate.</w:t>
      </w:r>
    </w:p>
    <w:p w:rsidRPr="00575D07" w:rsidR="00075224" w:rsidP="00075224" w:rsidRDefault="003D2405" w14:paraId="366704E3" w14:textId="77777777">
      <w:pPr>
        <w:rPr>
          <w:rFonts w:ascii="Times New Roman" w:hAnsi="Times New Roman"/>
          <w:sz w:val="24"/>
          <w:szCs w:val="24"/>
        </w:rPr>
      </w:pPr>
      <w:r w:rsidRPr="0076017E">
        <w:rPr>
          <w:rFonts w:ascii="Times New Roman" w:hAnsi="Times New Roman"/>
          <w:sz w:val="24"/>
        </w:rPr>
        <w:t>HUD is not seeking approval to avoid displaying the OMB expiration date.</w:t>
      </w:r>
      <w:r w:rsidRPr="00575D07" w:rsidR="00075224">
        <w:rPr>
          <w:rFonts w:ascii="Times New Roman" w:hAnsi="Times New Roman"/>
          <w:sz w:val="24"/>
          <w:szCs w:val="24"/>
        </w:rPr>
        <w:t xml:space="preserve"> </w:t>
      </w:r>
    </w:p>
    <w:p w:rsidRPr="00575D07" w:rsidR="00075224" w:rsidP="00075224" w:rsidRDefault="00075224" w14:paraId="29333D67" w14:textId="77777777">
      <w:pPr>
        <w:rPr>
          <w:rFonts w:ascii="Times New Roman" w:hAnsi="Times New Roman"/>
          <w:sz w:val="24"/>
          <w:szCs w:val="24"/>
        </w:rPr>
      </w:pPr>
      <w:r w:rsidRPr="00575D07">
        <w:rPr>
          <w:rFonts w:ascii="Times New Roman" w:hAnsi="Times New Roman"/>
          <w:sz w:val="24"/>
          <w:szCs w:val="24"/>
        </w:rPr>
        <w:t xml:space="preserve">18. Explain each exception to the certification statement identified in Item 19, "Certification for Paperwork Reduction Act Submissions," of OMB Form 83-I. </w:t>
      </w:r>
    </w:p>
    <w:p w:rsidRPr="0076017E" w:rsidR="003D2405" w:rsidP="003D2405" w:rsidRDefault="003D2405" w14:paraId="2DC75017" w14:textId="77777777">
      <w:pPr>
        <w:tabs>
          <w:tab w:val="left" w:pos="36pt"/>
          <w:tab w:val="left" w:pos="72pt"/>
          <w:tab w:val="left" w:pos="108pt"/>
          <w:tab w:val="left" w:pos="144pt"/>
          <w:tab w:val="left" w:pos="180pt"/>
          <w:tab w:val="left" w:pos="216pt"/>
          <w:tab w:val="left" w:pos="252pt"/>
          <w:tab w:val="left" w:pos="288pt"/>
          <w:tab w:val="left" w:pos="324pt"/>
          <w:tab w:val="left" w:pos="360pt"/>
          <w:tab w:val="left" w:pos="396pt"/>
          <w:tab w:val="left" w:pos="432pt"/>
          <w:tab w:val="left" w:pos="468pt"/>
          <w:tab w:val="left" w:pos="504pt"/>
          <w:tab w:val="left" w:pos="540pt"/>
          <w:tab w:val="left" w:pos="576pt"/>
          <w:tab w:val="left" w:pos="612pt"/>
          <w:tab w:val="left" w:pos="648pt"/>
          <w:tab w:val="left" w:pos="684pt"/>
          <w:tab w:val="left" w:pos="720pt"/>
        </w:tabs>
        <w:overflowPunct w:val="0"/>
        <w:autoSpaceDE w:val="0"/>
        <w:autoSpaceDN w:val="0"/>
        <w:adjustRightInd w:val="0"/>
        <w:spacing w:after="0pt" w:line="12pt" w:lineRule="auto"/>
        <w:rPr>
          <w:rFonts w:ascii="Times New Roman" w:hAnsi="Times New Roman"/>
          <w:sz w:val="24"/>
        </w:rPr>
      </w:pPr>
      <w:r w:rsidRPr="0076017E">
        <w:rPr>
          <w:rFonts w:ascii="Times New Roman" w:hAnsi="Times New Roman"/>
          <w:sz w:val="24"/>
        </w:rPr>
        <w:t>There are no exceptions to the certification statement identified in item 19 of the OMB 83-I.</w:t>
      </w:r>
    </w:p>
    <w:p w:rsidRPr="00575D07" w:rsidR="00075224" w:rsidP="00075224" w:rsidRDefault="00075224" w14:paraId="52585A9F" w14:textId="77777777">
      <w:pPr>
        <w:rPr>
          <w:rFonts w:ascii="Times New Roman" w:hAnsi="Times New Roman"/>
          <w:sz w:val="24"/>
          <w:szCs w:val="24"/>
        </w:rPr>
      </w:pPr>
    </w:p>
    <w:p w:rsidRPr="00575D07" w:rsidR="00075224" w:rsidP="00075224" w:rsidRDefault="00075224" w14:paraId="22995E8E" w14:textId="77777777">
      <w:pPr>
        <w:rPr>
          <w:rFonts w:ascii="Times New Roman" w:hAnsi="Times New Roman"/>
          <w:sz w:val="24"/>
          <w:szCs w:val="24"/>
        </w:rPr>
      </w:pPr>
      <w:r w:rsidRPr="00575D07">
        <w:rPr>
          <w:rFonts w:ascii="Times New Roman" w:hAnsi="Times New Roman"/>
          <w:b/>
          <w:bCs/>
          <w:sz w:val="24"/>
          <w:szCs w:val="24"/>
        </w:rPr>
        <w:t xml:space="preserve">B. Collections of Information Employing Statistical Methods </w:t>
      </w:r>
    </w:p>
    <w:p w:rsidRPr="00575D07" w:rsidR="00075224" w:rsidP="00075224" w:rsidRDefault="00075224" w14:paraId="70CD2A6D" w14:textId="77777777">
      <w:pPr>
        <w:rPr>
          <w:rFonts w:ascii="Times New Roman" w:hAnsi="Times New Roman"/>
          <w:sz w:val="24"/>
          <w:szCs w:val="24"/>
        </w:rPr>
      </w:pPr>
      <w:r w:rsidRPr="00575D07">
        <w:rPr>
          <w:rFonts w:ascii="Times New Roman" w:hAnsi="Times New Roman"/>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075224" w:rsidP="00075224" w:rsidRDefault="00075224" w14:paraId="09E18452" w14:textId="77777777">
      <w:pPr>
        <w:rPr>
          <w:rFonts w:ascii="Times New Roman" w:hAnsi="Times New Roman"/>
          <w:sz w:val="24"/>
          <w:szCs w:val="24"/>
        </w:rPr>
      </w:pPr>
      <w:r w:rsidRPr="00575D07">
        <w:rPr>
          <w:rFonts w:ascii="Times New Roman" w:hAnsi="Times New Roman"/>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75D07">
        <w:rPr>
          <w:rFonts w:ascii="Times New Roman" w:hAnsi="Times New Roman"/>
          <w:sz w:val="24"/>
          <w:szCs w:val="24"/>
        </w:rPr>
        <w:t>collection as a whole</w:t>
      </w:r>
      <w:proofErr w:type="gramEnd"/>
      <w:r w:rsidRPr="00575D07">
        <w:rPr>
          <w:rFonts w:ascii="Times New Roman" w:hAnsi="Times New Roman"/>
          <w:sz w:val="24"/>
          <w:szCs w:val="24"/>
        </w:rPr>
        <w:t xml:space="preserve">. If the collection had been conducted previously, include the actual response rate achieved during the last collection. </w:t>
      </w:r>
    </w:p>
    <w:p w:rsidRPr="00EC31DE" w:rsidR="003D2405" w:rsidP="003D2405" w:rsidRDefault="003D2405" w14:paraId="2B9E06D9" w14:textId="77777777">
      <w:pPr>
        <w:keepLines/>
        <w:tabs>
          <w:tab w:val="left" w:pos="18pt"/>
          <w:tab w:val="left" w:pos="36pt"/>
        </w:tabs>
        <w:rPr>
          <w:rFonts w:ascii="Times New Roman" w:hAnsi="Times New Roman"/>
          <w:sz w:val="24"/>
        </w:rPr>
      </w:pPr>
      <w:r w:rsidRPr="00EC31DE">
        <w:rPr>
          <w:rFonts w:ascii="Times New Roman" w:hAnsi="Times New Roman"/>
          <w:sz w:val="24"/>
        </w:rPr>
        <w:t>This information collection does not employ statistical methods.</w:t>
      </w:r>
    </w:p>
    <w:p w:rsidRPr="00575D07" w:rsidR="003D2405" w:rsidP="00075224" w:rsidRDefault="003D2405" w14:paraId="68796A21" w14:textId="77777777">
      <w:pPr>
        <w:rPr>
          <w:rFonts w:ascii="Times New Roman" w:hAnsi="Times New Roman"/>
          <w:sz w:val="24"/>
          <w:szCs w:val="24"/>
        </w:rPr>
      </w:pPr>
    </w:p>
    <w:p w:rsidRPr="00575D07" w:rsidR="00075224" w:rsidP="00075224" w:rsidRDefault="00075224" w14:paraId="14E94FC7" w14:textId="77777777">
      <w:pPr>
        <w:rPr>
          <w:rFonts w:ascii="Times New Roman" w:hAnsi="Times New Roman"/>
          <w:sz w:val="24"/>
          <w:szCs w:val="24"/>
        </w:rPr>
      </w:pPr>
      <w:r w:rsidRPr="00575D07">
        <w:rPr>
          <w:rFonts w:ascii="Times New Roman" w:hAnsi="Times New Roman"/>
          <w:sz w:val="24"/>
          <w:szCs w:val="24"/>
        </w:rPr>
        <w:t xml:space="preserve">2. Describe the procedures for the collection of information including: </w:t>
      </w:r>
    </w:p>
    <w:p w:rsidRPr="00575D07" w:rsidR="00075224" w:rsidP="00075224" w:rsidRDefault="00075224" w14:paraId="55A64C53" w14:textId="77777777">
      <w:pPr>
        <w:rPr>
          <w:rFonts w:ascii="Times New Roman" w:hAnsi="Times New Roman"/>
          <w:sz w:val="24"/>
          <w:szCs w:val="24"/>
        </w:rPr>
      </w:pPr>
      <w:r w:rsidRPr="00575D07">
        <w:rPr>
          <w:rFonts w:ascii="Times New Roman" w:hAnsi="Times New Roman"/>
          <w:sz w:val="24"/>
          <w:szCs w:val="24"/>
        </w:rPr>
        <w:t xml:space="preserve">* Statistical methodology for stratification and sample selection, </w:t>
      </w:r>
    </w:p>
    <w:p w:rsidRPr="00575D07" w:rsidR="00075224" w:rsidP="00075224" w:rsidRDefault="00075224" w14:paraId="67CAED7B" w14:textId="77777777">
      <w:pPr>
        <w:rPr>
          <w:rFonts w:ascii="Times New Roman" w:hAnsi="Times New Roman"/>
          <w:sz w:val="24"/>
          <w:szCs w:val="24"/>
        </w:rPr>
      </w:pPr>
      <w:r w:rsidRPr="00575D07">
        <w:rPr>
          <w:rFonts w:ascii="Times New Roman" w:hAnsi="Times New Roman"/>
          <w:sz w:val="24"/>
          <w:szCs w:val="24"/>
        </w:rPr>
        <w:t xml:space="preserve">* Estimation procedure, </w:t>
      </w:r>
    </w:p>
    <w:p w:rsidRPr="00575D07" w:rsidR="00075224" w:rsidP="00075224" w:rsidRDefault="00075224" w14:paraId="6F058603" w14:textId="77777777">
      <w:pPr>
        <w:rPr>
          <w:rFonts w:ascii="Times New Roman" w:hAnsi="Times New Roman"/>
          <w:sz w:val="24"/>
          <w:szCs w:val="24"/>
        </w:rPr>
      </w:pPr>
      <w:r w:rsidRPr="00575D07">
        <w:rPr>
          <w:rFonts w:ascii="Times New Roman" w:hAnsi="Times New Roman"/>
          <w:sz w:val="24"/>
          <w:szCs w:val="24"/>
        </w:rPr>
        <w:t xml:space="preserve">* Degree of accuracy needed for the purpose described in the justification, </w:t>
      </w:r>
    </w:p>
    <w:p w:rsidRPr="00575D07" w:rsidR="00075224" w:rsidP="00075224" w:rsidRDefault="00075224" w14:paraId="41F3045F" w14:textId="77777777">
      <w:pPr>
        <w:rPr>
          <w:rFonts w:ascii="Times New Roman" w:hAnsi="Times New Roman"/>
          <w:sz w:val="24"/>
          <w:szCs w:val="24"/>
        </w:rPr>
      </w:pPr>
      <w:r w:rsidRPr="00575D07">
        <w:rPr>
          <w:rFonts w:ascii="Times New Roman" w:hAnsi="Times New Roman"/>
          <w:sz w:val="24"/>
          <w:szCs w:val="24"/>
        </w:rPr>
        <w:t xml:space="preserve">* Unusual problems requiring specialized sampling procedures, and </w:t>
      </w:r>
    </w:p>
    <w:p w:rsidRPr="00575D07" w:rsidR="00075224" w:rsidP="00075224" w:rsidRDefault="00075224" w14:paraId="22FB7DEA" w14:textId="77777777">
      <w:pPr>
        <w:rPr>
          <w:rFonts w:ascii="Times New Roman" w:hAnsi="Times New Roman"/>
          <w:sz w:val="24"/>
          <w:szCs w:val="24"/>
        </w:rPr>
      </w:pPr>
      <w:r w:rsidRPr="00575D07">
        <w:rPr>
          <w:rFonts w:ascii="Times New Roman" w:hAnsi="Times New Roman"/>
          <w:sz w:val="24"/>
          <w:szCs w:val="24"/>
        </w:rPr>
        <w:t xml:space="preserve">* Any use of periodic (less frequent than annual) data collection cycles to reduce burden. </w:t>
      </w:r>
    </w:p>
    <w:p w:rsidR="003D2405" w:rsidP="00075224" w:rsidRDefault="003D2405" w14:paraId="251A45D6" w14:textId="77777777">
      <w:pPr>
        <w:rPr>
          <w:rFonts w:ascii="Times New Roman" w:hAnsi="Times New Roman"/>
          <w:sz w:val="24"/>
          <w:szCs w:val="24"/>
        </w:rPr>
      </w:pPr>
      <w:r>
        <w:rPr>
          <w:rFonts w:ascii="Times New Roman" w:hAnsi="Times New Roman"/>
          <w:sz w:val="24"/>
          <w:szCs w:val="24"/>
        </w:rPr>
        <w:lastRenderedPageBreak/>
        <w:t>There are no procedures for the collection of information that utilize a statistical methodology</w:t>
      </w:r>
      <w:r w:rsidR="00DE1E86">
        <w:rPr>
          <w:rFonts w:ascii="Times New Roman" w:hAnsi="Times New Roman"/>
          <w:sz w:val="24"/>
          <w:szCs w:val="24"/>
        </w:rPr>
        <w:t>.</w:t>
      </w:r>
    </w:p>
    <w:p w:rsidR="00576D55" w:rsidP="00075224" w:rsidRDefault="00075224" w14:paraId="7BF5F5AF" w14:textId="77777777">
      <w:pPr>
        <w:rPr>
          <w:rFonts w:ascii="Times New Roman" w:hAnsi="Times New Roman"/>
          <w:sz w:val="24"/>
          <w:szCs w:val="24"/>
        </w:rPr>
      </w:pPr>
      <w:r w:rsidRPr="00575D07">
        <w:rPr>
          <w:rFonts w:ascii="Times New Roman" w:hAnsi="Times New Roman"/>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575D07" w:rsidR="00075224" w:rsidP="00075224" w:rsidRDefault="00576D55" w14:paraId="25DF3DB3" w14:textId="77777777">
      <w:pPr>
        <w:rPr>
          <w:rFonts w:ascii="Times New Roman" w:hAnsi="Times New Roman"/>
          <w:sz w:val="24"/>
          <w:szCs w:val="24"/>
        </w:rPr>
      </w:pPr>
      <w:r>
        <w:rPr>
          <w:rFonts w:ascii="Times New Roman" w:hAnsi="Times New Roman"/>
          <w:sz w:val="24"/>
          <w:szCs w:val="24"/>
        </w:rPr>
        <w:t>There are no statistical methods to maximize response rates or to deal with issues of non-response.</w:t>
      </w:r>
      <w:r w:rsidRPr="00575D07" w:rsidR="00075224">
        <w:rPr>
          <w:rFonts w:ascii="Times New Roman" w:hAnsi="Times New Roman"/>
          <w:sz w:val="24"/>
          <w:szCs w:val="24"/>
        </w:rPr>
        <w:t xml:space="preserve"> </w:t>
      </w:r>
    </w:p>
    <w:p w:rsidR="00075224" w:rsidP="00075224" w:rsidRDefault="00075224" w14:paraId="004ED113" w14:textId="77777777">
      <w:pPr>
        <w:rPr>
          <w:rFonts w:ascii="Times New Roman" w:hAnsi="Times New Roman"/>
          <w:sz w:val="24"/>
          <w:szCs w:val="24"/>
        </w:rPr>
      </w:pPr>
      <w:r w:rsidRPr="00575D07">
        <w:rPr>
          <w:rFonts w:ascii="Times New Roman" w:hAnsi="Times New Roman"/>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575D07">
        <w:rPr>
          <w:rFonts w:ascii="Times New Roman" w:hAnsi="Times New Roman"/>
          <w:sz w:val="24"/>
          <w:szCs w:val="24"/>
        </w:rPr>
        <w:t>test</w:t>
      </w:r>
      <w:proofErr w:type="gramEnd"/>
      <w:r w:rsidRPr="00575D07">
        <w:rPr>
          <w:rFonts w:ascii="Times New Roman" w:hAnsi="Times New Roman"/>
          <w:sz w:val="24"/>
          <w:szCs w:val="24"/>
        </w:rPr>
        <w:t xml:space="preserve"> may be submitted for approval separately or in combination with the main collection of information. </w:t>
      </w:r>
    </w:p>
    <w:p w:rsidRPr="00575D07" w:rsidR="00DE1E86" w:rsidP="00075224" w:rsidRDefault="00DE1E86" w14:paraId="6AB77F98" w14:textId="77777777">
      <w:pPr>
        <w:rPr>
          <w:rFonts w:ascii="Times New Roman" w:hAnsi="Times New Roman"/>
          <w:sz w:val="24"/>
          <w:szCs w:val="24"/>
        </w:rPr>
      </w:pPr>
      <w:r>
        <w:rPr>
          <w:rFonts w:ascii="Times New Roman" w:hAnsi="Times New Roman"/>
          <w:sz w:val="24"/>
          <w:szCs w:val="24"/>
        </w:rPr>
        <w:t>There were no tests of statistical methods or procedures undertaken.</w:t>
      </w:r>
    </w:p>
    <w:p w:rsidR="003D2405" w:rsidP="00075224" w:rsidRDefault="00075224" w14:paraId="1CA6E52E" w14:textId="77777777">
      <w:pPr>
        <w:rPr>
          <w:rFonts w:ascii="Times New Roman" w:hAnsi="Times New Roman"/>
          <w:sz w:val="24"/>
          <w:szCs w:val="24"/>
        </w:rPr>
      </w:pPr>
      <w:r w:rsidRPr="00575D07">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Pr="00575D07" w:rsidR="00075224" w:rsidP="00075224" w:rsidRDefault="003D2405" w14:paraId="49B2DA58" w14:textId="77777777">
      <w:pPr>
        <w:rPr>
          <w:rFonts w:ascii="Times New Roman" w:hAnsi="Times New Roman"/>
          <w:sz w:val="24"/>
          <w:szCs w:val="24"/>
        </w:rPr>
      </w:pPr>
      <w:r>
        <w:rPr>
          <w:rFonts w:ascii="Times New Roman" w:hAnsi="Times New Roman"/>
          <w:sz w:val="24"/>
          <w:szCs w:val="24"/>
        </w:rPr>
        <w:t>There were no individuals consulted on the statistical aspects of information collection.  The information collected does not rely on statistical methods.</w:t>
      </w:r>
      <w:r w:rsidRPr="00575D07" w:rsidR="00075224">
        <w:rPr>
          <w:rFonts w:ascii="Times New Roman" w:hAnsi="Times New Roman"/>
          <w:sz w:val="24"/>
          <w:szCs w:val="24"/>
        </w:rPr>
        <w:t xml:space="preserve"> </w:t>
      </w:r>
    </w:p>
    <w:p w:rsidRPr="00575D07" w:rsidR="0066398E" w:rsidP="00075224" w:rsidRDefault="0066398E" w14:paraId="6D6F4A7E" w14:textId="77777777">
      <w:pPr>
        <w:rPr>
          <w:rFonts w:ascii="Times New Roman" w:hAnsi="Times New Roman"/>
          <w:sz w:val="24"/>
          <w:szCs w:val="24"/>
        </w:rPr>
      </w:pPr>
    </w:p>
    <w:sectPr w:rsidRPr="00575D07" w:rsidR="0066398E" w:rsidSect="00075224">
      <w:footerReference w:type="even" r:id="rId9"/>
      <w:footerReference w:type="default" r:id="rId10"/>
      <w:pgSz w:w="612pt" w:h="792pt"/>
      <w:pgMar w:top="31.50pt" w:right="72pt" w:bottom="72pt" w:left="72pt" w:header="18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rsidR="00606EF0" w:rsidP="00075224" w:rsidRDefault="00606EF0" w14:paraId="3D96E4FC" w14:textId="77777777">
      <w:pPr>
        <w:spacing w:after="0pt" w:line="12pt" w:lineRule="auto"/>
      </w:pPr>
      <w:r>
        <w:separator/>
      </w:r>
    </w:p>
  </w:endnote>
  <w:endnote w:type="continuationSeparator" w:id="0">
    <w:p w:rsidR="00606EF0" w:rsidP="00075224" w:rsidRDefault="00606EF0" w14:paraId="5E62EB95" w14:textId="77777777">
      <w:pPr>
        <w:spacing w:after="0pt" w:line="12pt"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Helvetica">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Segoe UI">
    <w:panose1 w:val="020B0502040204020203"/>
    <w:charset w:characterSet="iso-8859-1"/>
    <w:family w:val="swiss"/>
    <w:pitch w:val="variable"/>
    <w:sig w:usb0="E4002EFF" w:usb1="C000E47F" w:usb2="00000009" w:usb3="00000000" w:csb0="000001FF" w:csb1="00000000"/>
  </w:font>
  <w:font w:name="Courier">
    <w:altName w:val="Courier New"/>
    <w:panose1 w:val="02070409020205020404"/>
    <w:charset w:characterSet="iso-8859-1"/>
    <w:family w:val="modern"/>
    <w:pitch w:val="fixed"/>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rsidR="0066398E" w:rsidRDefault="003F4D24" w14:paraId="4EE37DFF" w14:textId="77777777">
    <w:pPr>
      <w:pStyle w:val="Footer"/>
      <w:framePr w:wrap="around" w:hAnchor="margin" w:vAnchor="text" w:xAlign="center" w:y="0.05pt"/>
      <w:rPr>
        <w:rStyle w:val="PageNumber"/>
      </w:rPr>
    </w:pPr>
    <w:r>
      <w:rPr>
        <w:rStyle w:val="PageNumber"/>
      </w:rPr>
      <w:fldChar w:fldCharType="begin"/>
    </w:r>
    <w:r w:rsidR="009E118C">
      <w:rPr>
        <w:rStyle w:val="PageNumber"/>
      </w:rPr>
      <w:instrText xml:space="preserve">PAGE  </w:instrText>
    </w:r>
    <w:r>
      <w:rPr>
        <w:rStyle w:val="PageNumber"/>
      </w:rPr>
      <w:fldChar w:fldCharType="end"/>
    </w:r>
  </w:p>
  <w:p w:rsidR="0066398E" w:rsidRDefault="0066398E" w14:paraId="08656F97" w14:textId="7777777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rsidR="0066398E" w:rsidRDefault="003F4D24" w14:paraId="7FE76617" w14:textId="77777777">
    <w:pPr>
      <w:pStyle w:val="Footer"/>
      <w:framePr w:wrap="around" w:hAnchor="margin" w:vAnchor="text" w:xAlign="center" w:y="0.05pt"/>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B7253E">
      <w:rPr>
        <w:rStyle w:val="PageNumber"/>
        <w:noProof/>
      </w:rPr>
      <w:t>1</w:t>
    </w:r>
    <w:r>
      <w:rPr>
        <w:rStyle w:val="PageNumber"/>
      </w:rPr>
      <w:fldChar w:fldCharType="end"/>
    </w:r>
  </w:p>
  <w:p w:rsidR="0066398E" w:rsidP="00075224" w:rsidRDefault="00075224" w14:paraId="6B449037" w14:textId="77777777">
    <w:pPr>
      <w:pStyle w:val="Footer"/>
      <w:pBdr>
        <w:top w:val="single" w:color="auto" w:sz="6" w:space="1"/>
      </w:pBdr>
      <w:tabs>
        <w:tab w:val="clear" w:pos="216pt"/>
        <w:tab w:val="left" w:pos="432pt"/>
        <w:tab w:val="right" w:pos="546pt"/>
      </w:tabs>
      <w:ind w:start="-6pt"/>
    </w:pPr>
    <w:r>
      <w:rPr>
        <w:rFonts w:ascii="Helvetica" w:hAnsi="Helvetica"/>
        <w:b/>
        <w:sz w:val="18"/>
      </w:rPr>
      <w:tab/>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rsidR="00606EF0" w:rsidP="00075224" w:rsidRDefault="00606EF0" w14:paraId="4B2803E9" w14:textId="77777777">
      <w:pPr>
        <w:spacing w:after="0pt" w:line="12pt" w:lineRule="auto"/>
      </w:pPr>
      <w:r>
        <w:separator/>
      </w:r>
    </w:p>
  </w:footnote>
  <w:footnote w:type="continuationSeparator" w:id="0">
    <w:p w:rsidR="00606EF0" w:rsidP="00075224" w:rsidRDefault="00606EF0" w14:paraId="5A6CCA27" w14:textId="77777777">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0BE203AE"/>
    <w:multiLevelType w:val="hybridMultilevel"/>
    <w:tmpl w:val="B58ADCF4"/>
    <w:lvl w:ilvl="0" w:tplc="04090001">
      <w:start w:val="1"/>
      <w:numFmt w:val="bullet"/>
      <w:lvlText w:val=""/>
      <w:lvlJc w:val="start"/>
      <w:pPr>
        <w:ind w:start="72pt" w:hanging="18pt"/>
      </w:pPr>
      <w:rPr>
        <w:rFonts w:hint="default" w:ascii="Symbol" w:hAnsi="Symbol"/>
      </w:rPr>
    </w:lvl>
    <w:lvl w:ilvl="1" w:tplc="04090003" w:tentative="1">
      <w:start w:val="1"/>
      <w:numFmt w:val="bullet"/>
      <w:lvlText w:val="o"/>
      <w:lvlJc w:val="start"/>
      <w:pPr>
        <w:ind w:start="108pt" w:hanging="18pt"/>
      </w:pPr>
      <w:rPr>
        <w:rFonts w:hint="default" w:ascii="Courier New" w:hAnsi="Courier New" w:cs="Courier New"/>
      </w:rPr>
    </w:lvl>
    <w:lvl w:ilvl="2" w:tplc="04090005" w:tentative="1">
      <w:start w:val="1"/>
      <w:numFmt w:val="bullet"/>
      <w:lvlText w:val=""/>
      <w:lvlJc w:val="start"/>
      <w:pPr>
        <w:ind w:start="144pt" w:hanging="18pt"/>
      </w:pPr>
      <w:rPr>
        <w:rFonts w:hint="default" w:ascii="Wingdings" w:hAnsi="Wingdings"/>
      </w:rPr>
    </w:lvl>
    <w:lvl w:ilvl="3" w:tplc="04090001" w:tentative="1">
      <w:start w:val="1"/>
      <w:numFmt w:val="bullet"/>
      <w:lvlText w:val=""/>
      <w:lvlJc w:val="start"/>
      <w:pPr>
        <w:ind w:start="180pt" w:hanging="18pt"/>
      </w:pPr>
      <w:rPr>
        <w:rFonts w:hint="default" w:ascii="Symbol" w:hAnsi="Symbol"/>
      </w:rPr>
    </w:lvl>
    <w:lvl w:ilvl="4" w:tplc="04090003" w:tentative="1">
      <w:start w:val="1"/>
      <w:numFmt w:val="bullet"/>
      <w:lvlText w:val="o"/>
      <w:lvlJc w:val="start"/>
      <w:pPr>
        <w:ind w:start="216pt" w:hanging="18pt"/>
      </w:pPr>
      <w:rPr>
        <w:rFonts w:hint="default" w:ascii="Courier New" w:hAnsi="Courier New" w:cs="Courier New"/>
      </w:rPr>
    </w:lvl>
    <w:lvl w:ilvl="5" w:tplc="04090005" w:tentative="1">
      <w:start w:val="1"/>
      <w:numFmt w:val="bullet"/>
      <w:lvlText w:val=""/>
      <w:lvlJc w:val="start"/>
      <w:pPr>
        <w:ind w:start="252pt" w:hanging="18pt"/>
      </w:pPr>
      <w:rPr>
        <w:rFonts w:hint="default" w:ascii="Wingdings" w:hAnsi="Wingdings"/>
      </w:rPr>
    </w:lvl>
    <w:lvl w:ilvl="6" w:tplc="04090001" w:tentative="1">
      <w:start w:val="1"/>
      <w:numFmt w:val="bullet"/>
      <w:lvlText w:val=""/>
      <w:lvlJc w:val="start"/>
      <w:pPr>
        <w:ind w:start="288pt" w:hanging="18pt"/>
      </w:pPr>
      <w:rPr>
        <w:rFonts w:hint="default" w:ascii="Symbol" w:hAnsi="Symbol"/>
      </w:rPr>
    </w:lvl>
    <w:lvl w:ilvl="7" w:tplc="04090003" w:tentative="1">
      <w:start w:val="1"/>
      <w:numFmt w:val="bullet"/>
      <w:lvlText w:val="o"/>
      <w:lvlJc w:val="start"/>
      <w:pPr>
        <w:ind w:start="324pt" w:hanging="18pt"/>
      </w:pPr>
      <w:rPr>
        <w:rFonts w:hint="default" w:ascii="Courier New" w:hAnsi="Courier New" w:cs="Courier New"/>
      </w:rPr>
    </w:lvl>
    <w:lvl w:ilvl="8" w:tplc="04090005" w:tentative="1">
      <w:start w:val="1"/>
      <w:numFmt w:val="bullet"/>
      <w:lvlText w:val=""/>
      <w:lvlJc w:val="start"/>
      <w:pPr>
        <w:ind w:start="360pt" w:hanging="18pt"/>
      </w:pPr>
      <w:rPr>
        <w:rFonts w:hint="default" w:ascii="Wingdings" w:hAnsi="Wingdings"/>
      </w:rPr>
    </w:lvl>
  </w:abstractNum>
  <w:abstractNum w:abstractNumId="1" w15:restartNumberingAfterBreak="0">
    <w:nsid w:val="0CAE29E0"/>
    <w:multiLevelType w:val="singleLevel"/>
    <w:tmpl w:val="7F4C2A44"/>
    <w:lvl w:ilvl="0">
      <w:start w:val="1"/>
      <w:numFmt w:val="lowerLetter"/>
      <w:lvlText w:val="(%1) "/>
      <w:lvlJc w:val="start"/>
      <w:pPr>
        <w:ind w:start="36pt" w:hanging="18pt"/>
      </w:pPr>
      <w:rPr>
        <w:rFonts w:hint="default" w:ascii="Times New Roman" w:hAnsi="Times New Roman"/>
        <w:b w:val="0"/>
        <w:i w:val="0"/>
        <w:sz w:val="20"/>
        <w:u w:val="none"/>
      </w:rPr>
    </w:lvl>
  </w:abstractNum>
  <w:abstractNum w:abstractNumId="2" w15:restartNumberingAfterBreak="0">
    <w:nsid w:val="12002BDB"/>
    <w:multiLevelType w:val="singleLevel"/>
    <w:tmpl w:val="41F82AA2"/>
    <w:lvl w:ilvl="0">
      <w:start w:val="1"/>
      <w:numFmt w:val="lowerLetter"/>
      <w:lvlText w:val="%1. "/>
      <w:lvlJc w:val="start"/>
      <w:pPr>
        <w:ind w:start="24pt" w:hanging="12pt"/>
      </w:pPr>
      <w:rPr>
        <w:rFonts w:hint="default" w:ascii="Helvetica" w:hAnsi="Helvetica"/>
        <w:b w:val="0"/>
        <w:i w:val="0"/>
        <w:sz w:val="16"/>
        <w:u w:val="none"/>
      </w:rPr>
    </w:lvl>
  </w:abstractNum>
  <w:abstractNum w:abstractNumId="3" w15:restartNumberingAfterBreak="0">
    <w:nsid w:val="6EB565CF"/>
    <w:multiLevelType w:val="hybridMultilevel"/>
    <w:tmpl w:val="083E6BFE"/>
    <w:lvl w:ilvl="0" w:tplc="04090001">
      <w:start w:val="1"/>
      <w:numFmt w:val="bullet"/>
      <w:lvlText w:val=""/>
      <w:lvlJc w:val="start"/>
      <w:pPr>
        <w:ind w:start="36pt" w:hanging="18pt"/>
      </w:pPr>
      <w:rPr>
        <w:rFonts w:hint="default" w:ascii="Symbol" w:hAnsi="Symbol"/>
      </w:rPr>
    </w:lvl>
    <w:lvl w:ilvl="1" w:tplc="04090003" w:tentative="1">
      <w:start w:val="1"/>
      <w:numFmt w:val="bullet"/>
      <w:lvlText w:val="o"/>
      <w:lvlJc w:val="start"/>
      <w:pPr>
        <w:ind w:start="72pt" w:hanging="18pt"/>
      </w:pPr>
      <w:rPr>
        <w:rFonts w:hint="default" w:ascii="Courier New" w:hAnsi="Courier New" w:cs="Courier New"/>
      </w:rPr>
    </w:lvl>
    <w:lvl w:ilvl="2" w:tplc="04090005" w:tentative="1">
      <w:start w:val="1"/>
      <w:numFmt w:val="bullet"/>
      <w:lvlText w:val=""/>
      <w:lvlJc w:val="start"/>
      <w:pPr>
        <w:ind w:start="108pt" w:hanging="18pt"/>
      </w:pPr>
      <w:rPr>
        <w:rFonts w:hint="default" w:ascii="Wingdings" w:hAnsi="Wingdings"/>
      </w:rPr>
    </w:lvl>
    <w:lvl w:ilvl="3" w:tplc="04090001" w:tentative="1">
      <w:start w:val="1"/>
      <w:numFmt w:val="bullet"/>
      <w:lvlText w:val=""/>
      <w:lvlJc w:val="start"/>
      <w:pPr>
        <w:ind w:start="144pt" w:hanging="18pt"/>
      </w:pPr>
      <w:rPr>
        <w:rFonts w:hint="default" w:ascii="Symbol" w:hAnsi="Symbol"/>
      </w:rPr>
    </w:lvl>
    <w:lvl w:ilvl="4" w:tplc="04090003" w:tentative="1">
      <w:start w:val="1"/>
      <w:numFmt w:val="bullet"/>
      <w:lvlText w:val="o"/>
      <w:lvlJc w:val="start"/>
      <w:pPr>
        <w:ind w:start="180pt" w:hanging="18pt"/>
      </w:pPr>
      <w:rPr>
        <w:rFonts w:hint="default" w:ascii="Courier New" w:hAnsi="Courier New" w:cs="Courier New"/>
      </w:rPr>
    </w:lvl>
    <w:lvl w:ilvl="5" w:tplc="04090005" w:tentative="1">
      <w:start w:val="1"/>
      <w:numFmt w:val="bullet"/>
      <w:lvlText w:val=""/>
      <w:lvlJc w:val="start"/>
      <w:pPr>
        <w:ind w:start="216pt" w:hanging="18pt"/>
      </w:pPr>
      <w:rPr>
        <w:rFonts w:hint="default" w:ascii="Wingdings" w:hAnsi="Wingdings"/>
      </w:rPr>
    </w:lvl>
    <w:lvl w:ilvl="6" w:tplc="04090001" w:tentative="1">
      <w:start w:val="1"/>
      <w:numFmt w:val="bullet"/>
      <w:lvlText w:val=""/>
      <w:lvlJc w:val="start"/>
      <w:pPr>
        <w:ind w:start="252pt" w:hanging="18pt"/>
      </w:pPr>
      <w:rPr>
        <w:rFonts w:hint="default" w:ascii="Symbol" w:hAnsi="Symbol"/>
      </w:rPr>
    </w:lvl>
    <w:lvl w:ilvl="7" w:tplc="04090003" w:tentative="1">
      <w:start w:val="1"/>
      <w:numFmt w:val="bullet"/>
      <w:lvlText w:val="o"/>
      <w:lvlJc w:val="start"/>
      <w:pPr>
        <w:ind w:start="288pt" w:hanging="18pt"/>
      </w:pPr>
      <w:rPr>
        <w:rFonts w:hint="default" w:ascii="Courier New" w:hAnsi="Courier New" w:cs="Courier New"/>
      </w:rPr>
    </w:lvl>
    <w:lvl w:ilvl="8" w:tplc="04090005" w:tentative="1">
      <w:start w:val="1"/>
      <w:numFmt w:val="bullet"/>
      <w:lvlText w:val=""/>
      <w:lvlJc w:val="start"/>
      <w:pPr>
        <w:ind w:start="324pt" w:hanging="18pt"/>
      </w:pPr>
      <w:rPr>
        <w:rFonts w:hint="default" w:ascii="Wingdings" w:hAnsi="Wingdings"/>
      </w:rPr>
    </w:lvl>
  </w:abstractNum>
  <w:abstractNum w:abstractNumId="4" w15:restartNumberingAfterBreak="0">
    <w:nsid w:val="734B6389"/>
    <w:multiLevelType w:val="singleLevel"/>
    <w:tmpl w:val="A69E7D62"/>
    <w:lvl w:ilvl="0">
      <w:start w:val="8"/>
      <w:numFmt w:val="lowerLetter"/>
      <w:lvlText w:val="(%1) "/>
      <w:lvlJc w:val="start"/>
      <w:pPr>
        <w:ind w:start="36pt" w:hanging="18pt"/>
      </w:pPr>
      <w:rPr>
        <w:rFonts w:hint="default" w:ascii="Times New Roman" w:hAnsi="Times New Roman"/>
        <w:b w:val="0"/>
        <w:i w:val="0"/>
        <w:sz w:val="20"/>
        <w:u w:val="none"/>
      </w:rPr>
    </w:lvl>
  </w:abstractNum>
  <w:abstractNum w:abstractNumId="5" w15:restartNumberingAfterBreak="0">
    <w:nsid w:val="78AD586B"/>
    <w:multiLevelType w:val="singleLevel"/>
    <w:tmpl w:val="6FA6A740"/>
    <w:lvl w:ilvl="0">
      <w:start w:val="1"/>
      <w:numFmt w:val="lowerRoman"/>
      <w:lvlText w:val="(%1) "/>
      <w:lvlJc w:val="start"/>
      <w:pPr>
        <w:ind w:start="54pt" w:hanging="18pt"/>
      </w:pPr>
      <w:rPr>
        <w:rFonts w:hint="default" w:ascii="Times New Roman" w:hAnsi="Times New Roman"/>
        <w:b w:val="0"/>
        <w:i w:val="0"/>
        <w:sz w:val="20"/>
        <w:u w:val="none"/>
      </w:rPr>
    </w:lvl>
  </w:abstractNum>
  <w:abstractNum w:abstractNumId="6" w15:restartNumberingAfterBreak="0">
    <w:nsid w:val="7A1B2E99"/>
    <w:multiLevelType w:val="singleLevel"/>
    <w:tmpl w:val="41F82AA2"/>
    <w:lvl w:ilvl="0">
      <w:start w:val="1"/>
      <w:numFmt w:val="lowerLetter"/>
      <w:lvlText w:val="%1. "/>
      <w:lvlJc w:val="start"/>
      <w:pPr>
        <w:ind w:start="24.60pt" w:hanging="12pt"/>
      </w:pPr>
      <w:rPr>
        <w:rFonts w:hint="default" w:ascii="Helvetica" w:hAnsi="Helvetica"/>
        <w:b w:val="0"/>
        <w:i w:val="0"/>
        <w:sz w:val="16"/>
        <w:u w:val="none"/>
      </w:rPr>
    </w:lvl>
  </w:abstractNum>
  <w:num w:numId="1">
    <w:abstractNumId w:val="2"/>
  </w:num>
  <w:num w:numId="2">
    <w:abstractNumId w:val="6"/>
  </w:num>
  <w:num w:numId="3">
    <w:abstractNumId w:val="1"/>
  </w:num>
  <w:num w:numId="4">
    <w:abstractNumId w:val="5"/>
  </w:num>
  <w:num w:numId="5">
    <w:abstractNumId w:val="4"/>
  </w:num>
  <w:num w:numId="6">
    <w:abstractNumId w:val="4"/>
    <w:lvlOverride w:ilvl="0">
      <w:lvl w:ilvl="0">
        <w:start w:val="1"/>
        <w:numFmt w:val="lowerLetter"/>
        <w:lvlText w:val="(%1) "/>
        <w:lvlJc w:val="start"/>
        <w:pPr>
          <w:ind w:start="36pt" w:hanging="18pt"/>
        </w:pPr>
        <w:rPr>
          <w:rFonts w:hint="default" w:ascii="Times New Roman" w:hAnsi="Times New Roman"/>
          <w:b w:val="0"/>
          <w:i w:val="0"/>
          <w:sz w:val="20"/>
          <w:u w:val="none"/>
        </w:rPr>
      </w:lvl>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oNotTrackMoves/>
  <w:defaultTabStop w:val="36pt"/>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224"/>
    <w:rsid w:val="000400D4"/>
    <w:rsid w:val="00075224"/>
    <w:rsid w:val="000B4874"/>
    <w:rsid w:val="000B55BA"/>
    <w:rsid w:val="000C7718"/>
    <w:rsid w:val="00164BAE"/>
    <w:rsid w:val="00167FD2"/>
    <w:rsid w:val="00174045"/>
    <w:rsid w:val="001C116A"/>
    <w:rsid w:val="001C6560"/>
    <w:rsid w:val="001E0019"/>
    <w:rsid w:val="0029110D"/>
    <w:rsid w:val="00296DF2"/>
    <w:rsid w:val="00320358"/>
    <w:rsid w:val="003B0413"/>
    <w:rsid w:val="003C400F"/>
    <w:rsid w:val="003D2405"/>
    <w:rsid w:val="003E6C7A"/>
    <w:rsid w:val="003F4D24"/>
    <w:rsid w:val="004939BF"/>
    <w:rsid w:val="004F330A"/>
    <w:rsid w:val="0050120C"/>
    <w:rsid w:val="00575D07"/>
    <w:rsid w:val="00576D55"/>
    <w:rsid w:val="005A6EB8"/>
    <w:rsid w:val="005D21A4"/>
    <w:rsid w:val="005F6450"/>
    <w:rsid w:val="00606EF0"/>
    <w:rsid w:val="00657AE8"/>
    <w:rsid w:val="0066398E"/>
    <w:rsid w:val="00666CF0"/>
    <w:rsid w:val="006717F4"/>
    <w:rsid w:val="006A389A"/>
    <w:rsid w:val="00711F61"/>
    <w:rsid w:val="00741B05"/>
    <w:rsid w:val="00797FB9"/>
    <w:rsid w:val="007B386A"/>
    <w:rsid w:val="00863E89"/>
    <w:rsid w:val="008B349B"/>
    <w:rsid w:val="00934001"/>
    <w:rsid w:val="009814CB"/>
    <w:rsid w:val="00982371"/>
    <w:rsid w:val="009A3A5E"/>
    <w:rsid w:val="009C3016"/>
    <w:rsid w:val="009E118C"/>
    <w:rsid w:val="00A17607"/>
    <w:rsid w:val="00AA04EA"/>
    <w:rsid w:val="00B7253E"/>
    <w:rsid w:val="00BB11D1"/>
    <w:rsid w:val="00CC4703"/>
    <w:rsid w:val="00D127E8"/>
    <w:rsid w:val="00D4280B"/>
    <w:rsid w:val="00D462B1"/>
    <w:rsid w:val="00D530F9"/>
    <w:rsid w:val="00D5641A"/>
    <w:rsid w:val="00D720B2"/>
    <w:rsid w:val="00DC1E6C"/>
    <w:rsid w:val="00DE1E86"/>
    <w:rsid w:val="00E27108"/>
    <w:rsid w:val="00E53DE7"/>
    <w:rsid w:val="00E81921"/>
    <w:rsid w:val="00FC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F10A74"/>
  <w15:chartTrackingRefBased/>
  <w15:docId w15:val="{7E2B011B-1D29-4191-A5E3-8A08E90D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pt" w:line="13.80pt" w:lineRule="auto"/>
    </w:pPr>
    <w:rPr>
      <w:sz w:val="22"/>
      <w:szCs w:val="22"/>
    </w:rPr>
  </w:style>
  <w:style w:type="paragraph" w:styleId="Heading1">
    <w:name w:val="heading 1"/>
    <w:basedOn w:val="Normal"/>
    <w:next w:val="Normal"/>
    <w:link w:val="Heading1Char"/>
    <w:uiPriority w:val="9"/>
    <w:qFormat/>
    <w:rsid w:val="009E118C"/>
    <w:pPr>
      <w:keepNext/>
      <w:keepLines/>
      <w:spacing w:before="24pt" w:after="0pt"/>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12pt"/>
      </w:tabs>
      <w:overflowPunct w:val="0"/>
      <w:autoSpaceDE w:val="0"/>
      <w:autoSpaceDN w:val="0"/>
      <w:adjustRightInd w:val="0"/>
      <w:spacing w:after="2pt" w:line="12pt" w:lineRule="auto"/>
      <w:ind w:start="6pt" w:end="-6pt"/>
      <w:textAlignment w:val="baseline"/>
      <w:outlineLvl w:val="1"/>
    </w:pPr>
    <w:rPr>
      <w:rFonts w:ascii="Helvetica" w:hAnsi="Helvetica"/>
      <w:b/>
      <w:color w:val="FF0000"/>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pt" w:type="dxa"/>
      <w:tblCellMar>
        <w:top w:w="0pt" w:type="dxa"/>
        <w:start w:w="5.40pt" w:type="dxa"/>
        <w:bottom w:w="0pt" w:type="dxa"/>
        <w:end w:w="5.40pt" w:type="dxa"/>
      </w:tblCellMar>
    </w:tblPr>
  </w:style>
  <w:style w:type="numbering" w:styleId="NoList" w:default="1">
    <w:name w:val="No List"/>
    <w:uiPriority w:val="99"/>
    <w:semiHidden/>
    <w:unhideWhenUsed/>
  </w:style>
  <w:style w:type="character" w:styleId="Heading2Char" w:customStyle="1">
    <w:name w:val="Heading 2 Char"/>
    <w:link w:val="Heading2"/>
    <w:rsid w:val="00075224"/>
    <w:rPr>
      <w:rFonts w:ascii="Helvetica" w:hAnsi="Helvetica" w:eastAsia="Times New Roman" w:cs="Times New Roman"/>
      <w:b/>
      <w:color w:val="FF0000"/>
      <w:sz w:val="18"/>
      <w:szCs w:val="20"/>
    </w:rPr>
  </w:style>
  <w:style w:type="paragraph" w:styleId="Header">
    <w:name w:val="header"/>
    <w:basedOn w:val="Normal"/>
    <w:link w:val="HeaderChar"/>
    <w:rsid w:val="00075224"/>
    <w:pPr>
      <w:tabs>
        <w:tab w:val="center" w:pos="216pt"/>
        <w:tab w:val="right" w:pos="432pt"/>
      </w:tabs>
      <w:overflowPunct w:val="0"/>
      <w:autoSpaceDE w:val="0"/>
      <w:autoSpaceDN w:val="0"/>
      <w:adjustRightInd w:val="0"/>
      <w:spacing w:after="0pt" w:line="12pt" w:lineRule="auto"/>
      <w:textAlignment w:val="baseline"/>
    </w:pPr>
    <w:rPr>
      <w:rFonts w:ascii="Times New Roman" w:hAnsi="Times New Roman"/>
      <w:sz w:val="20"/>
      <w:szCs w:val="20"/>
    </w:rPr>
  </w:style>
  <w:style w:type="character" w:styleId="HeaderChar" w:customStyle="1">
    <w:name w:val="Header Char"/>
    <w:link w:val="Header"/>
    <w:rsid w:val="00075224"/>
    <w:rPr>
      <w:rFonts w:ascii="Times New Roman" w:hAnsi="Times New Roman" w:eastAsia="Times New Roman" w:cs="Times New Roman"/>
      <w:sz w:val="20"/>
      <w:szCs w:val="20"/>
    </w:rPr>
  </w:style>
  <w:style w:type="paragraph" w:styleId="Footer">
    <w:name w:val="footer"/>
    <w:basedOn w:val="Normal"/>
    <w:link w:val="FooterChar"/>
    <w:rsid w:val="00075224"/>
    <w:pPr>
      <w:tabs>
        <w:tab w:val="center" w:pos="216pt"/>
        <w:tab w:val="right" w:pos="432pt"/>
      </w:tabs>
      <w:overflowPunct w:val="0"/>
      <w:autoSpaceDE w:val="0"/>
      <w:autoSpaceDN w:val="0"/>
      <w:adjustRightInd w:val="0"/>
      <w:spacing w:after="0pt" w:line="12pt" w:lineRule="auto"/>
      <w:textAlignment w:val="baseline"/>
    </w:pPr>
    <w:rPr>
      <w:rFonts w:ascii="Times New Roman" w:hAnsi="Times New Roman"/>
      <w:sz w:val="20"/>
      <w:szCs w:val="20"/>
    </w:rPr>
  </w:style>
  <w:style w:type="character" w:styleId="FooterChar" w:customStyle="1">
    <w:name w:val="Footer Char"/>
    <w:link w:val="Footer"/>
    <w:rsid w:val="00075224"/>
    <w:rPr>
      <w:rFonts w:ascii="Times New Roman" w:hAnsi="Times New Roman" w:eastAsia="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pt" w:line="12pt" w:lineRule="auto"/>
      <w:jc w:val="center"/>
      <w:textAlignment w:val="baseline"/>
    </w:pPr>
    <w:rPr>
      <w:rFonts w:ascii="Helvetica" w:hAnsi="Helvetica"/>
      <w:b/>
      <w:sz w:val="28"/>
      <w:szCs w:val="20"/>
    </w:rPr>
  </w:style>
  <w:style w:type="character" w:styleId="TitleChar" w:customStyle="1">
    <w:name w:val="Title Char"/>
    <w:link w:val="Title"/>
    <w:rsid w:val="00075224"/>
    <w:rPr>
      <w:rFonts w:ascii="Helvetica" w:hAnsi="Helvetica" w:eastAsia="Times New Roman" w:cs="Times New Roman"/>
      <w:b/>
      <w:sz w:val="28"/>
      <w:szCs w:val="20"/>
    </w:rPr>
  </w:style>
  <w:style w:type="paragraph" w:styleId="BlockText">
    <w:name w:val="Block Text"/>
    <w:basedOn w:val="Normal"/>
    <w:rsid w:val="00075224"/>
    <w:pPr>
      <w:tabs>
        <w:tab w:val="left" w:pos="12pt"/>
      </w:tabs>
      <w:overflowPunct w:val="0"/>
      <w:autoSpaceDE w:val="0"/>
      <w:autoSpaceDN w:val="0"/>
      <w:adjustRightInd w:val="0"/>
      <w:spacing w:after="3pt" w:line="12pt" w:lineRule="auto"/>
      <w:ind w:start="6pt" w:end="-6pt"/>
      <w:textAlignment w:val="baseline"/>
    </w:pPr>
    <w:rPr>
      <w:rFonts w:ascii="Times New Roman" w:hAnsi="Times New Roman"/>
      <w:color w:val="000000"/>
      <w:szCs w:val="20"/>
    </w:rPr>
  </w:style>
  <w:style w:type="character" w:styleId="Heading1Char" w:customStyle="1">
    <w:name w:val="Heading 1 Char"/>
    <w:link w:val="Heading1"/>
    <w:uiPriority w:val="9"/>
    <w:rsid w:val="009E118C"/>
    <w:rPr>
      <w:rFonts w:ascii="Cambria" w:hAnsi="Cambria" w:eastAsia="Times New Roman"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pt" w:line="12pt" w:lineRule="auto"/>
    </w:pPr>
    <w:rPr>
      <w:rFonts w:ascii="Segoe UI" w:hAnsi="Segoe UI" w:cs="Segoe UI"/>
      <w:sz w:val="18"/>
      <w:szCs w:val="18"/>
    </w:rPr>
  </w:style>
  <w:style w:type="character" w:styleId="BalloonTextChar" w:customStyle="1">
    <w:name w:val="Balloon Text Char"/>
    <w:link w:val="BalloonText"/>
    <w:uiPriority w:val="99"/>
    <w:semiHidden/>
    <w:rsid w:val="00575D07"/>
    <w:rPr>
      <w:rFonts w:ascii="Segoe UI" w:hAnsi="Segoe UI" w:cs="Segoe UI"/>
      <w:sz w:val="18"/>
      <w:szCs w:val="18"/>
    </w:rPr>
  </w:style>
  <w:style w:type="character" w:styleId="Hyperlink">
    <w:name w:val="Hyperlink"/>
    <w:uiPriority w:val="99"/>
    <w:rsid w:val="001C116A"/>
    <w:rPr>
      <w:color w:val="0000FF"/>
      <w:u w:val="single"/>
    </w:rPr>
  </w:style>
  <w:style w:type="paragraph" w:styleId="BodyTextIndent3">
    <w:name w:val="Body Text Indent 3"/>
    <w:basedOn w:val="Normal"/>
    <w:link w:val="BodyTextIndent3Char"/>
    <w:semiHidden/>
    <w:rsid w:val="001E0019"/>
    <w:pPr>
      <w:numPr>
        <w:ilvl w:val="12"/>
      </w:numPr>
      <w:tabs>
        <w:tab w:val="left" w:pos="18pt"/>
        <w:tab w:val="left" w:pos="36pt"/>
      </w:tabs>
      <w:overflowPunct w:val="0"/>
      <w:autoSpaceDE w:val="0"/>
      <w:autoSpaceDN w:val="0"/>
      <w:adjustRightInd w:val="0"/>
      <w:spacing w:after="0pt" w:line="12pt" w:lineRule="auto"/>
      <w:ind w:start="18pt"/>
      <w:textAlignment w:val="baseline"/>
    </w:pPr>
    <w:rPr>
      <w:rFonts w:ascii="Times New Roman" w:hAnsi="Times New Roman"/>
      <w:noProof/>
      <w:szCs w:val="20"/>
    </w:rPr>
  </w:style>
  <w:style w:type="character" w:styleId="BodyTextIndent3Char" w:customStyle="1">
    <w:name w:val="Body Text Indent 3 Char"/>
    <w:link w:val="BodyTextIndent3"/>
    <w:semiHidden/>
    <w:rsid w:val="001E0019"/>
    <w:rPr>
      <w:rFonts w:ascii="Times New Roman" w:hAnsi="Times New Roman"/>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hyperlink" Target="https://www.bls.gov/oes/current/oes_nat.htm)" TargetMode="External" Id="rId8" /><Relationship Type="http://schemas.openxmlformats.org/officeDocument/2006/relationships/settings" Target="settings.xml" Id="rId3" /><Relationship Type="http://schemas.openxmlformats.org/officeDocument/2006/relationships/hyperlink" Target="https://www.bls.gov/oes/current/oes_nat.htm#13-0000"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5</ap:TotalTime>
  <ap:Pages>9</ap:Pages>
  <ap:Words>3486</ap:Words>
  <ap:Characters>19871</ap:Characters>
  <ap:Application>Microsoft Office Word</ap:Application>
  <ap:DocSecurity>0</ap:DocSecurity>
  <ap:Lines>165</ap:Lines>
  <ap:Paragraphs>46</ap:Paragraphs>
  <ap:ScaleCrop>false</ap:ScaleCrop>
  <ap:HeadingPairs>
    <vt:vector baseType="variant" size="2">
      <vt:variant>
        <vt:lpstr>Title</vt:lpstr>
      </vt:variant>
      <vt:variant>
        <vt:i4>1</vt:i4>
      </vt:variant>
    </vt:vector>
  </ap:HeadingPairs>
  <ap:TitlesOfParts>
    <vt:vector baseType="lpstr" size="1">
      <vt:lpstr/>
    </vt:vector>
  </ap:TitlesOfParts>
  <ap:Company>Housing and Urban Development</ap:Company>
  <ap:LinksUpToDate>false</ap:LinksUpToDate>
  <ap:CharactersWithSpaces>23311</ap:CharactersWithSpaces>
  <ap:SharedDoc>false</ap:SharedDoc>
  <ap:HLinks>
    <vt:vector baseType="variant" size="12">
      <vt:variant>
        <vt:i4>7209055</vt:i4>
      </vt:variant>
      <vt:variant>
        <vt:i4>3</vt:i4>
      </vt:variant>
      <vt:variant>
        <vt:i4>0</vt:i4>
      </vt:variant>
      <vt:variant>
        <vt:i4>5</vt:i4>
      </vt:variant>
      <vt:variant>
        <vt:lpwstr>https://www.bls.gov/oes/current/oes_nat.htm)</vt:lpwstr>
      </vt:variant>
      <vt:variant>
        <vt:lpwstr/>
      </vt:variant>
      <vt:variant>
        <vt:i4>7602206</vt:i4>
      </vt:variant>
      <vt:variant>
        <vt:i4>0</vt:i4>
      </vt:variant>
      <vt:variant>
        <vt:i4>0</vt:i4>
      </vt:variant>
      <vt:variant>
        <vt:i4>5</vt:i4>
      </vt:variant>
      <vt:variant>
        <vt:lpwstr>https://www.bls.gov/oes/current/oes_nat.htm</vt:lpwstr>
      </vt:variant>
      <vt:variant>
        <vt:lpwstr>13-0000</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Sanders, Kim N</cp:lastModifiedBy>
  <cp:revision>2</cp:revision>
  <cp:lastPrinted>2019-04-05T14:30:00Z</cp:lastPrinted>
  <dcterms:created xsi:type="dcterms:W3CDTF">2020-09-25T17:48:00Z</dcterms:created>
  <dcterms:modified xsi:type="dcterms:W3CDTF">2020-09-25T17:48:00Z</dcterms:modified>
</cp:coreProperties>
</file>