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9E118C" w:rsidRDefault="009E118C" w14:paraId="0A6AE5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Pr="00F908CB" w:rsidR="00480874" w:rsidP="00F908CB" w:rsidRDefault="00750B0F" w14:paraId="4D069B7B" w14:textId="4082760A">
      <w:pPr>
        <w:pStyle w:val="Heading1"/>
        <w:spacing w:line="240" w:lineRule="auto"/>
        <w:contextualSpacing/>
        <w:jc w:val="center"/>
        <w:rPr>
          <w:color w:val="auto"/>
        </w:rPr>
      </w:pPr>
      <w:r>
        <w:rPr>
          <w:color w:val="auto"/>
        </w:rPr>
        <w:t xml:space="preserve">Single Family </w:t>
      </w:r>
      <w:r w:rsidR="001375D4">
        <w:rPr>
          <w:color w:val="auto"/>
        </w:rPr>
        <w:t>Applica</w:t>
      </w:r>
      <w:r w:rsidR="009524CE">
        <w:rPr>
          <w:color w:val="auto"/>
        </w:rPr>
        <w:t>tion</w:t>
      </w:r>
      <w:r w:rsidR="001375D4">
        <w:rPr>
          <w:color w:val="auto"/>
        </w:rPr>
        <w:t xml:space="preserve"> </w:t>
      </w:r>
      <w:r w:rsidR="00267BC2">
        <w:rPr>
          <w:color w:val="auto"/>
        </w:rPr>
        <w:t xml:space="preserve">for </w:t>
      </w:r>
      <w:r w:rsidRPr="00862FEB" w:rsidR="00862FEB">
        <w:rPr>
          <w:color w:val="auto"/>
        </w:rPr>
        <w:t>Insur</w:t>
      </w:r>
      <w:r w:rsidR="00267BC2">
        <w:rPr>
          <w:color w:val="auto"/>
        </w:rPr>
        <w:t>ance</w:t>
      </w:r>
      <w:r w:rsidR="009524CE">
        <w:rPr>
          <w:color w:val="auto"/>
        </w:rPr>
        <w:t xml:space="preserve"> Benefits</w:t>
      </w:r>
    </w:p>
    <w:p w:rsidR="00F908CB" w:rsidP="00F908CB" w:rsidRDefault="00F908CB" w14:paraId="32FF71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b/>
          <w:sz w:val="24"/>
        </w:rPr>
      </w:pPr>
    </w:p>
    <w:p w:rsidR="009E118C" w:rsidP="00F908CB" w:rsidRDefault="0050120C" w14:paraId="7378DA34" w14:textId="17819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b/>
          <w:sz w:val="24"/>
        </w:rPr>
      </w:pPr>
      <w:r w:rsidRPr="00480874">
        <w:rPr>
          <w:rFonts w:ascii="Helvetica" w:hAnsi="Helvetica"/>
          <w:b/>
          <w:sz w:val="24"/>
        </w:rPr>
        <w:t>OMB Control Number 2502-</w:t>
      </w:r>
      <w:r w:rsidR="00480874">
        <w:rPr>
          <w:rFonts w:ascii="Helvetica" w:hAnsi="Helvetica"/>
          <w:b/>
          <w:sz w:val="24"/>
        </w:rPr>
        <w:t>0429</w:t>
      </w:r>
    </w:p>
    <w:p w:rsidRPr="00480874" w:rsidR="004062C3" w:rsidP="00F908CB" w:rsidRDefault="004062C3" w14:paraId="612315C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contextualSpacing/>
        <w:jc w:val="center"/>
        <w:rPr>
          <w:rFonts w:ascii="Helvetica" w:hAnsi="Helvetica"/>
          <w:b/>
          <w:sz w:val="24"/>
        </w:rPr>
      </w:pPr>
    </w:p>
    <w:p w:rsidRPr="004062C3" w:rsidR="009E118C" w:rsidP="004062C3" w:rsidRDefault="00687647" w14:paraId="0C6243D6" w14:textId="31449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HUD-95</w:t>
      </w:r>
      <w:r w:rsidR="00DA717A">
        <w:rPr>
          <w:rFonts w:ascii="Helvetica" w:hAnsi="Helvetica"/>
          <w:b/>
          <w:sz w:val="24"/>
        </w:rPr>
        <w:t>1</w:t>
      </w:r>
      <w:r>
        <w:rPr>
          <w:rFonts w:ascii="Helvetica" w:hAnsi="Helvetica"/>
          <w:b/>
          <w:sz w:val="24"/>
        </w:rPr>
        <w:t>9</w:t>
      </w:r>
      <w:r w:rsidR="00772E7E">
        <w:rPr>
          <w:rFonts w:ascii="Helvetica" w:hAnsi="Helvetica"/>
          <w:b/>
          <w:sz w:val="24"/>
        </w:rPr>
        <w:t>-A</w:t>
      </w:r>
      <w:r w:rsidR="009842DE">
        <w:rPr>
          <w:rFonts w:ascii="Helvetica" w:hAnsi="Helvetica"/>
          <w:b/>
          <w:sz w:val="24"/>
        </w:rPr>
        <w:t>, HUD-9539</w:t>
      </w:r>
      <w:r w:rsidR="00DD69FB">
        <w:rPr>
          <w:rFonts w:ascii="Helvetica" w:hAnsi="Helvetica"/>
          <w:b/>
          <w:sz w:val="24"/>
        </w:rPr>
        <w:t>,</w:t>
      </w:r>
      <w:r w:rsidRPr="00075E52" w:rsidR="00075E52">
        <w:rPr>
          <w:rFonts w:ascii="Helvetica" w:hAnsi="Helvetica"/>
          <w:b/>
          <w:sz w:val="24"/>
        </w:rPr>
        <w:t xml:space="preserve"> </w:t>
      </w:r>
      <w:r w:rsidR="00075E52">
        <w:rPr>
          <w:rFonts w:ascii="Helvetica" w:hAnsi="Helvetica"/>
          <w:b/>
          <w:sz w:val="24"/>
        </w:rPr>
        <w:t>HUD-</w:t>
      </w:r>
      <w:r w:rsidR="00D17036">
        <w:rPr>
          <w:rFonts w:ascii="Helvetica" w:hAnsi="Helvetica"/>
          <w:b/>
          <w:sz w:val="24"/>
        </w:rPr>
        <w:t>27011,</w:t>
      </w:r>
      <w:r w:rsidRPr="00075E52" w:rsidR="00075E52">
        <w:rPr>
          <w:rFonts w:ascii="Helvetica" w:hAnsi="Helvetica"/>
          <w:b/>
          <w:sz w:val="24"/>
        </w:rPr>
        <w:t xml:space="preserve"> </w:t>
      </w:r>
      <w:r w:rsidR="00075E52">
        <w:rPr>
          <w:rFonts w:ascii="Helvetica" w:hAnsi="Helvetica"/>
          <w:b/>
          <w:sz w:val="24"/>
        </w:rPr>
        <w:t>HUD-5</w:t>
      </w:r>
      <w:r w:rsidR="0058359F">
        <w:rPr>
          <w:rFonts w:ascii="Helvetica" w:hAnsi="Helvetica"/>
          <w:b/>
          <w:sz w:val="24"/>
        </w:rPr>
        <w:t>0002,</w:t>
      </w:r>
      <w:r w:rsidRPr="00075E52" w:rsidR="00075E52">
        <w:rPr>
          <w:rFonts w:ascii="Helvetica" w:hAnsi="Helvetica"/>
          <w:b/>
          <w:sz w:val="24"/>
        </w:rPr>
        <w:t xml:space="preserve"> </w:t>
      </w:r>
      <w:r w:rsidR="00075E52">
        <w:rPr>
          <w:rFonts w:ascii="Helvetica" w:hAnsi="Helvetica"/>
          <w:b/>
          <w:sz w:val="24"/>
        </w:rPr>
        <w:t>HUD-5</w:t>
      </w:r>
      <w:r w:rsidR="0058359F">
        <w:rPr>
          <w:rFonts w:ascii="Helvetica" w:hAnsi="Helvetica"/>
          <w:b/>
          <w:sz w:val="24"/>
        </w:rPr>
        <w:t>0012</w:t>
      </w:r>
    </w:p>
    <w:p w:rsidRPr="00575D07" w:rsidR="009E118C" w:rsidP="009E118C" w:rsidRDefault="009E118C" w14:paraId="30D1298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75D07">
        <w:rPr>
          <w:rFonts w:ascii="Helvetica" w:hAnsi="Helvetica"/>
          <w:b/>
          <w:sz w:val="24"/>
        </w:rPr>
        <w:t xml:space="preserve">A. </w:t>
      </w:r>
      <w:r w:rsidRPr="00575D07">
        <w:rPr>
          <w:rFonts w:ascii="Helvetica" w:hAnsi="Helvetica"/>
          <w:b/>
          <w:sz w:val="24"/>
        </w:rPr>
        <w:tab/>
        <w:t>Justification</w:t>
      </w:r>
    </w:p>
    <w:p w:rsidR="00075224" w:rsidP="00075224" w:rsidRDefault="00075224" w14:paraId="63340AFE" w14:textId="1DF616E6">
      <w:pPr>
        <w:rPr>
          <w:rFonts w:ascii="Times New Roman" w:hAnsi="Times New Roman"/>
          <w:sz w:val="24"/>
          <w:szCs w:val="24"/>
        </w:rPr>
      </w:pPr>
      <w:r w:rsidRPr="00575D07">
        <w:rPr>
          <w:rFonts w:ascii="Times New Roman" w:hAnsi="Times New Roman"/>
          <w:sz w:val="24"/>
          <w:szCs w:val="24"/>
        </w:rPr>
        <w:t xml:space="preserve">1. </w:t>
      </w:r>
      <w:r w:rsidRPr="006D121C">
        <w:rPr>
          <w:rFonts w:ascii="Times New Roman" w:hAnsi="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75D07">
        <w:rPr>
          <w:rFonts w:ascii="Times New Roman" w:hAnsi="Times New Roman"/>
          <w:sz w:val="24"/>
          <w:szCs w:val="24"/>
        </w:rPr>
        <w:t xml:space="preserve"> </w:t>
      </w:r>
    </w:p>
    <w:p w:rsidR="00241CE4" w:rsidP="00241CE4" w:rsidRDefault="00241CE4" w14:paraId="4C83C18C" w14:textId="71BA44E6">
      <w:pPr>
        <w:spacing w:line="240" w:lineRule="auto"/>
        <w:rPr>
          <w:rFonts w:ascii="Times New Roman" w:hAnsi="Times New Roman"/>
          <w:sz w:val="24"/>
        </w:rPr>
      </w:pPr>
      <w:r w:rsidRPr="007D4EE5">
        <w:rPr>
          <w:rFonts w:ascii="Times New Roman" w:hAnsi="Times New Roman"/>
          <w:sz w:val="24"/>
        </w:rPr>
        <w:t>The Nation</w:t>
      </w:r>
      <w:r>
        <w:rPr>
          <w:rFonts w:ascii="Times New Roman" w:hAnsi="Times New Roman"/>
          <w:sz w:val="24"/>
        </w:rPr>
        <w:t>al Housing Act (P</w:t>
      </w:r>
      <w:r w:rsidR="00772E7E">
        <w:rPr>
          <w:rFonts w:ascii="Times New Roman" w:hAnsi="Times New Roman"/>
          <w:sz w:val="24"/>
        </w:rPr>
        <w:t>ub</w:t>
      </w:r>
      <w:r>
        <w:rPr>
          <w:rFonts w:ascii="Times New Roman" w:hAnsi="Times New Roman"/>
          <w:sz w:val="24"/>
        </w:rPr>
        <w:t>.</w:t>
      </w:r>
      <w:r w:rsidR="00772E7E">
        <w:rPr>
          <w:rFonts w:ascii="Times New Roman" w:hAnsi="Times New Roman"/>
          <w:sz w:val="24"/>
        </w:rPr>
        <w:t xml:space="preserve"> </w:t>
      </w:r>
      <w:r>
        <w:rPr>
          <w:rFonts w:ascii="Times New Roman" w:hAnsi="Times New Roman"/>
          <w:sz w:val="24"/>
        </w:rPr>
        <w:t xml:space="preserve">L. </w:t>
      </w:r>
      <w:r w:rsidR="00772E7E">
        <w:rPr>
          <w:rFonts w:ascii="Times New Roman" w:hAnsi="Times New Roman"/>
          <w:sz w:val="24"/>
        </w:rPr>
        <w:t>73-</w:t>
      </w:r>
      <w:r>
        <w:rPr>
          <w:rFonts w:ascii="Times New Roman" w:hAnsi="Times New Roman"/>
          <w:sz w:val="24"/>
        </w:rPr>
        <w:t>479, 48 Stat. 1246, 12 U.S.C. 1701</w:t>
      </w:r>
      <w:r w:rsidR="00772E7E">
        <w:rPr>
          <w:rFonts w:ascii="Times New Roman" w:hAnsi="Times New Roman"/>
          <w:sz w:val="24"/>
        </w:rPr>
        <w:t>,</w:t>
      </w:r>
      <w:r>
        <w:rPr>
          <w:rFonts w:ascii="Times New Roman" w:hAnsi="Times New Roman"/>
          <w:sz w:val="24"/>
        </w:rPr>
        <w:t xml:space="preserve"> </w:t>
      </w:r>
      <w:r w:rsidRPr="00772E7E">
        <w:rPr>
          <w:rFonts w:ascii="Times New Roman" w:hAnsi="Times New Roman"/>
          <w:i/>
          <w:iCs/>
          <w:sz w:val="24"/>
        </w:rPr>
        <w:t>et seq</w:t>
      </w:r>
      <w:r>
        <w:rPr>
          <w:rFonts w:ascii="Times New Roman" w:hAnsi="Times New Roman"/>
          <w:sz w:val="24"/>
        </w:rPr>
        <w:t xml:space="preserve">.) </w:t>
      </w:r>
      <w:r w:rsidR="0084411E">
        <w:rPr>
          <w:rFonts w:ascii="Times New Roman" w:hAnsi="Times New Roman"/>
          <w:sz w:val="24"/>
        </w:rPr>
        <w:t xml:space="preserve">(Act) </w:t>
      </w:r>
      <w:r>
        <w:rPr>
          <w:rFonts w:ascii="Times New Roman" w:hAnsi="Times New Roman"/>
          <w:sz w:val="24"/>
        </w:rPr>
        <w:t xml:space="preserve">authorizes the Secretary of </w:t>
      </w:r>
      <w:r w:rsidR="00A56D63">
        <w:rPr>
          <w:rFonts w:ascii="Times New Roman" w:hAnsi="Times New Roman"/>
          <w:sz w:val="24"/>
        </w:rPr>
        <w:t xml:space="preserve">the U.S. </w:t>
      </w:r>
      <w:r w:rsidR="00F8048A">
        <w:rPr>
          <w:rFonts w:ascii="Times New Roman" w:hAnsi="Times New Roman"/>
          <w:sz w:val="24"/>
        </w:rPr>
        <w:t xml:space="preserve">Department of </w:t>
      </w:r>
      <w:r>
        <w:rPr>
          <w:rFonts w:ascii="Times New Roman" w:hAnsi="Times New Roman"/>
          <w:sz w:val="24"/>
        </w:rPr>
        <w:t>Housing and Urban Development (HUD</w:t>
      </w:r>
      <w:r w:rsidR="00F8048A">
        <w:rPr>
          <w:rFonts w:ascii="Times New Roman" w:hAnsi="Times New Roman"/>
          <w:sz w:val="24"/>
        </w:rPr>
        <w:t xml:space="preserve"> or Department</w:t>
      </w:r>
      <w:r>
        <w:rPr>
          <w:rFonts w:ascii="Times New Roman" w:hAnsi="Times New Roman"/>
          <w:sz w:val="24"/>
        </w:rPr>
        <w:t xml:space="preserve">) to insure financial institutions against losses as a result of </w:t>
      </w:r>
      <w:r w:rsidR="00F8048A">
        <w:rPr>
          <w:rFonts w:ascii="Times New Roman" w:hAnsi="Times New Roman"/>
          <w:sz w:val="24"/>
        </w:rPr>
        <w:t>M</w:t>
      </w:r>
      <w:r>
        <w:rPr>
          <w:rFonts w:ascii="Times New Roman" w:hAnsi="Times New Roman"/>
          <w:sz w:val="24"/>
        </w:rPr>
        <w:t xml:space="preserve">ortgagor defaults on </w:t>
      </w:r>
      <w:r w:rsidR="00F8048A">
        <w:rPr>
          <w:rFonts w:ascii="Times New Roman" w:hAnsi="Times New Roman"/>
          <w:sz w:val="24"/>
        </w:rPr>
        <w:t>S</w:t>
      </w:r>
      <w:r>
        <w:rPr>
          <w:rFonts w:ascii="Times New Roman" w:hAnsi="Times New Roman"/>
          <w:sz w:val="24"/>
        </w:rPr>
        <w:t>ingle</w:t>
      </w:r>
      <w:r w:rsidR="005E034E">
        <w:rPr>
          <w:rFonts w:ascii="Times New Roman" w:hAnsi="Times New Roman"/>
          <w:sz w:val="24"/>
        </w:rPr>
        <w:t xml:space="preserve"> </w:t>
      </w:r>
      <w:r w:rsidR="00F8048A">
        <w:rPr>
          <w:rFonts w:ascii="Times New Roman" w:hAnsi="Times New Roman"/>
          <w:sz w:val="24"/>
        </w:rPr>
        <w:t>F</w:t>
      </w:r>
      <w:r>
        <w:rPr>
          <w:rFonts w:ascii="Times New Roman" w:hAnsi="Times New Roman"/>
          <w:sz w:val="24"/>
        </w:rPr>
        <w:t xml:space="preserve">amily </w:t>
      </w:r>
      <w:r w:rsidR="00F8048A">
        <w:rPr>
          <w:rFonts w:ascii="Times New Roman" w:hAnsi="Times New Roman"/>
          <w:sz w:val="24"/>
        </w:rPr>
        <w:t>M</w:t>
      </w:r>
      <w:r>
        <w:rPr>
          <w:rFonts w:ascii="Times New Roman" w:hAnsi="Times New Roman"/>
          <w:sz w:val="24"/>
        </w:rPr>
        <w:t xml:space="preserve">ortgages.  The Act also allows HUD to deal with, complete, rent, renovate, modernize, insure, or sell for cash or credit, at his/her discretion, any properties conveyed to the Department under contracts of mortgage insurance.  </w:t>
      </w:r>
      <w:r w:rsidRPr="001C7D9A">
        <w:rPr>
          <w:rFonts w:ascii="Times New Roman" w:hAnsi="Times New Roman"/>
          <w:sz w:val="24"/>
        </w:rPr>
        <w:t>The re</w:t>
      </w:r>
      <w:r>
        <w:rPr>
          <w:rFonts w:ascii="Times New Roman" w:hAnsi="Times New Roman"/>
          <w:sz w:val="24"/>
        </w:rPr>
        <w:t>gulatory authority</w:t>
      </w:r>
      <w:r w:rsidRPr="001C7D9A">
        <w:rPr>
          <w:rFonts w:ascii="Times New Roman" w:hAnsi="Times New Roman"/>
          <w:sz w:val="24"/>
        </w:rPr>
        <w:t xml:space="preserve"> for this </w:t>
      </w:r>
      <w:r>
        <w:rPr>
          <w:rFonts w:ascii="Times New Roman" w:hAnsi="Times New Roman"/>
          <w:sz w:val="24"/>
        </w:rPr>
        <w:t>collection of information</w:t>
      </w:r>
      <w:r w:rsidRPr="001C7D9A">
        <w:rPr>
          <w:rFonts w:ascii="Times New Roman" w:hAnsi="Times New Roman"/>
          <w:sz w:val="24"/>
        </w:rPr>
        <w:t xml:space="preserve"> </w:t>
      </w:r>
      <w:r w:rsidR="00F8048A">
        <w:rPr>
          <w:rFonts w:ascii="Times New Roman" w:hAnsi="Times New Roman"/>
          <w:sz w:val="24"/>
        </w:rPr>
        <w:t>is</w:t>
      </w:r>
      <w:r w:rsidRPr="001C7D9A">
        <w:rPr>
          <w:rFonts w:ascii="Times New Roman" w:hAnsi="Times New Roman"/>
          <w:sz w:val="24"/>
        </w:rPr>
        <w:t xml:space="preserve"> specifically set forth in Title 24 of the Code of Federal Regulations (CFR) </w:t>
      </w:r>
      <w:r>
        <w:rPr>
          <w:rFonts w:ascii="Times New Roman" w:hAnsi="Times New Roman"/>
          <w:sz w:val="24"/>
        </w:rPr>
        <w:t>in numerous locations:</w:t>
      </w:r>
      <w:r w:rsidRPr="001C7D9A">
        <w:rPr>
          <w:rFonts w:ascii="Times New Roman" w:hAnsi="Times New Roman"/>
          <w:sz w:val="24"/>
        </w:rPr>
        <w:t xml:space="preserve"> 24 </w:t>
      </w:r>
      <w:r w:rsidR="00F8048A">
        <w:rPr>
          <w:rFonts w:ascii="Times New Roman" w:hAnsi="Times New Roman"/>
          <w:sz w:val="24"/>
        </w:rPr>
        <w:t xml:space="preserve">CFR </w:t>
      </w:r>
      <w:r w:rsidRPr="001C7D9A">
        <w:rPr>
          <w:rFonts w:ascii="Times New Roman" w:hAnsi="Times New Roman"/>
          <w:sz w:val="24"/>
        </w:rPr>
        <w:t xml:space="preserve">203.350, 203.355, </w:t>
      </w:r>
      <w:r>
        <w:rPr>
          <w:rFonts w:ascii="Times New Roman" w:hAnsi="Times New Roman"/>
          <w:sz w:val="24"/>
        </w:rPr>
        <w:t xml:space="preserve">203.357, </w:t>
      </w:r>
      <w:r w:rsidRPr="001C7D9A">
        <w:rPr>
          <w:rFonts w:ascii="Times New Roman" w:hAnsi="Times New Roman"/>
          <w:sz w:val="24"/>
        </w:rPr>
        <w:t>203.359</w:t>
      </w:r>
      <w:r>
        <w:rPr>
          <w:rFonts w:ascii="Times New Roman" w:hAnsi="Times New Roman"/>
          <w:sz w:val="24"/>
        </w:rPr>
        <w:t xml:space="preserve">, 203.360, </w:t>
      </w:r>
      <w:r w:rsidRPr="001C7D9A">
        <w:rPr>
          <w:rFonts w:ascii="Times New Roman" w:hAnsi="Times New Roman"/>
          <w:sz w:val="24"/>
        </w:rPr>
        <w:t>203.362</w:t>
      </w:r>
      <w:r>
        <w:rPr>
          <w:rFonts w:ascii="Times New Roman" w:hAnsi="Times New Roman"/>
          <w:sz w:val="24"/>
        </w:rPr>
        <w:t xml:space="preserve"> through</w:t>
      </w:r>
      <w:r w:rsidRPr="001C7D9A">
        <w:rPr>
          <w:rFonts w:ascii="Times New Roman" w:hAnsi="Times New Roman"/>
          <w:sz w:val="24"/>
        </w:rPr>
        <w:t xml:space="preserve"> 203.365, 203.368</w:t>
      </w:r>
      <w:r>
        <w:rPr>
          <w:rFonts w:ascii="Times New Roman" w:hAnsi="Times New Roman"/>
          <w:sz w:val="24"/>
        </w:rPr>
        <w:t xml:space="preserve">, </w:t>
      </w:r>
      <w:r w:rsidRPr="001C7D9A">
        <w:rPr>
          <w:rFonts w:ascii="Times New Roman" w:hAnsi="Times New Roman"/>
          <w:sz w:val="24"/>
        </w:rPr>
        <w:t>203.3</w:t>
      </w:r>
      <w:r>
        <w:rPr>
          <w:rFonts w:ascii="Times New Roman" w:hAnsi="Times New Roman"/>
          <w:sz w:val="24"/>
        </w:rPr>
        <w:t>69</w:t>
      </w:r>
      <w:r w:rsidRPr="001C7D9A">
        <w:rPr>
          <w:rFonts w:ascii="Times New Roman" w:hAnsi="Times New Roman"/>
          <w:sz w:val="24"/>
        </w:rPr>
        <w:t xml:space="preserve">, 203.377, 203.378, 203.379, 203.381, 203.382, 203.389, 203.402, </w:t>
      </w:r>
      <w:r>
        <w:rPr>
          <w:rFonts w:ascii="Times New Roman" w:hAnsi="Times New Roman"/>
          <w:sz w:val="24"/>
        </w:rPr>
        <w:t xml:space="preserve">203.414, </w:t>
      </w:r>
      <w:r w:rsidR="00F8048A">
        <w:rPr>
          <w:rFonts w:ascii="Times New Roman" w:hAnsi="Times New Roman"/>
          <w:sz w:val="24"/>
        </w:rPr>
        <w:t xml:space="preserve">and </w:t>
      </w:r>
      <w:r w:rsidRPr="001C7D9A">
        <w:rPr>
          <w:rFonts w:ascii="Times New Roman" w:hAnsi="Times New Roman"/>
          <w:sz w:val="24"/>
        </w:rPr>
        <w:t>203.670</w:t>
      </w:r>
      <w:r>
        <w:rPr>
          <w:rFonts w:ascii="Times New Roman" w:hAnsi="Times New Roman"/>
          <w:sz w:val="24"/>
        </w:rPr>
        <w:t xml:space="preserve"> through 203.681</w:t>
      </w:r>
      <w:r w:rsidRPr="001C7D9A">
        <w:rPr>
          <w:rFonts w:ascii="Times New Roman" w:hAnsi="Times New Roman"/>
          <w:sz w:val="24"/>
        </w:rPr>
        <w:t>.</w:t>
      </w:r>
    </w:p>
    <w:p w:rsidRPr="00575D07" w:rsidR="00757646" w:rsidP="007036AE" w:rsidRDefault="007E2605" w14:paraId="4DA52254" w14:textId="31CD734D">
      <w:pPr>
        <w:spacing w:line="240" w:lineRule="auto"/>
        <w:rPr>
          <w:rFonts w:ascii="Times New Roman" w:hAnsi="Times New Roman"/>
          <w:sz w:val="24"/>
          <w:szCs w:val="24"/>
        </w:rPr>
      </w:pPr>
      <w:r w:rsidRPr="008D305A">
        <w:rPr>
          <w:rFonts w:ascii="Times New Roman" w:hAnsi="Times New Roman"/>
          <w:sz w:val="24"/>
          <w:szCs w:val="24"/>
        </w:rPr>
        <w:t>Federal Housing Administration (FHA)</w:t>
      </w:r>
      <w:r w:rsidRPr="00FB1304" w:rsidR="00FB1304">
        <w:rPr>
          <w:rFonts w:ascii="Times New Roman" w:hAnsi="Times New Roman"/>
          <w:sz w:val="24"/>
          <w:szCs w:val="24"/>
        </w:rPr>
        <w:t>-</w:t>
      </w:r>
      <w:r w:rsidR="00F8048A">
        <w:rPr>
          <w:rFonts w:ascii="Times New Roman" w:hAnsi="Times New Roman"/>
          <w:sz w:val="24"/>
          <w:szCs w:val="24"/>
        </w:rPr>
        <w:t>i</w:t>
      </w:r>
      <w:r w:rsidRPr="00FB1304" w:rsidR="00FB1304">
        <w:rPr>
          <w:rFonts w:ascii="Times New Roman" w:hAnsi="Times New Roman"/>
          <w:sz w:val="24"/>
          <w:szCs w:val="24"/>
        </w:rPr>
        <w:t xml:space="preserve">nsured </w:t>
      </w:r>
      <w:r w:rsidR="00F8048A">
        <w:rPr>
          <w:rFonts w:ascii="Times New Roman" w:hAnsi="Times New Roman"/>
          <w:sz w:val="24"/>
          <w:szCs w:val="24"/>
        </w:rPr>
        <w:t>m</w:t>
      </w:r>
      <w:r w:rsidRPr="00FB1304" w:rsidR="00FB1304">
        <w:rPr>
          <w:rFonts w:ascii="Times New Roman" w:hAnsi="Times New Roman"/>
          <w:sz w:val="24"/>
          <w:szCs w:val="24"/>
        </w:rPr>
        <w:t xml:space="preserve">ortgage </w:t>
      </w:r>
      <w:r w:rsidR="00F8048A">
        <w:rPr>
          <w:rFonts w:ascii="Times New Roman" w:hAnsi="Times New Roman"/>
          <w:sz w:val="24"/>
          <w:szCs w:val="24"/>
        </w:rPr>
        <w:t>l</w:t>
      </w:r>
      <w:r w:rsidRPr="00FB1304" w:rsidR="00FB1304">
        <w:rPr>
          <w:rFonts w:ascii="Times New Roman" w:hAnsi="Times New Roman"/>
          <w:sz w:val="24"/>
          <w:szCs w:val="24"/>
        </w:rPr>
        <w:t xml:space="preserve">oan </w:t>
      </w:r>
      <w:r w:rsidR="00F8048A">
        <w:rPr>
          <w:rFonts w:ascii="Times New Roman" w:hAnsi="Times New Roman"/>
          <w:sz w:val="24"/>
          <w:szCs w:val="24"/>
        </w:rPr>
        <w:t>s</w:t>
      </w:r>
      <w:r w:rsidRPr="00FB1304" w:rsidR="00FB1304">
        <w:rPr>
          <w:rFonts w:ascii="Times New Roman" w:hAnsi="Times New Roman"/>
          <w:sz w:val="24"/>
          <w:szCs w:val="24"/>
        </w:rPr>
        <w:t xml:space="preserve">ervicing </w:t>
      </w:r>
      <w:r w:rsidR="00F8048A">
        <w:rPr>
          <w:rFonts w:ascii="Times New Roman" w:hAnsi="Times New Roman"/>
          <w:sz w:val="24"/>
          <w:szCs w:val="24"/>
        </w:rPr>
        <w:t>i</w:t>
      </w:r>
      <w:r w:rsidRPr="00FB1304" w:rsidR="00FB1304">
        <w:rPr>
          <w:rFonts w:ascii="Times New Roman" w:hAnsi="Times New Roman"/>
          <w:sz w:val="24"/>
          <w:szCs w:val="24"/>
        </w:rPr>
        <w:t xml:space="preserve">nvolving the </w:t>
      </w:r>
      <w:r w:rsidR="00F8048A">
        <w:rPr>
          <w:rFonts w:ascii="Times New Roman" w:hAnsi="Times New Roman"/>
          <w:sz w:val="24"/>
          <w:szCs w:val="24"/>
        </w:rPr>
        <w:t>c</w:t>
      </w:r>
      <w:r w:rsidRPr="00FB1304" w:rsidR="00FB1304">
        <w:rPr>
          <w:rFonts w:ascii="Times New Roman" w:hAnsi="Times New Roman"/>
          <w:sz w:val="24"/>
          <w:szCs w:val="24"/>
        </w:rPr>
        <w:t xml:space="preserve">laims and </w:t>
      </w:r>
      <w:r w:rsidR="00F8048A">
        <w:rPr>
          <w:rFonts w:ascii="Times New Roman" w:hAnsi="Times New Roman"/>
          <w:sz w:val="24"/>
          <w:szCs w:val="24"/>
        </w:rPr>
        <w:t>c</w:t>
      </w:r>
      <w:r w:rsidRPr="00FB1304" w:rsidR="00FB1304">
        <w:rPr>
          <w:rFonts w:ascii="Times New Roman" w:hAnsi="Times New Roman"/>
          <w:sz w:val="24"/>
          <w:szCs w:val="24"/>
        </w:rPr>
        <w:t xml:space="preserve">onveyance </w:t>
      </w:r>
      <w:r w:rsidR="00F8048A">
        <w:rPr>
          <w:rFonts w:ascii="Times New Roman" w:hAnsi="Times New Roman"/>
          <w:sz w:val="24"/>
          <w:szCs w:val="24"/>
        </w:rPr>
        <w:t>p</w:t>
      </w:r>
      <w:r w:rsidRPr="00FB1304" w:rsidR="00FB1304">
        <w:rPr>
          <w:rFonts w:ascii="Times New Roman" w:hAnsi="Times New Roman"/>
          <w:sz w:val="24"/>
          <w:szCs w:val="24"/>
        </w:rPr>
        <w:t xml:space="preserve">rocess, </w:t>
      </w:r>
      <w:r w:rsidR="00F8048A">
        <w:rPr>
          <w:rFonts w:ascii="Times New Roman" w:hAnsi="Times New Roman"/>
          <w:sz w:val="24"/>
          <w:szCs w:val="24"/>
        </w:rPr>
        <w:t>p</w:t>
      </w:r>
      <w:r w:rsidRPr="00FB1304" w:rsidR="00FB1304">
        <w:rPr>
          <w:rFonts w:ascii="Times New Roman" w:hAnsi="Times New Roman"/>
          <w:sz w:val="24"/>
          <w:szCs w:val="24"/>
        </w:rPr>
        <w:t xml:space="preserve">roperty </w:t>
      </w:r>
      <w:r w:rsidR="00F8048A">
        <w:rPr>
          <w:rFonts w:ascii="Times New Roman" w:hAnsi="Times New Roman"/>
          <w:sz w:val="24"/>
          <w:szCs w:val="24"/>
        </w:rPr>
        <w:t>i</w:t>
      </w:r>
      <w:r w:rsidRPr="00FB1304" w:rsidR="00FB1304">
        <w:rPr>
          <w:rFonts w:ascii="Times New Roman" w:hAnsi="Times New Roman"/>
          <w:sz w:val="24"/>
          <w:szCs w:val="24"/>
        </w:rPr>
        <w:t>nspection</w:t>
      </w:r>
      <w:r w:rsidR="00F8048A">
        <w:rPr>
          <w:rFonts w:ascii="Times New Roman" w:hAnsi="Times New Roman"/>
          <w:sz w:val="24"/>
          <w:szCs w:val="24"/>
        </w:rPr>
        <w:t>,</w:t>
      </w:r>
      <w:r w:rsidR="007B0390">
        <w:rPr>
          <w:rFonts w:ascii="Times New Roman" w:hAnsi="Times New Roman"/>
          <w:sz w:val="24"/>
          <w:szCs w:val="24"/>
        </w:rPr>
        <w:t xml:space="preserve"> and </w:t>
      </w:r>
      <w:r w:rsidR="00F8048A">
        <w:rPr>
          <w:rFonts w:ascii="Times New Roman" w:hAnsi="Times New Roman"/>
          <w:sz w:val="24"/>
          <w:szCs w:val="24"/>
        </w:rPr>
        <w:t>p</w:t>
      </w:r>
      <w:r w:rsidRPr="00FB1304" w:rsidR="00FB1304">
        <w:rPr>
          <w:rFonts w:ascii="Times New Roman" w:hAnsi="Times New Roman"/>
          <w:sz w:val="24"/>
          <w:szCs w:val="24"/>
        </w:rPr>
        <w:t>reservation</w:t>
      </w:r>
      <w:r w:rsidRPr="0017674D" w:rsidR="0017674D">
        <w:rPr>
          <w:rFonts w:ascii="Times New Roman" w:hAnsi="Times New Roman"/>
          <w:sz w:val="24"/>
          <w:szCs w:val="24"/>
        </w:rPr>
        <w:t xml:space="preserve"> program guidance is described in FHA’s Single Family Housing Policy Handbook 4000.1 (Handbook 4000.1), Section</w:t>
      </w:r>
      <w:r w:rsidR="008435B6">
        <w:rPr>
          <w:rFonts w:ascii="Times New Roman" w:hAnsi="Times New Roman"/>
          <w:sz w:val="24"/>
          <w:szCs w:val="24"/>
        </w:rPr>
        <w:t>s</w:t>
      </w:r>
      <w:r w:rsidRPr="0017674D" w:rsidR="0017674D">
        <w:rPr>
          <w:rFonts w:ascii="Times New Roman" w:hAnsi="Times New Roman"/>
          <w:sz w:val="24"/>
          <w:szCs w:val="24"/>
        </w:rPr>
        <w:t xml:space="preserve"> III.A.</w:t>
      </w:r>
      <w:r w:rsidR="00672892">
        <w:rPr>
          <w:rFonts w:ascii="Times New Roman" w:hAnsi="Times New Roman"/>
          <w:sz w:val="24"/>
          <w:szCs w:val="24"/>
        </w:rPr>
        <w:t>2</w:t>
      </w:r>
      <w:r w:rsidR="00185210">
        <w:rPr>
          <w:rFonts w:ascii="Times New Roman" w:hAnsi="Times New Roman"/>
          <w:sz w:val="24"/>
          <w:szCs w:val="24"/>
        </w:rPr>
        <w:t>.</w:t>
      </w:r>
      <w:r w:rsidR="005E034E">
        <w:rPr>
          <w:rFonts w:ascii="Times New Roman" w:hAnsi="Times New Roman"/>
          <w:sz w:val="24"/>
          <w:szCs w:val="24"/>
        </w:rPr>
        <w:t>a.-n. and</w:t>
      </w:r>
      <w:r w:rsidR="00F8048A">
        <w:rPr>
          <w:rFonts w:ascii="Times New Roman" w:hAnsi="Times New Roman"/>
          <w:sz w:val="24"/>
          <w:szCs w:val="24"/>
        </w:rPr>
        <w:t xml:space="preserve"> </w:t>
      </w:r>
      <w:r w:rsidR="00185210">
        <w:rPr>
          <w:rFonts w:ascii="Times New Roman" w:hAnsi="Times New Roman"/>
          <w:sz w:val="24"/>
          <w:szCs w:val="24"/>
        </w:rPr>
        <w:t>p</w:t>
      </w:r>
      <w:r w:rsidR="00CE4995">
        <w:rPr>
          <w:rFonts w:ascii="Times New Roman" w:hAnsi="Times New Roman"/>
          <w:sz w:val="24"/>
          <w:szCs w:val="24"/>
        </w:rPr>
        <w:t>.</w:t>
      </w:r>
      <w:r w:rsidR="00F8048A">
        <w:rPr>
          <w:rFonts w:ascii="Times New Roman" w:hAnsi="Times New Roman"/>
          <w:sz w:val="24"/>
          <w:szCs w:val="24"/>
        </w:rPr>
        <w:t>-</w:t>
      </w:r>
      <w:r w:rsidR="005E034E">
        <w:rPr>
          <w:rFonts w:ascii="Times New Roman" w:hAnsi="Times New Roman"/>
          <w:sz w:val="24"/>
          <w:szCs w:val="24"/>
        </w:rPr>
        <w:t>u</w:t>
      </w:r>
      <w:r w:rsidR="00826A31">
        <w:rPr>
          <w:rFonts w:ascii="Times New Roman" w:hAnsi="Times New Roman"/>
          <w:sz w:val="24"/>
          <w:szCs w:val="24"/>
        </w:rPr>
        <w:t>.</w:t>
      </w:r>
      <w:r w:rsidR="0033104E">
        <w:rPr>
          <w:rFonts w:ascii="Times New Roman" w:hAnsi="Times New Roman"/>
          <w:sz w:val="24"/>
          <w:szCs w:val="24"/>
        </w:rPr>
        <w:t>,</w:t>
      </w:r>
      <w:r w:rsidRPr="0017674D" w:rsidR="0017674D">
        <w:rPr>
          <w:rFonts w:ascii="Times New Roman" w:hAnsi="Times New Roman"/>
          <w:sz w:val="24"/>
          <w:szCs w:val="24"/>
        </w:rPr>
        <w:t xml:space="preserve"> III.A.3.</w:t>
      </w:r>
      <w:r w:rsidR="005E034E">
        <w:rPr>
          <w:rFonts w:ascii="Times New Roman" w:hAnsi="Times New Roman"/>
          <w:sz w:val="24"/>
          <w:szCs w:val="24"/>
        </w:rPr>
        <w:t>b.-</w:t>
      </w:r>
      <w:r w:rsidR="00941579">
        <w:rPr>
          <w:rFonts w:ascii="Times New Roman" w:hAnsi="Times New Roman"/>
          <w:sz w:val="24"/>
          <w:szCs w:val="24"/>
        </w:rPr>
        <w:t>c.</w:t>
      </w:r>
      <w:r w:rsidR="0033104E">
        <w:rPr>
          <w:rFonts w:ascii="Times New Roman" w:hAnsi="Times New Roman"/>
          <w:sz w:val="24"/>
          <w:szCs w:val="24"/>
        </w:rPr>
        <w:t>, and IV.A.l.-</w:t>
      </w:r>
      <w:r w:rsidR="005E034E">
        <w:rPr>
          <w:rFonts w:ascii="Times New Roman" w:hAnsi="Times New Roman"/>
          <w:sz w:val="24"/>
          <w:szCs w:val="24"/>
        </w:rPr>
        <w:t>6</w:t>
      </w:r>
      <w:r w:rsidR="0033104E">
        <w:rPr>
          <w:rFonts w:ascii="Times New Roman" w:hAnsi="Times New Roman"/>
          <w:sz w:val="24"/>
          <w:szCs w:val="24"/>
        </w:rPr>
        <w:t>.</w:t>
      </w:r>
    </w:p>
    <w:p w:rsidRPr="006D121C" w:rsidR="00075224" w:rsidP="00075224" w:rsidRDefault="00075224" w14:paraId="5E96AD61" w14:textId="3C901633">
      <w:pPr>
        <w:rPr>
          <w:rFonts w:ascii="Times New Roman" w:hAnsi="Times New Roman"/>
          <w:b/>
          <w:bCs/>
          <w:sz w:val="24"/>
          <w:szCs w:val="24"/>
        </w:rPr>
      </w:pPr>
      <w:r w:rsidRPr="00575D07">
        <w:rPr>
          <w:rFonts w:ascii="Times New Roman" w:hAnsi="Times New Roman"/>
          <w:sz w:val="24"/>
          <w:szCs w:val="24"/>
        </w:rPr>
        <w:t xml:space="preserve">2. </w:t>
      </w:r>
      <w:r w:rsidRPr="006D121C">
        <w:rPr>
          <w:rFonts w:ascii="Times New Roman" w:hAnsi="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00BF222E" w:rsidP="00075224" w:rsidRDefault="00A7556B" w14:paraId="3110403A" w14:textId="263B5F43">
      <w:pPr>
        <w:rPr>
          <w:rFonts w:ascii="Times New Roman" w:hAnsi="Times New Roman"/>
          <w:sz w:val="24"/>
          <w:szCs w:val="24"/>
        </w:rPr>
      </w:pPr>
      <w:r w:rsidRPr="00AA4464">
        <w:rPr>
          <w:rFonts w:ascii="Times New Roman" w:hAnsi="Times New Roman"/>
          <w:sz w:val="24"/>
          <w:szCs w:val="24"/>
        </w:rPr>
        <w:t>The respondents for th</w:t>
      </w:r>
      <w:r w:rsidR="00BB0C2B">
        <w:rPr>
          <w:rFonts w:ascii="Times New Roman" w:hAnsi="Times New Roman"/>
          <w:sz w:val="24"/>
          <w:szCs w:val="24"/>
        </w:rPr>
        <w:t>is</w:t>
      </w:r>
      <w:r w:rsidRPr="00AA4464">
        <w:rPr>
          <w:rFonts w:ascii="Times New Roman" w:hAnsi="Times New Roman"/>
          <w:sz w:val="24"/>
          <w:szCs w:val="24"/>
        </w:rPr>
        <w:t xml:space="preserve"> collection </w:t>
      </w:r>
      <w:r w:rsidR="00BB0C2B">
        <w:rPr>
          <w:rFonts w:ascii="Times New Roman" w:hAnsi="Times New Roman"/>
          <w:sz w:val="24"/>
          <w:szCs w:val="24"/>
        </w:rPr>
        <w:t xml:space="preserve">of information </w:t>
      </w:r>
      <w:r w:rsidRPr="00AA4464">
        <w:rPr>
          <w:rFonts w:ascii="Times New Roman" w:hAnsi="Times New Roman"/>
          <w:sz w:val="24"/>
          <w:szCs w:val="24"/>
        </w:rPr>
        <w:t xml:space="preserve">are </w:t>
      </w:r>
      <w:r w:rsidR="001559C0">
        <w:rPr>
          <w:rFonts w:ascii="Times New Roman" w:hAnsi="Times New Roman"/>
          <w:sz w:val="24"/>
          <w:szCs w:val="24"/>
        </w:rPr>
        <w:t>Mortgagee</w:t>
      </w:r>
      <w:r w:rsidRPr="00AA4464">
        <w:rPr>
          <w:rFonts w:ascii="Times New Roman" w:hAnsi="Times New Roman"/>
          <w:sz w:val="24"/>
          <w:szCs w:val="24"/>
        </w:rPr>
        <w:t>s t</w:t>
      </w:r>
      <w:r w:rsidR="00FD2B91">
        <w:rPr>
          <w:rFonts w:ascii="Times New Roman" w:hAnsi="Times New Roman"/>
          <w:sz w:val="24"/>
          <w:szCs w:val="24"/>
        </w:rPr>
        <w:t>hat</w:t>
      </w:r>
      <w:r w:rsidRPr="00AA4464">
        <w:rPr>
          <w:rFonts w:ascii="Times New Roman" w:hAnsi="Times New Roman"/>
          <w:sz w:val="24"/>
          <w:szCs w:val="24"/>
        </w:rPr>
        <w:t xml:space="preserve"> service FHA-insured mortgage loans</w:t>
      </w:r>
      <w:r w:rsidR="00F44D48">
        <w:rPr>
          <w:rFonts w:ascii="Times New Roman" w:hAnsi="Times New Roman"/>
          <w:sz w:val="24"/>
          <w:szCs w:val="24"/>
        </w:rPr>
        <w:t xml:space="preserve">; </w:t>
      </w:r>
      <w:r w:rsidR="005E557A">
        <w:rPr>
          <w:rFonts w:ascii="Times New Roman" w:hAnsi="Times New Roman"/>
          <w:sz w:val="24"/>
          <w:szCs w:val="24"/>
        </w:rPr>
        <w:t>M</w:t>
      </w:r>
      <w:r w:rsidRPr="00AA4464">
        <w:rPr>
          <w:rFonts w:ascii="Times New Roman" w:hAnsi="Times New Roman"/>
          <w:sz w:val="24"/>
          <w:szCs w:val="24"/>
        </w:rPr>
        <w:t>ortgagors who are the homeowners</w:t>
      </w:r>
      <w:r w:rsidR="005E557A">
        <w:rPr>
          <w:rFonts w:ascii="Times New Roman" w:hAnsi="Times New Roman"/>
          <w:sz w:val="24"/>
          <w:szCs w:val="24"/>
        </w:rPr>
        <w:t>;</w:t>
      </w:r>
      <w:r w:rsidRPr="00B25E47" w:rsidR="00B25E47">
        <w:rPr>
          <w:rFonts w:ascii="Times New Roman" w:hAnsi="Times New Roman"/>
          <w:sz w:val="24"/>
          <w:szCs w:val="24"/>
        </w:rPr>
        <w:t xml:space="preserve"> </w:t>
      </w:r>
      <w:r w:rsidRPr="00AA4464" w:rsidR="00B25E47">
        <w:rPr>
          <w:rFonts w:ascii="Times New Roman" w:hAnsi="Times New Roman"/>
          <w:sz w:val="24"/>
          <w:szCs w:val="24"/>
        </w:rPr>
        <w:t xml:space="preserve">and </w:t>
      </w:r>
      <w:r w:rsidR="00934097">
        <w:rPr>
          <w:rFonts w:ascii="Times New Roman" w:hAnsi="Times New Roman"/>
          <w:sz w:val="24"/>
          <w:szCs w:val="24"/>
        </w:rPr>
        <w:t xml:space="preserve">the </w:t>
      </w:r>
      <w:r w:rsidR="005E557A">
        <w:rPr>
          <w:rFonts w:ascii="Times New Roman" w:hAnsi="Times New Roman"/>
          <w:sz w:val="24"/>
          <w:szCs w:val="24"/>
        </w:rPr>
        <w:t>M</w:t>
      </w:r>
      <w:r>
        <w:rPr>
          <w:rFonts w:ascii="Times New Roman" w:hAnsi="Times New Roman"/>
          <w:sz w:val="24"/>
          <w:szCs w:val="24"/>
        </w:rPr>
        <w:t xml:space="preserve">ortgage </w:t>
      </w:r>
      <w:r w:rsidR="005E557A">
        <w:rPr>
          <w:rFonts w:ascii="Times New Roman" w:hAnsi="Times New Roman"/>
          <w:sz w:val="24"/>
          <w:szCs w:val="24"/>
        </w:rPr>
        <w:t>C</w:t>
      </w:r>
      <w:r>
        <w:rPr>
          <w:rFonts w:ascii="Times New Roman" w:hAnsi="Times New Roman"/>
          <w:sz w:val="24"/>
          <w:szCs w:val="24"/>
        </w:rPr>
        <w:t xml:space="preserve">ompliance </w:t>
      </w:r>
      <w:r w:rsidR="005E557A">
        <w:rPr>
          <w:rFonts w:ascii="Times New Roman" w:hAnsi="Times New Roman"/>
          <w:sz w:val="24"/>
          <w:szCs w:val="24"/>
        </w:rPr>
        <w:t>Manager</w:t>
      </w:r>
      <w:r>
        <w:rPr>
          <w:rFonts w:ascii="Times New Roman" w:hAnsi="Times New Roman"/>
          <w:sz w:val="24"/>
          <w:szCs w:val="24"/>
        </w:rPr>
        <w:t xml:space="preserve"> (MCM</w:t>
      </w:r>
      <w:r w:rsidRPr="00AA4464">
        <w:rPr>
          <w:rFonts w:ascii="Times New Roman" w:hAnsi="Times New Roman"/>
          <w:sz w:val="24"/>
          <w:szCs w:val="24"/>
        </w:rPr>
        <w:t>)</w:t>
      </w:r>
      <w:r w:rsidR="00B949B2">
        <w:rPr>
          <w:rFonts w:ascii="Times New Roman" w:hAnsi="Times New Roman"/>
          <w:sz w:val="24"/>
          <w:szCs w:val="24"/>
        </w:rPr>
        <w:t xml:space="preserve"> </w:t>
      </w:r>
      <w:r w:rsidRPr="00AA4464" w:rsidR="00B949B2">
        <w:rPr>
          <w:rFonts w:ascii="Times New Roman" w:hAnsi="Times New Roman"/>
          <w:sz w:val="24"/>
          <w:szCs w:val="24"/>
        </w:rPr>
        <w:t>contractor</w:t>
      </w:r>
      <w:r w:rsidR="005E557A">
        <w:rPr>
          <w:rFonts w:ascii="Times New Roman" w:hAnsi="Times New Roman"/>
          <w:sz w:val="24"/>
          <w:szCs w:val="24"/>
        </w:rPr>
        <w:t xml:space="preserve"> </w:t>
      </w:r>
      <w:r w:rsidRPr="00AA4464">
        <w:rPr>
          <w:rFonts w:ascii="Times New Roman" w:hAnsi="Times New Roman"/>
          <w:sz w:val="24"/>
          <w:szCs w:val="24"/>
        </w:rPr>
        <w:t>who manage</w:t>
      </w:r>
      <w:r w:rsidR="00934097">
        <w:rPr>
          <w:rFonts w:ascii="Times New Roman" w:hAnsi="Times New Roman"/>
          <w:sz w:val="24"/>
          <w:szCs w:val="24"/>
        </w:rPr>
        <w:t>s</w:t>
      </w:r>
      <w:r w:rsidRPr="00AA4464">
        <w:rPr>
          <w:rFonts w:ascii="Times New Roman" w:hAnsi="Times New Roman"/>
          <w:sz w:val="24"/>
          <w:szCs w:val="24"/>
        </w:rPr>
        <w:t xml:space="preserve"> HUD</w:t>
      </w:r>
      <w:r w:rsidR="00934097">
        <w:rPr>
          <w:rFonts w:ascii="Times New Roman" w:hAnsi="Times New Roman"/>
          <w:sz w:val="24"/>
          <w:szCs w:val="24"/>
        </w:rPr>
        <w:t xml:space="preserve">’s </w:t>
      </w:r>
      <w:r w:rsidR="005E557A">
        <w:rPr>
          <w:rFonts w:ascii="Times New Roman" w:hAnsi="Times New Roman"/>
          <w:sz w:val="24"/>
          <w:szCs w:val="24"/>
        </w:rPr>
        <w:t>S</w:t>
      </w:r>
      <w:r w:rsidR="00934097">
        <w:rPr>
          <w:rFonts w:ascii="Times New Roman" w:hAnsi="Times New Roman"/>
          <w:sz w:val="24"/>
          <w:szCs w:val="24"/>
        </w:rPr>
        <w:t xml:space="preserve">ingle </w:t>
      </w:r>
      <w:r w:rsidR="005E557A">
        <w:rPr>
          <w:rFonts w:ascii="Times New Roman" w:hAnsi="Times New Roman"/>
          <w:sz w:val="24"/>
          <w:szCs w:val="24"/>
        </w:rPr>
        <w:t>F</w:t>
      </w:r>
      <w:r w:rsidR="00934097">
        <w:rPr>
          <w:rFonts w:ascii="Times New Roman" w:hAnsi="Times New Roman"/>
          <w:sz w:val="24"/>
          <w:szCs w:val="24"/>
        </w:rPr>
        <w:t>amily</w:t>
      </w:r>
      <w:r w:rsidRPr="00AA4464">
        <w:rPr>
          <w:rFonts w:ascii="Times New Roman" w:hAnsi="Times New Roman"/>
          <w:sz w:val="24"/>
          <w:szCs w:val="24"/>
        </w:rPr>
        <w:t xml:space="preserve"> </w:t>
      </w:r>
      <w:r>
        <w:rPr>
          <w:rFonts w:ascii="Times New Roman" w:hAnsi="Times New Roman"/>
          <w:sz w:val="24"/>
          <w:szCs w:val="24"/>
        </w:rPr>
        <w:t>real estate owned (</w:t>
      </w:r>
      <w:r w:rsidRPr="00AA4464">
        <w:rPr>
          <w:rFonts w:ascii="Times New Roman" w:hAnsi="Times New Roman"/>
          <w:sz w:val="24"/>
          <w:szCs w:val="24"/>
        </w:rPr>
        <w:t>REO</w:t>
      </w:r>
      <w:r>
        <w:rPr>
          <w:rFonts w:ascii="Times New Roman" w:hAnsi="Times New Roman"/>
          <w:sz w:val="24"/>
          <w:szCs w:val="24"/>
        </w:rPr>
        <w:t>)</w:t>
      </w:r>
      <w:r w:rsidRPr="00AA4464">
        <w:rPr>
          <w:rFonts w:ascii="Times New Roman" w:hAnsi="Times New Roman"/>
          <w:sz w:val="24"/>
          <w:szCs w:val="24"/>
        </w:rPr>
        <w:t xml:space="preserve"> activities.  </w:t>
      </w:r>
    </w:p>
    <w:p w:rsidR="00EB639B" w:rsidP="00075224" w:rsidRDefault="006B455E" w14:paraId="7EB07A91" w14:textId="6FEF0A09">
      <w:pPr>
        <w:rPr>
          <w:rFonts w:ascii="Times New Roman" w:hAnsi="Times New Roman"/>
          <w:sz w:val="24"/>
          <w:szCs w:val="24"/>
        </w:rPr>
      </w:pPr>
      <w:r w:rsidRPr="008D1320">
        <w:rPr>
          <w:rFonts w:ascii="Times New Roman" w:hAnsi="Times New Roman"/>
          <w:sz w:val="24"/>
          <w:szCs w:val="24"/>
        </w:rPr>
        <w:t>This information collection is</w:t>
      </w:r>
      <w:r w:rsidR="00874486">
        <w:rPr>
          <w:rFonts w:ascii="Times New Roman" w:hAnsi="Times New Roman"/>
          <w:sz w:val="24"/>
          <w:szCs w:val="24"/>
        </w:rPr>
        <w:t xml:space="preserve"> </w:t>
      </w:r>
      <w:r w:rsidRPr="008D1320">
        <w:rPr>
          <w:rFonts w:ascii="Times New Roman" w:hAnsi="Times New Roman"/>
          <w:sz w:val="24"/>
          <w:szCs w:val="24"/>
        </w:rPr>
        <w:t xml:space="preserve">based on the claim activity involving the </w:t>
      </w:r>
      <w:r w:rsidR="00EA3B05">
        <w:rPr>
          <w:rFonts w:ascii="Times New Roman" w:hAnsi="Times New Roman"/>
          <w:sz w:val="24"/>
          <w:szCs w:val="24"/>
        </w:rPr>
        <w:t xml:space="preserve">FHA-insured </w:t>
      </w:r>
      <w:r w:rsidRPr="008D1320">
        <w:rPr>
          <w:rFonts w:ascii="Times New Roman" w:hAnsi="Times New Roman"/>
          <w:sz w:val="24"/>
          <w:szCs w:val="24"/>
        </w:rPr>
        <w:t xml:space="preserve">mortgage loan </w:t>
      </w:r>
      <w:r w:rsidRPr="00AA4464">
        <w:rPr>
          <w:rFonts w:ascii="Times New Roman" w:hAnsi="Times New Roman"/>
          <w:sz w:val="24"/>
          <w:szCs w:val="24"/>
        </w:rPr>
        <w:t>servicing of foreclosed mortgage loans after the foreclosure</w:t>
      </w:r>
      <w:r>
        <w:rPr>
          <w:rFonts w:ascii="Times New Roman" w:hAnsi="Times New Roman"/>
          <w:sz w:val="24"/>
          <w:szCs w:val="24"/>
        </w:rPr>
        <w:t xml:space="preserve"> sale</w:t>
      </w:r>
      <w:r w:rsidRPr="00AA4464">
        <w:rPr>
          <w:rFonts w:ascii="Times New Roman" w:hAnsi="Times New Roman"/>
          <w:sz w:val="24"/>
          <w:szCs w:val="24"/>
        </w:rPr>
        <w:t xml:space="preserve">. </w:t>
      </w:r>
      <w:r w:rsidRPr="00617088">
        <w:t xml:space="preserve"> </w:t>
      </w:r>
      <w:r w:rsidR="005E557A">
        <w:t>I</w:t>
      </w:r>
      <w:r>
        <w:rPr>
          <w:rFonts w:ascii="Times New Roman" w:hAnsi="Times New Roman"/>
          <w:sz w:val="24"/>
          <w:szCs w:val="24"/>
        </w:rPr>
        <w:t xml:space="preserve">n recent years, improved market </w:t>
      </w:r>
      <w:r w:rsidRPr="00AA4464">
        <w:rPr>
          <w:rFonts w:ascii="Times New Roman" w:hAnsi="Times New Roman"/>
          <w:sz w:val="24"/>
          <w:szCs w:val="24"/>
        </w:rPr>
        <w:t>conditions</w:t>
      </w:r>
      <w:r>
        <w:rPr>
          <w:rFonts w:ascii="Times New Roman" w:hAnsi="Times New Roman"/>
          <w:sz w:val="24"/>
          <w:szCs w:val="24"/>
        </w:rPr>
        <w:t xml:space="preserve"> post-recession and the increased use of the HUD Claim Without Conveyance of Title (CWCOT) for disposition of foreclosed properties have decreased conveyance claims. </w:t>
      </w:r>
      <w:r w:rsidR="00561E6E">
        <w:rPr>
          <w:rFonts w:ascii="Times New Roman" w:hAnsi="Times New Roman"/>
          <w:sz w:val="24"/>
          <w:szCs w:val="24"/>
        </w:rPr>
        <w:t xml:space="preserve"> </w:t>
      </w:r>
    </w:p>
    <w:p w:rsidR="005E557A" w:rsidP="00075224" w:rsidRDefault="005E557A" w14:paraId="1C6B3A51" w14:textId="77777777">
      <w:pPr>
        <w:rPr>
          <w:rFonts w:ascii="Times New Roman" w:hAnsi="Times New Roman"/>
          <w:b/>
          <w:bCs/>
          <w:sz w:val="24"/>
          <w:szCs w:val="24"/>
        </w:rPr>
      </w:pPr>
    </w:p>
    <w:p w:rsidR="005E557A" w:rsidP="00075224" w:rsidRDefault="005E557A" w14:paraId="6432299F" w14:textId="77777777">
      <w:pPr>
        <w:rPr>
          <w:rFonts w:ascii="Times New Roman" w:hAnsi="Times New Roman"/>
          <w:b/>
          <w:bCs/>
          <w:sz w:val="24"/>
          <w:szCs w:val="24"/>
        </w:rPr>
      </w:pPr>
    </w:p>
    <w:p w:rsidR="00492170" w:rsidP="00075224" w:rsidRDefault="00721C2F" w14:paraId="62238766" w14:textId="58A8F0FE">
      <w:pPr>
        <w:rPr>
          <w:rFonts w:ascii="Times New Roman" w:hAnsi="Times New Roman"/>
          <w:b/>
          <w:bCs/>
          <w:sz w:val="24"/>
          <w:szCs w:val="24"/>
        </w:rPr>
      </w:pPr>
      <w:r>
        <w:rPr>
          <w:rFonts w:ascii="Times New Roman" w:hAnsi="Times New Roman"/>
          <w:b/>
          <w:bCs/>
          <w:sz w:val="24"/>
          <w:szCs w:val="24"/>
        </w:rPr>
        <w:lastRenderedPageBreak/>
        <w:t>Property Preservation</w:t>
      </w:r>
      <w:r w:rsidR="000E7BB7">
        <w:rPr>
          <w:rFonts w:ascii="Times New Roman" w:hAnsi="Times New Roman"/>
          <w:b/>
          <w:bCs/>
          <w:sz w:val="24"/>
          <w:szCs w:val="24"/>
        </w:rPr>
        <w:t xml:space="preserve"> and Disposition </w:t>
      </w:r>
      <w:r w:rsidR="00640A3F">
        <w:rPr>
          <w:rFonts w:ascii="Times New Roman" w:hAnsi="Times New Roman"/>
          <w:b/>
          <w:bCs/>
          <w:sz w:val="24"/>
          <w:szCs w:val="24"/>
        </w:rPr>
        <w:t>Claims</w:t>
      </w:r>
    </w:p>
    <w:p w:rsidR="00FF3987" w:rsidP="0084411E" w:rsidRDefault="00D14C6B" w14:paraId="057061FE" w14:textId="31CD298A">
      <w:pPr>
        <w:spacing w:after="0" w:line="240" w:lineRule="auto"/>
        <w:contextualSpacing/>
        <w:rPr>
          <w:rFonts w:ascii="Times New Roman" w:hAnsi="Times New Roman"/>
          <w:sz w:val="24"/>
          <w:szCs w:val="24"/>
        </w:rPr>
      </w:pPr>
      <w:r>
        <w:rPr>
          <w:rFonts w:ascii="Times New Roman" w:hAnsi="Times New Roman"/>
          <w:sz w:val="24"/>
          <w:szCs w:val="24"/>
        </w:rPr>
        <w:t>The filing of</w:t>
      </w:r>
      <w:r w:rsidR="00285020">
        <w:rPr>
          <w:rFonts w:ascii="Times New Roman" w:hAnsi="Times New Roman"/>
          <w:sz w:val="24"/>
          <w:szCs w:val="24"/>
        </w:rPr>
        <w:t xml:space="preserve"> claims for </w:t>
      </w:r>
      <w:r w:rsidR="00652B80">
        <w:rPr>
          <w:rFonts w:ascii="Times New Roman" w:hAnsi="Times New Roman"/>
          <w:sz w:val="24"/>
          <w:szCs w:val="24"/>
        </w:rPr>
        <w:t>FHA-insurance benefits to the Department are covered</w:t>
      </w:r>
      <w:r w:rsidR="00032745">
        <w:rPr>
          <w:rFonts w:ascii="Times New Roman" w:hAnsi="Times New Roman"/>
          <w:sz w:val="24"/>
          <w:szCs w:val="24"/>
        </w:rPr>
        <w:t xml:space="preserve"> in this </w:t>
      </w:r>
      <w:r w:rsidR="00E60462">
        <w:rPr>
          <w:rFonts w:ascii="Times New Roman" w:hAnsi="Times New Roman"/>
          <w:sz w:val="24"/>
          <w:szCs w:val="24"/>
        </w:rPr>
        <w:t>collection</w:t>
      </w:r>
      <w:r w:rsidR="002C078D">
        <w:rPr>
          <w:rFonts w:ascii="Times New Roman" w:hAnsi="Times New Roman"/>
          <w:sz w:val="24"/>
          <w:szCs w:val="24"/>
        </w:rPr>
        <w:t>, including activities</w:t>
      </w:r>
      <w:r w:rsidR="00E62FFE">
        <w:rPr>
          <w:rFonts w:ascii="Times New Roman" w:hAnsi="Times New Roman"/>
          <w:sz w:val="24"/>
          <w:szCs w:val="24"/>
        </w:rPr>
        <w:t xml:space="preserve"> related</w:t>
      </w:r>
      <w:r w:rsidR="0056381D">
        <w:rPr>
          <w:rFonts w:ascii="Times New Roman" w:hAnsi="Times New Roman"/>
          <w:sz w:val="24"/>
          <w:szCs w:val="24"/>
        </w:rPr>
        <w:t xml:space="preserve"> </w:t>
      </w:r>
      <w:r w:rsidR="00CE3944">
        <w:rPr>
          <w:rFonts w:ascii="Times New Roman" w:hAnsi="Times New Roman"/>
          <w:sz w:val="24"/>
          <w:szCs w:val="24"/>
        </w:rPr>
        <w:t>to property preservation</w:t>
      </w:r>
      <w:r w:rsidR="006D0D1E">
        <w:rPr>
          <w:rFonts w:ascii="Times New Roman" w:hAnsi="Times New Roman"/>
          <w:sz w:val="24"/>
          <w:szCs w:val="24"/>
        </w:rPr>
        <w:t>, pre</w:t>
      </w:r>
      <w:r w:rsidR="00111186">
        <w:rPr>
          <w:rFonts w:ascii="Times New Roman" w:hAnsi="Times New Roman"/>
          <w:sz w:val="24"/>
          <w:szCs w:val="24"/>
        </w:rPr>
        <w:t>-</w:t>
      </w:r>
      <w:r w:rsidR="005E557A">
        <w:rPr>
          <w:rFonts w:ascii="Times New Roman" w:hAnsi="Times New Roman"/>
          <w:sz w:val="24"/>
          <w:szCs w:val="24"/>
        </w:rPr>
        <w:t>conveyance</w:t>
      </w:r>
      <w:r w:rsidR="001B5B15">
        <w:rPr>
          <w:rFonts w:ascii="Times New Roman" w:hAnsi="Times New Roman"/>
          <w:sz w:val="24"/>
          <w:szCs w:val="24"/>
        </w:rPr>
        <w:t>,</w:t>
      </w:r>
      <w:r w:rsidR="00111186">
        <w:rPr>
          <w:rFonts w:ascii="Times New Roman" w:hAnsi="Times New Roman"/>
          <w:sz w:val="24"/>
          <w:szCs w:val="24"/>
        </w:rPr>
        <w:t xml:space="preserve"> and post</w:t>
      </w:r>
      <w:r w:rsidR="00227AAD">
        <w:rPr>
          <w:rFonts w:ascii="Times New Roman" w:hAnsi="Times New Roman"/>
          <w:sz w:val="24"/>
          <w:szCs w:val="24"/>
        </w:rPr>
        <w:t>-conveyance requirement</w:t>
      </w:r>
      <w:r w:rsidR="00C67919">
        <w:rPr>
          <w:rFonts w:ascii="Times New Roman" w:hAnsi="Times New Roman"/>
          <w:sz w:val="24"/>
          <w:szCs w:val="24"/>
        </w:rPr>
        <w:t>s.</w:t>
      </w:r>
    </w:p>
    <w:p w:rsidRPr="0084411E" w:rsidR="0084411E" w:rsidP="0084411E" w:rsidRDefault="0084411E" w14:paraId="2DD0AEE8" w14:textId="77777777">
      <w:pPr>
        <w:spacing w:after="0" w:line="240" w:lineRule="auto"/>
        <w:contextualSpacing/>
        <w:rPr>
          <w:rFonts w:ascii="Times New Roman" w:hAnsi="Times New Roman"/>
          <w:sz w:val="24"/>
          <w:szCs w:val="24"/>
        </w:rPr>
      </w:pPr>
    </w:p>
    <w:p w:rsidR="00FF3987" w:rsidP="00470176" w:rsidRDefault="00FF3987" w14:paraId="436C1069" w14:textId="18D3D918">
      <w:pPr>
        <w:pStyle w:val="BodyTextIndent2"/>
        <w:keepLines/>
        <w:ind w:left="0"/>
        <w:rPr>
          <w:b/>
        </w:rPr>
      </w:pPr>
      <w:r w:rsidRPr="00DE3AC6">
        <w:rPr>
          <w:b/>
        </w:rPr>
        <w:t xml:space="preserve">Form HUD-27011, </w:t>
      </w:r>
      <w:r w:rsidRPr="00C8382F">
        <w:rPr>
          <w:b/>
          <w:i/>
          <w:iCs/>
        </w:rPr>
        <w:t>Single</w:t>
      </w:r>
      <w:r w:rsidR="0084411E">
        <w:rPr>
          <w:b/>
          <w:i/>
          <w:iCs/>
        </w:rPr>
        <w:t>-</w:t>
      </w:r>
      <w:r w:rsidRPr="00C8382F">
        <w:rPr>
          <w:b/>
          <w:i/>
          <w:iCs/>
        </w:rPr>
        <w:t>Family Application for Insurance Benefits</w:t>
      </w:r>
    </w:p>
    <w:p w:rsidRPr="00DE3AC6" w:rsidR="00FF3987" w:rsidP="00470176" w:rsidRDefault="00FF3987" w14:paraId="23BE5C65" w14:textId="26BF616F">
      <w:pPr>
        <w:pStyle w:val="BodyTextIndent2"/>
        <w:ind w:left="0"/>
      </w:pPr>
      <w:r w:rsidRPr="004B6174">
        <w:t>Authority for obtaining this information is provided in Section 204(a) of the Act (12 U.S.C. 1710</w:t>
      </w:r>
      <w:r w:rsidR="0084411E">
        <w:t>(a</w:t>
      </w:r>
      <w:r w:rsidRPr="004B6174">
        <w:t>)</w:t>
      </w:r>
      <w:r w:rsidR="0084411E">
        <w:t>)</w:t>
      </w:r>
      <w:r w:rsidRPr="004B6174">
        <w:t xml:space="preserve"> which outlines the terms and conditions under which the Secretary of HUD may pay insurance benefits to a </w:t>
      </w:r>
      <w:r w:rsidR="001559C0">
        <w:t>Mortgagee</w:t>
      </w:r>
      <w:r w:rsidRPr="004B6174">
        <w:t xml:space="preserve"> for any </w:t>
      </w:r>
      <w:r w:rsidR="0084411E">
        <w:t>FHA-</w:t>
      </w:r>
      <w:r w:rsidRPr="004B6174">
        <w:t>insured mortgage.  Regulations are found in 24 CFR 203.350 throu</w:t>
      </w:r>
      <w:r>
        <w:t xml:space="preserve">gh 203.414. </w:t>
      </w:r>
      <w:r w:rsidRPr="004B6174">
        <w:t xml:space="preserve">Form HUD-27011, </w:t>
      </w:r>
      <w:r w:rsidRPr="00B05ADE">
        <w:rPr>
          <w:i/>
          <w:iCs/>
        </w:rPr>
        <w:t>Single</w:t>
      </w:r>
      <w:r w:rsidR="0084411E">
        <w:rPr>
          <w:i/>
          <w:iCs/>
        </w:rPr>
        <w:t>-</w:t>
      </w:r>
      <w:r w:rsidRPr="00B05ADE">
        <w:rPr>
          <w:i/>
          <w:iCs/>
        </w:rPr>
        <w:t>Family Application for Insurance Benefits</w:t>
      </w:r>
      <w:r w:rsidR="001B5B15">
        <w:rPr>
          <w:i/>
          <w:iCs/>
        </w:rPr>
        <w:t>,</w:t>
      </w:r>
      <w:r w:rsidR="002C3D39">
        <w:rPr>
          <w:i/>
          <w:iCs/>
        </w:rPr>
        <w:t xml:space="preserve"> </w:t>
      </w:r>
      <w:r w:rsidRPr="004B6174">
        <w:t xml:space="preserve">is the only form </w:t>
      </w:r>
      <w:r>
        <w:t xml:space="preserve">HUD </w:t>
      </w:r>
      <w:r w:rsidRPr="004B6174">
        <w:t>use</w:t>
      </w:r>
      <w:r>
        <w:t>s</w:t>
      </w:r>
      <w:r w:rsidRPr="004B6174">
        <w:t xml:space="preserve"> to allow </w:t>
      </w:r>
      <w:r w:rsidR="001559C0">
        <w:t>Mortgagee</w:t>
      </w:r>
      <w:r w:rsidRPr="004B6174">
        <w:t xml:space="preserve">s to file a claim for insurance benefits on </w:t>
      </w:r>
      <w:r w:rsidR="0084411E">
        <w:t>S</w:t>
      </w:r>
      <w:r w:rsidRPr="004B6174">
        <w:t>ingle</w:t>
      </w:r>
      <w:r w:rsidR="0084411E">
        <w:t xml:space="preserve"> F</w:t>
      </w:r>
      <w:r w:rsidRPr="004B6174">
        <w:t xml:space="preserve">amily </w:t>
      </w:r>
      <w:r w:rsidR="0084411E">
        <w:t>M</w:t>
      </w:r>
      <w:r w:rsidRPr="004B6174">
        <w:t xml:space="preserve">ortgages.  </w:t>
      </w:r>
      <w:r>
        <w:t>Disposition Options</w:t>
      </w:r>
      <w:r w:rsidRPr="004B6174">
        <w:t xml:space="preserve"> for defaulted borrowers include, but are not limited to</w:t>
      </w:r>
      <w:r w:rsidR="00DA7850">
        <w:t>,</w:t>
      </w:r>
      <w:r w:rsidRPr="004B6174">
        <w:t xml:space="preserve"> ass</w:t>
      </w:r>
      <w:r>
        <w:t xml:space="preserve">umptions, special </w:t>
      </w:r>
      <w:proofErr w:type="gramStart"/>
      <w:r>
        <w:t>forbearances</w:t>
      </w:r>
      <w:proofErr w:type="gramEnd"/>
      <w:r>
        <w:t xml:space="preserve"> and </w:t>
      </w:r>
      <w:r w:rsidRPr="004B6174">
        <w:t xml:space="preserve">partial claim mortgages.  Information regarding the verification of residence </w:t>
      </w:r>
      <w:r>
        <w:t>and</w:t>
      </w:r>
      <w:r w:rsidRPr="004B6174">
        <w:t xml:space="preserve"> employment, condition of property, short and long-term plans for housing</w:t>
      </w:r>
      <w:r>
        <w:t>, assets</w:t>
      </w:r>
      <w:r w:rsidRPr="004B6174">
        <w:t xml:space="preserve"> and income, and access to financial </w:t>
      </w:r>
      <w:r>
        <w:t xml:space="preserve">assistance </w:t>
      </w:r>
      <w:r w:rsidRPr="004B6174">
        <w:t xml:space="preserve">services may be collected for evaluation of appropriate loss mitigation.  </w:t>
      </w:r>
    </w:p>
    <w:p w:rsidR="003B503D" w:rsidP="00470176" w:rsidRDefault="003B503D" w14:paraId="141D60BB" w14:textId="77777777">
      <w:pPr>
        <w:spacing w:after="0" w:line="240" w:lineRule="auto"/>
        <w:rPr>
          <w:rFonts w:ascii="Times New Roman" w:hAnsi="Times New Roman"/>
          <w:sz w:val="24"/>
        </w:rPr>
      </w:pPr>
    </w:p>
    <w:p w:rsidR="00FF3987" w:rsidP="00470176" w:rsidRDefault="00FF3987" w14:paraId="576CB9BA" w14:textId="6712F54E">
      <w:pPr>
        <w:spacing w:after="0" w:line="240" w:lineRule="auto"/>
        <w:rPr>
          <w:rFonts w:ascii="Times New Roman" w:hAnsi="Times New Roman"/>
          <w:sz w:val="24"/>
          <w:szCs w:val="24"/>
        </w:rPr>
      </w:pPr>
      <w:r w:rsidRPr="004B6174">
        <w:rPr>
          <w:rFonts w:ascii="Times New Roman" w:hAnsi="Times New Roman"/>
          <w:sz w:val="24"/>
        </w:rPr>
        <w:t xml:space="preserve">Most insurance claim forms are filed electronically using the FHA Connection </w:t>
      </w:r>
      <w:r>
        <w:rPr>
          <w:rFonts w:ascii="Times New Roman" w:hAnsi="Times New Roman"/>
          <w:sz w:val="24"/>
        </w:rPr>
        <w:t xml:space="preserve">(FHAC) </w:t>
      </w:r>
      <w:r w:rsidRPr="004B6174">
        <w:rPr>
          <w:rFonts w:ascii="Times New Roman" w:hAnsi="Times New Roman"/>
          <w:sz w:val="24"/>
        </w:rPr>
        <w:t xml:space="preserve">or the Electronic Data Interchange (EDI).  In very few cases, at HUD’s request or instruction, a </w:t>
      </w:r>
      <w:r w:rsidR="0057124F">
        <w:rPr>
          <w:rFonts w:ascii="Times New Roman" w:hAnsi="Times New Roman"/>
          <w:sz w:val="24"/>
        </w:rPr>
        <w:t>manual/</w:t>
      </w:r>
      <w:r w:rsidRPr="004B6174">
        <w:rPr>
          <w:rFonts w:ascii="Times New Roman" w:hAnsi="Times New Roman"/>
          <w:sz w:val="24"/>
        </w:rPr>
        <w:t xml:space="preserve">paper submission of the insurance claim may be required and sent </w:t>
      </w:r>
      <w:r w:rsidR="00DA7850">
        <w:rPr>
          <w:rFonts w:ascii="Times New Roman" w:hAnsi="Times New Roman"/>
          <w:sz w:val="24"/>
        </w:rPr>
        <w:t xml:space="preserve">via </w:t>
      </w:r>
      <w:r w:rsidRPr="004B6174">
        <w:rPr>
          <w:rFonts w:ascii="Times New Roman" w:hAnsi="Times New Roman"/>
          <w:sz w:val="24"/>
          <w:szCs w:val="24"/>
        </w:rPr>
        <w:t xml:space="preserve">regular mail.  HUD reserves the right to request documentation in the form of hard copy for </w:t>
      </w:r>
      <w:r w:rsidRPr="004B6174">
        <w:rPr>
          <w:rFonts w:ascii="Times New Roman" w:hAnsi="Times New Roman"/>
          <w:sz w:val="24"/>
        </w:rPr>
        <w:t xml:space="preserve">audit purposes from </w:t>
      </w:r>
      <w:r w:rsidR="003619CF">
        <w:rPr>
          <w:rFonts w:ascii="Times New Roman" w:hAnsi="Times New Roman"/>
          <w:sz w:val="24"/>
        </w:rPr>
        <w:t xml:space="preserve">the </w:t>
      </w:r>
      <w:r w:rsidRPr="004B6174">
        <w:rPr>
          <w:rFonts w:ascii="Times New Roman" w:hAnsi="Times New Roman"/>
          <w:sz w:val="24"/>
        </w:rPr>
        <w:t xml:space="preserve">MCM contractor pursuant to HUD current or future direction.  </w:t>
      </w:r>
      <w:r w:rsidRPr="00333818">
        <w:rPr>
          <w:rFonts w:ascii="Times New Roman" w:hAnsi="Times New Roman"/>
          <w:sz w:val="24"/>
          <w:szCs w:val="24"/>
        </w:rPr>
        <w:t xml:space="preserve">All information collected </w:t>
      </w:r>
      <w:r w:rsidR="00EC46E5">
        <w:rPr>
          <w:rFonts w:ascii="Times New Roman" w:hAnsi="Times New Roman"/>
          <w:sz w:val="24"/>
          <w:szCs w:val="24"/>
        </w:rPr>
        <w:t xml:space="preserve">to some degree </w:t>
      </w:r>
      <w:r w:rsidRPr="00333818">
        <w:rPr>
          <w:rFonts w:ascii="Times New Roman" w:hAnsi="Times New Roman"/>
          <w:sz w:val="24"/>
          <w:szCs w:val="24"/>
        </w:rPr>
        <w:t>is standard business practice</w:t>
      </w:r>
      <w:r w:rsidR="00DA7850">
        <w:rPr>
          <w:rFonts w:ascii="Times New Roman" w:hAnsi="Times New Roman"/>
          <w:sz w:val="24"/>
          <w:szCs w:val="24"/>
        </w:rPr>
        <w:t>. D</w:t>
      </w:r>
      <w:r w:rsidR="002B7955">
        <w:rPr>
          <w:rFonts w:ascii="Times New Roman" w:hAnsi="Times New Roman"/>
          <w:sz w:val="24"/>
          <w:szCs w:val="24"/>
        </w:rPr>
        <w:t>ue to HUD</w:t>
      </w:r>
      <w:r w:rsidR="005A1ADE">
        <w:rPr>
          <w:rFonts w:ascii="Times New Roman" w:hAnsi="Times New Roman"/>
          <w:sz w:val="24"/>
          <w:szCs w:val="24"/>
        </w:rPr>
        <w:t>’s claim process</w:t>
      </w:r>
      <w:r w:rsidR="00DA7850">
        <w:rPr>
          <w:rFonts w:ascii="Times New Roman" w:hAnsi="Times New Roman"/>
          <w:sz w:val="24"/>
          <w:szCs w:val="24"/>
        </w:rPr>
        <w:t>, however,</w:t>
      </w:r>
      <w:r w:rsidR="005A1ADE">
        <w:rPr>
          <w:rFonts w:ascii="Times New Roman" w:hAnsi="Times New Roman"/>
          <w:sz w:val="24"/>
          <w:szCs w:val="24"/>
        </w:rPr>
        <w:t xml:space="preserve"> HUD ascribes burden hours thereto.</w:t>
      </w:r>
      <w:r>
        <w:rPr>
          <w:rFonts w:ascii="Times New Roman" w:hAnsi="Times New Roman"/>
          <w:sz w:val="24"/>
          <w:szCs w:val="24"/>
        </w:rPr>
        <w:t xml:space="preserve"> </w:t>
      </w:r>
    </w:p>
    <w:p w:rsidRPr="004B6174" w:rsidR="00FF3987" w:rsidP="00FF3987" w:rsidRDefault="00FF3987" w14:paraId="011DFF92" w14:textId="77777777">
      <w:pPr>
        <w:spacing w:after="0" w:line="240" w:lineRule="auto"/>
        <w:ind w:left="360"/>
        <w:rPr>
          <w:rFonts w:ascii="Times New Roman" w:hAnsi="Times New Roman"/>
          <w:sz w:val="24"/>
        </w:rPr>
      </w:pPr>
    </w:p>
    <w:p w:rsidR="00FF3987" w:rsidP="00470176" w:rsidRDefault="00FF3987" w14:paraId="76E24633" w14:textId="6033EC85">
      <w:pPr>
        <w:numPr>
          <w:ilvl w:val="0"/>
          <w:numId w:val="8"/>
        </w:numPr>
        <w:tabs>
          <w:tab w:val="left" w:pos="1080"/>
        </w:tabs>
        <w:overflowPunct w:val="0"/>
        <w:autoSpaceDE w:val="0"/>
        <w:autoSpaceDN w:val="0"/>
        <w:adjustRightInd w:val="0"/>
        <w:spacing w:after="0" w:line="240" w:lineRule="auto"/>
        <w:textAlignment w:val="baseline"/>
        <w:rPr>
          <w:rFonts w:ascii="Times New Roman" w:hAnsi="Times New Roman"/>
          <w:sz w:val="24"/>
        </w:rPr>
      </w:pPr>
      <w:r w:rsidRPr="004B6174">
        <w:rPr>
          <w:rFonts w:ascii="Times New Roman" w:hAnsi="Times New Roman"/>
          <w:sz w:val="24"/>
        </w:rPr>
        <w:t xml:space="preserve">The type of property information </w:t>
      </w:r>
      <w:r>
        <w:rPr>
          <w:rFonts w:ascii="Times New Roman" w:hAnsi="Times New Roman"/>
          <w:sz w:val="24"/>
        </w:rPr>
        <w:t xml:space="preserve">collected </w:t>
      </w:r>
      <w:r w:rsidR="004D2834">
        <w:rPr>
          <w:rFonts w:ascii="Times New Roman" w:hAnsi="Times New Roman"/>
          <w:sz w:val="24"/>
        </w:rPr>
        <w:t xml:space="preserve">may </w:t>
      </w:r>
      <w:r>
        <w:rPr>
          <w:rFonts w:ascii="Times New Roman" w:hAnsi="Times New Roman"/>
          <w:sz w:val="24"/>
        </w:rPr>
        <w:t xml:space="preserve">include: </w:t>
      </w:r>
      <w:r w:rsidRPr="004B6174">
        <w:rPr>
          <w:rFonts w:ascii="Times New Roman" w:hAnsi="Times New Roman"/>
          <w:sz w:val="24"/>
        </w:rPr>
        <w:t xml:space="preserve"> property appraisal; evidence of property damage</w:t>
      </w:r>
      <w:r w:rsidR="00DA7850">
        <w:rPr>
          <w:rFonts w:ascii="Times New Roman" w:hAnsi="Times New Roman"/>
          <w:sz w:val="24"/>
        </w:rPr>
        <w:t xml:space="preserve"> to include, but not limited to, </w:t>
      </w:r>
      <w:r w:rsidRPr="004B6174">
        <w:rPr>
          <w:rFonts w:ascii="Times New Roman" w:hAnsi="Times New Roman"/>
          <w:sz w:val="24"/>
        </w:rPr>
        <w:t>tornado, boiler explosion, fire, flood, earthquake</w:t>
      </w:r>
      <w:r w:rsidR="00DA7850">
        <w:rPr>
          <w:rFonts w:ascii="Times New Roman" w:hAnsi="Times New Roman"/>
          <w:sz w:val="24"/>
        </w:rPr>
        <w:t xml:space="preserve"> or </w:t>
      </w:r>
      <w:r w:rsidR="001559C0">
        <w:rPr>
          <w:rFonts w:ascii="Times New Roman" w:hAnsi="Times New Roman"/>
          <w:sz w:val="24"/>
        </w:rPr>
        <w:t>Mortgagee</w:t>
      </w:r>
      <w:r w:rsidR="00DA7850">
        <w:rPr>
          <w:rFonts w:ascii="Times New Roman" w:hAnsi="Times New Roman"/>
          <w:sz w:val="24"/>
        </w:rPr>
        <w:t xml:space="preserve"> neglect (</w:t>
      </w:r>
      <w:proofErr w:type="spellStart"/>
      <w:r w:rsidR="00DA7850">
        <w:rPr>
          <w:rFonts w:ascii="Times New Roman" w:hAnsi="Times New Roman"/>
          <w:sz w:val="24"/>
        </w:rPr>
        <w:t>Surchargeable</w:t>
      </w:r>
      <w:proofErr w:type="spellEnd"/>
      <w:r w:rsidR="00DA7850">
        <w:rPr>
          <w:rFonts w:ascii="Times New Roman" w:hAnsi="Times New Roman"/>
          <w:sz w:val="24"/>
        </w:rPr>
        <w:t xml:space="preserve"> Damage</w:t>
      </w:r>
      <w:r w:rsidRPr="004B6174">
        <w:rPr>
          <w:rFonts w:ascii="Times New Roman" w:hAnsi="Times New Roman"/>
          <w:sz w:val="24"/>
        </w:rPr>
        <w:t xml:space="preserve">); evidence of damage or destruction of vacant or abandoned properties; approvals to convey a damaged property; evidence of vacancy or abandonment; documentation of </w:t>
      </w:r>
      <w:r w:rsidR="003905E0">
        <w:rPr>
          <w:rFonts w:ascii="Times New Roman" w:hAnsi="Times New Roman"/>
          <w:sz w:val="24"/>
        </w:rPr>
        <w:t>property and preservation</w:t>
      </w:r>
      <w:r w:rsidRPr="004B6174">
        <w:rPr>
          <w:rFonts w:ascii="Times New Roman" w:hAnsi="Times New Roman"/>
          <w:sz w:val="24"/>
        </w:rPr>
        <w:t xml:space="preserve"> actions performed; date damage occurred; estimate of recovery or damage; property tax information</w:t>
      </w:r>
      <w:r w:rsidR="00462053">
        <w:rPr>
          <w:rFonts w:ascii="Times New Roman" w:hAnsi="Times New Roman"/>
          <w:sz w:val="24"/>
        </w:rPr>
        <w:t xml:space="preserve"> including</w:t>
      </w:r>
      <w:r w:rsidR="00A5239E">
        <w:rPr>
          <w:rFonts w:ascii="Times New Roman" w:hAnsi="Times New Roman"/>
          <w:sz w:val="24"/>
        </w:rPr>
        <w:t xml:space="preserve"> paid receipts</w:t>
      </w:r>
      <w:r w:rsidR="00117920">
        <w:rPr>
          <w:rFonts w:ascii="Times New Roman" w:hAnsi="Times New Roman"/>
          <w:sz w:val="24"/>
        </w:rPr>
        <w:t xml:space="preserve"> </w:t>
      </w:r>
      <w:r w:rsidR="00BA127C">
        <w:rPr>
          <w:rFonts w:ascii="Times New Roman" w:hAnsi="Times New Roman"/>
          <w:sz w:val="24"/>
        </w:rPr>
        <w:t>or invoices</w:t>
      </w:r>
      <w:r w:rsidR="00B33CED">
        <w:rPr>
          <w:rFonts w:ascii="Times New Roman" w:hAnsi="Times New Roman"/>
          <w:sz w:val="24"/>
        </w:rPr>
        <w:t xml:space="preserve"> and supporting doc</w:t>
      </w:r>
      <w:r w:rsidR="008C3B88">
        <w:rPr>
          <w:rFonts w:ascii="Times New Roman" w:hAnsi="Times New Roman"/>
          <w:sz w:val="24"/>
        </w:rPr>
        <w:t>u</w:t>
      </w:r>
      <w:r w:rsidR="00B33CED">
        <w:rPr>
          <w:rFonts w:ascii="Times New Roman" w:hAnsi="Times New Roman"/>
          <w:sz w:val="24"/>
        </w:rPr>
        <w:t>mentation</w:t>
      </w:r>
      <w:r w:rsidRPr="004B6174">
        <w:rPr>
          <w:rFonts w:ascii="Times New Roman" w:hAnsi="Times New Roman"/>
          <w:sz w:val="24"/>
        </w:rPr>
        <w:t>; certification of property condition; special assessments; hazard insurance; insurance settlement for damage to the property; occupants of property and date vacated; title evidence (including easements, encroachments, violations of codes</w:t>
      </w:r>
      <w:r w:rsidR="00DA7850">
        <w:rPr>
          <w:rFonts w:ascii="Times New Roman" w:hAnsi="Times New Roman"/>
          <w:sz w:val="24"/>
        </w:rPr>
        <w:t>,</w:t>
      </w:r>
      <w:r w:rsidRPr="004B6174">
        <w:rPr>
          <w:rFonts w:ascii="Times New Roman" w:hAnsi="Times New Roman"/>
          <w:sz w:val="24"/>
        </w:rPr>
        <w:t xml:space="preserve"> or covenants); oil, water, or mineral rights; other liens on the property; charges for community owned property; assignment information; acceptance of </w:t>
      </w:r>
      <w:r w:rsidR="00DA7850">
        <w:rPr>
          <w:rFonts w:ascii="Times New Roman" w:hAnsi="Times New Roman"/>
          <w:sz w:val="24"/>
        </w:rPr>
        <w:t>D</w:t>
      </w:r>
      <w:r w:rsidRPr="004B6174">
        <w:rPr>
          <w:rFonts w:ascii="Times New Roman" w:hAnsi="Times New Roman"/>
          <w:sz w:val="24"/>
        </w:rPr>
        <w:t>eed-in-</w:t>
      </w:r>
      <w:r w:rsidR="00DA7850">
        <w:rPr>
          <w:rFonts w:ascii="Times New Roman" w:hAnsi="Times New Roman"/>
          <w:sz w:val="24"/>
        </w:rPr>
        <w:t>L</w:t>
      </w:r>
      <w:r w:rsidRPr="004B6174">
        <w:rPr>
          <w:rFonts w:ascii="Times New Roman" w:hAnsi="Times New Roman"/>
          <w:sz w:val="24"/>
        </w:rPr>
        <w:t>ieu</w:t>
      </w:r>
      <w:r w:rsidR="006F7960">
        <w:rPr>
          <w:rFonts w:ascii="Times New Roman" w:hAnsi="Times New Roman"/>
          <w:sz w:val="24"/>
        </w:rPr>
        <w:t xml:space="preserve"> (DIL)</w:t>
      </w:r>
      <w:r w:rsidRPr="004B6174">
        <w:rPr>
          <w:rFonts w:ascii="Times New Roman" w:hAnsi="Times New Roman"/>
          <w:sz w:val="24"/>
        </w:rPr>
        <w:t xml:space="preserve"> of </w:t>
      </w:r>
      <w:r w:rsidR="00DA7850">
        <w:rPr>
          <w:rFonts w:ascii="Times New Roman" w:hAnsi="Times New Roman"/>
          <w:sz w:val="24"/>
        </w:rPr>
        <w:t>F</w:t>
      </w:r>
      <w:r w:rsidRPr="004B6174">
        <w:rPr>
          <w:rFonts w:ascii="Times New Roman" w:hAnsi="Times New Roman"/>
          <w:sz w:val="24"/>
        </w:rPr>
        <w:t xml:space="preserve">oreclosure; documentation for </w:t>
      </w:r>
      <w:r w:rsidR="00DA7850">
        <w:rPr>
          <w:rFonts w:ascii="Times New Roman" w:hAnsi="Times New Roman"/>
          <w:sz w:val="24"/>
        </w:rPr>
        <w:t>P</w:t>
      </w:r>
      <w:r w:rsidRPr="004B6174">
        <w:rPr>
          <w:rFonts w:ascii="Times New Roman" w:hAnsi="Times New Roman"/>
          <w:sz w:val="24"/>
        </w:rPr>
        <w:t>re-</w:t>
      </w:r>
      <w:r w:rsidR="00DA7850">
        <w:rPr>
          <w:rFonts w:ascii="Times New Roman" w:hAnsi="Times New Roman"/>
          <w:sz w:val="24"/>
        </w:rPr>
        <w:t>F</w:t>
      </w:r>
      <w:r w:rsidRPr="004B6174">
        <w:rPr>
          <w:rFonts w:ascii="Times New Roman" w:hAnsi="Times New Roman"/>
          <w:sz w:val="24"/>
        </w:rPr>
        <w:t xml:space="preserve">oreclosure </w:t>
      </w:r>
      <w:r w:rsidR="00D124A1">
        <w:rPr>
          <w:rFonts w:ascii="Times New Roman" w:hAnsi="Times New Roman"/>
          <w:sz w:val="24"/>
        </w:rPr>
        <w:t>S</w:t>
      </w:r>
      <w:r w:rsidRPr="004B6174">
        <w:rPr>
          <w:rFonts w:ascii="Times New Roman" w:hAnsi="Times New Roman"/>
          <w:sz w:val="24"/>
        </w:rPr>
        <w:t>ale (including the borrower’s application to participate in the program, the lender’s approval, and evidence of housing counseling to the borrower)</w:t>
      </w:r>
      <w:r w:rsidR="00D124A1">
        <w:rPr>
          <w:rFonts w:ascii="Times New Roman" w:hAnsi="Times New Roman"/>
          <w:sz w:val="24"/>
        </w:rPr>
        <w:t>; and</w:t>
      </w:r>
      <w:r w:rsidR="003B3CE1">
        <w:rPr>
          <w:rFonts w:ascii="Times New Roman" w:hAnsi="Times New Roman"/>
          <w:sz w:val="24"/>
        </w:rPr>
        <w:t xml:space="preserve"> documentation </w:t>
      </w:r>
      <w:r w:rsidR="004F341B">
        <w:rPr>
          <w:rFonts w:ascii="Times New Roman" w:hAnsi="Times New Roman"/>
          <w:sz w:val="24"/>
        </w:rPr>
        <w:t xml:space="preserve">of </w:t>
      </w:r>
      <w:r w:rsidR="004D2427">
        <w:rPr>
          <w:rFonts w:ascii="Times New Roman" w:hAnsi="Times New Roman"/>
          <w:sz w:val="24"/>
        </w:rPr>
        <w:t>first legal action</w:t>
      </w:r>
      <w:r w:rsidR="00B52FC5">
        <w:rPr>
          <w:rFonts w:ascii="Times New Roman" w:hAnsi="Times New Roman"/>
          <w:sz w:val="24"/>
        </w:rPr>
        <w:t xml:space="preserve"> taken </w:t>
      </w:r>
      <w:r w:rsidR="00CC4DF2">
        <w:rPr>
          <w:rFonts w:ascii="Times New Roman" w:hAnsi="Times New Roman"/>
          <w:sz w:val="24"/>
        </w:rPr>
        <w:t>to institute foreclosure</w:t>
      </w:r>
      <w:r w:rsidR="00D124A1">
        <w:rPr>
          <w:rFonts w:ascii="Times New Roman" w:hAnsi="Times New Roman"/>
          <w:sz w:val="24"/>
        </w:rPr>
        <w:t xml:space="preserve">, to include, but not limited to, </w:t>
      </w:r>
      <w:r w:rsidR="004D0803">
        <w:rPr>
          <w:rFonts w:ascii="Times New Roman" w:hAnsi="Times New Roman"/>
          <w:sz w:val="24"/>
        </w:rPr>
        <w:t>the recorded complaint</w:t>
      </w:r>
      <w:r w:rsidRPr="004B6174">
        <w:rPr>
          <w:rFonts w:ascii="Times New Roman" w:hAnsi="Times New Roman"/>
          <w:sz w:val="24"/>
        </w:rPr>
        <w:t>.</w:t>
      </w:r>
    </w:p>
    <w:p w:rsidR="0040615F" w:rsidP="0040615F" w:rsidRDefault="0040615F" w14:paraId="26B8E645" w14:textId="77777777">
      <w:pPr>
        <w:tabs>
          <w:tab w:val="left" w:pos="1080"/>
        </w:tabs>
        <w:overflowPunct w:val="0"/>
        <w:autoSpaceDE w:val="0"/>
        <w:autoSpaceDN w:val="0"/>
        <w:adjustRightInd w:val="0"/>
        <w:spacing w:after="0" w:line="240" w:lineRule="auto"/>
        <w:ind w:left="648"/>
        <w:textAlignment w:val="baseline"/>
        <w:rPr>
          <w:rFonts w:ascii="Times New Roman" w:hAnsi="Times New Roman"/>
          <w:sz w:val="24"/>
        </w:rPr>
      </w:pPr>
    </w:p>
    <w:p w:rsidRPr="004B6174" w:rsidR="00FF3987" w:rsidP="00470176" w:rsidRDefault="00FF3987" w14:paraId="1DD3B5A0" w14:textId="7BF064C6">
      <w:pPr>
        <w:numPr>
          <w:ilvl w:val="0"/>
          <w:numId w:val="8"/>
        </w:numPr>
        <w:overflowPunct w:val="0"/>
        <w:autoSpaceDE w:val="0"/>
        <w:autoSpaceDN w:val="0"/>
        <w:adjustRightInd w:val="0"/>
        <w:spacing w:after="0" w:line="240" w:lineRule="auto"/>
        <w:textAlignment w:val="baseline"/>
        <w:rPr>
          <w:rFonts w:ascii="Times New Roman" w:hAnsi="Times New Roman"/>
          <w:sz w:val="24"/>
        </w:rPr>
      </w:pPr>
      <w:r w:rsidRPr="004B6174">
        <w:rPr>
          <w:rFonts w:ascii="Times New Roman" w:hAnsi="Times New Roman"/>
          <w:sz w:val="24"/>
        </w:rPr>
        <w:t xml:space="preserve">The type of property expenses </w:t>
      </w:r>
      <w:r w:rsidR="0048261A">
        <w:rPr>
          <w:rFonts w:ascii="Times New Roman" w:hAnsi="Times New Roman"/>
          <w:sz w:val="24"/>
        </w:rPr>
        <w:t xml:space="preserve">may </w:t>
      </w:r>
      <w:r>
        <w:rPr>
          <w:rFonts w:ascii="Times New Roman" w:hAnsi="Times New Roman"/>
          <w:sz w:val="24"/>
        </w:rPr>
        <w:t>include:</w:t>
      </w:r>
      <w:r w:rsidR="00D124A1">
        <w:rPr>
          <w:rFonts w:ascii="Times New Roman" w:hAnsi="Times New Roman"/>
          <w:sz w:val="24"/>
        </w:rPr>
        <w:t xml:space="preserve"> </w:t>
      </w:r>
      <w:r w:rsidRPr="004B6174">
        <w:rPr>
          <w:rFonts w:ascii="Times New Roman" w:hAnsi="Times New Roman"/>
          <w:sz w:val="24"/>
        </w:rPr>
        <w:t>disbursements for protection and preservation; property inspection reports; rental income/expense; attorney/trustee fees; mortgage insurance premiums; lost opportunity costs; advertising; eviction expenses; uncollected interest; foreclosure action (including notice of default, notice of sale, conducting the sale, transfer o</w:t>
      </w:r>
      <w:r w:rsidR="00F652FE">
        <w:rPr>
          <w:rFonts w:ascii="Times New Roman" w:hAnsi="Times New Roman"/>
          <w:sz w:val="24"/>
        </w:rPr>
        <w:t>f</w:t>
      </w:r>
      <w:r w:rsidRPr="004B6174">
        <w:rPr>
          <w:rFonts w:ascii="Times New Roman" w:hAnsi="Times New Roman"/>
          <w:sz w:val="24"/>
        </w:rPr>
        <w:t xml:space="preserve"> title</w:t>
      </w:r>
      <w:r w:rsidR="00F652FE">
        <w:rPr>
          <w:rFonts w:ascii="Times New Roman" w:hAnsi="Times New Roman"/>
          <w:sz w:val="24"/>
        </w:rPr>
        <w:t>,</w:t>
      </w:r>
      <w:r w:rsidRPr="004B6174">
        <w:rPr>
          <w:rFonts w:ascii="Times New Roman" w:hAnsi="Times New Roman"/>
          <w:sz w:val="24"/>
        </w:rPr>
        <w:t xml:space="preserve"> recording of documents, </w:t>
      </w:r>
      <w:r w:rsidR="00F652FE">
        <w:rPr>
          <w:rFonts w:ascii="Times New Roman" w:hAnsi="Times New Roman"/>
          <w:sz w:val="24"/>
        </w:rPr>
        <w:t xml:space="preserve">and </w:t>
      </w:r>
      <w:r w:rsidRPr="004B6174">
        <w:rPr>
          <w:rFonts w:ascii="Times New Roman" w:hAnsi="Times New Roman"/>
          <w:sz w:val="24"/>
        </w:rPr>
        <w:t xml:space="preserve">transfer of funds); costs </w:t>
      </w:r>
      <w:r w:rsidRPr="004B6174">
        <w:rPr>
          <w:rFonts w:ascii="Times New Roman" w:hAnsi="Times New Roman"/>
          <w:sz w:val="24"/>
        </w:rPr>
        <w:lastRenderedPageBreak/>
        <w:t>of sale (discount points, sales commission, recording fees</w:t>
      </w:r>
      <w:r w:rsidR="00F652FE">
        <w:rPr>
          <w:rFonts w:ascii="Times New Roman" w:hAnsi="Times New Roman"/>
          <w:sz w:val="24"/>
        </w:rPr>
        <w:t>,</w:t>
      </w:r>
      <w:r w:rsidRPr="004B6174">
        <w:rPr>
          <w:rFonts w:ascii="Times New Roman" w:hAnsi="Times New Roman"/>
          <w:sz w:val="24"/>
        </w:rPr>
        <w:t xml:space="preserve"> servicing charge, termite report, </w:t>
      </w:r>
      <w:r w:rsidR="00F652FE">
        <w:rPr>
          <w:rFonts w:ascii="Times New Roman" w:hAnsi="Times New Roman"/>
          <w:sz w:val="24"/>
        </w:rPr>
        <w:t xml:space="preserve">and </w:t>
      </w:r>
      <w:r w:rsidRPr="004B6174">
        <w:rPr>
          <w:rFonts w:ascii="Times New Roman" w:hAnsi="Times New Roman"/>
          <w:sz w:val="24"/>
        </w:rPr>
        <w:t>title</w:t>
      </w:r>
      <w:r w:rsidR="005F3E52">
        <w:rPr>
          <w:rFonts w:ascii="Times New Roman" w:hAnsi="Times New Roman"/>
          <w:sz w:val="24"/>
        </w:rPr>
        <w:t xml:space="preserve"> </w:t>
      </w:r>
      <w:r w:rsidRPr="004B6174">
        <w:rPr>
          <w:rFonts w:ascii="Times New Roman" w:hAnsi="Times New Roman"/>
          <w:sz w:val="24"/>
        </w:rPr>
        <w:t xml:space="preserve">insurance); </w:t>
      </w:r>
      <w:r w:rsidR="00F652FE">
        <w:rPr>
          <w:rFonts w:ascii="Times New Roman" w:hAnsi="Times New Roman"/>
          <w:sz w:val="24"/>
        </w:rPr>
        <w:t xml:space="preserve">and </w:t>
      </w:r>
      <w:r w:rsidRPr="004B6174">
        <w:rPr>
          <w:rFonts w:ascii="Times New Roman" w:hAnsi="Times New Roman"/>
          <w:sz w:val="24"/>
        </w:rPr>
        <w:t>correction of any title defects.</w:t>
      </w:r>
    </w:p>
    <w:p w:rsidRPr="004B6174" w:rsidR="00FF3987" w:rsidP="00FF3987" w:rsidRDefault="00FF3987" w14:paraId="5DEB8501" w14:textId="77777777">
      <w:pPr>
        <w:spacing w:after="0" w:line="240" w:lineRule="auto"/>
        <w:ind w:left="630"/>
        <w:rPr>
          <w:rFonts w:ascii="Times New Roman" w:hAnsi="Times New Roman"/>
          <w:sz w:val="24"/>
        </w:rPr>
      </w:pPr>
    </w:p>
    <w:p w:rsidR="00FF3987" w:rsidP="00470176" w:rsidRDefault="00FF3987" w14:paraId="2F5A54F3" w14:textId="661847E0">
      <w:pPr>
        <w:numPr>
          <w:ilvl w:val="0"/>
          <w:numId w:val="8"/>
        </w:numPr>
        <w:overflowPunct w:val="0"/>
        <w:autoSpaceDE w:val="0"/>
        <w:autoSpaceDN w:val="0"/>
        <w:adjustRightInd w:val="0"/>
        <w:spacing w:after="0" w:line="240" w:lineRule="auto"/>
        <w:textAlignment w:val="baseline"/>
        <w:rPr>
          <w:rFonts w:ascii="Times New Roman" w:hAnsi="Times New Roman"/>
          <w:sz w:val="24"/>
        </w:rPr>
      </w:pPr>
      <w:r w:rsidRPr="004B6174">
        <w:rPr>
          <w:rFonts w:ascii="Times New Roman" w:hAnsi="Times New Roman"/>
          <w:sz w:val="24"/>
        </w:rPr>
        <w:t>The type of borrower information</w:t>
      </w:r>
      <w:r w:rsidR="002D5966">
        <w:rPr>
          <w:rFonts w:ascii="Times New Roman" w:hAnsi="Times New Roman"/>
          <w:sz w:val="24"/>
        </w:rPr>
        <w:t xml:space="preserve"> </w:t>
      </w:r>
      <w:r w:rsidR="00020EA7">
        <w:rPr>
          <w:rFonts w:ascii="Times New Roman" w:hAnsi="Times New Roman"/>
          <w:sz w:val="24"/>
        </w:rPr>
        <w:t xml:space="preserve">may </w:t>
      </w:r>
      <w:r>
        <w:rPr>
          <w:rFonts w:ascii="Times New Roman" w:hAnsi="Times New Roman"/>
          <w:sz w:val="24"/>
        </w:rPr>
        <w:t>include</w:t>
      </w:r>
      <w:r w:rsidRPr="004B6174">
        <w:rPr>
          <w:rFonts w:ascii="Times New Roman" w:hAnsi="Times New Roman"/>
          <w:sz w:val="24"/>
        </w:rPr>
        <w:t xml:space="preserve">:  </w:t>
      </w:r>
      <w:r w:rsidR="00F652FE">
        <w:rPr>
          <w:rFonts w:ascii="Times New Roman" w:hAnsi="Times New Roman"/>
          <w:sz w:val="24"/>
        </w:rPr>
        <w:t>f</w:t>
      </w:r>
      <w:r w:rsidRPr="004B6174">
        <w:rPr>
          <w:rFonts w:ascii="Times New Roman" w:hAnsi="Times New Roman"/>
          <w:sz w:val="24"/>
        </w:rPr>
        <w:t xml:space="preserve">inancial information; verification of employment; original credit and security instruments; underwriting documentation; </w:t>
      </w:r>
      <w:r w:rsidR="007E5AF5">
        <w:rPr>
          <w:rFonts w:ascii="Times New Roman" w:hAnsi="Times New Roman"/>
          <w:sz w:val="24"/>
        </w:rPr>
        <w:t>redemptio</w:t>
      </w:r>
      <w:r w:rsidR="00865A6D">
        <w:rPr>
          <w:rFonts w:ascii="Times New Roman" w:hAnsi="Times New Roman"/>
          <w:sz w:val="24"/>
        </w:rPr>
        <w:t>n documentation</w:t>
      </w:r>
      <w:r w:rsidR="00F652FE">
        <w:rPr>
          <w:rFonts w:ascii="Times New Roman" w:hAnsi="Times New Roman"/>
          <w:sz w:val="24"/>
        </w:rPr>
        <w:t>;</w:t>
      </w:r>
      <w:r w:rsidR="00865A6D">
        <w:rPr>
          <w:rFonts w:ascii="Times New Roman" w:hAnsi="Times New Roman"/>
          <w:sz w:val="24"/>
        </w:rPr>
        <w:t xml:space="preserve"> receipt of sale funds</w:t>
      </w:r>
      <w:r w:rsidR="00F652FE">
        <w:rPr>
          <w:rFonts w:ascii="Times New Roman" w:hAnsi="Times New Roman"/>
          <w:sz w:val="24"/>
        </w:rPr>
        <w:t>;</w:t>
      </w:r>
      <w:r w:rsidR="00865A6D">
        <w:rPr>
          <w:rFonts w:ascii="Times New Roman" w:hAnsi="Times New Roman"/>
          <w:sz w:val="24"/>
        </w:rPr>
        <w:t xml:space="preserve"> </w:t>
      </w:r>
      <w:r w:rsidRPr="004B6174">
        <w:rPr>
          <w:rFonts w:ascii="Times New Roman" w:hAnsi="Times New Roman"/>
          <w:sz w:val="24"/>
        </w:rPr>
        <w:t xml:space="preserve">loan payment history; </w:t>
      </w:r>
      <w:r w:rsidR="00483927">
        <w:rPr>
          <w:rFonts w:ascii="Times New Roman" w:hAnsi="Times New Roman"/>
          <w:sz w:val="24"/>
        </w:rPr>
        <w:t xml:space="preserve">loan </w:t>
      </w:r>
      <w:r w:rsidR="00F85D75">
        <w:rPr>
          <w:rFonts w:ascii="Times New Roman" w:hAnsi="Times New Roman"/>
          <w:sz w:val="24"/>
        </w:rPr>
        <w:t>modification (if applicable)</w:t>
      </w:r>
      <w:r w:rsidR="00F652FE">
        <w:rPr>
          <w:rFonts w:ascii="Times New Roman" w:hAnsi="Times New Roman"/>
          <w:sz w:val="24"/>
        </w:rPr>
        <w:t>;</w:t>
      </w:r>
      <w:r w:rsidR="00F85D75">
        <w:rPr>
          <w:rFonts w:ascii="Times New Roman" w:hAnsi="Times New Roman"/>
          <w:sz w:val="24"/>
        </w:rPr>
        <w:t xml:space="preserve"> </w:t>
      </w:r>
      <w:r w:rsidRPr="004B6174">
        <w:rPr>
          <w:rFonts w:ascii="Times New Roman" w:hAnsi="Times New Roman"/>
          <w:sz w:val="24"/>
        </w:rPr>
        <w:t>firm commitment; mortgage insurance certificate; deed</w:t>
      </w:r>
      <w:r w:rsidR="003D1A82">
        <w:rPr>
          <w:rFonts w:ascii="Times New Roman" w:hAnsi="Times New Roman"/>
          <w:sz w:val="24"/>
        </w:rPr>
        <w:t xml:space="preserve"> to the </w:t>
      </w:r>
      <w:r w:rsidR="00F652FE">
        <w:rPr>
          <w:rFonts w:ascii="Times New Roman" w:hAnsi="Times New Roman"/>
          <w:sz w:val="24"/>
        </w:rPr>
        <w:t>S</w:t>
      </w:r>
      <w:r w:rsidR="003D1A82">
        <w:rPr>
          <w:rFonts w:ascii="Times New Roman" w:hAnsi="Times New Roman"/>
          <w:sz w:val="24"/>
        </w:rPr>
        <w:t>ecretary</w:t>
      </w:r>
      <w:r w:rsidR="00D131D0">
        <w:rPr>
          <w:rFonts w:ascii="Times New Roman" w:hAnsi="Times New Roman"/>
          <w:sz w:val="24"/>
        </w:rPr>
        <w:t xml:space="preserve"> of HUD, his successors</w:t>
      </w:r>
      <w:r w:rsidR="00F652FE">
        <w:rPr>
          <w:rFonts w:ascii="Times New Roman" w:hAnsi="Times New Roman"/>
          <w:sz w:val="24"/>
        </w:rPr>
        <w:t>,</w:t>
      </w:r>
      <w:r w:rsidR="00837F19">
        <w:rPr>
          <w:rFonts w:ascii="Times New Roman" w:hAnsi="Times New Roman"/>
          <w:sz w:val="24"/>
        </w:rPr>
        <w:t xml:space="preserve"> and assigns</w:t>
      </w:r>
      <w:r w:rsidR="001B2A67">
        <w:rPr>
          <w:rFonts w:ascii="Times New Roman" w:hAnsi="Times New Roman"/>
          <w:sz w:val="24"/>
        </w:rPr>
        <w:t xml:space="preserve"> filed for recor</w:t>
      </w:r>
      <w:r w:rsidR="00B34B61">
        <w:rPr>
          <w:rFonts w:ascii="Times New Roman" w:hAnsi="Times New Roman"/>
          <w:sz w:val="24"/>
        </w:rPr>
        <w:t>d</w:t>
      </w:r>
      <w:r w:rsidRPr="004B6174">
        <w:rPr>
          <w:rFonts w:ascii="Times New Roman" w:hAnsi="Times New Roman"/>
          <w:sz w:val="24"/>
        </w:rPr>
        <w:t xml:space="preserve">; </w:t>
      </w:r>
      <w:r w:rsidR="00D02B59">
        <w:rPr>
          <w:rFonts w:ascii="Times New Roman" w:hAnsi="Times New Roman"/>
          <w:sz w:val="24"/>
        </w:rPr>
        <w:t>tran</w:t>
      </w:r>
      <w:r w:rsidR="00D7232E">
        <w:rPr>
          <w:rFonts w:ascii="Times New Roman" w:hAnsi="Times New Roman"/>
          <w:sz w:val="24"/>
        </w:rPr>
        <w:t>smittal letter to recording authority</w:t>
      </w:r>
      <w:r w:rsidR="00457B2B">
        <w:rPr>
          <w:rFonts w:ascii="Times New Roman" w:hAnsi="Times New Roman"/>
          <w:sz w:val="24"/>
        </w:rPr>
        <w:t>;</w:t>
      </w:r>
      <w:r w:rsidR="00D7232E">
        <w:rPr>
          <w:rFonts w:ascii="Times New Roman" w:hAnsi="Times New Roman"/>
          <w:sz w:val="24"/>
        </w:rPr>
        <w:t xml:space="preserve"> </w:t>
      </w:r>
      <w:r w:rsidRPr="004B6174">
        <w:rPr>
          <w:rFonts w:ascii="Times New Roman" w:hAnsi="Times New Roman"/>
          <w:sz w:val="24"/>
        </w:rPr>
        <w:t>subordinate liens for partial claims; notice of default; borrower meetings; documents signed to modify the loan; late fees; penalties; non-sufficient check fees; loan subordination information; bankruptcy</w:t>
      </w:r>
      <w:r>
        <w:rPr>
          <w:rFonts w:ascii="Times New Roman" w:hAnsi="Times New Roman"/>
          <w:sz w:val="24"/>
        </w:rPr>
        <w:t xml:space="preserve"> filing, </w:t>
      </w:r>
      <w:r w:rsidR="00CF69EF">
        <w:rPr>
          <w:rFonts w:ascii="Times New Roman" w:hAnsi="Times New Roman"/>
          <w:sz w:val="24"/>
        </w:rPr>
        <w:t>in</w:t>
      </w:r>
      <w:r w:rsidR="00A77997">
        <w:rPr>
          <w:rFonts w:ascii="Times New Roman" w:hAnsi="Times New Roman"/>
          <w:sz w:val="24"/>
        </w:rPr>
        <w:t>itiation document</w:t>
      </w:r>
      <w:r w:rsidR="006A571A">
        <w:rPr>
          <w:rFonts w:ascii="Times New Roman" w:hAnsi="Times New Roman"/>
          <w:sz w:val="24"/>
        </w:rPr>
        <w:t xml:space="preserve">, </w:t>
      </w:r>
      <w:r>
        <w:rPr>
          <w:rFonts w:ascii="Times New Roman" w:hAnsi="Times New Roman"/>
          <w:sz w:val="24"/>
        </w:rPr>
        <w:t>discharge</w:t>
      </w:r>
      <w:r w:rsidR="00745D53">
        <w:rPr>
          <w:rFonts w:ascii="Times New Roman" w:hAnsi="Times New Roman"/>
          <w:sz w:val="24"/>
        </w:rPr>
        <w:t xml:space="preserve"> notic</w:t>
      </w:r>
      <w:r w:rsidR="009841AB">
        <w:rPr>
          <w:rFonts w:ascii="Times New Roman" w:hAnsi="Times New Roman"/>
          <w:sz w:val="24"/>
        </w:rPr>
        <w:t>e</w:t>
      </w:r>
      <w:r>
        <w:rPr>
          <w:rFonts w:ascii="Times New Roman" w:hAnsi="Times New Roman"/>
          <w:sz w:val="24"/>
        </w:rPr>
        <w:t>, release</w:t>
      </w:r>
      <w:r w:rsidR="00457B2B">
        <w:rPr>
          <w:rFonts w:ascii="Times New Roman" w:hAnsi="Times New Roman"/>
          <w:sz w:val="24"/>
        </w:rPr>
        <w:t>,</w:t>
      </w:r>
      <w:r>
        <w:rPr>
          <w:rFonts w:ascii="Times New Roman" w:hAnsi="Times New Roman"/>
          <w:sz w:val="24"/>
        </w:rPr>
        <w:t xml:space="preserve"> and/or dismissal;</w:t>
      </w:r>
      <w:r w:rsidRPr="004B6174">
        <w:rPr>
          <w:rFonts w:ascii="Times New Roman" w:hAnsi="Times New Roman"/>
          <w:sz w:val="24"/>
        </w:rPr>
        <w:t xml:space="preserve"> </w:t>
      </w:r>
      <w:r>
        <w:rPr>
          <w:rFonts w:ascii="Times New Roman" w:hAnsi="Times New Roman"/>
          <w:sz w:val="24"/>
        </w:rPr>
        <w:t xml:space="preserve">and </w:t>
      </w:r>
      <w:r w:rsidRPr="004B6174">
        <w:rPr>
          <w:rFonts w:ascii="Times New Roman" w:hAnsi="Times New Roman"/>
          <w:sz w:val="24"/>
        </w:rPr>
        <w:t>deficiency judgment</w:t>
      </w:r>
      <w:r>
        <w:rPr>
          <w:rFonts w:ascii="Times New Roman" w:hAnsi="Times New Roman"/>
          <w:sz w:val="24"/>
        </w:rPr>
        <w:t>, if any,</w:t>
      </w:r>
      <w:r w:rsidRPr="004B6174">
        <w:rPr>
          <w:rFonts w:ascii="Times New Roman" w:hAnsi="Times New Roman"/>
          <w:sz w:val="24"/>
        </w:rPr>
        <w:t xml:space="preserve"> after foreclosure. </w:t>
      </w:r>
    </w:p>
    <w:p w:rsidR="00B22C61" w:rsidP="00B22C61" w:rsidRDefault="00B22C61" w14:paraId="33BD2574" w14:textId="77777777">
      <w:pPr>
        <w:pStyle w:val="ListParagraph"/>
        <w:rPr>
          <w:sz w:val="24"/>
        </w:rPr>
      </w:pPr>
    </w:p>
    <w:p w:rsidR="00B22C61" w:rsidP="00470176" w:rsidRDefault="00C02E85" w14:paraId="098E50C4" w14:textId="4C8A395C">
      <w:pPr>
        <w:numPr>
          <w:ilvl w:val="0"/>
          <w:numId w:val="8"/>
        </w:numPr>
        <w:overflowPunct w:val="0"/>
        <w:autoSpaceDE w:val="0"/>
        <w:autoSpaceDN w:val="0"/>
        <w:adjustRightInd w:val="0"/>
        <w:spacing w:after="0" w:line="240" w:lineRule="auto"/>
        <w:textAlignment w:val="baseline"/>
        <w:rPr>
          <w:rFonts w:ascii="Times New Roman" w:hAnsi="Times New Roman"/>
          <w:sz w:val="24"/>
        </w:rPr>
      </w:pPr>
      <w:r>
        <w:rPr>
          <w:rFonts w:ascii="Times New Roman" w:hAnsi="Times New Roman"/>
          <w:sz w:val="24"/>
        </w:rPr>
        <w:t>The type of information</w:t>
      </w:r>
      <w:r w:rsidR="00942621">
        <w:rPr>
          <w:rFonts w:ascii="Times New Roman" w:hAnsi="Times New Roman"/>
          <w:sz w:val="24"/>
        </w:rPr>
        <w:t xml:space="preserve"> may include form HUD-27011</w:t>
      </w:r>
      <w:r w:rsidR="00457B2B">
        <w:rPr>
          <w:rFonts w:ascii="Times New Roman" w:hAnsi="Times New Roman"/>
          <w:sz w:val="24"/>
        </w:rPr>
        <w:t>,</w:t>
      </w:r>
      <w:r w:rsidR="00942621">
        <w:rPr>
          <w:rFonts w:ascii="Times New Roman" w:hAnsi="Times New Roman"/>
          <w:sz w:val="24"/>
        </w:rPr>
        <w:t xml:space="preserve"> Part D filed with the or</w:t>
      </w:r>
      <w:r w:rsidR="00B253CD">
        <w:rPr>
          <w:rFonts w:ascii="Times New Roman" w:hAnsi="Times New Roman"/>
          <w:sz w:val="24"/>
        </w:rPr>
        <w:t>iginal claim submission.</w:t>
      </w:r>
      <w:r>
        <w:rPr>
          <w:rFonts w:ascii="Times New Roman" w:hAnsi="Times New Roman"/>
          <w:sz w:val="24"/>
        </w:rPr>
        <w:t xml:space="preserve"> </w:t>
      </w:r>
    </w:p>
    <w:p w:rsidR="00B41E73" w:rsidP="00B41E73" w:rsidRDefault="00B41E73" w14:paraId="10BFE50A" w14:textId="30EA512F">
      <w:pPr>
        <w:pStyle w:val="HTMLPreformatted"/>
        <w:tabs>
          <w:tab w:val="left" w:pos="1062"/>
        </w:tabs>
        <w:rPr>
          <w:rFonts w:ascii="Times New Roman" w:hAnsi="Times New Roman" w:cs="Times New Roman"/>
          <w:sz w:val="24"/>
        </w:rPr>
      </w:pPr>
    </w:p>
    <w:p w:rsidRPr="009B02CB" w:rsidR="007A5C30" w:rsidP="007A5C30" w:rsidRDefault="00496924" w14:paraId="042737A1" w14:textId="2997D8A0">
      <w:pPr>
        <w:spacing w:after="0" w:line="240" w:lineRule="auto"/>
        <w:rPr>
          <w:rFonts w:ascii="Times New Roman" w:hAnsi="Times New Roman"/>
          <w:sz w:val="24"/>
          <w:szCs w:val="24"/>
        </w:rPr>
      </w:pPr>
      <w:r w:rsidRPr="00457B2B">
        <w:rPr>
          <w:rFonts w:ascii="Times New Roman" w:hAnsi="Times New Roman"/>
          <w:b/>
          <w:bCs/>
          <w:sz w:val="24"/>
          <w:szCs w:val="24"/>
        </w:rPr>
        <w:t xml:space="preserve">Form </w:t>
      </w:r>
      <w:r w:rsidRPr="009B02CB">
        <w:rPr>
          <w:rFonts w:ascii="Times New Roman" w:hAnsi="Times New Roman"/>
          <w:b/>
          <w:sz w:val="24"/>
          <w:szCs w:val="24"/>
        </w:rPr>
        <w:t xml:space="preserve">HUD-27011, </w:t>
      </w:r>
      <w:r w:rsidRPr="009B02CB">
        <w:rPr>
          <w:rFonts w:ascii="Times New Roman" w:hAnsi="Times New Roman"/>
          <w:bCs/>
          <w:i/>
          <w:iCs/>
          <w:sz w:val="24"/>
          <w:szCs w:val="24"/>
        </w:rPr>
        <w:t>Single Family Application for Insurance Benefits</w:t>
      </w:r>
      <w:r w:rsidR="001559C0">
        <w:rPr>
          <w:rFonts w:ascii="Times New Roman" w:hAnsi="Times New Roman"/>
          <w:bCs/>
          <w:i/>
          <w:iCs/>
          <w:sz w:val="24"/>
          <w:szCs w:val="24"/>
        </w:rPr>
        <w:t>,</w:t>
      </w:r>
      <w:r w:rsidRPr="009B02CB" w:rsidR="00D03138">
        <w:rPr>
          <w:rFonts w:ascii="Times New Roman" w:hAnsi="Times New Roman"/>
          <w:b/>
          <w:i/>
          <w:iCs/>
          <w:sz w:val="24"/>
          <w:szCs w:val="24"/>
        </w:rPr>
        <w:t xml:space="preserve"> </w:t>
      </w:r>
      <w:r w:rsidRPr="009B02CB" w:rsidR="007A5C30">
        <w:rPr>
          <w:rFonts w:ascii="Times New Roman" w:hAnsi="Times New Roman"/>
          <w:sz w:val="24"/>
          <w:szCs w:val="24"/>
        </w:rPr>
        <w:t>is a multi-use form where Home Equity Conversion Mortgage (HECM) program information collection is reported under existing OMB control number 2502-0611</w:t>
      </w:r>
      <w:r w:rsidR="00032018">
        <w:rPr>
          <w:rFonts w:ascii="Times New Roman" w:hAnsi="Times New Roman"/>
          <w:sz w:val="24"/>
          <w:szCs w:val="24"/>
        </w:rPr>
        <w:t xml:space="preserve"> </w:t>
      </w:r>
      <w:r w:rsidR="000A453C">
        <w:rPr>
          <w:rFonts w:ascii="Times New Roman" w:hAnsi="Times New Roman"/>
          <w:sz w:val="24"/>
          <w:szCs w:val="24"/>
        </w:rPr>
        <w:t xml:space="preserve">and </w:t>
      </w:r>
      <w:r w:rsidR="001559C0">
        <w:rPr>
          <w:rFonts w:ascii="Times New Roman" w:hAnsi="Times New Roman"/>
          <w:sz w:val="24"/>
          <w:szCs w:val="24"/>
        </w:rPr>
        <w:t>DIL</w:t>
      </w:r>
      <w:r w:rsidRPr="00B075E4" w:rsidR="00B075E4">
        <w:rPr>
          <w:rFonts w:ascii="Times New Roman" w:hAnsi="Times New Roman"/>
          <w:sz w:val="24"/>
          <w:szCs w:val="24"/>
        </w:rPr>
        <w:t xml:space="preserve"> of </w:t>
      </w:r>
      <w:r w:rsidR="001559C0">
        <w:rPr>
          <w:rFonts w:ascii="Times New Roman" w:hAnsi="Times New Roman"/>
          <w:sz w:val="24"/>
          <w:szCs w:val="24"/>
        </w:rPr>
        <w:t>F</w:t>
      </w:r>
      <w:r w:rsidRPr="00B075E4" w:rsidR="00B075E4">
        <w:rPr>
          <w:rFonts w:ascii="Times New Roman" w:hAnsi="Times New Roman"/>
          <w:sz w:val="24"/>
          <w:szCs w:val="24"/>
        </w:rPr>
        <w:t>oreclosure</w:t>
      </w:r>
      <w:r w:rsidR="00A0109C">
        <w:rPr>
          <w:rFonts w:ascii="Times New Roman" w:hAnsi="Times New Roman"/>
          <w:sz w:val="24"/>
          <w:szCs w:val="24"/>
        </w:rPr>
        <w:t xml:space="preserve"> or</w:t>
      </w:r>
      <w:r w:rsidRPr="00B075E4" w:rsidR="00B075E4">
        <w:rPr>
          <w:rFonts w:ascii="Times New Roman" w:hAnsi="Times New Roman"/>
          <w:sz w:val="24"/>
          <w:szCs w:val="24"/>
        </w:rPr>
        <w:t xml:space="preserve"> Pre-</w:t>
      </w:r>
      <w:r w:rsidR="001559C0">
        <w:rPr>
          <w:rFonts w:ascii="Times New Roman" w:hAnsi="Times New Roman"/>
          <w:sz w:val="24"/>
          <w:szCs w:val="24"/>
        </w:rPr>
        <w:t>F</w:t>
      </w:r>
      <w:r w:rsidRPr="00B075E4" w:rsidR="00B075E4">
        <w:rPr>
          <w:rFonts w:ascii="Times New Roman" w:hAnsi="Times New Roman"/>
          <w:sz w:val="24"/>
          <w:szCs w:val="24"/>
        </w:rPr>
        <w:t xml:space="preserve">oreclosure </w:t>
      </w:r>
      <w:r w:rsidR="001559C0">
        <w:rPr>
          <w:rFonts w:ascii="Times New Roman" w:hAnsi="Times New Roman"/>
          <w:sz w:val="24"/>
          <w:szCs w:val="24"/>
        </w:rPr>
        <w:t>S</w:t>
      </w:r>
      <w:r w:rsidRPr="00B075E4" w:rsidR="00B075E4">
        <w:rPr>
          <w:rFonts w:ascii="Times New Roman" w:hAnsi="Times New Roman"/>
          <w:sz w:val="24"/>
          <w:szCs w:val="24"/>
        </w:rPr>
        <w:t>ales</w:t>
      </w:r>
      <w:r w:rsidR="007455E2">
        <w:rPr>
          <w:rFonts w:ascii="Times New Roman" w:hAnsi="Times New Roman"/>
          <w:sz w:val="24"/>
          <w:szCs w:val="24"/>
        </w:rPr>
        <w:t xml:space="preserve"> claim types are covered</w:t>
      </w:r>
      <w:r w:rsidR="005A40C1">
        <w:rPr>
          <w:rFonts w:ascii="Times New Roman" w:hAnsi="Times New Roman"/>
          <w:sz w:val="24"/>
          <w:szCs w:val="24"/>
        </w:rPr>
        <w:t xml:space="preserve"> under existing OMB control number 2502</w:t>
      </w:r>
      <w:r w:rsidR="00012938">
        <w:rPr>
          <w:rFonts w:ascii="Times New Roman" w:hAnsi="Times New Roman"/>
          <w:sz w:val="24"/>
          <w:szCs w:val="24"/>
        </w:rPr>
        <w:t>-0589</w:t>
      </w:r>
      <w:r w:rsidRPr="009B02CB" w:rsidR="007A5C30">
        <w:rPr>
          <w:rFonts w:ascii="Times New Roman" w:hAnsi="Times New Roman"/>
          <w:sz w:val="24"/>
          <w:szCs w:val="24"/>
        </w:rPr>
        <w:t>.</w:t>
      </w:r>
    </w:p>
    <w:p w:rsidR="00496924" w:rsidP="007A5C30" w:rsidRDefault="00496924" w14:paraId="28393751" w14:textId="6DCA4789">
      <w:pPr>
        <w:pStyle w:val="BodyTextIndent2"/>
        <w:keepLines/>
        <w:ind w:left="0"/>
      </w:pPr>
    </w:p>
    <w:p w:rsidR="00BB7A47" w:rsidP="00BB7A47" w:rsidRDefault="00F916B0" w14:paraId="4DC34DE1" w14:textId="77777777">
      <w:pPr>
        <w:pStyle w:val="HTMLPreformatted"/>
        <w:tabs>
          <w:tab w:val="left" w:pos="1062"/>
        </w:tabs>
        <w:rPr>
          <w:rFonts w:ascii="Times New Roman" w:hAnsi="Times New Roman" w:cs="Times New Roman"/>
          <w:b/>
          <w:sz w:val="24"/>
        </w:rPr>
      </w:pPr>
      <w:r>
        <w:rPr>
          <w:rFonts w:ascii="Times New Roman" w:hAnsi="Times New Roman" w:cs="Times New Roman"/>
          <w:b/>
          <w:sz w:val="24"/>
        </w:rPr>
        <w:t>Transfer of Property and Conveyance of Title</w:t>
      </w:r>
    </w:p>
    <w:p w:rsidRPr="00BB7A47" w:rsidR="00D03138" w:rsidP="00BB7A47" w:rsidRDefault="00F916B0" w14:paraId="62DE0D12" w14:textId="5056EEAC">
      <w:pPr>
        <w:pStyle w:val="HTMLPreformatted"/>
        <w:tabs>
          <w:tab w:val="left" w:pos="1062"/>
        </w:tabs>
        <w:rPr>
          <w:rFonts w:ascii="Times New Roman" w:hAnsi="Times New Roman" w:cs="Times New Roman"/>
          <w:b/>
          <w:sz w:val="24"/>
        </w:rPr>
      </w:pPr>
      <w:r>
        <w:rPr>
          <w:rFonts w:ascii="Times New Roman" w:hAnsi="Times New Roman" w:cs="Times New Roman"/>
          <w:sz w:val="24"/>
        </w:rPr>
        <w:t>After</w:t>
      </w:r>
      <w:r w:rsidRPr="004B6174">
        <w:rPr>
          <w:rFonts w:ascii="Times New Roman" w:hAnsi="Times New Roman" w:cs="Times New Roman"/>
          <w:sz w:val="24"/>
        </w:rPr>
        <w:t xml:space="preserve"> the foreclosure</w:t>
      </w:r>
      <w:r w:rsidR="001559C0">
        <w:rPr>
          <w:rFonts w:ascii="Times New Roman" w:hAnsi="Times New Roman" w:cs="Times New Roman"/>
          <w:sz w:val="24"/>
        </w:rPr>
        <w:t>,</w:t>
      </w:r>
      <w:r w:rsidRPr="004B6174">
        <w:rPr>
          <w:rFonts w:ascii="Times New Roman" w:hAnsi="Times New Roman" w:cs="Times New Roman"/>
          <w:sz w:val="24"/>
        </w:rPr>
        <w:t xml:space="preserve"> acquiring good marketable title</w:t>
      </w:r>
      <w:r w:rsidR="001559C0">
        <w:rPr>
          <w:rFonts w:ascii="Times New Roman" w:hAnsi="Times New Roman" w:cs="Times New Roman"/>
          <w:sz w:val="24"/>
        </w:rPr>
        <w:t>,</w:t>
      </w:r>
      <w:r w:rsidRPr="004B6174">
        <w:rPr>
          <w:rFonts w:ascii="Times New Roman" w:hAnsi="Times New Roman" w:cs="Times New Roman"/>
          <w:sz w:val="24"/>
        </w:rPr>
        <w:t xml:space="preserve"> and possession of the property</w:t>
      </w:r>
      <w:r>
        <w:rPr>
          <w:rFonts w:ascii="Times New Roman" w:hAnsi="Times New Roman" w:cs="Times New Roman"/>
          <w:sz w:val="24"/>
        </w:rPr>
        <w:t xml:space="preserve">, </w:t>
      </w:r>
      <w:r w:rsidR="001559C0">
        <w:rPr>
          <w:rFonts w:ascii="Times New Roman" w:hAnsi="Times New Roman" w:cs="Times New Roman"/>
          <w:sz w:val="24"/>
        </w:rPr>
        <w:t>Mortgagee</w:t>
      </w:r>
      <w:r>
        <w:rPr>
          <w:rFonts w:ascii="Times New Roman" w:hAnsi="Times New Roman" w:cs="Times New Roman"/>
          <w:sz w:val="24"/>
        </w:rPr>
        <w:t>s</w:t>
      </w:r>
      <w:r w:rsidRPr="004B6174">
        <w:rPr>
          <w:rFonts w:ascii="Times New Roman" w:hAnsi="Times New Roman" w:cs="Times New Roman"/>
          <w:sz w:val="24"/>
        </w:rPr>
        <w:t xml:space="preserve"> must </w:t>
      </w:r>
      <w:r w:rsidRPr="002C3F12">
        <w:rPr>
          <w:rFonts w:ascii="Times New Roman" w:hAnsi="Times New Roman" w:cs="Times New Roman"/>
          <w:bCs/>
          <w:sz w:val="24"/>
        </w:rPr>
        <w:t>transfer/convey</w:t>
      </w:r>
      <w:r w:rsidRPr="004B6174">
        <w:rPr>
          <w:rFonts w:ascii="Times New Roman" w:hAnsi="Times New Roman" w:cs="Times New Roman"/>
          <w:sz w:val="24"/>
        </w:rPr>
        <w:t xml:space="preserve"> the property to HUD within 30 days or within such further time as may be necessary to complete the title examination and perfect the title (24 CFR 203.359 and 203.389).  Title conveyed must be good and </w:t>
      </w:r>
      <w:r>
        <w:rPr>
          <w:rFonts w:ascii="Times New Roman" w:hAnsi="Times New Roman" w:cs="Times New Roman"/>
          <w:sz w:val="24"/>
        </w:rPr>
        <w:t xml:space="preserve">marketable, </w:t>
      </w:r>
      <w:r w:rsidRPr="004B6174">
        <w:rPr>
          <w:rFonts w:ascii="Times New Roman" w:hAnsi="Times New Roman" w:cs="Times New Roman"/>
          <w:sz w:val="24"/>
        </w:rPr>
        <w:t xml:space="preserve">but </w:t>
      </w:r>
      <w:r>
        <w:rPr>
          <w:rFonts w:ascii="Times New Roman" w:hAnsi="Times New Roman" w:cs="Times New Roman"/>
          <w:sz w:val="24"/>
        </w:rPr>
        <w:t xml:space="preserve">HUD </w:t>
      </w:r>
      <w:r w:rsidRPr="004B6174">
        <w:rPr>
          <w:rFonts w:ascii="Times New Roman" w:hAnsi="Times New Roman" w:cs="Times New Roman"/>
          <w:sz w:val="24"/>
        </w:rPr>
        <w:t>may accept certain specific and common exceptions to the title as listed in the regulations.  HUD may waive additional objections based on local practice and the general marketability of title clouded by those objections.</w:t>
      </w:r>
    </w:p>
    <w:p w:rsidR="00D03138" w:rsidP="00F916B0" w:rsidRDefault="00D03138" w14:paraId="036E956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F916B0" w:rsidP="00F916B0" w:rsidRDefault="00F916B0" w14:paraId="38700973" w14:textId="7BA852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b/>
          <w:bCs/>
          <w:sz w:val="24"/>
        </w:rPr>
        <w:t>R</w:t>
      </w:r>
      <w:r w:rsidRPr="004B6174">
        <w:rPr>
          <w:rFonts w:ascii="Times New Roman" w:hAnsi="Times New Roman" w:cs="Times New Roman"/>
          <w:b/>
          <w:bCs/>
          <w:sz w:val="24"/>
        </w:rPr>
        <w:t>econvey</w:t>
      </w:r>
      <w:r>
        <w:rPr>
          <w:rFonts w:ascii="Times New Roman" w:hAnsi="Times New Roman" w:cs="Times New Roman"/>
          <w:b/>
          <w:bCs/>
          <w:sz w:val="24"/>
        </w:rPr>
        <w:t>ance of T</w:t>
      </w:r>
      <w:r w:rsidRPr="004B6174">
        <w:rPr>
          <w:rFonts w:ascii="Times New Roman" w:hAnsi="Times New Roman" w:cs="Times New Roman"/>
          <w:b/>
          <w:bCs/>
          <w:sz w:val="24"/>
        </w:rPr>
        <w:t>itle</w:t>
      </w:r>
    </w:p>
    <w:p w:rsidRPr="004B6174" w:rsidR="00F916B0" w:rsidP="00F916B0" w:rsidRDefault="00F916B0" w14:paraId="3D274663" w14:textId="320F28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sz w:val="24"/>
        </w:rPr>
        <w:t xml:space="preserve">If a </w:t>
      </w:r>
      <w:r w:rsidR="001559C0">
        <w:rPr>
          <w:rFonts w:ascii="Times New Roman" w:hAnsi="Times New Roman" w:cs="Times New Roman"/>
          <w:sz w:val="24"/>
        </w:rPr>
        <w:t>Mortgagee</w:t>
      </w:r>
      <w:r w:rsidRPr="004B6174">
        <w:rPr>
          <w:rFonts w:ascii="Times New Roman" w:hAnsi="Times New Roman" w:cs="Times New Roman"/>
          <w:sz w:val="24"/>
        </w:rPr>
        <w:t xml:space="preserve"> fails to comply with HUD’s conveyance regulations, HUD may </w:t>
      </w:r>
      <w:r w:rsidRPr="002C3F12">
        <w:rPr>
          <w:rFonts w:ascii="Times New Roman" w:hAnsi="Times New Roman" w:cs="Times New Roman"/>
          <w:bCs/>
          <w:sz w:val="24"/>
        </w:rPr>
        <w:t>reconvey title</w:t>
      </w:r>
      <w:r w:rsidRPr="002C3F12">
        <w:rPr>
          <w:rFonts w:ascii="Times New Roman" w:hAnsi="Times New Roman" w:cs="Times New Roman"/>
          <w:sz w:val="24"/>
        </w:rPr>
        <w:t xml:space="preserve"> to the </w:t>
      </w:r>
      <w:r w:rsidR="001559C0">
        <w:rPr>
          <w:rFonts w:ascii="Times New Roman" w:hAnsi="Times New Roman" w:cs="Times New Roman"/>
          <w:sz w:val="24"/>
        </w:rPr>
        <w:t>Mortgagee</w:t>
      </w:r>
      <w:r w:rsidRPr="002C3F12">
        <w:rPr>
          <w:rFonts w:ascii="Times New Roman" w:hAnsi="Times New Roman" w:cs="Times New Roman"/>
          <w:sz w:val="24"/>
        </w:rPr>
        <w:t xml:space="preserve"> (24 CFR 203.363).  Under these conditions, HUD will</w:t>
      </w:r>
      <w:r w:rsidRPr="004B6174">
        <w:rPr>
          <w:rFonts w:ascii="Times New Roman" w:hAnsi="Times New Roman" w:cs="Times New Roman"/>
          <w:sz w:val="24"/>
        </w:rPr>
        <w:t xml:space="preserve"> cancel the claim for insurance benefits.  HUD will require reimbursement for expenses incurred regarding acquisition, holding</w:t>
      </w:r>
      <w:r w:rsidR="005F3E52">
        <w:rPr>
          <w:rFonts w:ascii="Times New Roman" w:hAnsi="Times New Roman" w:cs="Times New Roman"/>
          <w:sz w:val="24"/>
        </w:rPr>
        <w:t>,</w:t>
      </w:r>
      <w:r w:rsidRPr="004B6174">
        <w:rPr>
          <w:rFonts w:ascii="Times New Roman" w:hAnsi="Times New Roman" w:cs="Times New Roman"/>
          <w:sz w:val="24"/>
        </w:rPr>
        <w:t xml:space="preserve"> and reconveyance, less any income received from the property.  The </w:t>
      </w:r>
      <w:r w:rsidR="001559C0">
        <w:rPr>
          <w:rFonts w:ascii="Times New Roman" w:hAnsi="Times New Roman" w:cs="Times New Roman"/>
          <w:sz w:val="24"/>
        </w:rPr>
        <w:t>Mortgagee</w:t>
      </w:r>
      <w:r w:rsidRPr="004B6174">
        <w:rPr>
          <w:rFonts w:ascii="Times New Roman" w:hAnsi="Times New Roman" w:cs="Times New Roman"/>
          <w:sz w:val="24"/>
        </w:rPr>
        <w:t xml:space="preserve"> may reapply for insurance benefits at a subsequent date</w:t>
      </w:r>
      <w:r>
        <w:rPr>
          <w:rFonts w:ascii="Times New Roman" w:hAnsi="Times New Roman" w:cs="Times New Roman"/>
          <w:sz w:val="24"/>
        </w:rPr>
        <w:t>,</w:t>
      </w:r>
      <w:r w:rsidRPr="004B6174">
        <w:rPr>
          <w:rFonts w:ascii="Times New Roman" w:hAnsi="Times New Roman" w:cs="Times New Roman"/>
          <w:sz w:val="24"/>
        </w:rPr>
        <w:t xml:space="preserve"> provided that the </w:t>
      </w:r>
      <w:r w:rsidR="001559C0">
        <w:rPr>
          <w:rFonts w:ascii="Times New Roman" w:hAnsi="Times New Roman" w:cs="Times New Roman"/>
          <w:sz w:val="24"/>
        </w:rPr>
        <w:t>Mortgagee</w:t>
      </w:r>
      <w:r w:rsidRPr="004B6174">
        <w:rPr>
          <w:rFonts w:ascii="Times New Roman" w:hAnsi="Times New Roman" w:cs="Times New Roman"/>
          <w:sz w:val="24"/>
        </w:rPr>
        <w:t xml:space="preserve"> may not be reimbursed for any expenses incurred in connection with the property after it has been re</w:t>
      </w:r>
      <w:r>
        <w:rPr>
          <w:rFonts w:ascii="Times New Roman" w:hAnsi="Times New Roman" w:cs="Times New Roman"/>
          <w:sz w:val="24"/>
        </w:rPr>
        <w:t>-</w:t>
      </w:r>
      <w:r w:rsidRPr="004B6174">
        <w:rPr>
          <w:rFonts w:ascii="Times New Roman" w:hAnsi="Times New Roman" w:cs="Times New Roman"/>
          <w:sz w:val="24"/>
        </w:rPr>
        <w:t xml:space="preserve">conveyed by HUD.  </w:t>
      </w:r>
    </w:p>
    <w:p w:rsidRPr="004B6174" w:rsidR="00F916B0" w:rsidP="00F916B0" w:rsidRDefault="00F916B0" w14:paraId="26C413FD" w14:textId="77777777">
      <w:pPr>
        <w:pStyle w:val="HTMLPreformatted"/>
        <w:tabs>
          <w:tab w:val="left" w:pos="1062"/>
        </w:tabs>
        <w:rPr>
          <w:rFonts w:ascii="Times New Roman" w:hAnsi="Times New Roman" w:cs="Times New Roman"/>
          <w:sz w:val="24"/>
        </w:rPr>
      </w:pPr>
    </w:p>
    <w:p w:rsidRPr="004B6174" w:rsidR="00F916B0" w:rsidP="00F916B0" w:rsidRDefault="00F916B0" w14:paraId="4B3FAA73" w14:textId="362544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sz w:val="24"/>
        </w:rPr>
        <w:t xml:space="preserve">Generally, the </w:t>
      </w:r>
      <w:r w:rsidRPr="00334063">
        <w:rPr>
          <w:rFonts w:ascii="Times New Roman" w:hAnsi="Times New Roman" w:cs="Times New Roman"/>
          <w:sz w:val="24"/>
        </w:rPr>
        <w:t>property condition</w:t>
      </w:r>
      <w:r w:rsidRPr="004B6174">
        <w:rPr>
          <w:rFonts w:ascii="Times New Roman" w:hAnsi="Times New Roman" w:cs="Times New Roman"/>
          <w:sz w:val="24"/>
        </w:rPr>
        <w:t xml:space="preserve"> will be undamaged by </w:t>
      </w:r>
      <w:proofErr w:type="spellStart"/>
      <w:r w:rsidR="00334063">
        <w:rPr>
          <w:rFonts w:ascii="Times New Roman" w:hAnsi="Times New Roman" w:cs="Times New Roman"/>
          <w:sz w:val="24"/>
        </w:rPr>
        <w:t>Surchargeable</w:t>
      </w:r>
      <w:proofErr w:type="spellEnd"/>
      <w:r w:rsidR="00334063">
        <w:rPr>
          <w:rFonts w:ascii="Times New Roman" w:hAnsi="Times New Roman" w:cs="Times New Roman"/>
          <w:sz w:val="24"/>
        </w:rPr>
        <w:t xml:space="preserve"> Damage </w:t>
      </w:r>
      <w:r w:rsidRPr="004B6174">
        <w:rPr>
          <w:rFonts w:ascii="Times New Roman" w:hAnsi="Times New Roman" w:cs="Times New Roman"/>
          <w:sz w:val="24"/>
        </w:rPr>
        <w:t xml:space="preserve">when a </w:t>
      </w:r>
      <w:r w:rsidR="001559C0">
        <w:rPr>
          <w:rFonts w:ascii="Times New Roman" w:hAnsi="Times New Roman" w:cs="Times New Roman"/>
          <w:sz w:val="24"/>
        </w:rPr>
        <w:t>Mortgagee</w:t>
      </w:r>
      <w:r w:rsidRPr="004B6174">
        <w:rPr>
          <w:rFonts w:ascii="Times New Roman" w:hAnsi="Times New Roman" w:cs="Times New Roman"/>
          <w:sz w:val="24"/>
        </w:rPr>
        <w:t xml:space="preserve"> conveys the title and property to HUD (24 CFR 203.378 and 203.379).  Additionally, </w:t>
      </w:r>
      <w:r w:rsidR="001559C0">
        <w:rPr>
          <w:rFonts w:ascii="Times New Roman" w:hAnsi="Times New Roman" w:cs="Times New Roman"/>
          <w:sz w:val="24"/>
        </w:rPr>
        <w:t>Mortgagee</w:t>
      </w:r>
      <w:r w:rsidRPr="004B6174">
        <w:rPr>
          <w:rFonts w:ascii="Times New Roman" w:hAnsi="Times New Roman" w:cs="Times New Roman"/>
          <w:sz w:val="24"/>
        </w:rPr>
        <w:t>s are also responsible for loans in default and properties that are vacant or abandoned</w:t>
      </w:r>
      <w:r w:rsidR="00334063">
        <w:rPr>
          <w:rFonts w:ascii="Times New Roman" w:hAnsi="Times New Roman" w:cs="Times New Roman"/>
          <w:sz w:val="24"/>
        </w:rPr>
        <w:t>;</w:t>
      </w:r>
      <w:r w:rsidRPr="004B6174">
        <w:rPr>
          <w:rFonts w:ascii="Times New Roman" w:hAnsi="Times New Roman" w:cs="Times New Roman"/>
          <w:sz w:val="24"/>
        </w:rPr>
        <w:t xml:space="preserve"> when such damage or destruction is due to the </w:t>
      </w:r>
      <w:r w:rsidR="001559C0">
        <w:rPr>
          <w:rFonts w:ascii="Times New Roman" w:hAnsi="Times New Roman" w:cs="Times New Roman"/>
          <w:sz w:val="24"/>
        </w:rPr>
        <w:t>Mortgagee</w:t>
      </w:r>
      <w:r w:rsidRPr="004B6174">
        <w:rPr>
          <w:rFonts w:ascii="Times New Roman" w:hAnsi="Times New Roman" w:cs="Times New Roman"/>
          <w:sz w:val="24"/>
        </w:rPr>
        <w:t>’s failure to take reasonable action to inspect, protect</w:t>
      </w:r>
      <w:r w:rsidR="00334063">
        <w:rPr>
          <w:rFonts w:ascii="Times New Roman" w:hAnsi="Times New Roman" w:cs="Times New Roman"/>
          <w:sz w:val="24"/>
        </w:rPr>
        <w:t>,</w:t>
      </w:r>
      <w:r w:rsidRPr="004B6174">
        <w:rPr>
          <w:rFonts w:ascii="Times New Roman" w:hAnsi="Times New Roman" w:cs="Times New Roman"/>
          <w:sz w:val="24"/>
        </w:rPr>
        <w:t xml:space="preserve"> and preserve the property.</w:t>
      </w:r>
    </w:p>
    <w:p w:rsidRPr="004B6174" w:rsidR="00F916B0" w:rsidP="00F916B0" w:rsidRDefault="00F916B0" w14:paraId="647AD9F0" w14:textId="77777777">
      <w:pPr>
        <w:pStyle w:val="HTMLPreformatted"/>
        <w:tabs>
          <w:tab w:val="left" w:pos="1062"/>
        </w:tabs>
        <w:rPr>
          <w:rFonts w:ascii="Times New Roman" w:hAnsi="Times New Roman" w:cs="Times New Roman"/>
          <w:sz w:val="24"/>
        </w:rPr>
      </w:pPr>
    </w:p>
    <w:p w:rsidRPr="004B6174" w:rsidR="00F916B0" w:rsidP="00F916B0" w:rsidRDefault="00F916B0" w14:paraId="5807B60F" w14:textId="1894E7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B6174">
        <w:rPr>
          <w:rFonts w:ascii="Times New Roman" w:hAnsi="Times New Roman" w:cs="Times New Roman"/>
          <w:bCs/>
          <w:iCs/>
          <w:sz w:val="24"/>
          <w:szCs w:val="24"/>
        </w:rPr>
        <w:t xml:space="preserve">For example, </w:t>
      </w:r>
      <w:r w:rsidRPr="004B6174">
        <w:rPr>
          <w:rFonts w:ascii="Times New Roman" w:hAnsi="Times New Roman" w:cs="Times New Roman"/>
          <w:sz w:val="24"/>
        </w:rPr>
        <w:t>24 CFR 203.377</w:t>
      </w:r>
      <w:r w:rsidRPr="004B6174">
        <w:rPr>
          <w:rFonts w:ascii="Times New Roman" w:hAnsi="Times New Roman" w:cs="Times New Roman"/>
          <w:bCs/>
          <w:iCs/>
          <w:sz w:val="24"/>
          <w:szCs w:val="24"/>
        </w:rPr>
        <w:t xml:space="preserve"> makes the </w:t>
      </w:r>
      <w:r w:rsidR="001559C0">
        <w:rPr>
          <w:rFonts w:ascii="Times New Roman" w:hAnsi="Times New Roman" w:cs="Times New Roman"/>
          <w:bCs/>
          <w:iCs/>
          <w:sz w:val="24"/>
          <w:szCs w:val="24"/>
        </w:rPr>
        <w:t>Mortgagee</w:t>
      </w:r>
      <w:r w:rsidRPr="004B6174">
        <w:rPr>
          <w:rFonts w:ascii="Times New Roman" w:hAnsi="Times New Roman" w:cs="Times New Roman"/>
          <w:bCs/>
          <w:iCs/>
          <w:sz w:val="24"/>
          <w:szCs w:val="24"/>
        </w:rPr>
        <w:t xml:space="preserve"> “responsible for a visual inspection of the security property to determine whether the property is vacant . . . and shall take reasonable action to protect and preserve such security property when it is determined to be vacant or abandoned.”  </w:t>
      </w:r>
      <w:r w:rsidRPr="004B6174">
        <w:rPr>
          <w:rFonts w:ascii="Times New Roman" w:hAnsi="Times New Roman" w:cs="Times New Roman"/>
          <w:bCs/>
          <w:iCs/>
          <w:sz w:val="24"/>
          <w:szCs w:val="24"/>
        </w:rPr>
        <w:lastRenderedPageBreak/>
        <w:t xml:space="preserve">The regulations at </w:t>
      </w:r>
      <w:r w:rsidRPr="004B6174">
        <w:rPr>
          <w:rFonts w:ascii="Times New Roman" w:hAnsi="Times New Roman" w:cs="Times New Roman"/>
          <w:sz w:val="24"/>
        </w:rPr>
        <w:t>24 CFR § 203.379</w:t>
      </w:r>
      <w:r w:rsidRPr="004B6174">
        <w:rPr>
          <w:rFonts w:ascii="Times New Roman" w:hAnsi="Times New Roman" w:cs="Times New Roman"/>
          <w:bCs/>
          <w:iCs/>
          <w:sz w:val="24"/>
          <w:szCs w:val="24"/>
        </w:rPr>
        <w:t xml:space="preserve"> set forth the conditions for adjustment to insurance benefits in cases of </w:t>
      </w:r>
      <w:r w:rsidRPr="00984512">
        <w:rPr>
          <w:rFonts w:ascii="Times New Roman" w:hAnsi="Times New Roman" w:cs="Times New Roman"/>
          <w:iCs/>
          <w:sz w:val="24"/>
          <w:szCs w:val="24"/>
        </w:rPr>
        <w:t>damage or neglect.</w:t>
      </w:r>
      <w:r w:rsidRPr="004B6174">
        <w:rPr>
          <w:rFonts w:ascii="Times New Roman" w:hAnsi="Times New Roman" w:cs="Times New Roman"/>
          <w:bCs/>
          <w:iCs/>
          <w:sz w:val="24"/>
          <w:szCs w:val="24"/>
        </w:rPr>
        <w:t xml:space="preserve">  </w:t>
      </w:r>
    </w:p>
    <w:p w:rsidRPr="004B6174" w:rsidR="00F916B0" w:rsidP="00F916B0" w:rsidRDefault="00F916B0" w14:paraId="3AE0508A" w14:textId="77777777">
      <w:pPr>
        <w:pStyle w:val="HTMLPreformatted"/>
        <w:tabs>
          <w:tab w:val="left" w:pos="1062"/>
        </w:tabs>
        <w:rPr>
          <w:rFonts w:ascii="Times New Roman" w:hAnsi="Times New Roman" w:cs="Times New Roman"/>
          <w:sz w:val="24"/>
        </w:rPr>
      </w:pPr>
    </w:p>
    <w:p w:rsidRPr="004B6174" w:rsidR="00F916B0" w:rsidP="00F916B0" w:rsidRDefault="00F916B0" w14:paraId="4A7E97F9" w14:textId="6C1E4D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4B6174">
        <w:rPr>
          <w:rFonts w:ascii="Times New Roman" w:hAnsi="Times New Roman" w:cs="Times New Roman"/>
          <w:sz w:val="24"/>
        </w:rPr>
        <w:t xml:space="preserve">In some cases, with HUD approval, damaged properties may be accepted.  The </w:t>
      </w:r>
      <w:r w:rsidR="001559C0">
        <w:rPr>
          <w:rFonts w:ascii="Times New Roman" w:hAnsi="Times New Roman" w:cs="Times New Roman"/>
          <w:sz w:val="24"/>
        </w:rPr>
        <w:t>Mortgagee</w:t>
      </w:r>
      <w:r w:rsidRPr="004B6174">
        <w:rPr>
          <w:rFonts w:ascii="Times New Roman" w:hAnsi="Times New Roman" w:cs="Times New Roman"/>
          <w:sz w:val="24"/>
        </w:rPr>
        <w:t xml:space="preserve"> will provide a written request with </w:t>
      </w:r>
      <w:r w:rsidR="00984512">
        <w:rPr>
          <w:rFonts w:ascii="Times New Roman" w:hAnsi="Times New Roman" w:cs="Times New Roman"/>
          <w:sz w:val="24"/>
        </w:rPr>
        <w:t>a f</w:t>
      </w:r>
      <w:r w:rsidRPr="004B6174">
        <w:rPr>
          <w:rFonts w:ascii="Times New Roman" w:hAnsi="Times New Roman" w:cs="Times New Roman"/>
          <w:sz w:val="24"/>
        </w:rPr>
        <w:t xml:space="preserve">ull written description of the circumstances.  The written description should contain the reason the </w:t>
      </w:r>
      <w:r w:rsidR="001559C0">
        <w:rPr>
          <w:rFonts w:ascii="Times New Roman" w:hAnsi="Times New Roman" w:cs="Times New Roman"/>
          <w:sz w:val="24"/>
        </w:rPr>
        <w:t>Mortgagee</w:t>
      </w:r>
      <w:r w:rsidRPr="004B6174">
        <w:rPr>
          <w:rFonts w:ascii="Times New Roman" w:hAnsi="Times New Roman" w:cs="Times New Roman"/>
          <w:sz w:val="24"/>
        </w:rPr>
        <w:t xml:space="preserve"> does not wish to make repairs</w:t>
      </w:r>
      <w:r w:rsidR="00984512">
        <w:rPr>
          <w:rFonts w:ascii="Times New Roman" w:hAnsi="Times New Roman" w:cs="Times New Roman"/>
          <w:sz w:val="24"/>
        </w:rPr>
        <w:t xml:space="preserve"> </w:t>
      </w:r>
      <w:r w:rsidRPr="004B6174">
        <w:rPr>
          <w:rFonts w:ascii="Times New Roman" w:hAnsi="Times New Roman" w:cs="Times New Roman"/>
          <w:sz w:val="24"/>
        </w:rPr>
        <w:t xml:space="preserve">and an estimate by the </w:t>
      </w:r>
      <w:r w:rsidR="001559C0">
        <w:rPr>
          <w:rFonts w:ascii="Times New Roman" w:hAnsi="Times New Roman" w:cs="Times New Roman"/>
          <w:sz w:val="24"/>
        </w:rPr>
        <w:t>Mortgagee</w:t>
      </w:r>
      <w:r w:rsidRPr="004B6174">
        <w:rPr>
          <w:rFonts w:ascii="Times New Roman" w:hAnsi="Times New Roman" w:cs="Times New Roman"/>
          <w:sz w:val="24"/>
        </w:rPr>
        <w:t xml:space="preserve"> of the cost of repairs.  The amount of the insurance recovery, if any</w:t>
      </w:r>
      <w:r w:rsidR="00984512">
        <w:rPr>
          <w:rFonts w:ascii="Times New Roman" w:hAnsi="Times New Roman" w:cs="Times New Roman"/>
          <w:sz w:val="24"/>
        </w:rPr>
        <w:t>,</w:t>
      </w:r>
      <w:r w:rsidRPr="004B6174">
        <w:rPr>
          <w:rFonts w:ascii="Times New Roman" w:hAnsi="Times New Roman" w:cs="Times New Roman"/>
          <w:sz w:val="24"/>
        </w:rPr>
        <w:t xml:space="preserve"> should be noted.  In the event HUD approves the acceptance of a property that has </w:t>
      </w:r>
      <w:proofErr w:type="spellStart"/>
      <w:r w:rsidR="00984512">
        <w:rPr>
          <w:rFonts w:ascii="Times New Roman" w:hAnsi="Times New Roman" w:cs="Times New Roman"/>
          <w:sz w:val="24"/>
        </w:rPr>
        <w:t>Surchargeable</w:t>
      </w:r>
      <w:proofErr w:type="spellEnd"/>
      <w:r w:rsidR="00984512">
        <w:rPr>
          <w:rFonts w:ascii="Times New Roman" w:hAnsi="Times New Roman" w:cs="Times New Roman"/>
          <w:sz w:val="24"/>
        </w:rPr>
        <w:t xml:space="preserve"> D</w:t>
      </w:r>
      <w:r w:rsidRPr="004B6174">
        <w:rPr>
          <w:rFonts w:ascii="Times New Roman" w:hAnsi="Times New Roman" w:cs="Times New Roman"/>
          <w:sz w:val="24"/>
        </w:rPr>
        <w:t xml:space="preserve">amage, HUD will make an adjustment for damage or neglect to the </w:t>
      </w:r>
      <w:r w:rsidR="001559C0">
        <w:rPr>
          <w:rFonts w:ascii="Times New Roman" w:hAnsi="Times New Roman" w:cs="Times New Roman"/>
          <w:sz w:val="24"/>
        </w:rPr>
        <w:t>Mortgagee</w:t>
      </w:r>
      <w:r w:rsidRPr="004B6174">
        <w:rPr>
          <w:rFonts w:ascii="Times New Roman" w:hAnsi="Times New Roman" w:cs="Times New Roman"/>
          <w:sz w:val="24"/>
        </w:rPr>
        <w:t>’s claim for insurance benefits.</w:t>
      </w:r>
    </w:p>
    <w:p w:rsidRPr="004B6174" w:rsidR="00F916B0" w:rsidP="00F916B0" w:rsidRDefault="00F916B0" w14:paraId="7598FD2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Pr="004B6174" w:rsidR="00F916B0" w:rsidP="00F916B0" w:rsidRDefault="001559C0" w14:paraId="0933B462" w14:textId="126F90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Mortgagee</w:t>
      </w:r>
      <w:r w:rsidRPr="004B6174" w:rsidR="00F916B0">
        <w:rPr>
          <w:rFonts w:ascii="Times New Roman" w:hAnsi="Times New Roman" w:cs="Times New Roman"/>
          <w:sz w:val="24"/>
        </w:rPr>
        <w:t xml:space="preserve">s must have documentation in their </w:t>
      </w:r>
      <w:r w:rsidRPr="00984512" w:rsidR="00826D7F">
        <w:rPr>
          <w:rFonts w:ascii="Times New Roman" w:hAnsi="Times New Roman" w:cs="Times New Roman"/>
          <w:sz w:val="24"/>
        </w:rPr>
        <w:t>Claim Review File</w:t>
      </w:r>
      <w:r w:rsidR="00826D7F">
        <w:rPr>
          <w:rFonts w:ascii="Times New Roman" w:hAnsi="Times New Roman" w:cs="Times New Roman"/>
          <w:b/>
          <w:bCs/>
          <w:sz w:val="24"/>
        </w:rPr>
        <w:t xml:space="preserve"> </w:t>
      </w:r>
      <w:r w:rsidRPr="004B6174" w:rsidR="00F916B0">
        <w:rPr>
          <w:rFonts w:ascii="Times New Roman" w:hAnsi="Times New Roman" w:cs="Times New Roman"/>
          <w:sz w:val="24"/>
        </w:rPr>
        <w:t xml:space="preserve">to support their certification that they are entitled to file a claim and to convey a fire-damaged property without penalty where fire insurance was not available. The only entity responsible for this certification </w:t>
      </w:r>
      <w:r w:rsidR="00F916B0">
        <w:rPr>
          <w:rFonts w:ascii="Times New Roman" w:hAnsi="Times New Roman" w:cs="Times New Roman"/>
          <w:sz w:val="24"/>
        </w:rPr>
        <w:t>is</w:t>
      </w:r>
      <w:r w:rsidRPr="004B6174" w:rsidR="00F916B0">
        <w:rPr>
          <w:rFonts w:ascii="Times New Roman" w:hAnsi="Times New Roman" w:cs="Times New Roman"/>
          <w:sz w:val="24"/>
        </w:rPr>
        <w:t xml:space="preserve"> a </w:t>
      </w:r>
      <w:r>
        <w:rPr>
          <w:rFonts w:ascii="Times New Roman" w:hAnsi="Times New Roman" w:cs="Times New Roman"/>
          <w:sz w:val="24"/>
        </w:rPr>
        <w:t>Mortgagee</w:t>
      </w:r>
      <w:r w:rsidRPr="004B6174" w:rsidR="00F916B0">
        <w:rPr>
          <w:rFonts w:ascii="Times New Roman" w:hAnsi="Times New Roman" w:cs="Times New Roman"/>
          <w:sz w:val="24"/>
        </w:rPr>
        <w:t xml:space="preserve"> that </w:t>
      </w:r>
      <w:r w:rsidR="00F916B0">
        <w:rPr>
          <w:rFonts w:ascii="Times New Roman" w:hAnsi="Times New Roman" w:cs="Times New Roman"/>
          <w:sz w:val="24"/>
        </w:rPr>
        <w:t>has</w:t>
      </w:r>
      <w:r w:rsidRPr="004B6174" w:rsidR="00F916B0">
        <w:rPr>
          <w:rFonts w:ascii="Times New Roman" w:hAnsi="Times New Roman" w:cs="Times New Roman"/>
          <w:sz w:val="24"/>
        </w:rPr>
        <w:t xml:space="preserve"> a property that suffered fire damage prior to conveyance to HUD.  If the situation surrounding the inability of the </w:t>
      </w:r>
      <w:r>
        <w:rPr>
          <w:rFonts w:ascii="Times New Roman" w:hAnsi="Times New Roman" w:cs="Times New Roman"/>
          <w:sz w:val="24"/>
        </w:rPr>
        <w:t>Mortgagee</w:t>
      </w:r>
      <w:r w:rsidRPr="004B6174" w:rsidR="00F916B0">
        <w:rPr>
          <w:rFonts w:ascii="Times New Roman" w:hAnsi="Times New Roman" w:cs="Times New Roman"/>
          <w:sz w:val="24"/>
        </w:rPr>
        <w:t xml:space="preserve"> to have the property fully insured met all the criteria in 24 CFR 203.379(a)(2), then the </w:t>
      </w:r>
      <w:r>
        <w:rPr>
          <w:rFonts w:ascii="Times New Roman" w:hAnsi="Times New Roman" w:cs="Times New Roman"/>
          <w:sz w:val="24"/>
        </w:rPr>
        <w:t>Mortgagee</w:t>
      </w:r>
      <w:r w:rsidRPr="004B6174" w:rsidR="00F916B0">
        <w:rPr>
          <w:rFonts w:ascii="Times New Roman" w:hAnsi="Times New Roman" w:cs="Times New Roman"/>
          <w:sz w:val="24"/>
        </w:rPr>
        <w:t xml:space="preserve">’s reduction for the damage would be limited to the amount of insurance.  The </w:t>
      </w:r>
      <w:r>
        <w:rPr>
          <w:rFonts w:ascii="Times New Roman" w:hAnsi="Times New Roman" w:cs="Times New Roman"/>
          <w:sz w:val="24"/>
        </w:rPr>
        <w:t>Mortgagee</w:t>
      </w:r>
      <w:r w:rsidRPr="004B6174" w:rsidR="00F916B0">
        <w:rPr>
          <w:rFonts w:ascii="Times New Roman" w:hAnsi="Times New Roman" w:cs="Times New Roman"/>
          <w:sz w:val="24"/>
        </w:rPr>
        <w:t xml:space="preserve"> would certify pursuant to 24 CFR 203.379(a)(2)</w:t>
      </w:r>
      <w:r w:rsidR="00F916B0">
        <w:rPr>
          <w:rFonts w:ascii="Times New Roman" w:hAnsi="Times New Roman" w:cs="Times New Roman"/>
          <w:sz w:val="24"/>
        </w:rPr>
        <w:t xml:space="preserve">; this </w:t>
      </w:r>
      <w:r w:rsidRPr="004B6174" w:rsidR="00F916B0">
        <w:rPr>
          <w:rFonts w:ascii="Times New Roman" w:hAnsi="Times New Roman" w:cs="Times New Roman"/>
          <w:sz w:val="24"/>
        </w:rPr>
        <w:t>is</w:t>
      </w:r>
      <w:r w:rsidR="00F916B0">
        <w:rPr>
          <w:rFonts w:ascii="Times New Roman" w:hAnsi="Times New Roman" w:cs="Times New Roman"/>
          <w:sz w:val="24"/>
        </w:rPr>
        <w:t xml:space="preserve"> a rare occurrence. </w:t>
      </w:r>
    </w:p>
    <w:p w:rsidR="00F916B0" w:rsidP="00B41E73" w:rsidRDefault="00F916B0" w14:paraId="4A7F9992" w14:textId="6104A584">
      <w:pPr>
        <w:pStyle w:val="HTMLPreformatted"/>
        <w:tabs>
          <w:tab w:val="left" w:pos="1062"/>
        </w:tabs>
        <w:rPr>
          <w:rFonts w:ascii="Times New Roman" w:hAnsi="Times New Roman" w:cs="Times New Roman"/>
          <w:sz w:val="24"/>
        </w:rPr>
      </w:pPr>
    </w:p>
    <w:p w:rsidRPr="004B6174" w:rsidR="00470176" w:rsidP="00470176" w:rsidRDefault="00470176" w14:paraId="06D4BFB8" w14:textId="77777777">
      <w:pPr>
        <w:spacing w:after="0" w:line="240" w:lineRule="auto"/>
        <w:rPr>
          <w:rFonts w:ascii="Times New Roman" w:hAnsi="Times New Roman"/>
          <w:sz w:val="24"/>
        </w:rPr>
      </w:pPr>
      <w:r w:rsidRPr="004B6174">
        <w:rPr>
          <w:rFonts w:ascii="Times New Roman" w:hAnsi="Times New Roman"/>
          <w:b/>
          <w:bCs/>
          <w:sz w:val="24"/>
        </w:rPr>
        <w:t>Claims Without Conveyance of Title (CWCOT)</w:t>
      </w:r>
    </w:p>
    <w:p w:rsidRPr="008605E2" w:rsidR="00470176" w:rsidP="00D03138" w:rsidRDefault="00470176" w14:paraId="2ACBA9B2" w14:textId="7205AB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8605E2">
        <w:rPr>
          <w:rFonts w:ascii="Times New Roman" w:hAnsi="Times New Roman" w:cs="Times New Roman"/>
          <w:sz w:val="24"/>
        </w:rPr>
        <w:t>Section 426 of the Housing and Urban-Rural Recovery Act of 1983</w:t>
      </w:r>
      <w:r w:rsidR="00092974">
        <w:rPr>
          <w:rFonts w:ascii="Times New Roman" w:hAnsi="Times New Roman" w:cs="Times New Roman"/>
          <w:sz w:val="24"/>
        </w:rPr>
        <w:t xml:space="preserve"> (Pub. L. 98-181, 97 Stat. 1218, 12 U.S.C. 1710</w:t>
      </w:r>
      <w:r w:rsidR="00DC034A">
        <w:rPr>
          <w:rFonts w:ascii="Times New Roman" w:hAnsi="Times New Roman" w:cs="Times New Roman"/>
          <w:sz w:val="24"/>
        </w:rPr>
        <w:t>)</w:t>
      </w:r>
      <w:r w:rsidRPr="008605E2">
        <w:rPr>
          <w:rFonts w:ascii="Times New Roman" w:hAnsi="Times New Roman" w:cs="Times New Roman"/>
          <w:sz w:val="24"/>
        </w:rPr>
        <w:t xml:space="preserve"> amended Section 204(a) of the Act authorizing payment of insurance benefits for </w:t>
      </w:r>
      <w:r w:rsidRPr="008605E2">
        <w:rPr>
          <w:rFonts w:ascii="Times New Roman" w:hAnsi="Times New Roman" w:cs="Times New Roman"/>
          <w:bCs/>
          <w:sz w:val="24"/>
        </w:rPr>
        <w:t>CWCOT</w:t>
      </w:r>
      <w:r w:rsidRPr="008605E2">
        <w:rPr>
          <w:rFonts w:ascii="Times New Roman" w:hAnsi="Times New Roman" w:cs="Times New Roman"/>
          <w:sz w:val="24"/>
        </w:rPr>
        <w:t xml:space="preserve"> without conveying title of the foreclosed properties to HUD.  On August 1, 1990, the CWCOT regulatory procedure was adapted for use only in cases involving deficiency judgments or other situations where HUD either requests or requires a </w:t>
      </w:r>
      <w:r w:rsidR="001559C0">
        <w:rPr>
          <w:rFonts w:ascii="Times New Roman" w:hAnsi="Times New Roman" w:cs="Times New Roman"/>
          <w:sz w:val="24"/>
        </w:rPr>
        <w:t>Mortgagee</w:t>
      </w:r>
      <w:r w:rsidRPr="008605E2">
        <w:rPr>
          <w:rFonts w:ascii="Times New Roman" w:hAnsi="Times New Roman" w:cs="Times New Roman"/>
          <w:sz w:val="24"/>
        </w:rPr>
        <w:t xml:space="preserve"> to obtain a property appraisal and to use CWCOT. FHA</w:t>
      </w:r>
      <w:r>
        <w:rPr>
          <w:rFonts w:ascii="Times New Roman" w:hAnsi="Times New Roman" w:cs="Times New Roman"/>
          <w:sz w:val="24"/>
        </w:rPr>
        <w:t>’s</w:t>
      </w:r>
      <w:r w:rsidRPr="008605E2">
        <w:rPr>
          <w:rFonts w:ascii="Times New Roman" w:hAnsi="Times New Roman" w:cs="Times New Roman"/>
          <w:sz w:val="24"/>
        </w:rPr>
        <w:t xml:space="preserve"> </w:t>
      </w:r>
      <w:r>
        <w:rPr>
          <w:rFonts w:ascii="Times New Roman" w:hAnsi="Times New Roman" w:cs="Times New Roman"/>
          <w:sz w:val="24"/>
        </w:rPr>
        <w:t>p</w:t>
      </w:r>
      <w:r w:rsidRPr="008605E2">
        <w:rPr>
          <w:rFonts w:ascii="Times New Roman" w:hAnsi="Times New Roman" w:cs="Times New Roman"/>
          <w:sz w:val="24"/>
        </w:rPr>
        <w:t xml:space="preserve">olicy </w:t>
      </w:r>
      <w:r>
        <w:rPr>
          <w:rFonts w:ascii="Times New Roman" w:hAnsi="Times New Roman" w:cs="Times New Roman"/>
          <w:sz w:val="24"/>
        </w:rPr>
        <w:t>effective February 1, 2015</w:t>
      </w:r>
      <w:r w:rsidR="00092974">
        <w:rPr>
          <w:rFonts w:ascii="Times New Roman" w:hAnsi="Times New Roman" w:cs="Times New Roman"/>
          <w:sz w:val="24"/>
        </w:rPr>
        <w:t>,</w:t>
      </w:r>
      <w:r w:rsidRPr="008605E2">
        <w:rPr>
          <w:rFonts w:ascii="Times New Roman" w:hAnsi="Times New Roman" w:cs="Times New Roman"/>
          <w:sz w:val="24"/>
        </w:rPr>
        <w:t xml:space="preserve"> require</w:t>
      </w:r>
      <w:r>
        <w:rPr>
          <w:rFonts w:ascii="Times New Roman" w:hAnsi="Times New Roman" w:cs="Times New Roman"/>
          <w:sz w:val="24"/>
        </w:rPr>
        <w:t>s</w:t>
      </w:r>
      <w:r w:rsidRPr="008605E2">
        <w:rPr>
          <w:rFonts w:ascii="Times New Roman" w:hAnsi="Times New Roman" w:cs="Times New Roman"/>
          <w:sz w:val="24"/>
        </w:rPr>
        <w:t xml:space="preserve"> all </w:t>
      </w:r>
      <w:r w:rsidR="001559C0">
        <w:rPr>
          <w:rFonts w:ascii="Times New Roman" w:hAnsi="Times New Roman" w:cs="Times New Roman"/>
          <w:sz w:val="24"/>
        </w:rPr>
        <w:t>Mortgagee</w:t>
      </w:r>
      <w:r w:rsidRPr="008605E2">
        <w:rPr>
          <w:rFonts w:ascii="Times New Roman" w:hAnsi="Times New Roman" w:cs="Times New Roman"/>
          <w:sz w:val="24"/>
        </w:rPr>
        <w:t xml:space="preserve">s </w:t>
      </w:r>
      <w:r w:rsidR="00092974">
        <w:rPr>
          <w:rFonts w:ascii="Times New Roman" w:hAnsi="Times New Roman" w:cs="Times New Roman"/>
          <w:sz w:val="24"/>
        </w:rPr>
        <w:t xml:space="preserve">to </w:t>
      </w:r>
      <w:r w:rsidRPr="008605E2">
        <w:rPr>
          <w:rFonts w:ascii="Times New Roman" w:hAnsi="Times New Roman" w:cs="Times New Roman"/>
          <w:sz w:val="24"/>
        </w:rPr>
        <w:t xml:space="preserve">use CWCOT for foreclosure sale and Post-Foreclosure Sales </w:t>
      </w:r>
      <w:r w:rsidR="00092974">
        <w:rPr>
          <w:rFonts w:ascii="Times New Roman" w:hAnsi="Times New Roman" w:cs="Times New Roman"/>
          <w:sz w:val="24"/>
        </w:rPr>
        <w:t>E</w:t>
      </w:r>
      <w:r w:rsidRPr="008605E2">
        <w:rPr>
          <w:rFonts w:ascii="Times New Roman" w:hAnsi="Times New Roman" w:cs="Times New Roman"/>
          <w:sz w:val="24"/>
        </w:rPr>
        <w:t>fforts</w:t>
      </w:r>
      <w:r>
        <w:rPr>
          <w:rFonts w:ascii="Times New Roman" w:hAnsi="Times New Roman" w:cs="Times New Roman"/>
          <w:sz w:val="24"/>
        </w:rPr>
        <w:t>.</w:t>
      </w:r>
      <w:r w:rsidRPr="008605E2">
        <w:rPr>
          <w:rFonts w:ascii="Times New Roman" w:hAnsi="Times New Roman" w:cs="Times New Roman"/>
          <w:sz w:val="24"/>
        </w:rPr>
        <w:t xml:space="preserve"> According to 24 CFR 203.368, the CWCOT procedure requires </w:t>
      </w:r>
      <w:r w:rsidR="00092974">
        <w:rPr>
          <w:rFonts w:ascii="Times New Roman" w:hAnsi="Times New Roman" w:cs="Times New Roman"/>
          <w:sz w:val="24"/>
        </w:rPr>
        <w:t>M</w:t>
      </w:r>
      <w:r w:rsidRPr="008605E2">
        <w:rPr>
          <w:rFonts w:ascii="Times New Roman" w:hAnsi="Times New Roman" w:cs="Times New Roman"/>
          <w:sz w:val="24"/>
        </w:rPr>
        <w:t>ortgage</w:t>
      </w:r>
      <w:r w:rsidR="00DC034A">
        <w:rPr>
          <w:rFonts w:ascii="Times New Roman" w:hAnsi="Times New Roman" w:cs="Times New Roman"/>
          <w:sz w:val="24"/>
        </w:rPr>
        <w:t>e</w:t>
      </w:r>
      <w:r w:rsidRPr="008605E2">
        <w:rPr>
          <w:rFonts w:ascii="Times New Roman" w:hAnsi="Times New Roman" w:cs="Times New Roman"/>
          <w:sz w:val="24"/>
        </w:rPr>
        <w:t>s to bid the Commissioner's Adjusted Fair Market Value (CAFMV) at the foreclosure sale of a property securing an FHA-insured mortgage. The property’s CAFMV is defined as its fair market value less adjustments as the Commissioner deems appropriate.</w:t>
      </w:r>
    </w:p>
    <w:p w:rsidRPr="004B6174" w:rsidR="00470176" w:rsidP="00470176" w:rsidRDefault="00470176" w14:paraId="6239DFD0" w14:textId="77777777">
      <w:pPr>
        <w:pStyle w:val="HTMLPreformatted"/>
        <w:tabs>
          <w:tab w:val="left" w:pos="1062"/>
        </w:tabs>
        <w:rPr>
          <w:rFonts w:ascii="Times New Roman" w:hAnsi="Times New Roman" w:cs="Times New Roman"/>
          <w:sz w:val="24"/>
        </w:rPr>
      </w:pPr>
    </w:p>
    <w:p w:rsidR="00470176" w:rsidP="00675ACC" w:rsidRDefault="00470176" w14:paraId="614C19B5" w14:textId="04FA2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Unless otherwise</w:t>
      </w:r>
      <w:r w:rsidRPr="00F914D5">
        <w:rPr>
          <w:rFonts w:ascii="Times New Roman" w:hAnsi="Times New Roman" w:cs="Times New Roman"/>
          <w:sz w:val="24"/>
        </w:rPr>
        <w:t xml:space="preserve"> directed </w:t>
      </w:r>
      <w:r>
        <w:rPr>
          <w:rFonts w:ascii="Times New Roman" w:hAnsi="Times New Roman" w:cs="Times New Roman"/>
          <w:sz w:val="24"/>
        </w:rPr>
        <w:t>by HUD,</w:t>
      </w:r>
      <w:r w:rsidRPr="00F914D5">
        <w:rPr>
          <w:rFonts w:ascii="Times New Roman" w:hAnsi="Times New Roman" w:cs="Times New Roman"/>
          <w:sz w:val="24"/>
        </w:rPr>
        <w:t xml:space="preserve"> </w:t>
      </w:r>
      <w:r w:rsidR="001559C0">
        <w:rPr>
          <w:rFonts w:ascii="Times New Roman" w:hAnsi="Times New Roman" w:cs="Times New Roman"/>
          <w:sz w:val="24"/>
        </w:rPr>
        <w:t>Mortgagee</w:t>
      </w:r>
      <w:r w:rsidRPr="00F914D5">
        <w:rPr>
          <w:rFonts w:ascii="Times New Roman" w:hAnsi="Times New Roman" w:cs="Times New Roman"/>
          <w:sz w:val="24"/>
        </w:rPr>
        <w:t>s</w:t>
      </w:r>
      <w:r>
        <w:rPr>
          <w:rFonts w:ascii="Times New Roman" w:hAnsi="Times New Roman" w:cs="Times New Roman"/>
          <w:sz w:val="24"/>
        </w:rPr>
        <w:t xml:space="preserve"> </w:t>
      </w:r>
      <w:r w:rsidRPr="00F914D5">
        <w:rPr>
          <w:rFonts w:ascii="Times New Roman" w:hAnsi="Times New Roman" w:cs="Times New Roman"/>
          <w:sz w:val="24"/>
        </w:rPr>
        <w:t xml:space="preserve">must </w:t>
      </w:r>
      <w:r>
        <w:rPr>
          <w:rFonts w:ascii="Times New Roman" w:hAnsi="Times New Roman" w:cs="Times New Roman"/>
          <w:sz w:val="24"/>
        </w:rPr>
        <w:t>first obtain, and review for accuracy, an “as-is” FHA appraisal that includes both an interior and exterior evaluation of the property. If</w:t>
      </w:r>
      <w:r w:rsidR="00675ACC">
        <w:rPr>
          <w:rFonts w:ascii="Times New Roman" w:hAnsi="Times New Roman" w:cs="Times New Roman"/>
          <w:sz w:val="24"/>
        </w:rPr>
        <w:t xml:space="preserve"> </w:t>
      </w:r>
      <w:r>
        <w:rPr>
          <w:rFonts w:ascii="Times New Roman" w:hAnsi="Times New Roman" w:cs="Times New Roman"/>
          <w:sz w:val="24"/>
        </w:rPr>
        <w:t xml:space="preserve">the property is occupied and an interior appraisal cannot be obtained, an “exterior-only” appraisal may be used. </w:t>
      </w:r>
      <w:r w:rsidRPr="00A04F3A">
        <w:rPr>
          <w:rFonts w:ascii="Times New Roman" w:hAnsi="Times New Roman" w:cs="Times New Roman"/>
          <w:sz w:val="24"/>
        </w:rPr>
        <w:t>Appraisals are valid for 120 days</w:t>
      </w:r>
      <w:r>
        <w:rPr>
          <w:rFonts w:ascii="Times New Roman" w:hAnsi="Times New Roman" w:cs="Times New Roman"/>
          <w:sz w:val="24"/>
        </w:rPr>
        <w:t xml:space="preserve"> and must be valid on the date of the foreclosure sale. If delays such as bankruptcy, court delays</w:t>
      </w:r>
      <w:r w:rsidR="00092974">
        <w:rPr>
          <w:rFonts w:ascii="Times New Roman" w:hAnsi="Times New Roman" w:cs="Times New Roman"/>
          <w:sz w:val="24"/>
        </w:rPr>
        <w:t>,</w:t>
      </w:r>
      <w:r>
        <w:rPr>
          <w:rFonts w:ascii="Times New Roman" w:hAnsi="Times New Roman" w:cs="Times New Roman"/>
          <w:sz w:val="24"/>
        </w:rPr>
        <w:t xml:space="preserve"> or delays outside of the </w:t>
      </w:r>
      <w:r w:rsidR="001559C0">
        <w:rPr>
          <w:rFonts w:ascii="Times New Roman" w:hAnsi="Times New Roman" w:cs="Times New Roman"/>
          <w:sz w:val="24"/>
        </w:rPr>
        <w:t>Mortgagee</w:t>
      </w:r>
      <w:r>
        <w:rPr>
          <w:rFonts w:ascii="Times New Roman" w:hAnsi="Times New Roman" w:cs="Times New Roman"/>
          <w:sz w:val="24"/>
        </w:rPr>
        <w:t xml:space="preserve">’s control occur, the </w:t>
      </w:r>
      <w:r w:rsidR="001559C0">
        <w:rPr>
          <w:rFonts w:ascii="Times New Roman" w:hAnsi="Times New Roman" w:cs="Times New Roman"/>
          <w:sz w:val="24"/>
        </w:rPr>
        <w:t>Mortgagee</w:t>
      </w:r>
      <w:r>
        <w:rPr>
          <w:rFonts w:ascii="Times New Roman" w:hAnsi="Times New Roman" w:cs="Times New Roman"/>
          <w:sz w:val="24"/>
        </w:rPr>
        <w:t xml:space="preserve"> is granted an additional</w:t>
      </w:r>
      <w:r w:rsidR="00092974">
        <w:rPr>
          <w:rFonts w:ascii="Times New Roman" w:hAnsi="Times New Roman" w:cs="Times New Roman"/>
          <w:sz w:val="24"/>
        </w:rPr>
        <w:t xml:space="preserve"> </w:t>
      </w:r>
      <w:r>
        <w:rPr>
          <w:rFonts w:ascii="Times New Roman" w:hAnsi="Times New Roman" w:cs="Times New Roman"/>
          <w:sz w:val="24"/>
        </w:rPr>
        <w:t>30</w:t>
      </w:r>
      <w:r w:rsidR="00092974">
        <w:rPr>
          <w:rFonts w:ascii="Times New Roman" w:hAnsi="Times New Roman" w:cs="Times New Roman"/>
          <w:sz w:val="24"/>
        </w:rPr>
        <w:t>-</w:t>
      </w:r>
      <w:r>
        <w:rPr>
          <w:rFonts w:ascii="Times New Roman" w:hAnsi="Times New Roman" w:cs="Times New Roman"/>
          <w:sz w:val="24"/>
        </w:rPr>
        <w:t>day extension on the appraisal expiration date.</w:t>
      </w:r>
    </w:p>
    <w:p w:rsidR="00470176" w:rsidP="00470176" w:rsidRDefault="00470176" w14:paraId="3F832B3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p>
    <w:p w:rsidRPr="004B6174" w:rsidR="00470176" w:rsidP="00496924" w:rsidRDefault="00470176" w14:paraId="261DBD7D" w14:textId="41B0C9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FF"/>
          <w:sz w:val="24"/>
        </w:rPr>
      </w:pPr>
      <w:r>
        <w:rPr>
          <w:rFonts w:ascii="Times New Roman" w:hAnsi="Times New Roman" w:cs="Times New Roman"/>
          <w:sz w:val="24"/>
        </w:rPr>
        <w:t xml:space="preserve">After the property’s appraised value has been established, employees of a </w:t>
      </w:r>
      <w:r w:rsidR="001559C0">
        <w:rPr>
          <w:rFonts w:ascii="Times New Roman" w:hAnsi="Times New Roman" w:cs="Times New Roman"/>
          <w:sz w:val="24"/>
        </w:rPr>
        <w:t>Mortgagee</w:t>
      </w:r>
      <w:r>
        <w:rPr>
          <w:rFonts w:ascii="Times New Roman" w:hAnsi="Times New Roman" w:cs="Times New Roman"/>
          <w:sz w:val="24"/>
        </w:rPr>
        <w:t xml:space="preserve"> authorized to access the CAFMV link in FHA Connection should visit </w:t>
      </w:r>
      <w:hyperlink w:history="1" r:id="rId10">
        <w:r w:rsidRPr="00E31F5A">
          <w:rPr>
            <w:rStyle w:val="Hyperlink"/>
            <w:rFonts w:ascii="Times New Roman" w:hAnsi="Times New Roman" w:cs="Times New Roman"/>
            <w:i/>
            <w:sz w:val="24"/>
          </w:rPr>
          <w:t>https://entp.hud.gov/clas/index.cfm</w:t>
        </w:r>
      </w:hyperlink>
      <w:r>
        <w:rPr>
          <w:rFonts w:ascii="Times New Roman" w:hAnsi="Times New Roman" w:cs="Times New Roman"/>
          <w:sz w:val="24"/>
        </w:rPr>
        <w:t xml:space="preserve"> to determine a property’s CAFMV. In determining a property’s CAFMV, a “Competitive Sale” is when a </w:t>
      </w:r>
      <w:r w:rsidR="001559C0">
        <w:rPr>
          <w:rFonts w:ascii="Times New Roman" w:hAnsi="Times New Roman" w:cs="Times New Roman"/>
          <w:sz w:val="24"/>
        </w:rPr>
        <w:t>Mortgagee</w:t>
      </w:r>
      <w:r>
        <w:rPr>
          <w:rFonts w:ascii="Times New Roman" w:hAnsi="Times New Roman" w:cs="Times New Roman"/>
          <w:sz w:val="24"/>
        </w:rPr>
        <w:t xml:space="preserve"> elects to use an independent third-party provider (e.g., an auction company) to conduct the foreclosure sale</w:t>
      </w:r>
      <w:r w:rsidR="00092974">
        <w:rPr>
          <w:rFonts w:ascii="Times New Roman" w:hAnsi="Times New Roman" w:cs="Times New Roman"/>
          <w:sz w:val="24"/>
        </w:rPr>
        <w:t xml:space="preserve"> </w:t>
      </w:r>
      <w:r>
        <w:rPr>
          <w:rFonts w:ascii="Times New Roman" w:hAnsi="Times New Roman" w:cs="Times New Roman"/>
          <w:sz w:val="24"/>
        </w:rPr>
        <w:t xml:space="preserve">or in connection with any Post-Foreclosure Sales </w:t>
      </w:r>
      <w:r w:rsidR="00092974">
        <w:rPr>
          <w:rFonts w:ascii="Times New Roman" w:hAnsi="Times New Roman" w:cs="Times New Roman"/>
          <w:sz w:val="24"/>
        </w:rPr>
        <w:t>E</w:t>
      </w:r>
      <w:r>
        <w:rPr>
          <w:rFonts w:ascii="Times New Roman" w:hAnsi="Times New Roman" w:cs="Times New Roman"/>
          <w:sz w:val="24"/>
        </w:rPr>
        <w:t xml:space="preserve">fforts and the property is marketed for a minimum of 15 days. A “Non-Competitive Sale” is when a </w:t>
      </w:r>
      <w:r w:rsidR="001559C0">
        <w:rPr>
          <w:rFonts w:ascii="Times New Roman" w:hAnsi="Times New Roman" w:cs="Times New Roman"/>
          <w:sz w:val="24"/>
        </w:rPr>
        <w:t>Mortgagee</w:t>
      </w:r>
      <w:r>
        <w:rPr>
          <w:rFonts w:ascii="Times New Roman" w:hAnsi="Times New Roman" w:cs="Times New Roman"/>
          <w:sz w:val="24"/>
        </w:rPr>
        <w:t xml:space="preserve"> elects not to use an independent third-party provider (e.g., an auction company) to conduct the foreclosure sale or in connection with any Post-Foreclosure Sales </w:t>
      </w:r>
      <w:r w:rsidR="00092974">
        <w:rPr>
          <w:rFonts w:ascii="Times New Roman" w:hAnsi="Times New Roman" w:cs="Times New Roman"/>
          <w:sz w:val="24"/>
        </w:rPr>
        <w:t>E</w:t>
      </w:r>
      <w:r>
        <w:rPr>
          <w:rFonts w:ascii="Times New Roman" w:hAnsi="Times New Roman" w:cs="Times New Roman"/>
          <w:sz w:val="24"/>
        </w:rPr>
        <w:t xml:space="preserve">fforts and/or the property is not marketed for a minimum of 15 days. </w:t>
      </w:r>
      <w:r w:rsidRPr="004B6174">
        <w:rPr>
          <w:rFonts w:ascii="Times New Roman" w:hAnsi="Times New Roman" w:cs="Times New Roman"/>
          <w:sz w:val="24"/>
        </w:rPr>
        <w:t xml:space="preserve">Where the </w:t>
      </w:r>
      <w:r w:rsidR="001559C0">
        <w:rPr>
          <w:rFonts w:ascii="Times New Roman" w:hAnsi="Times New Roman" w:cs="Times New Roman"/>
          <w:sz w:val="24"/>
        </w:rPr>
        <w:t>Mortgagee</w:t>
      </w:r>
      <w:r w:rsidRPr="004B6174">
        <w:rPr>
          <w:rFonts w:ascii="Times New Roman" w:hAnsi="Times New Roman" w:cs="Times New Roman"/>
          <w:sz w:val="24"/>
        </w:rPr>
        <w:t xml:space="preserve"> is the successful bidder, the </w:t>
      </w:r>
      <w:r w:rsidR="00FC5EA4">
        <w:rPr>
          <w:rFonts w:ascii="Times New Roman" w:hAnsi="Times New Roman" w:cs="Times New Roman"/>
          <w:sz w:val="24"/>
        </w:rPr>
        <w:lastRenderedPageBreak/>
        <w:t>M</w:t>
      </w:r>
      <w:r w:rsidRPr="004B6174">
        <w:rPr>
          <w:rFonts w:ascii="Times New Roman" w:hAnsi="Times New Roman" w:cs="Times New Roman"/>
          <w:sz w:val="24"/>
        </w:rPr>
        <w:t>ortgag</w:t>
      </w:r>
      <w:r w:rsidR="00FC5EA4">
        <w:rPr>
          <w:rFonts w:ascii="Times New Roman" w:hAnsi="Times New Roman" w:cs="Times New Roman"/>
          <w:sz w:val="24"/>
        </w:rPr>
        <w:t>e</w:t>
      </w:r>
      <w:r w:rsidRPr="004B6174">
        <w:rPr>
          <w:rFonts w:ascii="Times New Roman" w:hAnsi="Times New Roman" w:cs="Times New Roman"/>
          <w:sz w:val="24"/>
        </w:rPr>
        <w:t xml:space="preserve">e may elect to either retain title to the property or convey title to the property to HUD.  In either case, the </w:t>
      </w:r>
      <w:r w:rsidR="001559C0">
        <w:rPr>
          <w:rFonts w:ascii="Times New Roman" w:hAnsi="Times New Roman" w:cs="Times New Roman"/>
          <w:sz w:val="24"/>
        </w:rPr>
        <w:t>Mortgagee</w:t>
      </w:r>
      <w:r w:rsidRPr="004B6174">
        <w:rPr>
          <w:rFonts w:ascii="Times New Roman" w:hAnsi="Times New Roman" w:cs="Times New Roman"/>
          <w:sz w:val="24"/>
        </w:rPr>
        <w:t xml:space="preserve"> must file its claim for benefits within 30 days after acquiring good marketable title to the mortgaged property.</w:t>
      </w:r>
    </w:p>
    <w:p w:rsidR="00470176" w:rsidP="00B41E73" w:rsidRDefault="00470176" w14:paraId="0A4EA9CC" w14:textId="77777777">
      <w:pPr>
        <w:pStyle w:val="HTMLPreformatted"/>
        <w:tabs>
          <w:tab w:val="left" w:pos="1062"/>
        </w:tabs>
        <w:rPr>
          <w:rFonts w:ascii="Times New Roman" w:hAnsi="Times New Roman" w:cs="Times New Roman"/>
          <w:sz w:val="24"/>
        </w:rPr>
      </w:pPr>
    </w:p>
    <w:p w:rsidR="003B6380" w:rsidP="003B6380" w:rsidRDefault="003B6380" w14:paraId="6238B85E" w14:textId="357125A4">
      <w:pPr>
        <w:overflowPunct w:val="0"/>
        <w:autoSpaceDE w:val="0"/>
        <w:autoSpaceDN w:val="0"/>
        <w:adjustRightInd w:val="0"/>
        <w:spacing w:after="0" w:line="240" w:lineRule="auto"/>
        <w:textAlignment w:val="baseline"/>
        <w:rPr>
          <w:rFonts w:ascii="Times New Roman" w:hAnsi="Times New Roman"/>
          <w:b/>
          <w:bCs/>
          <w:sz w:val="24"/>
        </w:rPr>
      </w:pPr>
      <w:r w:rsidRPr="00F916B0">
        <w:rPr>
          <w:rFonts w:ascii="Times New Roman" w:hAnsi="Times New Roman"/>
          <w:b/>
          <w:bCs/>
          <w:sz w:val="24"/>
        </w:rPr>
        <w:t>Property Inspection and Preservation</w:t>
      </w:r>
    </w:p>
    <w:p w:rsidRPr="00F916B0" w:rsidR="00DD58A0" w:rsidP="003B6380" w:rsidRDefault="00DD58A0" w14:paraId="50BDCCA9" w14:textId="77777777">
      <w:pPr>
        <w:overflowPunct w:val="0"/>
        <w:autoSpaceDE w:val="0"/>
        <w:autoSpaceDN w:val="0"/>
        <w:adjustRightInd w:val="0"/>
        <w:spacing w:after="0" w:line="240" w:lineRule="auto"/>
        <w:textAlignment w:val="baseline"/>
        <w:rPr>
          <w:rFonts w:ascii="Times New Roman" w:hAnsi="Times New Roman"/>
          <w:b/>
          <w:bCs/>
          <w:sz w:val="24"/>
        </w:rPr>
      </w:pPr>
    </w:p>
    <w:p w:rsidRPr="003B6380" w:rsidR="003B6380" w:rsidP="003B6380" w:rsidRDefault="003B6380" w14:paraId="3505D420" w14:textId="158207C1">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is responsible for the inspection and preservation of properties by taking reasonable actions to protect the value of the security until title can be conveyed to HUD (24 CFR 203.377).  Inspections are identified as initial, occupancy</w:t>
      </w:r>
      <w:r w:rsidR="00873147">
        <w:rPr>
          <w:rFonts w:ascii="Times New Roman" w:hAnsi="Times New Roman"/>
          <w:sz w:val="24"/>
        </w:rPr>
        <w:t>,</w:t>
      </w:r>
      <w:r w:rsidRPr="003B6380">
        <w:rPr>
          <w:rFonts w:ascii="Times New Roman" w:hAnsi="Times New Roman"/>
          <w:sz w:val="24"/>
        </w:rPr>
        <w:t xml:space="preserve"> and vacant.  The initial and vacant inspections are required by HUD regulations.  The occupancy inspection is necessary to determine when foreclosure action must be initiated and when protection and preservation action must be taken if the </w:t>
      </w:r>
      <w:r w:rsidR="001559C0">
        <w:rPr>
          <w:rFonts w:ascii="Times New Roman" w:hAnsi="Times New Roman"/>
          <w:sz w:val="24"/>
        </w:rPr>
        <w:t>Mortgagee</w:t>
      </w:r>
      <w:r w:rsidRPr="003B6380">
        <w:rPr>
          <w:rFonts w:ascii="Times New Roman" w:hAnsi="Times New Roman"/>
          <w:sz w:val="24"/>
        </w:rPr>
        <w:t xml:space="preserve"> cannot determine the occupancy status. The </w:t>
      </w:r>
      <w:r w:rsidR="001559C0">
        <w:rPr>
          <w:rFonts w:ascii="Times New Roman" w:hAnsi="Times New Roman"/>
          <w:sz w:val="24"/>
        </w:rPr>
        <w:t>Mortgagee</w:t>
      </w:r>
      <w:r w:rsidRPr="003B6380">
        <w:rPr>
          <w:rFonts w:ascii="Times New Roman" w:hAnsi="Times New Roman"/>
          <w:sz w:val="24"/>
        </w:rPr>
        <w:t xml:space="preserve"> is required to protect and preserve the property until it is conveyed</w:t>
      </w:r>
      <w:r w:rsidR="00675ACC">
        <w:rPr>
          <w:rFonts w:ascii="Times New Roman" w:hAnsi="Times New Roman"/>
          <w:sz w:val="24"/>
        </w:rPr>
        <w:t xml:space="preserve"> </w:t>
      </w:r>
      <w:r w:rsidRPr="003B6380">
        <w:rPr>
          <w:rFonts w:ascii="Times New Roman" w:hAnsi="Times New Roman"/>
          <w:sz w:val="24"/>
        </w:rPr>
        <w:t>to HUD.</w:t>
      </w:r>
    </w:p>
    <w:p w:rsidRPr="003B6380" w:rsidR="003B6380" w:rsidP="003B6380" w:rsidRDefault="003B6380" w14:paraId="3BA7B1A2" w14:textId="77777777">
      <w:pPr>
        <w:overflowPunct w:val="0"/>
        <w:autoSpaceDE w:val="0"/>
        <w:autoSpaceDN w:val="0"/>
        <w:adjustRightInd w:val="0"/>
        <w:spacing w:after="0" w:line="240" w:lineRule="auto"/>
        <w:textAlignment w:val="baseline"/>
        <w:rPr>
          <w:rFonts w:ascii="Times New Roman" w:hAnsi="Times New Roman"/>
          <w:sz w:val="24"/>
        </w:rPr>
      </w:pPr>
    </w:p>
    <w:p w:rsidR="003B6380" w:rsidP="003B6380" w:rsidRDefault="003B6380" w14:paraId="2B565DCF" w14:textId="7E5148ED">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When a mortgage is in default, a payment is not received within 45 days of the due date, and efforts to reach the Mortgagor</w:t>
      </w:r>
      <w:r w:rsidR="00873147">
        <w:rPr>
          <w:rFonts w:ascii="Times New Roman" w:hAnsi="Times New Roman"/>
          <w:sz w:val="24"/>
        </w:rPr>
        <w:t xml:space="preserve"> by telephone</w:t>
      </w:r>
      <w:r w:rsidRPr="003B6380">
        <w:rPr>
          <w:rFonts w:ascii="Times New Roman" w:hAnsi="Times New Roman"/>
          <w:sz w:val="24"/>
        </w:rPr>
        <w:t xml:space="preserve"> within that period have proven unsuccessful, the </w:t>
      </w:r>
      <w:r w:rsidR="001559C0">
        <w:rPr>
          <w:rFonts w:ascii="Times New Roman" w:hAnsi="Times New Roman"/>
          <w:sz w:val="24"/>
        </w:rPr>
        <w:t>Mortgagee</w:t>
      </w:r>
      <w:r w:rsidRPr="003B6380">
        <w:rPr>
          <w:rFonts w:ascii="Times New Roman" w:hAnsi="Times New Roman"/>
          <w:sz w:val="24"/>
        </w:rPr>
        <w:t xml:space="preserve"> must inspect the property to determine occupancy status.  Inspections must be performed 25-35 days following any prior inspection if the property is vacant or 25-35 days following the last documented contact with the Mortgagor if the mortgage remains in default. </w:t>
      </w:r>
    </w:p>
    <w:p w:rsidR="005756BE" w:rsidP="003B6380" w:rsidRDefault="005756BE" w14:paraId="4B1C88DA" w14:textId="20BADFED">
      <w:pPr>
        <w:overflowPunct w:val="0"/>
        <w:autoSpaceDE w:val="0"/>
        <w:autoSpaceDN w:val="0"/>
        <w:adjustRightInd w:val="0"/>
        <w:spacing w:after="0" w:line="240" w:lineRule="auto"/>
        <w:textAlignment w:val="baseline"/>
        <w:rPr>
          <w:rFonts w:ascii="Times New Roman" w:hAnsi="Times New Roman"/>
          <w:sz w:val="24"/>
        </w:rPr>
      </w:pPr>
    </w:p>
    <w:p w:rsidRPr="003B6380" w:rsidR="005756BE" w:rsidP="003B6380" w:rsidRDefault="005756BE" w14:paraId="3C2D3A93" w14:textId="038D42C4">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There are five types of property inspections: occupancy inspections, initial vacant property inspections, vacant property inspections, voluntary pre-conveyance inspections</w:t>
      </w:r>
      <w:r w:rsidR="00DE7A10">
        <w:rPr>
          <w:rFonts w:ascii="Times New Roman" w:hAnsi="Times New Roman"/>
          <w:sz w:val="24"/>
        </w:rPr>
        <w:t>,</w:t>
      </w:r>
      <w:r w:rsidRPr="003B6380">
        <w:rPr>
          <w:rFonts w:ascii="Times New Roman" w:hAnsi="Times New Roman"/>
          <w:sz w:val="24"/>
        </w:rPr>
        <w:t xml:space="preserve"> and eviction inspections.  </w:t>
      </w:r>
    </w:p>
    <w:p w:rsidRPr="003B6380" w:rsidR="003B6380" w:rsidP="003B6380" w:rsidRDefault="003B6380" w14:paraId="2B598C64" w14:textId="77777777">
      <w:pPr>
        <w:overflowPunct w:val="0"/>
        <w:autoSpaceDE w:val="0"/>
        <w:autoSpaceDN w:val="0"/>
        <w:adjustRightInd w:val="0"/>
        <w:spacing w:after="0" w:line="240" w:lineRule="auto"/>
        <w:textAlignment w:val="baseline"/>
        <w:rPr>
          <w:rFonts w:ascii="Times New Roman" w:hAnsi="Times New Roman"/>
          <w:sz w:val="24"/>
        </w:rPr>
      </w:pPr>
    </w:p>
    <w:p w:rsidRPr="00F916B0" w:rsidR="003B6380" w:rsidP="003B6380" w:rsidRDefault="00675ACC" w14:paraId="256BA907" w14:textId="55EAFCC4">
      <w:pPr>
        <w:overflowPunct w:val="0"/>
        <w:autoSpaceDE w:val="0"/>
        <w:autoSpaceDN w:val="0"/>
        <w:adjustRightInd w:val="0"/>
        <w:spacing w:after="0" w:line="240" w:lineRule="auto"/>
        <w:textAlignment w:val="baseline"/>
        <w:rPr>
          <w:rFonts w:ascii="Times New Roman" w:hAnsi="Times New Roman"/>
          <w:b/>
          <w:bCs/>
          <w:sz w:val="24"/>
        </w:rPr>
      </w:pPr>
      <w:r w:rsidRPr="00675ACC">
        <w:rPr>
          <w:rFonts w:ascii="Times New Roman" w:hAnsi="Times New Roman"/>
          <w:b/>
          <w:bCs/>
          <w:sz w:val="24"/>
        </w:rPr>
        <w:t xml:space="preserve">Form </w:t>
      </w:r>
      <w:r w:rsidR="00DE7A10">
        <w:rPr>
          <w:rFonts w:ascii="Times New Roman" w:hAnsi="Times New Roman"/>
          <w:b/>
          <w:bCs/>
          <w:sz w:val="24"/>
        </w:rPr>
        <w:t>HUD-</w:t>
      </w:r>
      <w:r w:rsidRPr="00675ACC">
        <w:rPr>
          <w:rFonts w:ascii="Times New Roman" w:hAnsi="Times New Roman"/>
          <w:b/>
          <w:bCs/>
          <w:sz w:val="24"/>
        </w:rPr>
        <w:t>9519-A</w:t>
      </w:r>
      <w:r>
        <w:rPr>
          <w:rFonts w:ascii="Times New Roman" w:hAnsi="Times New Roman"/>
          <w:b/>
          <w:bCs/>
          <w:i/>
          <w:iCs/>
          <w:sz w:val="24"/>
        </w:rPr>
        <w:t xml:space="preserve">, </w:t>
      </w:r>
      <w:r w:rsidRPr="00675ACC" w:rsidR="003B6380">
        <w:rPr>
          <w:rFonts w:ascii="Times New Roman" w:hAnsi="Times New Roman"/>
          <w:b/>
          <w:bCs/>
          <w:i/>
          <w:iCs/>
          <w:sz w:val="24"/>
        </w:rPr>
        <w:t>Property Inspection Report</w:t>
      </w:r>
    </w:p>
    <w:p w:rsidRPr="003B6380" w:rsidR="003B6380" w:rsidP="003B6380" w:rsidRDefault="005756BE" w14:paraId="2E403D12" w14:textId="3552A37B">
      <w:pPr>
        <w:overflowPunct w:val="0"/>
        <w:autoSpaceDE w:val="0"/>
        <w:autoSpaceDN w:val="0"/>
        <w:adjustRightInd w:val="0"/>
        <w:spacing w:after="0" w:line="240" w:lineRule="auto"/>
        <w:textAlignment w:val="baseline"/>
        <w:rPr>
          <w:rFonts w:ascii="Times New Roman" w:hAnsi="Times New Roman"/>
          <w:sz w:val="24"/>
        </w:rPr>
      </w:pPr>
      <w:r>
        <w:rPr>
          <w:rFonts w:ascii="Times New Roman" w:hAnsi="Times New Roman"/>
          <w:sz w:val="24"/>
        </w:rPr>
        <w:t>F</w:t>
      </w:r>
      <w:r w:rsidRPr="003B6380" w:rsidR="003B6380">
        <w:rPr>
          <w:rFonts w:ascii="Times New Roman" w:hAnsi="Times New Roman"/>
          <w:sz w:val="24"/>
        </w:rPr>
        <w:t xml:space="preserve">orm </w:t>
      </w:r>
      <w:r w:rsidRPr="003B6380" w:rsidR="00675ACC">
        <w:rPr>
          <w:rFonts w:ascii="Times New Roman" w:hAnsi="Times New Roman"/>
          <w:sz w:val="24"/>
        </w:rPr>
        <w:t>HUD</w:t>
      </w:r>
      <w:r w:rsidR="00675ACC">
        <w:rPr>
          <w:rFonts w:ascii="Times New Roman" w:hAnsi="Times New Roman"/>
          <w:sz w:val="24"/>
        </w:rPr>
        <w:t>-</w:t>
      </w:r>
      <w:r w:rsidRPr="003B6380" w:rsidR="003B6380">
        <w:rPr>
          <w:rFonts w:ascii="Times New Roman" w:hAnsi="Times New Roman"/>
          <w:sz w:val="24"/>
        </w:rPr>
        <w:t xml:space="preserve">9519-A, </w:t>
      </w:r>
      <w:r w:rsidRPr="00675ACC" w:rsidR="003B6380">
        <w:rPr>
          <w:rFonts w:ascii="Times New Roman" w:hAnsi="Times New Roman"/>
          <w:i/>
          <w:iCs/>
          <w:sz w:val="24"/>
        </w:rPr>
        <w:t>Property Inspection Report</w:t>
      </w:r>
      <w:r w:rsidR="00DE7A10">
        <w:rPr>
          <w:rFonts w:ascii="Times New Roman" w:hAnsi="Times New Roman"/>
          <w:i/>
          <w:iCs/>
          <w:sz w:val="24"/>
        </w:rPr>
        <w:t>,</w:t>
      </w:r>
      <w:r w:rsidRPr="003B6380" w:rsidR="003B6380">
        <w:rPr>
          <w:rFonts w:ascii="Times New Roman" w:hAnsi="Times New Roman"/>
          <w:sz w:val="24"/>
        </w:rPr>
        <w:t xml:space="preserve"> is </w:t>
      </w:r>
      <w:r w:rsidR="00DE7A10">
        <w:rPr>
          <w:rFonts w:ascii="Times New Roman" w:hAnsi="Times New Roman"/>
          <w:sz w:val="24"/>
        </w:rPr>
        <w:t>a</w:t>
      </w:r>
      <w:r w:rsidR="002039BC">
        <w:rPr>
          <w:rFonts w:ascii="Times New Roman" w:hAnsi="Times New Roman"/>
          <w:sz w:val="24"/>
        </w:rPr>
        <w:t>n</w:t>
      </w:r>
      <w:r w:rsidR="00DE7A10">
        <w:rPr>
          <w:rFonts w:ascii="Times New Roman" w:hAnsi="Times New Roman"/>
          <w:sz w:val="24"/>
        </w:rPr>
        <w:t xml:space="preserve"> inspec</w:t>
      </w:r>
      <w:r w:rsidR="002039BC">
        <w:rPr>
          <w:rFonts w:ascii="Times New Roman" w:hAnsi="Times New Roman"/>
          <w:sz w:val="24"/>
        </w:rPr>
        <w:t>t</w:t>
      </w:r>
      <w:r w:rsidR="00DE7A10">
        <w:rPr>
          <w:rFonts w:ascii="Times New Roman" w:hAnsi="Times New Roman"/>
          <w:sz w:val="24"/>
        </w:rPr>
        <w:t>ion form used by</w:t>
      </w:r>
      <w:r w:rsidRPr="003B6380" w:rsidR="003B6380">
        <w:rPr>
          <w:rFonts w:ascii="Times New Roman" w:hAnsi="Times New Roman"/>
          <w:sz w:val="24"/>
        </w:rPr>
        <w:t xml:space="preserve"> </w:t>
      </w:r>
      <w:r w:rsidR="001559C0">
        <w:rPr>
          <w:rFonts w:ascii="Times New Roman" w:hAnsi="Times New Roman"/>
          <w:sz w:val="24"/>
        </w:rPr>
        <w:t>Mortgagee</w:t>
      </w:r>
      <w:r w:rsidRPr="003B6380" w:rsidR="003B6380">
        <w:rPr>
          <w:rFonts w:ascii="Times New Roman" w:hAnsi="Times New Roman"/>
          <w:sz w:val="24"/>
        </w:rPr>
        <w:t>s</w:t>
      </w:r>
      <w:r w:rsidR="00DE7A10">
        <w:rPr>
          <w:rFonts w:ascii="Times New Roman" w:hAnsi="Times New Roman"/>
          <w:sz w:val="24"/>
        </w:rPr>
        <w:t>, HUD staff, and HUD contractors to determine the occupancy and condition of both FHA-insured homes as well as properties acquired by or owned by HUD.</w:t>
      </w:r>
      <w:r w:rsidRPr="003B6380" w:rsidR="003B6380">
        <w:rPr>
          <w:rFonts w:ascii="Times New Roman" w:hAnsi="Times New Roman"/>
          <w:sz w:val="24"/>
        </w:rPr>
        <w:t xml:space="preserve"> All reports </w:t>
      </w:r>
      <w:r w:rsidR="00DE7A10">
        <w:rPr>
          <w:rFonts w:ascii="Times New Roman" w:hAnsi="Times New Roman"/>
          <w:sz w:val="24"/>
        </w:rPr>
        <w:t xml:space="preserve">completed by the Mortgagee </w:t>
      </w:r>
      <w:r w:rsidRPr="003B6380" w:rsidR="003B6380">
        <w:rPr>
          <w:rFonts w:ascii="Times New Roman" w:hAnsi="Times New Roman"/>
          <w:sz w:val="24"/>
        </w:rPr>
        <w:t xml:space="preserve">must be maintained in the </w:t>
      </w:r>
      <w:r w:rsidR="001559C0">
        <w:rPr>
          <w:rFonts w:ascii="Times New Roman" w:hAnsi="Times New Roman"/>
          <w:sz w:val="24"/>
        </w:rPr>
        <w:t>Mortgagee</w:t>
      </w:r>
      <w:r w:rsidRPr="003B6380" w:rsidR="003B6380">
        <w:rPr>
          <w:rFonts w:ascii="Times New Roman" w:hAnsi="Times New Roman"/>
          <w:sz w:val="24"/>
        </w:rPr>
        <w:t>’s case file</w:t>
      </w:r>
      <w:r w:rsidR="00DE7A10">
        <w:rPr>
          <w:rFonts w:ascii="Times New Roman" w:hAnsi="Times New Roman"/>
          <w:sz w:val="24"/>
        </w:rPr>
        <w:t xml:space="preserve"> </w:t>
      </w:r>
      <w:r w:rsidRPr="003B6380" w:rsidR="003B6380">
        <w:rPr>
          <w:rFonts w:ascii="Times New Roman" w:hAnsi="Times New Roman"/>
          <w:sz w:val="24"/>
        </w:rPr>
        <w:t xml:space="preserve">and provided to HUD or </w:t>
      </w:r>
      <w:r w:rsidR="00DE7A10">
        <w:rPr>
          <w:rFonts w:ascii="Times New Roman" w:hAnsi="Times New Roman"/>
          <w:sz w:val="24"/>
        </w:rPr>
        <w:t xml:space="preserve">the </w:t>
      </w:r>
      <w:r w:rsidRPr="003B6380" w:rsidR="003B6380">
        <w:rPr>
          <w:rFonts w:ascii="Times New Roman" w:hAnsi="Times New Roman"/>
          <w:sz w:val="24"/>
        </w:rPr>
        <w:t>M</w:t>
      </w:r>
      <w:r w:rsidR="00DE7A10">
        <w:rPr>
          <w:rFonts w:ascii="Times New Roman" w:hAnsi="Times New Roman"/>
          <w:sz w:val="24"/>
        </w:rPr>
        <w:t>C</w:t>
      </w:r>
      <w:r w:rsidRPr="003B6380" w:rsidR="003B6380">
        <w:rPr>
          <w:rFonts w:ascii="Times New Roman" w:hAnsi="Times New Roman"/>
          <w:sz w:val="24"/>
        </w:rPr>
        <w:t>M upon request.</w:t>
      </w:r>
    </w:p>
    <w:p w:rsidRPr="003B6380" w:rsidR="003B6380" w:rsidP="003B6380" w:rsidRDefault="003B6380" w14:paraId="7173B8F9" w14:textId="77777777">
      <w:pPr>
        <w:overflowPunct w:val="0"/>
        <w:autoSpaceDE w:val="0"/>
        <w:autoSpaceDN w:val="0"/>
        <w:adjustRightInd w:val="0"/>
        <w:spacing w:after="0" w:line="240" w:lineRule="auto"/>
        <w:textAlignment w:val="baseline"/>
        <w:rPr>
          <w:rFonts w:ascii="Times New Roman" w:hAnsi="Times New Roman"/>
          <w:sz w:val="24"/>
        </w:rPr>
      </w:pPr>
    </w:p>
    <w:p w:rsidRPr="009C712E" w:rsidR="003B6380" w:rsidP="003B6380" w:rsidRDefault="003B6380" w14:paraId="7F8C15B3" w14:textId="77777777">
      <w:pPr>
        <w:overflowPunct w:val="0"/>
        <w:autoSpaceDE w:val="0"/>
        <w:autoSpaceDN w:val="0"/>
        <w:adjustRightInd w:val="0"/>
        <w:spacing w:after="0" w:line="240" w:lineRule="auto"/>
        <w:textAlignment w:val="baseline"/>
        <w:rPr>
          <w:rFonts w:ascii="Times New Roman" w:hAnsi="Times New Roman"/>
          <w:b/>
          <w:bCs/>
          <w:sz w:val="24"/>
        </w:rPr>
      </w:pPr>
      <w:r w:rsidRPr="009C712E">
        <w:rPr>
          <w:rFonts w:ascii="Times New Roman" w:hAnsi="Times New Roman"/>
          <w:b/>
          <w:bCs/>
          <w:sz w:val="24"/>
        </w:rPr>
        <w:t>Occupancy Inspections</w:t>
      </w:r>
    </w:p>
    <w:p w:rsidRPr="003B6380" w:rsidR="003B6380" w:rsidP="003B6380" w:rsidRDefault="003B6380" w14:paraId="3C296DF0" w14:textId="30848BDC">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must make an occupancy inspection to determine if the property is vacant or abandoned when a mortgage is in default, a payment is not received within 45 days of the due date, and efforts to reach the Mortgagor </w:t>
      </w:r>
      <w:r w:rsidR="00DE7A10">
        <w:rPr>
          <w:rFonts w:ascii="Times New Roman" w:hAnsi="Times New Roman"/>
          <w:sz w:val="24"/>
        </w:rPr>
        <w:t xml:space="preserve">by telephone </w:t>
      </w:r>
      <w:r w:rsidRPr="003B6380">
        <w:rPr>
          <w:rFonts w:ascii="Times New Roman" w:hAnsi="Times New Roman"/>
          <w:sz w:val="24"/>
        </w:rPr>
        <w:t xml:space="preserve">within that period have proven unsuccessful. Some geographical areas may require more frequent inspections. If the inspection determines that the property is occupied or vacant and is obviously being maintained (e.g., doors and windows secured, lawn is cut, For Sale sign on the property, etc.) but the Mortgagor continues to be in default, the </w:t>
      </w:r>
      <w:r w:rsidR="001559C0">
        <w:rPr>
          <w:rFonts w:ascii="Times New Roman" w:hAnsi="Times New Roman"/>
          <w:sz w:val="24"/>
        </w:rPr>
        <w:t>Mortgagee</w:t>
      </w:r>
      <w:r w:rsidRPr="003B6380">
        <w:rPr>
          <w:rFonts w:ascii="Times New Roman" w:hAnsi="Times New Roman"/>
          <w:sz w:val="24"/>
        </w:rPr>
        <w:t xml:space="preserve"> must attemp</w:t>
      </w:r>
      <w:r w:rsidR="00DE7A10">
        <w:rPr>
          <w:rFonts w:ascii="Times New Roman" w:hAnsi="Times New Roman"/>
          <w:sz w:val="24"/>
        </w:rPr>
        <w:t>t</w:t>
      </w:r>
      <w:r w:rsidRPr="003B6380">
        <w:rPr>
          <w:rFonts w:ascii="Times New Roman" w:hAnsi="Times New Roman"/>
          <w:sz w:val="24"/>
        </w:rPr>
        <w:t xml:space="preserve"> to contact the Mortgagor or occupant each month. If the occupancy inspection establishes that the property is abandoned, the </w:t>
      </w:r>
      <w:r w:rsidR="001559C0">
        <w:rPr>
          <w:rFonts w:ascii="Times New Roman" w:hAnsi="Times New Roman"/>
          <w:sz w:val="24"/>
        </w:rPr>
        <w:t>Mortgagee</w:t>
      </w:r>
      <w:r w:rsidRPr="003B6380">
        <w:rPr>
          <w:rFonts w:ascii="Times New Roman" w:hAnsi="Times New Roman"/>
          <w:sz w:val="24"/>
        </w:rPr>
        <w:t xml:space="preserve"> must initiate preservation and protection actions beginning with an initial vacant property inspection. </w:t>
      </w:r>
    </w:p>
    <w:p w:rsidRPr="003B6380" w:rsidR="003B6380" w:rsidP="003B6380" w:rsidRDefault="003B6380" w14:paraId="1C6B580C" w14:textId="77777777">
      <w:pPr>
        <w:overflowPunct w:val="0"/>
        <w:autoSpaceDE w:val="0"/>
        <w:autoSpaceDN w:val="0"/>
        <w:adjustRightInd w:val="0"/>
        <w:spacing w:after="0" w:line="240" w:lineRule="auto"/>
        <w:textAlignment w:val="baseline"/>
        <w:rPr>
          <w:rFonts w:ascii="Times New Roman" w:hAnsi="Times New Roman"/>
          <w:sz w:val="24"/>
        </w:rPr>
      </w:pPr>
    </w:p>
    <w:p w:rsidRPr="009C712E" w:rsidR="003B6380" w:rsidP="009C712E" w:rsidRDefault="003B6380" w14:paraId="4FA7B19C" w14:textId="77777777">
      <w:pPr>
        <w:overflowPunct w:val="0"/>
        <w:autoSpaceDE w:val="0"/>
        <w:autoSpaceDN w:val="0"/>
        <w:adjustRightInd w:val="0"/>
        <w:spacing w:after="0" w:line="240" w:lineRule="auto"/>
        <w:textAlignment w:val="baseline"/>
        <w:rPr>
          <w:rFonts w:ascii="Times New Roman" w:hAnsi="Times New Roman"/>
          <w:b/>
          <w:bCs/>
          <w:sz w:val="24"/>
        </w:rPr>
      </w:pPr>
      <w:r w:rsidRPr="009C712E">
        <w:rPr>
          <w:rFonts w:ascii="Times New Roman" w:hAnsi="Times New Roman"/>
          <w:b/>
          <w:bCs/>
          <w:sz w:val="24"/>
        </w:rPr>
        <w:t>Initial Vacant Property Inspections</w:t>
      </w:r>
    </w:p>
    <w:p w:rsidRPr="003B6380" w:rsidR="003B6380" w:rsidP="009C712E" w:rsidRDefault="003B6380" w14:paraId="6F559512" w14:textId="2A9A6843">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An initial vacant property inspection, also called the “initial inspection</w:t>
      </w:r>
      <w:r w:rsidR="00DE7A10">
        <w:rPr>
          <w:rFonts w:ascii="Times New Roman" w:hAnsi="Times New Roman"/>
          <w:sz w:val="24"/>
        </w:rPr>
        <w:t>,</w:t>
      </w:r>
      <w:r w:rsidRPr="003B6380">
        <w:rPr>
          <w:rFonts w:ascii="Times New Roman" w:hAnsi="Times New Roman"/>
          <w:sz w:val="24"/>
        </w:rPr>
        <w:t xml:space="preserve">” is performed on the date a </w:t>
      </w:r>
      <w:r w:rsidR="001559C0">
        <w:rPr>
          <w:rFonts w:ascii="Times New Roman" w:hAnsi="Times New Roman"/>
          <w:sz w:val="24"/>
        </w:rPr>
        <w:t>Mortgagee</w:t>
      </w:r>
      <w:r w:rsidRPr="003B6380">
        <w:rPr>
          <w:rFonts w:ascii="Times New Roman" w:hAnsi="Times New Roman"/>
          <w:sz w:val="24"/>
        </w:rPr>
        <w:t xml:space="preserve"> first takes physical possession of a property by securing it. This should be as soon as reasonably practical but no more than five days following the determination that the property is abandoned. If the occupancy inspection identifies an imminent source of property damage or a </w:t>
      </w:r>
      <w:r w:rsidRPr="003B6380">
        <w:rPr>
          <w:rFonts w:ascii="Times New Roman" w:hAnsi="Times New Roman"/>
          <w:sz w:val="24"/>
        </w:rPr>
        <w:lastRenderedPageBreak/>
        <w:t>health and safety hazard (e.g., flowing water, collapsed roof, gas leak</w:t>
      </w:r>
      <w:r w:rsidR="00D279D4">
        <w:rPr>
          <w:rFonts w:ascii="Times New Roman" w:hAnsi="Times New Roman"/>
          <w:sz w:val="24"/>
        </w:rPr>
        <w:t>, etc.</w:t>
      </w:r>
      <w:r w:rsidRPr="003B6380">
        <w:rPr>
          <w:rFonts w:ascii="Times New Roman" w:hAnsi="Times New Roman"/>
          <w:sz w:val="24"/>
        </w:rPr>
        <w:t xml:space="preserve">), the </w:t>
      </w:r>
      <w:r w:rsidR="001559C0">
        <w:rPr>
          <w:rFonts w:ascii="Times New Roman" w:hAnsi="Times New Roman"/>
          <w:sz w:val="24"/>
        </w:rPr>
        <w:t>Mortgagee</w:t>
      </w:r>
      <w:r w:rsidRPr="003B6380">
        <w:rPr>
          <w:rFonts w:ascii="Times New Roman" w:hAnsi="Times New Roman"/>
          <w:sz w:val="24"/>
        </w:rPr>
        <w:t xml:space="preserve"> must take action to remediate the damage/hazard no later than 48 hours following discovery.</w:t>
      </w:r>
    </w:p>
    <w:p w:rsidRPr="003B6380" w:rsidR="003B6380" w:rsidP="003B6380" w:rsidRDefault="003B6380" w14:paraId="4144C6DB"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068D8805" w14:textId="009EA2AB">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In some instances, the initial inspection will take place on the same date as the occupancy inspection. In these cases, the </w:t>
      </w:r>
      <w:r w:rsidR="001559C0">
        <w:rPr>
          <w:rFonts w:ascii="Times New Roman" w:hAnsi="Times New Roman"/>
          <w:sz w:val="24"/>
        </w:rPr>
        <w:t>Mortgagee</w:t>
      </w:r>
      <w:r w:rsidRPr="003B6380">
        <w:rPr>
          <w:rFonts w:ascii="Times New Roman" w:hAnsi="Times New Roman"/>
          <w:sz w:val="24"/>
        </w:rPr>
        <w:t xml:space="preserve"> may only claim the cost of the initial inspection. The initial inspection report establishes the condition in which the </w:t>
      </w:r>
      <w:r w:rsidR="001559C0">
        <w:rPr>
          <w:rFonts w:ascii="Times New Roman" w:hAnsi="Times New Roman"/>
          <w:sz w:val="24"/>
        </w:rPr>
        <w:t>Mortgagee</w:t>
      </w:r>
      <w:r w:rsidRPr="003B6380">
        <w:rPr>
          <w:rFonts w:ascii="Times New Roman" w:hAnsi="Times New Roman"/>
          <w:sz w:val="24"/>
        </w:rPr>
        <w:t xml:space="preserve"> first found the property and </w:t>
      </w:r>
      <w:r w:rsidR="009C712E">
        <w:rPr>
          <w:rFonts w:ascii="Times New Roman" w:hAnsi="Times New Roman"/>
          <w:sz w:val="24"/>
        </w:rPr>
        <w:t>is</w:t>
      </w:r>
      <w:r w:rsidRPr="003B6380">
        <w:rPr>
          <w:rFonts w:ascii="Times New Roman" w:hAnsi="Times New Roman"/>
          <w:sz w:val="24"/>
        </w:rPr>
        <w:t xml:space="preserve"> critical in distinguishing between Mortgagor and </w:t>
      </w:r>
      <w:r w:rsidR="001559C0">
        <w:rPr>
          <w:rFonts w:ascii="Times New Roman" w:hAnsi="Times New Roman"/>
          <w:sz w:val="24"/>
        </w:rPr>
        <w:t>Mortgagee</w:t>
      </w:r>
      <w:r w:rsidRPr="003B6380">
        <w:rPr>
          <w:rFonts w:ascii="Times New Roman" w:hAnsi="Times New Roman"/>
          <w:sz w:val="24"/>
        </w:rPr>
        <w:t xml:space="preserve"> neglect following conveyance. </w:t>
      </w:r>
    </w:p>
    <w:p w:rsidRPr="003B6380" w:rsidR="003B6380" w:rsidP="003B6380" w:rsidRDefault="003B6380" w14:paraId="7EA7CDBA" w14:textId="77777777">
      <w:pPr>
        <w:overflowPunct w:val="0"/>
        <w:autoSpaceDE w:val="0"/>
        <w:autoSpaceDN w:val="0"/>
        <w:adjustRightInd w:val="0"/>
        <w:spacing w:after="0" w:line="240" w:lineRule="auto"/>
        <w:textAlignment w:val="baseline"/>
        <w:rPr>
          <w:rFonts w:ascii="Times New Roman" w:hAnsi="Times New Roman"/>
          <w:sz w:val="24"/>
        </w:rPr>
      </w:pPr>
    </w:p>
    <w:p w:rsidRPr="009C712E" w:rsidR="003B6380" w:rsidP="003B6380" w:rsidRDefault="003B6380" w14:paraId="068C5554" w14:textId="77777777">
      <w:pPr>
        <w:overflowPunct w:val="0"/>
        <w:autoSpaceDE w:val="0"/>
        <w:autoSpaceDN w:val="0"/>
        <w:adjustRightInd w:val="0"/>
        <w:spacing w:after="0" w:line="240" w:lineRule="auto"/>
        <w:textAlignment w:val="baseline"/>
        <w:rPr>
          <w:rFonts w:ascii="Times New Roman" w:hAnsi="Times New Roman"/>
          <w:b/>
          <w:bCs/>
          <w:sz w:val="24"/>
        </w:rPr>
      </w:pPr>
      <w:r w:rsidRPr="009C712E">
        <w:rPr>
          <w:rFonts w:ascii="Times New Roman" w:hAnsi="Times New Roman"/>
          <w:b/>
          <w:bCs/>
          <w:sz w:val="24"/>
        </w:rPr>
        <w:t>Vacant Property Inspections</w:t>
      </w:r>
    </w:p>
    <w:p w:rsidRPr="003B6380" w:rsidR="003B6380" w:rsidP="003B6380" w:rsidRDefault="003B6380" w14:paraId="50B23BA0" w14:textId="29513BBF">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Vacant property inspections are performed after the initial inspection and securing have occurred. The </w:t>
      </w:r>
      <w:r w:rsidR="001559C0">
        <w:rPr>
          <w:rFonts w:ascii="Times New Roman" w:hAnsi="Times New Roman"/>
          <w:sz w:val="24"/>
        </w:rPr>
        <w:t>Mortgagee</w:t>
      </w:r>
      <w:r w:rsidRPr="003B6380">
        <w:rPr>
          <w:rFonts w:ascii="Times New Roman" w:hAnsi="Times New Roman"/>
          <w:sz w:val="24"/>
        </w:rPr>
        <w:t xml:space="preserve"> must inspect a vacant or abandoned property every 25-35 days following an initial inspection or more frequently as prescribed in local variations to determine whether any subsequent preservation and protection action is necessary. Vacant property inspections must include both interior and exterior assessments of property condition.</w:t>
      </w:r>
    </w:p>
    <w:p w:rsidRPr="003B6380" w:rsidR="003B6380" w:rsidP="003B6380" w:rsidRDefault="003B6380" w14:paraId="60A6473C" w14:textId="77777777">
      <w:pPr>
        <w:overflowPunct w:val="0"/>
        <w:autoSpaceDE w:val="0"/>
        <w:autoSpaceDN w:val="0"/>
        <w:adjustRightInd w:val="0"/>
        <w:spacing w:after="0" w:line="240" w:lineRule="auto"/>
        <w:textAlignment w:val="baseline"/>
        <w:rPr>
          <w:rFonts w:ascii="Times New Roman" w:hAnsi="Times New Roman"/>
          <w:sz w:val="24"/>
        </w:rPr>
      </w:pPr>
    </w:p>
    <w:p w:rsidRPr="009C712E" w:rsidR="003B6380" w:rsidP="003B6380" w:rsidRDefault="003B6380" w14:paraId="6607A807" w14:textId="77777777">
      <w:pPr>
        <w:overflowPunct w:val="0"/>
        <w:autoSpaceDE w:val="0"/>
        <w:autoSpaceDN w:val="0"/>
        <w:adjustRightInd w:val="0"/>
        <w:spacing w:after="0" w:line="240" w:lineRule="auto"/>
        <w:textAlignment w:val="baseline"/>
        <w:rPr>
          <w:rFonts w:ascii="Times New Roman" w:hAnsi="Times New Roman"/>
          <w:b/>
          <w:bCs/>
          <w:sz w:val="24"/>
        </w:rPr>
      </w:pPr>
      <w:r w:rsidRPr="009C712E">
        <w:rPr>
          <w:rFonts w:ascii="Times New Roman" w:hAnsi="Times New Roman"/>
          <w:b/>
          <w:bCs/>
          <w:sz w:val="24"/>
        </w:rPr>
        <w:t>Voluntary Pre-Conveyance Inspections</w:t>
      </w:r>
    </w:p>
    <w:p w:rsidRPr="003B6380" w:rsidR="003B6380" w:rsidP="003B6380" w:rsidRDefault="003B6380" w14:paraId="4EC60F93" w14:textId="0C706D68">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HUD encourages, but does not require, </w:t>
      </w:r>
      <w:r w:rsidR="001559C0">
        <w:rPr>
          <w:rFonts w:ascii="Times New Roman" w:hAnsi="Times New Roman"/>
          <w:sz w:val="24"/>
        </w:rPr>
        <w:t>Mortgagee</w:t>
      </w:r>
      <w:r w:rsidRPr="003B6380">
        <w:rPr>
          <w:rFonts w:ascii="Times New Roman" w:hAnsi="Times New Roman"/>
          <w:sz w:val="24"/>
        </w:rPr>
        <w:t xml:space="preserve">s or HUD’s MCM contractor to conduct pre-conveyance inspections. Pre-conveyance inspections may significantly reduce post-conveyance disputes between </w:t>
      </w:r>
      <w:r w:rsidR="001559C0">
        <w:rPr>
          <w:rFonts w:ascii="Times New Roman" w:hAnsi="Times New Roman"/>
          <w:sz w:val="24"/>
        </w:rPr>
        <w:t>Mortgagee</w:t>
      </w:r>
      <w:r w:rsidRPr="003B6380">
        <w:rPr>
          <w:rFonts w:ascii="Times New Roman" w:hAnsi="Times New Roman"/>
          <w:sz w:val="24"/>
        </w:rPr>
        <w:t>s and MCM contractor by allowing all parties to identify additional requirements that must be met prior to conveyance or to agree that properties are in conveyance condition. This is especially beneficial when properties will be conveyed damaged as it</w:t>
      </w:r>
      <w:r w:rsidR="000D46E9">
        <w:rPr>
          <w:rFonts w:ascii="Times New Roman" w:hAnsi="Times New Roman"/>
          <w:sz w:val="24"/>
        </w:rPr>
        <w:t xml:space="preserve"> </w:t>
      </w:r>
      <w:r w:rsidRPr="003B6380">
        <w:rPr>
          <w:rFonts w:ascii="Times New Roman" w:hAnsi="Times New Roman"/>
          <w:sz w:val="24"/>
        </w:rPr>
        <w:t xml:space="preserve">allows the </w:t>
      </w:r>
      <w:r w:rsidR="001559C0">
        <w:rPr>
          <w:rFonts w:ascii="Times New Roman" w:hAnsi="Times New Roman"/>
          <w:sz w:val="24"/>
        </w:rPr>
        <w:t>Mortgagee</w:t>
      </w:r>
      <w:r w:rsidRPr="003B6380">
        <w:rPr>
          <w:rFonts w:ascii="Times New Roman" w:hAnsi="Times New Roman"/>
          <w:sz w:val="24"/>
        </w:rPr>
        <w:t xml:space="preserve"> to demonstrate that the damage is not </w:t>
      </w:r>
      <w:proofErr w:type="spellStart"/>
      <w:r w:rsidRPr="003B6380">
        <w:rPr>
          <w:rFonts w:ascii="Times New Roman" w:hAnsi="Times New Roman"/>
          <w:sz w:val="24"/>
        </w:rPr>
        <w:t>surchargeable</w:t>
      </w:r>
      <w:proofErr w:type="spellEnd"/>
      <w:r w:rsidRPr="003B6380">
        <w:rPr>
          <w:rFonts w:ascii="Times New Roman" w:hAnsi="Times New Roman"/>
          <w:sz w:val="24"/>
        </w:rPr>
        <w:t>, thereby reducing the likelihood of demand letters, re-conveyance, or other sanctions.</w:t>
      </w:r>
    </w:p>
    <w:p w:rsidRPr="003B6380" w:rsidR="003B6380" w:rsidP="003B6380" w:rsidRDefault="003B6380" w14:paraId="1F505DFC"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69324F61" w14:textId="7C047FC5">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Pre-conveyance inspections should be scheduled no earlier than five days prior to the scheduled conveyance date. To encourage this practice, HUD allows </w:t>
      </w:r>
      <w:r w:rsidR="001559C0">
        <w:rPr>
          <w:rFonts w:ascii="Times New Roman" w:hAnsi="Times New Roman"/>
          <w:sz w:val="24"/>
        </w:rPr>
        <w:t>Mortgagee</w:t>
      </w:r>
      <w:r w:rsidRPr="003B6380">
        <w:rPr>
          <w:rFonts w:ascii="Times New Roman" w:hAnsi="Times New Roman"/>
          <w:sz w:val="24"/>
        </w:rPr>
        <w:t>s to claim the cost of one additional inspection</w:t>
      </w:r>
      <w:r w:rsidR="00D81DD2">
        <w:rPr>
          <w:rFonts w:ascii="Times New Roman" w:hAnsi="Times New Roman"/>
          <w:sz w:val="24"/>
        </w:rPr>
        <w:t xml:space="preserve"> </w:t>
      </w:r>
      <w:r w:rsidRPr="003B6380">
        <w:rPr>
          <w:rFonts w:ascii="Times New Roman" w:hAnsi="Times New Roman"/>
          <w:sz w:val="24"/>
        </w:rPr>
        <w:t>claimed at the rate of an occupancy inspection, provided the pre-conveyance inspection does not coincide with the regular inspection schedule.</w:t>
      </w:r>
    </w:p>
    <w:p w:rsidRPr="003B6380" w:rsidR="003B6380" w:rsidP="003B6380" w:rsidRDefault="003B6380" w14:paraId="4A1C3D57"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1559C0" w14:paraId="386A0B2C" w14:textId="02792D79">
      <w:pPr>
        <w:overflowPunct w:val="0"/>
        <w:autoSpaceDE w:val="0"/>
        <w:autoSpaceDN w:val="0"/>
        <w:adjustRightInd w:val="0"/>
        <w:spacing w:after="0" w:line="240" w:lineRule="auto"/>
        <w:textAlignment w:val="baseline"/>
        <w:rPr>
          <w:rFonts w:ascii="Times New Roman" w:hAnsi="Times New Roman"/>
          <w:sz w:val="24"/>
        </w:rPr>
      </w:pPr>
      <w:r>
        <w:rPr>
          <w:rFonts w:ascii="Times New Roman" w:hAnsi="Times New Roman"/>
          <w:sz w:val="24"/>
        </w:rPr>
        <w:t>Mortgagee</w:t>
      </w:r>
      <w:r w:rsidRPr="003B6380" w:rsidR="003B6380">
        <w:rPr>
          <w:rFonts w:ascii="Times New Roman" w:hAnsi="Times New Roman"/>
          <w:sz w:val="24"/>
        </w:rPr>
        <w:t xml:space="preserve">s should contact the MCM contractor directly for further information on procedures regarding voluntary pre-conveyance inspections in their contract areas. The MCM contractor, using HUD’s inspection form, will perform voluntary pre-conveyance inspections.  </w:t>
      </w:r>
    </w:p>
    <w:p w:rsidRPr="003B6380" w:rsidR="003B6380" w:rsidP="003B6380" w:rsidRDefault="003B6380" w14:paraId="573B6549" w14:textId="77777777">
      <w:pPr>
        <w:overflowPunct w:val="0"/>
        <w:autoSpaceDE w:val="0"/>
        <w:autoSpaceDN w:val="0"/>
        <w:adjustRightInd w:val="0"/>
        <w:spacing w:after="0" w:line="240" w:lineRule="auto"/>
        <w:textAlignment w:val="baseline"/>
        <w:rPr>
          <w:rFonts w:ascii="Times New Roman" w:hAnsi="Times New Roman"/>
          <w:sz w:val="24"/>
        </w:rPr>
      </w:pPr>
    </w:p>
    <w:p w:rsidRPr="00D5054E" w:rsidR="003B6380" w:rsidP="003B6380" w:rsidRDefault="003B6380" w14:paraId="2BDD3662" w14:textId="15D5837B">
      <w:pPr>
        <w:overflowPunct w:val="0"/>
        <w:autoSpaceDE w:val="0"/>
        <w:autoSpaceDN w:val="0"/>
        <w:adjustRightInd w:val="0"/>
        <w:spacing w:after="0" w:line="240" w:lineRule="auto"/>
        <w:textAlignment w:val="baseline"/>
        <w:rPr>
          <w:rFonts w:ascii="Times New Roman" w:hAnsi="Times New Roman"/>
          <w:b/>
          <w:bCs/>
          <w:sz w:val="24"/>
        </w:rPr>
      </w:pPr>
      <w:r w:rsidRPr="00D5054E">
        <w:rPr>
          <w:rFonts w:ascii="Times New Roman" w:hAnsi="Times New Roman"/>
          <w:b/>
          <w:bCs/>
          <w:sz w:val="24"/>
        </w:rPr>
        <w:t>Eviction Inspections</w:t>
      </w:r>
    </w:p>
    <w:p w:rsidRPr="003B6380" w:rsidR="003B6380" w:rsidP="003B6380" w:rsidRDefault="001559C0" w14:paraId="607C087E" w14:textId="20CA0D83">
      <w:pPr>
        <w:overflowPunct w:val="0"/>
        <w:autoSpaceDE w:val="0"/>
        <w:autoSpaceDN w:val="0"/>
        <w:adjustRightInd w:val="0"/>
        <w:spacing w:after="0" w:line="240" w:lineRule="auto"/>
        <w:textAlignment w:val="baseline"/>
        <w:rPr>
          <w:rFonts w:ascii="Times New Roman" w:hAnsi="Times New Roman"/>
          <w:sz w:val="24"/>
        </w:rPr>
      </w:pPr>
      <w:r>
        <w:rPr>
          <w:rFonts w:ascii="Times New Roman" w:hAnsi="Times New Roman"/>
          <w:sz w:val="24"/>
        </w:rPr>
        <w:t>Mortgagee</w:t>
      </w:r>
      <w:r w:rsidRPr="003B6380" w:rsidR="003B6380">
        <w:rPr>
          <w:rFonts w:ascii="Times New Roman" w:hAnsi="Times New Roman"/>
          <w:sz w:val="24"/>
        </w:rPr>
        <w:t>s are required to perform a</w:t>
      </w:r>
      <w:r w:rsidR="00D81DD2">
        <w:rPr>
          <w:rFonts w:ascii="Times New Roman" w:hAnsi="Times New Roman"/>
          <w:sz w:val="24"/>
        </w:rPr>
        <w:t xml:space="preserve">n </w:t>
      </w:r>
      <w:r w:rsidRPr="003B6380" w:rsidR="003B6380">
        <w:rPr>
          <w:rFonts w:ascii="Times New Roman" w:hAnsi="Times New Roman"/>
          <w:sz w:val="24"/>
        </w:rPr>
        <w:t xml:space="preserve">eviction inspection within 72 hours of a scheduled eviction when there is doubt that </w:t>
      </w:r>
      <w:r w:rsidR="00BE4453">
        <w:rPr>
          <w:rFonts w:ascii="Times New Roman" w:hAnsi="Times New Roman"/>
          <w:sz w:val="24"/>
        </w:rPr>
        <w:t>t</w:t>
      </w:r>
      <w:r w:rsidRPr="003B6380" w:rsidR="003B6380">
        <w:rPr>
          <w:rFonts w:ascii="Times New Roman" w:hAnsi="Times New Roman"/>
          <w:sz w:val="24"/>
        </w:rPr>
        <w:t xml:space="preserve">he property is vacant. The eviction inspection will be reimbursable as a vacant property inspection. When an inspection is already scheduled for the same week as the eviction, the eviction inspection must be performed within 72 hours of the eviction date. </w:t>
      </w:r>
      <w:r>
        <w:rPr>
          <w:rFonts w:ascii="Times New Roman" w:hAnsi="Times New Roman"/>
          <w:sz w:val="24"/>
        </w:rPr>
        <w:t>Mortgagee</w:t>
      </w:r>
      <w:r w:rsidRPr="003B6380" w:rsidR="003B6380">
        <w:rPr>
          <w:rFonts w:ascii="Times New Roman" w:hAnsi="Times New Roman"/>
          <w:sz w:val="24"/>
        </w:rPr>
        <w:t xml:space="preserve">s are to confirm the scheduled eviction the day before or morning of the scheduled eviction to be eligible to claim one hour of labor per person for a canceled or rescheduled eviction. </w:t>
      </w:r>
      <w:r>
        <w:rPr>
          <w:rFonts w:ascii="Times New Roman" w:hAnsi="Times New Roman"/>
          <w:sz w:val="24"/>
        </w:rPr>
        <w:t>Mortgagee</w:t>
      </w:r>
      <w:r w:rsidRPr="003B6380" w:rsidR="003B6380">
        <w:rPr>
          <w:rFonts w:ascii="Times New Roman" w:hAnsi="Times New Roman"/>
          <w:sz w:val="24"/>
        </w:rPr>
        <w:t>s should document the name of the person or place called, the date</w:t>
      </w:r>
      <w:r w:rsidR="00166B3A">
        <w:rPr>
          <w:rFonts w:ascii="Times New Roman" w:hAnsi="Times New Roman"/>
          <w:sz w:val="24"/>
        </w:rPr>
        <w:t>,</w:t>
      </w:r>
      <w:r w:rsidRPr="003B6380" w:rsidR="003B6380">
        <w:rPr>
          <w:rFonts w:ascii="Times New Roman" w:hAnsi="Times New Roman"/>
          <w:sz w:val="24"/>
        </w:rPr>
        <w:t xml:space="preserve"> time of the call</w:t>
      </w:r>
      <w:r w:rsidR="00166B3A">
        <w:rPr>
          <w:rFonts w:ascii="Times New Roman" w:hAnsi="Times New Roman"/>
          <w:sz w:val="24"/>
        </w:rPr>
        <w:t>,</w:t>
      </w:r>
      <w:r w:rsidRPr="003B6380" w:rsidR="003B6380">
        <w:rPr>
          <w:rFonts w:ascii="Times New Roman" w:hAnsi="Times New Roman"/>
          <w:sz w:val="24"/>
        </w:rPr>
        <w:t xml:space="preserve"> and results of the call in the Claim Review File.</w:t>
      </w:r>
    </w:p>
    <w:p w:rsidRPr="003B6380" w:rsidR="003B6380" w:rsidP="003B6380" w:rsidRDefault="003B6380" w14:paraId="115EC123" w14:textId="77777777">
      <w:pPr>
        <w:overflowPunct w:val="0"/>
        <w:autoSpaceDE w:val="0"/>
        <w:autoSpaceDN w:val="0"/>
        <w:adjustRightInd w:val="0"/>
        <w:spacing w:after="0" w:line="240" w:lineRule="auto"/>
        <w:textAlignment w:val="baseline"/>
        <w:rPr>
          <w:rFonts w:ascii="Times New Roman" w:hAnsi="Times New Roman"/>
          <w:sz w:val="24"/>
        </w:rPr>
      </w:pPr>
    </w:p>
    <w:p w:rsidR="0084411E" w:rsidP="0084411E" w:rsidRDefault="0084411E" w14:paraId="048EE3D9" w14:textId="054DBAF1">
      <w:pPr>
        <w:spacing w:after="0"/>
        <w:rPr>
          <w:rFonts w:ascii="Times New Roman" w:hAnsi="Times New Roman"/>
          <w:b/>
          <w:sz w:val="24"/>
        </w:rPr>
      </w:pPr>
      <w:r w:rsidRPr="00A67886">
        <w:rPr>
          <w:rFonts w:ascii="Times New Roman" w:hAnsi="Times New Roman"/>
          <w:b/>
          <w:sz w:val="24"/>
        </w:rPr>
        <w:t xml:space="preserve">Form HUD-9539, </w:t>
      </w:r>
      <w:r w:rsidRPr="00D27406">
        <w:rPr>
          <w:rFonts w:ascii="Times New Roman" w:hAnsi="Times New Roman"/>
          <w:b/>
          <w:i/>
          <w:iCs/>
          <w:sz w:val="24"/>
        </w:rPr>
        <w:t>Request for Occupied Conveyance</w:t>
      </w:r>
    </w:p>
    <w:p w:rsidR="0084411E" w:rsidP="0084411E" w:rsidRDefault="0084411E" w14:paraId="78C7B141" w14:textId="748D0269">
      <w:pPr>
        <w:pStyle w:val="ListParagraph"/>
        <w:ind w:left="0"/>
        <w:rPr>
          <w:sz w:val="24"/>
        </w:rPr>
      </w:pPr>
      <w:r w:rsidRPr="00A67886">
        <w:rPr>
          <w:bCs/>
          <w:sz w:val="24"/>
        </w:rPr>
        <w:t>Occupied conveyance</w:t>
      </w:r>
      <w:r w:rsidRPr="004B6174">
        <w:rPr>
          <w:sz w:val="24"/>
        </w:rPr>
        <w:t xml:space="preserve"> regulations at 24 </w:t>
      </w:r>
      <w:r>
        <w:rPr>
          <w:sz w:val="24"/>
        </w:rPr>
        <w:t>CFR 203.670 through 203.681 state</w:t>
      </w:r>
      <w:r w:rsidRPr="004B6174">
        <w:rPr>
          <w:sz w:val="24"/>
        </w:rPr>
        <w:t xml:space="preserve"> that at least 60 days</w:t>
      </w:r>
      <w:r w:rsidR="00D81DD2">
        <w:rPr>
          <w:sz w:val="24"/>
        </w:rPr>
        <w:t>,</w:t>
      </w:r>
      <w:r w:rsidRPr="004B6174">
        <w:rPr>
          <w:sz w:val="24"/>
        </w:rPr>
        <w:t xml:space="preserve"> but not more than 90 days</w:t>
      </w:r>
      <w:r w:rsidR="00043BAA">
        <w:rPr>
          <w:sz w:val="24"/>
        </w:rPr>
        <w:t>,</w:t>
      </w:r>
      <w:r w:rsidRPr="004B6174">
        <w:rPr>
          <w:sz w:val="24"/>
        </w:rPr>
        <w:t xml:space="preserve"> before the date on which the </w:t>
      </w:r>
      <w:r w:rsidR="001559C0">
        <w:rPr>
          <w:sz w:val="24"/>
        </w:rPr>
        <w:t>Mortgagee</w:t>
      </w:r>
      <w:r w:rsidRPr="004B6174">
        <w:rPr>
          <w:sz w:val="24"/>
        </w:rPr>
        <w:t xml:space="preserve"> expects to acquire title to the property</w:t>
      </w:r>
      <w:r>
        <w:rPr>
          <w:sz w:val="24"/>
        </w:rPr>
        <w:t>,</w:t>
      </w:r>
      <w:r w:rsidRPr="004B6174">
        <w:rPr>
          <w:sz w:val="24"/>
        </w:rPr>
        <w:t xml:space="preserve"> the </w:t>
      </w:r>
      <w:r w:rsidR="001559C0">
        <w:rPr>
          <w:sz w:val="24"/>
        </w:rPr>
        <w:t>Mortgagee</w:t>
      </w:r>
      <w:r w:rsidRPr="004B6174">
        <w:rPr>
          <w:sz w:val="24"/>
        </w:rPr>
        <w:t xml:space="preserve"> shall notify the </w:t>
      </w:r>
      <w:r w:rsidR="00043BAA">
        <w:rPr>
          <w:sz w:val="24"/>
        </w:rPr>
        <w:t>M</w:t>
      </w:r>
      <w:r w:rsidRPr="004B6174">
        <w:rPr>
          <w:sz w:val="24"/>
        </w:rPr>
        <w:t xml:space="preserve">ortgagor and each head of household who is occupying a unit of its potential acquisition by HUD.  </w:t>
      </w:r>
      <w:r w:rsidR="001559C0">
        <w:rPr>
          <w:sz w:val="24"/>
        </w:rPr>
        <w:t>Mortgagee</w:t>
      </w:r>
      <w:r w:rsidRPr="004B6174">
        <w:rPr>
          <w:sz w:val="24"/>
        </w:rPr>
        <w:t xml:space="preserve">s are required to provide a </w:t>
      </w:r>
      <w:r w:rsidRPr="004B6174">
        <w:rPr>
          <w:sz w:val="24"/>
        </w:rPr>
        <w:lastRenderedPageBreak/>
        <w:t xml:space="preserve">notice of acquisition to </w:t>
      </w:r>
      <w:r w:rsidR="00043BAA">
        <w:rPr>
          <w:sz w:val="24"/>
        </w:rPr>
        <w:t>M</w:t>
      </w:r>
      <w:r w:rsidRPr="004B6174">
        <w:rPr>
          <w:sz w:val="24"/>
        </w:rPr>
        <w:t>ortgagors and to any occupant of the property.  In its first notice to the occupan</w:t>
      </w:r>
      <w:r w:rsidR="00043BAA">
        <w:rPr>
          <w:sz w:val="24"/>
        </w:rPr>
        <w:t>t</w:t>
      </w:r>
      <w:r w:rsidRPr="004B6174">
        <w:rPr>
          <w:sz w:val="24"/>
        </w:rPr>
        <w:t xml:space="preserve">, the </w:t>
      </w:r>
      <w:r w:rsidR="001559C0">
        <w:rPr>
          <w:sz w:val="24"/>
        </w:rPr>
        <w:t>Mortgagee</w:t>
      </w:r>
      <w:r w:rsidRPr="004B6174">
        <w:rPr>
          <w:sz w:val="24"/>
        </w:rPr>
        <w:t xml:space="preserve"> informs the occupancy of his/her rights and includes the conditions for continued occupancy; </w:t>
      </w:r>
      <w:r>
        <w:rPr>
          <w:sz w:val="24"/>
        </w:rPr>
        <w:t>f</w:t>
      </w:r>
      <w:r w:rsidRPr="004B6174">
        <w:rPr>
          <w:sz w:val="24"/>
        </w:rPr>
        <w:t>orm HUD-9539, “Request for Occupied Conveyance</w:t>
      </w:r>
      <w:r w:rsidR="00043BAA">
        <w:rPr>
          <w:sz w:val="24"/>
        </w:rPr>
        <w:t>,</w:t>
      </w:r>
      <w:r w:rsidRPr="004B6174">
        <w:rPr>
          <w:sz w:val="24"/>
        </w:rPr>
        <w:t>” is sent at this time.  If the occupant desires to remain in occupancy, the occ</w:t>
      </w:r>
      <w:r>
        <w:rPr>
          <w:sz w:val="24"/>
        </w:rPr>
        <w:t xml:space="preserve">upant must complete </w:t>
      </w:r>
      <w:r w:rsidRPr="004B6174">
        <w:rPr>
          <w:sz w:val="24"/>
        </w:rPr>
        <w:t>fo</w:t>
      </w:r>
      <w:r>
        <w:rPr>
          <w:sz w:val="24"/>
        </w:rPr>
        <w:t>rm</w:t>
      </w:r>
      <w:r w:rsidRPr="004B6174">
        <w:rPr>
          <w:sz w:val="24"/>
        </w:rPr>
        <w:t xml:space="preserve"> HUD-9539 a</w:t>
      </w:r>
      <w:r>
        <w:rPr>
          <w:sz w:val="24"/>
        </w:rPr>
        <w:t xml:space="preserve">nd submit the form to </w:t>
      </w:r>
      <w:r w:rsidRPr="004B6174">
        <w:rPr>
          <w:sz w:val="24"/>
        </w:rPr>
        <w:t>HUD</w:t>
      </w:r>
      <w:r>
        <w:rPr>
          <w:sz w:val="24"/>
        </w:rPr>
        <w:t xml:space="preserve">’s </w:t>
      </w:r>
      <w:r>
        <w:rPr>
          <w:sz w:val="24"/>
          <w:szCs w:val="24"/>
        </w:rPr>
        <w:t xml:space="preserve">MCM contractor </w:t>
      </w:r>
      <w:r>
        <w:rPr>
          <w:sz w:val="24"/>
        </w:rPr>
        <w:t xml:space="preserve">within </w:t>
      </w:r>
      <w:r w:rsidRPr="004B6174">
        <w:rPr>
          <w:sz w:val="24"/>
        </w:rPr>
        <w:t xml:space="preserve">20 days after the date of the </w:t>
      </w:r>
      <w:r w:rsidR="001559C0">
        <w:rPr>
          <w:sz w:val="24"/>
        </w:rPr>
        <w:t>Mortgagee</w:t>
      </w:r>
      <w:r w:rsidRPr="004B6174">
        <w:rPr>
          <w:sz w:val="24"/>
        </w:rPr>
        <w:t>’s notice.  This information is necessary for HUD to determine if the occupant is financially able to pay the fair market rent and/or whether a member of the immediate family residing in the residence suffers from a temporary, permanent, or long term illness or injury which would be aggravated by the process of moving from the property.  HUD uses the information in making its determination as to whether to approve or disapprove the occupant’s request for occupied conveyance.  An occupant with an approved request must execute a month-to</w:t>
      </w:r>
      <w:r w:rsidR="00043BAA">
        <w:rPr>
          <w:sz w:val="24"/>
        </w:rPr>
        <w:t>-</w:t>
      </w:r>
      <w:r w:rsidRPr="004B6174">
        <w:rPr>
          <w:sz w:val="24"/>
        </w:rPr>
        <w:t xml:space="preserve">month lease and a copy of the lease is mailed along with </w:t>
      </w:r>
      <w:r w:rsidR="00043BAA">
        <w:rPr>
          <w:sz w:val="24"/>
        </w:rPr>
        <w:t>form</w:t>
      </w:r>
      <w:r w:rsidRPr="004B6174">
        <w:rPr>
          <w:sz w:val="24"/>
        </w:rPr>
        <w:t xml:space="preserve"> HUD-9539 to </w:t>
      </w:r>
      <w:r>
        <w:rPr>
          <w:sz w:val="24"/>
        </w:rPr>
        <w:t xml:space="preserve">the </w:t>
      </w:r>
      <w:r w:rsidRPr="00A67886">
        <w:rPr>
          <w:sz w:val="24"/>
        </w:rPr>
        <w:t xml:space="preserve">MCM contractor.  The information may also be used to collect past due rents. </w:t>
      </w:r>
    </w:p>
    <w:p w:rsidR="0084411E" w:rsidP="0084411E" w:rsidRDefault="0084411E" w14:paraId="1FE7F803" w14:textId="77777777">
      <w:pPr>
        <w:pStyle w:val="ListParagraph"/>
        <w:ind w:left="0"/>
        <w:rPr>
          <w:sz w:val="24"/>
        </w:rPr>
      </w:pPr>
    </w:p>
    <w:p w:rsidRPr="00D5054E" w:rsidR="003B6380" w:rsidP="003B6380" w:rsidRDefault="003B6380" w14:paraId="7B241CC0" w14:textId="06359E45">
      <w:pPr>
        <w:overflowPunct w:val="0"/>
        <w:autoSpaceDE w:val="0"/>
        <w:autoSpaceDN w:val="0"/>
        <w:adjustRightInd w:val="0"/>
        <w:spacing w:after="0" w:line="240" w:lineRule="auto"/>
        <w:textAlignment w:val="baseline"/>
        <w:rPr>
          <w:rFonts w:ascii="Times New Roman" w:hAnsi="Times New Roman"/>
          <w:b/>
          <w:bCs/>
          <w:sz w:val="24"/>
        </w:rPr>
      </w:pPr>
      <w:r w:rsidRPr="00D5054E">
        <w:rPr>
          <w:rFonts w:ascii="Times New Roman" w:hAnsi="Times New Roman"/>
          <w:b/>
          <w:bCs/>
          <w:sz w:val="24"/>
        </w:rPr>
        <w:t xml:space="preserve">Form HUD-50002, </w:t>
      </w:r>
      <w:r w:rsidRPr="00A715B6">
        <w:rPr>
          <w:rFonts w:ascii="Times New Roman" w:hAnsi="Times New Roman"/>
          <w:b/>
          <w:bCs/>
          <w:i/>
          <w:iCs/>
          <w:sz w:val="24"/>
        </w:rPr>
        <w:t xml:space="preserve">Request to Exceed Cost </w:t>
      </w:r>
      <w:r w:rsidR="00206448">
        <w:rPr>
          <w:rFonts w:ascii="Times New Roman" w:hAnsi="Times New Roman"/>
          <w:b/>
          <w:bCs/>
          <w:i/>
          <w:iCs/>
          <w:sz w:val="24"/>
        </w:rPr>
        <w:t xml:space="preserve">and Protection </w:t>
      </w:r>
      <w:r w:rsidRPr="00A715B6">
        <w:rPr>
          <w:rFonts w:ascii="Times New Roman" w:hAnsi="Times New Roman"/>
          <w:b/>
          <w:bCs/>
          <w:i/>
          <w:iCs/>
          <w:sz w:val="24"/>
        </w:rPr>
        <w:t>Limits for Preservation</w:t>
      </w:r>
    </w:p>
    <w:p w:rsidRPr="003B6380" w:rsidR="003B6380" w:rsidP="003B6380" w:rsidRDefault="003B6380" w14:paraId="336FE511" w14:textId="517DFEB4">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In most cases</w:t>
      </w:r>
      <w:r w:rsidR="00126CE0">
        <w:rPr>
          <w:rFonts w:ascii="Times New Roman" w:hAnsi="Times New Roman"/>
          <w:sz w:val="24"/>
        </w:rPr>
        <w:t>,</w:t>
      </w:r>
      <w:r w:rsidRPr="003B6380">
        <w:rPr>
          <w:rFonts w:ascii="Times New Roman" w:hAnsi="Times New Roman"/>
          <w:sz w:val="24"/>
        </w:rPr>
        <w:t xml:space="preserve"> the </w:t>
      </w:r>
      <w:r w:rsidR="001559C0">
        <w:rPr>
          <w:rFonts w:ascii="Times New Roman" w:hAnsi="Times New Roman"/>
          <w:sz w:val="24"/>
        </w:rPr>
        <w:t>Mortgagee</w:t>
      </w:r>
      <w:r w:rsidRPr="003B6380">
        <w:rPr>
          <w:rFonts w:ascii="Times New Roman" w:hAnsi="Times New Roman"/>
          <w:sz w:val="24"/>
        </w:rPr>
        <w:t>s will not board up vacant properties</w:t>
      </w:r>
      <w:r w:rsidR="00126CE0">
        <w:rPr>
          <w:rFonts w:ascii="Times New Roman" w:hAnsi="Times New Roman"/>
          <w:sz w:val="24"/>
        </w:rPr>
        <w:t>,</w:t>
      </w:r>
      <w:r w:rsidRPr="003B6380">
        <w:rPr>
          <w:rFonts w:ascii="Times New Roman" w:hAnsi="Times New Roman"/>
          <w:sz w:val="24"/>
        </w:rPr>
        <w:t xml:space="preserve"> but in a minority of cases</w:t>
      </w:r>
      <w:r w:rsidR="008E5970">
        <w:rPr>
          <w:rFonts w:ascii="Times New Roman" w:hAnsi="Times New Roman"/>
          <w:sz w:val="24"/>
        </w:rPr>
        <w:t>,</w:t>
      </w:r>
      <w:r w:rsidRPr="003B6380">
        <w:rPr>
          <w:rFonts w:ascii="Times New Roman" w:hAnsi="Times New Roman"/>
          <w:sz w:val="24"/>
        </w:rPr>
        <w:t xml:space="preserve"> there may be cause for preservation and protection of the property.  Actions may be taken on a case-by-case basis after they are reviewed and approved by the </w:t>
      </w:r>
      <w:r w:rsidR="00126CE0">
        <w:rPr>
          <w:rFonts w:ascii="Times New Roman" w:hAnsi="Times New Roman"/>
          <w:sz w:val="24"/>
        </w:rPr>
        <w:t>MCM contractor</w:t>
      </w:r>
      <w:r w:rsidRPr="003B6380">
        <w:rPr>
          <w:rFonts w:ascii="Times New Roman" w:hAnsi="Times New Roman"/>
          <w:sz w:val="24"/>
        </w:rPr>
        <w:t xml:space="preserve">.  HUD allows certain amounts for lenders to spend on the preservation and protection of mortgaged properties.  If a specific service cannot be performed at the scheduled rate, the lender must request HUD permission to exceed that cost limit via P260. </w:t>
      </w:r>
      <w:r w:rsidR="00D03138">
        <w:rPr>
          <w:rFonts w:ascii="Times New Roman" w:hAnsi="Times New Roman"/>
          <w:sz w:val="24"/>
        </w:rPr>
        <w:t xml:space="preserve"> Pursuant to </w:t>
      </w:r>
      <w:r w:rsidRPr="003B6380">
        <w:rPr>
          <w:rFonts w:ascii="Times New Roman" w:hAnsi="Times New Roman"/>
          <w:sz w:val="24"/>
        </w:rPr>
        <w:t>24 CFR 203.402(g)(1) and (g)(2)</w:t>
      </w:r>
      <w:r w:rsidR="00126CE0">
        <w:rPr>
          <w:rFonts w:ascii="Times New Roman" w:hAnsi="Times New Roman"/>
          <w:sz w:val="24"/>
        </w:rPr>
        <w:t>,</w:t>
      </w:r>
      <w:r w:rsidRPr="003B6380">
        <w:rPr>
          <w:rFonts w:ascii="Times New Roman" w:hAnsi="Times New Roman"/>
          <w:sz w:val="24"/>
        </w:rPr>
        <w:t xml:space="preserve"> prior </w:t>
      </w:r>
      <w:r w:rsidR="00D03138">
        <w:rPr>
          <w:rFonts w:ascii="Times New Roman" w:hAnsi="Times New Roman"/>
          <w:sz w:val="24"/>
        </w:rPr>
        <w:t>approval o</w:t>
      </w:r>
      <w:r w:rsidR="00126CE0">
        <w:rPr>
          <w:rFonts w:ascii="Times New Roman" w:hAnsi="Times New Roman"/>
          <w:sz w:val="24"/>
        </w:rPr>
        <w:t>f</w:t>
      </w:r>
      <w:r w:rsidR="00D03138">
        <w:rPr>
          <w:rFonts w:ascii="Times New Roman" w:hAnsi="Times New Roman"/>
          <w:sz w:val="24"/>
        </w:rPr>
        <w:t xml:space="preserve"> </w:t>
      </w:r>
      <w:r w:rsidRPr="003B6380">
        <w:rPr>
          <w:rFonts w:ascii="Times New Roman" w:hAnsi="Times New Roman"/>
          <w:sz w:val="24"/>
        </w:rPr>
        <w:t xml:space="preserve">HUD </w:t>
      </w:r>
      <w:r w:rsidR="00D03138">
        <w:rPr>
          <w:rFonts w:ascii="Times New Roman" w:hAnsi="Times New Roman"/>
          <w:sz w:val="24"/>
        </w:rPr>
        <w:t xml:space="preserve">is required </w:t>
      </w:r>
      <w:r w:rsidRPr="003B6380">
        <w:rPr>
          <w:rFonts w:ascii="Times New Roman" w:hAnsi="Times New Roman"/>
          <w:sz w:val="24"/>
        </w:rPr>
        <w:t xml:space="preserve">to exceed scheduled amounts.  </w:t>
      </w:r>
      <w:r w:rsidR="00631874">
        <w:rPr>
          <w:rFonts w:ascii="Times New Roman" w:hAnsi="Times New Roman"/>
          <w:sz w:val="24"/>
        </w:rPr>
        <w:t>Form HUD</w:t>
      </w:r>
      <w:r w:rsidR="005D413C">
        <w:rPr>
          <w:rFonts w:ascii="Times New Roman" w:hAnsi="Times New Roman"/>
          <w:sz w:val="24"/>
        </w:rPr>
        <w:t xml:space="preserve">-50002, </w:t>
      </w:r>
      <w:r w:rsidR="009846B3">
        <w:rPr>
          <w:rFonts w:ascii="Times New Roman" w:hAnsi="Times New Roman"/>
          <w:i/>
          <w:iCs/>
          <w:sz w:val="24"/>
        </w:rPr>
        <w:t>Request to Exceed Cost</w:t>
      </w:r>
      <w:r w:rsidR="00126CE0">
        <w:rPr>
          <w:rFonts w:ascii="Times New Roman" w:hAnsi="Times New Roman"/>
          <w:i/>
          <w:iCs/>
          <w:sz w:val="24"/>
        </w:rPr>
        <w:t xml:space="preserve"> and Protection</w:t>
      </w:r>
      <w:r w:rsidR="009846B3">
        <w:rPr>
          <w:rFonts w:ascii="Times New Roman" w:hAnsi="Times New Roman"/>
          <w:i/>
          <w:iCs/>
          <w:sz w:val="24"/>
        </w:rPr>
        <w:t xml:space="preserve"> Limits for Preservation</w:t>
      </w:r>
      <w:r w:rsidR="008E5970">
        <w:rPr>
          <w:rFonts w:ascii="Times New Roman" w:hAnsi="Times New Roman"/>
          <w:i/>
          <w:iCs/>
          <w:sz w:val="24"/>
        </w:rPr>
        <w:t>,</w:t>
      </w:r>
      <w:r w:rsidR="0003387E">
        <w:rPr>
          <w:rFonts w:ascii="Times New Roman" w:hAnsi="Times New Roman"/>
          <w:i/>
          <w:iCs/>
          <w:sz w:val="24"/>
        </w:rPr>
        <w:t xml:space="preserve"> </w:t>
      </w:r>
      <w:r w:rsidR="00CE17ED">
        <w:rPr>
          <w:rFonts w:ascii="Times New Roman" w:hAnsi="Times New Roman"/>
          <w:sz w:val="24"/>
        </w:rPr>
        <w:t xml:space="preserve">is used </w:t>
      </w:r>
      <w:r w:rsidR="006466B8">
        <w:rPr>
          <w:rFonts w:ascii="Times New Roman" w:hAnsi="Times New Roman"/>
          <w:sz w:val="24"/>
        </w:rPr>
        <w:t>f</w:t>
      </w:r>
      <w:r w:rsidR="00844115">
        <w:rPr>
          <w:rFonts w:ascii="Times New Roman" w:hAnsi="Times New Roman"/>
          <w:sz w:val="24"/>
        </w:rPr>
        <w:t>o</w:t>
      </w:r>
      <w:r w:rsidR="00843E75">
        <w:rPr>
          <w:rFonts w:ascii="Times New Roman" w:hAnsi="Times New Roman"/>
          <w:sz w:val="24"/>
        </w:rPr>
        <w:t>r</w:t>
      </w:r>
      <w:r w:rsidR="00844115">
        <w:rPr>
          <w:rFonts w:ascii="Times New Roman" w:hAnsi="Times New Roman"/>
          <w:sz w:val="24"/>
        </w:rPr>
        <w:t xml:space="preserve"> </w:t>
      </w:r>
      <w:r w:rsidR="00843E75">
        <w:rPr>
          <w:rFonts w:ascii="Times New Roman" w:hAnsi="Times New Roman"/>
          <w:sz w:val="24"/>
        </w:rPr>
        <w:t xml:space="preserve">this </w:t>
      </w:r>
      <w:r w:rsidR="00844115">
        <w:rPr>
          <w:rFonts w:ascii="Times New Roman" w:hAnsi="Times New Roman"/>
          <w:sz w:val="24"/>
        </w:rPr>
        <w:t>collect</w:t>
      </w:r>
      <w:r w:rsidR="00843E75">
        <w:rPr>
          <w:rFonts w:ascii="Times New Roman" w:hAnsi="Times New Roman"/>
          <w:sz w:val="24"/>
        </w:rPr>
        <w:t>ion of information</w:t>
      </w:r>
      <w:r w:rsidR="00F43A3F">
        <w:rPr>
          <w:rFonts w:ascii="Times New Roman" w:hAnsi="Times New Roman"/>
          <w:sz w:val="24"/>
        </w:rPr>
        <w:t xml:space="preserve">. </w:t>
      </w:r>
      <w:r w:rsidRPr="003B6380">
        <w:rPr>
          <w:rFonts w:ascii="Times New Roman" w:hAnsi="Times New Roman"/>
          <w:sz w:val="24"/>
        </w:rPr>
        <w:t>Collection of information and FHA documentation is retained for a period of three years and may be stored in paper or electronic media after final and supplemental payments.</w:t>
      </w:r>
    </w:p>
    <w:p w:rsidRPr="003B6380" w:rsidR="003B6380" w:rsidP="003B6380" w:rsidRDefault="003B6380" w14:paraId="66B385A1" w14:textId="77777777">
      <w:pPr>
        <w:overflowPunct w:val="0"/>
        <w:autoSpaceDE w:val="0"/>
        <w:autoSpaceDN w:val="0"/>
        <w:adjustRightInd w:val="0"/>
        <w:spacing w:after="0" w:line="240" w:lineRule="auto"/>
        <w:textAlignment w:val="baseline"/>
        <w:rPr>
          <w:rFonts w:ascii="Times New Roman" w:hAnsi="Times New Roman"/>
          <w:sz w:val="24"/>
        </w:rPr>
      </w:pPr>
    </w:p>
    <w:p w:rsidR="003B6380" w:rsidP="003B6380" w:rsidRDefault="003B6380" w14:paraId="101A6422" w14:textId="7E935568">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must </w:t>
      </w:r>
      <w:r w:rsidRPr="0076523D">
        <w:rPr>
          <w:rFonts w:ascii="Times New Roman" w:hAnsi="Times New Roman"/>
          <w:sz w:val="24"/>
        </w:rPr>
        <w:t xml:space="preserve">certify </w:t>
      </w:r>
      <w:r w:rsidRPr="003B6380">
        <w:rPr>
          <w:rFonts w:ascii="Times New Roman" w:hAnsi="Times New Roman"/>
          <w:sz w:val="24"/>
        </w:rPr>
        <w:t xml:space="preserve">to HUD, on the date the deed is filed for record, that the </w:t>
      </w:r>
      <w:r w:rsidRPr="0076523D">
        <w:rPr>
          <w:rFonts w:ascii="Times New Roman" w:hAnsi="Times New Roman"/>
          <w:sz w:val="24"/>
        </w:rPr>
        <w:t>occupancy status of the property is vacant and free of personal property unless HUD has agreed</w:t>
      </w:r>
      <w:r w:rsidRPr="003B6380">
        <w:rPr>
          <w:rFonts w:ascii="Times New Roman" w:hAnsi="Times New Roman"/>
          <w:sz w:val="24"/>
        </w:rPr>
        <w:t xml:space="preserve"> to accept title with the property occupied (24 CFR 203.381).  The </w:t>
      </w:r>
      <w:r w:rsidR="001559C0">
        <w:rPr>
          <w:rFonts w:ascii="Times New Roman" w:hAnsi="Times New Roman"/>
          <w:sz w:val="24"/>
        </w:rPr>
        <w:t>Mortgagee</w:t>
      </w:r>
      <w:r w:rsidRPr="003B6380">
        <w:rPr>
          <w:rFonts w:ascii="Times New Roman" w:hAnsi="Times New Roman"/>
          <w:sz w:val="24"/>
        </w:rPr>
        <w:t xml:space="preserve"> must notify the </w:t>
      </w:r>
      <w:r w:rsidR="0076523D">
        <w:rPr>
          <w:rFonts w:ascii="Times New Roman" w:hAnsi="Times New Roman"/>
          <w:sz w:val="24"/>
        </w:rPr>
        <w:t>M</w:t>
      </w:r>
      <w:r w:rsidRPr="003B6380">
        <w:rPr>
          <w:rFonts w:ascii="Times New Roman" w:hAnsi="Times New Roman"/>
          <w:sz w:val="24"/>
        </w:rPr>
        <w:t>ortgagors or occupants at least 60 days, but not more than 90 days</w:t>
      </w:r>
      <w:r w:rsidR="0076523D">
        <w:rPr>
          <w:rFonts w:ascii="Times New Roman" w:hAnsi="Times New Roman"/>
          <w:sz w:val="24"/>
        </w:rPr>
        <w:t>,</w:t>
      </w:r>
      <w:r w:rsidRPr="003B6380">
        <w:rPr>
          <w:rFonts w:ascii="Times New Roman" w:hAnsi="Times New Roman"/>
          <w:sz w:val="24"/>
        </w:rPr>
        <w:t xml:space="preserve"> before the </w:t>
      </w:r>
      <w:r w:rsidR="001559C0">
        <w:rPr>
          <w:rFonts w:ascii="Times New Roman" w:hAnsi="Times New Roman"/>
          <w:sz w:val="24"/>
        </w:rPr>
        <w:t>Mortgagee</w:t>
      </w:r>
      <w:r w:rsidRPr="003B6380">
        <w:rPr>
          <w:rFonts w:ascii="Times New Roman" w:hAnsi="Times New Roman"/>
          <w:sz w:val="24"/>
        </w:rPr>
        <w:t xml:space="preserve"> reasonably expects to acquire title.  If the occupant contacts HUD within 20 days of the date of the </w:t>
      </w:r>
      <w:r w:rsidR="001559C0">
        <w:rPr>
          <w:rFonts w:ascii="Times New Roman" w:hAnsi="Times New Roman"/>
          <w:sz w:val="24"/>
        </w:rPr>
        <w:t>Mortgagee</w:t>
      </w:r>
      <w:r w:rsidRPr="003B6380">
        <w:rPr>
          <w:rFonts w:ascii="Times New Roman" w:hAnsi="Times New Roman"/>
          <w:sz w:val="24"/>
        </w:rPr>
        <w:t xml:space="preserve">’s notice requesting to remain in the property, HUD will notify the </w:t>
      </w:r>
      <w:r w:rsidR="001559C0">
        <w:rPr>
          <w:rFonts w:ascii="Times New Roman" w:hAnsi="Times New Roman"/>
          <w:sz w:val="24"/>
        </w:rPr>
        <w:t>Mortgagee</w:t>
      </w:r>
      <w:r w:rsidRPr="003B6380">
        <w:rPr>
          <w:rFonts w:ascii="Times New Roman" w:hAnsi="Times New Roman"/>
          <w:sz w:val="24"/>
        </w:rPr>
        <w:t xml:space="preserve">.  In the event HUD approves an occupied conveyance, the </w:t>
      </w:r>
      <w:r w:rsidR="001559C0">
        <w:rPr>
          <w:rFonts w:ascii="Times New Roman" w:hAnsi="Times New Roman"/>
          <w:sz w:val="24"/>
        </w:rPr>
        <w:t>Mortgagee</w:t>
      </w:r>
      <w:r w:rsidRPr="003B6380">
        <w:rPr>
          <w:rFonts w:ascii="Times New Roman" w:hAnsi="Times New Roman"/>
          <w:sz w:val="24"/>
        </w:rPr>
        <w:t xml:space="preserve"> must note the date of HUD’s approval letter on its claim for benefits.</w:t>
      </w:r>
    </w:p>
    <w:p w:rsidRPr="003B6380" w:rsidR="00D5054E" w:rsidP="003B6380" w:rsidRDefault="00D5054E" w14:paraId="6707D926"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5F801C61" w14:textId="437AE63B">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must request the </w:t>
      </w:r>
      <w:r w:rsidRPr="0076523D">
        <w:rPr>
          <w:rFonts w:ascii="Times New Roman" w:hAnsi="Times New Roman"/>
          <w:sz w:val="24"/>
        </w:rPr>
        <w:t>cancellation of the hazard insurance</w:t>
      </w:r>
      <w:r w:rsidRPr="003B6380">
        <w:rPr>
          <w:rFonts w:ascii="Times New Roman" w:hAnsi="Times New Roman"/>
          <w:sz w:val="24"/>
        </w:rPr>
        <w:t xml:space="preserve"> as of the date the deed is filed for record (24 CFR 203.382). </w:t>
      </w:r>
    </w:p>
    <w:p w:rsidRPr="003B6380" w:rsidR="003B6380" w:rsidP="003B6380" w:rsidRDefault="003B6380" w14:paraId="50CD9FA3"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7B72075A" w14:textId="0D471156">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shall notify the Commissioner of HUD of the filing of such property conveyance and shall assign</w:t>
      </w:r>
      <w:r w:rsidR="0076523D">
        <w:rPr>
          <w:rFonts w:ascii="Times New Roman" w:hAnsi="Times New Roman"/>
          <w:sz w:val="24"/>
        </w:rPr>
        <w:t>,</w:t>
      </w:r>
      <w:r w:rsidRPr="003B6380">
        <w:rPr>
          <w:rFonts w:ascii="Times New Roman" w:hAnsi="Times New Roman"/>
          <w:sz w:val="24"/>
        </w:rPr>
        <w:t xml:space="preserve"> without recourse or warranty, any or all claims which the </w:t>
      </w:r>
      <w:r w:rsidR="001559C0">
        <w:rPr>
          <w:rFonts w:ascii="Times New Roman" w:hAnsi="Times New Roman"/>
          <w:sz w:val="24"/>
        </w:rPr>
        <w:t>Mortgagee</w:t>
      </w:r>
      <w:r w:rsidRPr="003B6380">
        <w:rPr>
          <w:rFonts w:ascii="Times New Roman" w:hAnsi="Times New Roman"/>
          <w:sz w:val="24"/>
        </w:rPr>
        <w:t xml:space="preserve"> has acquired in connection with the mortgage loan foreclosure proceedings (24 CFR 203.360).</w:t>
      </w:r>
    </w:p>
    <w:p w:rsidRPr="003B6380" w:rsidR="003B6380" w:rsidP="003B6380" w:rsidRDefault="003B6380" w14:paraId="60911169"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5128B0A0" w14:textId="4F39870D">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will furnish HUD with documents and information for a </w:t>
      </w:r>
      <w:r w:rsidRPr="0076523D">
        <w:rPr>
          <w:rFonts w:ascii="Times New Roman" w:hAnsi="Times New Roman"/>
          <w:sz w:val="24"/>
        </w:rPr>
        <w:t>HUD claims review</w:t>
      </w:r>
      <w:r w:rsidRPr="003B6380">
        <w:rPr>
          <w:rFonts w:ascii="Times New Roman" w:hAnsi="Times New Roman"/>
          <w:sz w:val="24"/>
        </w:rPr>
        <w:t xml:space="preserve"> that consists of a copy of the deed, fiscal data pertaining to the mortgage loan transaction</w:t>
      </w:r>
      <w:r w:rsidR="0076523D">
        <w:rPr>
          <w:rFonts w:ascii="Times New Roman" w:hAnsi="Times New Roman"/>
          <w:sz w:val="24"/>
        </w:rPr>
        <w:t>,</w:t>
      </w:r>
      <w:r w:rsidRPr="003B6380">
        <w:rPr>
          <w:rFonts w:ascii="Times New Roman" w:hAnsi="Times New Roman"/>
          <w:sz w:val="24"/>
        </w:rPr>
        <w:t xml:space="preserve"> and additional information that HUD may require (24 CFR 203.365).</w:t>
      </w:r>
      <w:r w:rsidR="00BB5710">
        <w:rPr>
          <w:rFonts w:ascii="Times New Roman" w:hAnsi="Times New Roman"/>
          <w:sz w:val="24"/>
        </w:rPr>
        <w:t xml:space="preserve"> </w:t>
      </w:r>
      <w:r w:rsidRPr="003B6380">
        <w:rPr>
          <w:rFonts w:ascii="Times New Roman" w:hAnsi="Times New Roman"/>
          <w:sz w:val="24"/>
        </w:rPr>
        <w:t xml:space="preserve">The </w:t>
      </w:r>
      <w:r w:rsidR="001559C0">
        <w:rPr>
          <w:rFonts w:ascii="Times New Roman" w:hAnsi="Times New Roman"/>
          <w:sz w:val="24"/>
        </w:rPr>
        <w:t>Mortgagee</w:t>
      </w:r>
      <w:r w:rsidRPr="003B6380">
        <w:rPr>
          <w:rFonts w:ascii="Times New Roman" w:hAnsi="Times New Roman"/>
          <w:sz w:val="24"/>
        </w:rPr>
        <w:t xml:space="preserve"> must maintain a claim file containing the documentation supporting all information submitted to claim payment for at least </w:t>
      </w:r>
      <w:r w:rsidR="0076523D">
        <w:rPr>
          <w:rFonts w:ascii="Times New Roman" w:hAnsi="Times New Roman"/>
          <w:sz w:val="24"/>
        </w:rPr>
        <w:t>three</w:t>
      </w:r>
      <w:r w:rsidRPr="003B6380">
        <w:rPr>
          <w:rFonts w:ascii="Times New Roman" w:hAnsi="Times New Roman"/>
          <w:sz w:val="24"/>
        </w:rPr>
        <w:t xml:space="preserve"> years after the cla</w:t>
      </w:r>
      <w:r w:rsidR="0076523D">
        <w:rPr>
          <w:rFonts w:ascii="Times New Roman" w:hAnsi="Times New Roman"/>
          <w:sz w:val="24"/>
        </w:rPr>
        <w:t>i</w:t>
      </w:r>
      <w:r w:rsidRPr="003B6380">
        <w:rPr>
          <w:rFonts w:ascii="Times New Roman" w:hAnsi="Times New Roman"/>
          <w:sz w:val="24"/>
        </w:rPr>
        <w:t xml:space="preserve">m has been paid.  HUD may request the </w:t>
      </w:r>
      <w:r w:rsidR="001559C0">
        <w:rPr>
          <w:rFonts w:ascii="Times New Roman" w:hAnsi="Times New Roman"/>
          <w:sz w:val="24"/>
        </w:rPr>
        <w:t>Mortgagee</w:t>
      </w:r>
      <w:r w:rsidRPr="003B6380">
        <w:rPr>
          <w:rFonts w:ascii="Times New Roman" w:hAnsi="Times New Roman"/>
          <w:sz w:val="24"/>
        </w:rPr>
        <w:t xml:space="preserve"> provide a file of the claim within 24 hours.</w:t>
      </w:r>
    </w:p>
    <w:p w:rsidRPr="003B6380" w:rsidR="003B6380" w:rsidP="003B6380" w:rsidRDefault="003B6380" w14:paraId="210CC3BE"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01BE0CCB" w14:textId="69A12CA2">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lastRenderedPageBreak/>
        <w:t xml:space="preserve">The </w:t>
      </w:r>
      <w:r w:rsidR="001559C0">
        <w:rPr>
          <w:rFonts w:ascii="Times New Roman" w:hAnsi="Times New Roman"/>
          <w:sz w:val="24"/>
        </w:rPr>
        <w:t>Mortgagee</w:t>
      </w:r>
      <w:r w:rsidRPr="003B6380">
        <w:rPr>
          <w:rFonts w:ascii="Times New Roman" w:hAnsi="Times New Roman"/>
          <w:sz w:val="24"/>
        </w:rPr>
        <w:t xml:space="preserve"> may foreclose and be required to pursue a </w:t>
      </w:r>
      <w:r w:rsidRPr="00543BD2">
        <w:rPr>
          <w:rFonts w:ascii="Times New Roman" w:hAnsi="Times New Roman"/>
          <w:sz w:val="24"/>
        </w:rPr>
        <w:t>deficiency judgment</w:t>
      </w:r>
      <w:r w:rsidRPr="003B6380">
        <w:rPr>
          <w:rFonts w:ascii="Times New Roman" w:hAnsi="Times New Roman"/>
          <w:sz w:val="24"/>
        </w:rPr>
        <w:t xml:space="preserve"> if required by HUD.  Deficiency judgments are generally being pursued department-wide, except where state law makes them impossible or highly impracticable (24 CFR 203.369 and 203.402(o)).  The local HUD offices use internal data pertaining to defaults and foreclosure to identify </w:t>
      </w:r>
      <w:r w:rsidR="00543BD2">
        <w:rPr>
          <w:rFonts w:ascii="Times New Roman" w:hAnsi="Times New Roman"/>
          <w:sz w:val="24"/>
        </w:rPr>
        <w:t>M</w:t>
      </w:r>
      <w:r w:rsidRPr="003B6380">
        <w:rPr>
          <w:rFonts w:ascii="Times New Roman" w:hAnsi="Times New Roman"/>
          <w:sz w:val="24"/>
        </w:rPr>
        <w:t xml:space="preserve">ortgagors against whom deficiency judgments should be sought or the </w:t>
      </w:r>
      <w:r w:rsidR="001559C0">
        <w:rPr>
          <w:rFonts w:ascii="Times New Roman" w:hAnsi="Times New Roman"/>
          <w:sz w:val="24"/>
        </w:rPr>
        <w:t>Mortgagee</w:t>
      </w:r>
      <w:r w:rsidRPr="003B6380">
        <w:rPr>
          <w:rFonts w:ascii="Times New Roman" w:hAnsi="Times New Roman"/>
          <w:sz w:val="24"/>
        </w:rPr>
        <w:t xml:space="preserve"> can initiate the process by notifying </w:t>
      </w:r>
      <w:r w:rsidR="00496924">
        <w:rPr>
          <w:rFonts w:ascii="Times New Roman" w:hAnsi="Times New Roman"/>
          <w:sz w:val="24"/>
        </w:rPr>
        <w:t>H</w:t>
      </w:r>
      <w:r w:rsidRPr="003B6380">
        <w:rPr>
          <w:rFonts w:ascii="Times New Roman" w:hAnsi="Times New Roman"/>
          <w:sz w:val="24"/>
        </w:rPr>
        <w:t xml:space="preserve">UD.  Deficiency judgments pursued by </w:t>
      </w:r>
      <w:r w:rsidR="001559C0">
        <w:rPr>
          <w:rFonts w:ascii="Times New Roman" w:hAnsi="Times New Roman"/>
          <w:sz w:val="24"/>
        </w:rPr>
        <w:t>Mortgagee</w:t>
      </w:r>
      <w:r w:rsidRPr="003B6380">
        <w:rPr>
          <w:rFonts w:ascii="Times New Roman" w:hAnsi="Times New Roman"/>
          <w:sz w:val="24"/>
        </w:rPr>
        <w:t xml:space="preserve">s must be assigned and transmitted to the appropriate HUD office within 30 days of being obtained.  HUD will utilize various methods to collect once the judgments have been assigned. </w:t>
      </w:r>
    </w:p>
    <w:p w:rsidRPr="003B6380" w:rsidR="003B6380" w:rsidP="003B6380" w:rsidRDefault="003B6380" w14:paraId="72FD8722"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033616D3" w14:textId="7DE83281">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If the </w:t>
      </w:r>
      <w:r w:rsidR="001559C0">
        <w:rPr>
          <w:rFonts w:ascii="Times New Roman" w:hAnsi="Times New Roman"/>
          <w:sz w:val="24"/>
        </w:rPr>
        <w:t>Mortgagee</w:t>
      </w:r>
      <w:r w:rsidRPr="003B6380">
        <w:rPr>
          <w:rFonts w:ascii="Times New Roman" w:hAnsi="Times New Roman"/>
          <w:sz w:val="24"/>
        </w:rPr>
        <w:t xml:space="preserve"> fails to comply with HUD regulations, HUD may hold processing of the claim for insurance benefits in abeyance for a reasonable time </w:t>
      </w:r>
      <w:proofErr w:type="gramStart"/>
      <w:r w:rsidRPr="003B6380">
        <w:rPr>
          <w:rFonts w:ascii="Times New Roman" w:hAnsi="Times New Roman"/>
          <w:sz w:val="24"/>
        </w:rPr>
        <w:t>in order to</w:t>
      </w:r>
      <w:proofErr w:type="gramEnd"/>
      <w:r w:rsidRPr="003B6380">
        <w:rPr>
          <w:rFonts w:ascii="Times New Roman" w:hAnsi="Times New Roman"/>
          <w:sz w:val="24"/>
        </w:rPr>
        <w:t xml:space="preserve"> permit the </w:t>
      </w:r>
      <w:r w:rsidR="001559C0">
        <w:rPr>
          <w:rFonts w:ascii="Times New Roman" w:hAnsi="Times New Roman"/>
          <w:sz w:val="24"/>
        </w:rPr>
        <w:t>Mortgagee</w:t>
      </w:r>
      <w:r w:rsidRPr="003B6380">
        <w:rPr>
          <w:rFonts w:ascii="Times New Roman" w:hAnsi="Times New Roman"/>
          <w:sz w:val="24"/>
        </w:rPr>
        <w:t xml:space="preserve"> to comply.  HUD may re-convey title of the property to the </w:t>
      </w:r>
      <w:r w:rsidR="001559C0">
        <w:rPr>
          <w:rFonts w:ascii="Times New Roman" w:hAnsi="Times New Roman"/>
          <w:sz w:val="24"/>
        </w:rPr>
        <w:t>Mortgagee</w:t>
      </w:r>
      <w:r w:rsidRPr="003B6380">
        <w:rPr>
          <w:rFonts w:ascii="Times New Roman" w:hAnsi="Times New Roman"/>
          <w:sz w:val="24"/>
        </w:rPr>
        <w:t xml:space="preserve"> and cancel the application for insurance benefits without prejudice to the rights of the </w:t>
      </w:r>
      <w:r w:rsidR="001559C0">
        <w:rPr>
          <w:rFonts w:ascii="Times New Roman" w:hAnsi="Times New Roman"/>
          <w:sz w:val="24"/>
        </w:rPr>
        <w:t>Mortgagee</w:t>
      </w:r>
      <w:r w:rsidRPr="003B6380">
        <w:rPr>
          <w:rFonts w:ascii="Times New Roman" w:hAnsi="Times New Roman"/>
          <w:sz w:val="24"/>
        </w:rPr>
        <w:t xml:space="preserve"> to reapply for insurance benefits at a subsequent date (24 CFR 203.363). </w:t>
      </w:r>
    </w:p>
    <w:p w:rsidRPr="003B6380" w:rsidR="003B6380" w:rsidP="003B6380" w:rsidRDefault="003B6380" w14:paraId="4D163D3F" w14:textId="77777777">
      <w:pPr>
        <w:overflowPunct w:val="0"/>
        <w:autoSpaceDE w:val="0"/>
        <w:autoSpaceDN w:val="0"/>
        <w:adjustRightInd w:val="0"/>
        <w:spacing w:after="0" w:line="240" w:lineRule="auto"/>
        <w:textAlignment w:val="baseline"/>
        <w:rPr>
          <w:rFonts w:ascii="Times New Roman" w:hAnsi="Times New Roman"/>
          <w:sz w:val="24"/>
        </w:rPr>
      </w:pPr>
    </w:p>
    <w:p w:rsidRPr="003B6380" w:rsidR="003B6380" w:rsidP="003B6380" w:rsidRDefault="003B6380" w14:paraId="69387440" w14:textId="673A3C9C">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HUD may consent to a withdraw</w:t>
      </w:r>
      <w:r w:rsidR="00543BD2">
        <w:rPr>
          <w:rFonts w:ascii="Times New Roman" w:hAnsi="Times New Roman"/>
          <w:sz w:val="24"/>
        </w:rPr>
        <w:t>al</w:t>
      </w:r>
      <w:r w:rsidRPr="003B6380">
        <w:rPr>
          <w:rFonts w:ascii="Times New Roman" w:hAnsi="Times New Roman"/>
          <w:sz w:val="24"/>
        </w:rPr>
        <w:t xml:space="preserve"> of an application for insurance benefits if the </w:t>
      </w:r>
      <w:r w:rsidR="001559C0">
        <w:rPr>
          <w:rFonts w:ascii="Times New Roman" w:hAnsi="Times New Roman"/>
          <w:sz w:val="24"/>
        </w:rPr>
        <w:t>Mortgagee</w:t>
      </w:r>
      <w:r w:rsidRPr="003B6380">
        <w:rPr>
          <w:rFonts w:ascii="Times New Roman" w:hAnsi="Times New Roman"/>
          <w:sz w:val="24"/>
        </w:rPr>
        <w:t xml:space="preserve"> accepts re-conveyance of the property, promptly files a re-conveyance for record, accepts the title evidence it furnished to HUD</w:t>
      </w:r>
      <w:r w:rsidR="008E5970">
        <w:rPr>
          <w:rFonts w:ascii="Times New Roman" w:hAnsi="Times New Roman"/>
          <w:sz w:val="24"/>
        </w:rPr>
        <w:t>,</w:t>
      </w:r>
      <w:r w:rsidRPr="003B6380">
        <w:rPr>
          <w:rFonts w:ascii="Times New Roman" w:hAnsi="Times New Roman"/>
          <w:sz w:val="24"/>
        </w:rPr>
        <w:t xml:space="preserve"> and reimburses HUD for any expenses (24 CFR 203.362 and 203.364).  The </w:t>
      </w:r>
      <w:r w:rsidR="001559C0">
        <w:rPr>
          <w:rFonts w:ascii="Times New Roman" w:hAnsi="Times New Roman"/>
          <w:sz w:val="24"/>
        </w:rPr>
        <w:t>Mortgagee</w:t>
      </w:r>
      <w:r w:rsidRPr="003B6380">
        <w:rPr>
          <w:rFonts w:ascii="Times New Roman" w:hAnsi="Times New Roman"/>
          <w:sz w:val="24"/>
        </w:rPr>
        <w:t xml:space="preserve"> will reimburse HUD for all expenses incurred in connection with the acquisition and reconveyance.  The reimbursement will include interest on the amount of insurance benefits refunded by the </w:t>
      </w:r>
      <w:r w:rsidR="001559C0">
        <w:rPr>
          <w:rFonts w:ascii="Times New Roman" w:hAnsi="Times New Roman"/>
          <w:sz w:val="24"/>
        </w:rPr>
        <w:t>Mortgagee</w:t>
      </w:r>
      <w:r w:rsidRPr="003B6380">
        <w:rPr>
          <w:rFonts w:ascii="Times New Roman" w:hAnsi="Times New Roman"/>
          <w:sz w:val="24"/>
        </w:rPr>
        <w:t xml:space="preserve">. The </w:t>
      </w:r>
      <w:r w:rsidR="001559C0">
        <w:rPr>
          <w:rFonts w:ascii="Times New Roman" w:hAnsi="Times New Roman"/>
          <w:sz w:val="24"/>
        </w:rPr>
        <w:t>Mortgagee</w:t>
      </w:r>
      <w:r w:rsidRPr="003B6380">
        <w:rPr>
          <w:rFonts w:ascii="Times New Roman" w:hAnsi="Times New Roman"/>
          <w:sz w:val="24"/>
        </w:rPr>
        <w:t xml:space="preserve"> will reimburse HUD for computed daily holding costs based on taxes</w:t>
      </w:r>
      <w:r w:rsidR="00543BD2">
        <w:rPr>
          <w:rFonts w:ascii="Times New Roman" w:hAnsi="Times New Roman"/>
          <w:sz w:val="24"/>
        </w:rPr>
        <w:t>,</w:t>
      </w:r>
      <w:r w:rsidRPr="003B6380">
        <w:rPr>
          <w:rFonts w:ascii="Times New Roman" w:hAnsi="Times New Roman"/>
          <w:sz w:val="24"/>
        </w:rPr>
        <w:t xml:space="preserve"> maintenance</w:t>
      </w:r>
      <w:r w:rsidR="00543BD2">
        <w:rPr>
          <w:rFonts w:ascii="Times New Roman" w:hAnsi="Times New Roman"/>
          <w:sz w:val="24"/>
        </w:rPr>
        <w:t>,</w:t>
      </w:r>
      <w:r w:rsidRPr="003B6380">
        <w:rPr>
          <w:rFonts w:ascii="Times New Roman" w:hAnsi="Times New Roman"/>
          <w:sz w:val="24"/>
        </w:rPr>
        <w:t xml:space="preserve"> operating expenses</w:t>
      </w:r>
      <w:r w:rsidR="00543BD2">
        <w:rPr>
          <w:rFonts w:ascii="Times New Roman" w:hAnsi="Times New Roman"/>
          <w:sz w:val="24"/>
        </w:rPr>
        <w:t>,</w:t>
      </w:r>
      <w:r w:rsidRPr="003B6380">
        <w:rPr>
          <w:rFonts w:ascii="Times New Roman" w:hAnsi="Times New Roman"/>
          <w:sz w:val="24"/>
        </w:rPr>
        <w:t xml:space="preserve"> and administrative expenses.</w:t>
      </w:r>
    </w:p>
    <w:p w:rsidRPr="003B6380" w:rsidR="003B6380" w:rsidP="003B6380" w:rsidRDefault="003B6380" w14:paraId="35D0AE57" w14:textId="77777777">
      <w:pPr>
        <w:overflowPunct w:val="0"/>
        <w:autoSpaceDE w:val="0"/>
        <w:autoSpaceDN w:val="0"/>
        <w:adjustRightInd w:val="0"/>
        <w:spacing w:after="0" w:line="240" w:lineRule="auto"/>
        <w:textAlignment w:val="baseline"/>
        <w:rPr>
          <w:rFonts w:ascii="Times New Roman" w:hAnsi="Times New Roman"/>
          <w:sz w:val="24"/>
        </w:rPr>
      </w:pPr>
    </w:p>
    <w:p w:rsidRPr="00496924" w:rsidR="003B6380" w:rsidP="003B6380" w:rsidRDefault="003B6380" w14:paraId="21BD1972" w14:textId="78840B16">
      <w:pPr>
        <w:overflowPunct w:val="0"/>
        <w:autoSpaceDE w:val="0"/>
        <w:autoSpaceDN w:val="0"/>
        <w:adjustRightInd w:val="0"/>
        <w:spacing w:after="0" w:line="240" w:lineRule="auto"/>
        <w:textAlignment w:val="baseline"/>
        <w:rPr>
          <w:rFonts w:ascii="Times New Roman" w:hAnsi="Times New Roman"/>
          <w:b/>
          <w:bCs/>
          <w:sz w:val="24"/>
        </w:rPr>
      </w:pPr>
      <w:r w:rsidRPr="00496924">
        <w:rPr>
          <w:rFonts w:ascii="Times New Roman" w:hAnsi="Times New Roman"/>
          <w:b/>
          <w:bCs/>
          <w:sz w:val="24"/>
        </w:rPr>
        <w:t>Presidentially</w:t>
      </w:r>
      <w:r w:rsidR="001E026F">
        <w:rPr>
          <w:rFonts w:ascii="Times New Roman" w:hAnsi="Times New Roman"/>
          <w:b/>
          <w:bCs/>
          <w:sz w:val="24"/>
        </w:rPr>
        <w:t xml:space="preserve"> </w:t>
      </w:r>
      <w:r w:rsidRPr="00496924">
        <w:rPr>
          <w:rFonts w:ascii="Times New Roman" w:hAnsi="Times New Roman"/>
          <w:b/>
          <w:bCs/>
          <w:sz w:val="24"/>
        </w:rPr>
        <w:t xml:space="preserve">Declared </w:t>
      </w:r>
      <w:r w:rsidR="00CD0E4C">
        <w:rPr>
          <w:rFonts w:ascii="Times New Roman" w:hAnsi="Times New Roman"/>
          <w:b/>
          <w:bCs/>
          <w:sz w:val="24"/>
        </w:rPr>
        <w:t xml:space="preserve">Major </w:t>
      </w:r>
      <w:r w:rsidRPr="00496924">
        <w:rPr>
          <w:rFonts w:ascii="Times New Roman" w:hAnsi="Times New Roman"/>
          <w:b/>
          <w:bCs/>
          <w:sz w:val="24"/>
        </w:rPr>
        <w:t xml:space="preserve">Disaster </w:t>
      </w:r>
      <w:r w:rsidR="00FE3B8D">
        <w:rPr>
          <w:rFonts w:ascii="Times New Roman" w:hAnsi="Times New Roman"/>
          <w:b/>
          <w:bCs/>
          <w:sz w:val="24"/>
        </w:rPr>
        <w:t xml:space="preserve">Areas </w:t>
      </w:r>
      <w:r w:rsidRPr="00496924">
        <w:rPr>
          <w:rFonts w:ascii="Times New Roman" w:hAnsi="Times New Roman"/>
          <w:b/>
          <w:bCs/>
          <w:sz w:val="24"/>
        </w:rPr>
        <w:t>Partial Claims</w:t>
      </w:r>
    </w:p>
    <w:p w:rsidRPr="003B6380" w:rsidR="003B6380" w:rsidP="003B6380" w:rsidRDefault="003B6380" w14:paraId="6E85FC15" w14:textId="27DEF645">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HUD assists mortgagors affected by destruction caused during natural disasters in </w:t>
      </w:r>
      <w:r w:rsidR="001E026F">
        <w:rPr>
          <w:rFonts w:ascii="Times New Roman" w:hAnsi="Times New Roman"/>
          <w:sz w:val="24"/>
        </w:rPr>
        <w:t>P</w:t>
      </w:r>
      <w:r w:rsidRPr="003B6380">
        <w:rPr>
          <w:rFonts w:ascii="Times New Roman" w:hAnsi="Times New Roman"/>
          <w:sz w:val="24"/>
        </w:rPr>
        <w:t xml:space="preserve">residentially </w:t>
      </w:r>
      <w:r w:rsidR="001E026F">
        <w:rPr>
          <w:rFonts w:ascii="Times New Roman" w:hAnsi="Times New Roman"/>
          <w:sz w:val="24"/>
        </w:rPr>
        <w:t>D</w:t>
      </w:r>
      <w:r w:rsidRPr="003B6380">
        <w:rPr>
          <w:rFonts w:ascii="Times New Roman" w:hAnsi="Times New Roman"/>
          <w:sz w:val="24"/>
        </w:rPr>
        <w:t xml:space="preserve">eclared </w:t>
      </w:r>
      <w:r w:rsidR="000752F9">
        <w:rPr>
          <w:rFonts w:ascii="Times New Roman" w:hAnsi="Times New Roman"/>
          <w:sz w:val="24"/>
        </w:rPr>
        <w:t>Major D</w:t>
      </w:r>
      <w:r w:rsidRPr="003B6380">
        <w:rPr>
          <w:rFonts w:ascii="Times New Roman" w:hAnsi="Times New Roman"/>
          <w:sz w:val="24"/>
        </w:rPr>
        <w:t xml:space="preserve">isaster </w:t>
      </w:r>
      <w:r w:rsidR="000752F9">
        <w:rPr>
          <w:rFonts w:ascii="Times New Roman" w:hAnsi="Times New Roman"/>
          <w:sz w:val="24"/>
        </w:rPr>
        <w:t>A</w:t>
      </w:r>
      <w:r w:rsidRPr="003B6380">
        <w:rPr>
          <w:rFonts w:ascii="Times New Roman" w:hAnsi="Times New Roman"/>
          <w:sz w:val="24"/>
        </w:rPr>
        <w:t>reas.  HUD</w:t>
      </w:r>
      <w:r w:rsidR="000752F9">
        <w:rPr>
          <w:rFonts w:ascii="Times New Roman" w:hAnsi="Times New Roman"/>
          <w:sz w:val="24"/>
        </w:rPr>
        <w:t>,</w:t>
      </w:r>
      <w:r w:rsidRPr="003B6380">
        <w:rPr>
          <w:rFonts w:ascii="Times New Roman" w:hAnsi="Times New Roman"/>
          <w:sz w:val="24"/>
        </w:rPr>
        <w:t xml:space="preserve"> working with </w:t>
      </w:r>
      <w:r w:rsidR="001559C0">
        <w:rPr>
          <w:rFonts w:ascii="Times New Roman" w:hAnsi="Times New Roman"/>
          <w:sz w:val="24"/>
        </w:rPr>
        <w:t>Mortgagee</w:t>
      </w:r>
      <w:r w:rsidRPr="003B6380">
        <w:rPr>
          <w:rFonts w:ascii="Times New Roman" w:hAnsi="Times New Roman"/>
          <w:sz w:val="24"/>
        </w:rPr>
        <w:t>s, states</w:t>
      </w:r>
      <w:r w:rsidR="008E5970">
        <w:rPr>
          <w:rFonts w:ascii="Times New Roman" w:hAnsi="Times New Roman"/>
          <w:sz w:val="24"/>
        </w:rPr>
        <w:t>,</w:t>
      </w:r>
      <w:r w:rsidRPr="003B6380">
        <w:rPr>
          <w:rFonts w:ascii="Times New Roman" w:hAnsi="Times New Roman"/>
          <w:sz w:val="24"/>
        </w:rPr>
        <w:t xml:space="preserve"> and other agencies or departments</w:t>
      </w:r>
      <w:r w:rsidR="000752F9">
        <w:rPr>
          <w:rFonts w:ascii="Times New Roman" w:hAnsi="Times New Roman"/>
          <w:sz w:val="24"/>
        </w:rPr>
        <w:t>,</w:t>
      </w:r>
      <w:r w:rsidRPr="003B6380">
        <w:rPr>
          <w:rFonts w:ascii="Times New Roman" w:hAnsi="Times New Roman"/>
          <w:sz w:val="24"/>
        </w:rPr>
        <w:t xml:space="preserve"> provides guidance and direction.  For example, in 2018, the state of Texas established an action plan for use of HUD</w:t>
      </w:r>
      <w:r w:rsidR="00496924">
        <w:rPr>
          <w:rFonts w:ascii="Times New Roman" w:hAnsi="Times New Roman"/>
          <w:sz w:val="24"/>
        </w:rPr>
        <w:t xml:space="preserve">’s </w:t>
      </w:r>
      <w:r w:rsidRPr="003B6380">
        <w:rPr>
          <w:rFonts w:ascii="Times New Roman" w:hAnsi="Times New Roman"/>
          <w:sz w:val="24"/>
        </w:rPr>
        <w:t xml:space="preserve">Community Development Block Grant (CDBG) funds.  In connection with its CDBG Homeowner Grant Assistance </w:t>
      </w:r>
      <w:r w:rsidR="000752F9">
        <w:rPr>
          <w:rFonts w:ascii="Times New Roman" w:hAnsi="Times New Roman"/>
          <w:sz w:val="24"/>
        </w:rPr>
        <w:t>P</w:t>
      </w:r>
      <w:r w:rsidRPr="003B6380">
        <w:rPr>
          <w:rFonts w:ascii="Times New Roman" w:hAnsi="Times New Roman"/>
          <w:sz w:val="24"/>
        </w:rPr>
        <w:t xml:space="preserve">rogram, </w:t>
      </w:r>
      <w:r w:rsidR="000752F9">
        <w:rPr>
          <w:rFonts w:ascii="Times New Roman" w:hAnsi="Times New Roman"/>
          <w:sz w:val="24"/>
        </w:rPr>
        <w:t>M</w:t>
      </w:r>
      <w:r w:rsidRPr="003B6380">
        <w:rPr>
          <w:rFonts w:ascii="Times New Roman" w:hAnsi="Times New Roman"/>
          <w:sz w:val="24"/>
        </w:rPr>
        <w:t>ortgagors who suffered flood damage from Hurricane Harvey to a primary residence in a FEMA</w:t>
      </w:r>
      <w:r w:rsidR="000752F9">
        <w:rPr>
          <w:rFonts w:ascii="Times New Roman" w:hAnsi="Times New Roman"/>
          <w:sz w:val="24"/>
        </w:rPr>
        <w:t>-</w:t>
      </w:r>
      <w:r w:rsidRPr="003B6380">
        <w:rPr>
          <w:rFonts w:ascii="Times New Roman" w:hAnsi="Times New Roman"/>
          <w:sz w:val="24"/>
        </w:rPr>
        <w:t xml:space="preserve">designated </w:t>
      </w:r>
      <w:r w:rsidR="000752F9">
        <w:rPr>
          <w:rFonts w:ascii="Times New Roman" w:hAnsi="Times New Roman"/>
          <w:sz w:val="24"/>
        </w:rPr>
        <w:t>S</w:t>
      </w:r>
      <w:r w:rsidRPr="003B6380">
        <w:rPr>
          <w:rFonts w:ascii="Times New Roman" w:hAnsi="Times New Roman"/>
          <w:sz w:val="24"/>
        </w:rPr>
        <w:t xml:space="preserve">pecial </w:t>
      </w:r>
      <w:r w:rsidR="000752F9">
        <w:rPr>
          <w:rFonts w:ascii="Times New Roman" w:hAnsi="Times New Roman"/>
          <w:sz w:val="24"/>
        </w:rPr>
        <w:t>F</w:t>
      </w:r>
      <w:r w:rsidRPr="003B6380">
        <w:rPr>
          <w:rFonts w:ascii="Times New Roman" w:hAnsi="Times New Roman"/>
          <w:sz w:val="24"/>
        </w:rPr>
        <w:t xml:space="preserve">lood </w:t>
      </w:r>
      <w:r w:rsidR="000752F9">
        <w:rPr>
          <w:rFonts w:ascii="Times New Roman" w:hAnsi="Times New Roman"/>
          <w:sz w:val="24"/>
        </w:rPr>
        <w:t>H</w:t>
      </w:r>
      <w:r w:rsidRPr="003B6380">
        <w:rPr>
          <w:rFonts w:ascii="Times New Roman" w:hAnsi="Times New Roman"/>
          <w:sz w:val="24"/>
        </w:rPr>
        <w:t xml:space="preserve">azard </w:t>
      </w:r>
      <w:r w:rsidR="000752F9">
        <w:rPr>
          <w:rFonts w:ascii="Times New Roman" w:hAnsi="Times New Roman"/>
          <w:sz w:val="24"/>
        </w:rPr>
        <w:t>A</w:t>
      </w:r>
      <w:r w:rsidRPr="003B6380">
        <w:rPr>
          <w:rFonts w:ascii="Times New Roman" w:hAnsi="Times New Roman"/>
          <w:sz w:val="24"/>
        </w:rPr>
        <w:t>rea as of August 25, 2017</w:t>
      </w:r>
      <w:r w:rsidR="000752F9">
        <w:rPr>
          <w:rFonts w:ascii="Times New Roman" w:hAnsi="Times New Roman"/>
          <w:sz w:val="24"/>
        </w:rPr>
        <w:t>,</w:t>
      </w:r>
      <w:r w:rsidRPr="003B6380">
        <w:rPr>
          <w:rFonts w:ascii="Times New Roman" w:hAnsi="Times New Roman"/>
          <w:sz w:val="24"/>
        </w:rPr>
        <w:t xml:space="preserve"> may receive assistance to repair under-insured property or bring the mortgage current.  In exchange for the grant payment, a qualifying </w:t>
      </w:r>
      <w:r w:rsidR="000752F9">
        <w:rPr>
          <w:rFonts w:ascii="Times New Roman" w:hAnsi="Times New Roman"/>
          <w:sz w:val="24"/>
        </w:rPr>
        <w:t>M</w:t>
      </w:r>
      <w:r w:rsidRPr="003B6380">
        <w:rPr>
          <w:rFonts w:ascii="Times New Roman" w:hAnsi="Times New Roman"/>
          <w:sz w:val="24"/>
        </w:rPr>
        <w:t>ortgagor must agree to have certain covenants placed on the property and all existing lien holders must subordinate their liens to those covenants.  HUD may hold a junior lien on an eligible property as security for a partial claim payment</w:t>
      </w:r>
      <w:r w:rsidR="00496924">
        <w:rPr>
          <w:rFonts w:ascii="Times New Roman" w:hAnsi="Times New Roman"/>
          <w:sz w:val="24"/>
        </w:rPr>
        <w:t xml:space="preserve"> </w:t>
      </w:r>
      <w:r w:rsidRPr="003B6380">
        <w:rPr>
          <w:rFonts w:ascii="Times New Roman" w:hAnsi="Times New Roman"/>
          <w:sz w:val="24"/>
        </w:rPr>
        <w:t xml:space="preserve">and may have to subordinate the lien to the state required covenants for the </w:t>
      </w:r>
      <w:r w:rsidR="000752F9">
        <w:rPr>
          <w:rFonts w:ascii="Times New Roman" w:hAnsi="Times New Roman"/>
          <w:sz w:val="24"/>
        </w:rPr>
        <w:t>M</w:t>
      </w:r>
      <w:r w:rsidRPr="003B6380">
        <w:rPr>
          <w:rFonts w:ascii="Times New Roman" w:hAnsi="Times New Roman"/>
          <w:sz w:val="24"/>
        </w:rPr>
        <w:t xml:space="preserve">ortgagor to receive state CDBG funds. </w:t>
      </w:r>
    </w:p>
    <w:p w:rsidRPr="003B6380" w:rsidR="003B6380" w:rsidP="003B6380" w:rsidRDefault="003B6380" w14:paraId="2524B162" w14:textId="77777777">
      <w:pPr>
        <w:overflowPunct w:val="0"/>
        <w:autoSpaceDE w:val="0"/>
        <w:autoSpaceDN w:val="0"/>
        <w:adjustRightInd w:val="0"/>
        <w:spacing w:after="0" w:line="240" w:lineRule="auto"/>
        <w:textAlignment w:val="baseline"/>
        <w:rPr>
          <w:rFonts w:ascii="Times New Roman" w:hAnsi="Times New Roman"/>
          <w:sz w:val="24"/>
        </w:rPr>
      </w:pPr>
    </w:p>
    <w:p w:rsidRPr="00496924" w:rsidR="003B6380" w:rsidP="003B6380" w:rsidRDefault="003B6380" w14:paraId="0BB5CAE8" w14:textId="77777777">
      <w:pPr>
        <w:overflowPunct w:val="0"/>
        <w:autoSpaceDE w:val="0"/>
        <w:autoSpaceDN w:val="0"/>
        <w:adjustRightInd w:val="0"/>
        <w:spacing w:after="0" w:line="240" w:lineRule="auto"/>
        <w:textAlignment w:val="baseline"/>
        <w:rPr>
          <w:rFonts w:ascii="Times New Roman" w:hAnsi="Times New Roman"/>
          <w:b/>
          <w:bCs/>
          <w:sz w:val="24"/>
        </w:rPr>
      </w:pPr>
      <w:r w:rsidRPr="00496924">
        <w:rPr>
          <w:rFonts w:ascii="Times New Roman" w:hAnsi="Times New Roman"/>
          <w:b/>
          <w:bCs/>
          <w:sz w:val="24"/>
        </w:rPr>
        <w:t>Accelerated Claims (601)</w:t>
      </w:r>
    </w:p>
    <w:p w:rsidRPr="003B6380" w:rsidR="003B6380" w:rsidP="003B6380" w:rsidRDefault="003B6380" w14:paraId="5835D2A3" w14:textId="5A24E82B">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Section 601 of the </w:t>
      </w:r>
      <w:r w:rsidR="000752F9">
        <w:rPr>
          <w:rFonts w:ascii="Times New Roman" w:hAnsi="Times New Roman"/>
          <w:sz w:val="24"/>
        </w:rPr>
        <w:t xml:space="preserve">Departments of </w:t>
      </w:r>
      <w:r w:rsidRPr="003B6380">
        <w:rPr>
          <w:rFonts w:ascii="Times New Roman" w:hAnsi="Times New Roman"/>
          <w:sz w:val="24"/>
        </w:rPr>
        <w:t>V</w:t>
      </w:r>
      <w:r w:rsidR="000752F9">
        <w:rPr>
          <w:rFonts w:ascii="Times New Roman" w:hAnsi="Times New Roman"/>
          <w:sz w:val="24"/>
        </w:rPr>
        <w:t xml:space="preserve">eterans </w:t>
      </w:r>
      <w:r w:rsidRPr="003B6380">
        <w:rPr>
          <w:rFonts w:ascii="Times New Roman" w:hAnsi="Times New Roman"/>
          <w:sz w:val="24"/>
        </w:rPr>
        <w:t>A</w:t>
      </w:r>
      <w:r w:rsidR="000752F9">
        <w:rPr>
          <w:rFonts w:ascii="Times New Roman" w:hAnsi="Times New Roman"/>
          <w:sz w:val="24"/>
        </w:rPr>
        <w:t>ffairs and</w:t>
      </w:r>
      <w:r w:rsidRPr="003B6380">
        <w:rPr>
          <w:rFonts w:ascii="Times New Roman" w:hAnsi="Times New Roman"/>
          <w:sz w:val="24"/>
        </w:rPr>
        <w:t xml:space="preserve"> HUD, and Independent Agencies Appropriations Act</w:t>
      </w:r>
      <w:r w:rsidR="008E5970">
        <w:rPr>
          <w:rFonts w:ascii="Times New Roman" w:hAnsi="Times New Roman"/>
          <w:sz w:val="24"/>
        </w:rPr>
        <w:t>,</w:t>
      </w:r>
      <w:r w:rsidRPr="003B6380">
        <w:rPr>
          <w:rFonts w:ascii="Times New Roman" w:hAnsi="Times New Roman"/>
          <w:sz w:val="24"/>
        </w:rPr>
        <w:t xml:space="preserve"> 1999 (</w:t>
      </w:r>
      <w:r w:rsidR="000752F9">
        <w:rPr>
          <w:rFonts w:ascii="Times New Roman" w:hAnsi="Times New Roman"/>
          <w:sz w:val="24"/>
        </w:rPr>
        <w:t>Pub. L. 105-276, 112 Stat. 2670-2680, 12 U.S.C. 1710</w:t>
      </w:r>
      <w:r w:rsidRPr="003B6380">
        <w:rPr>
          <w:rFonts w:ascii="Times New Roman" w:hAnsi="Times New Roman"/>
          <w:sz w:val="24"/>
        </w:rPr>
        <w:t>)</w:t>
      </w:r>
      <w:r w:rsidR="000752F9">
        <w:rPr>
          <w:rFonts w:ascii="Times New Roman" w:hAnsi="Times New Roman"/>
          <w:sz w:val="24"/>
        </w:rPr>
        <w:t xml:space="preserve"> (1999 Appropriations</w:t>
      </w:r>
      <w:r w:rsidR="008E5970">
        <w:rPr>
          <w:rFonts w:ascii="Times New Roman" w:hAnsi="Times New Roman"/>
          <w:sz w:val="24"/>
        </w:rPr>
        <w:t xml:space="preserve"> Act</w:t>
      </w:r>
      <w:r w:rsidR="000752F9">
        <w:rPr>
          <w:rFonts w:ascii="Times New Roman" w:hAnsi="Times New Roman"/>
          <w:sz w:val="24"/>
        </w:rPr>
        <w:t>)</w:t>
      </w:r>
      <w:r w:rsidRPr="003B6380">
        <w:rPr>
          <w:rFonts w:ascii="Times New Roman" w:hAnsi="Times New Roman"/>
          <w:sz w:val="24"/>
        </w:rPr>
        <w:t xml:space="preserve"> passed </w:t>
      </w:r>
      <w:r w:rsidR="000752F9">
        <w:rPr>
          <w:rFonts w:ascii="Times New Roman" w:hAnsi="Times New Roman"/>
          <w:sz w:val="24"/>
        </w:rPr>
        <w:t>o</w:t>
      </w:r>
      <w:r w:rsidRPr="003B6380">
        <w:rPr>
          <w:rFonts w:ascii="Times New Roman" w:hAnsi="Times New Roman"/>
          <w:sz w:val="24"/>
        </w:rPr>
        <w:t>n October</w:t>
      </w:r>
      <w:r w:rsidR="000752F9">
        <w:rPr>
          <w:rFonts w:ascii="Times New Roman" w:hAnsi="Times New Roman"/>
          <w:sz w:val="24"/>
        </w:rPr>
        <w:t xml:space="preserve"> 21</w:t>
      </w:r>
      <w:r w:rsidR="00947C22">
        <w:rPr>
          <w:rFonts w:ascii="Times New Roman" w:hAnsi="Times New Roman"/>
          <w:sz w:val="24"/>
        </w:rPr>
        <w:t xml:space="preserve">, </w:t>
      </w:r>
      <w:r w:rsidRPr="003B6380">
        <w:rPr>
          <w:rFonts w:ascii="Times New Roman" w:hAnsi="Times New Roman"/>
          <w:sz w:val="24"/>
        </w:rPr>
        <w:t xml:space="preserve">1998, reformed the </w:t>
      </w:r>
      <w:r w:rsidR="00947C22">
        <w:rPr>
          <w:rFonts w:ascii="Times New Roman" w:hAnsi="Times New Roman"/>
          <w:sz w:val="24"/>
        </w:rPr>
        <w:t>S</w:t>
      </w:r>
      <w:r w:rsidRPr="003B6380">
        <w:rPr>
          <w:rFonts w:ascii="Times New Roman" w:hAnsi="Times New Roman"/>
          <w:sz w:val="24"/>
        </w:rPr>
        <w:t>ingle</w:t>
      </w:r>
      <w:r w:rsidR="00947C22">
        <w:rPr>
          <w:rFonts w:ascii="Times New Roman" w:hAnsi="Times New Roman"/>
          <w:sz w:val="24"/>
        </w:rPr>
        <w:t xml:space="preserve"> F</w:t>
      </w:r>
      <w:r w:rsidRPr="003B6380">
        <w:rPr>
          <w:rFonts w:ascii="Times New Roman" w:hAnsi="Times New Roman"/>
          <w:sz w:val="24"/>
        </w:rPr>
        <w:t>amily claims and property disposition process.  The legislation enables HUD/FHA to: (i) pay claims upon assignment of mortgages rather than only upon conveyance of the properties; (ii) take assignment of notes and transfer them to private parties for servicing, foreclosure avoidance, foreclosure, property management</w:t>
      </w:r>
      <w:r w:rsidR="00947C22">
        <w:rPr>
          <w:rFonts w:ascii="Times New Roman" w:hAnsi="Times New Roman"/>
          <w:sz w:val="24"/>
        </w:rPr>
        <w:t>,</w:t>
      </w:r>
      <w:r w:rsidRPr="003B6380">
        <w:rPr>
          <w:rFonts w:ascii="Times New Roman" w:hAnsi="Times New Roman"/>
          <w:sz w:val="24"/>
        </w:rPr>
        <w:t xml:space="preserve"> and asset disposition; and (iii) participate as an equity partner with private entities in asset disposition.  The Accelerated Claims Disposition (ACD)</w:t>
      </w:r>
      <w:r w:rsidR="00947C22">
        <w:rPr>
          <w:rFonts w:ascii="Times New Roman" w:hAnsi="Times New Roman"/>
          <w:sz w:val="24"/>
        </w:rPr>
        <w:t xml:space="preserve"> Demonstration</w:t>
      </w:r>
      <w:r w:rsidRPr="003B6380">
        <w:rPr>
          <w:rFonts w:ascii="Times New Roman" w:hAnsi="Times New Roman"/>
          <w:sz w:val="24"/>
        </w:rPr>
        <w:t xml:space="preserve"> enables </w:t>
      </w:r>
      <w:r w:rsidR="001559C0">
        <w:rPr>
          <w:rFonts w:ascii="Times New Roman" w:hAnsi="Times New Roman"/>
          <w:sz w:val="24"/>
        </w:rPr>
        <w:t>Mortgagee</w:t>
      </w:r>
      <w:r w:rsidRPr="003B6380">
        <w:rPr>
          <w:rFonts w:ascii="Times New Roman" w:hAnsi="Times New Roman"/>
          <w:sz w:val="24"/>
        </w:rPr>
        <w:t>s to avoid the costly foreclosure process</w:t>
      </w:r>
      <w:r w:rsidR="00947C22">
        <w:rPr>
          <w:rFonts w:ascii="Times New Roman" w:hAnsi="Times New Roman"/>
          <w:sz w:val="24"/>
        </w:rPr>
        <w:t xml:space="preserve"> by </w:t>
      </w:r>
      <w:r w:rsidRPr="003B6380" w:rsidR="00947C22">
        <w:rPr>
          <w:rFonts w:ascii="Times New Roman" w:hAnsi="Times New Roman"/>
          <w:sz w:val="24"/>
        </w:rPr>
        <w:t>sell</w:t>
      </w:r>
      <w:r w:rsidR="00947C22">
        <w:rPr>
          <w:rFonts w:ascii="Times New Roman" w:hAnsi="Times New Roman"/>
          <w:sz w:val="24"/>
        </w:rPr>
        <w:t>ing</w:t>
      </w:r>
      <w:r w:rsidRPr="003B6380" w:rsidR="00947C22">
        <w:rPr>
          <w:rFonts w:ascii="Times New Roman" w:hAnsi="Times New Roman"/>
          <w:sz w:val="24"/>
        </w:rPr>
        <w:t xml:space="preserve"> defaulted loans to HUD</w:t>
      </w:r>
      <w:r w:rsidRPr="003B6380">
        <w:rPr>
          <w:rFonts w:ascii="Times New Roman" w:hAnsi="Times New Roman"/>
          <w:sz w:val="24"/>
        </w:rPr>
        <w:t>, thereby adding to the overall servicing value of FHA-insured loans.</w:t>
      </w:r>
    </w:p>
    <w:p w:rsidRPr="003B6380" w:rsidR="003B6380" w:rsidP="003B6380" w:rsidRDefault="003B6380" w14:paraId="23DEA570" w14:textId="77777777">
      <w:pPr>
        <w:overflowPunct w:val="0"/>
        <w:autoSpaceDE w:val="0"/>
        <w:autoSpaceDN w:val="0"/>
        <w:adjustRightInd w:val="0"/>
        <w:spacing w:after="0" w:line="240" w:lineRule="auto"/>
        <w:textAlignment w:val="baseline"/>
        <w:rPr>
          <w:rFonts w:ascii="Times New Roman" w:hAnsi="Times New Roman"/>
          <w:sz w:val="24"/>
        </w:rPr>
      </w:pPr>
    </w:p>
    <w:p w:rsidR="003B6380" w:rsidP="003B6380" w:rsidRDefault="003B6380" w14:paraId="2F7D7495" w14:textId="2BC536F8">
      <w:pPr>
        <w:overflowPunct w:val="0"/>
        <w:autoSpaceDE w:val="0"/>
        <w:autoSpaceDN w:val="0"/>
        <w:adjustRightInd w:val="0"/>
        <w:spacing w:after="0" w:line="240" w:lineRule="auto"/>
        <w:textAlignment w:val="baseline"/>
        <w:rPr>
          <w:rFonts w:ascii="Times New Roman" w:hAnsi="Times New Roman"/>
          <w:sz w:val="24"/>
        </w:rPr>
      </w:pPr>
      <w:r w:rsidRPr="003B6380">
        <w:rPr>
          <w:rFonts w:ascii="Times New Roman" w:hAnsi="Times New Roman"/>
          <w:sz w:val="24"/>
        </w:rPr>
        <w:t xml:space="preserve">The </w:t>
      </w:r>
      <w:r w:rsidR="00175338">
        <w:rPr>
          <w:rFonts w:ascii="Times New Roman" w:hAnsi="Times New Roman"/>
          <w:sz w:val="24"/>
        </w:rPr>
        <w:t>1999 Appropriations</w:t>
      </w:r>
      <w:r w:rsidRPr="003B6380" w:rsidR="00175338">
        <w:rPr>
          <w:rFonts w:ascii="Times New Roman" w:hAnsi="Times New Roman"/>
          <w:sz w:val="24"/>
        </w:rPr>
        <w:t xml:space="preserve"> </w:t>
      </w:r>
      <w:r w:rsidRPr="003B6380">
        <w:rPr>
          <w:rFonts w:ascii="Times New Roman" w:hAnsi="Times New Roman"/>
          <w:sz w:val="24"/>
        </w:rPr>
        <w:t xml:space="preserve">Act provides HUD with additional flexibility to choose the most cost-effective methods of paying insurance claims and disposing of acquired notes or properties under the FHA </w:t>
      </w:r>
      <w:r w:rsidR="00175338">
        <w:rPr>
          <w:rFonts w:ascii="Times New Roman" w:hAnsi="Times New Roman"/>
          <w:sz w:val="24"/>
        </w:rPr>
        <w:t>S</w:t>
      </w:r>
      <w:r w:rsidRPr="003B6380">
        <w:rPr>
          <w:rFonts w:ascii="Times New Roman" w:hAnsi="Times New Roman"/>
          <w:sz w:val="24"/>
        </w:rPr>
        <w:t>ingle</w:t>
      </w:r>
      <w:r w:rsidR="00175338">
        <w:rPr>
          <w:rFonts w:ascii="Times New Roman" w:hAnsi="Times New Roman"/>
          <w:sz w:val="24"/>
        </w:rPr>
        <w:t xml:space="preserve"> F</w:t>
      </w:r>
      <w:r w:rsidRPr="003B6380">
        <w:rPr>
          <w:rFonts w:ascii="Times New Roman" w:hAnsi="Times New Roman"/>
          <w:sz w:val="24"/>
        </w:rPr>
        <w:t xml:space="preserve">amily programs.  The ACD program allows for the sale to HUD of defaulted mortgage notes with a high potential for foreclosure, </w:t>
      </w:r>
      <w:r w:rsidR="00175338">
        <w:rPr>
          <w:rFonts w:ascii="Times New Roman" w:hAnsi="Times New Roman"/>
          <w:sz w:val="24"/>
        </w:rPr>
        <w:t xml:space="preserve">thereby </w:t>
      </w:r>
      <w:r w:rsidRPr="003B6380">
        <w:rPr>
          <w:rFonts w:ascii="Times New Roman" w:hAnsi="Times New Roman"/>
          <w:sz w:val="24"/>
        </w:rPr>
        <w:t xml:space="preserve">resulting in payment of the full legal debt.  The </w:t>
      </w:r>
      <w:r w:rsidR="00E2749E">
        <w:rPr>
          <w:rFonts w:ascii="Times New Roman" w:hAnsi="Times New Roman"/>
          <w:sz w:val="24"/>
        </w:rPr>
        <w:t>1999 Appropriations</w:t>
      </w:r>
      <w:r w:rsidRPr="003B6380" w:rsidR="00E2749E">
        <w:rPr>
          <w:rFonts w:ascii="Times New Roman" w:hAnsi="Times New Roman"/>
          <w:sz w:val="24"/>
        </w:rPr>
        <w:t xml:space="preserve"> </w:t>
      </w:r>
      <w:r w:rsidR="00E2749E">
        <w:rPr>
          <w:rFonts w:ascii="Times New Roman" w:hAnsi="Times New Roman"/>
          <w:sz w:val="24"/>
        </w:rPr>
        <w:t>A</w:t>
      </w:r>
      <w:r w:rsidRPr="003B6380">
        <w:rPr>
          <w:rFonts w:ascii="Times New Roman" w:hAnsi="Times New Roman"/>
          <w:sz w:val="24"/>
        </w:rPr>
        <w:t>ct authorizes HUD to take assignment of notes and transfer them to private parties for servicing, foreclosure avoidance, property management, and asset disposition. Section 601(d)</w:t>
      </w:r>
      <w:r w:rsidR="00E2749E">
        <w:rPr>
          <w:rFonts w:ascii="Times New Roman" w:hAnsi="Times New Roman"/>
          <w:sz w:val="24"/>
        </w:rPr>
        <w:t xml:space="preserve"> of the</w:t>
      </w:r>
      <w:r w:rsidRPr="003B6380">
        <w:rPr>
          <w:rFonts w:ascii="Times New Roman" w:hAnsi="Times New Roman"/>
          <w:sz w:val="24"/>
        </w:rPr>
        <w:t xml:space="preserve"> </w:t>
      </w:r>
      <w:r w:rsidR="00E2749E">
        <w:rPr>
          <w:rFonts w:ascii="Times New Roman" w:hAnsi="Times New Roman"/>
          <w:sz w:val="24"/>
        </w:rPr>
        <w:t>1999 Appropriations Act</w:t>
      </w:r>
      <w:r w:rsidRPr="003B6380" w:rsidR="00E2749E">
        <w:rPr>
          <w:rFonts w:ascii="Times New Roman" w:hAnsi="Times New Roman"/>
          <w:sz w:val="24"/>
        </w:rPr>
        <w:t xml:space="preserve"> </w:t>
      </w:r>
      <w:r w:rsidRPr="003B6380">
        <w:rPr>
          <w:rFonts w:ascii="Times New Roman" w:hAnsi="Times New Roman"/>
          <w:sz w:val="24"/>
        </w:rPr>
        <w:t xml:space="preserve">amends Section 204(g) of the Act to allow a structured financing for asset disposition in which HUD retains an equity interest.  This authority for HUD to be an equity participant in private entities, </w:t>
      </w:r>
      <w:r w:rsidR="00E2749E">
        <w:rPr>
          <w:rFonts w:ascii="Times New Roman" w:hAnsi="Times New Roman"/>
          <w:sz w:val="24"/>
        </w:rPr>
        <w:t>like</w:t>
      </w:r>
      <w:r w:rsidRPr="003B6380">
        <w:rPr>
          <w:rFonts w:ascii="Times New Roman" w:hAnsi="Times New Roman"/>
          <w:sz w:val="24"/>
        </w:rPr>
        <w:t xml:space="preserve"> the FHA multifamily disposition program, has the potential to increase the value of the assets and</w:t>
      </w:r>
      <w:r w:rsidR="00E2749E">
        <w:rPr>
          <w:rFonts w:ascii="Times New Roman" w:hAnsi="Times New Roman"/>
          <w:sz w:val="24"/>
        </w:rPr>
        <w:t>,</w:t>
      </w:r>
      <w:r w:rsidRPr="003B6380">
        <w:rPr>
          <w:rFonts w:ascii="Times New Roman" w:hAnsi="Times New Roman"/>
          <w:sz w:val="24"/>
        </w:rPr>
        <w:t xml:space="preserve"> therefore</w:t>
      </w:r>
      <w:r w:rsidR="00E2749E">
        <w:rPr>
          <w:rFonts w:ascii="Times New Roman" w:hAnsi="Times New Roman"/>
          <w:sz w:val="24"/>
        </w:rPr>
        <w:t>,</w:t>
      </w:r>
      <w:r w:rsidRPr="003B6380">
        <w:rPr>
          <w:rFonts w:ascii="Times New Roman" w:hAnsi="Times New Roman"/>
          <w:sz w:val="24"/>
        </w:rPr>
        <w:t xml:space="preserve"> the return to FHA.  FHA has adopted a program that will take advantage of the authority granted in this legislation.  The objective of the program is to maximize the sales proceed</w:t>
      </w:r>
      <w:r w:rsidR="00E2749E">
        <w:rPr>
          <w:rFonts w:ascii="Times New Roman" w:hAnsi="Times New Roman"/>
          <w:sz w:val="24"/>
        </w:rPr>
        <w:t>s</w:t>
      </w:r>
      <w:r w:rsidRPr="003B6380">
        <w:rPr>
          <w:rFonts w:ascii="Times New Roman" w:hAnsi="Times New Roman"/>
          <w:sz w:val="24"/>
        </w:rPr>
        <w:t xml:space="preserve"> to FHA and ensure the FHA’s public policy issues are addressed while disposing of the assets in the most efficient manner.</w:t>
      </w:r>
    </w:p>
    <w:p w:rsidR="00494C86" w:rsidP="003B6380" w:rsidRDefault="00494C86" w14:paraId="226E9BD1" w14:textId="085C6E68">
      <w:pPr>
        <w:overflowPunct w:val="0"/>
        <w:autoSpaceDE w:val="0"/>
        <w:autoSpaceDN w:val="0"/>
        <w:adjustRightInd w:val="0"/>
        <w:spacing w:after="0" w:line="240" w:lineRule="auto"/>
        <w:textAlignment w:val="baseline"/>
        <w:rPr>
          <w:rFonts w:ascii="Times New Roman" w:hAnsi="Times New Roman"/>
          <w:sz w:val="24"/>
        </w:rPr>
      </w:pPr>
    </w:p>
    <w:p w:rsidRPr="00615C38" w:rsidR="00494C86" w:rsidP="00494C86" w:rsidRDefault="00494C86" w14:paraId="05ED64CF" w14:textId="20446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sidRPr="00615C38">
        <w:rPr>
          <w:rFonts w:ascii="Times New Roman" w:hAnsi="Times New Roman" w:cs="Times New Roman"/>
          <w:b/>
          <w:bCs/>
          <w:sz w:val="24"/>
        </w:rPr>
        <w:t xml:space="preserve">Form HUD-50012, </w:t>
      </w:r>
      <w:r w:rsidRPr="00615C38">
        <w:rPr>
          <w:rFonts w:ascii="Times New Roman" w:hAnsi="Times New Roman" w:cs="Times New Roman"/>
          <w:b/>
          <w:bCs/>
          <w:i/>
          <w:iCs/>
          <w:sz w:val="24"/>
        </w:rPr>
        <w:t>Mortgagee’s Request for Extensions of Time</w:t>
      </w:r>
      <w:r w:rsidRPr="00615C38">
        <w:rPr>
          <w:rFonts w:ascii="Times New Roman" w:hAnsi="Times New Roman" w:cs="Times New Roman"/>
          <w:b/>
          <w:bCs/>
          <w:sz w:val="24"/>
        </w:rPr>
        <w:t xml:space="preserve"> </w:t>
      </w:r>
    </w:p>
    <w:p w:rsidR="00494C86" w:rsidP="00B15F61" w:rsidRDefault="00615C38" w14:paraId="44142BB8" w14:textId="4CA1B753">
      <w:pPr>
        <w:pStyle w:val="ListParagraph"/>
        <w:keepLines/>
        <w:ind w:left="0"/>
        <w:rPr>
          <w:sz w:val="24"/>
          <w:szCs w:val="24"/>
        </w:rPr>
      </w:pPr>
      <w:r>
        <w:rPr>
          <w:sz w:val="24"/>
        </w:rPr>
        <w:t>R</w:t>
      </w:r>
      <w:r w:rsidRPr="00615C38" w:rsidR="00494C86">
        <w:rPr>
          <w:bCs/>
          <w:sz w:val="24"/>
        </w:rPr>
        <w:t>equest</w:t>
      </w:r>
      <w:r>
        <w:rPr>
          <w:bCs/>
          <w:sz w:val="24"/>
        </w:rPr>
        <w:t>s</w:t>
      </w:r>
      <w:r w:rsidRPr="00615C38" w:rsidR="00494C86">
        <w:rPr>
          <w:bCs/>
          <w:sz w:val="24"/>
        </w:rPr>
        <w:t xml:space="preserve"> for extensions of time </w:t>
      </w:r>
      <w:r w:rsidRPr="00615C38" w:rsidR="00494C86">
        <w:rPr>
          <w:sz w:val="24"/>
        </w:rPr>
        <w:t xml:space="preserve">are found at 24 CFR 203.355, </w:t>
      </w:r>
      <w:r>
        <w:rPr>
          <w:sz w:val="24"/>
        </w:rPr>
        <w:t>203.</w:t>
      </w:r>
      <w:r w:rsidRPr="00615C38" w:rsidR="00494C86">
        <w:rPr>
          <w:sz w:val="24"/>
        </w:rPr>
        <w:t xml:space="preserve">357, </w:t>
      </w:r>
      <w:r>
        <w:rPr>
          <w:sz w:val="24"/>
        </w:rPr>
        <w:t>203.</w:t>
      </w:r>
      <w:r w:rsidRPr="00615C38" w:rsidR="00494C86">
        <w:rPr>
          <w:sz w:val="24"/>
        </w:rPr>
        <w:t xml:space="preserve">359, </w:t>
      </w:r>
      <w:r>
        <w:rPr>
          <w:sz w:val="24"/>
        </w:rPr>
        <w:t>203.</w:t>
      </w:r>
      <w:r w:rsidRPr="00615C38" w:rsidR="00494C86">
        <w:rPr>
          <w:sz w:val="24"/>
        </w:rPr>
        <w:t>363</w:t>
      </w:r>
      <w:r w:rsidR="008E5970">
        <w:rPr>
          <w:sz w:val="24"/>
        </w:rPr>
        <w:t>,</w:t>
      </w:r>
      <w:r w:rsidRPr="00615C38" w:rsidR="00494C86">
        <w:rPr>
          <w:sz w:val="24"/>
        </w:rPr>
        <w:t xml:space="preserve"> and </w:t>
      </w:r>
      <w:r>
        <w:rPr>
          <w:sz w:val="24"/>
        </w:rPr>
        <w:t>203.</w:t>
      </w:r>
      <w:r w:rsidRPr="00615C38" w:rsidR="00494C86">
        <w:rPr>
          <w:sz w:val="24"/>
        </w:rPr>
        <w:t xml:space="preserve">365.  FHA Mortgagees submit </w:t>
      </w:r>
      <w:r w:rsidRPr="00615C38" w:rsidR="00494C86">
        <w:rPr>
          <w:i/>
          <w:iCs/>
          <w:sz w:val="24"/>
        </w:rPr>
        <w:t xml:space="preserve">Mortgagee’s Request for Extensions of Time </w:t>
      </w:r>
      <w:r w:rsidRPr="00615C38" w:rsidR="00494C86">
        <w:rPr>
          <w:sz w:val="24"/>
        </w:rPr>
        <w:t xml:space="preserve">electronically into HUD’s </w:t>
      </w:r>
      <w:r w:rsidR="002A43CD">
        <w:rPr>
          <w:sz w:val="24"/>
        </w:rPr>
        <w:t>I</w:t>
      </w:r>
      <w:r w:rsidRPr="00615C38" w:rsidR="00494C86">
        <w:rPr>
          <w:sz w:val="24"/>
        </w:rPr>
        <w:t>nternet</w:t>
      </w:r>
      <w:r w:rsidR="008E5970">
        <w:rPr>
          <w:sz w:val="24"/>
        </w:rPr>
        <w:t>-</w:t>
      </w:r>
      <w:r w:rsidRPr="00615C38" w:rsidR="00494C86">
        <w:rPr>
          <w:sz w:val="24"/>
        </w:rPr>
        <w:t xml:space="preserve">based electronic systems of record: Extensions and Variances </w:t>
      </w:r>
      <w:r w:rsidR="002A43CD">
        <w:rPr>
          <w:sz w:val="24"/>
        </w:rPr>
        <w:t xml:space="preserve">Automated </w:t>
      </w:r>
      <w:r w:rsidRPr="00615C38" w:rsidR="00494C86">
        <w:rPr>
          <w:sz w:val="24"/>
        </w:rPr>
        <w:t xml:space="preserve">Requests System (EVARS) or </w:t>
      </w:r>
      <w:r w:rsidR="002A43CD">
        <w:rPr>
          <w:sz w:val="24"/>
        </w:rPr>
        <w:t>Asset Disposition and Management Syste</w:t>
      </w:r>
      <w:r w:rsidR="00B15F61">
        <w:rPr>
          <w:sz w:val="24"/>
        </w:rPr>
        <w:t>m (ADAMS/</w:t>
      </w:r>
      <w:r w:rsidRPr="00615C38" w:rsidR="00494C86">
        <w:rPr>
          <w:sz w:val="24"/>
          <w:szCs w:val="24"/>
        </w:rPr>
        <w:t>P260</w:t>
      </w:r>
      <w:r w:rsidR="00B15F61">
        <w:rPr>
          <w:sz w:val="24"/>
          <w:szCs w:val="24"/>
        </w:rPr>
        <w:t>)</w:t>
      </w:r>
      <w:r w:rsidRPr="00615C38" w:rsidR="00494C86">
        <w:rPr>
          <w:sz w:val="24"/>
          <w:szCs w:val="24"/>
        </w:rPr>
        <w:t xml:space="preserve"> </w:t>
      </w:r>
      <w:r w:rsidRPr="00615C38" w:rsidR="00494C86">
        <w:rPr>
          <w:sz w:val="24"/>
        </w:rPr>
        <w:t>if it is not possible to take certain actions within specific time limitations.  If HUD finds after notice of default that the de</w:t>
      </w:r>
      <w:r w:rsidR="00B15F61">
        <w:rPr>
          <w:sz w:val="24"/>
        </w:rPr>
        <w:t>lay</w:t>
      </w:r>
      <w:r w:rsidRPr="00615C38" w:rsidR="00494C86">
        <w:rPr>
          <w:sz w:val="24"/>
        </w:rPr>
        <w:t xml:space="preserve"> was due to circumstances beyond the control of the Mortgagee, HUD may, upon such terms and conditions as prescribed, approve the request of the Mortgagee for an extension of the time for curing the default</w:t>
      </w:r>
      <w:r w:rsidR="00B15F61">
        <w:rPr>
          <w:sz w:val="24"/>
        </w:rPr>
        <w:t>,</w:t>
      </w:r>
      <w:r w:rsidRPr="00615C38" w:rsidR="00494C86">
        <w:rPr>
          <w:sz w:val="24"/>
        </w:rPr>
        <w:t xml:space="preserve"> commencing foreclosure proceedings</w:t>
      </w:r>
      <w:r w:rsidR="00B15F61">
        <w:rPr>
          <w:sz w:val="24"/>
        </w:rPr>
        <w:t>,</w:t>
      </w:r>
      <w:r w:rsidRPr="00615C38" w:rsidR="00494C86">
        <w:rPr>
          <w:sz w:val="24"/>
        </w:rPr>
        <w:t xml:space="preserve"> or acquiring title to the mortgaged property.  This information collection is used by HUD to evaluate </w:t>
      </w:r>
      <w:r w:rsidR="00B15F61">
        <w:rPr>
          <w:sz w:val="24"/>
        </w:rPr>
        <w:t xml:space="preserve">and respond to </w:t>
      </w:r>
      <w:r w:rsidRPr="00615C38" w:rsidR="00494C86">
        <w:rPr>
          <w:sz w:val="24"/>
        </w:rPr>
        <w:t xml:space="preserve">requests for extensions of regulatory time limits within which specific foreclosure processing steps must be taken.  The request for an extension of time must be </w:t>
      </w:r>
      <w:r w:rsidRPr="00615C38" w:rsidR="00B15F61">
        <w:rPr>
          <w:sz w:val="24"/>
          <w:szCs w:val="24"/>
        </w:rPr>
        <w:t>submitted electronically</w:t>
      </w:r>
      <w:r w:rsidRPr="00615C38" w:rsidR="00B15F61">
        <w:rPr>
          <w:sz w:val="24"/>
        </w:rPr>
        <w:t xml:space="preserve"> </w:t>
      </w:r>
      <w:r w:rsidR="00B15F61">
        <w:rPr>
          <w:sz w:val="24"/>
        </w:rPr>
        <w:t xml:space="preserve">and </w:t>
      </w:r>
      <w:r w:rsidRPr="00615C38" w:rsidR="00494C86">
        <w:rPr>
          <w:sz w:val="24"/>
        </w:rPr>
        <w:t xml:space="preserve">filed with </w:t>
      </w:r>
      <w:r w:rsidRPr="00615C38" w:rsidR="00494C86">
        <w:rPr>
          <w:sz w:val="24"/>
          <w:szCs w:val="24"/>
        </w:rPr>
        <w:t xml:space="preserve">HUD prior to the expiration of the due diligence time frames. Mortgagees may provide </w:t>
      </w:r>
      <w:r w:rsidR="00B15F61">
        <w:rPr>
          <w:sz w:val="24"/>
          <w:szCs w:val="24"/>
        </w:rPr>
        <w:t xml:space="preserve">the </w:t>
      </w:r>
      <w:r w:rsidRPr="00615C38" w:rsidR="00494C86">
        <w:rPr>
          <w:sz w:val="24"/>
          <w:szCs w:val="24"/>
        </w:rPr>
        <w:t>print</w:t>
      </w:r>
      <w:r w:rsidR="00B15F61">
        <w:rPr>
          <w:sz w:val="24"/>
          <w:szCs w:val="24"/>
        </w:rPr>
        <w:t>-</w:t>
      </w:r>
      <w:r w:rsidRPr="00615C38" w:rsidR="00494C86">
        <w:rPr>
          <w:sz w:val="24"/>
          <w:szCs w:val="24"/>
        </w:rPr>
        <w:t>out from EVARS of the supporting documentation for all automatic extensions and the printout of the MCM</w:t>
      </w:r>
      <w:r w:rsidR="00B15F61">
        <w:rPr>
          <w:sz w:val="24"/>
          <w:szCs w:val="24"/>
        </w:rPr>
        <w:t xml:space="preserve"> contractor</w:t>
      </w:r>
      <w:r w:rsidRPr="00615C38" w:rsidR="00494C86">
        <w:rPr>
          <w:sz w:val="24"/>
          <w:szCs w:val="24"/>
        </w:rPr>
        <w:t xml:space="preserve">’s approval (form HUD-50012) from </w:t>
      </w:r>
      <w:r w:rsidR="00B15F61">
        <w:rPr>
          <w:sz w:val="24"/>
          <w:szCs w:val="24"/>
        </w:rPr>
        <w:t>ADAMS/</w:t>
      </w:r>
      <w:r w:rsidRPr="00615C38" w:rsidR="00494C86">
        <w:rPr>
          <w:sz w:val="24"/>
          <w:szCs w:val="24"/>
        </w:rPr>
        <w:t>P260 or support for the Single</w:t>
      </w:r>
      <w:r w:rsidR="008E5970">
        <w:rPr>
          <w:sz w:val="24"/>
          <w:szCs w:val="24"/>
        </w:rPr>
        <w:t>-</w:t>
      </w:r>
      <w:r w:rsidRPr="00615C38" w:rsidR="00494C86">
        <w:rPr>
          <w:sz w:val="24"/>
          <w:szCs w:val="24"/>
        </w:rPr>
        <w:t>Family Loan Sale (SFLS) Claim Identification Date</w:t>
      </w:r>
      <w:r w:rsidRPr="00615C38" w:rsidR="00494C86">
        <w:rPr>
          <w:color w:val="000000"/>
          <w:sz w:val="24"/>
          <w:szCs w:val="24"/>
        </w:rPr>
        <w:t xml:space="preserve">.  </w:t>
      </w:r>
    </w:p>
    <w:p w:rsidRPr="00B15F61" w:rsidR="00B15F61" w:rsidP="00B15F61" w:rsidRDefault="00B15F61" w14:paraId="2FD55F0E" w14:textId="77777777">
      <w:pPr>
        <w:pStyle w:val="ListParagraph"/>
        <w:keepLines/>
        <w:ind w:left="0"/>
        <w:rPr>
          <w:sz w:val="24"/>
          <w:szCs w:val="24"/>
        </w:rPr>
      </w:pPr>
    </w:p>
    <w:p w:rsidRPr="00921C7E" w:rsidR="00494C86" w:rsidP="00494C86" w:rsidRDefault="00494C86" w14:paraId="54DDFAD3" w14:textId="16572E33">
      <w:pPr>
        <w:pStyle w:val="ListParagraph"/>
        <w:keepLines/>
        <w:ind w:left="0"/>
        <w:rPr>
          <w:sz w:val="24"/>
          <w:szCs w:val="24"/>
        </w:rPr>
      </w:pPr>
      <w:r w:rsidRPr="00921C7E">
        <w:rPr>
          <w:sz w:val="24"/>
          <w:szCs w:val="24"/>
        </w:rPr>
        <w:t xml:space="preserve">The electronic form is submitted through </w:t>
      </w:r>
      <w:r w:rsidR="00921C7E">
        <w:rPr>
          <w:sz w:val="24"/>
          <w:szCs w:val="24"/>
        </w:rPr>
        <w:t>ADAMS/</w:t>
      </w:r>
      <w:r w:rsidRPr="00921C7E">
        <w:rPr>
          <w:sz w:val="24"/>
          <w:szCs w:val="24"/>
        </w:rPr>
        <w:t>P260 to the MCM</w:t>
      </w:r>
      <w:r w:rsidR="00921C7E">
        <w:rPr>
          <w:sz w:val="24"/>
          <w:szCs w:val="24"/>
        </w:rPr>
        <w:t xml:space="preserve"> contractor</w:t>
      </w:r>
      <w:r w:rsidRPr="00921C7E">
        <w:rPr>
          <w:sz w:val="24"/>
          <w:szCs w:val="24"/>
        </w:rPr>
        <w:t xml:space="preserve"> </w:t>
      </w:r>
      <w:r w:rsidR="00921C7E">
        <w:rPr>
          <w:sz w:val="24"/>
          <w:szCs w:val="24"/>
        </w:rPr>
        <w:t>wh</w:t>
      </w:r>
      <w:r w:rsidRPr="00921C7E">
        <w:rPr>
          <w:sz w:val="24"/>
          <w:szCs w:val="24"/>
        </w:rPr>
        <w:t>o</w:t>
      </w:r>
      <w:r w:rsidR="00921C7E">
        <w:rPr>
          <w:sz w:val="24"/>
          <w:szCs w:val="24"/>
        </w:rPr>
        <w:t xml:space="preserve"> </w:t>
      </w:r>
      <w:r w:rsidRPr="00921C7E">
        <w:rPr>
          <w:sz w:val="24"/>
          <w:szCs w:val="24"/>
        </w:rPr>
        <w:t xml:space="preserve">documents its decision on the electronic form, and it is returned to the Mortgagee through </w:t>
      </w:r>
      <w:r w:rsidR="00921C7E">
        <w:rPr>
          <w:sz w:val="24"/>
          <w:szCs w:val="24"/>
        </w:rPr>
        <w:t>ADAMS/</w:t>
      </w:r>
      <w:r w:rsidRPr="00921C7E">
        <w:rPr>
          <w:sz w:val="24"/>
          <w:szCs w:val="24"/>
        </w:rPr>
        <w:t>P260</w:t>
      </w:r>
      <w:r w:rsidR="00921C7E">
        <w:rPr>
          <w:sz w:val="24"/>
          <w:szCs w:val="24"/>
        </w:rPr>
        <w:t>,</w:t>
      </w:r>
      <w:r w:rsidRPr="00921C7E">
        <w:rPr>
          <w:sz w:val="24"/>
          <w:szCs w:val="24"/>
        </w:rPr>
        <w:t xml:space="preserve"> who maintains the approved or denied request in the claim file.  This single form documents both the request for extension and HUD’s approval or denial and is easily maintained in the Mortgagee’s claim file.  </w:t>
      </w:r>
    </w:p>
    <w:p w:rsidRPr="00921C7E" w:rsidR="00494C86" w:rsidP="00494C86" w:rsidRDefault="00494C86" w14:paraId="62EC4758" w14:textId="77777777">
      <w:pPr>
        <w:spacing w:after="0" w:line="240" w:lineRule="auto"/>
        <w:ind w:left="360"/>
        <w:rPr>
          <w:rFonts w:ascii="Times New Roman" w:hAnsi="Times New Roman"/>
          <w:sz w:val="24"/>
          <w:szCs w:val="24"/>
        </w:rPr>
      </w:pPr>
    </w:p>
    <w:p w:rsidR="00494C86" w:rsidP="00494C86" w:rsidRDefault="00494C86" w14:paraId="1D79DAE1" w14:textId="2871A485">
      <w:pPr>
        <w:spacing w:after="0" w:line="240" w:lineRule="auto"/>
        <w:rPr>
          <w:rFonts w:ascii="Times New Roman" w:hAnsi="Times New Roman"/>
          <w:sz w:val="24"/>
          <w:szCs w:val="24"/>
        </w:rPr>
      </w:pPr>
      <w:r w:rsidRPr="00921C7E">
        <w:rPr>
          <w:rFonts w:ascii="Times New Roman" w:hAnsi="Times New Roman"/>
          <w:sz w:val="24"/>
          <w:szCs w:val="24"/>
        </w:rPr>
        <w:t>Form HUD</w:t>
      </w:r>
      <w:r w:rsidR="00992568">
        <w:rPr>
          <w:rFonts w:ascii="Times New Roman" w:hAnsi="Times New Roman"/>
          <w:sz w:val="24"/>
          <w:szCs w:val="24"/>
        </w:rPr>
        <w:t>-</w:t>
      </w:r>
      <w:r w:rsidRPr="00921C7E">
        <w:rPr>
          <w:rFonts w:ascii="Times New Roman" w:hAnsi="Times New Roman"/>
          <w:sz w:val="24"/>
          <w:szCs w:val="24"/>
        </w:rPr>
        <w:t xml:space="preserve">50012, </w:t>
      </w:r>
      <w:r w:rsidRPr="00921C7E">
        <w:rPr>
          <w:rFonts w:ascii="Times New Roman" w:hAnsi="Times New Roman"/>
          <w:i/>
          <w:iCs/>
          <w:sz w:val="24"/>
        </w:rPr>
        <w:t>Mortgagee’s Request for Extensions of Time</w:t>
      </w:r>
      <w:r w:rsidR="00992568">
        <w:rPr>
          <w:rFonts w:ascii="Times New Roman" w:hAnsi="Times New Roman"/>
          <w:i/>
          <w:iCs/>
          <w:sz w:val="24"/>
        </w:rPr>
        <w:t>,</w:t>
      </w:r>
      <w:r w:rsidRPr="00921C7E">
        <w:rPr>
          <w:rFonts w:ascii="Times New Roman" w:hAnsi="Times New Roman"/>
          <w:sz w:val="24"/>
          <w:szCs w:val="24"/>
        </w:rPr>
        <w:t xml:space="preserve"> is a multi-use form</w:t>
      </w:r>
      <w:r w:rsidR="008034EE">
        <w:rPr>
          <w:rFonts w:ascii="Times New Roman" w:hAnsi="Times New Roman"/>
          <w:sz w:val="24"/>
          <w:szCs w:val="24"/>
        </w:rPr>
        <w:t xml:space="preserve"> </w:t>
      </w:r>
      <w:r w:rsidRPr="00921C7E">
        <w:rPr>
          <w:rFonts w:ascii="Times New Roman" w:hAnsi="Times New Roman"/>
          <w:sz w:val="24"/>
          <w:szCs w:val="24"/>
        </w:rPr>
        <w:t>where Home Equity Conversion Mortgage (HECM) program information collection is reported under existing OMB control number 2502-0611.</w:t>
      </w:r>
    </w:p>
    <w:p w:rsidR="00FF3987" w:rsidP="00FF3987" w:rsidRDefault="00FF3987" w14:paraId="3779C319" w14:textId="77777777">
      <w:pPr>
        <w:spacing w:after="0" w:line="240" w:lineRule="auto"/>
        <w:rPr>
          <w:rFonts w:ascii="Times New Roman" w:hAnsi="Times New Roman"/>
          <w:b/>
          <w:bCs/>
          <w:sz w:val="24"/>
        </w:rPr>
      </w:pPr>
    </w:p>
    <w:p w:rsidR="00075224" w:rsidP="00075224" w:rsidRDefault="00075224" w14:paraId="55864CC9" w14:textId="7033DD5A">
      <w:pPr>
        <w:rPr>
          <w:rFonts w:ascii="Times New Roman" w:hAnsi="Times New Roman"/>
          <w:sz w:val="24"/>
          <w:szCs w:val="24"/>
        </w:rPr>
      </w:pPr>
      <w:r w:rsidRPr="00575D07">
        <w:rPr>
          <w:rFonts w:ascii="Times New Roman" w:hAnsi="Times New Roman"/>
          <w:sz w:val="24"/>
          <w:szCs w:val="24"/>
        </w:rPr>
        <w:t xml:space="preserve">3. </w:t>
      </w:r>
      <w:r w:rsidRPr="006D121C">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6D121C" w:rsidR="008034EE">
        <w:rPr>
          <w:rFonts w:ascii="Times New Roman" w:hAnsi="Times New Roman"/>
          <w:b/>
          <w:bCs/>
          <w:sz w:val="24"/>
          <w:szCs w:val="24"/>
        </w:rPr>
        <w:t>,</w:t>
      </w:r>
      <w:r w:rsidRPr="006D121C">
        <w:rPr>
          <w:rFonts w:ascii="Times New Roman" w:hAnsi="Times New Roman"/>
          <w:b/>
          <w:bCs/>
          <w:sz w:val="24"/>
          <w:szCs w:val="24"/>
        </w:rPr>
        <w:t xml:space="preserve"> describe any consideration of using information technology to reduce burden.</w:t>
      </w:r>
      <w:r w:rsidRPr="00575D07">
        <w:rPr>
          <w:rFonts w:ascii="Times New Roman" w:hAnsi="Times New Roman"/>
          <w:sz w:val="24"/>
          <w:szCs w:val="24"/>
        </w:rPr>
        <w:t xml:space="preserve"> </w:t>
      </w:r>
    </w:p>
    <w:p w:rsidR="00206F63" w:rsidP="00075224" w:rsidRDefault="001559C0" w14:paraId="4084AE8C" w14:textId="3FE0D198">
      <w:pPr>
        <w:rPr>
          <w:rFonts w:ascii="Times New Roman" w:hAnsi="Times New Roman"/>
          <w:sz w:val="24"/>
          <w:szCs w:val="24"/>
        </w:rPr>
      </w:pPr>
      <w:r>
        <w:rPr>
          <w:rFonts w:ascii="Times New Roman" w:hAnsi="Times New Roman"/>
          <w:sz w:val="24"/>
          <w:szCs w:val="24"/>
        </w:rPr>
        <w:lastRenderedPageBreak/>
        <w:t>Mortgagee</w:t>
      </w:r>
      <w:r w:rsidRPr="00206F63" w:rsidR="00206F63">
        <w:rPr>
          <w:rFonts w:ascii="Times New Roman" w:hAnsi="Times New Roman"/>
          <w:sz w:val="24"/>
          <w:szCs w:val="24"/>
        </w:rPr>
        <w:t xml:space="preserve">s </w:t>
      </w:r>
      <w:r w:rsidR="001A7307">
        <w:rPr>
          <w:rFonts w:ascii="Times New Roman" w:hAnsi="Times New Roman"/>
          <w:sz w:val="24"/>
          <w:szCs w:val="24"/>
        </w:rPr>
        <w:t>include</w:t>
      </w:r>
      <w:r w:rsidR="00A26C3F">
        <w:rPr>
          <w:rFonts w:ascii="Times New Roman" w:hAnsi="Times New Roman"/>
          <w:sz w:val="24"/>
          <w:szCs w:val="24"/>
        </w:rPr>
        <w:t xml:space="preserve"> </w:t>
      </w:r>
      <w:r w:rsidRPr="00206F63" w:rsidR="00206F63">
        <w:rPr>
          <w:rFonts w:ascii="Times New Roman" w:hAnsi="Times New Roman"/>
          <w:sz w:val="24"/>
          <w:szCs w:val="24"/>
        </w:rPr>
        <w:t>large, medium</w:t>
      </w:r>
      <w:r w:rsidR="00B6357A">
        <w:rPr>
          <w:rFonts w:ascii="Times New Roman" w:hAnsi="Times New Roman"/>
          <w:sz w:val="24"/>
          <w:szCs w:val="24"/>
        </w:rPr>
        <w:t>,</w:t>
      </w:r>
      <w:r w:rsidRPr="00206F63" w:rsidR="00206F63">
        <w:rPr>
          <w:rFonts w:ascii="Times New Roman" w:hAnsi="Times New Roman"/>
          <w:sz w:val="24"/>
          <w:szCs w:val="24"/>
        </w:rPr>
        <w:t xml:space="preserve"> and small</w:t>
      </w:r>
      <w:r w:rsidR="00322892">
        <w:rPr>
          <w:rFonts w:ascii="Times New Roman" w:hAnsi="Times New Roman"/>
          <w:sz w:val="24"/>
          <w:szCs w:val="24"/>
        </w:rPr>
        <w:t xml:space="preserve"> mortgag</w:t>
      </w:r>
      <w:r w:rsidRPr="00206F63" w:rsidR="00206F63">
        <w:rPr>
          <w:rFonts w:ascii="Times New Roman" w:hAnsi="Times New Roman"/>
          <w:sz w:val="24"/>
          <w:szCs w:val="24"/>
        </w:rPr>
        <w:t xml:space="preserve">e </w:t>
      </w:r>
      <w:r w:rsidR="002D24B0">
        <w:rPr>
          <w:rFonts w:ascii="Times New Roman" w:hAnsi="Times New Roman"/>
          <w:sz w:val="24"/>
          <w:szCs w:val="24"/>
        </w:rPr>
        <w:t>loan lenders</w:t>
      </w:r>
      <w:r w:rsidR="002B469A">
        <w:rPr>
          <w:rFonts w:ascii="Times New Roman" w:hAnsi="Times New Roman"/>
          <w:sz w:val="24"/>
          <w:szCs w:val="24"/>
        </w:rPr>
        <w:t xml:space="preserve"> </w:t>
      </w:r>
      <w:r w:rsidRPr="00206F63" w:rsidR="00206F63">
        <w:rPr>
          <w:rFonts w:ascii="Times New Roman" w:hAnsi="Times New Roman"/>
          <w:sz w:val="24"/>
          <w:szCs w:val="24"/>
        </w:rPr>
        <w:t>and servic</w:t>
      </w:r>
      <w:r w:rsidR="004A6E26">
        <w:rPr>
          <w:rFonts w:ascii="Times New Roman" w:hAnsi="Times New Roman"/>
          <w:sz w:val="24"/>
          <w:szCs w:val="24"/>
        </w:rPr>
        <w:t>ers</w:t>
      </w:r>
      <w:r w:rsidRPr="00206F63" w:rsidR="00206F63">
        <w:rPr>
          <w:rFonts w:ascii="Times New Roman" w:hAnsi="Times New Roman"/>
          <w:sz w:val="24"/>
          <w:szCs w:val="24"/>
        </w:rPr>
        <w:t xml:space="preserve">. The one thing these entities have in common is </w:t>
      </w:r>
      <w:r w:rsidR="00B6357A">
        <w:rPr>
          <w:rFonts w:ascii="Times New Roman" w:hAnsi="Times New Roman"/>
          <w:sz w:val="24"/>
          <w:szCs w:val="24"/>
        </w:rPr>
        <w:t xml:space="preserve">an </w:t>
      </w:r>
      <w:r w:rsidRPr="00206F63" w:rsidR="00206F63">
        <w:rPr>
          <w:rFonts w:ascii="Times New Roman" w:hAnsi="Times New Roman"/>
          <w:sz w:val="24"/>
          <w:szCs w:val="24"/>
        </w:rPr>
        <w:t xml:space="preserve">automated mortgage loan servicing platform that has the capability of servicing various types of loans and investors.  </w:t>
      </w:r>
      <w:r w:rsidR="00A1193F">
        <w:rPr>
          <w:rFonts w:ascii="Times New Roman" w:hAnsi="Times New Roman"/>
          <w:sz w:val="24"/>
          <w:szCs w:val="24"/>
        </w:rPr>
        <w:t>I</w:t>
      </w:r>
      <w:r w:rsidRPr="00206F63" w:rsidR="00206F63">
        <w:rPr>
          <w:rFonts w:ascii="Times New Roman" w:hAnsi="Times New Roman"/>
          <w:sz w:val="24"/>
          <w:szCs w:val="24"/>
        </w:rPr>
        <w:t xml:space="preserve">nformation is reported to HUD </w:t>
      </w:r>
      <w:proofErr w:type="gramStart"/>
      <w:r w:rsidRPr="00206F63" w:rsidR="00206F63">
        <w:rPr>
          <w:rFonts w:ascii="Times New Roman" w:hAnsi="Times New Roman"/>
          <w:sz w:val="24"/>
          <w:szCs w:val="24"/>
        </w:rPr>
        <w:t>on a monthly basis</w:t>
      </w:r>
      <w:proofErr w:type="gramEnd"/>
      <w:r w:rsidRPr="00206F63" w:rsidR="00206F63">
        <w:rPr>
          <w:rFonts w:ascii="Times New Roman" w:hAnsi="Times New Roman"/>
          <w:sz w:val="24"/>
          <w:szCs w:val="24"/>
        </w:rPr>
        <w:t xml:space="preserve"> through HUD’s electronic systems.  HUD has not mandated any specific format for collecting and maintaining the records.  The information is to be kept with similar </w:t>
      </w:r>
      <w:r>
        <w:rPr>
          <w:rFonts w:ascii="Times New Roman" w:hAnsi="Times New Roman"/>
          <w:sz w:val="24"/>
          <w:szCs w:val="24"/>
        </w:rPr>
        <w:t>Mortgagee</w:t>
      </w:r>
      <w:r w:rsidRPr="00206F63" w:rsidR="00206F63">
        <w:rPr>
          <w:rFonts w:ascii="Times New Roman" w:hAnsi="Times New Roman"/>
          <w:sz w:val="24"/>
          <w:szCs w:val="24"/>
        </w:rPr>
        <w:t xml:space="preserve"> documentation and submitted to HUD only if requested as a part of a review.  </w:t>
      </w:r>
      <w:r>
        <w:rPr>
          <w:rFonts w:ascii="Times New Roman" w:hAnsi="Times New Roman"/>
          <w:sz w:val="24"/>
          <w:szCs w:val="24"/>
        </w:rPr>
        <w:t>Mortgagee</w:t>
      </w:r>
      <w:r w:rsidRPr="00206F63" w:rsidR="00206F63">
        <w:rPr>
          <w:rFonts w:ascii="Times New Roman" w:hAnsi="Times New Roman"/>
          <w:sz w:val="24"/>
          <w:szCs w:val="24"/>
        </w:rPr>
        <w:t xml:space="preserve">s have the option to maintain mortgage loan documents in electronic or imaged format </w:t>
      </w:r>
      <w:r w:rsidR="0013508A">
        <w:rPr>
          <w:rFonts w:ascii="Times New Roman" w:hAnsi="Times New Roman"/>
          <w:sz w:val="24"/>
          <w:szCs w:val="24"/>
        </w:rPr>
        <w:t>if</w:t>
      </w:r>
      <w:r w:rsidRPr="00206F63" w:rsidR="00206F63">
        <w:rPr>
          <w:rFonts w:ascii="Times New Roman" w:hAnsi="Times New Roman"/>
          <w:sz w:val="24"/>
          <w:szCs w:val="24"/>
        </w:rPr>
        <w:t xml:space="preserve"> the mortgage insurance </w:t>
      </w:r>
      <w:r w:rsidR="00B6357A">
        <w:rPr>
          <w:rFonts w:ascii="Times New Roman" w:hAnsi="Times New Roman"/>
          <w:sz w:val="24"/>
          <w:szCs w:val="24"/>
        </w:rPr>
        <w:t>C</w:t>
      </w:r>
      <w:r w:rsidRPr="00206F63" w:rsidR="00206F63">
        <w:rPr>
          <w:rFonts w:ascii="Times New Roman" w:hAnsi="Times New Roman"/>
          <w:sz w:val="24"/>
          <w:szCs w:val="24"/>
        </w:rPr>
        <w:t xml:space="preserve">laim </w:t>
      </w:r>
      <w:r w:rsidR="00B6357A">
        <w:rPr>
          <w:rFonts w:ascii="Times New Roman" w:hAnsi="Times New Roman"/>
          <w:sz w:val="24"/>
          <w:szCs w:val="24"/>
        </w:rPr>
        <w:t>R</w:t>
      </w:r>
      <w:r w:rsidRPr="00206F63" w:rsidR="00206F63">
        <w:rPr>
          <w:rFonts w:ascii="Times New Roman" w:hAnsi="Times New Roman"/>
          <w:sz w:val="24"/>
          <w:szCs w:val="24"/>
        </w:rPr>
        <w:t xml:space="preserve">eview </w:t>
      </w:r>
      <w:r w:rsidR="00B6357A">
        <w:rPr>
          <w:rFonts w:ascii="Times New Roman" w:hAnsi="Times New Roman"/>
          <w:sz w:val="24"/>
          <w:szCs w:val="24"/>
        </w:rPr>
        <w:t>F</w:t>
      </w:r>
      <w:r w:rsidRPr="00206F63" w:rsidR="00206F63">
        <w:rPr>
          <w:rFonts w:ascii="Times New Roman" w:hAnsi="Times New Roman"/>
          <w:sz w:val="24"/>
          <w:szCs w:val="24"/>
        </w:rPr>
        <w:t xml:space="preserve">ile can be provided to HUD within 24 hours of the request, depending upon the documentation requested.   </w:t>
      </w:r>
    </w:p>
    <w:p w:rsidR="00D03138" w:rsidP="00075224" w:rsidRDefault="00D03138" w14:paraId="025598AC" w14:textId="666A6200">
      <w:pPr>
        <w:rPr>
          <w:rFonts w:ascii="Times New Roman" w:hAnsi="Times New Roman"/>
          <w:sz w:val="24"/>
          <w:szCs w:val="24"/>
        </w:rPr>
      </w:pPr>
      <w:r>
        <w:rPr>
          <w:rFonts w:ascii="Times New Roman" w:hAnsi="Times New Roman"/>
          <w:sz w:val="24"/>
          <w:szCs w:val="24"/>
        </w:rPr>
        <w:t>HUD is considering replacing its manual/paper method to submit claims to a digital claim submission method.</w:t>
      </w:r>
    </w:p>
    <w:p w:rsidR="00075224" w:rsidP="00075224" w:rsidRDefault="00075224" w14:paraId="1C3CA01A" w14:textId="6EA71ABC">
      <w:pPr>
        <w:rPr>
          <w:rFonts w:ascii="Times New Roman" w:hAnsi="Times New Roman"/>
          <w:sz w:val="24"/>
          <w:szCs w:val="24"/>
        </w:rPr>
      </w:pPr>
      <w:r w:rsidRPr="00575D07">
        <w:rPr>
          <w:rFonts w:ascii="Times New Roman" w:hAnsi="Times New Roman"/>
          <w:sz w:val="24"/>
          <w:szCs w:val="24"/>
        </w:rPr>
        <w:t xml:space="preserve">4. </w:t>
      </w:r>
      <w:r w:rsidRPr="006D121C">
        <w:rPr>
          <w:rFonts w:ascii="Times New Roman" w:hAnsi="Times New Roman"/>
          <w:b/>
          <w:bCs/>
          <w:sz w:val="24"/>
          <w:szCs w:val="24"/>
        </w:rPr>
        <w:t>Describe efforts to identify duplication. Show specifically why any similar information already available cannot be used or modified for use for the purposes described in Item 2 above.</w:t>
      </w:r>
      <w:r w:rsidRPr="00575D07">
        <w:rPr>
          <w:rFonts w:ascii="Times New Roman" w:hAnsi="Times New Roman"/>
          <w:sz w:val="24"/>
          <w:szCs w:val="24"/>
        </w:rPr>
        <w:t xml:space="preserve"> </w:t>
      </w:r>
    </w:p>
    <w:p w:rsidRPr="00575D07" w:rsidR="007717B7" w:rsidP="00075224" w:rsidRDefault="00E1566B" w14:paraId="1BB98B52" w14:textId="4BAD0399">
      <w:pPr>
        <w:rPr>
          <w:rFonts w:ascii="Times New Roman" w:hAnsi="Times New Roman"/>
          <w:sz w:val="24"/>
          <w:szCs w:val="24"/>
        </w:rPr>
      </w:pPr>
      <w:r w:rsidRPr="00E1566B">
        <w:rPr>
          <w:rFonts w:ascii="Times New Roman" w:hAnsi="Times New Roman"/>
          <w:sz w:val="24"/>
          <w:szCs w:val="24"/>
        </w:rPr>
        <w:t xml:space="preserve">There is no duplication of information.  </w:t>
      </w:r>
      <w:r w:rsidR="001559C0">
        <w:rPr>
          <w:rFonts w:ascii="Times New Roman" w:hAnsi="Times New Roman"/>
          <w:sz w:val="24"/>
          <w:szCs w:val="24"/>
        </w:rPr>
        <w:t>Mortgagee</w:t>
      </w:r>
      <w:r w:rsidRPr="00E1566B">
        <w:rPr>
          <w:rFonts w:ascii="Times New Roman" w:hAnsi="Times New Roman"/>
          <w:sz w:val="24"/>
          <w:szCs w:val="24"/>
        </w:rPr>
        <w:t xml:space="preserve">s routinely document mortgage loan servicing efforts as a part of their own loan servicing and internal quality control procedures.  HUD will accept the various formats already in use by </w:t>
      </w:r>
      <w:r w:rsidR="001559C0">
        <w:rPr>
          <w:rFonts w:ascii="Times New Roman" w:hAnsi="Times New Roman"/>
          <w:sz w:val="24"/>
          <w:szCs w:val="24"/>
        </w:rPr>
        <w:t>Mortgagee</w:t>
      </w:r>
      <w:r w:rsidRPr="00E1566B">
        <w:rPr>
          <w:rFonts w:ascii="Times New Roman" w:hAnsi="Times New Roman"/>
          <w:sz w:val="24"/>
          <w:szCs w:val="24"/>
        </w:rPr>
        <w:t xml:space="preserve">s </w:t>
      </w:r>
      <w:r w:rsidRPr="00E1566B" w:rsidR="00D03138">
        <w:rPr>
          <w:rFonts w:ascii="Times New Roman" w:hAnsi="Times New Roman"/>
          <w:sz w:val="24"/>
          <w:szCs w:val="24"/>
        </w:rPr>
        <w:t>if</w:t>
      </w:r>
      <w:r w:rsidRPr="00E1566B">
        <w:rPr>
          <w:rFonts w:ascii="Times New Roman" w:hAnsi="Times New Roman"/>
          <w:sz w:val="24"/>
          <w:szCs w:val="24"/>
        </w:rPr>
        <w:t xml:space="preserve"> the information is complete.</w:t>
      </w:r>
    </w:p>
    <w:p w:rsidR="00075224" w:rsidP="00075224" w:rsidRDefault="00075224" w14:paraId="5CD6BA32" w14:textId="444DB13E">
      <w:pPr>
        <w:rPr>
          <w:rFonts w:ascii="Times New Roman" w:hAnsi="Times New Roman"/>
          <w:sz w:val="24"/>
          <w:szCs w:val="24"/>
        </w:rPr>
      </w:pPr>
      <w:r w:rsidRPr="00575D07">
        <w:rPr>
          <w:rFonts w:ascii="Times New Roman" w:hAnsi="Times New Roman"/>
          <w:sz w:val="24"/>
          <w:szCs w:val="24"/>
        </w:rPr>
        <w:t xml:space="preserve">5. </w:t>
      </w:r>
      <w:r w:rsidRPr="006D121C">
        <w:rPr>
          <w:rFonts w:ascii="Times New Roman" w:hAnsi="Times New Roman"/>
          <w:b/>
          <w:bCs/>
          <w:sz w:val="24"/>
          <w:szCs w:val="24"/>
        </w:rPr>
        <w:t>If the collection of information impacts small businesses or other small entities (Item 5 of OMB Form 83-I), describe any methods used to minimize burden.</w:t>
      </w:r>
      <w:r w:rsidRPr="00575D07">
        <w:rPr>
          <w:rFonts w:ascii="Times New Roman" w:hAnsi="Times New Roman"/>
          <w:sz w:val="24"/>
          <w:szCs w:val="24"/>
        </w:rPr>
        <w:t xml:space="preserve"> </w:t>
      </w:r>
    </w:p>
    <w:p w:rsidRPr="00575D07" w:rsidR="007E192F" w:rsidP="00075224" w:rsidRDefault="004C2787" w14:paraId="73956E10" w14:textId="2C18EB5D">
      <w:pPr>
        <w:rPr>
          <w:rFonts w:ascii="Times New Roman" w:hAnsi="Times New Roman"/>
          <w:sz w:val="24"/>
          <w:szCs w:val="24"/>
        </w:rPr>
      </w:pPr>
      <w:r w:rsidRPr="004C2787">
        <w:rPr>
          <w:rFonts w:ascii="Times New Roman" w:hAnsi="Times New Roman"/>
          <w:sz w:val="24"/>
          <w:szCs w:val="24"/>
        </w:rPr>
        <w:t>The collection of this information will not have a significant impact on a substantial number of small businesses.</w:t>
      </w:r>
      <w:r>
        <w:rPr>
          <w:rFonts w:ascii="Times New Roman" w:hAnsi="Times New Roman"/>
          <w:sz w:val="24"/>
          <w:szCs w:val="24"/>
        </w:rPr>
        <w:t xml:space="preserve"> </w:t>
      </w:r>
      <w:r w:rsidRPr="00E1566B" w:rsidR="00954C81">
        <w:rPr>
          <w:rFonts w:ascii="Times New Roman" w:hAnsi="Times New Roman"/>
          <w:sz w:val="24"/>
          <w:szCs w:val="24"/>
        </w:rPr>
        <w:t xml:space="preserve">HUD will accept the various formats already in use by </w:t>
      </w:r>
      <w:r w:rsidR="001559C0">
        <w:rPr>
          <w:rFonts w:ascii="Times New Roman" w:hAnsi="Times New Roman"/>
          <w:sz w:val="24"/>
          <w:szCs w:val="24"/>
        </w:rPr>
        <w:t>Mortgagee</w:t>
      </w:r>
      <w:r w:rsidRPr="00E1566B" w:rsidR="00954C81">
        <w:rPr>
          <w:rFonts w:ascii="Times New Roman" w:hAnsi="Times New Roman"/>
          <w:sz w:val="24"/>
          <w:szCs w:val="24"/>
        </w:rPr>
        <w:t xml:space="preserve">s </w:t>
      </w:r>
      <w:r w:rsidR="00E957FC">
        <w:rPr>
          <w:rFonts w:ascii="Times New Roman" w:hAnsi="Times New Roman"/>
          <w:sz w:val="24"/>
          <w:szCs w:val="24"/>
        </w:rPr>
        <w:t>including</w:t>
      </w:r>
      <w:r w:rsidR="00BB4257">
        <w:rPr>
          <w:rFonts w:ascii="Times New Roman" w:hAnsi="Times New Roman"/>
          <w:sz w:val="24"/>
          <w:szCs w:val="24"/>
        </w:rPr>
        <w:t xml:space="preserve"> small businesses </w:t>
      </w:r>
      <w:r w:rsidRPr="00E1566B" w:rsidR="00D03138">
        <w:rPr>
          <w:rFonts w:ascii="Times New Roman" w:hAnsi="Times New Roman"/>
          <w:sz w:val="24"/>
          <w:szCs w:val="24"/>
        </w:rPr>
        <w:t>if</w:t>
      </w:r>
      <w:r w:rsidRPr="00E1566B" w:rsidR="00954C81">
        <w:rPr>
          <w:rFonts w:ascii="Times New Roman" w:hAnsi="Times New Roman"/>
          <w:sz w:val="24"/>
          <w:szCs w:val="24"/>
        </w:rPr>
        <w:t xml:space="preserve"> the information is complete.</w:t>
      </w:r>
    </w:p>
    <w:p w:rsidR="00075224" w:rsidP="00075224" w:rsidRDefault="00075224" w14:paraId="34B1E535" w14:textId="28D871B7">
      <w:pPr>
        <w:rPr>
          <w:rFonts w:ascii="Times New Roman" w:hAnsi="Times New Roman"/>
          <w:sz w:val="24"/>
          <w:szCs w:val="24"/>
        </w:rPr>
      </w:pPr>
      <w:r w:rsidRPr="00575D07">
        <w:rPr>
          <w:rFonts w:ascii="Times New Roman" w:hAnsi="Times New Roman"/>
          <w:sz w:val="24"/>
          <w:szCs w:val="24"/>
        </w:rPr>
        <w:t xml:space="preserve">6. </w:t>
      </w:r>
      <w:r w:rsidRPr="006D121C">
        <w:rPr>
          <w:rFonts w:ascii="Times New Roman" w:hAnsi="Times New Roman"/>
          <w:b/>
          <w:bCs/>
          <w:sz w:val="24"/>
          <w:szCs w:val="24"/>
        </w:rPr>
        <w:t xml:space="preserve">Describe the consequence to </w:t>
      </w:r>
      <w:r w:rsidRPr="006D121C" w:rsidR="008034EE">
        <w:rPr>
          <w:rFonts w:ascii="Times New Roman" w:hAnsi="Times New Roman"/>
          <w:b/>
          <w:bCs/>
          <w:sz w:val="24"/>
          <w:szCs w:val="24"/>
        </w:rPr>
        <w:t>f</w:t>
      </w:r>
      <w:r w:rsidRPr="006D121C">
        <w:rPr>
          <w:rFonts w:ascii="Times New Roman" w:hAnsi="Times New Roman"/>
          <w:b/>
          <w:bCs/>
          <w:sz w:val="24"/>
          <w:szCs w:val="24"/>
        </w:rPr>
        <w:t>ederal program or policy activities if the collection is not conducted or is conducted less frequently, as well as any technical or legal obstacles to reducing burden.</w:t>
      </w:r>
      <w:r w:rsidRPr="00575D07">
        <w:rPr>
          <w:rFonts w:ascii="Times New Roman" w:hAnsi="Times New Roman"/>
          <w:sz w:val="24"/>
          <w:szCs w:val="24"/>
        </w:rPr>
        <w:t xml:space="preserve"> </w:t>
      </w:r>
    </w:p>
    <w:p w:rsidRPr="00F4580D" w:rsidR="00F4580D" w:rsidP="00F4580D" w:rsidRDefault="00F4580D" w14:paraId="57C68801" w14:textId="266DAA66">
      <w:pPr>
        <w:rPr>
          <w:rFonts w:ascii="Times New Roman" w:hAnsi="Times New Roman"/>
          <w:sz w:val="24"/>
          <w:szCs w:val="24"/>
        </w:rPr>
      </w:pPr>
      <w:r w:rsidRPr="00F4580D">
        <w:rPr>
          <w:rFonts w:ascii="Times New Roman" w:hAnsi="Times New Roman"/>
          <w:sz w:val="24"/>
          <w:szCs w:val="24"/>
        </w:rPr>
        <w:t>The Department has worked in concert with the mortgage loan industry to establish regulations to benefit the mortgagor and our goals.</w:t>
      </w:r>
    </w:p>
    <w:p w:rsidRPr="00F4580D" w:rsidR="00F4580D" w:rsidP="00F4580D" w:rsidRDefault="00F4580D" w14:paraId="765C6A86" w14:textId="128F32E1">
      <w:pPr>
        <w:rPr>
          <w:rFonts w:ascii="Times New Roman" w:hAnsi="Times New Roman"/>
          <w:sz w:val="24"/>
          <w:szCs w:val="24"/>
        </w:rPr>
      </w:pPr>
      <w:r w:rsidRPr="00F4580D">
        <w:rPr>
          <w:rFonts w:ascii="Times New Roman" w:hAnsi="Times New Roman"/>
          <w:sz w:val="24"/>
          <w:szCs w:val="24"/>
        </w:rPr>
        <w:t xml:space="preserve">Monthly reporting of delinquencies and claims by </w:t>
      </w:r>
      <w:r w:rsidR="001559C0">
        <w:rPr>
          <w:rFonts w:ascii="Times New Roman" w:hAnsi="Times New Roman"/>
          <w:sz w:val="24"/>
          <w:szCs w:val="24"/>
        </w:rPr>
        <w:t>Mortgagee</w:t>
      </w:r>
      <w:r w:rsidRPr="00F4580D">
        <w:rPr>
          <w:rFonts w:ascii="Times New Roman" w:hAnsi="Times New Roman"/>
          <w:sz w:val="24"/>
          <w:szCs w:val="24"/>
        </w:rPr>
        <w:t xml:space="preserve">s is required to evaluate the health of the mortgage lending industry and whether the </w:t>
      </w:r>
      <w:r w:rsidR="001559C0">
        <w:rPr>
          <w:rFonts w:ascii="Times New Roman" w:hAnsi="Times New Roman"/>
          <w:sz w:val="24"/>
          <w:szCs w:val="24"/>
        </w:rPr>
        <w:t>Mortgagee</w:t>
      </w:r>
      <w:r w:rsidRPr="00F4580D">
        <w:rPr>
          <w:rFonts w:ascii="Times New Roman" w:hAnsi="Times New Roman"/>
          <w:sz w:val="24"/>
          <w:szCs w:val="24"/>
        </w:rPr>
        <w:t xml:space="preserve"> has performed adequate and prudent mortgage loan servicing as compared to other firms in their peer group.   </w:t>
      </w:r>
    </w:p>
    <w:p w:rsidR="00F4580D" w:rsidP="00F4580D" w:rsidRDefault="00F4580D" w14:paraId="22A98096" w14:textId="51AC27A3">
      <w:pPr>
        <w:rPr>
          <w:rFonts w:ascii="Times New Roman" w:hAnsi="Times New Roman"/>
          <w:sz w:val="24"/>
          <w:szCs w:val="24"/>
        </w:rPr>
      </w:pPr>
      <w:r w:rsidRPr="00F4580D">
        <w:rPr>
          <w:rFonts w:ascii="Times New Roman" w:hAnsi="Times New Roman"/>
          <w:sz w:val="24"/>
          <w:szCs w:val="24"/>
        </w:rPr>
        <w:t>FHA insurance is an important source of mortgage credit for low and moderate-income borrowers and neighborhoods</w:t>
      </w:r>
      <w:r w:rsidR="007560BD">
        <w:rPr>
          <w:rFonts w:ascii="Times New Roman" w:hAnsi="Times New Roman"/>
          <w:sz w:val="24"/>
          <w:szCs w:val="24"/>
        </w:rPr>
        <w:t xml:space="preserve"> by</w:t>
      </w:r>
      <w:r w:rsidR="00B60A1B">
        <w:rPr>
          <w:rFonts w:ascii="Times New Roman" w:hAnsi="Times New Roman"/>
          <w:sz w:val="24"/>
          <w:szCs w:val="24"/>
        </w:rPr>
        <w:t xml:space="preserve"> helping</w:t>
      </w:r>
      <w:r w:rsidRPr="00F4580D">
        <w:rPr>
          <w:rFonts w:ascii="Times New Roman" w:hAnsi="Times New Roman"/>
          <w:sz w:val="24"/>
          <w:szCs w:val="24"/>
        </w:rPr>
        <w:t xml:space="preserve"> families cure their delinquencies and retain their homes</w:t>
      </w:r>
      <w:r w:rsidR="00C53DC5">
        <w:rPr>
          <w:rFonts w:ascii="Times New Roman" w:hAnsi="Times New Roman"/>
          <w:sz w:val="24"/>
          <w:szCs w:val="24"/>
        </w:rPr>
        <w:t xml:space="preserve">. </w:t>
      </w:r>
      <w:r w:rsidR="000E3985">
        <w:rPr>
          <w:rFonts w:ascii="Times New Roman" w:hAnsi="Times New Roman"/>
          <w:sz w:val="24"/>
          <w:szCs w:val="24"/>
        </w:rPr>
        <w:t>Aiding these homeowners leads to</w:t>
      </w:r>
      <w:r w:rsidR="00AA0679">
        <w:rPr>
          <w:rFonts w:ascii="Times New Roman" w:hAnsi="Times New Roman"/>
          <w:sz w:val="24"/>
          <w:szCs w:val="24"/>
        </w:rPr>
        <w:t xml:space="preserve"> more</w:t>
      </w:r>
      <w:r w:rsidRPr="00F4580D">
        <w:rPr>
          <w:rFonts w:ascii="Times New Roman" w:hAnsi="Times New Roman"/>
          <w:sz w:val="24"/>
          <w:szCs w:val="24"/>
        </w:rPr>
        <w:t xml:space="preserve"> stable neighborhoods that might otherwise suffer from deterioration and problems associated with vacant and abandoned properties.  Avoidance of foreclosure and the resultant costs also serve to further stabilize the mortgage insurance premiums charged by FHA and the </w:t>
      </w:r>
      <w:r w:rsidR="00B6357A">
        <w:rPr>
          <w:rFonts w:ascii="Times New Roman" w:hAnsi="Times New Roman"/>
          <w:sz w:val="24"/>
          <w:szCs w:val="24"/>
        </w:rPr>
        <w:t>f</w:t>
      </w:r>
      <w:r w:rsidRPr="00F4580D">
        <w:rPr>
          <w:rFonts w:ascii="Times New Roman" w:hAnsi="Times New Roman"/>
          <w:sz w:val="24"/>
          <w:szCs w:val="24"/>
        </w:rPr>
        <w:t xml:space="preserve">ederal budget receipts generated from those premiums.  </w:t>
      </w:r>
    </w:p>
    <w:p w:rsidR="00075224" w:rsidP="00075224" w:rsidRDefault="00075224" w14:paraId="27B30250" w14:textId="6EBD8588">
      <w:pPr>
        <w:rPr>
          <w:rFonts w:ascii="Times New Roman" w:hAnsi="Times New Roman"/>
          <w:sz w:val="24"/>
          <w:szCs w:val="24"/>
        </w:rPr>
      </w:pPr>
      <w:r w:rsidRPr="00575D07">
        <w:rPr>
          <w:rFonts w:ascii="Times New Roman" w:hAnsi="Times New Roman"/>
          <w:sz w:val="24"/>
          <w:szCs w:val="24"/>
        </w:rPr>
        <w:lastRenderedPageBreak/>
        <w:t xml:space="preserve">7. </w:t>
      </w:r>
      <w:r w:rsidRPr="006D121C">
        <w:rPr>
          <w:rFonts w:ascii="Times New Roman" w:hAnsi="Times New Roman"/>
          <w:b/>
          <w:bCs/>
          <w:sz w:val="24"/>
          <w:szCs w:val="24"/>
        </w:rPr>
        <w:t>Explain any special circumstances that would cause an information collection to be conducted in a manner:</w:t>
      </w:r>
      <w:r w:rsidRPr="00575D07">
        <w:rPr>
          <w:rFonts w:ascii="Times New Roman" w:hAnsi="Times New Roman"/>
          <w:sz w:val="24"/>
          <w:szCs w:val="24"/>
        </w:rPr>
        <w:t xml:space="preserve"> </w:t>
      </w:r>
    </w:p>
    <w:p w:rsidR="006D121C" w:rsidP="00075224" w:rsidRDefault="00F2058B" w14:paraId="05BF3D4C" w14:textId="77777777">
      <w:pPr>
        <w:rPr>
          <w:rFonts w:ascii="Times New Roman" w:hAnsi="Times New Roman"/>
          <w:sz w:val="24"/>
          <w:szCs w:val="24"/>
        </w:rPr>
      </w:pPr>
      <w:r>
        <w:rPr>
          <w:rFonts w:ascii="Times New Roman" w:hAnsi="Times New Roman"/>
          <w:sz w:val="24"/>
          <w:szCs w:val="24"/>
        </w:rPr>
        <w:t>*</w:t>
      </w:r>
      <w:r w:rsidRPr="006D121C" w:rsidR="006D121C">
        <w:rPr>
          <w:rFonts w:ascii="Times New Roman" w:hAnsi="Times New Roman"/>
          <w:b/>
          <w:bCs/>
          <w:sz w:val="24"/>
          <w:szCs w:val="24"/>
        </w:rPr>
        <w:t>requiring respondents to report information to the agency more often than quarterly;</w:t>
      </w:r>
      <w:r w:rsidR="006D121C">
        <w:rPr>
          <w:rFonts w:ascii="Times New Roman" w:hAnsi="Times New Roman"/>
          <w:sz w:val="24"/>
          <w:szCs w:val="24"/>
        </w:rPr>
        <w:t xml:space="preserve"> </w:t>
      </w:r>
    </w:p>
    <w:p w:rsidR="00A64F36" w:rsidP="00075224" w:rsidRDefault="00947F10" w14:paraId="6A827A57" w14:textId="7739F6D5">
      <w:pPr>
        <w:rPr>
          <w:rFonts w:ascii="Times New Roman" w:hAnsi="Times New Roman"/>
          <w:sz w:val="24"/>
          <w:szCs w:val="24"/>
        </w:rPr>
      </w:pPr>
      <w:r>
        <w:rPr>
          <w:rFonts w:ascii="Times New Roman" w:hAnsi="Times New Roman"/>
          <w:sz w:val="24"/>
          <w:szCs w:val="24"/>
        </w:rPr>
        <w:t xml:space="preserve">Respondents are required to report information to the agency more often than quarterly. </w:t>
      </w:r>
      <w:r w:rsidR="00192906">
        <w:rPr>
          <w:rFonts w:ascii="Times New Roman" w:hAnsi="Times New Roman"/>
          <w:sz w:val="24"/>
          <w:szCs w:val="24"/>
        </w:rPr>
        <w:t>HUD pol</w:t>
      </w:r>
      <w:r w:rsidR="007712C9">
        <w:rPr>
          <w:rFonts w:ascii="Times New Roman" w:hAnsi="Times New Roman"/>
          <w:sz w:val="24"/>
          <w:szCs w:val="24"/>
        </w:rPr>
        <w:t>icy requires</w:t>
      </w:r>
      <w:r w:rsidRPr="0057378F" w:rsidR="0057378F">
        <w:rPr>
          <w:rFonts w:ascii="Times New Roman" w:hAnsi="Times New Roman"/>
          <w:sz w:val="24"/>
          <w:szCs w:val="24"/>
        </w:rPr>
        <w:t xml:space="preserve"> a loss mitigation evaluation no later than 90 days from the date of the first unpaid installment.  </w:t>
      </w:r>
    </w:p>
    <w:p w:rsidR="006D121C" w:rsidP="00075224" w:rsidRDefault="006D121C" w14:paraId="7397037A" w14:textId="77777777">
      <w:pPr>
        <w:rPr>
          <w:rFonts w:ascii="Times New Roman" w:hAnsi="Times New Roman"/>
          <w:b/>
          <w:bCs/>
          <w:sz w:val="24"/>
          <w:szCs w:val="24"/>
        </w:rPr>
      </w:pPr>
      <w:r w:rsidRPr="006D121C">
        <w:rPr>
          <w:rFonts w:ascii="Times New Roman" w:hAnsi="Times New Roman"/>
          <w:b/>
          <w:bCs/>
          <w:sz w:val="24"/>
          <w:szCs w:val="24"/>
        </w:rPr>
        <w:t>*requir</w:t>
      </w:r>
      <w:r>
        <w:rPr>
          <w:rFonts w:ascii="Times New Roman" w:hAnsi="Times New Roman"/>
          <w:b/>
          <w:bCs/>
          <w:sz w:val="24"/>
          <w:szCs w:val="24"/>
        </w:rPr>
        <w:t>ing respondents</w:t>
      </w:r>
      <w:r w:rsidRPr="006D121C">
        <w:rPr>
          <w:rFonts w:ascii="Times New Roman" w:hAnsi="Times New Roman"/>
          <w:b/>
          <w:bCs/>
          <w:sz w:val="24"/>
          <w:szCs w:val="24"/>
        </w:rPr>
        <w:t xml:space="preserve"> to prepare a written response to a collection of information in fewer than 30 days after receipt of it</w:t>
      </w:r>
      <w:r>
        <w:rPr>
          <w:rFonts w:ascii="Times New Roman" w:hAnsi="Times New Roman"/>
          <w:b/>
          <w:bCs/>
          <w:sz w:val="24"/>
          <w:szCs w:val="24"/>
        </w:rPr>
        <w:t>;</w:t>
      </w:r>
    </w:p>
    <w:p w:rsidRPr="00575D07" w:rsidR="0057378F" w:rsidP="00075224" w:rsidRDefault="00A64F36" w14:paraId="77B89216" w14:textId="4124F18E">
      <w:pPr>
        <w:rPr>
          <w:rFonts w:ascii="Times New Roman" w:hAnsi="Times New Roman"/>
          <w:sz w:val="24"/>
          <w:szCs w:val="24"/>
        </w:rPr>
      </w:pPr>
      <w:r>
        <w:rPr>
          <w:rFonts w:ascii="Times New Roman" w:hAnsi="Times New Roman"/>
          <w:sz w:val="24"/>
          <w:szCs w:val="24"/>
        </w:rPr>
        <w:t xml:space="preserve">Respondents are required to prepare a written response to a collection of information in fewer than 30 days after receipt of it. </w:t>
      </w:r>
      <w:r w:rsidRPr="0057378F" w:rsidR="0057378F">
        <w:rPr>
          <w:rFonts w:ascii="Times New Roman" w:hAnsi="Times New Roman"/>
          <w:sz w:val="24"/>
          <w:szCs w:val="24"/>
        </w:rPr>
        <w:t xml:space="preserve">HUD regulations define time periods for reporting to HUD delinquent FHA-insured mortgage loans and </w:t>
      </w:r>
      <w:r w:rsidR="0021084E">
        <w:rPr>
          <w:rFonts w:ascii="Times New Roman" w:hAnsi="Times New Roman"/>
          <w:sz w:val="24"/>
          <w:szCs w:val="24"/>
        </w:rPr>
        <w:t>f</w:t>
      </w:r>
      <w:r w:rsidRPr="0057378F" w:rsidR="0057378F">
        <w:rPr>
          <w:rFonts w:ascii="Times New Roman" w:hAnsi="Times New Roman"/>
          <w:sz w:val="24"/>
          <w:szCs w:val="24"/>
        </w:rPr>
        <w:t>o</w:t>
      </w:r>
      <w:r w:rsidR="0021084E">
        <w:rPr>
          <w:rFonts w:ascii="Times New Roman" w:hAnsi="Times New Roman"/>
          <w:sz w:val="24"/>
          <w:szCs w:val="24"/>
        </w:rPr>
        <w:t>r</w:t>
      </w:r>
      <w:r w:rsidRPr="0057378F" w:rsidR="0057378F">
        <w:rPr>
          <w:rFonts w:ascii="Times New Roman" w:hAnsi="Times New Roman"/>
          <w:sz w:val="24"/>
          <w:szCs w:val="24"/>
        </w:rPr>
        <w:t xml:space="preserve"> perform</w:t>
      </w:r>
      <w:r w:rsidR="0003567C">
        <w:rPr>
          <w:rFonts w:ascii="Times New Roman" w:hAnsi="Times New Roman"/>
          <w:sz w:val="24"/>
          <w:szCs w:val="24"/>
        </w:rPr>
        <w:t>ing</w:t>
      </w:r>
      <w:r w:rsidRPr="0057378F" w:rsidR="0057378F">
        <w:rPr>
          <w:rFonts w:ascii="Times New Roman" w:hAnsi="Times New Roman"/>
          <w:sz w:val="24"/>
          <w:szCs w:val="24"/>
        </w:rPr>
        <w:t xml:space="preserve"> an evaluation every 30 days while the mortgage loans are delinquent and in default</w:t>
      </w:r>
      <w:r w:rsidR="00F2058B">
        <w:rPr>
          <w:rFonts w:ascii="Times New Roman" w:hAnsi="Times New Roman"/>
          <w:sz w:val="24"/>
          <w:szCs w:val="24"/>
        </w:rPr>
        <w:t>;</w:t>
      </w:r>
      <w:r w:rsidRPr="0057378F" w:rsidR="0057378F">
        <w:rPr>
          <w:rFonts w:ascii="Times New Roman" w:hAnsi="Times New Roman"/>
          <w:sz w:val="24"/>
          <w:szCs w:val="24"/>
        </w:rPr>
        <w:t xml:space="preserve">  </w:t>
      </w:r>
    </w:p>
    <w:p w:rsidRPr="00FB4921" w:rsidR="00FB4921" w:rsidP="00FB4921" w:rsidRDefault="00B243BB" w14:paraId="22DC1FF7" w14:textId="0BFA7CD4">
      <w:pPr>
        <w:rPr>
          <w:rFonts w:ascii="Times New Roman" w:hAnsi="Times New Roman"/>
          <w:b/>
          <w:bCs/>
          <w:sz w:val="24"/>
          <w:szCs w:val="24"/>
        </w:rPr>
      </w:pPr>
      <w:r w:rsidRPr="00FB4921">
        <w:rPr>
          <w:rFonts w:ascii="Times New Roman" w:hAnsi="Times New Roman"/>
          <w:b/>
          <w:bCs/>
          <w:sz w:val="24"/>
          <w:szCs w:val="24"/>
        </w:rPr>
        <w:t xml:space="preserve">* </w:t>
      </w:r>
      <w:r w:rsidRPr="00FB4921" w:rsidR="00FB4921">
        <w:rPr>
          <w:rFonts w:ascii="Times New Roman" w:hAnsi="Times New Roman"/>
          <w:b/>
          <w:bCs/>
          <w:sz w:val="24"/>
          <w:szCs w:val="24"/>
        </w:rPr>
        <w:t>requir</w:t>
      </w:r>
      <w:r w:rsidR="00FB4921">
        <w:rPr>
          <w:rFonts w:ascii="Times New Roman" w:hAnsi="Times New Roman"/>
          <w:b/>
          <w:bCs/>
          <w:sz w:val="24"/>
          <w:szCs w:val="24"/>
        </w:rPr>
        <w:t>ing respondents</w:t>
      </w:r>
      <w:r w:rsidRPr="00FB4921" w:rsidR="00FB4921">
        <w:rPr>
          <w:rFonts w:ascii="Times New Roman" w:hAnsi="Times New Roman"/>
          <w:b/>
          <w:bCs/>
          <w:sz w:val="24"/>
          <w:szCs w:val="24"/>
        </w:rPr>
        <w:t xml:space="preserve"> to submit more than an original and two copies of any document;</w:t>
      </w:r>
    </w:p>
    <w:p w:rsidR="007D2760" w:rsidP="00947F10" w:rsidRDefault="00F2058B" w14:paraId="77F546D2" w14:textId="6D2F08DE">
      <w:pPr>
        <w:rPr>
          <w:rFonts w:ascii="Times New Roman" w:hAnsi="Times New Roman"/>
          <w:sz w:val="24"/>
          <w:szCs w:val="24"/>
        </w:rPr>
      </w:pPr>
      <w:r>
        <w:rPr>
          <w:rFonts w:ascii="Times New Roman" w:hAnsi="Times New Roman"/>
          <w:sz w:val="24"/>
          <w:szCs w:val="24"/>
        </w:rPr>
        <w:t>R</w:t>
      </w:r>
      <w:r w:rsidRPr="00B243BB">
        <w:rPr>
          <w:rFonts w:ascii="Times New Roman" w:hAnsi="Times New Roman"/>
          <w:sz w:val="24"/>
          <w:szCs w:val="24"/>
        </w:rPr>
        <w:t xml:space="preserve">espondents </w:t>
      </w:r>
      <w:r>
        <w:rPr>
          <w:rFonts w:ascii="Times New Roman" w:hAnsi="Times New Roman"/>
          <w:sz w:val="24"/>
          <w:szCs w:val="24"/>
        </w:rPr>
        <w:t>are</w:t>
      </w:r>
      <w:r w:rsidRPr="00F2058B" w:rsidR="00B243BB">
        <w:rPr>
          <w:rFonts w:ascii="Times New Roman" w:hAnsi="Times New Roman"/>
          <w:sz w:val="24"/>
          <w:szCs w:val="24"/>
        </w:rPr>
        <w:t xml:space="preserve"> not required to submit more than an original and two copies of any document</w:t>
      </w:r>
      <w:r w:rsidR="00FB4921">
        <w:rPr>
          <w:rFonts w:ascii="Times New Roman" w:hAnsi="Times New Roman"/>
          <w:sz w:val="24"/>
          <w:szCs w:val="24"/>
        </w:rPr>
        <w:t>.</w:t>
      </w:r>
    </w:p>
    <w:p w:rsidR="00FB4921" w:rsidP="00B243BB" w:rsidRDefault="00FB4921" w14:paraId="687750DE" w14:textId="77777777">
      <w:pPr>
        <w:rPr>
          <w:rFonts w:ascii="Times New Roman" w:hAnsi="Times New Roman"/>
          <w:sz w:val="24"/>
          <w:szCs w:val="24"/>
        </w:rPr>
      </w:pPr>
      <w:r>
        <w:rPr>
          <w:rFonts w:ascii="Times New Roman" w:hAnsi="Times New Roman"/>
          <w:b/>
          <w:bCs/>
          <w:sz w:val="24"/>
          <w:szCs w:val="24"/>
        </w:rPr>
        <w:t>*</w:t>
      </w:r>
      <w:r w:rsidRPr="00FB4921">
        <w:rPr>
          <w:rFonts w:ascii="Times New Roman" w:hAnsi="Times New Roman"/>
          <w:b/>
          <w:bCs/>
          <w:sz w:val="24"/>
          <w:szCs w:val="24"/>
        </w:rPr>
        <w:t>requir</w:t>
      </w:r>
      <w:r>
        <w:rPr>
          <w:rFonts w:ascii="Times New Roman" w:hAnsi="Times New Roman"/>
          <w:b/>
          <w:bCs/>
          <w:sz w:val="24"/>
          <w:szCs w:val="24"/>
        </w:rPr>
        <w:t>ing respondents</w:t>
      </w:r>
      <w:r w:rsidRPr="00FB4921">
        <w:rPr>
          <w:rFonts w:ascii="Times New Roman" w:hAnsi="Times New Roman"/>
          <w:b/>
          <w:bCs/>
          <w:sz w:val="24"/>
          <w:szCs w:val="24"/>
        </w:rPr>
        <w:t xml:space="preserve"> to retain records, other than health, medical, government contract, grant-in-aid, or tax records, for more than three years</w:t>
      </w:r>
      <w:r>
        <w:rPr>
          <w:rFonts w:ascii="Times New Roman" w:hAnsi="Times New Roman"/>
          <w:sz w:val="24"/>
          <w:szCs w:val="24"/>
        </w:rPr>
        <w:t>;</w:t>
      </w:r>
    </w:p>
    <w:p w:rsidR="00DA7AF8" w:rsidP="00B243BB" w:rsidRDefault="00DA7AF8" w14:paraId="05AEE09F" w14:textId="2D6F3F71">
      <w:pPr>
        <w:rPr>
          <w:rFonts w:ascii="Times New Roman" w:hAnsi="Times New Roman"/>
          <w:sz w:val="24"/>
          <w:szCs w:val="24"/>
        </w:rPr>
      </w:pPr>
      <w:r w:rsidRPr="00DA7AF8">
        <w:rPr>
          <w:rFonts w:ascii="Times New Roman" w:hAnsi="Times New Roman"/>
          <w:sz w:val="24"/>
          <w:szCs w:val="24"/>
        </w:rPr>
        <w:t>Mortgagees are required to retain all servicing files for a minimum of seven years after the transfer or sale of the mortgage or termination of mortgage insurance.  For cases for which a mortgage insurance claim is filed, the mortgagee must retain evidence of compliance with FHA servicing requirements in the mortgage insurance claim review file for at least seven years after the final claim or latest supplemental claim settlement date</w:t>
      </w:r>
      <w:r w:rsidR="00FB4921">
        <w:rPr>
          <w:rFonts w:ascii="Times New Roman" w:hAnsi="Times New Roman"/>
          <w:sz w:val="24"/>
          <w:szCs w:val="24"/>
        </w:rPr>
        <w:t>.</w:t>
      </w:r>
    </w:p>
    <w:p w:rsidR="00B243BB" w:rsidP="00B243BB" w:rsidRDefault="00B243BB" w14:paraId="2ECF048D" w14:textId="5D901240">
      <w:pPr>
        <w:rPr>
          <w:rFonts w:ascii="Times New Roman" w:hAnsi="Times New Roman"/>
          <w:sz w:val="24"/>
          <w:szCs w:val="24"/>
        </w:rPr>
      </w:pPr>
      <w:r w:rsidRPr="00B243BB">
        <w:rPr>
          <w:rFonts w:ascii="Times New Roman" w:hAnsi="Times New Roman"/>
          <w:sz w:val="24"/>
          <w:szCs w:val="24"/>
        </w:rPr>
        <w:t xml:space="preserve">* </w:t>
      </w:r>
      <w:r w:rsidRPr="00FB4921">
        <w:rPr>
          <w:rFonts w:ascii="Times New Roman" w:hAnsi="Times New Roman"/>
          <w:b/>
          <w:bCs/>
          <w:sz w:val="24"/>
          <w:szCs w:val="24"/>
        </w:rPr>
        <w:t>in connection with a statistical survey</w:t>
      </w:r>
      <w:r w:rsidR="00FB4921">
        <w:rPr>
          <w:rFonts w:ascii="Times New Roman" w:hAnsi="Times New Roman"/>
          <w:b/>
          <w:bCs/>
          <w:sz w:val="24"/>
          <w:szCs w:val="24"/>
        </w:rPr>
        <w:t>,</w:t>
      </w:r>
      <w:r w:rsidRPr="00FB4921">
        <w:rPr>
          <w:rFonts w:ascii="Times New Roman" w:hAnsi="Times New Roman"/>
          <w:b/>
          <w:bCs/>
          <w:sz w:val="24"/>
          <w:szCs w:val="24"/>
        </w:rPr>
        <w:t xml:space="preserve"> that is not designed to produce valid and reliable results that can be generalized to the universe of study;</w:t>
      </w:r>
      <w:r w:rsidRPr="00B243BB">
        <w:rPr>
          <w:rFonts w:ascii="Times New Roman" w:hAnsi="Times New Roman"/>
          <w:sz w:val="24"/>
          <w:szCs w:val="24"/>
        </w:rPr>
        <w:t xml:space="preserve"> </w:t>
      </w:r>
    </w:p>
    <w:p w:rsidRPr="00B243BB" w:rsidR="00FB4921" w:rsidP="00B243BB" w:rsidRDefault="00FB4921" w14:paraId="0E98B6FB" w14:textId="63BF3471">
      <w:pPr>
        <w:rPr>
          <w:rFonts w:ascii="Times New Roman" w:hAnsi="Times New Roman"/>
          <w:sz w:val="24"/>
          <w:szCs w:val="24"/>
        </w:rPr>
      </w:pPr>
      <w:r>
        <w:rPr>
          <w:rFonts w:ascii="Times New Roman" w:hAnsi="Times New Roman"/>
          <w:sz w:val="24"/>
          <w:szCs w:val="24"/>
        </w:rPr>
        <w:t>This collection is not connected with a</w:t>
      </w:r>
      <w:r w:rsidRPr="00B243BB">
        <w:rPr>
          <w:rFonts w:ascii="Times New Roman" w:hAnsi="Times New Roman"/>
          <w:sz w:val="24"/>
          <w:szCs w:val="24"/>
        </w:rPr>
        <w:t xml:space="preserve"> statistical </w:t>
      </w:r>
      <w:r>
        <w:rPr>
          <w:rFonts w:ascii="Times New Roman" w:hAnsi="Times New Roman"/>
          <w:sz w:val="24"/>
          <w:szCs w:val="24"/>
        </w:rPr>
        <w:t>survey.</w:t>
      </w:r>
    </w:p>
    <w:p w:rsidRPr="003F492B" w:rsidR="003F492B" w:rsidP="00B243BB" w:rsidRDefault="00B243BB" w14:paraId="2D6D518F" w14:textId="77777777">
      <w:pPr>
        <w:rPr>
          <w:rFonts w:ascii="Times New Roman" w:hAnsi="Times New Roman"/>
          <w:b/>
          <w:bCs/>
          <w:sz w:val="24"/>
          <w:szCs w:val="24"/>
        </w:rPr>
      </w:pPr>
      <w:r w:rsidRPr="00B243BB">
        <w:rPr>
          <w:rFonts w:ascii="Times New Roman" w:hAnsi="Times New Roman"/>
          <w:sz w:val="24"/>
          <w:szCs w:val="24"/>
        </w:rPr>
        <w:t xml:space="preserve">* </w:t>
      </w:r>
      <w:r w:rsidRPr="003F492B" w:rsidR="003F492B">
        <w:rPr>
          <w:rFonts w:ascii="Times New Roman" w:hAnsi="Times New Roman"/>
          <w:b/>
          <w:bCs/>
          <w:sz w:val="24"/>
          <w:szCs w:val="24"/>
        </w:rPr>
        <w:t xml:space="preserve">requiring the use of a statistical data classification that has not been reviewed and approved by OMB; </w:t>
      </w:r>
    </w:p>
    <w:p w:rsidRPr="00B243BB" w:rsidR="00B243BB" w:rsidP="00B243BB" w:rsidRDefault="003F492B" w14:paraId="56EE732F" w14:textId="18E6D56A">
      <w:pPr>
        <w:rPr>
          <w:rFonts w:ascii="Times New Roman" w:hAnsi="Times New Roman"/>
          <w:sz w:val="24"/>
          <w:szCs w:val="24"/>
        </w:rPr>
      </w:pPr>
      <w:r>
        <w:rPr>
          <w:rFonts w:ascii="Times New Roman" w:hAnsi="Times New Roman"/>
          <w:sz w:val="24"/>
          <w:szCs w:val="24"/>
        </w:rPr>
        <w:t>This collection does</w:t>
      </w:r>
      <w:r w:rsidR="00FE7761">
        <w:rPr>
          <w:rFonts w:ascii="Times New Roman" w:hAnsi="Times New Roman"/>
          <w:sz w:val="24"/>
          <w:szCs w:val="24"/>
        </w:rPr>
        <w:t xml:space="preserve"> not </w:t>
      </w:r>
      <w:r w:rsidRPr="00B243BB" w:rsidR="00B243BB">
        <w:rPr>
          <w:rFonts w:ascii="Times New Roman" w:hAnsi="Times New Roman"/>
          <w:sz w:val="24"/>
          <w:szCs w:val="24"/>
        </w:rPr>
        <w:t>requir</w:t>
      </w:r>
      <w:r w:rsidR="00FE7761">
        <w:rPr>
          <w:rFonts w:ascii="Times New Roman" w:hAnsi="Times New Roman"/>
          <w:sz w:val="24"/>
          <w:szCs w:val="24"/>
        </w:rPr>
        <w:t>e</w:t>
      </w:r>
      <w:r w:rsidRPr="00B243BB" w:rsidR="00B243BB">
        <w:rPr>
          <w:rFonts w:ascii="Times New Roman" w:hAnsi="Times New Roman"/>
          <w:sz w:val="24"/>
          <w:szCs w:val="24"/>
        </w:rPr>
        <w:t xml:space="preserve"> t</w:t>
      </w:r>
      <w:r w:rsidR="00FE7761">
        <w:rPr>
          <w:rFonts w:ascii="Times New Roman" w:hAnsi="Times New Roman"/>
          <w:sz w:val="24"/>
          <w:szCs w:val="24"/>
        </w:rPr>
        <w:t>h</w:t>
      </w:r>
      <w:r w:rsidRPr="00B243BB" w:rsidR="00B243BB">
        <w:rPr>
          <w:rFonts w:ascii="Times New Roman" w:hAnsi="Times New Roman"/>
          <w:sz w:val="24"/>
          <w:szCs w:val="24"/>
        </w:rPr>
        <w:t>e use of a statistical data classification that has not been reviewed and approved by OMB</w:t>
      </w:r>
      <w:r>
        <w:rPr>
          <w:rFonts w:ascii="Times New Roman" w:hAnsi="Times New Roman"/>
          <w:sz w:val="24"/>
          <w:szCs w:val="24"/>
        </w:rPr>
        <w:t>.</w:t>
      </w:r>
    </w:p>
    <w:p w:rsidRPr="00B243BB" w:rsidR="003F492B" w:rsidP="003F492B" w:rsidRDefault="00B243BB" w14:paraId="54C0929F" w14:textId="532C1D82">
      <w:pPr>
        <w:rPr>
          <w:rFonts w:ascii="Times New Roman" w:hAnsi="Times New Roman"/>
          <w:sz w:val="24"/>
          <w:szCs w:val="24"/>
        </w:rPr>
      </w:pPr>
      <w:r w:rsidRPr="00B243BB">
        <w:rPr>
          <w:rFonts w:ascii="Times New Roman" w:hAnsi="Times New Roman"/>
          <w:sz w:val="24"/>
          <w:szCs w:val="24"/>
        </w:rPr>
        <w:t xml:space="preserve">* </w:t>
      </w:r>
      <w:r w:rsidRPr="003F492B" w:rsidR="003F492B">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B243BB" w:rsidR="003F492B">
        <w:rPr>
          <w:rFonts w:ascii="Times New Roman" w:hAnsi="Times New Roman"/>
          <w:sz w:val="24"/>
          <w:szCs w:val="24"/>
        </w:rPr>
        <w:t xml:space="preserve"> </w:t>
      </w:r>
    </w:p>
    <w:p w:rsidRPr="00B243BB" w:rsidR="00B243BB" w:rsidP="00B243BB" w:rsidRDefault="00B243BB" w14:paraId="14C5A360" w14:textId="79F73612">
      <w:pPr>
        <w:rPr>
          <w:rFonts w:ascii="Times New Roman" w:hAnsi="Times New Roman"/>
          <w:sz w:val="24"/>
          <w:szCs w:val="24"/>
        </w:rPr>
      </w:pPr>
      <w:r w:rsidRPr="00B243BB">
        <w:rPr>
          <w:rFonts w:ascii="Times New Roman" w:hAnsi="Times New Roman"/>
          <w:sz w:val="24"/>
          <w:szCs w:val="24"/>
        </w:rPr>
        <w:t xml:space="preserve">The information collections take into consideration the need to assure data confidentiality and provide adequate Privacy Act </w:t>
      </w:r>
      <w:r w:rsidR="00B6357A">
        <w:rPr>
          <w:rFonts w:ascii="Times New Roman" w:hAnsi="Times New Roman"/>
          <w:sz w:val="24"/>
          <w:szCs w:val="24"/>
        </w:rPr>
        <w:t>S</w:t>
      </w:r>
      <w:r w:rsidRPr="00B243BB" w:rsidR="00B6357A">
        <w:rPr>
          <w:rFonts w:ascii="Times New Roman" w:hAnsi="Times New Roman"/>
          <w:sz w:val="24"/>
          <w:szCs w:val="24"/>
        </w:rPr>
        <w:t xml:space="preserve">tatement </w:t>
      </w:r>
      <w:r w:rsidR="00B6357A">
        <w:rPr>
          <w:rFonts w:ascii="Times New Roman" w:hAnsi="Times New Roman"/>
          <w:sz w:val="24"/>
          <w:szCs w:val="24"/>
        </w:rPr>
        <w:t>n</w:t>
      </w:r>
      <w:r w:rsidRPr="00B243BB">
        <w:rPr>
          <w:rFonts w:ascii="Times New Roman" w:hAnsi="Times New Roman"/>
          <w:sz w:val="24"/>
          <w:szCs w:val="24"/>
        </w:rPr>
        <w:t>otice</w:t>
      </w:r>
      <w:r w:rsidR="00B6357A">
        <w:rPr>
          <w:rFonts w:ascii="Times New Roman" w:hAnsi="Times New Roman"/>
          <w:sz w:val="24"/>
          <w:szCs w:val="24"/>
        </w:rPr>
        <w:t>s</w:t>
      </w:r>
      <w:r w:rsidRPr="00B243BB">
        <w:rPr>
          <w:rFonts w:ascii="Times New Roman" w:hAnsi="Times New Roman"/>
          <w:sz w:val="24"/>
          <w:szCs w:val="24"/>
        </w:rPr>
        <w:t xml:space="preserve"> where needed. </w:t>
      </w:r>
      <w:r w:rsidR="00B6357A">
        <w:rPr>
          <w:rFonts w:ascii="Times New Roman" w:hAnsi="Times New Roman"/>
          <w:sz w:val="24"/>
          <w:szCs w:val="24"/>
        </w:rPr>
        <w:t>The</w:t>
      </w:r>
      <w:r w:rsidR="003F492B">
        <w:rPr>
          <w:rFonts w:ascii="Times New Roman" w:hAnsi="Times New Roman"/>
          <w:sz w:val="24"/>
          <w:szCs w:val="24"/>
        </w:rPr>
        <w:t>refore this</w:t>
      </w:r>
      <w:r w:rsidR="00B6357A">
        <w:rPr>
          <w:rFonts w:ascii="Times New Roman" w:hAnsi="Times New Roman"/>
          <w:sz w:val="24"/>
          <w:szCs w:val="24"/>
        </w:rPr>
        <w:t xml:space="preserve"> information </w:t>
      </w:r>
      <w:r w:rsidR="00B6357A">
        <w:rPr>
          <w:rFonts w:ascii="Times New Roman" w:hAnsi="Times New Roman"/>
          <w:sz w:val="24"/>
          <w:szCs w:val="24"/>
        </w:rPr>
        <w:lastRenderedPageBreak/>
        <w:t>collection do</w:t>
      </w:r>
      <w:r w:rsidR="003F492B">
        <w:rPr>
          <w:rFonts w:ascii="Times New Roman" w:hAnsi="Times New Roman"/>
          <w:sz w:val="24"/>
          <w:szCs w:val="24"/>
        </w:rPr>
        <w:t>es</w:t>
      </w:r>
      <w:r w:rsidRPr="00B243BB">
        <w:rPr>
          <w:rFonts w:ascii="Times New Roman" w:hAnsi="Times New Roman"/>
          <w:sz w:val="24"/>
          <w:szCs w:val="24"/>
        </w:rPr>
        <w:t xml:space="preserve">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3F492B">
        <w:rPr>
          <w:rFonts w:ascii="Times New Roman" w:hAnsi="Times New Roman"/>
          <w:sz w:val="24"/>
          <w:szCs w:val="24"/>
        </w:rPr>
        <w:t>.</w:t>
      </w:r>
      <w:r w:rsidRPr="00B243BB">
        <w:rPr>
          <w:rFonts w:ascii="Times New Roman" w:hAnsi="Times New Roman"/>
          <w:sz w:val="24"/>
          <w:szCs w:val="24"/>
        </w:rPr>
        <w:t xml:space="preserve"> </w:t>
      </w:r>
    </w:p>
    <w:p w:rsidR="003F492B" w:rsidP="00B243BB" w:rsidRDefault="00B243BB" w14:paraId="61204091" w14:textId="77777777">
      <w:pPr>
        <w:rPr>
          <w:rFonts w:ascii="Times New Roman" w:hAnsi="Times New Roman"/>
          <w:sz w:val="24"/>
          <w:szCs w:val="24"/>
        </w:rPr>
      </w:pPr>
      <w:r w:rsidRPr="00B243BB">
        <w:rPr>
          <w:rFonts w:ascii="Times New Roman" w:hAnsi="Times New Roman"/>
          <w:sz w:val="24"/>
          <w:szCs w:val="24"/>
        </w:rPr>
        <w:t xml:space="preserve">* </w:t>
      </w:r>
      <w:r w:rsidRPr="003F492B" w:rsidR="003F492B">
        <w:rPr>
          <w:rFonts w:ascii="Times New Roman" w:hAnsi="Times New Roman"/>
          <w:b/>
          <w:bCs/>
          <w:sz w:val="24"/>
          <w:szCs w:val="24"/>
        </w:rPr>
        <w:t>requir</w:t>
      </w:r>
      <w:r w:rsidR="003F492B">
        <w:rPr>
          <w:rFonts w:ascii="Times New Roman" w:hAnsi="Times New Roman"/>
          <w:b/>
          <w:bCs/>
          <w:sz w:val="24"/>
          <w:szCs w:val="24"/>
        </w:rPr>
        <w:t>ing respondents</w:t>
      </w:r>
      <w:r w:rsidRPr="003F492B" w:rsidR="003F492B">
        <w:rPr>
          <w:rFonts w:ascii="Times New Roman" w:hAnsi="Times New Roman"/>
          <w:b/>
          <w:bCs/>
          <w:sz w:val="24"/>
          <w:szCs w:val="24"/>
        </w:rPr>
        <w:t xml:space="preserve"> to submit proprietary trade secrets or other confidential information unless the agency can demonstrate that it has instituted procedures to protect the information's confidentiality to the extent permitted by law.</w:t>
      </w:r>
      <w:r w:rsidRPr="00B243BB" w:rsidR="003F492B">
        <w:rPr>
          <w:rFonts w:ascii="Times New Roman" w:hAnsi="Times New Roman"/>
          <w:sz w:val="24"/>
          <w:szCs w:val="24"/>
        </w:rPr>
        <w:t xml:space="preserve"> </w:t>
      </w:r>
    </w:p>
    <w:p w:rsidR="00E4400E" w:rsidP="00B243BB" w:rsidRDefault="003F492B" w14:paraId="5843DFFF" w14:textId="652EAF0D">
      <w:pPr>
        <w:rPr>
          <w:rFonts w:ascii="Times New Roman" w:hAnsi="Times New Roman"/>
          <w:sz w:val="24"/>
          <w:szCs w:val="24"/>
        </w:rPr>
      </w:pPr>
      <w:r>
        <w:rPr>
          <w:rFonts w:ascii="Times New Roman" w:hAnsi="Times New Roman"/>
          <w:sz w:val="24"/>
          <w:szCs w:val="24"/>
        </w:rPr>
        <w:t>This collection does not require r</w:t>
      </w:r>
      <w:r w:rsidRPr="00B243BB" w:rsidR="00FE7761">
        <w:rPr>
          <w:rFonts w:ascii="Times New Roman" w:hAnsi="Times New Roman"/>
          <w:sz w:val="24"/>
          <w:szCs w:val="24"/>
        </w:rPr>
        <w:t xml:space="preserve">espondents </w:t>
      </w:r>
      <w:r w:rsidRPr="00B243BB" w:rsidR="00B243BB">
        <w:rPr>
          <w:rFonts w:ascii="Times New Roman" w:hAnsi="Times New Roman"/>
          <w:sz w:val="24"/>
          <w:szCs w:val="24"/>
        </w:rPr>
        <w:t xml:space="preserve">to submit proprietary trade secrets or other confidential information unless the agency can demonstrate that it has instituted procedures to protect the information's confidentiality to the extent permitted by law. </w:t>
      </w:r>
    </w:p>
    <w:p w:rsidR="00075224" w:rsidP="00B243BB" w:rsidRDefault="00075224" w14:paraId="6A28907A" w14:textId="01367BC2">
      <w:pPr>
        <w:rPr>
          <w:rFonts w:ascii="Times New Roman" w:hAnsi="Times New Roman"/>
          <w:sz w:val="24"/>
          <w:szCs w:val="24"/>
        </w:rPr>
      </w:pPr>
      <w:r w:rsidRPr="00575D07">
        <w:rPr>
          <w:rFonts w:ascii="Times New Roman" w:hAnsi="Times New Roman"/>
          <w:sz w:val="24"/>
          <w:szCs w:val="24"/>
        </w:rPr>
        <w:t xml:space="preserve">8. </w:t>
      </w:r>
      <w:r w:rsidRPr="00C823CF">
        <w:rPr>
          <w:rFonts w:ascii="Times New Roman" w:hAnsi="Times New Roman"/>
          <w:b/>
          <w:bCs/>
          <w:sz w:val="24"/>
          <w:szCs w:val="24"/>
        </w:rPr>
        <w:t>If applicable, provide a copy and identify the date and page number of</w:t>
      </w:r>
      <w:r w:rsidRPr="00C823CF" w:rsidR="00B6357A">
        <w:rPr>
          <w:rFonts w:ascii="Times New Roman" w:hAnsi="Times New Roman"/>
          <w:b/>
          <w:bCs/>
          <w:sz w:val="24"/>
          <w:szCs w:val="24"/>
        </w:rPr>
        <w:t xml:space="preserve"> </w:t>
      </w:r>
      <w:proofErr w:type="gramStart"/>
      <w:r w:rsidRPr="00C823CF">
        <w:rPr>
          <w:rFonts w:ascii="Times New Roman" w:hAnsi="Times New Roman"/>
          <w:b/>
          <w:bCs/>
          <w:sz w:val="24"/>
          <w:szCs w:val="24"/>
        </w:rPr>
        <w:t>publication</w:t>
      </w:r>
      <w:proofErr w:type="gramEnd"/>
      <w:r w:rsidRPr="00C823CF" w:rsidR="00B6357A">
        <w:rPr>
          <w:rFonts w:ascii="Times New Roman" w:hAnsi="Times New Roman"/>
          <w:b/>
          <w:bCs/>
          <w:sz w:val="24"/>
          <w:szCs w:val="24"/>
        </w:rPr>
        <w:t xml:space="preserve"> </w:t>
      </w:r>
      <w:r w:rsidRPr="00C823CF">
        <w:rPr>
          <w:rFonts w:ascii="Times New Roman" w:hAnsi="Times New Roman"/>
          <w:b/>
          <w:bCs/>
          <w:sz w:val="24"/>
          <w:szCs w:val="24"/>
        </w:rPr>
        <w:t xml:space="preserve">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reporting format (if any), and the data elements to be recorded, disclosed, or reported. Consultation with representatives of those from whom information is to be obtained or those who must compile records should occur at least once every </w:t>
      </w:r>
      <w:r w:rsidRPr="00C823CF" w:rsidR="006B5378">
        <w:rPr>
          <w:rFonts w:ascii="Times New Roman" w:hAnsi="Times New Roman"/>
          <w:b/>
          <w:bCs/>
          <w:sz w:val="24"/>
          <w:szCs w:val="24"/>
        </w:rPr>
        <w:t>three</w:t>
      </w:r>
      <w:r w:rsidRPr="00C823CF">
        <w:rPr>
          <w:rFonts w:ascii="Times New Roman" w:hAnsi="Times New Roman"/>
          <w:b/>
          <w:bCs/>
          <w:sz w:val="24"/>
          <w:szCs w:val="24"/>
        </w:rPr>
        <w:t xml:space="preserve"> years</w:t>
      </w:r>
      <w:r w:rsidRPr="00C823CF" w:rsidR="006B5378">
        <w:rPr>
          <w:rFonts w:ascii="Times New Roman" w:hAnsi="Times New Roman"/>
          <w:b/>
          <w:bCs/>
          <w:sz w:val="24"/>
          <w:szCs w:val="24"/>
        </w:rPr>
        <w:t>,</w:t>
      </w:r>
      <w:r w:rsidRPr="00C823CF" w:rsidR="003E1C0A">
        <w:rPr>
          <w:rFonts w:ascii="Times New Roman" w:hAnsi="Times New Roman"/>
          <w:b/>
          <w:bCs/>
          <w:sz w:val="24"/>
          <w:szCs w:val="24"/>
        </w:rPr>
        <w:t xml:space="preserve"> </w:t>
      </w:r>
      <w:r w:rsidRPr="00C823CF">
        <w:rPr>
          <w:rFonts w:ascii="Times New Roman" w:hAnsi="Times New Roman"/>
          <w:b/>
          <w:bCs/>
          <w:sz w:val="24"/>
          <w:szCs w:val="24"/>
        </w:rPr>
        <w:t>even if the collection of information activity is the same as in prior periods. There may be circumstances that preclude consultation in a specific situation. These circumstances should be explained.</w:t>
      </w:r>
      <w:r w:rsidRPr="00575D07">
        <w:rPr>
          <w:rFonts w:ascii="Times New Roman" w:hAnsi="Times New Roman"/>
          <w:sz w:val="24"/>
          <w:szCs w:val="24"/>
        </w:rPr>
        <w:t xml:space="preserve"> </w:t>
      </w:r>
    </w:p>
    <w:p w:rsidR="0013554C" w:rsidP="00075224" w:rsidRDefault="0013554C" w14:paraId="41F27186" w14:textId="2665AFE8">
      <w:pPr>
        <w:rPr>
          <w:rFonts w:ascii="Times New Roman" w:hAnsi="Times New Roman"/>
          <w:sz w:val="24"/>
          <w:szCs w:val="24"/>
        </w:rPr>
      </w:pPr>
      <w:r w:rsidRPr="0013554C">
        <w:rPr>
          <w:rFonts w:ascii="Times New Roman" w:hAnsi="Times New Roman"/>
          <w:sz w:val="24"/>
          <w:szCs w:val="24"/>
        </w:rPr>
        <w:t>The agency notice soliciting comments on the information collection was published in the Federal Register on Future Date</w:t>
      </w:r>
      <w:r w:rsidR="00367FE0">
        <w:rPr>
          <w:rFonts w:ascii="Times New Roman" w:hAnsi="Times New Roman"/>
          <w:sz w:val="24"/>
          <w:szCs w:val="24"/>
        </w:rPr>
        <w:t xml:space="preserve"> Monday, March 9, 2020</w:t>
      </w:r>
      <w:r w:rsidRPr="0013554C">
        <w:rPr>
          <w:rFonts w:ascii="Times New Roman" w:hAnsi="Times New Roman"/>
          <w:sz w:val="24"/>
          <w:szCs w:val="24"/>
        </w:rPr>
        <w:t xml:space="preserve"> (Volume </w:t>
      </w:r>
      <w:r w:rsidR="00367FE0">
        <w:rPr>
          <w:rFonts w:ascii="Times New Roman" w:hAnsi="Times New Roman"/>
          <w:sz w:val="24"/>
          <w:szCs w:val="24"/>
        </w:rPr>
        <w:t>85</w:t>
      </w:r>
      <w:r w:rsidRPr="0013554C">
        <w:rPr>
          <w:rFonts w:ascii="Times New Roman" w:hAnsi="Times New Roman"/>
          <w:sz w:val="24"/>
          <w:szCs w:val="24"/>
        </w:rPr>
        <w:t xml:space="preserve">, Number </w:t>
      </w:r>
      <w:r w:rsidR="00367FE0">
        <w:rPr>
          <w:rFonts w:ascii="Times New Roman" w:hAnsi="Times New Roman"/>
          <w:sz w:val="24"/>
          <w:szCs w:val="24"/>
        </w:rPr>
        <w:t>46</w:t>
      </w:r>
      <w:r w:rsidRPr="0013554C">
        <w:rPr>
          <w:rFonts w:ascii="Times New Roman" w:hAnsi="Times New Roman"/>
          <w:sz w:val="24"/>
          <w:szCs w:val="24"/>
        </w:rPr>
        <w:t xml:space="preserve">, Page </w:t>
      </w:r>
      <w:r w:rsidR="00367FE0">
        <w:rPr>
          <w:rFonts w:ascii="Times New Roman" w:hAnsi="Times New Roman"/>
          <w:sz w:val="24"/>
          <w:szCs w:val="24"/>
        </w:rPr>
        <w:t>13671</w:t>
      </w:r>
      <w:r w:rsidRPr="0013554C">
        <w:rPr>
          <w:rFonts w:ascii="Times New Roman" w:hAnsi="Times New Roman"/>
          <w:sz w:val="24"/>
          <w:szCs w:val="24"/>
        </w:rPr>
        <w:t>).  No comments were received.</w:t>
      </w:r>
    </w:p>
    <w:p w:rsidRPr="00575D07" w:rsidR="00084342" w:rsidP="00075224" w:rsidRDefault="00084342" w14:paraId="281018FC" w14:textId="22367F12">
      <w:pPr>
        <w:rPr>
          <w:rFonts w:ascii="Times New Roman" w:hAnsi="Times New Roman"/>
          <w:sz w:val="24"/>
          <w:szCs w:val="24"/>
        </w:rPr>
      </w:pPr>
      <w:r w:rsidRPr="00084342">
        <w:rPr>
          <w:rFonts w:ascii="Times New Roman" w:hAnsi="Times New Roman"/>
          <w:sz w:val="24"/>
          <w:szCs w:val="24"/>
        </w:rPr>
        <w:t>The ability to provide the information required by this process, and the use of the information, is discussed with the mortgage loan industry on a continuing basis at yearly functions, meetings</w:t>
      </w:r>
      <w:r w:rsidR="003E1C0A">
        <w:rPr>
          <w:rFonts w:ascii="Times New Roman" w:hAnsi="Times New Roman"/>
          <w:sz w:val="24"/>
          <w:szCs w:val="24"/>
        </w:rPr>
        <w:t>,</w:t>
      </w:r>
      <w:r w:rsidRPr="00084342">
        <w:rPr>
          <w:rFonts w:ascii="Times New Roman" w:hAnsi="Times New Roman"/>
          <w:sz w:val="24"/>
          <w:szCs w:val="24"/>
        </w:rPr>
        <w:t xml:space="preserve"> and personal contact by various HUD staff and managers.</w:t>
      </w:r>
    </w:p>
    <w:p w:rsidR="00084342" w:rsidP="00075224" w:rsidRDefault="00075224" w14:paraId="442BE65B" w14:textId="77777777">
      <w:pPr>
        <w:rPr>
          <w:rFonts w:ascii="Times New Roman" w:hAnsi="Times New Roman"/>
          <w:sz w:val="24"/>
          <w:szCs w:val="24"/>
        </w:rPr>
      </w:pPr>
      <w:r w:rsidRPr="00575D07">
        <w:rPr>
          <w:rFonts w:ascii="Times New Roman" w:hAnsi="Times New Roman"/>
          <w:sz w:val="24"/>
          <w:szCs w:val="24"/>
        </w:rPr>
        <w:t xml:space="preserve">9. </w:t>
      </w:r>
      <w:r w:rsidRPr="00C823CF">
        <w:rPr>
          <w:rFonts w:ascii="Times New Roman" w:hAnsi="Times New Roman"/>
          <w:b/>
          <w:bCs/>
          <w:sz w:val="24"/>
          <w:szCs w:val="24"/>
        </w:rPr>
        <w:t xml:space="preserve">Explain any decision to provide any payment or gift to respondents, other than </w:t>
      </w:r>
      <w:r w:rsidRPr="00C823CF" w:rsidR="00D530F9">
        <w:rPr>
          <w:rFonts w:ascii="Times New Roman" w:hAnsi="Times New Roman"/>
          <w:b/>
          <w:bCs/>
          <w:sz w:val="24"/>
          <w:szCs w:val="24"/>
        </w:rPr>
        <w:t>renumeration</w:t>
      </w:r>
      <w:r w:rsidRPr="00C823CF">
        <w:rPr>
          <w:rFonts w:ascii="Times New Roman" w:hAnsi="Times New Roman"/>
          <w:b/>
          <w:bCs/>
          <w:sz w:val="24"/>
          <w:szCs w:val="24"/>
        </w:rPr>
        <w:t xml:space="preserve"> of contractors or grantees.</w:t>
      </w:r>
    </w:p>
    <w:p w:rsidRPr="00575D07" w:rsidR="00075224" w:rsidP="00075224" w:rsidRDefault="006D25C7" w14:paraId="313B7875" w14:textId="19E00475">
      <w:pPr>
        <w:rPr>
          <w:rFonts w:ascii="Times New Roman" w:hAnsi="Times New Roman"/>
          <w:sz w:val="24"/>
          <w:szCs w:val="24"/>
        </w:rPr>
      </w:pPr>
      <w:r>
        <w:rPr>
          <w:rFonts w:ascii="Times New Roman" w:hAnsi="Times New Roman"/>
          <w:sz w:val="24"/>
          <w:szCs w:val="24"/>
        </w:rPr>
        <w:t>The collection of information does not provide</w:t>
      </w:r>
      <w:r w:rsidR="00A94CE7">
        <w:rPr>
          <w:rFonts w:ascii="Times New Roman" w:hAnsi="Times New Roman"/>
          <w:sz w:val="24"/>
          <w:szCs w:val="24"/>
        </w:rPr>
        <w:t xml:space="preserve"> for payments or gifts to respondents (</w:t>
      </w:r>
      <w:r w:rsidR="001559C0">
        <w:rPr>
          <w:rFonts w:ascii="Times New Roman" w:hAnsi="Times New Roman"/>
          <w:sz w:val="24"/>
          <w:szCs w:val="24"/>
        </w:rPr>
        <w:t>Mortgagee</w:t>
      </w:r>
      <w:r w:rsidR="00A94CE7">
        <w:rPr>
          <w:rFonts w:ascii="Times New Roman" w:hAnsi="Times New Roman"/>
          <w:sz w:val="24"/>
          <w:szCs w:val="24"/>
        </w:rPr>
        <w:t>s).</w:t>
      </w:r>
      <w:r w:rsidRPr="00575D07" w:rsidR="00075224">
        <w:rPr>
          <w:rFonts w:ascii="Times New Roman" w:hAnsi="Times New Roman"/>
          <w:sz w:val="24"/>
          <w:szCs w:val="24"/>
        </w:rPr>
        <w:t xml:space="preserve"> </w:t>
      </w:r>
    </w:p>
    <w:p w:rsidR="00075224" w:rsidP="00075224" w:rsidRDefault="00075224" w14:paraId="5188ECB5" w14:textId="0DFD1D7E">
      <w:pPr>
        <w:rPr>
          <w:rFonts w:ascii="Times New Roman" w:hAnsi="Times New Roman"/>
          <w:sz w:val="24"/>
          <w:szCs w:val="24"/>
        </w:rPr>
      </w:pPr>
      <w:r w:rsidRPr="00575D07">
        <w:rPr>
          <w:rFonts w:ascii="Times New Roman" w:hAnsi="Times New Roman"/>
          <w:sz w:val="24"/>
          <w:szCs w:val="24"/>
        </w:rPr>
        <w:t xml:space="preserve">10. </w:t>
      </w:r>
      <w:r w:rsidRPr="00C823CF">
        <w:rPr>
          <w:rFonts w:ascii="Times New Roman" w:hAnsi="Times New Roman"/>
          <w:b/>
          <w:bCs/>
          <w:sz w:val="24"/>
          <w:szCs w:val="24"/>
        </w:rPr>
        <w:t>Describe any assurance of confidentiality provided to respondents and the basis for the assurance in statute, regulation, or agency policy.</w:t>
      </w:r>
      <w:r w:rsidRPr="00575D07">
        <w:rPr>
          <w:rFonts w:ascii="Times New Roman" w:hAnsi="Times New Roman"/>
          <w:sz w:val="24"/>
          <w:szCs w:val="24"/>
        </w:rPr>
        <w:t xml:space="preserve"> </w:t>
      </w:r>
    </w:p>
    <w:p w:rsidRPr="00575D07" w:rsidR="00B2008B" w:rsidP="00075224" w:rsidRDefault="00B2008B" w14:paraId="42611C0A" w14:textId="2A161113">
      <w:pPr>
        <w:rPr>
          <w:rFonts w:ascii="Times New Roman" w:hAnsi="Times New Roman"/>
          <w:sz w:val="24"/>
          <w:szCs w:val="24"/>
        </w:rPr>
      </w:pPr>
      <w:r w:rsidRPr="00B2008B">
        <w:rPr>
          <w:rFonts w:ascii="Times New Roman" w:hAnsi="Times New Roman"/>
          <w:sz w:val="24"/>
          <w:szCs w:val="24"/>
        </w:rPr>
        <w:t xml:space="preserve">The Privacy Act of 1974 </w:t>
      </w:r>
      <w:r w:rsidR="006B5378">
        <w:rPr>
          <w:rFonts w:ascii="Times New Roman" w:hAnsi="Times New Roman"/>
          <w:sz w:val="24"/>
          <w:szCs w:val="24"/>
        </w:rPr>
        <w:t xml:space="preserve">(Pub. L. 93-579, 88 Stat. 1896, 5 U.S.C. 552a) </w:t>
      </w:r>
      <w:r w:rsidRPr="00B2008B">
        <w:rPr>
          <w:rFonts w:ascii="Times New Roman" w:hAnsi="Times New Roman"/>
          <w:sz w:val="24"/>
          <w:szCs w:val="24"/>
        </w:rPr>
        <w:t>protects respondents who meet the information reporting requirements.</w:t>
      </w:r>
    </w:p>
    <w:p w:rsidR="00075224" w:rsidP="00075224" w:rsidRDefault="00075224" w14:paraId="0CEDAB2E" w14:textId="4B41121E">
      <w:pPr>
        <w:rPr>
          <w:rFonts w:ascii="Times New Roman" w:hAnsi="Times New Roman"/>
          <w:sz w:val="24"/>
          <w:szCs w:val="24"/>
        </w:rPr>
      </w:pPr>
      <w:r w:rsidRPr="00575D07">
        <w:rPr>
          <w:rFonts w:ascii="Times New Roman" w:hAnsi="Times New Roman"/>
          <w:sz w:val="24"/>
          <w:szCs w:val="24"/>
        </w:rPr>
        <w:lastRenderedPageBreak/>
        <w:t xml:space="preserve">11. </w:t>
      </w:r>
      <w:r w:rsidRPr="00946ACF">
        <w:rPr>
          <w:rFonts w:ascii="Times New Roman" w:hAnsi="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75D07">
        <w:rPr>
          <w:rFonts w:ascii="Times New Roman" w:hAnsi="Times New Roman"/>
          <w:sz w:val="24"/>
          <w:szCs w:val="24"/>
        </w:rPr>
        <w:t xml:space="preserve"> </w:t>
      </w:r>
    </w:p>
    <w:p w:rsidRPr="00575D07" w:rsidR="00B2008B" w:rsidP="00075224" w:rsidRDefault="004B0C3C" w14:paraId="1A60DD7F" w14:textId="43AC5064">
      <w:pPr>
        <w:rPr>
          <w:rFonts w:ascii="Times New Roman" w:hAnsi="Times New Roman"/>
          <w:sz w:val="24"/>
          <w:szCs w:val="24"/>
        </w:rPr>
      </w:pPr>
      <w:r w:rsidRPr="004B0C3C">
        <w:rPr>
          <w:rFonts w:ascii="Times New Roman" w:hAnsi="Times New Roman"/>
          <w:sz w:val="24"/>
          <w:szCs w:val="24"/>
        </w:rPr>
        <w:t>There are no questions of a sensitive nature.</w:t>
      </w:r>
    </w:p>
    <w:p w:rsidRPr="00946ACF" w:rsidR="00075224" w:rsidP="00075224" w:rsidRDefault="00075224" w14:paraId="14CCCBDF" w14:textId="77777777">
      <w:pPr>
        <w:rPr>
          <w:rFonts w:ascii="Times New Roman" w:hAnsi="Times New Roman"/>
          <w:b/>
          <w:bCs/>
          <w:sz w:val="24"/>
          <w:szCs w:val="24"/>
        </w:rPr>
      </w:pPr>
      <w:r w:rsidRPr="00575D07">
        <w:rPr>
          <w:rFonts w:ascii="Times New Roman" w:hAnsi="Times New Roman"/>
          <w:sz w:val="24"/>
          <w:szCs w:val="24"/>
        </w:rPr>
        <w:t xml:space="preserve">12. </w:t>
      </w:r>
      <w:r w:rsidRPr="00946ACF">
        <w:rPr>
          <w:rFonts w:ascii="Times New Roman" w:hAnsi="Times New Roman"/>
          <w:b/>
          <w:bCs/>
          <w:sz w:val="24"/>
          <w:szCs w:val="24"/>
        </w:rPr>
        <w:t xml:space="preserve">Provide estimates of the hour burden of the collection of information. The statement should: </w:t>
      </w:r>
    </w:p>
    <w:p w:rsidRPr="00946ACF" w:rsidR="00075224" w:rsidP="00075224" w:rsidRDefault="00075224" w14:paraId="4E88FB62" w14:textId="3252DA61">
      <w:pPr>
        <w:rPr>
          <w:rFonts w:ascii="Times New Roman" w:hAnsi="Times New Roman"/>
          <w:b/>
          <w:bCs/>
          <w:sz w:val="24"/>
          <w:szCs w:val="24"/>
        </w:rPr>
      </w:pPr>
      <w:r w:rsidRPr="00946ACF">
        <w:rPr>
          <w:rFonts w:ascii="Times New Roman" w:hAnsi="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w:t>
      </w:r>
      <w:r w:rsidRPr="00946ACF" w:rsidR="0070716A">
        <w:rPr>
          <w:rFonts w:ascii="Times New Roman" w:hAnsi="Times New Roman"/>
          <w:b/>
          <w:bCs/>
          <w:sz w:val="24"/>
          <w:szCs w:val="24"/>
        </w:rPr>
        <w:t>1</w:t>
      </w:r>
      <w:r w:rsidRPr="00946ACF">
        <w:rPr>
          <w:rFonts w:ascii="Times New Roman" w:hAnsi="Times New Roman"/>
          <w:b/>
          <w:bCs/>
          <w:sz w:val="24"/>
          <w:szCs w:val="24"/>
        </w:rPr>
        <w:t xml:space="preserve">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946ACF" w:rsidR="00075224" w:rsidP="00075224" w:rsidRDefault="00075224" w14:paraId="7820C780" w14:textId="77777777">
      <w:pPr>
        <w:rPr>
          <w:rFonts w:ascii="Times New Roman" w:hAnsi="Times New Roman"/>
          <w:b/>
          <w:bCs/>
          <w:sz w:val="24"/>
          <w:szCs w:val="24"/>
        </w:rPr>
      </w:pPr>
      <w:r w:rsidRPr="00946ACF">
        <w:rPr>
          <w:rFonts w:ascii="Times New Roman" w:hAnsi="Times New Roman"/>
          <w:b/>
          <w:bCs/>
          <w:sz w:val="24"/>
          <w:szCs w:val="24"/>
        </w:rPr>
        <w:t xml:space="preserve">* If this request for approval covers more than one form, provide separate hour burden estimates for each </w:t>
      </w:r>
      <w:proofErr w:type="gramStart"/>
      <w:r w:rsidRPr="00946ACF">
        <w:rPr>
          <w:rFonts w:ascii="Times New Roman" w:hAnsi="Times New Roman"/>
          <w:b/>
          <w:bCs/>
          <w:sz w:val="24"/>
          <w:szCs w:val="24"/>
        </w:rPr>
        <w:t>form</w:t>
      </w:r>
      <w:proofErr w:type="gramEnd"/>
      <w:r w:rsidRPr="00946ACF">
        <w:rPr>
          <w:rFonts w:ascii="Times New Roman" w:hAnsi="Times New Roman"/>
          <w:b/>
          <w:bCs/>
          <w:sz w:val="24"/>
          <w:szCs w:val="24"/>
        </w:rPr>
        <w:t xml:space="preserve"> and aggregate the hour burdens in Item 13 of OMB Form 83-I. </w:t>
      </w:r>
    </w:p>
    <w:p w:rsidRPr="00946ACF" w:rsidR="00186B5F" w:rsidP="00E2192C" w:rsidRDefault="00075224" w14:paraId="071427FA" w14:textId="1C22B458">
      <w:pPr>
        <w:rPr>
          <w:rFonts w:ascii="Times New Roman" w:hAnsi="Times New Roman"/>
          <w:b/>
          <w:bCs/>
          <w:sz w:val="24"/>
          <w:szCs w:val="24"/>
        </w:rPr>
      </w:pPr>
      <w:r w:rsidRPr="00946ACF">
        <w:rPr>
          <w:rFonts w:ascii="Times New Roman" w:hAnsi="Times New Roman"/>
          <w:b/>
          <w:bCs/>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946ACF" w:rsidR="006B5378">
        <w:rPr>
          <w:rFonts w:ascii="Times New Roman" w:hAnsi="Times New Roman"/>
          <w:b/>
          <w:bCs/>
          <w:sz w:val="24"/>
          <w:szCs w:val="24"/>
        </w:rPr>
        <w:t xml:space="preserve"> of OMB Form 83-I</w:t>
      </w:r>
      <w:r w:rsidRPr="00946ACF">
        <w:rPr>
          <w:rFonts w:ascii="Times New Roman" w:hAnsi="Times New Roman"/>
          <w:b/>
          <w:bCs/>
          <w:sz w:val="24"/>
          <w:szCs w:val="24"/>
        </w:rPr>
        <w:t xml:space="preserve">. </w:t>
      </w:r>
    </w:p>
    <w:p w:rsidR="00186B5F" w:rsidP="004D0014" w:rsidRDefault="00E2192C" w14:paraId="11701B4F" w14:textId="3FF7AF3D">
      <w:pPr>
        <w:rPr>
          <w:rFonts w:ascii="Times New Roman" w:hAnsi="Times New Roman"/>
          <w:sz w:val="24"/>
          <w:szCs w:val="24"/>
        </w:rPr>
      </w:pPr>
      <w:r>
        <w:rPr>
          <w:rFonts w:ascii="Times New Roman" w:hAnsi="Times New Roman"/>
          <w:sz w:val="24"/>
          <w:szCs w:val="24"/>
        </w:rPr>
        <w:t>The collection of information has been updated with new figures to represent the Department’s current claims activity. As a result of this activity, a decrease in t</w:t>
      </w:r>
      <w:r w:rsidRPr="008D1320">
        <w:rPr>
          <w:rFonts w:ascii="Times New Roman" w:hAnsi="Times New Roman"/>
          <w:sz w:val="24"/>
          <w:szCs w:val="24"/>
        </w:rPr>
        <w:t>he number of</w:t>
      </w:r>
      <w:r>
        <w:rPr>
          <w:rFonts w:ascii="Times New Roman" w:hAnsi="Times New Roman"/>
          <w:sz w:val="24"/>
          <w:szCs w:val="24"/>
        </w:rPr>
        <w:t xml:space="preserve"> responses</w:t>
      </w:r>
      <w:r w:rsidR="00013302">
        <w:rPr>
          <w:rFonts w:ascii="Times New Roman" w:hAnsi="Times New Roman"/>
          <w:sz w:val="24"/>
          <w:szCs w:val="24"/>
        </w:rPr>
        <w:t>,</w:t>
      </w:r>
      <w:r>
        <w:rPr>
          <w:rFonts w:ascii="Times New Roman" w:hAnsi="Times New Roman"/>
          <w:sz w:val="24"/>
          <w:szCs w:val="24"/>
        </w:rPr>
        <w:t xml:space="preserve"> and annual burden hours occurred, particularly since most claims are filed electronically.</w:t>
      </w:r>
      <w:r w:rsidR="00D36BCE">
        <w:rPr>
          <w:rFonts w:ascii="Times New Roman" w:hAnsi="Times New Roman"/>
          <w:sz w:val="24"/>
          <w:szCs w:val="24"/>
        </w:rPr>
        <w:t xml:space="preserve"> </w:t>
      </w:r>
      <w:r w:rsidR="00F7089B">
        <w:rPr>
          <w:rFonts w:ascii="Times New Roman" w:hAnsi="Times New Roman"/>
          <w:sz w:val="24"/>
          <w:szCs w:val="24"/>
        </w:rPr>
        <w:t>The number of respondents</w:t>
      </w:r>
      <w:r w:rsidR="00103C4C">
        <w:rPr>
          <w:rFonts w:ascii="Times New Roman" w:hAnsi="Times New Roman"/>
          <w:sz w:val="24"/>
          <w:szCs w:val="24"/>
        </w:rPr>
        <w:t xml:space="preserve"> </w:t>
      </w:r>
      <w:r w:rsidR="006B5378">
        <w:rPr>
          <w:rFonts w:ascii="Times New Roman" w:hAnsi="Times New Roman"/>
          <w:sz w:val="24"/>
          <w:szCs w:val="24"/>
        </w:rPr>
        <w:t>in</w:t>
      </w:r>
      <w:r w:rsidR="00103C4C">
        <w:rPr>
          <w:rFonts w:ascii="Times New Roman" w:hAnsi="Times New Roman"/>
          <w:sz w:val="24"/>
          <w:szCs w:val="24"/>
        </w:rPr>
        <w:t>creased</w:t>
      </w:r>
      <w:r w:rsidR="0095025D">
        <w:rPr>
          <w:rFonts w:ascii="Times New Roman" w:hAnsi="Times New Roman"/>
          <w:sz w:val="24"/>
          <w:szCs w:val="24"/>
        </w:rPr>
        <w:t xml:space="preserve"> from </w:t>
      </w:r>
      <w:r w:rsidR="004F7F5F">
        <w:rPr>
          <w:rFonts w:ascii="Times New Roman" w:hAnsi="Times New Roman"/>
          <w:sz w:val="24"/>
          <w:szCs w:val="24"/>
        </w:rPr>
        <w:t xml:space="preserve">357 to </w:t>
      </w:r>
      <w:r w:rsidR="00946ACF">
        <w:rPr>
          <w:rFonts w:ascii="Times New Roman" w:hAnsi="Times New Roman"/>
          <w:sz w:val="24"/>
          <w:szCs w:val="24"/>
        </w:rPr>
        <w:t>44</w:t>
      </w:r>
      <w:r w:rsidR="006B5378">
        <w:rPr>
          <w:rFonts w:ascii="Times New Roman" w:hAnsi="Times New Roman"/>
          <w:sz w:val="24"/>
          <w:szCs w:val="24"/>
        </w:rPr>
        <w:t>0</w:t>
      </w:r>
      <w:r w:rsidR="0084281F">
        <w:rPr>
          <w:rFonts w:ascii="Times New Roman" w:hAnsi="Times New Roman"/>
          <w:sz w:val="24"/>
          <w:szCs w:val="24"/>
        </w:rPr>
        <w:t xml:space="preserve">, who are </w:t>
      </w:r>
      <w:r w:rsidR="001559C0">
        <w:rPr>
          <w:rFonts w:ascii="Times New Roman" w:hAnsi="Times New Roman"/>
          <w:sz w:val="24"/>
          <w:szCs w:val="24"/>
        </w:rPr>
        <w:t>Mortgagee</w:t>
      </w:r>
      <w:r w:rsidR="00784C89">
        <w:rPr>
          <w:rFonts w:ascii="Times New Roman" w:hAnsi="Times New Roman"/>
          <w:sz w:val="24"/>
          <w:szCs w:val="24"/>
        </w:rPr>
        <w:t>s</w:t>
      </w:r>
      <w:r w:rsidR="00A534C6">
        <w:rPr>
          <w:rFonts w:ascii="Times New Roman" w:hAnsi="Times New Roman"/>
          <w:sz w:val="24"/>
          <w:szCs w:val="24"/>
        </w:rPr>
        <w:t xml:space="preserve"> that service</w:t>
      </w:r>
      <w:r w:rsidR="0034635E">
        <w:rPr>
          <w:rFonts w:ascii="Times New Roman" w:hAnsi="Times New Roman"/>
          <w:sz w:val="24"/>
          <w:szCs w:val="24"/>
        </w:rPr>
        <w:t xml:space="preserve"> FHA-insured mortgage loans</w:t>
      </w:r>
      <w:r w:rsidR="00280FBB">
        <w:rPr>
          <w:rFonts w:ascii="Times New Roman" w:hAnsi="Times New Roman"/>
          <w:sz w:val="24"/>
          <w:szCs w:val="24"/>
        </w:rPr>
        <w:t>.</w:t>
      </w:r>
    </w:p>
    <w:p w:rsidR="00B52478" w:rsidP="009A1875" w:rsidRDefault="009A403A" w14:paraId="7B33A682" w14:textId="0FE2F8D1">
      <w:pPr>
        <w:spacing w:after="0" w:line="240" w:lineRule="auto"/>
        <w:jc w:val="center"/>
        <w:rPr>
          <w:rFonts w:ascii="Times New Roman" w:hAnsi="Times New Roman"/>
          <w:sz w:val="24"/>
          <w:szCs w:val="24"/>
        </w:rPr>
      </w:pPr>
      <w:r>
        <w:rPr>
          <w:rFonts w:ascii="Times New Roman" w:hAnsi="Times New Roman"/>
          <w:sz w:val="24"/>
          <w:szCs w:val="24"/>
        </w:rPr>
        <w:t>Estimates of burden hours</w:t>
      </w:r>
      <w:r w:rsidR="007E7E0D">
        <w:rPr>
          <w:rFonts w:ascii="Times New Roman" w:hAnsi="Times New Roman"/>
          <w:sz w:val="24"/>
          <w:szCs w:val="24"/>
        </w:rPr>
        <w:t>:</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8"/>
        <w:gridCol w:w="1194"/>
        <w:gridCol w:w="1160"/>
        <w:gridCol w:w="1178"/>
        <w:gridCol w:w="1274"/>
        <w:gridCol w:w="1209"/>
        <w:gridCol w:w="1274"/>
        <w:gridCol w:w="1361"/>
      </w:tblGrid>
      <w:tr w:rsidR="00FF02F8" w:rsidTr="00FF02F8" w14:paraId="73945B97" w14:textId="77777777">
        <w:tc>
          <w:tcPr>
            <w:tcW w:w="1268" w:type="dxa"/>
            <w:shd w:val="clear" w:color="auto" w:fill="auto"/>
            <w:vAlign w:val="bottom"/>
          </w:tcPr>
          <w:p w:rsidRPr="00FF02F8" w:rsidR="00EC6224" w:rsidP="00FF02F8" w:rsidRDefault="00EC6224" w14:paraId="3AEDF8A6" w14:textId="23F5D84B">
            <w:pPr>
              <w:spacing w:after="0" w:line="240" w:lineRule="auto"/>
              <w:jc w:val="right"/>
              <w:rPr>
                <w:rFonts w:ascii="Times New Roman" w:hAnsi="Times New Roman"/>
                <w:sz w:val="24"/>
                <w:szCs w:val="24"/>
              </w:rPr>
            </w:pPr>
            <w:r w:rsidRPr="00FF02F8">
              <w:rPr>
                <w:rFonts w:cs="Calibri"/>
                <w:b/>
                <w:bCs/>
                <w:color w:val="000000"/>
                <w:sz w:val="18"/>
                <w:szCs w:val="18"/>
              </w:rPr>
              <w:t>Information Collection</w:t>
            </w:r>
          </w:p>
        </w:tc>
        <w:tc>
          <w:tcPr>
            <w:tcW w:w="1194" w:type="dxa"/>
            <w:shd w:val="clear" w:color="auto" w:fill="auto"/>
            <w:vAlign w:val="bottom"/>
          </w:tcPr>
          <w:p w:rsidRPr="00FF02F8" w:rsidR="00EC6224" w:rsidP="00FF02F8" w:rsidRDefault="00EC6224" w14:paraId="5668CE19" w14:textId="2977807A">
            <w:pPr>
              <w:spacing w:after="0" w:line="240" w:lineRule="auto"/>
              <w:jc w:val="right"/>
              <w:rPr>
                <w:rFonts w:ascii="Times New Roman" w:hAnsi="Times New Roman"/>
                <w:sz w:val="24"/>
                <w:szCs w:val="24"/>
              </w:rPr>
            </w:pPr>
            <w:r w:rsidRPr="00FF02F8">
              <w:rPr>
                <w:rFonts w:cs="Calibri"/>
                <w:b/>
                <w:bCs/>
                <w:color w:val="000000"/>
                <w:sz w:val="18"/>
                <w:szCs w:val="18"/>
              </w:rPr>
              <w:t>Number of Respondents</w:t>
            </w:r>
          </w:p>
        </w:tc>
        <w:tc>
          <w:tcPr>
            <w:tcW w:w="1160" w:type="dxa"/>
            <w:shd w:val="clear" w:color="auto" w:fill="auto"/>
            <w:vAlign w:val="bottom"/>
          </w:tcPr>
          <w:p w:rsidRPr="00FF02F8" w:rsidR="00EC6224" w:rsidP="00FF02F8" w:rsidRDefault="00EC6224" w14:paraId="0DB76E1A" w14:textId="688889E1">
            <w:pPr>
              <w:spacing w:after="0" w:line="240" w:lineRule="auto"/>
              <w:jc w:val="right"/>
              <w:rPr>
                <w:rFonts w:ascii="Times New Roman" w:hAnsi="Times New Roman"/>
                <w:sz w:val="24"/>
                <w:szCs w:val="24"/>
              </w:rPr>
            </w:pPr>
            <w:r w:rsidRPr="00FF02F8">
              <w:rPr>
                <w:rFonts w:cs="Calibri"/>
                <w:b/>
                <w:bCs/>
                <w:color w:val="000000"/>
                <w:sz w:val="18"/>
                <w:szCs w:val="18"/>
              </w:rPr>
              <w:t>Frequency of Response</w:t>
            </w:r>
          </w:p>
        </w:tc>
        <w:tc>
          <w:tcPr>
            <w:tcW w:w="1178" w:type="dxa"/>
            <w:shd w:val="clear" w:color="auto" w:fill="auto"/>
            <w:vAlign w:val="bottom"/>
          </w:tcPr>
          <w:p w:rsidRPr="00FF02F8" w:rsidR="00EC6224" w:rsidP="00FF02F8" w:rsidRDefault="00EC6224" w14:paraId="510786D4" w14:textId="591E7A77">
            <w:pPr>
              <w:spacing w:after="0" w:line="240" w:lineRule="auto"/>
              <w:jc w:val="right"/>
              <w:rPr>
                <w:rFonts w:ascii="Times New Roman" w:hAnsi="Times New Roman"/>
                <w:sz w:val="24"/>
                <w:szCs w:val="24"/>
              </w:rPr>
            </w:pPr>
            <w:r w:rsidRPr="00FF02F8">
              <w:rPr>
                <w:rFonts w:cs="Calibri"/>
                <w:b/>
                <w:bCs/>
                <w:color w:val="000000"/>
                <w:sz w:val="18"/>
                <w:szCs w:val="18"/>
              </w:rPr>
              <w:t>Responses Per Annum</w:t>
            </w:r>
          </w:p>
        </w:tc>
        <w:tc>
          <w:tcPr>
            <w:tcW w:w="1274" w:type="dxa"/>
            <w:shd w:val="clear" w:color="auto" w:fill="auto"/>
            <w:vAlign w:val="bottom"/>
          </w:tcPr>
          <w:p w:rsidRPr="00FF02F8" w:rsidR="00EC6224" w:rsidP="00FF02F8" w:rsidRDefault="00EC6224" w14:paraId="28CC5360" w14:textId="014D1F7F">
            <w:pPr>
              <w:spacing w:after="0" w:line="240" w:lineRule="auto"/>
              <w:jc w:val="right"/>
              <w:rPr>
                <w:rFonts w:ascii="Times New Roman" w:hAnsi="Times New Roman"/>
                <w:sz w:val="24"/>
                <w:szCs w:val="24"/>
              </w:rPr>
            </w:pPr>
            <w:r w:rsidRPr="00FF02F8">
              <w:rPr>
                <w:rFonts w:cs="Calibri"/>
                <w:b/>
                <w:bCs/>
                <w:color w:val="000000"/>
                <w:sz w:val="18"/>
                <w:szCs w:val="18"/>
              </w:rPr>
              <w:t>Burden Hour Per Response</w:t>
            </w:r>
          </w:p>
        </w:tc>
        <w:tc>
          <w:tcPr>
            <w:tcW w:w="1209" w:type="dxa"/>
            <w:shd w:val="clear" w:color="auto" w:fill="auto"/>
            <w:vAlign w:val="bottom"/>
          </w:tcPr>
          <w:p w:rsidRPr="00FF02F8" w:rsidR="00EC6224" w:rsidP="00FF02F8" w:rsidRDefault="00EC6224" w14:paraId="41A753FB" w14:textId="06BDECB5">
            <w:pPr>
              <w:spacing w:after="0" w:line="240" w:lineRule="auto"/>
              <w:jc w:val="right"/>
              <w:rPr>
                <w:rFonts w:ascii="Times New Roman" w:hAnsi="Times New Roman"/>
                <w:sz w:val="24"/>
                <w:szCs w:val="24"/>
              </w:rPr>
            </w:pPr>
            <w:r w:rsidRPr="00FF02F8">
              <w:rPr>
                <w:rFonts w:cs="Calibri"/>
                <w:b/>
                <w:bCs/>
                <w:color w:val="000000"/>
                <w:sz w:val="18"/>
                <w:szCs w:val="18"/>
              </w:rPr>
              <w:t>Annual Burden Hours</w:t>
            </w:r>
          </w:p>
        </w:tc>
        <w:tc>
          <w:tcPr>
            <w:tcW w:w="1274" w:type="dxa"/>
            <w:shd w:val="clear" w:color="auto" w:fill="auto"/>
            <w:vAlign w:val="bottom"/>
          </w:tcPr>
          <w:p w:rsidRPr="00FF02F8" w:rsidR="00EC6224" w:rsidP="00FF02F8" w:rsidRDefault="00EC6224" w14:paraId="4B4D904F" w14:textId="3F2E9D9E">
            <w:pPr>
              <w:spacing w:after="0" w:line="240" w:lineRule="auto"/>
              <w:jc w:val="right"/>
              <w:rPr>
                <w:rFonts w:ascii="Times New Roman" w:hAnsi="Times New Roman"/>
                <w:sz w:val="24"/>
                <w:szCs w:val="24"/>
              </w:rPr>
            </w:pPr>
            <w:r w:rsidRPr="00FF02F8">
              <w:rPr>
                <w:rFonts w:cs="Calibri"/>
                <w:b/>
                <w:bCs/>
                <w:color w:val="000000"/>
                <w:sz w:val="18"/>
                <w:szCs w:val="18"/>
              </w:rPr>
              <w:t>Hourly Cost Per Response</w:t>
            </w:r>
          </w:p>
        </w:tc>
        <w:tc>
          <w:tcPr>
            <w:tcW w:w="1361" w:type="dxa"/>
            <w:shd w:val="clear" w:color="auto" w:fill="auto"/>
            <w:vAlign w:val="bottom"/>
          </w:tcPr>
          <w:p w:rsidRPr="00FF02F8" w:rsidR="00EC6224" w:rsidP="00FF02F8" w:rsidRDefault="00EC6224" w14:paraId="79A61584" w14:textId="7A618EC6">
            <w:pPr>
              <w:spacing w:after="0" w:line="240" w:lineRule="auto"/>
              <w:jc w:val="right"/>
              <w:rPr>
                <w:rFonts w:ascii="Times New Roman" w:hAnsi="Times New Roman"/>
                <w:sz w:val="24"/>
                <w:szCs w:val="24"/>
              </w:rPr>
            </w:pPr>
            <w:r w:rsidRPr="00FF02F8">
              <w:rPr>
                <w:rFonts w:cs="Calibri"/>
                <w:b/>
                <w:bCs/>
                <w:color w:val="000000"/>
                <w:sz w:val="18"/>
                <w:szCs w:val="18"/>
              </w:rPr>
              <w:t>Annual Cost</w:t>
            </w:r>
          </w:p>
        </w:tc>
      </w:tr>
      <w:tr w:rsidR="004A2F7B" w:rsidTr="00FF02F8" w14:paraId="3F8A39A3" w14:textId="77777777">
        <w:tc>
          <w:tcPr>
            <w:tcW w:w="9918" w:type="dxa"/>
            <w:gridSpan w:val="8"/>
            <w:shd w:val="clear" w:color="auto" w:fill="F2F2F2"/>
            <w:vAlign w:val="bottom"/>
          </w:tcPr>
          <w:p w:rsidRPr="00FF02F8" w:rsidR="004A2F7B" w:rsidP="00FF02F8" w:rsidRDefault="004A2F7B" w14:paraId="7F56C9D7" w14:textId="5F5F3F82">
            <w:pPr>
              <w:spacing w:after="0" w:line="240" w:lineRule="auto"/>
              <w:rPr>
                <w:rFonts w:ascii="Times New Roman" w:hAnsi="Times New Roman"/>
                <w:b/>
                <w:sz w:val="24"/>
                <w:szCs w:val="24"/>
              </w:rPr>
            </w:pPr>
            <w:r w:rsidRPr="00FF02F8">
              <w:rPr>
                <w:rFonts w:cs="Calibri"/>
                <w:b/>
                <w:iCs/>
                <w:sz w:val="18"/>
                <w:szCs w:val="18"/>
              </w:rPr>
              <w:t>Property Preservation and Disposition Claims</w:t>
            </w:r>
          </w:p>
        </w:tc>
      </w:tr>
      <w:tr w:rsidR="00FF02F8" w:rsidTr="00FF02F8" w14:paraId="19BDD733" w14:textId="77777777">
        <w:tc>
          <w:tcPr>
            <w:tcW w:w="1268" w:type="dxa"/>
            <w:shd w:val="clear" w:color="auto" w:fill="auto"/>
            <w:vAlign w:val="bottom"/>
          </w:tcPr>
          <w:p w:rsidRPr="00FF02F8" w:rsidR="006D275A" w:rsidP="00FF02F8" w:rsidRDefault="005C2631" w14:paraId="34D1F7DC" w14:textId="13EEA961">
            <w:pPr>
              <w:spacing w:after="0" w:line="240" w:lineRule="auto"/>
              <w:jc w:val="right"/>
              <w:rPr>
                <w:rFonts w:ascii="Times New Roman" w:hAnsi="Times New Roman"/>
                <w:sz w:val="24"/>
                <w:szCs w:val="24"/>
              </w:rPr>
            </w:pPr>
            <w:r w:rsidRPr="00FF02F8">
              <w:rPr>
                <w:rFonts w:cs="Calibri"/>
                <w:sz w:val="18"/>
                <w:szCs w:val="18"/>
              </w:rPr>
              <w:t>Requests for Occupied Conveyance</w:t>
            </w:r>
            <w:r w:rsidRPr="00FF02F8" w:rsidR="006D275A">
              <w:rPr>
                <w:rFonts w:cs="Calibri"/>
                <w:sz w:val="18"/>
                <w:szCs w:val="18"/>
              </w:rPr>
              <w:t xml:space="preserve"> HUD-9539</w:t>
            </w:r>
          </w:p>
        </w:tc>
        <w:tc>
          <w:tcPr>
            <w:tcW w:w="1194" w:type="dxa"/>
            <w:shd w:val="clear" w:color="auto" w:fill="auto"/>
            <w:vAlign w:val="bottom"/>
          </w:tcPr>
          <w:p w:rsidRPr="00FF02F8" w:rsidR="006D275A" w:rsidP="00FF02F8" w:rsidRDefault="006B5378" w14:paraId="761E7DFF" w14:textId="18CC9F38">
            <w:pPr>
              <w:spacing w:after="0" w:line="240" w:lineRule="auto"/>
              <w:jc w:val="right"/>
              <w:rPr>
                <w:rFonts w:ascii="Times New Roman" w:hAnsi="Times New Roman"/>
                <w:sz w:val="24"/>
                <w:szCs w:val="24"/>
              </w:rPr>
            </w:pPr>
            <w:r>
              <w:rPr>
                <w:rFonts w:cs="Calibri"/>
                <w:color w:val="000000"/>
                <w:sz w:val="18"/>
                <w:szCs w:val="18"/>
              </w:rPr>
              <w:t>10</w:t>
            </w:r>
            <w:r w:rsidRPr="00FF02F8" w:rsidR="006D275A">
              <w:rPr>
                <w:rFonts w:cs="Calibri"/>
                <w:color w:val="000000"/>
                <w:sz w:val="18"/>
                <w:szCs w:val="18"/>
              </w:rPr>
              <w:t>0</w:t>
            </w:r>
          </w:p>
        </w:tc>
        <w:tc>
          <w:tcPr>
            <w:tcW w:w="1160" w:type="dxa"/>
            <w:shd w:val="clear" w:color="auto" w:fill="auto"/>
            <w:vAlign w:val="bottom"/>
          </w:tcPr>
          <w:p w:rsidRPr="00FF02F8" w:rsidR="006D275A" w:rsidP="00FF02F8" w:rsidRDefault="006D275A" w14:paraId="0AD49FFE" w14:textId="47892B74">
            <w:pPr>
              <w:spacing w:after="0" w:line="240" w:lineRule="auto"/>
              <w:jc w:val="right"/>
              <w:rPr>
                <w:rFonts w:ascii="Times New Roman" w:hAnsi="Times New Roman"/>
                <w:sz w:val="24"/>
                <w:szCs w:val="24"/>
              </w:rPr>
            </w:pPr>
            <w:r w:rsidRPr="00FF02F8">
              <w:rPr>
                <w:rFonts w:cs="Calibri"/>
                <w:color w:val="000000"/>
                <w:sz w:val="18"/>
                <w:szCs w:val="18"/>
              </w:rPr>
              <w:t>15.54</w:t>
            </w:r>
          </w:p>
        </w:tc>
        <w:tc>
          <w:tcPr>
            <w:tcW w:w="1178" w:type="dxa"/>
            <w:shd w:val="clear" w:color="auto" w:fill="auto"/>
            <w:vAlign w:val="bottom"/>
          </w:tcPr>
          <w:p w:rsidRPr="00FF02F8" w:rsidR="006D275A" w:rsidP="00FF02F8" w:rsidRDefault="006B5378" w14:paraId="1A0A8C99" w14:textId="7DF2FBC1">
            <w:pPr>
              <w:spacing w:after="0" w:line="240" w:lineRule="auto"/>
              <w:jc w:val="right"/>
              <w:rPr>
                <w:rFonts w:ascii="Times New Roman" w:hAnsi="Times New Roman"/>
                <w:sz w:val="24"/>
                <w:szCs w:val="24"/>
              </w:rPr>
            </w:pPr>
            <w:r>
              <w:rPr>
                <w:rFonts w:cs="Calibri"/>
                <w:color w:val="000000"/>
                <w:sz w:val="18"/>
                <w:szCs w:val="18"/>
              </w:rPr>
              <w:t>1,</w:t>
            </w:r>
            <w:r w:rsidRPr="00FF02F8" w:rsidR="006D275A">
              <w:rPr>
                <w:rFonts w:cs="Calibri"/>
                <w:color w:val="000000"/>
                <w:sz w:val="18"/>
                <w:szCs w:val="18"/>
              </w:rPr>
              <w:t>5</w:t>
            </w:r>
            <w:r>
              <w:rPr>
                <w:rFonts w:cs="Calibri"/>
                <w:color w:val="000000"/>
                <w:sz w:val="18"/>
                <w:szCs w:val="18"/>
              </w:rPr>
              <w:t>54</w:t>
            </w:r>
            <w:r w:rsidRPr="00FF02F8" w:rsidR="006D275A">
              <w:rPr>
                <w:rFonts w:cs="Calibri"/>
                <w:color w:val="000000"/>
                <w:sz w:val="18"/>
                <w:szCs w:val="18"/>
              </w:rPr>
              <w:t>.</w:t>
            </w:r>
            <w:r>
              <w:rPr>
                <w:rFonts w:cs="Calibri"/>
                <w:color w:val="000000"/>
                <w:sz w:val="18"/>
                <w:szCs w:val="18"/>
              </w:rPr>
              <w:t>0</w:t>
            </w:r>
            <w:r w:rsidRPr="00FF02F8" w:rsidR="006D275A">
              <w:rPr>
                <w:rFonts w:cs="Calibri"/>
                <w:color w:val="000000"/>
                <w:sz w:val="18"/>
                <w:szCs w:val="18"/>
              </w:rPr>
              <w:t>0</w:t>
            </w:r>
          </w:p>
        </w:tc>
        <w:tc>
          <w:tcPr>
            <w:tcW w:w="1274" w:type="dxa"/>
            <w:shd w:val="clear" w:color="auto" w:fill="auto"/>
            <w:vAlign w:val="bottom"/>
          </w:tcPr>
          <w:p w:rsidRPr="00FF02F8" w:rsidR="006D275A" w:rsidP="00FF02F8" w:rsidRDefault="006D275A" w14:paraId="21C07B56" w14:textId="73E39491">
            <w:pPr>
              <w:spacing w:after="0" w:line="240" w:lineRule="auto"/>
              <w:jc w:val="right"/>
              <w:rPr>
                <w:rFonts w:ascii="Times New Roman" w:hAnsi="Times New Roman"/>
                <w:sz w:val="24"/>
                <w:szCs w:val="24"/>
              </w:rPr>
            </w:pPr>
            <w:r w:rsidRPr="00FF02F8">
              <w:rPr>
                <w:rFonts w:cs="Calibri"/>
                <w:color w:val="000000"/>
                <w:sz w:val="18"/>
                <w:szCs w:val="18"/>
              </w:rPr>
              <w:t>0.25</w:t>
            </w:r>
          </w:p>
        </w:tc>
        <w:tc>
          <w:tcPr>
            <w:tcW w:w="1209" w:type="dxa"/>
            <w:shd w:val="clear" w:color="auto" w:fill="auto"/>
            <w:vAlign w:val="bottom"/>
          </w:tcPr>
          <w:p w:rsidRPr="00FF02F8" w:rsidR="006D275A" w:rsidP="00FF02F8" w:rsidRDefault="006B5378" w14:paraId="70485D18" w14:textId="5892EC76">
            <w:pPr>
              <w:spacing w:after="0" w:line="240" w:lineRule="auto"/>
              <w:jc w:val="right"/>
              <w:rPr>
                <w:rFonts w:ascii="Times New Roman" w:hAnsi="Times New Roman"/>
                <w:sz w:val="24"/>
                <w:szCs w:val="24"/>
              </w:rPr>
            </w:pPr>
            <w:r>
              <w:rPr>
                <w:rFonts w:cs="Calibri"/>
                <w:color w:val="000000"/>
                <w:sz w:val="18"/>
                <w:szCs w:val="18"/>
              </w:rPr>
              <w:t>388</w:t>
            </w:r>
            <w:r w:rsidRPr="00FF02F8" w:rsidR="006D275A">
              <w:rPr>
                <w:rFonts w:cs="Calibri"/>
                <w:color w:val="000000"/>
                <w:sz w:val="18"/>
                <w:szCs w:val="18"/>
              </w:rPr>
              <w:t>.</w:t>
            </w:r>
            <w:r>
              <w:rPr>
                <w:rFonts w:cs="Calibri"/>
                <w:color w:val="000000"/>
                <w:sz w:val="18"/>
                <w:szCs w:val="18"/>
              </w:rPr>
              <w:t>5</w:t>
            </w:r>
            <w:r w:rsidRPr="00FF02F8" w:rsidR="006D275A">
              <w:rPr>
                <w:rFonts w:cs="Calibri"/>
                <w:color w:val="000000"/>
                <w:sz w:val="18"/>
                <w:szCs w:val="18"/>
              </w:rPr>
              <w:t>0</w:t>
            </w:r>
          </w:p>
        </w:tc>
        <w:tc>
          <w:tcPr>
            <w:tcW w:w="1274" w:type="dxa"/>
            <w:shd w:val="clear" w:color="auto" w:fill="auto"/>
            <w:vAlign w:val="bottom"/>
          </w:tcPr>
          <w:p w:rsidRPr="00FF02F8" w:rsidR="006D275A" w:rsidP="00FF02F8" w:rsidRDefault="006D275A" w14:paraId="23284D2B" w14:textId="0A10E9DF">
            <w:pPr>
              <w:spacing w:after="0" w:line="240" w:lineRule="auto"/>
              <w:jc w:val="right"/>
              <w:rPr>
                <w:rFonts w:ascii="Times New Roman" w:hAnsi="Times New Roman"/>
                <w:sz w:val="24"/>
                <w:szCs w:val="24"/>
              </w:rPr>
            </w:pPr>
            <w:r w:rsidRPr="00FF02F8">
              <w:rPr>
                <w:rFonts w:cs="Calibri"/>
                <w:color w:val="000000"/>
                <w:sz w:val="18"/>
                <w:szCs w:val="18"/>
              </w:rPr>
              <w:t xml:space="preserve">$20.00 </w:t>
            </w:r>
          </w:p>
        </w:tc>
        <w:tc>
          <w:tcPr>
            <w:tcW w:w="1361" w:type="dxa"/>
            <w:shd w:val="clear" w:color="auto" w:fill="auto"/>
            <w:vAlign w:val="bottom"/>
          </w:tcPr>
          <w:p w:rsidRPr="00FF02F8" w:rsidR="006D275A" w:rsidP="00FF02F8" w:rsidRDefault="00122A3E" w14:paraId="5C253061" w14:textId="1D3D970F">
            <w:pPr>
              <w:spacing w:after="0" w:line="240" w:lineRule="auto"/>
              <w:jc w:val="right"/>
              <w:rPr>
                <w:rFonts w:ascii="Times New Roman" w:hAnsi="Times New Roman"/>
                <w:sz w:val="24"/>
                <w:szCs w:val="24"/>
              </w:rPr>
            </w:pPr>
            <w:r w:rsidRPr="00FF02F8">
              <w:rPr>
                <w:rFonts w:cs="Calibri"/>
                <w:color w:val="000000"/>
                <w:sz w:val="18"/>
                <w:szCs w:val="18"/>
              </w:rPr>
              <w:t>$</w:t>
            </w:r>
            <w:r w:rsidR="006B5378">
              <w:rPr>
                <w:rFonts w:cs="Calibri"/>
                <w:color w:val="000000"/>
                <w:sz w:val="18"/>
                <w:szCs w:val="18"/>
              </w:rPr>
              <w:t>7,770</w:t>
            </w:r>
            <w:r w:rsidRPr="00FF02F8" w:rsidR="006D275A">
              <w:rPr>
                <w:rFonts w:cs="Calibri"/>
                <w:color w:val="000000"/>
                <w:sz w:val="18"/>
                <w:szCs w:val="18"/>
              </w:rPr>
              <w:t>.00</w:t>
            </w:r>
          </w:p>
        </w:tc>
      </w:tr>
      <w:tr w:rsidR="008A7598" w:rsidTr="00FF02F8" w14:paraId="59449B8B" w14:textId="77777777">
        <w:tc>
          <w:tcPr>
            <w:tcW w:w="9918" w:type="dxa"/>
            <w:gridSpan w:val="8"/>
            <w:shd w:val="clear" w:color="auto" w:fill="auto"/>
            <w:vAlign w:val="center"/>
          </w:tcPr>
          <w:p w:rsidRPr="00FF02F8" w:rsidR="008A7598" w:rsidP="00FF02F8" w:rsidRDefault="008A7598" w14:paraId="0A682AF4" w14:textId="4717D805">
            <w:pPr>
              <w:spacing w:after="0" w:line="240" w:lineRule="auto"/>
              <w:rPr>
                <w:rFonts w:cs="Calibri"/>
                <w:b/>
                <w:bCs/>
                <w:color w:val="000000"/>
                <w:sz w:val="18"/>
                <w:szCs w:val="18"/>
              </w:rPr>
            </w:pPr>
            <w:r w:rsidRPr="00FF02F8">
              <w:rPr>
                <w:rFonts w:cs="Calibri"/>
                <w:b/>
                <w:bCs/>
                <w:sz w:val="18"/>
                <w:szCs w:val="18"/>
              </w:rPr>
              <w:t>Unoccupied Conveyance</w:t>
            </w:r>
          </w:p>
        </w:tc>
      </w:tr>
      <w:tr w:rsidR="00FF02F8" w:rsidTr="00FF02F8" w14:paraId="7E3A1375" w14:textId="77777777">
        <w:tc>
          <w:tcPr>
            <w:tcW w:w="1268" w:type="dxa"/>
            <w:shd w:val="clear" w:color="auto" w:fill="F2F2F2"/>
            <w:vAlign w:val="center"/>
          </w:tcPr>
          <w:p w:rsidRPr="00FF02F8" w:rsidR="00497D3B" w:rsidP="00FF02F8" w:rsidRDefault="001559C0" w14:paraId="5B3BFEE5" w14:textId="24C43715">
            <w:pPr>
              <w:spacing w:after="0" w:line="240" w:lineRule="auto"/>
              <w:jc w:val="right"/>
              <w:rPr>
                <w:rFonts w:cs="Calibri"/>
                <w:sz w:val="18"/>
                <w:szCs w:val="18"/>
              </w:rPr>
            </w:pPr>
            <w:r>
              <w:rPr>
                <w:rFonts w:cs="Calibri"/>
                <w:sz w:val="18"/>
                <w:szCs w:val="18"/>
              </w:rPr>
              <w:t>Mortgagee</w:t>
            </w:r>
            <w:r w:rsidR="006B5378">
              <w:rPr>
                <w:rFonts w:cs="Calibri"/>
                <w:sz w:val="18"/>
                <w:szCs w:val="18"/>
              </w:rPr>
              <w:t>’s</w:t>
            </w:r>
            <w:r w:rsidRPr="00FF02F8" w:rsidR="009D794F">
              <w:rPr>
                <w:rFonts w:cs="Calibri"/>
                <w:sz w:val="18"/>
                <w:szCs w:val="18"/>
              </w:rPr>
              <w:t xml:space="preserve"> Req</w:t>
            </w:r>
            <w:r w:rsidRPr="00FF02F8" w:rsidR="007C7580">
              <w:rPr>
                <w:rFonts w:cs="Calibri"/>
                <w:sz w:val="18"/>
                <w:szCs w:val="18"/>
              </w:rPr>
              <w:t>uest</w:t>
            </w:r>
            <w:r w:rsidRPr="00FF02F8" w:rsidR="009D794F">
              <w:rPr>
                <w:rFonts w:cs="Calibri"/>
                <w:sz w:val="18"/>
                <w:szCs w:val="18"/>
              </w:rPr>
              <w:t xml:space="preserve"> for Ext</w:t>
            </w:r>
            <w:r w:rsidR="006B5378">
              <w:rPr>
                <w:rFonts w:cs="Calibri"/>
                <w:sz w:val="18"/>
                <w:szCs w:val="18"/>
              </w:rPr>
              <w:t>ension</w:t>
            </w:r>
            <w:r w:rsidRPr="00FF02F8" w:rsidR="007C7580">
              <w:rPr>
                <w:rFonts w:cs="Calibri"/>
                <w:sz w:val="18"/>
                <w:szCs w:val="18"/>
              </w:rPr>
              <w:t xml:space="preserve"> of Time</w:t>
            </w:r>
          </w:p>
          <w:p w:rsidRPr="00FF02F8" w:rsidR="00472928" w:rsidP="00FF02F8" w:rsidRDefault="007C7580" w14:paraId="22F590D4" w14:textId="1F354F9D">
            <w:pPr>
              <w:spacing w:after="0" w:line="240" w:lineRule="auto"/>
              <w:jc w:val="right"/>
              <w:rPr>
                <w:rFonts w:ascii="Times New Roman" w:hAnsi="Times New Roman"/>
                <w:sz w:val="24"/>
                <w:szCs w:val="24"/>
              </w:rPr>
            </w:pPr>
            <w:r w:rsidRPr="00FF02F8">
              <w:rPr>
                <w:rFonts w:cs="Calibri"/>
                <w:sz w:val="18"/>
                <w:szCs w:val="18"/>
              </w:rPr>
              <w:t xml:space="preserve"> </w:t>
            </w:r>
            <w:r w:rsidRPr="00FF02F8" w:rsidR="00472928">
              <w:rPr>
                <w:rFonts w:cs="Calibri"/>
                <w:sz w:val="18"/>
                <w:szCs w:val="18"/>
              </w:rPr>
              <w:t xml:space="preserve"> HUD-50012</w:t>
            </w:r>
          </w:p>
        </w:tc>
        <w:tc>
          <w:tcPr>
            <w:tcW w:w="1194" w:type="dxa"/>
            <w:shd w:val="clear" w:color="auto" w:fill="F2F2F2"/>
            <w:vAlign w:val="bottom"/>
          </w:tcPr>
          <w:p w:rsidRPr="00FF02F8" w:rsidR="00472928" w:rsidP="00FF02F8" w:rsidRDefault="00472928" w14:paraId="41C1CB90" w14:textId="30A5AE2B">
            <w:pPr>
              <w:spacing w:after="0" w:line="240" w:lineRule="auto"/>
              <w:jc w:val="right"/>
              <w:rPr>
                <w:rFonts w:ascii="Times New Roman" w:hAnsi="Times New Roman"/>
                <w:sz w:val="18"/>
                <w:szCs w:val="18"/>
              </w:rPr>
            </w:pPr>
            <w:r w:rsidRPr="00FF02F8">
              <w:rPr>
                <w:rFonts w:ascii="Times New Roman" w:hAnsi="Times New Roman"/>
                <w:sz w:val="18"/>
                <w:szCs w:val="18"/>
              </w:rPr>
              <w:t>340</w:t>
            </w:r>
          </w:p>
        </w:tc>
        <w:tc>
          <w:tcPr>
            <w:tcW w:w="1160" w:type="dxa"/>
            <w:shd w:val="clear" w:color="auto" w:fill="F2F2F2"/>
            <w:vAlign w:val="bottom"/>
          </w:tcPr>
          <w:p w:rsidRPr="00FF02F8" w:rsidR="00472928" w:rsidP="00FF02F8" w:rsidRDefault="00472928" w14:paraId="42AB3625" w14:textId="73F251E0">
            <w:pPr>
              <w:spacing w:after="0" w:line="240" w:lineRule="auto"/>
              <w:jc w:val="right"/>
              <w:rPr>
                <w:rFonts w:ascii="Times New Roman" w:hAnsi="Times New Roman"/>
                <w:sz w:val="24"/>
                <w:szCs w:val="24"/>
              </w:rPr>
            </w:pPr>
            <w:r w:rsidRPr="00FF02F8">
              <w:rPr>
                <w:rFonts w:cs="Calibri"/>
                <w:color w:val="000000"/>
                <w:sz w:val="18"/>
                <w:szCs w:val="18"/>
              </w:rPr>
              <w:t>196.60</w:t>
            </w:r>
          </w:p>
        </w:tc>
        <w:tc>
          <w:tcPr>
            <w:tcW w:w="1178" w:type="dxa"/>
            <w:shd w:val="clear" w:color="auto" w:fill="F2F2F2"/>
            <w:vAlign w:val="bottom"/>
          </w:tcPr>
          <w:p w:rsidRPr="00FF02F8" w:rsidR="00472928" w:rsidP="00FF02F8" w:rsidRDefault="00472928" w14:paraId="3D48F352" w14:textId="3ECE11B0">
            <w:pPr>
              <w:spacing w:after="0" w:line="240" w:lineRule="auto"/>
              <w:jc w:val="right"/>
              <w:rPr>
                <w:rFonts w:ascii="Times New Roman" w:hAnsi="Times New Roman"/>
                <w:sz w:val="24"/>
                <w:szCs w:val="24"/>
              </w:rPr>
            </w:pPr>
            <w:r w:rsidRPr="00FF02F8">
              <w:rPr>
                <w:rFonts w:cs="Calibri"/>
                <w:color w:val="000000"/>
                <w:sz w:val="18"/>
                <w:szCs w:val="18"/>
              </w:rPr>
              <w:t>66,844.00</w:t>
            </w:r>
          </w:p>
        </w:tc>
        <w:tc>
          <w:tcPr>
            <w:tcW w:w="1274" w:type="dxa"/>
            <w:shd w:val="clear" w:color="auto" w:fill="F2F2F2"/>
            <w:vAlign w:val="bottom"/>
          </w:tcPr>
          <w:p w:rsidRPr="00FF02F8" w:rsidR="00472928" w:rsidP="00FF02F8" w:rsidRDefault="00472928" w14:paraId="32AB6E60" w14:textId="6C1ED320">
            <w:pPr>
              <w:spacing w:after="0" w:line="240" w:lineRule="auto"/>
              <w:jc w:val="right"/>
              <w:rPr>
                <w:rFonts w:ascii="Times New Roman" w:hAnsi="Times New Roman"/>
                <w:sz w:val="24"/>
                <w:szCs w:val="24"/>
              </w:rPr>
            </w:pPr>
            <w:r w:rsidRPr="00FF02F8">
              <w:rPr>
                <w:rFonts w:cs="Calibri"/>
                <w:color w:val="000000"/>
                <w:sz w:val="18"/>
                <w:szCs w:val="18"/>
              </w:rPr>
              <w:t>0.25</w:t>
            </w:r>
          </w:p>
        </w:tc>
        <w:tc>
          <w:tcPr>
            <w:tcW w:w="1209" w:type="dxa"/>
            <w:shd w:val="clear" w:color="auto" w:fill="F2F2F2"/>
            <w:vAlign w:val="bottom"/>
          </w:tcPr>
          <w:p w:rsidRPr="00FF02F8" w:rsidR="00472928" w:rsidP="00FF02F8" w:rsidRDefault="00472928" w14:paraId="75B62DB1" w14:textId="277DFABE">
            <w:pPr>
              <w:spacing w:after="0" w:line="240" w:lineRule="auto"/>
              <w:jc w:val="right"/>
              <w:rPr>
                <w:rFonts w:ascii="Times New Roman" w:hAnsi="Times New Roman"/>
                <w:sz w:val="24"/>
                <w:szCs w:val="24"/>
              </w:rPr>
            </w:pPr>
            <w:r w:rsidRPr="00FF02F8">
              <w:rPr>
                <w:rFonts w:cs="Calibri"/>
                <w:color w:val="000000"/>
                <w:sz w:val="18"/>
                <w:szCs w:val="18"/>
              </w:rPr>
              <w:t>16,711.00</w:t>
            </w:r>
          </w:p>
        </w:tc>
        <w:tc>
          <w:tcPr>
            <w:tcW w:w="1274" w:type="dxa"/>
            <w:shd w:val="clear" w:color="auto" w:fill="F2F2F2"/>
            <w:vAlign w:val="bottom"/>
          </w:tcPr>
          <w:p w:rsidRPr="00FF02F8" w:rsidR="00472928" w:rsidP="00FF02F8" w:rsidRDefault="00472928" w14:paraId="6903D0D1" w14:textId="4294240C">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472928" w:rsidP="00FF02F8" w:rsidRDefault="00472928" w14:paraId="526EC2F5" w14:textId="6125AA37">
            <w:pPr>
              <w:spacing w:after="0" w:line="240" w:lineRule="auto"/>
              <w:jc w:val="right"/>
              <w:rPr>
                <w:rFonts w:ascii="Times New Roman" w:hAnsi="Times New Roman"/>
                <w:sz w:val="18"/>
                <w:szCs w:val="18"/>
              </w:rPr>
            </w:pPr>
            <w:r w:rsidRPr="00FF02F8">
              <w:rPr>
                <w:rFonts w:cs="Calibri"/>
                <w:color w:val="000000"/>
                <w:sz w:val="18"/>
                <w:szCs w:val="18"/>
              </w:rPr>
              <w:t xml:space="preserve">$334,220.00 </w:t>
            </w:r>
          </w:p>
        </w:tc>
      </w:tr>
      <w:tr w:rsidR="00FF02F8" w:rsidTr="00FF02F8" w14:paraId="65930825" w14:textId="77777777">
        <w:tc>
          <w:tcPr>
            <w:tcW w:w="1268" w:type="dxa"/>
            <w:shd w:val="clear" w:color="auto" w:fill="auto"/>
            <w:vAlign w:val="center"/>
          </w:tcPr>
          <w:p w:rsidRPr="00FF02F8" w:rsidR="00E865F0" w:rsidP="00FF02F8" w:rsidRDefault="00135FE2" w14:paraId="15096345" w14:textId="23699247">
            <w:pPr>
              <w:spacing w:after="0" w:line="240" w:lineRule="auto"/>
              <w:jc w:val="right"/>
              <w:rPr>
                <w:rFonts w:ascii="Times New Roman" w:hAnsi="Times New Roman"/>
                <w:sz w:val="24"/>
                <w:szCs w:val="24"/>
              </w:rPr>
            </w:pPr>
            <w:r w:rsidRPr="00FF02F8">
              <w:rPr>
                <w:rFonts w:cs="Calibri"/>
                <w:sz w:val="18"/>
                <w:szCs w:val="18"/>
              </w:rPr>
              <w:lastRenderedPageBreak/>
              <w:t>Claim</w:t>
            </w:r>
            <w:r w:rsidRPr="00FF02F8" w:rsidR="007C6C89">
              <w:rPr>
                <w:rFonts w:cs="Calibri"/>
                <w:sz w:val="18"/>
                <w:szCs w:val="18"/>
              </w:rPr>
              <w:t>s</w:t>
            </w:r>
            <w:r w:rsidRPr="00FF02F8" w:rsidR="00E865F0">
              <w:rPr>
                <w:rFonts w:cs="Calibri"/>
                <w:sz w:val="18"/>
                <w:szCs w:val="18"/>
              </w:rPr>
              <w:t xml:space="preserve"> HUD-27011 </w:t>
            </w:r>
          </w:p>
        </w:tc>
        <w:tc>
          <w:tcPr>
            <w:tcW w:w="1194" w:type="dxa"/>
            <w:shd w:val="clear" w:color="auto" w:fill="auto"/>
            <w:vAlign w:val="bottom"/>
          </w:tcPr>
          <w:p w:rsidRPr="00FF02F8" w:rsidR="00E865F0" w:rsidP="00FF02F8" w:rsidRDefault="00CD759D" w14:paraId="243219F9" w14:textId="1DD481F3">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auto"/>
            <w:vAlign w:val="bottom"/>
          </w:tcPr>
          <w:p w:rsidRPr="00FF02F8" w:rsidR="00E865F0" w:rsidP="00FF02F8" w:rsidRDefault="00E865F0" w14:paraId="311B1902" w14:textId="27090E16">
            <w:pPr>
              <w:spacing w:after="0" w:line="240" w:lineRule="auto"/>
              <w:jc w:val="right"/>
              <w:rPr>
                <w:rFonts w:ascii="Times New Roman" w:hAnsi="Times New Roman"/>
                <w:sz w:val="24"/>
                <w:szCs w:val="24"/>
              </w:rPr>
            </w:pPr>
            <w:r w:rsidRPr="00FF02F8">
              <w:rPr>
                <w:rFonts w:cs="Calibri"/>
                <w:color w:val="000000"/>
                <w:sz w:val="18"/>
                <w:szCs w:val="18"/>
              </w:rPr>
              <w:t>234.64</w:t>
            </w:r>
          </w:p>
        </w:tc>
        <w:tc>
          <w:tcPr>
            <w:tcW w:w="1178" w:type="dxa"/>
            <w:shd w:val="clear" w:color="auto" w:fill="auto"/>
            <w:vAlign w:val="bottom"/>
          </w:tcPr>
          <w:p w:rsidRPr="00FF02F8" w:rsidR="00E865F0" w:rsidP="00FF02F8" w:rsidRDefault="00E865F0" w14:paraId="779B3A5D" w14:textId="216E2B46">
            <w:pPr>
              <w:spacing w:after="0" w:line="240" w:lineRule="auto"/>
              <w:jc w:val="right"/>
              <w:rPr>
                <w:rFonts w:ascii="Times New Roman" w:hAnsi="Times New Roman"/>
                <w:sz w:val="24"/>
                <w:szCs w:val="24"/>
              </w:rPr>
            </w:pPr>
            <w:r w:rsidRPr="00FF02F8">
              <w:rPr>
                <w:rFonts w:cs="Calibri"/>
                <w:color w:val="000000"/>
                <w:sz w:val="18"/>
                <w:szCs w:val="18"/>
              </w:rPr>
              <w:t>79,777.60</w:t>
            </w:r>
          </w:p>
        </w:tc>
        <w:tc>
          <w:tcPr>
            <w:tcW w:w="1274" w:type="dxa"/>
            <w:shd w:val="clear" w:color="auto" w:fill="auto"/>
            <w:vAlign w:val="bottom"/>
          </w:tcPr>
          <w:p w:rsidRPr="00FF02F8" w:rsidR="00E865F0" w:rsidP="00FF02F8" w:rsidRDefault="00E865F0" w14:paraId="191AFD6B" w14:textId="1A7EE8A2">
            <w:pPr>
              <w:spacing w:after="0" w:line="240" w:lineRule="auto"/>
              <w:jc w:val="right"/>
              <w:rPr>
                <w:rFonts w:ascii="Times New Roman" w:hAnsi="Times New Roman"/>
                <w:sz w:val="24"/>
                <w:szCs w:val="24"/>
              </w:rPr>
            </w:pPr>
            <w:r w:rsidRPr="00FF02F8">
              <w:rPr>
                <w:rFonts w:cs="Calibri"/>
                <w:color w:val="000000"/>
                <w:sz w:val="18"/>
                <w:szCs w:val="18"/>
              </w:rPr>
              <w:t>1.33</w:t>
            </w:r>
          </w:p>
        </w:tc>
        <w:tc>
          <w:tcPr>
            <w:tcW w:w="1209" w:type="dxa"/>
            <w:shd w:val="clear" w:color="auto" w:fill="auto"/>
            <w:vAlign w:val="bottom"/>
          </w:tcPr>
          <w:p w:rsidRPr="00FF02F8" w:rsidR="00E865F0" w:rsidP="00FF02F8" w:rsidRDefault="00E865F0" w14:paraId="3B78C09F" w14:textId="11AF5E47">
            <w:pPr>
              <w:spacing w:after="0" w:line="240" w:lineRule="auto"/>
              <w:jc w:val="right"/>
              <w:rPr>
                <w:rFonts w:ascii="Times New Roman" w:hAnsi="Times New Roman"/>
                <w:sz w:val="24"/>
                <w:szCs w:val="24"/>
              </w:rPr>
            </w:pPr>
            <w:r w:rsidRPr="00FF02F8">
              <w:rPr>
                <w:rFonts w:cs="Calibri"/>
                <w:color w:val="000000"/>
                <w:sz w:val="18"/>
                <w:szCs w:val="18"/>
              </w:rPr>
              <w:t>106,104.21</w:t>
            </w:r>
          </w:p>
        </w:tc>
        <w:tc>
          <w:tcPr>
            <w:tcW w:w="1274" w:type="dxa"/>
            <w:shd w:val="clear" w:color="auto" w:fill="auto"/>
            <w:vAlign w:val="bottom"/>
          </w:tcPr>
          <w:p w:rsidRPr="00FF02F8" w:rsidR="00E865F0" w:rsidP="00FF02F8" w:rsidRDefault="00E865F0" w14:paraId="228269EE" w14:textId="3B91537B">
            <w:pPr>
              <w:spacing w:after="0" w:line="240" w:lineRule="auto"/>
              <w:jc w:val="right"/>
              <w:rPr>
                <w:rFonts w:ascii="Times New Roman" w:hAnsi="Times New Roman"/>
                <w:sz w:val="18"/>
                <w:szCs w:val="18"/>
              </w:rPr>
            </w:pPr>
            <w:r w:rsidRPr="00FF02F8">
              <w:rPr>
                <w:rFonts w:cs="Calibri"/>
                <w:color w:val="000000"/>
                <w:sz w:val="18"/>
                <w:szCs w:val="18"/>
              </w:rPr>
              <w:t xml:space="preserve">$20.00 </w:t>
            </w:r>
          </w:p>
        </w:tc>
        <w:tc>
          <w:tcPr>
            <w:tcW w:w="1361" w:type="dxa"/>
            <w:shd w:val="clear" w:color="auto" w:fill="auto"/>
            <w:vAlign w:val="bottom"/>
          </w:tcPr>
          <w:p w:rsidRPr="00FF02F8" w:rsidR="00E865F0" w:rsidP="00FF02F8" w:rsidRDefault="00E865F0" w14:paraId="0026A4F5" w14:textId="7CFFF4DD">
            <w:pPr>
              <w:spacing w:after="0" w:line="240" w:lineRule="auto"/>
              <w:jc w:val="right"/>
              <w:rPr>
                <w:rFonts w:ascii="Times New Roman" w:hAnsi="Times New Roman"/>
                <w:sz w:val="18"/>
                <w:szCs w:val="18"/>
              </w:rPr>
            </w:pPr>
            <w:r w:rsidRPr="00FF02F8">
              <w:rPr>
                <w:rFonts w:cs="Calibri"/>
                <w:color w:val="000000"/>
                <w:sz w:val="18"/>
                <w:szCs w:val="18"/>
              </w:rPr>
              <w:t xml:space="preserve">$2,122,084.16 </w:t>
            </w:r>
          </w:p>
        </w:tc>
      </w:tr>
      <w:tr w:rsidR="00FF02F8" w:rsidTr="00FF02F8" w14:paraId="6429D85A" w14:textId="77777777">
        <w:tc>
          <w:tcPr>
            <w:tcW w:w="1268" w:type="dxa"/>
            <w:shd w:val="clear" w:color="auto" w:fill="F2F2F2"/>
            <w:vAlign w:val="center"/>
          </w:tcPr>
          <w:p w:rsidRPr="00FF02F8" w:rsidR="00E865F0" w:rsidP="00FF02F8" w:rsidRDefault="00E865F0" w14:paraId="54AC55AC" w14:textId="78D9DE23">
            <w:pPr>
              <w:spacing w:after="0" w:line="240" w:lineRule="auto"/>
              <w:jc w:val="right"/>
              <w:rPr>
                <w:rFonts w:ascii="Times New Roman" w:hAnsi="Times New Roman"/>
                <w:sz w:val="24"/>
                <w:szCs w:val="24"/>
              </w:rPr>
            </w:pPr>
            <w:r w:rsidRPr="00FF02F8">
              <w:rPr>
                <w:rFonts w:cs="Calibri"/>
                <w:sz w:val="18"/>
                <w:szCs w:val="18"/>
              </w:rPr>
              <w:t>Transfer of Property and Conveyance of Title</w:t>
            </w:r>
          </w:p>
        </w:tc>
        <w:tc>
          <w:tcPr>
            <w:tcW w:w="1194" w:type="dxa"/>
            <w:shd w:val="clear" w:color="auto" w:fill="F2F2F2"/>
            <w:vAlign w:val="bottom"/>
          </w:tcPr>
          <w:p w:rsidRPr="00FF02F8" w:rsidR="00E865F0" w:rsidP="00FF02F8" w:rsidRDefault="00CD759D" w14:paraId="725F94BA" w14:textId="0683C769">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F2F2F2"/>
            <w:vAlign w:val="bottom"/>
          </w:tcPr>
          <w:p w:rsidRPr="00FF02F8" w:rsidR="00E865F0" w:rsidP="00FF02F8" w:rsidRDefault="00E865F0" w14:paraId="57D99D54" w14:textId="0FC091F4">
            <w:pPr>
              <w:spacing w:after="0" w:line="240" w:lineRule="auto"/>
              <w:jc w:val="right"/>
              <w:rPr>
                <w:rFonts w:ascii="Times New Roman" w:hAnsi="Times New Roman"/>
                <w:sz w:val="24"/>
                <w:szCs w:val="24"/>
              </w:rPr>
            </w:pPr>
            <w:r w:rsidRPr="00FF02F8">
              <w:rPr>
                <w:rFonts w:cs="Calibri"/>
                <w:color w:val="000000"/>
                <w:sz w:val="18"/>
                <w:szCs w:val="18"/>
              </w:rPr>
              <w:t>155.34</w:t>
            </w:r>
          </w:p>
        </w:tc>
        <w:tc>
          <w:tcPr>
            <w:tcW w:w="1178" w:type="dxa"/>
            <w:shd w:val="clear" w:color="auto" w:fill="F2F2F2"/>
            <w:vAlign w:val="bottom"/>
          </w:tcPr>
          <w:p w:rsidRPr="00FF02F8" w:rsidR="00E865F0" w:rsidP="00FF02F8" w:rsidRDefault="00E865F0" w14:paraId="52757FCC" w14:textId="69ABEE0B">
            <w:pPr>
              <w:spacing w:after="0" w:line="240" w:lineRule="auto"/>
              <w:jc w:val="right"/>
              <w:rPr>
                <w:rFonts w:ascii="Times New Roman" w:hAnsi="Times New Roman"/>
                <w:sz w:val="24"/>
                <w:szCs w:val="24"/>
              </w:rPr>
            </w:pPr>
            <w:r w:rsidRPr="00FF02F8">
              <w:rPr>
                <w:rFonts w:cs="Calibri"/>
                <w:color w:val="000000"/>
                <w:sz w:val="18"/>
                <w:szCs w:val="18"/>
              </w:rPr>
              <w:t>52,815.60</w:t>
            </w:r>
          </w:p>
        </w:tc>
        <w:tc>
          <w:tcPr>
            <w:tcW w:w="1274" w:type="dxa"/>
            <w:shd w:val="clear" w:color="auto" w:fill="F2F2F2"/>
            <w:vAlign w:val="bottom"/>
          </w:tcPr>
          <w:p w:rsidRPr="00FF02F8" w:rsidR="00E865F0" w:rsidP="00FF02F8" w:rsidRDefault="00E865F0" w14:paraId="00B49E9D" w14:textId="03D802E0">
            <w:pPr>
              <w:spacing w:after="0" w:line="240" w:lineRule="auto"/>
              <w:jc w:val="right"/>
              <w:rPr>
                <w:rFonts w:ascii="Times New Roman" w:hAnsi="Times New Roman"/>
                <w:sz w:val="24"/>
                <w:szCs w:val="24"/>
              </w:rPr>
            </w:pPr>
            <w:r w:rsidRPr="00FF02F8">
              <w:rPr>
                <w:rFonts w:cs="Calibri"/>
                <w:color w:val="000000"/>
                <w:sz w:val="18"/>
                <w:szCs w:val="18"/>
              </w:rPr>
              <w:t>2.00</w:t>
            </w:r>
          </w:p>
        </w:tc>
        <w:tc>
          <w:tcPr>
            <w:tcW w:w="1209" w:type="dxa"/>
            <w:shd w:val="clear" w:color="auto" w:fill="F2F2F2"/>
            <w:vAlign w:val="bottom"/>
          </w:tcPr>
          <w:p w:rsidRPr="00FF02F8" w:rsidR="00E865F0" w:rsidP="00FF02F8" w:rsidRDefault="00E865F0" w14:paraId="2C3596EC" w14:textId="10F30DEA">
            <w:pPr>
              <w:spacing w:after="0" w:line="240" w:lineRule="auto"/>
              <w:jc w:val="right"/>
              <w:rPr>
                <w:rFonts w:ascii="Times New Roman" w:hAnsi="Times New Roman"/>
                <w:sz w:val="24"/>
                <w:szCs w:val="24"/>
              </w:rPr>
            </w:pPr>
            <w:r w:rsidRPr="00FF02F8">
              <w:rPr>
                <w:rFonts w:cs="Calibri"/>
                <w:color w:val="000000"/>
                <w:sz w:val="18"/>
                <w:szCs w:val="18"/>
              </w:rPr>
              <w:t>105,631.20</w:t>
            </w:r>
          </w:p>
        </w:tc>
        <w:tc>
          <w:tcPr>
            <w:tcW w:w="1274" w:type="dxa"/>
            <w:shd w:val="clear" w:color="auto" w:fill="F2F2F2"/>
            <w:vAlign w:val="bottom"/>
          </w:tcPr>
          <w:p w:rsidRPr="00FF02F8" w:rsidR="00E865F0" w:rsidP="00FF02F8" w:rsidRDefault="00E865F0" w14:paraId="1EEBA3D2" w14:textId="513C5B98">
            <w:pPr>
              <w:spacing w:after="0" w:line="240" w:lineRule="auto"/>
              <w:jc w:val="right"/>
              <w:rPr>
                <w:rFonts w:ascii="Times New Roman" w:hAnsi="Times New Roman"/>
                <w:sz w:val="18"/>
                <w:szCs w:val="18"/>
              </w:rPr>
            </w:pPr>
            <w:r w:rsidRPr="00FF02F8">
              <w:rPr>
                <w:rFonts w:cs="Calibri"/>
                <w:sz w:val="18"/>
                <w:szCs w:val="18"/>
              </w:rPr>
              <w:t>$20.00</w:t>
            </w:r>
          </w:p>
        </w:tc>
        <w:tc>
          <w:tcPr>
            <w:tcW w:w="1361" w:type="dxa"/>
            <w:shd w:val="clear" w:color="auto" w:fill="F2F2F2"/>
            <w:vAlign w:val="bottom"/>
          </w:tcPr>
          <w:p w:rsidRPr="00FF02F8" w:rsidR="00E865F0" w:rsidP="00FF02F8" w:rsidRDefault="00E865F0" w14:paraId="50F8643A" w14:textId="53271F2E">
            <w:pPr>
              <w:spacing w:after="0" w:line="240" w:lineRule="auto"/>
              <w:jc w:val="right"/>
              <w:rPr>
                <w:rFonts w:ascii="Times New Roman" w:hAnsi="Times New Roman"/>
                <w:sz w:val="18"/>
                <w:szCs w:val="18"/>
              </w:rPr>
            </w:pPr>
            <w:r w:rsidRPr="00FF02F8">
              <w:rPr>
                <w:rFonts w:cs="Calibri"/>
                <w:color w:val="000000"/>
                <w:sz w:val="18"/>
                <w:szCs w:val="18"/>
              </w:rPr>
              <w:t>$2,</w:t>
            </w:r>
            <w:r w:rsidRPr="00FF02F8" w:rsidR="00082ADF">
              <w:rPr>
                <w:rFonts w:cs="Calibri"/>
                <w:color w:val="000000"/>
                <w:sz w:val="18"/>
                <w:szCs w:val="18"/>
              </w:rPr>
              <w:t>112,624.00</w:t>
            </w:r>
            <w:r w:rsidRPr="00FF02F8">
              <w:rPr>
                <w:rFonts w:cs="Calibri"/>
                <w:color w:val="000000"/>
                <w:sz w:val="18"/>
                <w:szCs w:val="18"/>
              </w:rPr>
              <w:t xml:space="preserve"> </w:t>
            </w:r>
          </w:p>
        </w:tc>
      </w:tr>
      <w:tr w:rsidR="00FF02F8" w:rsidTr="00FF02F8" w14:paraId="08DEADF4" w14:textId="77777777">
        <w:tc>
          <w:tcPr>
            <w:tcW w:w="1268" w:type="dxa"/>
            <w:shd w:val="clear" w:color="auto" w:fill="auto"/>
            <w:vAlign w:val="center"/>
          </w:tcPr>
          <w:p w:rsidRPr="00FF02F8" w:rsidR="00E865F0" w:rsidP="00FF02F8" w:rsidRDefault="00E865F0" w14:paraId="345DDD99" w14:textId="592BEE22">
            <w:pPr>
              <w:spacing w:after="0" w:line="240" w:lineRule="auto"/>
              <w:jc w:val="right"/>
              <w:rPr>
                <w:rFonts w:ascii="Times New Roman" w:hAnsi="Times New Roman"/>
                <w:sz w:val="24"/>
                <w:szCs w:val="24"/>
              </w:rPr>
            </w:pPr>
            <w:r w:rsidRPr="00FF02F8">
              <w:rPr>
                <w:rFonts w:cs="Calibri"/>
                <w:sz w:val="18"/>
                <w:szCs w:val="18"/>
              </w:rPr>
              <w:t>Reconveyance of Title</w:t>
            </w:r>
          </w:p>
        </w:tc>
        <w:tc>
          <w:tcPr>
            <w:tcW w:w="1194" w:type="dxa"/>
            <w:shd w:val="clear" w:color="auto" w:fill="auto"/>
            <w:vAlign w:val="bottom"/>
          </w:tcPr>
          <w:p w:rsidRPr="00FF02F8" w:rsidR="00E865F0" w:rsidP="00FF02F8" w:rsidRDefault="00CD759D" w14:paraId="100AF573" w14:textId="50501D1B">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auto"/>
            <w:vAlign w:val="bottom"/>
          </w:tcPr>
          <w:p w:rsidRPr="00FF02F8" w:rsidR="00E865F0" w:rsidP="00FF02F8" w:rsidRDefault="00E865F0" w14:paraId="0F76FF78" w14:textId="576988DF">
            <w:pPr>
              <w:spacing w:after="0" w:line="240" w:lineRule="auto"/>
              <w:jc w:val="right"/>
              <w:rPr>
                <w:rFonts w:ascii="Times New Roman" w:hAnsi="Times New Roman"/>
                <w:sz w:val="24"/>
                <w:szCs w:val="24"/>
              </w:rPr>
            </w:pPr>
            <w:r w:rsidRPr="00FF02F8">
              <w:rPr>
                <w:rFonts w:cs="Calibri"/>
                <w:color w:val="000000"/>
                <w:sz w:val="18"/>
                <w:szCs w:val="18"/>
              </w:rPr>
              <w:t>2.56</w:t>
            </w:r>
          </w:p>
        </w:tc>
        <w:tc>
          <w:tcPr>
            <w:tcW w:w="1178" w:type="dxa"/>
            <w:shd w:val="clear" w:color="auto" w:fill="auto"/>
            <w:vAlign w:val="bottom"/>
          </w:tcPr>
          <w:p w:rsidRPr="00FF02F8" w:rsidR="00E865F0" w:rsidP="00FF02F8" w:rsidRDefault="00E865F0" w14:paraId="63334508" w14:textId="06B4BC11">
            <w:pPr>
              <w:spacing w:after="0" w:line="240" w:lineRule="auto"/>
              <w:jc w:val="right"/>
              <w:rPr>
                <w:rFonts w:ascii="Times New Roman" w:hAnsi="Times New Roman"/>
                <w:sz w:val="24"/>
                <w:szCs w:val="24"/>
              </w:rPr>
            </w:pPr>
            <w:r w:rsidRPr="00FF02F8">
              <w:rPr>
                <w:rFonts w:cs="Calibri"/>
                <w:color w:val="000000"/>
                <w:sz w:val="18"/>
                <w:szCs w:val="18"/>
              </w:rPr>
              <w:t>870.40</w:t>
            </w:r>
          </w:p>
        </w:tc>
        <w:tc>
          <w:tcPr>
            <w:tcW w:w="1274" w:type="dxa"/>
            <w:shd w:val="clear" w:color="auto" w:fill="auto"/>
            <w:vAlign w:val="bottom"/>
          </w:tcPr>
          <w:p w:rsidRPr="00FF02F8" w:rsidR="00E865F0" w:rsidP="00FF02F8" w:rsidRDefault="00E865F0" w14:paraId="40EC24B7" w14:textId="5E9F7E9D">
            <w:pPr>
              <w:spacing w:after="0" w:line="240" w:lineRule="auto"/>
              <w:jc w:val="right"/>
              <w:rPr>
                <w:rFonts w:ascii="Times New Roman" w:hAnsi="Times New Roman"/>
                <w:sz w:val="24"/>
                <w:szCs w:val="24"/>
              </w:rPr>
            </w:pPr>
            <w:r w:rsidRPr="00FF02F8">
              <w:rPr>
                <w:rFonts w:cs="Calibri"/>
                <w:color w:val="000000"/>
                <w:sz w:val="18"/>
                <w:szCs w:val="18"/>
              </w:rPr>
              <w:t>2.00</w:t>
            </w:r>
          </w:p>
        </w:tc>
        <w:tc>
          <w:tcPr>
            <w:tcW w:w="1209" w:type="dxa"/>
            <w:shd w:val="clear" w:color="auto" w:fill="auto"/>
            <w:vAlign w:val="bottom"/>
          </w:tcPr>
          <w:p w:rsidRPr="00FF02F8" w:rsidR="00E865F0" w:rsidP="00FF02F8" w:rsidRDefault="00E865F0" w14:paraId="3E494E08" w14:textId="27C92DD8">
            <w:pPr>
              <w:spacing w:after="0" w:line="240" w:lineRule="auto"/>
              <w:jc w:val="right"/>
              <w:rPr>
                <w:rFonts w:ascii="Times New Roman" w:hAnsi="Times New Roman"/>
                <w:sz w:val="24"/>
                <w:szCs w:val="24"/>
              </w:rPr>
            </w:pPr>
            <w:r w:rsidRPr="00FF02F8">
              <w:rPr>
                <w:rFonts w:cs="Calibri"/>
                <w:color w:val="000000"/>
                <w:sz w:val="18"/>
                <w:szCs w:val="18"/>
              </w:rPr>
              <w:t>1,740.80</w:t>
            </w:r>
          </w:p>
        </w:tc>
        <w:tc>
          <w:tcPr>
            <w:tcW w:w="1274" w:type="dxa"/>
            <w:shd w:val="clear" w:color="auto" w:fill="auto"/>
            <w:vAlign w:val="bottom"/>
          </w:tcPr>
          <w:p w:rsidRPr="00FF02F8" w:rsidR="00E865F0" w:rsidP="00FF02F8" w:rsidRDefault="00E865F0" w14:paraId="1D4362AC" w14:textId="1392AA24">
            <w:pPr>
              <w:spacing w:after="0" w:line="240" w:lineRule="auto"/>
              <w:jc w:val="right"/>
              <w:rPr>
                <w:rFonts w:ascii="Times New Roman" w:hAnsi="Times New Roman"/>
                <w:sz w:val="18"/>
                <w:szCs w:val="18"/>
              </w:rPr>
            </w:pPr>
            <w:r w:rsidRPr="00FF02F8">
              <w:rPr>
                <w:rFonts w:cs="Calibri"/>
                <w:color w:val="000000"/>
                <w:sz w:val="18"/>
                <w:szCs w:val="18"/>
              </w:rPr>
              <w:t xml:space="preserve">$20.00 </w:t>
            </w:r>
          </w:p>
        </w:tc>
        <w:tc>
          <w:tcPr>
            <w:tcW w:w="1361" w:type="dxa"/>
            <w:shd w:val="clear" w:color="auto" w:fill="auto"/>
            <w:vAlign w:val="bottom"/>
          </w:tcPr>
          <w:p w:rsidRPr="00FF02F8" w:rsidR="00E865F0" w:rsidP="00FF02F8" w:rsidRDefault="00E865F0" w14:paraId="3D2D2B30" w14:textId="7D7FEF5C">
            <w:pPr>
              <w:spacing w:after="0" w:line="240" w:lineRule="auto"/>
              <w:jc w:val="right"/>
              <w:rPr>
                <w:rFonts w:ascii="Times New Roman" w:hAnsi="Times New Roman"/>
                <w:sz w:val="18"/>
                <w:szCs w:val="18"/>
              </w:rPr>
            </w:pPr>
            <w:r w:rsidRPr="00FF02F8">
              <w:rPr>
                <w:rFonts w:cs="Calibri"/>
                <w:color w:val="000000"/>
                <w:sz w:val="18"/>
                <w:szCs w:val="18"/>
              </w:rPr>
              <w:t xml:space="preserve">$34,816.00 </w:t>
            </w:r>
          </w:p>
        </w:tc>
      </w:tr>
      <w:tr w:rsidR="00FF02F8" w:rsidTr="00FF02F8" w14:paraId="6A50C4A3" w14:textId="77777777">
        <w:tc>
          <w:tcPr>
            <w:tcW w:w="1268" w:type="dxa"/>
            <w:shd w:val="clear" w:color="auto" w:fill="F2F2F2"/>
            <w:vAlign w:val="center"/>
          </w:tcPr>
          <w:p w:rsidRPr="00FF02F8" w:rsidR="00E865F0" w:rsidP="00FF02F8" w:rsidRDefault="00E865F0" w14:paraId="61C41120" w14:textId="055B6D4A">
            <w:pPr>
              <w:spacing w:after="0" w:line="240" w:lineRule="auto"/>
              <w:jc w:val="right"/>
              <w:rPr>
                <w:rFonts w:ascii="Times New Roman" w:hAnsi="Times New Roman"/>
                <w:sz w:val="24"/>
                <w:szCs w:val="24"/>
              </w:rPr>
            </w:pPr>
            <w:r w:rsidRPr="00FF02F8">
              <w:rPr>
                <w:rFonts w:cs="Calibri"/>
                <w:sz w:val="18"/>
                <w:szCs w:val="18"/>
              </w:rPr>
              <w:t>Conveyance of Damaged Property</w:t>
            </w:r>
          </w:p>
        </w:tc>
        <w:tc>
          <w:tcPr>
            <w:tcW w:w="1194" w:type="dxa"/>
            <w:shd w:val="clear" w:color="auto" w:fill="F2F2F2"/>
            <w:vAlign w:val="bottom"/>
          </w:tcPr>
          <w:p w:rsidRPr="00FF02F8" w:rsidR="00E865F0" w:rsidP="00FF02F8" w:rsidRDefault="00CD759D" w14:paraId="39D1EE43" w14:textId="02771E1F">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F2F2F2"/>
            <w:vAlign w:val="bottom"/>
          </w:tcPr>
          <w:p w:rsidRPr="00FF02F8" w:rsidR="00E865F0" w:rsidP="00FF02F8" w:rsidRDefault="00E865F0" w14:paraId="45AE60EC" w14:textId="6BF08504">
            <w:pPr>
              <w:spacing w:after="0" w:line="240" w:lineRule="auto"/>
              <w:jc w:val="right"/>
              <w:rPr>
                <w:rFonts w:ascii="Times New Roman" w:hAnsi="Times New Roman"/>
                <w:sz w:val="24"/>
                <w:szCs w:val="24"/>
              </w:rPr>
            </w:pPr>
            <w:r w:rsidRPr="00FF02F8">
              <w:rPr>
                <w:rFonts w:cs="Calibri"/>
                <w:color w:val="000000"/>
                <w:sz w:val="18"/>
                <w:szCs w:val="18"/>
              </w:rPr>
              <w:t>5.86</w:t>
            </w:r>
          </w:p>
        </w:tc>
        <w:tc>
          <w:tcPr>
            <w:tcW w:w="1178" w:type="dxa"/>
            <w:shd w:val="clear" w:color="auto" w:fill="F2F2F2"/>
            <w:vAlign w:val="bottom"/>
          </w:tcPr>
          <w:p w:rsidRPr="00FF02F8" w:rsidR="00E865F0" w:rsidP="00FF02F8" w:rsidRDefault="00E865F0" w14:paraId="4DC91CBE" w14:textId="052BEA96">
            <w:pPr>
              <w:spacing w:after="0" w:line="240" w:lineRule="auto"/>
              <w:jc w:val="right"/>
              <w:rPr>
                <w:rFonts w:ascii="Times New Roman" w:hAnsi="Times New Roman"/>
                <w:sz w:val="24"/>
                <w:szCs w:val="24"/>
              </w:rPr>
            </w:pPr>
            <w:r w:rsidRPr="00FF02F8">
              <w:rPr>
                <w:rFonts w:cs="Calibri"/>
                <w:color w:val="000000"/>
                <w:sz w:val="18"/>
                <w:szCs w:val="18"/>
              </w:rPr>
              <w:t>1,992.40</w:t>
            </w:r>
          </w:p>
        </w:tc>
        <w:tc>
          <w:tcPr>
            <w:tcW w:w="1274" w:type="dxa"/>
            <w:shd w:val="clear" w:color="auto" w:fill="F2F2F2"/>
            <w:vAlign w:val="bottom"/>
          </w:tcPr>
          <w:p w:rsidRPr="00FF02F8" w:rsidR="00E865F0" w:rsidP="00FF02F8" w:rsidRDefault="00E865F0" w14:paraId="37608B27" w14:textId="00D320FD">
            <w:pPr>
              <w:spacing w:after="0" w:line="240" w:lineRule="auto"/>
              <w:jc w:val="right"/>
              <w:rPr>
                <w:rFonts w:ascii="Times New Roman" w:hAnsi="Times New Roman"/>
                <w:sz w:val="24"/>
                <w:szCs w:val="24"/>
              </w:rPr>
            </w:pPr>
            <w:r w:rsidRPr="00FF02F8">
              <w:rPr>
                <w:rFonts w:cs="Calibri"/>
                <w:color w:val="000000"/>
                <w:sz w:val="18"/>
                <w:szCs w:val="18"/>
              </w:rPr>
              <w:t>2.00</w:t>
            </w:r>
          </w:p>
        </w:tc>
        <w:tc>
          <w:tcPr>
            <w:tcW w:w="1209" w:type="dxa"/>
            <w:shd w:val="clear" w:color="auto" w:fill="F2F2F2"/>
            <w:vAlign w:val="bottom"/>
          </w:tcPr>
          <w:p w:rsidRPr="00FF02F8" w:rsidR="00E865F0" w:rsidP="00FF02F8" w:rsidRDefault="00E865F0" w14:paraId="0DC720C0" w14:textId="3EA528A2">
            <w:pPr>
              <w:spacing w:after="0" w:line="240" w:lineRule="auto"/>
              <w:jc w:val="right"/>
              <w:rPr>
                <w:rFonts w:ascii="Times New Roman" w:hAnsi="Times New Roman"/>
                <w:sz w:val="24"/>
                <w:szCs w:val="24"/>
              </w:rPr>
            </w:pPr>
            <w:r w:rsidRPr="00FF02F8">
              <w:rPr>
                <w:rFonts w:cs="Calibri"/>
                <w:color w:val="000000"/>
                <w:sz w:val="18"/>
                <w:szCs w:val="18"/>
              </w:rPr>
              <w:t>3,984.80</w:t>
            </w:r>
          </w:p>
        </w:tc>
        <w:tc>
          <w:tcPr>
            <w:tcW w:w="1274" w:type="dxa"/>
            <w:shd w:val="clear" w:color="auto" w:fill="F2F2F2"/>
            <w:vAlign w:val="bottom"/>
          </w:tcPr>
          <w:p w:rsidRPr="00FF02F8" w:rsidR="00E865F0" w:rsidP="00FF02F8" w:rsidRDefault="00E865F0" w14:paraId="2B402777" w14:textId="7C95EB56">
            <w:pPr>
              <w:spacing w:after="0" w:line="240" w:lineRule="auto"/>
              <w:jc w:val="right"/>
              <w:rPr>
                <w:rFonts w:ascii="Times New Roman" w:hAnsi="Times New Roman"/>
                <w:sz w:val="18"/>
                <w:szCs w:val="18"/>
              </w:rPr>
            </w:pPr>
            <w:r w:rsidRPr="00FF02F8">
              <w:rPr>
                <w:rFonts w:cs="Calibri"/>
                <w:sz w:val="18"/>
                <w:szCs w:val="18"/>
              </w:rPr>
              <w:t>$20.00</w:t>
            </w:r>
          </w:p>
        </w:tc>
        <w:tc>
          <w:tcPr>
            <w:tcW w:w="1361" w:type="dxa"/>
            <w:shd w:val="clear" w:color="auto" w:fill="F2F2F2"/>
            <w:vAlign w:val="bottom"/>
          </w:tcPr>
          <w:p w:rsidRPr="00FF02F8" w:rsidR="00E865F0" w:rsidP="00FF02F8" w:rsidRDefault="00E865F0" w14:paraId="5736BF2B" w14:textId="300E85C6">
            <w:pPr>
              <w:spacing w:after="0" w:line="240" w:lineRule="auto"/>
              <w:jc w:val="right"/>
              <w:rPr>
                <w:rFonts w:ascii="Times New Roman" w:hAnsi="Times New Roman"/>
                <w:sz w:val="18"/>
                <w:szCs w:val="18"/>
              </w:rPr>
            </w:pPr>
            <w:r w:rsidRPr="00FF02F8">
              <w:rPr>
                <w:rFonts w:cs="Calibri"/>
                <w:color w:val="000000"/>
                <w:sz w:val="18"/>
                <w:szCs w:val="18"/>
              </w:rPr>
              <w:t xml:space="preserve">$79,696.00 </w:t>
            </w:r>
          </w:p>
        </w:tc>
      </w:tr>
      <w:tr w:rsidR="00FF02F8" w:rsidTr="00FF02F8" w14:paraId="31098870" w14:textId="77777777">
        <w:tc>
          <w:tcPr>
            <w:tcW w:w="1268" w:type="dxa"/>
            <w:shd w:val="clear" w:color="auto" w:fill="auto"/>
            <w:vAlign w:val="center"/>
          </w:tcPr>
          <w:p w:rsidRPr="00FF02F8" w:rsidR="007B68B3" w:rsidP="00FF02F8" w:rsidRDefault="007B68B3" w14:paraId="509E9FED" w14:textId="7A259173">
            <w:pPr>
              <w:spacing w:after="0" w:line="240" w:lineRule="auto"/>
              <w:jc w:val="right"/>
              <w:rPr>
                <w:rFonts w:cs="Calibri"/>
                <w:sz w:val="18"/>
                <w:szCs w:val="18"/>
              </w:rPr>
            </w:pPr>
            <w:r w:rsidRPr="00FF02F8">
              <w:rPr>
                <w:rFonts w:cs="Calibri"/>
                <w:sz w:val="18"/>
                <w:szCs w:val="18"/>
              </w:rPr>
              <w:t>Occupancy Status Certification</w:t>
            </w:r>
          </w:p>
        </w:tc>
        <w:tc>
          <w:tcPr>
            <w:tcW w:w="1194" w:type="dxa"/>
            <w:shd w:val="clear" w:color="auto" w:fill="auto"/>
            <w:vAlign w:val="bottom"/>
          </w:tcPr>
          <w:p w:rsidRPr="00FF02F8" w:rsidR="007B68B3" w:rsidP="00FF02F8" w:rsidRDefault="00CD759D" w14:paraId="706A23DB" w14:textId="65DC00C0">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auto"/>
            <w:vAlign w:val="bottom"/>
          </w:tcPr>
          <w:p w:rsidRPr="00FF02F8" w:rsidR="007B68B3" w:rsidP="00FF02F8" w:rsidRDefault="007B68B3" w14:paraId="32EE83D1" w14:textId="4237110E">
            <w:pPr>
              <w:spacing w:after="0" w:line="240" w:lineRule="auto"/>
              <w:jc w:val="right"/>
              <w:rPr>
                <w:rFonts w:cs="Calibri"/>
                <w:color w:val="000000"/>
                <w:sz w:val="18"/>
                <w:szCs w:val="18"/>
              </w:rPr>
            </w:pPr>
            <w:r w:rsidRPr="00FF02F8">
              <w:rPr>
                <w:rFonts w:cs="Calibri"/>
                <w:color w:val="000000"/>
                <w:sz w:val="18"/>
                <w:szCs w:val="18"/>
              </w:rPr>
              <w:t>234.64</w:t>
            </w:r>
          </w:p>
        </w:tc>
        <w:tc>
          <w:tcPr>
            <w:tcW w:w="1178" w:type="dxa"/>
            <w:shd w:val="clear" w:color="auto" w:fill="auto"/>
            <w:vAlign w:val="bottom"/>
          </w:tcPr>
          <w:p w:rsidRPr="00FF02F8" w:rsidR="007B68B3" w:rsidP="00FF02F8" w:rsidRDefault="007B68B3" w14:paraId="0343BB20" w14:textId="55961AE7">
            <w:pPr>
              <w:spacing w:after="0" w:line="240" w:lineRule="auto"/>
              <w:jc w:val="right"/>
              <w:rPr>
                <w:rFonts w:cs="Calibri"/>
                <w:color w:val="000000"/>
                <w:sz w:val="18"/>
                <w:szCs w:val="18"/>
              </w:rPr>
            </w:pPr>
            <w:r w:rsidRPr="00FF02F8">
              <w:rPr>
                <w:rFonts w:cs="Calibri"/>
                <w:color w:val="000000"/>
                <w:sz w:val="18"/>
                <w:szCs w:val="18"/>
              </w:rPr>
              <w:t>79,777.60</w:t>
            </w:r>
          </w:p>
        </w:tc>
        <w:tc>
          <w:tcPr>
            <w:tcW w:w="1274" w:type="dxa"/>
            <w:shd w:val="clear" w:color="auto" w:fill="auto"/>
            <w:vAlign w:val="bottom"/>
          </w:tcPr>
          <w:p w:rsidRPr="00FF02F8" w:rsidR="007B68B3" w:rsidP="00FF02F8" w:rsidRDefault="007B68B3" w14:paraId="586E7811" w14:textId="7A93016E">
            <w:pPr>
              <w:spacing w:after="0" w:line="240" w:lineRule="auto"/>
              <w:jc w:val="right"/>
              <w:rPr>
                <w:rFonts w:cs="Calibri"/>
                <w:color w:val="000000"/>
                <w:sz w:val="18"/>
                <w:szCs w:val="18"/>
              </w:rPr>
            </w:pPr>
            <w:r w:rsidRPr="00FF02F8">
              <w:rPr>
                <w:rFonts w:cs="Calibri"/>
                <w:color w:val="000000"/>
                <w:sz w:val="18"/>
                <w:szCs w:val="18"/>
              </w:rPr>
              <w:t>0.50</w:t>
            </w:r>
          </w:p>
        </w:tc>
        <w:tc>
          <w:tcPr>
            <w:tcW w:w="1209" w:type="dxa"/>
            <w:shd w:val="clear" w:color="auto" w:fill="auto"/>
            <w:vAlign w:val="bottom"/>
          </w:tcPr>
          <w:p w:rsidRPr="00FF02F8" w:rsidR="007B68B3" w:rsidP="00FF02F8" w:rsidRDefault="007B68B3" w14:paraId="2100FBEC" w14:textId="74AAE047">
            <w:pPr>
              <w:spacing w:after="0" w:line="240" w:lineRule="auto"/>
              <w:jc w:val="right"/>
              <w:rPr>
                <w:rFonts w:cs="Calibri"/>
                <w:color w:val="000000"/>
                <w:sz w:val="18"/>
                <w:szCs w:val="18"/>
              </w:rPr>
            </w:pPr>
            <w:r w:rsidRPr="00FF02F8">
              <w:rPr>
                <w:rFonts w:cs="Calibri"/>
                <w:color w:val="000000"/>
                <w:sz w:val="18"/>
                <w:szCs w:val="18"/>
              </w:rPr>
              <w:t>39,888.80</w:t>
            </w:r>
          </w:p>
        </w:tc>
        <w:tc>
          <w:tcPr>
            <w:tcW w:w="1274" w:type="dxa"/>
            <w:shd w:val="clear" w:color="auto" w:fill="auto"/>
            <w:vAlign w:val="bottom"/>
          </w:tcPr>
          <w:p w:rsidRPr="00FF02F8" w:rsidR="007B68B3" w:rsidP="00FF02F8" w:rsidRDefault="007B68B3" w14:paraId="3DCD4BC0" w14:textId="5A6B05CB">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7B68B3" w:rsidP="00FF02F8" w:rsidRDefault="007B68B3" w14:paraId="07DFD560" w14:textId="56CA1C47">
            <w:pPr>
              <w:spacing w:after="0" w:line="240" w:lineRule="auto"/>
              <w:jc w:val="right"/>
              <w:rPr>
                <w:rFonts w:cs="Calibri"/>
                <w:color w:val="000000"/>
                <w:sz w:val="18"/>
                <w:szCs w:val="18"/>
              </w:rPr>
            </w:pPr>
            <w:r w:rsidRPr="00FF02F8">
              <w:rPr>
                <w:rFonts w:cs="Calibri"/>
                <w:sz w:val="18"/>
                <w:szCs w:val="18"/>
              </w:rPr>
              <w:t>$797,776.00</w:t>
            </w:r>
          </w:p>
        </w:tc>
      </w:tr>
      <w:tr w:rsidR="00FF02F8" w:rsidTr="00FF02F8" w14:paraId="45B32758" w14:textId="77777777">
        <w:tc>
          <w:tcPr>
            <w:tcW w:w="1268" w:type="dxa"/>
            <w:shd w:val="clear" w:color="auto" w:fill="F2F2F2"/>
            <w:vAlign w:val="center"/>
          </w:tcPr>
          <w:p w:rsidRPr="00FF02F8" w:rsidR="007B68B3" w:rsidP="00FF02F8" w:rsidRDefault="007B68B3" w14:paraId="5CBB2803" w14:textId="22ABC056">
            <w:pPr>
              <w:spacing w:after="0" w:line="240" w:lineRule="auto"/>
              <w:jc w:val="right"/>
              <w:rPr>
                <w:rFonts w:cs="Calibri"/>
                <w:sz w:val="18"/>
                <w:szCs w:val="18"/>
              </w:rPr>
            </w:pPr>
            <w:r w:rsidRPr="00FF02F8">
              <w:rPr>
                <w:rFonts w:cs="Calibri"/>
                <w:sz w:val="18"/>
                <w:szCs w:val="18"/>
              </w:rPr>
              <w:t>Hazard Insurance Cancellation</w:t>
            </w:r>
          </w:p>
        </w:tc>
        <w:tc>
          <w:tcPr>
            <w:tcW w:w="1194" w:type="dxa"/>
            <w:shd w:val="clear" w:color="auto" w:fill="F2F2F2"/>
            <w:vAlign w:val="bottom"/>
          </w:tcPr>
          <w:p w:rsidRPr="00FF02F8" w:rsidR="007B68B3" w:rsidP="00FF02F8" w:rsidRDefault="00CD759D" w14:paraId="12FAF227" w14:textId="55A0930D">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F2F2F2"/>
            <w:vAlign w:val="bottom"/>
          </w:tcPr>
          <w:p w:rsidRPr="00FF02F8" w:rsidR="007B68B3" w:rsidP="00FF02F8" w:rsidRDefault="007B68B3" w14:paraId="40288DB2" w14:textId="0A0EABF2">
            <w:pPr>
              <w:spacing w:after="0" w:line="240" w:lineRule="auto"/>
              <w:jc w:val="right"/>
              <w:rPr>
                <w:rFonts w:cs="Calibri"/>
                <w:color w:val="000000"/>
                <w:sz w:val="18"/>
                <w:szCs w:val="18"/>
              </w:rPr>
            </w:pPr>
            <w:r w:rsidRPr="00FF02F8">
              <w:rPr>
                <w:rFonts w:cs="Calibri"/>
                <w:color w:val="000000"/>
                <w:sz w:val="18"/>
                <w:szCs w:val="18"/>
              </w:rPr>
              <w:t>234.64</w:t>
            </w:r>
          </w:p>
        </w:tc>
        <w:tc>
          <w:tcPr>
            <w:tcW w:w="1178" w:type="dxa"/>
            <w:shd w:val="clear" w:color="auto" w:fill="F2F2F2"/>
            <w:vAlign w:val="bottom"/>
          </w:tcPr>
          <w:p w:rsidRPr="00FF02F8" w:rsidR="007B68B3" w:rsidP="00FF02F8" w:rsidRDefault="007B68B3" w14:paraId="6ED0C319" w14:textId="6FE70933">
            <w:pPr>
              <w:spacing w:after="0" w:line="240" w:lineRule="auto"/>
              <w:jc w:val="right"/>
              <w:rPr>
                <w:rFonts w:cs="Calibri"/>
                <w:color w:val="000000"/>
                <w:sz w:val="18"/>
                <w:szCs w:val="18"/>
              </w:rPr>
            </w:pPr>
            <w:r w:rsidRPr="00FF02F8">
              <w:rPr>
                <w:rFonts w:cs="Calibri"/>
                <w:color w:val="000000"/>
                <w:sz w:val="18"/>
                <w:szCs w:val="18"/>
              </w:rPr>
              <w:t>79,777.60</w:t>
            </w:r>
          </w:p>
        </w:tc>
        <w:tc>
          <w:tcPr>
            <w:tcW w:w="1274" w:type="dxa"/>
            <w:shd w:val="clear" w:color="auto" w:fill="F2F2F2"/>
            <w:vAlign w:val="bottom"/>
          </w:tcPr>
          <w:p w:rsidRPr="00FF02F8" w:rsidR="007B68B3" w:rsidP="00FF02F8" w:rsidRDefault="007B68B3" w14:paraId="59D98354" w14:textId="0D58E2C4">
            <w:pPr>
              <w:spacing w:after="0" w:line="240" w:lineRule="auto"/>
              <w:jc w:val="right"/>
              <w:rPr>
                <w:rFonts w:cs="Calibri"/>
                <w:color w:val="000000"/>
                <w:sz w:val="18"/>
                <w:szCs w:val="18"/>
              </w:rPr>
            </w:pPr>
            <w:r w:rsidRPr="00FF02F8">
              <w:rPr>
                <w:rFonts w:cs="Calibri"/>
                <w:color w:val="000000"/>
                <w:sz w:val="18"/>
                <w:szCs w:val="18"/>
              </w:rPr>
              <w:t>0.50</w:t>
            </w:r>
          </w:p>
        </w:tc>
        <w:tc>
          <w:tcPr>
            <w:tcW w:w="1209" w:type="dxa"/>
            <w:shd w:val="clear" w:color="auto" w:fill="F2F2F2"/>
            <w:vAlign w:val="bottom"/>
          </w:tcPr>
          <w:p w:rsidRPr="00FF02F8" w:rsidR="007B68B3" w:rsidP="00FF02F8" w:rsidRDefault="007B68B3" w14:paraId="08900110" w14:textId="260028C9">
            <w:pPr>
              <w:spacing w:after="0" w:line="240" w:lineRule="auto"/>
              <w:jc w:val="right"/>
              <w:rPr>
                <w:rFonts w:cs="Calibri"/>
                <w:color w:val="000000"/>
                <w:sz w:val="18"/>
                <w:szCs w:val="18"/>
              </w:rPr>
            </w:pPr>
            <w:r w:rsidRPr="00FF02F8">
              <w:rPr>
                <w:rFonts w:cs="Calibri"/>
                <w:color w:val="000000"/>
                <w:sz w:val="18"/>
                <w:szCs w:val="18"/>
              </w:rPr>
              <w:t>39,888.80</w:t>
            </w:r>
          </w:p>
        </w:tc>
        <w:tc>
          <w:tcPr>
            <w:tcW w:w="1274" w:type="dxa"/>
            <w:shd w:val="clear" w:color="auto" w:fill="F2F2F2"/>
            <w:vAlign w:val="bottom"/>
          </w:tcPr>
          <w:p w:rsidRPr="00FF02F8" w:rsidR="007B68B3" w:rsidP="00FF02F8" w:rsidRDefault="007B68B3" w14:paraId="17858A99" w14:textId="6F29679B">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7B68B3" w:rsidP="00FF02F8" w:rsidRDefault="007B68B3" w14:paraId="7922C381" w14:textId="2278952E">
            <w:pPr>
              <w:spacing w:after="0" w:line="240" w:lineRule="auto"/>
              <w:jc w:val="right"/>
              <w:rPr>
                <w:rFonts w:cs="Calibri"/>
                <w:color w:val="000000"/>
                <w:sz w:val="18"/>
                <w:szCs w:val="18"/>
              </w:rPr>
            </w:pPr>
            <w:r w:rsidRPr="00FF02F8">
              <w:rPr>
                <w:rFonts w:cs="Calibri"/>
                <w:sz w:val="18"/>
                <w:szCs w:val="18"/>
              </w:rPr>
              <w:t>$797,776.00</w:t>
            </w:r>
          </w:p>
        </w:tc>
      </w:tr>
      <w:tr w:rsidR="00FF02F8" w:rsidTr="00FF02F8" w14:paraId="403C21D6" w14:textId="77777777">
        <w:tc>
          <w:tcPr>
            <w:tcW w:w="1268" w:type="dxa"/>
            <w:shd w:val="clear" w:color="auto" w:fill="auto"/>
            <w:vAlign w:val="center"/>
          </w:tcPr>
          <w:p w:rsidRPr="00FF02F8" w:rsidR="007B68B3" w:rsidP="00FF02F8" w:rsidRDefault="007B68B3" w14:paraId="5CB572CE" w14:textId="06FFC089">
            <w:pPr>
              <w:spacing w:after="0" w:line="240" w:lineRule="auto"/>
              <w:jc w:val="right"/>
              <w:rPr>
                <w:rFonts w:cs="Calibri"/>
                <w:sz w:val="18"/>
                <w:szCs w:val="18"/>
              </w:rPr>
            </w:pPr>
            <w:r w:rsidRPr="00FF02F8">
              <w:rPr>
                <w:rFonts w:cs="Calibri"/>
                <w:sz w:val="18"/>
                <w:szCs w:val="18"/>
              </w:rPr>
              <w:t>HUD Claims Review</w:t>
            </w:r>
          </w:p>
        </w:tc>
        <w:tc>
          <w:tcPr>
            <w:tcW w:w="1194" w:type="dxa"/>
            <w:shd w:val="clear" w:color="auto" w:fill="auto"/>
            <w:vAlign w:val="bottom"/>
          </w:tcPr>
          <w:p w:rsidRPr="00FF02F8" w:rsidR="007B68B3" w:rsidP="00FF02F8" w:rsidRDefault="00CD759D" w14:paraId="380239D4" w14:textId="2749DFF0">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auto"/>
            <w:vAlign w:val="bottom"/>
          </w:tcPr>
          <w:p w:rsidRPr="00FF02F8" w:rsidR="007B68B3" w:rsidP="00FF02F8" w:rsidRDefault="007B68B3" w14:paraId="4871508F" w14:textId="7219ECD8">
            <w:pPr>
              <w:spacing w:after="0" w:line="240" w:lineRule="auto"/>
              <w:jc w:val="right"/>
              <w:rPr>
                <w:rFonts w:cs="Calibri"/>
                <w:color w:val="000000"/>
                <w:sz w:val="18"/>
                <w:szCs w:val="18"/>
              </w:rPr>
            </w:pPr>
            <w:r w:rsidRPr="00FF02F8">
              <w:rPr>
                <w:rFonts w:cs="Calibri"/>
                <w:color w:val="000000"/>
                <w:sz w:val="18"/>
                <w:szCs w:val="18"/>
              </w:rPr>
              <w:t>155.34</w:t>
            </w:r>
          </w:p>
        </w:tc>
        <w:tc>
          <w:tcPr>
            <w:tcW w:w="1178" w:type="dxa"/>
            <w:shd w:val="clear" w:color="auto" w:fill="auto"/>
            <w:vAlign w:val="bottom"/>
          </w:tcPr>
          <w:p w:rsidRPr="00FF02F8" w:rsidR="007B68B3" w:rsidP="00FF02F8" w:rsidRDefault="007B68B3" w14:paraId="3E2C4FEC" w14:textId="67A00D68">
            <w:pPr>
              <w:spacing w:after="0" w:line="240" w:lineRule="auto"/>
              <w:jc w:val="right"/>
              <w:rPr>
                <w:rFonts w:cs="Calibri"/>
                <w:color w:val="000000"/>
                <w:sz w:val="18"/>
                <w:szCs w:val="18"/>
              </w:rPr>
            </w:pPr>
            <w:r w:rsidRPr="00FF02F8">
              <w:rPr>
                <w:rFonts w:cs="Calibri"/>
                <w:color w:val="000000"/>
                <w:sz w:val="18"/>
                <w:szCs w:val="18"/>
              </w:rPr>
              <w:t>52,815.60</w:t>
            </w:r>
          </w:p>
        </w:tc>
        <w:tc>
          <w:tcPr>
            <w:tcW w:w="1274" w:type="dxa"/>
            <w:shd w:val="clear" w:color="auto" w:fill="auto"/>
            <w:vAlign w:val="bottom"/>
          </w:tcPr>
          <w:p w:rsidRPr="00FF02F8" w:rsidR="007B68B3" w:rsidP="00FF02F8" w:rsidRDefault="007B68B3" w14:paraId="4502DFA2" w14:textId="022F4133">
            <w:pPr>
              <w:spacing w:after="0" w:line="240" w:lineRule="auto"/>
              <w:jc w:val="right"/>
              <w:rPr>
                <w:rFonts w:cs="Calibri"/>
                <w:color w:val="000000"/>
                <w:sz w:val="18"/>
                <w:szCs w:val="18"/>
              </w:rPr>
            </w:pPr>
            <w:r w:rsidRPr="00FF02F8">
              <w:rPr>
                <w:rFonts w:cs="Calibri"/>
                <w:color w:val="000000"/>
                <w:sz w:val="18"/>
                <w:szCs w:val="18"/>
              </w:rPr>
              <w:t>1.00</w:t>
            </w:r>
          </w:p>
        </w:tc>
        <w:tc>
          <w:tcPr>
            <w:tcW w:w="1209" w:type="dxa"/>
            <w:shd w:val="clear" w:color="auto" w:fill="auto"/>
            <w:vAlign w:val="bottom"/>
          </w:tcPr>
          <w:p w:rsidRPr="00FF02F8" w:rsidR="007B68B3" w:rsidP="00FF02F8" w:rsidRDefault="007B68B3" w14:paraId="1A4A2DF5" w14:textId="69E50303">
            <w:pPr>
              <w:spacing w:after="0" w:line="240" w:lineRule="auto"/>
              <w:jc w:val="right"/>
              <w:rPr>
                <w:rFonts w:cs="Calibri"/>
                <w:color w:val="000000"/>
                <w:sz w:val="18"/>
                <w:szCs w:val="18"/>
              </w:rPr>
            </w:pPr>
            <w:r w:rsidRPr="00FF02F8">
              <w:rPr>
                <w:rFonts w:cs="Calibri"/>
                <w:color w:val="000000"/>
                <w:sz w:val="18"/>
                <w:szCs w:val="18"/>
              </w:rPr>
              <w:t>52,815.60</w:t>
            </w:r>
          </w:p>
        </w:tc>
        <w:tc>
          <w:tcPr>
            <w:tcW w:w="1274" w:type="dxa"/>
            <w:shd w:val="clear" w:color="auto" w:fill="auto"/>
            <w:vAlign w:val="bottom"/>
          </w:tcPr>
          <w:p w:rsidRPr="00FF02F8" w:rsidR="007B68B3" w:rsidP="00FF02F8" w:rsidRDefault="007B68B3" w14:paraId="2AD1DD42" w14:textId="11B180DB">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7B68B3" w:rsidP="00FF02F8" w:rsidRDefault="007B68B3" w14:paraId="5021EADE" w14:textId="61A91837">
            <w:pPr>
              <w:spacing w:after="0" w:line="240" w:lineRule="auto"/>
              <w:jc w:val="right"/>
              <w:rPr>
                <w:rFonts w:cs="Calibri"/>
                <w:color w:val="000000"/>
                <w:sz w:val="18"/>
                <w:szCs w:val="18"/>
              </w:rPr>
            </w:pPr>
            <w:r w:rsidRPr="00FF02F8">
              <w:rPr>
                <w:rFonts w:cs="Calibri"/>
                <w:sz w:val="18"/>
                <w:szCs w:val="18"/>
              </w:rPr>
              <w:t>$1,056,312.00</w:t>
            </w:r>
          </w:p>
        </w:tc>
      </w:tr>
      <w:tr w:rsidR="00FF02F8" w:rsidTr="00FF02F8" w14:paraId="2B3981B1" w14:textId="77777777">
        <w:tc>
          <w:tcPr>
            <w:tcW w:w="1268" w:type="dxa"/>
            <w:shd w:val="clear" w:color="auto" w:fill="F2F2F2"/>
            <w:vAlign w:val="center"/>
          </w:tcPr>
          <w:p w:rsidRPr="00FF02F8" w:rsidR="007B68B3" w:rsidP="00FF02F8" w:rsidRDefault="007B68B3" w14:paraId="62FB8182" w14:textId="2F12DAD6">
            <w:pPr>
              <w:spacing w:after="0" w:line="240" w:lineRule="auto"/>
              <w:jc w:val="right"/>
              <w:rPr>
                <w:rFonts w:cs="Calibri"/>
                <w:sz w:val="18"/>
                <w:szCs w:val="18"/>
              </w:rPr>
            </w:pPr>
            <w:r w:rsidRPr="00FF02F8">
              <w:rPr>
                <w:rFonts w:cs="Calibri"/>
                <w:sz w:val="18"/>
                <w:szCs w:val="18"/>
              </w:rPr>
              <w:t>Optional Deficiency Judgment</w:t>
            </w:r>
          </w:p>
        </w:tc>
        <w:tc>
          <w:tcPr>
            <w:tcW w:w="1194" w:type="dxa"/>
            <w:shd w:val="clear" w:color="auto" w:fill="F2F2F2"/>
            <w:vAlign w:val="bottom"/>
          </w:tcPr>
          <w:p w:rsidRPr="00FF02F8" w:rsidR="007B68B3" w:rsidP="00FF02F8" w:rsidRDefault="00CD759D" w14:paraId="65A43403" w14:textId="7BB6B74D">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F2F2F2"/>
            <w:vAlign w:val="bottom"/>
          </w:tcPr>
          <w:p w:rsidRPr="00FF02F8" w:rsidR="007B68B3" w:rsidP="00FF02F8" w:rsidRDefault="007B68B3" w14:paraId="676C447C" w14:textId="292490B0">
            <w:pPr>
              <w:spacing w:after="0" w:line="240" w:lineRule="auto"/>
              <w:jc w:val="right"/>
              <w:rPr>
                <w:rFonts w:cs="Calibri"/>
                <w:color w:val="000000"/>
                <w:sz w:val="18"/>
                <w:szCs w:val="18"/>
              </w:rPr>
            </w:pPr>
            <w:r w:rsidRPr="00FF02F8">
              <w:rPr>
                <w:rFonts w:cs="Calibri"/>
                <w:color w:val="000000"/>
                <w:sz w:val="18"/>
                <w:szCs w:val="18"/>
              </w:rPr>
              <w:t>0.03</w:t>
            </w:r>
          </w:p>
        </w:tc>
        <w:tc>
          <w:tcPr>
            <w:tcW w:w="1178" w:type="dxa"/>
            <w:shd w:val="clear" w:color="auto" w:fill="F2F2F2"/>
            <w:vAlign w:val="bottom"/>
          </w:tcPr>
          <w:p w:rsidRPr="00FF02F8" w:rsidR="007B68B3" w:rsidP="00FF02F8" w:rsidRDefault="007B68B3" w14:paraId="3F8C2A61" w14:textId="7ACF6882">
            <w:pPr>
              <w:spacing w:after="0" w:line="240" w:lineRule="auto"/>
              <w:jc w:val="right"/>
              <w:rPr>
                <w:rFonts w:cs="Calibri"/>
                <w:color w:val="000000"/>
                <w:sz w:val="18"/>
                <w:szCs w:val="18"/>
              </w:rPr>
            </w:pPr>
            <w:r w:rsidRPr="00FF02F8">
              <w:rPr>
                <w:rFonts w:cs="Calibri"/>
                <w:color w:val="000000"/>
                <w:sz w:val="18"/>
                <w:szCs w:val="18"/>
              </w:rPr>
              <w:t>10.20</w:t>
            </w:r>
          </w:p>
        </w:tc>
        <w:tc>
          <w:tcPr>
            <w:tcW w:w="1274" w:type="dxa"/>
            <w:shd w:val="clear" w:color="auto" w:fill="F2F2F2"/>
            <w:vAlign w:val="bottom"/>
          </w:tcPr>
          <w:p w:rsidRPr="00FF02F8" w:rsidR="007B68B3" w:rsidP="00FF02F8" w:rsidRDefault="007B68B3" w14:paraId="7F42A333" w14:textId="01E92DE4">
            <w:pPr>
              <w:spacing w:after="0" w:line="240" w:lineRule="auto"/>
              <w:jc w:val="right"/>
              <w:rPr>
                <w:rFonts w:cs="Calibri"/>
                <w:color w:val="000000"/>
                <w:sz w:val="18"/>
                <w:szCs w:val="18"/>
              </w:rPr>
            </w:pPr>
            <w:r w:rsidRPr="00FF02F8">
              <w:rPr>
                <w:rFonts w:cs="Calibri"/>
                <w:color w:val="000000"/>
                <w:sz w:val="18"/>
                <w:szCs w:val="18"/>
              </w:rPr>
              <w:t>2.00</w:t>
            </w:r>
          </w:p>
        </w:tc>
        <w:tc>
          <w:tcPr>
            <w:tcW w:w="1209" w:type="dxa"/>
            <w:shd w:val="clear" w:color="auto" w:fill="F2F2F2"/>
            <w:vAlign w:val="bottom"/>
          </w:tcPr>
          <w:p w:rsidRPr="00FF02F8" w:rsidR="007B68B3" w:rsidP="00FF02F8" w:rsidRDefault="007B68B3" w14:paraId="3A7BE52C" w14:textId="699239D9">
            <w:pPr>
              <w:spacing w:after="0" w:line="240" w:lineRule="auto"/>
              <w:jc w:val="right"/>
              <w:rPr>
                <w:rFonts w:cs="Calibri"/>
                <w:color w:val="000000"/>
                <w:sz w:val="18"/>
                <w:szCs w:val="18"/>
              </w:rPr>
            </w:pPr>
            <w:r w:rsidRPr="00FF02F8">
              <w:rPr>
                <w:rFonts w:cs="Calibri"/>
                <w:color w:val="000000"/>
                <w:sz w:val="18"/>
                <w:szCs w:val="18"/>
              </w:rPr>
              <w:t>20.40</w:t>
            </w:r>
          </w:p>
        </w:tc>
        <w:tc>
          <w:tcPr>
            <w:tcW w:w="1274" w:type="dxa"/>
            <w:shd w:val="clear" w:color="auto" w:fill="F2F2F2"/>
            <w:vAlign w:val="bottom"/>
          </w:tcPr>
          <w:p w:rsidRPr="00FF02F8" w:rsidR="007B68B3" w:rsidP="00FF02F8" w:rsidRDefault="007B68B3" w14:paraId="3E139663" w14:textId="29C2389D">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7B68B3" w:rsidP="00FF02F8" w:rsidRDefault="007B68B3" w14:paraId="107D1FCC" w14:textId="1B02B667">
            <w:pPr>
              <w:spacing w:after="0" w:line="240" w:lineRule="auto"/>
              <w:jc w:val="right"/>
              <w:rPr>
                <w:rFonts w:cs="Calibri"/>
                <w:color w:val="000000"/>
                <w:sz w:val="18"/>
                <w:szCs w:val="18"/>
              </w:rPr>
            </w:pPr>
            <w:r w:rsidRPr="00FF02F8">
              <w:rPr>
                <w:rFonts w:cs="Calibri"/>
                <w:sz w:val="18"/>
                <w:szCs w:val="18"/>
              </w:rPr>
              <w:t>$408.00</w:t>
            </w:r>
          </w:p>
        </w:tc>
      </w:tr>
      <w:tr w:rsidR="00FF02F8" w:rsidTr="00FF02F8" w14:paraId="3C1CCAE7" w14:textId="77777777">
        <w:tc>
          <w:tcPr>
            <w:tcW w:w="1268" w:type="dxa"/>
            <w:shd w:val="clear" w:color="auto" w:fill="auto"/>
            <w:vAlign w:val="center"/>
          </w:tcPr>
          <w:p w:rsidRPr="00FF02F8" w:rsidR="006D7C24" w:rsidP="00FF02F8" w:rsidRDefault="001559C0" w14:paraId="20EF84E5" w14:textId="4477E875">
            <w:pPr>
              <w:spacing w:after="0" w:line="240" w:lineRule="auto"/>
              <w:jc w:val="right"/>
              <w:rPr>
                <w:rFonts w:cs="Calibri"/>
                <w:sz w:val="18"/>
                <w:szCs w:val="18"/>
              </w:rPr>
            </w:pPr>
            <w:r>
              <w:rPr>
                <w:rFonts w:cs="Calibri"/>
                <w:sz w:val="18"/>
                <w:szCs w:val="18"/>
              </w:rPr>
              <w:t>Mortgagee</w:t>
            </w:r>
            <w:r w:rsidRPr="00FF02F8" w:rsidR="000B2949">
              <w:rPr>
                <w:rFonts w:cs="Calibri"/>
                <w:sz w:val="18"/>
                <w:szCs w:val="18"/>
              </w:rPr>
              <w:t xml:space="preserve"> Notice of Foreclosure</w:t>
            </w:r>
          </w:p>
        </w:tc>
        <w:tc>
          <w:tcPr>
            <w:tcW w:w="1194" w:type="dxa"/>
            <w:shd w:val="clear" w:color="auto" w:fill="auto"/>
            <w:vAlign w:val="bottom"/>
          </w:tcPr>
          <w:p w:rsidRPr="00FF02F8" w:rsidR="006D7C24" w:rsidP="00FF02F8" w:rsidRDefault="00CD759D" w14:paraId="1FCA07CE" w14:textId="7A08F293">
            <w:pPr>
              <w:spacing w:after="0" w:line="240" w:lineRule="auto"/>
              <w:jc w:val="right"/>
              <w:rPr>
                <w:rFonts w:cs="Calibri"/>
                <w:sz w:val="18"/>
                <w:szCs w:val="18"/>
              </w:rPr>
            </w:pPr>
            <w:r>
              <w:rPr>
                <w:rFonts w:cs="Calibri"/>
                <w:sz w:val="18"/>
                <w:szCs w:val="18"/>
              </w:rPr>
              <w:t>340</w:t>
            </w:r>
          </w:p>
        </w:tc>
        <w:tc>
          <w:tcPr>
            <w:tcW w:w="1160" w:type="dxa"/>
            <w:shd w:val="clear" w:color="auto" w:fill="auto"/>
            <w:vAlign w:val="bottom"/>
          </w:tcPr>
          <w:p w:rsidRPr="00FF02F8" w:rsidR="006D7C24" w:rsidP="00FF02F8" w:rsidRDefault="00FC6EF1" w14:paraId="249A2FAC" w14:textId="3020D303">
            <w:pPr>
              <w:spacing w:after="0" w:line="240" w:lineRule="auto"/>
              <w:jc w:val="right"/>
              <w:rPr>
                <w:rFonts w:cs="Calibri"/>
                <w:color w:val="000000"/>
                <w:sz w:val="18"/>
                <w:szCs w:val="18"/>
              </w:rPr>
            </w:pPr>
            <w:r w:rsidRPr="00FF02F8">
              <w:rPr>
                <w:rFonts w:cs="Calibri"/>
                <w:color w:val="000000"/>
                <w:sz w:val="18"/>
                <w:szCs w:val="18"/>
              </w:rPr>
              <w:t>234.64</w:t>
            </w:r>
          </w:p>
        </w:tc>
        <w:tc>
          <w:tcPr>
            <w:tcW w:w="1178" w:type="dxa"/>
            <w:shd w:val="clear" w:color="auto" w:fill="auto"/>
            <w:vAlign w:val="bottom"/>
          </w:tcPr>
          <w:p w:rsidRPr="00FF02F8" w:rsidR="006D7C24" w:rsidP="00FF02F8" w:rsidRDefault="00245257" w14:paraId="4A23980D" w14:textId="04F109B7">
            <w:pPr>
              <w:spacing w:after="0" w:line="240" w:lineRule="auto"/>
              <w:jc w:val="right"/>
              <w:rPr>
                <w:rFonts w:cs="Calibri"/>
                <w:color w:val="000000"/>
                <w:sz w:val="18"/>
                <w:szCs w:val="18"/>
              </w:rPr>
            </w:pPr>
            <w:r w:rsidRPr="00FF02F8">
              <w:rPr>
                <w:rFonts w:cs="Calibri"/>
                <w:color w:val="000000"/>
                <w:sz w:val="18"/>
                <w:szCs w:val="18"/>
              </w:rPr>
              <w:t>79,777.60</w:t>
            </w:r>
          </w:p>
        </w:tc>
        <w:tc>
          <w:tcPr>
            <w:tcW w:w="1274" w:type="dxa"/>
            <w:shd w:val="clear" w:color="auto" w:fill="auto"/>
            <w:vAlign w:val="bottom"/>
          </w:tcPr>
          <w:p w:rsidRPr="00FF02F8" w:rsidR="006D7C24" w:rsidP="00FF02F8" w:rsidRDefault="005274F1" w14:paraId="528CF7E6" w14:textId="6A757C4F">
            <w:pPr>
              <w:spacing w:after="0" w:line="240" w:lineRule="auto"/>
              <w:jc w:val="right"/>
              <w:rPr>
                <w:rFonts w:cs="Calibri"/>
                <w:color w:val="000000"/>
                <w:sz w:val="18"/>
                <w:szCs w:val="18"/>
              </w:rPr>
            </w:pPr>
            <w:r w:rsidRPr="00FF02F8">
              <w:rPr>
                <w:rFonts w:cs="Calibri"/>
                <w:color w:val="000000"/>
                <w:sz w:val="18"/>
                <w:szCs w:val="18"/>
              </w:rPr>
              <w:t>1.00</w:t>
            </w:r>
          </w:p>
        </w:tc>
        <w:tc>
          <w:tcPr>
            <w:tcW w:w="1209" w:type="dxa"/>
            <w:shd w:val="clear" w:color="auto" w:fill="auto"/>
            <w:vAlign w:val="bottom"/>
          </w:tcPr>
          <w:p w:rsidRPr="00FF02F8" w:rsidR="006D7C24" w:rsidP="00FF02F8" w:rsidRDefault="005274F1" w14:paraId="050F0FD8" w14:textId="68FE2CC3">
            <w:pPr>
              <w:spacing w:after="0" w:line="240" w:lineRule="auto"/>
              <w:jc w:val="right"/>
              <w:rPr>
                <w:rFonts w:cs="Calibri"/>
                <w:color w:val="000000"/>
                <w:sz w:val="18"/>
                <w:szCs w:val="18"/>
              </w:rPr>
            </w:pPr>
            <w:r w:rsidRPr="00FF02F8">
              <w:rPr>
                <w:rFonts w:cs="Calibri"/>
                <w:color w:val="000000"/>
                <w:sz w:val="18"/>
                <w:szCs w:val="18"/>
              </w:rPr>
              <w:t>79,777.60</w:t>
            </w:r>
          </w:p>
        </w:tc>
        <w:tc>
          <w:tcPr>
            <w:tcW w:w="1274" w:type="dxa"/>
            <w:shd w:val="clear" w:color="auto" w:fill="auto"/>
            <w:vAlign w:val="bottom"/>
          </w:tcPr>
          <w:p w:rsidRPr="00FF02F8" w:rsidR="006D7C24" w:rsidP="00FF02F8" w:rsidRDefault="002D64EC" w14:paraId="2DDF8A6A" w14:textId="373A6503">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6D7C24" w:rsidP="00FF02F8" w:rsidRDefault="00A91AA3" w14:paraId="73CDE024" w14:textId="53B366B7">
            <w:pPr>
              <w:spacing w:after="0" w:line="240" w:lineRule="auto"/>
              <w:jc w:val="right"/>
              <w:rPr>
                <w:rFonts w:cs="Calibri"/>
                <w:sz w:val="18"/>
                <w:szCs w:val="18"/>
              </w:rPr>
            </w:pPr>
            <w:r w:rsidRPr="00FF02F8">
              <w:rPr>
                <w:rFonts w:cs="Calibri"/>
                <w:sz w:val="18"/>
                <w:szCs w:val="18"/>
              </w:rPr>
              <w:t>$1.595</w:t>
            </w:r>
            <w:r w:rsidRPr="00FF02F8" w:rsidR="00013846">
              <w:rPr>
                <w:rFonts w:cs="Calibri"/>
                <w:sz w:val="18"/>
                <w:szCs w:val="18"/>
              </w:rPr>
              <w:t>,552.00</w:t>
            </w:r>
          </w:p>
        </w:tc>
      </w:tr>
      <w:tr w:rsidR="00FF02F8" w:rsidTr="00FF02F8" w14:paraId="6F5C9D4B" w14:textId="77777777">
        <w:tc>
          <w:tcPr>
            <w:tcW w:w="1268" w:type="dxa"/>
            <w:shd w:val="clear" w:color="auto" w:fill="F2F2F2"/>
            <w:vAlign w:val="center"/>
          </w:tcPr>
          <w:p w:rsidRPr="00FF02F8" w:rsidR="007B68B3" w:rsidP="00FF02F8" w:rsidRDefault="006B4915" w14:paraId="44439A41" w14:textId="524091BE">
            <w:pPr>
              <w:spacing w:after="0" w:line="240" w:lineRule="auto"/>
              <w:jc w:val="right"/>
              <w:rPr>
                <w:rFonts w:cs="Calibri"/>
                <w:sz w:val="18"/>
                <w:szCs w:val="18"/>
              </w:rPr>
            </w:pPr>
            <w:r w:rsidRPr="00FF02F8">
              <w:rPr>
                <w:rFonts w:cs="Calibri"/>
                <w:sz w:val="18"/>
                <w:szCs w:val="18"/>
              </w:rPr>
              <w:t>Request to Exceed Cost</w:t>
            </w:r>
            <w:r w:rsidRPr="00FF02F8" w:rsidR="00335446">
              <w:rPr>
                <w:rFonts w:cs="Calibri"/>
                <w:sz w:val="18"/>
                <w:szCs w:val="18"/>
              </w:rPr>
              <w:t xml:space="preserve"> </w:t>
            </w:r>
            <w:r w:rsidR="00BC032E">
              <w:rPr>
                <w:rFonts w:cs="Calibri"/>
                <w:sz w:val="18"/>
                <w:szCs w:val="18"/>
              </w:rPr>
              <w:t xml:space="preserve">and Protection </w:t>
            </w:r>
            <w:r w:rsidRPr="00FF02F8" w:rsidR="00EA2CFC">
              <w:rPr>
                <w:rFonts w:cs="Calibri"/>
                <w:sz w:val="18"/>
                <w:szCs w:val="18"/>
              </w:rPr>
              <w:t xml:space="preserve">Limits </w:t>
            </w:r>
            <w:r w:rsidR="00BC032E">
              <w:rPr>
                <w:rFonts w:cs="Calibri"/>
                <w:sz w:val="18"/>
                <w:szCs w:val="18"/>
              </w:rPr>
              <w:t xml:space="preserve">for Preservation </w:t>
            </w:r>
            <w:r w:rsidRPr="00FF02F8" w:rsidR="007B68B3">
              <w:rPr>
                <w:rFonts w:cs="Calibri"/>
                <w:sz w:val="18"/>
                <w:szCs w:val="18"/>
              </w:rPr>
              <w:t xml:space="preserve">HUD-50002 </w:t>
            </w:r>
          </w:p>
        </w:tc>
        <w:tc>
          <w:tcPr>
            <w:tcW w:w="1194" w:type="dxa"/>
            <w:shd w:val="clear" w:color="auto" w:fill="F2F2F2"/>
            <w:vAlign w:val="bottom"/>
          </w:tcPr>
          <w:p w:rsidRPr="00FF02F8" w:rsidR="007B68B3" w:rsidP="00FF02F8" w:rsidRDefault="00CD759D" w14:paraId="708195AA" w14:textId="0016DFEA">
            <w:pPr>
              <w:spacing w:after="0" w:line="240" w:lineRule="auto"/>
              <w:jc w:val="right"/>
              <w:rPr>
                <w:rFonts w:ascii="Times New Roman" w:hAnsi="Times New Roman"/>
                <w:sz w:val="18"/>
                <w:szCs w:val="18"/>
              </w:rPr>
            </w:pPr>
            <w:r>
              <w:rPr>
                <w:rFonts w:ascii="Times New Roman" w:hAnsi="Times New Roman"/>
                <w:sz w:val="18"/>
                <w:szCs w:val="18"/>
              </w:rPr>
              <w:t>340</w:t>
            </w:r>
          </w:p>
        </w:tc>
        <w:tc>
          <w:tcPr>
            <w:tcW w:w="1160" w:type="dxa"/>
            <w:shd w:val="clear" w:color="auto" w:fill="F2F2F2"/>
            <w:vAlign w:val="bottom"/>
          </w:tcPr>
          <w:p w:rsidRPr="00FF02F8" w:rsidR="007B68B3" w:rsidP="00FF02F8" w:rsidRDefault="007B68B3" w14:paraId="365783BC" w14:textId="71738148">
            <w:pPr>
              <w:spacing w:after="0" w:line="240" w:lineRule="auto"/>
              <w:jc w:val="right"/>
              <w:rPr>
                <w:rFonts w:cs="Calibri"/>
                <w:color w:val="000000"/>
                <w:sz w:val="18"/>
                <w:szCs w:val="18"/>
              </w:rPr>
            </w:pPr>
            <w:r w:rsidRPr="00FF02F8">
              <w:rPr>
                <w:rFonts w:cs="Calibri"/>
                <w:color w:val="000000"/>
                <w:sz w:val="18"/>
                <w:szCs w:val="18"/>
              </w:rPr>
              <w:t>855.32</w:t>
            </w:r>
          </w:p>
        </w:tc>
        <w:tc>
          <w:tcPr>
            <w:tcW w:w="1178" w:type="dxa"/>
            <w:shd w:val="clear" w:color="auto" w:fill="F2F2F2"/>
            <w:vAlign w:val="bottom"/>
          </w:tcPr>
          <w:p w:rsidRPr="00FF02F8" w:rsidR="007B68B3" w:rsidP="00FF02F8" w:rsidRDefault="007B68B3" w14:paraId="56658934" w14:textId="77339A65">
            <w:pPr>
              <w:spacing w:after="0" w:line="240" w:lineRule="auto"/>
              <w:jc w:val="right"/>
              <w:rPr>
                <w:rFonts w:cs="Calibri"/>
                <w:color w:val="000000"/>
                <w:sz w:val="18"/>
                <w:szCs w:val="18"/>
              </w:rPr>
            </w:pPr>
            <w:r w:rsidRPr="00FF02F8">
              <w:rPr>
                <w:rFonts w:cs="Calibri"/>
                <w:color w:val="000000"/>
                <w:sz w:val="18"/>
                <w:szCs w:val="18"/>
              </w:rPr>
              <w:t>290,808.80</w:t>
            </w:r>
          </w:p>
        </w:tc>
        <w:tc>
          <w:tcPr>
            <w:tcW w:w="1274" w:type="dxa"/>
            <w:shd w:val="clear" w:color="auto" w:fill="F2F2F2"/>
            <w:vAlign w:val="bottom"/>
          </w:tcPr>
          <w:p w:rsidRPr="00FF02F8" w:rsidR="007B68B3" w:rsidP="00FF02F8" w:rsidRDefault="007B68B3" w14:paraId="104D7BCA" w14:textId="11B6FC9F">
            <w:pPr>
              <w:spacing w:after="0" w:line="240" w:lineRule="auto"/>
              <w:jc w:val="right"/>
              <w:rPr>
                <w:rFonts w:cs="Calibri"/>
                <w:color w:val="000000"/>
                <w:sz w:val="18"/>
                <w:szCs w:val="18"/>
              </w:rPr>
            </w:pPr>
            <w:r w:rsidRPr="00FF02F8">
              <w:rPr>
                <w:rFonts w:cs="Calibri"/>
                <w:color w:val="000000"/>
                <w:sz w:val="18"/>
                <w:szCs w:val="18"/>
              </w:rPr>
              <w:t>0.50</w:t>
            </w:r>
          </w:p>
        </w:tc>
        <w:tc>
          <w:tcPr>
            <w:tcW w:w="1209" w:type="dxa"/>
            <w:shd w:val="clear" w:color="auto" w:fill="F2F2F2"/>
            <w:vAlign w:val="bottom"/>
          </w:tcPr>
          <w:p w:rsidRPr="00FF02F8" w:rsidR="007B68B3" w:rsidP="00FF02F8" w:rsidRDefault="007B68B3" w14:paraId="0792BD71" w14:textId="340610D7">
            <w:pPr>
              <w:spacing w:after="0" w:line="240" w:lineRule="auto"/>
              <w:jc w:val="right"/>
              <w:rPr>
                <w:rFonts w:cs="Calibri"/>
                <w:color w:val="000000"/>
                <w:sz w:val="18"/>
                <w:szCs w:val="18"/>
              </w:rPr>
            </w:pPr>
            <w:r w:rsidRPr="00FF02F8">
              <w:rPr>
                <w:rFonts w:cs="Calibri"/>
                <w:color w:val="000000"/>
                <w:sz w:val="18"/>
                <w:szCs w:val="18"/>
              </w:rPr>
              <w:t>145,404.40</w:t>
            </w:r>
          </w:p>
        </w:tc>
        <w:tc>
          <w:tcPr>
            <w:tcW w:w="1274" w:type="dxa"/>
            <w:shd w:val="clear" w:color="auto" w:fill="F2F2F2"/>
            <w:vAlign w:val="bottom"/>
          </w:tcPr>
          <w:p w:rsidRPr="00FF02F8" w:rsidR="007B68B3" w:rsidP="00FF02F8" w:rsidRDefault="007B68B3" w14:paraId="237A4F5A" w14:textId="67C0E0F8">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7C14CF" w:rsidR="007C14CF" w:rsidP="00FF02F8" w:rsidRDefault="007B68B3" w14:paraId="2642E51F" w14:textId="131562B0">
            <w:pPr>
              <w:spacing w:after="0" w:line="240" w:lineRule="auto"/>
              <w:jc w:val="right"/>
              <w:rPr>
                <w:rFonts w:cs="Calibri"/>
                <w:sz w:val="18"/>
                <w:szCs w:val="18"/>
              </w:rPr>
            </w:pPr>
            <w:r w:rsidRPr="00FF02F8">
              <w:rPr>
                <w:rFonts w:cs="Calibri"/>
                <w:sz w:val="18"/>
                <w:szCs w:val="18"/>
              </w:rPr>
              <w:t>$2,908,088.00</w:t>
            </w:r>
          </w:p>
        </w:tc>
      </w:tr>
      <w:tr w:rsidR="00903744" w:rsidTr="00FF02F8" w14:paraId="12D00105" w14:textId="77777777">
        <w:tc>
          <w:tcPr>
            <w:tcW w:w="9918" w:type="dxa"/>
            <w:gridSpan w:val="8"/>
            <w:shd w:val="clear" w:color="auto" w:fill="auto"/>
            <w:vAlign w:val="center"/>
          </w:tcPr>
          <w:p w:rsidR="007C14CF" w:rsidP="00FF02F8" w:rsidRDefault="007C14CF" w14:paraId="2947418B" w14:textId="77777777">
            <w:pPr>
              <w:spacing w:after="0" w:line="240" w:lineRule="auto"/>
              <w:rPr>
                <w:rFonts w:cs="Calibri"/>
                <w:b/>
                <w:bCs/>
                <w:sz w:val="18"/>
                <w:szCs w:val="18"/>
              </w:rPr>
            </w:pPr>
          </w:p>
          <w:p w:rsidR="007C14CF" w:rsidP="00FF02F8" w:rsidRDefault="007C14CF" w14:paraId="7530A0EB" w14:textId="77777777">
            <w:pPr>
              <w:spacing w:after="0" w:line="240" w:lineRule="auto"/>
              <w:rPr>
                <w:rFonts w:cs="Calibri"/>
                <w:b/>
                <w:bCs/>
                <w:sz w:val="18"/>
                <w:szCs w:val="18"/>
              </w:rPr>
            </w:pPr>
          </w:p>
          <w:p w:rsidRPr="00FF02F8" w:rsidR="00903744" w:rsidP="00FF02F8" w:rsidRDefault="00903744" w14:paraId="7A6BC0CA" w14:textId="2DAA3143">
            <w:pPr>
              <w:spacing w:after="0" w:line="240" w:lineRule="auto"/>
              <w:rPr>
                <w:rFonts w:ascii="Times New Roman" w:hAnsi="Times New Roman"/>
                <w:sz w:val="18"/>
                <w:szCs w:val="18"/>
              </w:rPr>
            </w:pPr>
            <w:r w:rsidRPr="00FF02F8">
              <w:rPr>
                <w:rFonts w:cs="Calibri"/>
                <w:b/>
                <w:bCs/>
                <w:sz w:val="18"/>
                <w:szCs w:val="18"/>
              </w:rPr>
              <w:t>Claims Without Conveyance of Title</w:t>
            </w:r>
          </w:p>
        </w:tc>
      </w:tr>
      <w:tr w:rsidR="00FF02F8" w:rsidTr="00FF02F8" w14:paraId="570FC056" w14:textId="77777777">
        <w:tc>
          <w:tcPr>
            <w:tcW w:w="1268" w:type="dxa"/>
            <w:shd w:val="clear" w:color="auto" w:fill="auto"/>
            <w:vAlign w:val="center"/>
          </w:tcPr>
          <w:p w:rsidRPr="00FF02F8" w:rsidR="003A47F4" w:rsidP="00FF02F8" w:rsidRDefault="003A47F4" w14:paraId="50C3C534" w14:textId="2891FC05">
            <w:pPr>
              <w:spacing w:after="0" w:line="240" w:lineRule="auto"/>
              <w:jc w:val="right"/>
              <w:rPr>
                <w:rFonts w:ascii="Times New Roman" w:hAnsi="Times New Roman"/>
                <w:sz w:val="24"/>
                <w:szCs w:val="24"/>
              </w:rPr>
            </w:pPr>
            <w:r w:rsidRPr="00FF02F8">
              <w:rPr>
                <w:rFonts w:cs="Calibri"/>
                <w:sz w:val="18"/>
                <w:szCs w:val="18"/>
              </w:rPr>
              <w:t xml:space="preserve"> Evaluation</w:t>
            </w:r>
          </w:p>
        </w:tc>
        <w:tc>
          <w:tcPr>
            <w:tcW w:w="1194" w:type="dxa"/>
            <w:shd w:val="clear" w:color="auto" w:fill="auto"/>
            <w:vAlign w:val="bottom"/>
          </w:tcPr>
          <w:p w:rsidRPr="00FF02F8" w:rsidR="003A47F4" w:rsidP="00FF02F8" w:rsidRDefault="00ED2D0F" w14:paraId="01713210" w14:textId="10B336E7">
            <w:pPr>
              <w:spacing w:after="0" w:line="240" w:lineRule="auto"/>
              <w:jc w:val="right"/>
              <w:rPr>
                <w:rFonts w:cs="Calibri"/>
                <w:sz w:val="18"/>
                <w:szCs w:val="18"/>
              </w:rPr>
            </w:pPr>
            <w:r w:rsidRPr="00FF02F8">
              <w:rPr>
                <w:rFonts w:cs="Calibri"/>
                <w:sz w:val="18"/>
                <w:szCs w:val="18"/>
              </w:rPr>
              <w:t>340</w:t>
            </w:r>
          </w:p>
        </w:tc>
        <w:tc>
          <w:tcPr>
            <w:tcW w:w="1160" w:type="dxa"/>
            <w:shd w:val="clear" w:color="auto" w:fill="auto"/>
            <w:vAlign w:val="bottom"/>
          </w:tcPr>
          <w:p w:rsidRPr="00FF02F8" w:rsidR="003A47F4" w:rsidP="00FF02F8" w:rsidRDefault="003A47F4" w14:paraId="6E9A3EF1" w14:textId="606E0EBD">
            <w:pPr>
              <w:spacing w:after="0" w:line="240" w:lineRule="auto"/>
              <w:jc w:val="right"/>
              <w:rPr>
                <w:rFonts w:cs="Calibri"/>
                <w:sz w:val="18"/>
                <w:szCs w:val="18"/>
              </w:rPr>
            </w:pPr>
            <w:r w:rsidRPr="00FF02F8">
              <w:rPr>
                <w:rFonts w:cs="Calibri"/>
                <w:color w:val="000000"/>
                <w:sz w:val="18"/>
                <w:szCs w:val="18"/>
              </w:rPr>
              <w:t>79.30</w:t>
            </w:r>
          </w:p>
        </w:tc>
        <w:tc>
          <w:tcPr>
            <w:tcW w:w="1178" w:type="dxa"/>
            <w:shd w:val="clear" w:color="auto" w:fill="auto"/>
            <w:vAlign w:val="bottom"/>
          </w:tcPr>
          <w:p w:rsidRPr="00FF02F8" w:rsidR="003A47F4" w:rsidP="00FF02F8" w:rsidRDefault="003A47F4" w14:paraId="2E6D870F" w14:textId="793849D7">
            <w:pPr>
              <w:spacing w:after="0" w:line="240" w:lineRule="auto"/>
              <w:jc w:val="right"/>
              <w:rPr>
                <w:rFonts w:cs="Calibri"/>
                <w:sz w:val="18"/>
                <w:szCs w:val="18"/>
              </w:rPr>
            </w:pPr>
            <w:r w:rsidRPr="00FF02F8">
              <w:rPr>
                <w:rFonts w:cs="Calibri"/>
                <w:color w:val="000000"/>
                <w:sz w:val="18"/>
                <w:szCs w:val="18"/>
              </w:rPr>
              <w:t>26,962.00</w:t>
            </w:r>
          </w:p>
        </w:tc>
        <w:tc>
          <w:tcPr>
            <w:tcW w:w="1274" w:type="dxa"/>
            <w:shd w:val="clear" w:color="auto" w:fill="auto"/>
            <w:vAlign w:val="bottom"/>
          </w:tcPr>
          <w:p w:rsidRPr="00FF02F8" w:rsidR="003A47F4" w:rsidP="00FF02F8" w:rsidRDefault="003A47F4" w14:paraId="3AE311DB" w14:textId="0CB349B5">
            <w:pPr>
              <w:spacing w:after="0" w:line="240" w:lineRule="auto"/>
              <w:jc w:val="right"/>
              <w:rPr>
                <w:rFonts w:cs="Calibri"/>
                <w:sz w:val="18"/>
                <w:szCs w:val="18"/>
              </w:rPr>
            </w:pPr>
            <w:r w:rsidRPr="00FF02F8">
              <w:rPr>
                <w:rFonts w:cs="Calibri"/>
                <w:color w:val="000000"/>
                <w:sz w:val="18"/>
                <w:szCs w:val="18"/>
              </w:rPr>
              <w:t>1</w:t>
            </w:r>
            <w:r w:rsidRPr="00FF02F8" w:rsidR="007B246E">
              <w:rPr>
                <w:rFonts w:cs="Calibri"/>
                <w:color w:val="000000"/>
                <w:sz w:val="18"/>
                <w:szCs w:val="18"/>
              </w:rPr>
              <w:t>.00</w:t>
            </w:r>
          </w:p>
        </w:tc>
        <w:tc>
          <w:tcPr>
            <w:tcW w:w="1209" w:type="dxa"/>
            <w:shd w:val="clear" w:color="auto" w:fill="auto"/>
            <w:vAlign w:val="bottom"/>
          </w:tcPr>
          <w:p w:rsidRPr="00FF02F8" w:rsidR="003A47F4" w:rsidP="00FF02F8" w:rsidRDefault="003A47F4" w14:paraId="3430DC5F" w14:textId="608DCCA8">
            <w:pPr>
              <w:spacing w:after="0" w:line="240" w:lineRule="auto"/>
              <w:jc w:val="right"/>
              <w:rPr>
                <w:rFonts w:cs="Calibri"/>
                <w:sz w:val="18"/>
                <w:szCs w:val="18"/>
              </w:rPr>
            </w:pPr>
            <w:r w:rsidRPr="00FF02F8">
              <w:rPr>
                <w:rFonts w:cs="Calibri"/>
                <w:color w:val="000000"/>
                <w:sz w:val="18"/>
                <w:szCs w:val="18"/>
              </w:rPr>
              <w:t>26,962.00</w:t>
            </w:r>
          </w:p>
        </w:tc>
        <w:tc>
          <w:tcPr>
            <w:tcW w:w="1274" w:type="dxa"/>
            <w:shd w:val="clear" w:color="auto" w:fill="auto"/>
            <w:vAlign w:val="bottom"/>
          </w:tcPr>
          <w:p w:rsidRPr="00FF02F8" w:rsidR="003A47F4" w:rsidP="00FF02F8" w:rsidRDefault="00FC7A78" w14:paraId="5182EBDF" w14:textId="54CC9442">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3A47F4" w:rsidP="00FF02F8" w:rsidRDefault="008703D8" w14:paraId="269FAF2B" w14:textId="08D9A172">
            <w:pPr>
              <w:spacing w:after="0" w:line="240" w:lineRule="auto"/>
              <w:jc w:val="right"/>
              <w:rPr>
                <w:rFonts w:cs="Calibri"/>
                <w:sz w:val="18"/>
                <w:szCs w:val="18"/>
              </w:rPr>
            </w:pPr>
            <w:r w:rsidRPr="00FF02F8">
              <w:rPr>
                <w:rFonts w:cs="Calibri"/>
                <w:sz w:val="18"/>
                <w:szCs w:val="18"/>
              </w:rPr>
              <w:t>$53</w:t>
            </w:r>
            <w:r w:rsidR="00BC032E">
              <w:rPr>
                <w:rFonts w:cs="Calibri"/>
                <w:sz w:val="18"/>
                <w:szCs w:val="18"/>
              </w:rPr>
              <w:t>9</w:t>
            </w:r>
            <w:r w:rsidRPr="00FF02F8">
              <w:rPr>
                <w:rFonts w:cs="Calibri"/>
                <w:sz w:val="18"/>
                <w:szCs w:val="18"/>
              </w:rPr>
              <w:t>,240.00</w:t>
            </w:r>
          </w:p>
        </w:tc>
      </w:tr>
      <w:tr w:rsidR="00FF02F8" w:rsidTr="00FF02F8" w14:paraId="7B5EED2D" w14:textId="77777777">
        <w:tc>
          <w:tcPr>
            <w:tcW w:w="1268" w:type="dxa"/>
            <w:shd w:val="clear" w:color="auto" w:fill="F2F2F2"/>
            <w:vAlign w:val="center"/>
          </w:tcPr>
          <w:p w:rsidRPr="00FF02F8" w:rsidR="003A47F4" w:rsidP="00FF02F8" w:rsidRDefault="001559C0" w14:paraId="12529A88" w14:textId="5A2DABD8">
            <w:pPr>
              <w:spacing w:after="0" w:line="240" w:lineRule="auto"/>
              <w:jc w:val="right"/>
              <w:rPr>
                <w:rFonts w:ascii="Times New Roman" w:hAnsi="Times New Roman"/>
                <w:sz w:val="24"/>
                <w:szCs w:val="24"/>
              </w:rPr>
            </w:pPr>
            <w:r>
              <w:rPr>
                <w:rFonts w:cs="Calibri"/>
                <w:sz w:val="18"/>
                <w:szCs w:val="18"/>
              </w:rPr>
              <w:t>Mortgagee</w:t>
            </w:r>
            <w:r w:rsidRPr="00FF02F8" w:rsidR="003A47F4">
              <w:rPr>
                <w:rFonts w:cs="Calibri"/>
                <w:sz w:val="18"/>
                <w:szCs w:val="18"/>
              </w:rPr>
              <w:t xml:space="preserve"> Notice of Foreclosure</w:t>
            </w:r>
          </w:p>
        </w:tc>
        <w:tc>
          <w:tcPr>
            <w:tcW w:w="1194" w:type="dxa"/>
            <w:shd w:val="clear" w:color="auto" w:fill="F2F2F2"/>
            <w:vAlign w:val="bottom"/>
          </w:tcPr>
          <w:p w:rsidRPr="00FF02F8" w:rsidR="003A47F4" w:rsidP="00FF02F8" w:rsidRDefault="00CD759D" w14:paraId="05FF0D7B" w14:textId="08E14935">
            <w:pPr>
              <w:spacing w:after="0" w:line="240" w:lineRule="auto"/>
              <w:jc w:val="right"/>
              <w:rPr>
                <w:rFonts w:cs="Calibri"/>
                <w:sz w:val="18"/>
                <w:szCs w:val="18"/>
              </w:rPr>
            </w:pPr>
            <w:r>
              <w:rPr>
                <w:rFonts w:cs="Calibri"/>
                <w:sz w:val="18"/>
                <w:szCs w:val="18"/>
              </w:rPr>
              <w:t>340</w:t>
            </w:r>
          </w:p>
        </w:tc>
        <w:tc>
          <w:tcPr>
            <w:tcW w:w="1160" w:type="dxa"/>
            <w:shd w:val="clear" w:color="auto" w:fill="F2F2F2"/>
            <w:vAlign w:val="bottom"/>
          </w:tcPr>
          <w:p w:rsidRPr="00FF02F8" w:rsidR="003A47F4" w:rsidP="00FF02F8" w:rsidRDefault="003A47F4" w14:paraId="24B4D265" w14:textId="201346A4">
            <w:pPr>
              <w:spacing w:after="0" w:line="240" w:lineRule="auto"/>
              <w:jc w:val="right"/>
              <w:rPr>
                <w:rFonts w:cs="Calibri"/>
                <w:sz w:val="18"/>
                <w:szCs w:val="18"/>
              </w:rPr>
            </w:pPr>
            <w:r w:rsidRPr="00FF02F8">
              <w:rPr>
                <w:rFonts w:cs="Calibri"/>
                <w:color w:val="000000"/>
                <w:sz w:val="18"/>
                <w:szCs w:val="18"/>
              </w:rPr>
              <w:t>79.3</w:t>
            </w:r>
            <w:r w:rsidR="00BC032E">
              <w:rPr>
                <w:rFonts w:cs="Calibri"/>
                <w:color w:val="000000"/>
                <w:sz w:val="18"/>
                <w:szCs w:val="18"/>
              </w:rPr>
              <w:t>0</w:t>
            </w:r>
          </w:p>
        </w:tc>
        <w:tc>
          <w:tcPr>
            <w:tcW w:w="1178" w:type="dxa"/>
            <w:shd w:val="clear" w:color="auto" w:fill="F2F2F2"/>
            <w:vAlign w:val="bottom"/>
          </w:tcPr>
          <w:p w:rsidRPr="00FF02F8" w:rsidR="003A47F4" w:rsidP="00FF02F8" w:rsidRDefault="003A47F4" w14:paraId="47F834B3" w14:textId="53996B3B">
            <w:pPr>
              <w:spacing w:after="0" w:line="240" w:lineRule="auto"/>
              <w:jc w:val="right"/>
              <w:rPr>
                <w:rFonts w:cs="Calibri"/>
                <w:sz w:val="18"/>
                <w:szCs w:val="18"/>
              </w:rPr>
            </w:pPr>
            <w:r w:rsidRPr="00FF02F8">
              <w:rPr>
                <w:rFonts w:cs="Calibri"/>
                <w:color w:val="000000"/>
                <w:sz w:val="18"/>
                <w:szCs w:val="18"/>
              </w:rPr>
              <w:t>26,962.00</w:t>
            </w:r>
          </w:p>
        </w:tc>
        <w:tc>
          <w:tcPr>
            <w:tcW w:w="1274" w:type="dxa"/>
            <w:shd w:val="clear" w:color="auto" w:fill="F2F2F2"/>
            <w:vAlign w:val="bottom"/>
          </w:tcPr>
          <w:p w:rsidRPr="00FF02F8" w:rsidR="003A47F4" w:rsidP="00FF02F8" w:rsidRDefault="003A47F4" w14:paraId="180A7FDC" w14:textId="09297BBE">
            <w:pPr>
              <w:spacing w:after="0" w:line="240" w:lineRule="auto"/>
              <w:jc w:val="right"/>
              <w:rPr>
                <w:rFonts w:cs="Calibri"/>
                <w:sz w:val="18"/>
                <w:szCs w:val="18"/>
              </w:rPr>
            </w:pPr>
            <w:r w:rsidRPr="00FF02F8">
              <w:rPr>
                <w:rFonts w:cs="Calibri"/>
                <w:color w:val="000000"/>
                <w:sz w:val="18"/>
                <w:szCs w:val="18"/>
              </w:rPr>
              <w:t>1</w:t>
            </w:r>
            <w:r w:rsidRPr="00FF02F8" w:rsidR="007B246E">
              <w:rPr>
                <w:rFonts w:cs="Calibri"/>
                <w:color w:val="000000"/>
                <w:sz w:val="18"/>
                <w:szCs w:val="18"/>
              </w:rPr>
              <w:t>.00</w:t>
            </w:r>
          </w:p>
        </w:tc>
        <w:tc>
          <w:tcPr>
            <w:tcW w:w="1209" w:type="dxa"/>
            <w:shd w:val="clear" w:color="auto" w:fill="F2F2F2"/>
            <w:vAlign w:val="bottom"/>
          </w:tcPr>
          <w:p w:rsidRPr="00FF02F8" w:rsidR="003A47F4" w:rsidP="00FF02F8" w:rsidRDefault="003A47F4" w14:paraId="65D7E3AD" w14:textId="66176615">
            <w:pPr>
              <w:spacing w:after="0" w:line="240" w:lineRule="auto"/>
              <w:jc w:val="right"/>
              <w:rPr>
                <w:rFonts w:cs="Calibri"/>
                <w:sz w:val="18"/>
                <w:szCs w:val="18"/>
              </w:rPr>
            </w:pPr>
            <w:r w:rsidRPr="00FF02F8">
              <w:rPr>
                <w:rFonts w:cs="Calibri"/>
                <w:color w:val="000000"/>
                <w:sz w:val="18"/>
                <w:szCs w:val="18"/>
              </w:rPr>
              <w:t>26,962.00</w:t>
            </w:r>
          </w:p>
        </w:tc>
        <w:tc>
          <w:tcPr>
            <w:tcW w:w="1274" w:type="dxa"/>
            <w:shd w:val="clear" w:color="auto" w:fill="F2F2F2"/>
            <w:vAlign w:val="bottom"/>
          </w:tcPr>
          <w:p w:rsidRPr="00FF02F8" w:rsidR="003A47F4" w:rsidP="00FF02F8" w:rsidRDefault="00FC7A78" w14:paraId="26464C00" w14:textId="54CBFC02">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3A47F4" w:rsidP="00FF02F8" w:rsidRDefault="008703D8" w14:paraId="71DE61E8" w14:textId="6DF88294">
            <w:pPr>
              <w:spacing w:after="0" w:line="240" w:lineRule="auto"/>
              <w:jc w:val="right"/>
              <w:rPr>
                <w:rFonts w:cs="Calibri"/>
                <w:sz w:val="18"/>
                <w:szCs w:val="18"/>
              </w:rPr>
            </w:pPr>
            <w:r w:rsidRPr="00FF02F8">
              <w:rPr>
                <w:rFonts w:cs="Calibri"/>
                <w:sz w:val="18"/>
                <w:szCs w:val="18"/>
              </w:rPr>
              <w:t>$</w:t>
            </w:r>
            <w:r w:rsidRPr="00FF02F8" w:rsidR="00E335C6">
              <w:rPr>
                <w:rFonts w:cs="Calibri"/>
                <w:sz w:val="18"/>
                <w:szCs w:val="18"/>
              </w:rPr>
              <w:t>539,240.00</w:t>
            </w:r>
          </w:p>
        </w:tc>
      </w:tr>
      <w:tr w:rsidR="00FF02F8" w:rsidTr="00FF02F8" w14:paraId="7319E64F" w14:textId="77777777">
        <w:tc>
          <w:tcPr>
            <w:tcW w:w="1268" w:type="dxa"/>
            <w:shd w:val="clear" w:color="auto" w:fill="auto"/>
            <w:vAlign w:val="center"/>
          </w:tcPr>
          <w:p w:rsidRPr="00FF02F8" w:rsidR="003A47F4" w:rsidP="00FF02F8" w:rsidRDefault="003A47F4" w14:paraId="03BDC6C5" w14:textId="592F675C">
            <w:pPr>
              <w:spacing w:after="0" w:line="240" w:lineRule="auto"/>
              <w:jc w:val="right"/>
              <w:rPr>
                <w:rFonts w:ascii="Times New Roman" w:hAnsi="Times New Roman"/>
                <w:sz w:val="24"/>
                <w:szCs w:val="24"/>
              </w:rPr>
            </w:pPr>
            <w:r w:rsidRPr="00FF02F8">
              <w:rPr>
                <w:rFonts w:cs="Calibri"/>
                <w:sz w:val="18"/>
                <w:szCs w:val="18"/>
              </w:rPr>
              <w:t>Appraisal for HUD Approval</w:t>
            </w:r>
          </w:p>
        </w:tc>
        <w:tc>
          <w:tcPr>
            <w:tcW w:w="1194" w:type="dxa"/>
            <w:shd w:val="clear" w:color="auto" w:fill="auto"/>
            <w:vAlign w:val="bottom"/>
          </w:tcPr>
          <w:p w:rsidRPr="00FF02F8" w:rsidR="003A47F4" w:rsidP="00FF02F8" w:rsidRDefault="00CD759D" w14:paraId="227F2AF1" w14:textId="29DBC86B">
            <w:pPr>
              <w:spacing w:after="0" w:line="240" w:lineRule="auto"/>
              <w:jc w:val="right"/>
              <w:rPr>
                <w:rFonts w:cs="Calibri"/>
                <w:sz w:val="18"/>
                <w:szCs w:val="18"/>
              </w:rPr>
            </w:pPr>
            <w:r>
              <w:rPr>
                <w:rFonts w:cs="Calibri"/>
                <w:sz w:val="18"/>
                <w:szCs w:val="18"/>
              </w:rPr>
              <w:t>340</w:t>
            </w:r>
          </w:p>
        </w:tc>
        <w:tc>
          <w:tcPr>
            <w:tcW w:w="1160" w:type="dxa"/>
            <w:shd w:val="clear" w:color="auto" w:fill="auto"/>
            <w:vAlign w:val="bottom"/>
          </w:tcPr>
          <w:p w:rsidRPr="00FF02F8" w:rsidR="003A47F4" w:rsidP="00FF02F8" w:rsidRDefault="003A47F4" w14:paraId="039F1BF2" w14:textId="1E89CC36">
            <w:pPr>
              <w:spacing w:after="0" w:line="240" w:lineRule="auto"/>
              <w:jc w:val="right"/>
              <w:rPr>
                <w:rFonts w:cs="Calibri"/>
                <w:sz w:val="18"/>
                <w:szCs w:val="18"/>
              </w:rPr>
            </w:pPr>
            <w:r w:rsidRPr="00FF02F8">
              <w:rPr>
                <w:rFonts w:cs="Calibri"/>
                <w:color w:val="000000"/>
                <w:sz w:val="18"/>
                <w:szCs w:val="18"/>
              </w:rPr>
              <w:t>79.3</w:t>
            </w:r>
            <w:r w:rsidR="00BC032E">
              <w:rPr>
                <w:rFonts w:cs="Calibri"/>
                <w:color w:val="000000"/>
                <w:sz w:val="18"/>
                <w:szCs w:val="18"/>
              </w:rPr>
              <w:t>0</w:t>
            </w:r>
          </w:p>
        </w:tc>
        <w:tc>
          <w:tcPr>
            <w:tcW w:w="1178" w:type="dxa"/>
            <w:shd w:val="clear" w:color="auto" w:fill="auto"/>
            <w:vAlign w:val="bottom"/>
          </w:tcPr>
          <w:p w:rsidRPr="00FF02F8" w:rsidR="003A47F4" w:rsidP="00FF02F8" w:rsidRDefault="003A47F4" w14:paraId="09FFD5D4" w14:textId="5CFED204">
            <w:pPr>
              <w:spacing w:after="0" w:line="240" w:lineRule="auto"/>
              <w:jc w:val="right"/>
              <w:rPr>
                <w:rFonts w:cs="Calibri"/>
                <w:sz w:val="18"/>
                <w:szCs w:val="18"/>
              </w:rPr>
            </w:pPr>
            <w:r w:rsidRPr="00FF02F8">
              <w:rPr>
                <w:rFonts w:cs="Calibri"/>
                <w:color w:val="000000"/>
                <w:sz w:val="18"/>
                <w:szCs w:val="18"/>
              </w:rPr>
              <w:t>26,962.00</w:t>
            </w:r>
          </w:p>
        </w:tc>
        <w:tc>
          <w:tcPr>
            <w:tcW w:w="1274" w:type="dxa"/>
            <w:shd w:val="clear" w:color="auto" w:fill="auto"/>
            <w:vAlign w:val="bottom"/>
          </w:tcPr>
          <w:p w:rsidRPr="00FF02F8" w:rsidR="003A47F4" w:rsidP="00FF02F8" w:rsidRDefault="003A47F4" w14:paraId="36BAE15C" w14:textId="13F136FD">
            <w:pPr>
              <w:spacing w:after="0" w:line="240" w:lineRule="auto"/>
              <w:jc w:val="right"/>
              <w:rPr>
                <w:rFonts w:cs="Calibri"/>
                <w:sz w:val="18"/>
                <w:szCs w:val="18"/>
              </w:rPr>
            </w:pPr>
            <w:r w:rsidRPr="00FF02F8">
              <w:rPr>
                <w:rFonts w:cs="Calibri"/>
                <w:color w:val="000000"/>
                <w:sz w:val="18"/>
                <w:szCs w:val="18"/>
              </w:rPr>
              <w:t>2</w:t>
            </w:r>
            <w:r w:rsidRPr="00FF02F8" w:rsidR="007B246E">
              <w:rPr>
                <w:rFonts w:cs="Calibri"/>
                <w:color w:val="000000"/>
                <w:sz w:val="18"/>
                <w:szCs w:val="18"/>
              </w:rPr>
              <w:t>.00</w:t>
            </w:r>
          </w:p>
        </w:tc>
        <w:tc>
          <w:tcPr>
            <w:tcW w:w="1209" w:type="dxa"/>
            <w:shd w:val="clear" w:color="auto" w:fill="auto"/>
            <w:vAlign w:val="bottom"/>
          </w:tcPr>
          <w:p w:rsidRPr="00FF02F8" w:rsidR="003A47F4" w:rsidP="00FF02F8" w:rsidRDefault="003A47F4" w14:paraId="3A645ADE" w14:textId="448DD0DD">
            <w:pPr>
              <w:spacing w:after="0" w:line="240" w:lineRule="auto"/>
              <w:jc w:val="right"/>
              <w:rPr>
                <w:rFonts w:cs="Calibri"/>
                <w:sz w:val="18"/>
                <w:szCs w:val="18"/>
              </w:rPr>
            </w:pPr>
            <w:r w:rsidRPr="00FF02F8">
              <w:rPr>
                <w:rFonts w:cs="Calibri"/>
                <w:color w:val="000000"/>
                <w:sz w:val="18"/>
                <w:szCs w:val="18"/>
              </w:rPr>
              <w:t>53,924.00</w:t>
            </w:r>
          </w:p>
        </w:tc>
        <w:tc>
          <w:tcPr>
            <w:tcW w:w="1274" w:type="dxa"/>
            <w:shd w:val="clear" w:color="auto" w:fill="auto"/>
            <w:vAlign w:val="bottom"/>
          </w:tcPr>
          <w:p w:rsidRPr="00FF02F8" w:rsidR="003A47F4" w:rsidP="00FF02F8" w:rsidRDefault="00FC7A78" w14:paraId="36FEC553" w14:textId="37ED2A02">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3A47F4" w:rsidP="00FF02F8" w:rsidRDefault="00E335C6" w14:paraId="66E4D059" w14:textId="52F0C5AD">
            <w:pPr>
              <w:spacing w:after="0" w:line="240" w:lineRule="auto"/>
              <w:jc w:val="right"/>
              <w:rPr>
                <w:rFonts w:cs="Calibri"/>
                <w:sz w:val="18"/>
                <w:szCs w:val="18"/>
              </w:rPr>
            </w:pPr>
            <w:r w:rsidRPr="00FF02F8">
              <w:rPr>
                <w:rFonts w:cs="Calibri"/>
                <w:sz w:val="18"/>
                <w:szCs w:val="18"/>
              </w:rPr>
              <w:t>$</w:t>
            </w:r>
            <w:r w:rsidRPr="00FF02F8" w:rsidR="008B59A7">
              <w:rPr>
                <w:rFonts w:cs="Calibri"/>
                <w:sz w:val="18"/>
                <w:szCs w:val="18"/>
              </w:rPr>
              <w:t>1,078,480.00</w:t>
            </w:r>
          </w:p>
        </w:tc>
      </w:tr>
      <w:tr w:rsidR="00FF02F8" w:rsidTr="00FF02F8" w14:paraId="71CA44CE" w14:textId="77777777">
        <w:tc>
          <w:tcPr>
            <w:tcW w:w="1268" w:type="dxa"/>
            <w:shd w:val="clear" w:color="auto" w:fill="F2F2F2"/>
            <w:vAlign w:val="center"/>
          </w:tcPr>
          <w:p w:rsidRPr="00FF02F8" w:rsidR="003A47F4" w:rsidP="00FF02F8" w:rsidRDefault="0072528E" w14:paraId="43A547D4" w14:textId="5AAEBCD8">
            <w:pPr>
              <w:spacing w:after="0" w:line="240" w:lineRule="auto"/>
              <w:jc w:val="right"/>
              <w:rPr>
                <w:rFonts w:ascii="Times New Roman" w:hAnsi="Times New Roman"/>
                <w:sz w:val="24"/>
                <w:szCs w:val="24"/>
              </w:rPr>
            </w:pPr>
            <w:r w:rsidRPr="00FF02F8">
              <w:rPr>
                <w:rFonts w:cs="Calibri"/>
                <w:sz w:val="18"/>
                <w:szCs w:val="18"/>
              </w:rPr>
              <w:t>Claims</w:t>
            </w:r>
            <w:r w:rsidRPr="00FF02F8" w:rsidR="003A47F4">
              <w:rPr>
                <w:rFonts w:cs="Calibri"/>
                <w:sz w:val="18"/>
                <w:szCs w:val="18"/>
              </w:rPr>
              <w:t xml:space="preserve"> HUD-27011 </w:t>
            </w:r>
          </w:p>
        </w:tc>
        <w:tc>
          <w:tcPr>
            <w:tcW w:w="1194" w:type="dxa"/>
            <w:shd w:val="clear" w:color="auto" w:fill="F2F2F2"/>
            <w:vAlign w:val="bottom"/>
          </w:tcPr>
          <w:p w:rsidRPr="00FF02F8" w:rsidR="003A47F4" w:rsidP="00FF02F8" w:rsidRDefault="00CD759D" w14:paraId="36C175D8" w14:textId="5CD7C264">
            <w:pPr>
              <w:spacing w:after="0" w:line="240" w:lineRule="auto"/>
              <w:jc w:val="right"/>
              <w:rPr>
                <w:rFonts w:cs="Calibri"/>
                <w:sz w:val="18"/>
                <w:szCs w:val="18"/>
              </w:rPr>
            </w:pPr>
            <w:r>
              <w:rPr>
                <w:rFonts w:cs="Calibri"/>
                <w:sz w:val="18"/>
                <w:szCs w:val="18"/>
              </w:rPr>
              <w:t>340</w:t>
            </w:r>
          </w:p>
        </w:tc>
        <w:tc>
          <w:tcPr>
            <w:tcW w:w="1160" w:type="dxa"/>
            <w:shd w:val="clear" w:color="auto" w:fill="F2F2F2"/>
            <w:vAlign w:val="bottom"/>
          </w:tcPr>
          <w:p w:rsidRPr="00FF02F8" w:rsidR="003A47F4" w:rsidP="00FF02F8" w:rsidRDefault="003A47F4" w14:paraId="36D2B38A" w14:textId="276BE3CC">
            <w:pPr>
              <w:spacing w:after="0" w:line="240" w:lineRule="auto"/>
              <w:jc w:val="right"/>
              <w:rPr>
                <w:rFonts w:cs="Calibri"/>
                <w:sz w:val="18"/>
                <w:szCs w:val="18"/>
              </w:rPr>
            </w:pPr>
            <w:r w:rsidRPr="00FF02F8">
              <w:rPr>
                <w:rFonts w:cs="Calibri"/>
                <w:color w:val="000000"/>
                <w:sz w:val="18"/>
                <w:szCs w:val="18"/>
              </w:rPr>
              <w:t>79.3</w:t>
            </w:r>
            <w:r w:rsidR="00BC032E">
              <w:rPr>
                <w:rFonts w:cs="Calibri"/>
                <w:color w:val="000000"/>
                <w:sz w:val="18"/>
                <w:szCs w:val="18"/>
              </w:rPr>
              <w:t>0</w:t>
            </w:r>
          </w:p>
        </w:tc>
        <w:tc>
          <w:tcPr>
            <w:tcW w:w="1178" w:type="dxa"/>
            <w:shd w:val="clear" w:color="auto" w:fill="F2F2F2"/>
            <w:vAlign w:val="bottom"/>
          </w:tcPr>
          <w:p w:rsidRPr="00FF02F8" w:rsidR="003A47F4" w:rsidP="00FF02F8" w:rsidRDefault="003A47F4" w14:paraId="4C3E8754" w14:textId="00E2234E">
            <w:pPr>
              <w:spacing w:after="0" w:line="240" w:lineRule="auto"/>
              <w:jc w:val="right"/>
              <w:rPr>
                <w:rFonts w:cs="Calibri"/>
                <w:sz w:val="18"/>
                <w:szCs w:val="18"/>
              </w:rPr>
            </w:pPr>
            <w:r w:rsidRPr="00FF02F8">
              <w:rPr>
                <w:rFonts w:cs="Calibri"/>
                <w:color w:val="000000"/>
                <w:sz w:val="18"/>
                <w:szCs w:val="18"/>
              </w:rPr>
              <w:t>26,962.00</w:t>
            </w:r>
          </w:p>
        </w:tc>
        <w:tc>
          <w:tcPr>
            <w:tcW w:w="1274" w:type="dxa"/>
            <w:shd w:val="clear" w:color="auto" w:fill="F2F2F2"/>
            <w:vAlign w:val="bottom"/>
          </w:tcPr>
          <w:p w:rsidRPr="00FF02F8" w:rsidR="003A47F4" w:rsidP="00FF02F8" w:rsidRDefault="003A47F4" w14:paraId="15DA8553" w14:textId="7E71175D">
            <w:pPr>
              <w:spacing w:after="0" w:line="240" w:lineRule="auto"/>
              <w:jc w:val="right"/>
              <w:rPr>
                <w:rFonts w:cs="Calibri"/>
                <w:sz w:val="18"/>
                <w:szCs w:val="18"/>
              </w:rPr>
            </w:pPr>
            <w:r w:rsidRPr="00FF02F8">
              <w:rPr>
                <w:rFonts w:cs="Calibri"/>
                <w:color w:val="000000"/>
                <w:sz w:val="18"/>
                <w:szCs w:val="18"/>
              </w:rPr>
              <w:t>1.33</w:t>
            </w:r>
          </w:p>
        </w:tc>
        <w:tc>
          <w:tcPr>
            <w:tcW w:w="1209" w:type="dxa"/>
            <w:shd w:val="clear" w:color="auto" w:fill="F2F2F2"/>
            <w:vAlign w:val="bottom"/>
          </w:tcPr>
          <w:p w:rsidRPr="00FF02F8" w:rsidR="003A47F4" w:rsidP="00FF02F8" w:rsidRDefault="003A47F4" w14:paraId="7B397287" w14:textId="539A352F">
            <w:pPr>
              <w:spacing w:after="0" w:line="240" w:lineRule="auto"/>
              <w:jc w:val="right"/>
              <w:rPr>
                <w:rFonts w:cs="Calibri"/>
                <w:sz w:val="18"/>
                <w:szCs w:val="18"/>
              </w:rPr>
            </w:pPr>
            <w:r w:rsidRPr="00FF02F8">
              <w:rPr>
                <w:rFonts w:cs="Calibri"/>
                <w:color w:val="000000"/>
                <w:sz w:val="18"/>
                <w:szCs w:val="18"/>
              </w:rPr>
              <w:t>35,859.46</w:t>
            </w:r>
          </w:p>
        </w:tc>
        <w:tc>
          <w:tcPr>
            <w:tcW w:w="1274" w:type="dxa"/>
            <w:shd w:val="clear" w:color="auto" w:fill="F2F2F2"/>
            <w:vAlign w:val="bottom"/>
          </w:tcPr>
          <w:p w:rsidRPr="00FF02F8" w:rsidR="003A47F4" w:rsidP="00FF02F8" w:rsidRDefault="00FC7A78" w14:paraId="65EB99C7" w14:textId="12B23F3F">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3A47F4" w:rsidP="00FF02F8" w:rsidRDefault="00D3384E" w14:paraId="1A77677F" w14:textId="18668928">
            <w:pPr>
              <w:spacing w:after="0" w:line="240" w:lineRule="auto"/>
              <w:jc w:val="right"/>
              <w:rPr>
                <w:rFonts w:cs="Calibri"/>
                <w:sz w:val="18"/>
                <w:szCs w:val="18"/>
              </w:rPr>
            </w:pPr>
            <w:r w:rsidRPr="00FF02F8">
              <w:rPr>
                <w:rFonts w:cs="Calibri"/>
                <w:sz w:val="18"/>
                <w:szCs w:val="18"/>
              </w:rPr>
              <w:t>$717,189.20</w:t>
            </w:r>
          </w:p>
        </w:tc>
      </w:tr>
      <w:tr w:rsidR="0009044C" w:rsidTr="00FF02F8" w14:paraId="116997F4" w14:textId="77777777">
        <w:tc>
          <w:tcPr>
            <w:tcW w:w="9918" w:type="dxa"/>
            <w:gridSpan w:val="8"/>
            <w:shd w:val="clear" w:color="auto" w:fill="auto"/>
            <w:vAlign w:val="center"/>
          </w:tcPr>
          <w:p w:rsidRPr="00FF02F8" w:rsidR="0009044C" w:rsidP="00FF02F8" w:rsidRDefault="0009044C" w14:paraId="1C0F48D3" w14:textId="78D71D13">
            <w:pPr>
              <w:spacing w:after="0" w:line="240" w:lineRule="auto"/>
              <w:rPr>
                <w:rFonts w:ascii="Times New Roman" w:hAnsi="Times New Roman"/>
                <w:sz w:val="20"/>
                <w:szCs w:val="20"/>
              </w:rPr>
            </w:pPr>
            <w:r w:rsidRPr="00FF02F8">
              <w:rPr>
                <w:rFonts w:cs="Calibri"/>
                <w:b/>
                <w:bCs/>
                <w:sz w:val="18"/>
                <w:szCs w:val="18"/>
              </w:rPr>
              <w:t>Property Inspection and Preservation</w:t>
            </w:r>
          </w:p>
        </w:tc>
      </w:tr>
      <w:tr w:rsidRPr="00535484" w:rsidR="00FF02F8" w:rsidTr="00FF02F8" w14:paraId="7E76706F" w14:textId="77777777">
        <w:tc>
          <w:tcPr>
            <w:tcW w:w="1268" w:type="dxa"/>
            <w:shd w:val="clear" w:color="auto" w:fill="auto"/>
            <w:vAlign w:val="center"/>
          </w:tcPr>
          <w:p w:rsidRPr="00FF02F8" w:rsidR="00D57D96" w:rsidP="00FF02F8" w:rsidRDefault="00E83A25" w14:paraId="1AF72231" w14:textId="2918FDFB">
            <w:pPr>
              <w:spacing w:after="0" w:line="240" w:lineRule="auto"/>
              <w:jc w:val="right"/>
              <w:rPr>
                <w:rFonts w:cs="Calibri"/>
                <w:sz w:val="18"/>
                <w:szCs w:val="18"/>
              </w:rPr>
            </w:pPr>
            <w:r w:rsidRPr="00FF02F8">
              <w:rPr>
                <w:rFonts w:cs="Calibri"/>
                <w:sz w:val="18"/>
                <w:szCs w:val="18"/>
              </w:rPr>
              <w:t>Property Ins</w:t>
            </w:r>
            <w:r w:rsidRPr="00FF02F8" w:rsidR="003E5CD4">
              <w:rPr>
                <w:rFonts w:cs="Calibri"/>
                <w:sz w:val="18"/>
                <w:szCs w:val="18"/>
              </w:rPr>
              <w:t>pection Report</w:t>
            </w:r>
            <w:r w:rsidRPr="00FF02F8" w:rsidR="00D57D96">
              <w:rPr>
                <w:rFonts w:cs="Calibri"/>
                <w:sz w:val="18"/>
                <w:szCs w:val="18"/>
              </w:rPr>
              <w:t xml:space="preserve"> HUD-9519-A </w:t>
            </w:r>
          </w:p>
        </w:tc>
        <w:tc>
          <w:tcPr>
            <w:tcW w:w="1194" w:type="dxa"/>
            <w:shd w:val="clear" w:color="auto" w:fill="auto"/>
            <w:vAlign w:val="bottom"/>
          </w:tcPr>
          <w:p w:rsidRPr="00FF02F8" w:rsidR="00D57D96" w:rsidP="00FF02F8" w:rsidRDefault="00BC032E" w14:paraId="15E76E45" w14:textId="44C47CED">
            <w:pPr>
              <w:spacing w:after="0" w:line="240" w:lineRule="auto"/>
              <w:jc w:val="right"/>
              <w:rPr>
                <w:rFonts w:cs="Calibri"/>
                <w:sz w:val="18"/>
                <w:szCs w:val="18"/>
              </w:rPr>
            </w:pPr>
            <w:r>
              <w:rPr>
                <w:rFonts w:cs="Calibri"/>
                <w:sz w:val="18"/>
                <w:szCs w:val="18"/>
              </w:rPr>
              <w:t>440</w:t>
            </w:r>
          </w:p>
        </w:tc>
        <w:tc>
          <w:tcPr>
            <w:tcW w:w="1160" w:type="dxa"/>
            <w:shd w:val="clear" w:color="auto" w:fill="auto"/>
            <w:vAlign w:val="bottom"/>
          </w:tcPr>
          <w:p w:rsidRPr="00FF02F8" w:rsidR="00D57D96" w:rsidP="00FF02F8" w:rsidRDefault="00D57D96" w14:paraId="6A7E16F2" w14:textId="424C76FC">
            <w:pPr>
              <w:spacing w:after="0" w:line="240" w:lineRule="auto"/>
              <w:jc w:val="right"/>
              <w:rPr>
                <w:rFonts w:cs="Calibri"/>
                <w:sz w:val="18"/>
                <w:szCs w:val="18"/>
              </w:rPr>
            </w:pPr>
            <w:r w:rsidRPr="00FF02F8">
              <w:rPr>
                <w:rFonts w:cs="Calibri"/>
                <w:color w:val="000000"/>
                <w:sz w:val="18"/>
                <w:szCs w:val="18"/>
              </w:rPr>
              <w:t>155.34</w:t>
            </w:r>
          </w:p>
        </w:tc>
        <w:tc>
          <w:tcPr>
            <w:tcW w:w="1178" w:type="dxa"/>
            <w:shd w:val="clear" w:color="auto" w:fill="auto"/>
            <w:vAlign w:val="bottom"/>
          </w:tcPr>
          <w:p w:rsidRPr="00FF02F8" w:rsidR="00D57D96" w:rsidP="00FF02F8" w:rsidRDefault="00BC032E" w14:paraId="02431F81" w14:textId="1158A1B1">
            <w:pPr>
              <w:spacing w:after="0" w:line="240" w:lineRule="auto"/>
              <w:jc w:val="right"/>
              <w:rPr>
                <w:rFonts w:cs="Calibri"/>
                <w:sz w:val="18"/>
                <w:szCs w:val="18"/>
              </w:rPr>
            </w:pPr>
            <w:r>
              <w:rPr>
                <w:rFonts w:cs="Calibri"/>
                <w:color w:val="000000"/>
                <w:sz w:val="18"/>
                <w:szCs w:val="18"/>
              </w:rPr>
              <w:t>68,349</w:t>
            </w:r>
            <w:r w:rsidRPr="00FF02F8" w:rsidR="00D57D96">
              <w:rPr>
                <w:rFonts w:cs="Calibri"/>
                <w:color w:val="000000"/>
                <w:sz w:val="18"/>
                <w:szCs w:val="18"/>
              </w:rPr>
              <w:t>.60</w:t>
            </w:r>
          </w:p>
        </w:tc>
        <w:tc>
          <w:tcPr>
            <w:tcW w:w="1274" w:type="dxa"/>
            <w:shd w:val="clear" w:color="auto" w:fill="auto"/>
            <w:vAlign w:val="bottom"/>
          </w:tcPr>
          <w:p w:rsidRPr="00FF02F8" w:rsidR="00D57D96" w:rsidP="00FF02F8" w:rsidRDefault="004E67A0" w14:paraId="641C4651" w14:textId="644F8140">
            <w:pPr>
              <w:spacing w:after="0" w:line="240" w:lineRule="auto"/>
              <w:jc w:val="right"/>
              <w:rPr>
                <w:rFonts w:cs="Calibri"/>
                <w:sz w:val="18"/>
                <w:szCs w:val="18"/>
              </w:rPr>
            </w:pPr>
            <w:r w:rsidRPr="00FF02F8">
              <w:rPr>
                <w:rFonts w:cs="Calibri"/>
                <w:color w:val="000000"/>
                <w:sz w:val="18"/>
                <w:szCs w:val="18"/>
              </w:rPr>
              <w:t>0</w:t>
            </w:r>
            <w:r w:rsidRPr="00FF02F8" w:rsidR="00D57D96">
              <w:rPr>
                <w:rFonts w:cs="Calibri"/>
                <w:color w:val="000000"/>
                <w:sz w:val="18"/>
                <w:szCs w:val="18"/>
              </w:rPr>
              <w:t>.5</w:t>
            </w:r>
            <w:r w:rsidRPr="00FF02F8" w:rsidR="007B246E">
              <w:rPr>
                <w:rFonts w:cs="Calibri"/>
                <w:color w:val="000000"/>
                <w:sz w:val="18"/>
                <w:szCs w:val="18"/>
              </w:rPr>
              <w:t>0</w:t>
            </w:r>
          </w:p>
        </w:tc>
        <w:tc>
          <w:tcPr>
            <w:tcW w:w="1209" w:type="dxa"/>
            <w:shd w:val="clear" w:color="auto" w:fill="auto"/>
            <w:vAlign w:val="bottom"/>
          </w:tcPr>
          <w:p w:rsidRPr="00FF02F8" w:rsidR="00D57D96" w:rsidP="00FF02F8" w:rsidRDefault="00BC032E" w14:paraId="2BC282F2" w14:textId="15025672">
            <w:pPr>
              <w:spacing w:after="0" w:line="240" w:lineRule="auto"/>
              <w:jc w:val="right"/>
              <w:rPr>
                <w:rFonts w:cs="Calibri"/>
                <w:sz w:val="18"/>
                <w:szCs w:val="18"/>
              </w:rPr>
            </w:pPr>
            <w:r>
              <w:rPr>
                <w:rFonts w:cs="Calibri"/>
                <w:color w:val="000000"/>
                <w:sz w:val="18"/>
                <w:szCs w:val="18"/>
              </w:rPr>
              <w:t>34,174</w:t>
            </w:r>
            <w:r w:rsidRPr="00FF02F8" w:rsidR="00DA0DEC">
              <w:rPr>
                <w:rFonts w:cs="Calibri"/>
                <w:color w:val="000000"/>
                <w:sz w:val="18"/>
                <w:szCs w:val="18"/>
              </w:rPr>
              <w:t>.80</w:t>
            </w:r>
          </w:p>
        </w:tc>
        <w:tc>
          <w:tcPr>
            <w:tcW w:w="1274" w:type="dxa"/>
            <w:shd w:val="clear" w:color="auto" w:fill="auto"/>
            <w:vAlign w:val="bottom"/>
          </w:tcPr>
          <w:p w:rsidRPr="00FF02F8" w:rsidR="00D57D96" w:rsidP="00FF02F8" w:rsidRDefault="00AB5F92" w14:paraId="60264F82" w14:textId="7AB762B2">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D57D96" w:rsidP="00FF02F8" w:rsidRDefault="00FC4279" w14:paraId="38C52703" w14:textId="56587FCB">
            <w:pPr>
              <w:spacing w:after="0" w:line="240" w:lineRule="auto"/>
              <w:jc w:val="right"/>
              <w:rPr>
                <w:rFonts w:cs="Calibri"/>
                <w:sz w:val="18"/>
                <w:szCs w:val="18"/>
              </w:rPr>
            </w:pPr>
            <w:r w:rsidRPr="00FF02F8">
              <w:rPr>
                <w:rFonts w:cs="Calibri"/>
                <w:sz w:val="18"/>
                <w:szCs w:val="18"/>
              </w:rPr>
              <w:t>$</w:t>
            </w:r>
            <w:r w:rsidR="00BC032E">
              <w:rPr>
                <w:rFonts w:cs="Calibri"/>
                <w:sz w:val="18"/>
                <w:szCs w:val="18"/>
              </w:rPr>
              <w:t>683,496.00</w:t>
            </w:r>
          </w:p>
        </w:tc>
      </w:tr>
      <w:tr w:rsidRPr="00535484" w:rsidR="00FF02F8" w:rsidTr="00FF02F8" w14:paraId="7129AE30" w14:textId="77777777">
        <w:tc>
          <w:tcPr>
            <w:tcW w:w="1268" w:type="dxa"/>
            <w:shd w:val="clear" w:color="auto" w:fill="F2F2F2"/>
            <w:vAlign w:val="center"/>
          </w:tcPr>
          <w:p w:rsidRPr="00FF02F8" w:rsidR="00D57D96" w:rsidP="00FF02F8" w:rsidRDefault="00D57D96" w14:paraId="20C44411" w14:textId="47674224">
            <w:pPr>
              <w:spacing w:after="0" w:line="240" w:lineRule="auto"/>
              <w:jc w:val="right"/>
              <w:rPr>
                <w:rFonts w:cs="Calibri"/>
                <w:sz w:val="18"/>
                <w:szCs w:val="18"/>
              </w:rPr>
            </w:pPr>
            <w:r w:rsidRPr="00FF02F8">
              <w:rPr>
                <w:rFonts w:cs="Calibri"/>
                <w:sz w:val="18"/>
                <w:szCs w:val="18"/>
              </w:rPr>
              <w:t>Occupancy Inspections</w:t>
            </w:r>
          </w:p>
        </w:tc>
        <w:tc>
          <w:tcPr>
            <w:tcW w:w="1194" w:type="dxa"/>
            <w:shd w:val="clear" w:color="auto" w:fill="F2F2F2"/>
            <w:vAlign w:val="bottom"/>
          </w:tcPr>
          <w:p w:rsidRPr="00FF02F8" w:rsidR="00D57D96" w:rsidP="00FF02F8" w:rsidRDefault="00B96BCC" w14:paraId="24740FD4" w14:textId="051DDBB6">
            <w:pPr>
              <w:spacing w:after="0" w:line="240" w:lineRule="auto"/>
              <w:jc w:val="right"/>
              <w:rPr>
                <w:rFonts w:cs="Calibri"/>
                <w:sz w:val="18"/>
                <w:szCs w:val="18"/>
              </w:rPr>
            </w:pPr>
            <w:r w:rsidRPr="00FF02F8">
              <w:rPr>
                <w:rFonts w:cs="Calibri"/>
                <w:sz w:val="18"/>
                <w:szCs w:val="18"/>
              </w:rPr>
              <w:t>340</w:t>
            </w:r>
          </w:p>
        </w:tc>
        <w:tc>
          <w:tcPr>
            <w:tcW w:w="1160" w:type="dxa"/>
            <w:shd w:val="clear" w:color="auto" w:fill="F2F2F2"/>
            <w:vAlign w:val="bottom"/>
          </w:tcPr>
          <w:p w:rsidRPr="00FF02F8" w:rsidR="00D57D96" w:rsidP="00FF02F8" w:rsidRDefault="00D57D96" w14:paraId="138FEEB7" w14:textId="147F0F2C">
            <w:pPr>
              <w:spacing w:after="0" w:line="240" w:lineRule="auto"/>
              <w:jc w:val="right"/>
              <w:rPr>
                <w:rFonts w:cs="Calibri"/>
                <w:sz w:val="18"/>
                <w:szCs w:val="18"/>
              </w:rPr>
            </w:pPr>
            <w:r w:rsidRPr="00FF02F8">
              <w:rPr>
                <w:rFonts w:cs="Calibri"/>
                <w:color w:val="000000"/>
                <w:sz w:val="18"/>
                <w:szCs w:val="18"/>
              </w:rPr>
              <w:t>155.34</w:t>
            </w:r>
          </w:p>
        </w:tc>
        <w:tc>
          <w:tcPr>
            <w:tcW w:w="1178" w:type="dxa"/>
            <w:shd w:val="clear" w:color="auto" w:fill="F2F2F2"/>
            <w:vAlign w:val="bottom"/>
          </w:tcPr>
          <w:p w:rsidRPr="00FF02F8" w:rsidR="00D57D96" w:rsidP="00FF02F8" w:rsidRDefault="00D57D96" w14:paraId="13C5ACE3" w14:textId="6975CF51">
            <w:pPr>
              <w:spacing w:after="0" w:line="240" w:lineRule="auto"/>
              <w:jc w:val="right"/>
              <w:rPr>
                <w:rFonts w:cs="Calibri"/>
                <w:sz w:val="18"/>
                <w:szCs w:val="18"/>
              </w:rPr>
            </w:pPr>
            <w:r w:rsidRPr="00FF02F8">
              <w:rPr>
                <w:rFonts w:cs="Calibri"/>
                <w:color w:val="000000"/>
                <w:sz w:val="18"/>
                <w:szCs w:val="18"/>
              </w:rPr>
              <w:t>52,815.60</w:t>
            </w:r>
          </w:p>
        </w:tc>
        <w:tc>
          <w:tcPr>
            <w:tcW w:w="1274" w:type="dxa"/>
            <w:shd w:val="clear" w:color="auto" w:fill="F2F2F2"/>
            <w:vAlign w:val="bottom"/>
          </w:tcPr>
          <w:p w:rsidRPr="00FF02F8" w:rsidR="00D57D96" w:rsidP="00FF02F8" w:rsidRDefault="00D57D96" w14:paraId="2186421B" w14:textId="4287449B">
            <w:pPr>
              <w:spacing w:after="0" w:line="240" w:lineRule="auto"/>
              <w:jc w:val="right"/>
              <w:rPr>
                <w:rFonts w:cs="Calibri"/>
                <w:sz w:val="18"/>
                <w:szCs w:val="18"/>
              </w:rPr>
            </w:pPr>
            <w:r w:rsidRPr="00FF02F8">
              <w:rPr>
                <w:rFonts w:cs="Calibri"/>
                <w:color w:val="000000"/>
                <w:sz w:val="18"/>
                <w:szCs w:val="18"/>
              </w:rPr>
              <w:t>1</w:t>
            </w:r>
            <w:r w:rsidRPr="00FF02F8" w:rsidR="007B246E">
              <w:rPr>
                <w:rFonts w:cs="Calibri"/>
                <w:color w:val="000000"/>
                <w:sz w:val="18"/>
                <w:szCs w:val="18"/>
              </w:rPr>
              <w:t>.00</w:t>
            </w:r>
          </w:p>
        </w:tc>
        <w:tc>
          <w:tcPr>
            <w:tcW w:w="1209" w:type="dxa"/>
            <w:shd w:val="clear" w:color="auto" w:fill="F2F2F2"/>
            <w:vAlign w:val="bottom"/>
          </w:tcPr>
          <w:p w:rsidRPr="00FF02F8" w:rsidR="00D57D96" w:rsidP="00FF02F8" w:rsidRDefault="00D57D96" w14:paraId="36A2BDC8" w14:textId="64D146EB">
            <w:pPr>
              <w:spacing w:after="0" w:line="240" w:lineRule="auto"/>
              <w:jc w:val="right"/>
              <w:rPr>
                <w:rFonts w:cs="Calibri"/>
                <w:sz w:val="18"/>
                <w:szCs w:val="18"/>
              </w:rPr>
            </w:pPr>
            <w:r w:rsidRPr="00FF02F8">
              <w:rPr>
                <w:rFonts w:cs="Calibri"/>
                <w:color w:val="000000"/>
                <w:sz w:val="18"/>
                <w:szCs w:val="18"/>
              </w:rPr>
              <w:t>52,815.60</w:t>
            </w:r>
          </w:p>
        </w:tc>
        <w:tc>
          <w:tcPr>
            <w:tcW w:w="1274" w:type="dxa"/>
            <w:shd w:val="clear" w:color="auto" w:fill="F2F2F2"/>
            <w:vAlign w:val="bottom"/>
          </w:tcPr>
          <w:p w:rsidRPr="00FF02F8" w:rsidR="00D57D96" w:rsidP="00FF02F8" w:rsidRDefault="00FB46A2" w14:paraId="1C576F6F" w14:textId="096DC539">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D57D96" w:rsidP="00FF02F8" w:rsidRDefault="00B4414D" w14:paraId="615ABDA1" w14:textId="4DFE9106">
            <w:pPr>
              <w:spacing w:after="0" w:line="240" w:lineRule="auto"/>
              <w:jc w:val="right"/>
              <w:rPr>
                <w:rFonts w:cs="Calibri"/>
                <w:sz w:val="18"/>
                <w:szCs w:val="18"/>
              </w:rPr>
            </w:pPr>
            <w:r w:rsidRPr="00FF02F8">
              <w:rPr>
                <w:rFonts w:cs="Calibri"/>
                <w:sz w:val="18"/>
                <w:szCs w:val="18"/>
              </w:rPr>
              <w:t>$1,056,312.00</w:t>
            </w:r>
          </w:p>
        </w:tc>
      </w:tr>
      <w:tr w:rsidRPr="00535484" w:rsidR="00FF02F8" w:rsidTr="00FF02F8" w14:paraId="52D87774" w14:textId="77777777">
        <w:tc>
          <w:tcPr>
            <w:tcW w:w="1268" w:type="dxa"/>
            <w:shd w:val="clear" w:color="auto" w:fill="auto"/>
            <w:vAlign w:val="center"/>
          </w:tcPr>
          <w:p w:rsidRPr="00FF02F8" w:rsidR="00D57D96" w:rsidP="00FF02F8" w:rsidRDefault="00D57D96" w14:paraId="670C6C6F" w14:textId="5F614295">
            <w:pPr>
              <w:spacing w:after="0" w:line="240" w:lineRule="auto"/>
              <w:jc w:val="right"/>
              <w:rPr>
                <w:rFonts w:cs="Calibri"/>
                <w:sz w:val="18"/>
                <w:szCs w:val="18"/>
              </w:rPr>
            </w:pPr>
            <w:r w:rsidRPr="00FF02F8">
              <w:rPr>
                <w:rFonts w:cs="Calibri"/>
                <w:sz w:val="18"/>
                <w:szCs w:val="18"/>
              </w:rPr>
              <w:t>Initial Vacant Property Inspections</w:t>
            </w:r>
          </w:p>
        </w:tc>
        <w:tc>
          <w:tcPr>
            <w:tcW w:w="1194" w:type="dxa"/>
            <w:shd w:val="clear" w:color="auto" w:fill="auto"/>
            <w:vAlign w:val="bottom"/>
          </w:tcPr>
          <w:p w:rsidRPr="00FF02F8" w:rsidR="00D57D96" w:rsidP="00FF02F8" w:rsidRDefault="00CD759D" w14:paraId="62A8C80C" w14:textId="258F092B">
            <w:pPr>
              <w:spacing w:after="0" w:line="240" w:lineRule="auto"/>
              <w:jc w:val="right"/>
              <w:rPr>
                <w:rFonts w:cs="Calibri"/>
                <w:sz w:val="18"/>
                <w:szCs w:val="18"/>
              </w:rPr>
            </w:pPr>
            <w:r>
              <w:rPr>
                <w:rFonts w:cs="Calibri"/>
                <w:sz w:val="18"/>
                <w:szCs w:val="18"/>
              </w:rPr>
              <w:t>340</w:t>
            </w:r>
          </w:p>
        </w:tc>
        <w:tc>
          <w:tcPr>
            <w:tcW w:w="1160" w:type="dxa"/>
            <w:shd w:val="clear" w:color="auto" w:fill="auto"/>
            <w:vAlign w:val="bottom"/>
          </w:tcPr>
          <w:p w:rsidRPr="00FF02F8" w:rsidR="00D57D96" w:rsidP="00FF02F8" w:rsidRDefault="00D57D96" w14:paraId="000F5984" w14:textId="4B9AA187">
            <w:pPr>
              <w:spacing w:after="0" w:line="240" w:lineRule="auto"/>
              <w:jc w:val="right"/>
              <w:rPr>
                <w:rFonts w:cs="Calibri"/>
                <w:sz w:val="18"/>
                <w:szCs w:val="18"/>
              </w:rPr>
            </w:pPr>
            <w:r w:rsidRPr="00FF02F8">
              <w:rPr>
                <w:rFonts w:cs="Calibri"/>
                <w:color w:val="000000"/>
                <w:sz w:val="18"/>
                <w:szCs w:val="18"/>
              </w:rPr>
              <w:t>155.34</w:t>
            </w:r>
          </w:p>
        </w:tc>
        <w:tc>
          <w:tcPr>
            <w:tcW w:w="1178" w:type="dxa"/>
            <w:shd w:val="clear" w:color="auto" w:fill="auto"/>
            <w:vAlign w:val="bottom"/>
          </w:tcPr>
          <w:p w:rsidRPr="00FF02F8" w:rsidR="00D57D96" w:rsidP="00FF02F8" w:rsidRDefault="00D57D96" w14:paraId="67E9D8AB" w14:textId="06339110">
            <w:pPr>
              <w:spacing w:after="0" w:line="240" w:lineRule="auto"/>
              <w:jc w:val="right"/>
              <w:rPr>
                <w:rFonts w:cs="Calibri"/>
                <w:sz w:val="18"/>
                <w:szCs w:val="18"/>
              </w:rPr>
            </w:pPr>
            <w:r w:rsidRPr="00FF02F8">
              <w:rPr>
                <w:rFonts w:cs="Calibri"/>
                <w:color w:val="000000"/>
                <w:sz w:val="18"/>
                <w:szCs w:val="18"/>
              </w:rPr>
              <w:t>52,815.60</w:t>
            </w:r>
          </w:p>
        </w:tc>
        <w:tc>
          <w:tcPr>
            <w:tcW w:w="1274" w:type="dxa"/>
            <w:shd w:val="clear" w:color="auto" w:fill="auto"/>
            <w:vAlign w:val="bottom"/>
          </w:tcPr>
          <w:p w:rsidRPr="00FF02F8" w:rsidR="00D57D96" w:rsidP="00FF02F8" w:rsidRDefault="00D57D96" w14:paraId="112A0F69" w14:textId="4F84A3A8">
            <w:pPr>
              <w:spacing w:after="0" w:line="240" w:lineRule="auto"/>
              <w:jc w:val="right"/>
              <w:rPr>
                <w:rFonts w:cs="Calibri"/>
                <w:sz w:val="18"/>
                <w:szCs w:val="18"/>
              </w:rPr>
            </w:pPr>
            <w:r w:rsidRPr="00FF02F8">
              <w:rPr>
                <w:rFonts w:cs="Calibri"/>
                <w:color w:val="000000"/>
                <w:sz w:val="18"/>
                <w:szCs w:val="18"/>
              </w:rPr>
              <w:t>1</w:t>
            </w:r>
            <w:r w:rsidRPr="00FF02F8" w:rsidR="007B246E">
              <w:rPr>
                <w:rFonts w:cs="Calibri"/>
                <w:color w:val="000000"/>
                <w:sz w:val="18"/>
                <w:szCs w:val="18"/>
              </w:rPr>
              <w:t>.00</w:t>
            </w:r>
          </w:p>
        </w:tc>
        <w:tc>
          <w:tcPr>
            <w:tcW w:w="1209" w:type="dxa"/>
            <w:shd w:val="clear" w:color="auto" w:fill="auto"/>
            <w:vAlign w:val="bottom"/>
          </w:tcPr>
          <w:p w:rsidRPr="00FF02F8" w:rsidR="00D57D96" w:rsidP="00FF02F8" w:rsidRDefault="00D57D96" w14:paraId="159DF6DB" w14:textId="4B9D6485">
            <w:pPr>
              <w:spacing w:after="0" w:line="240" w:lineRule="auto"/>
              <w:jc w:val="right"/>
              <w:rPr>
                <w:rFonts w:cs="Calibri"/>
                <w:sz w:val="18"/>
                <w:szCs w:val="18"/>
              </w:rPr>
            </w:pPr>
            <w:r w:rsidRPr="00FF02F8">
              <w:rPr>
                <w:rFonts w:cs="Calibri"/>
                <w:color w:val="000000"/>
                <w:sz w:val="18"/>
                <w:szCs w:val="18"/>
              </w:rPr>
              <w:t>52,815.60</w:t>
            </w:r>
          </w:p>
        </w:tc>
        <w:tc>
          <w:tcPr>
            <w:tcW w:w="1274" w:type="dxa"/>
            <w:shd w:val="clear" w:color="auto" w:fill="auto"/>
            <w:vAlign w:val="bottom"/>
          </w:tcPr>
          <w:p w:rsidRPr="00FF02F8" w:rsidR="00D57D96" w:rsidP="00FF02F8" w:rsidRDefault="00FB46A2" w14:paraId="6813DC83" w14:textId="450734C9">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D57D96" w:rsidP="00FF02F8" w:rsidRDefault="005D2D8C" w14:paraId="5CFF8D31" w14:textId="6D7FFC35">
            <w:pPr>
              <w:spacing w:after="0" w:line="240" w:lineRule="auto"/>
              <w:jc w:val="right"/>
              <w:rPr>
                <w:rFonts w:cs="Calibri"/>
                <w:sz w:val="18"/>
                <w:szCs w:val="18"/>
              </w:rPr>
            </w:pPr>
            <w:r w:rsidRPr="00FF02F8">
              <w:rPr>
                <w:rFonts w:cs="Calibri"/>
                <w:sz w:val="18"/>
                <w:szCs w:val="18"/>
              </w:rPr>
              <w:t>$1,056,312.00</w:t>
            </w:r>
          </w:p>
        </w:tc>
      </w:tr>
      <w:tr w:rsidRPr="00535484" w:rsidR="00FF02F8" w:rsidTr="00FF02F8" w14:paraId="28F95C0D" w14:textId="77777777">
        <w:tc>
          <w:tcPr>
            <w:tcW w:w="1268" w:type="dxa"/>
            <w:shd w:val="clear" w:color="auto" w:fill="F2F2F2"/>
            <w:vAlign w:val="center"/>
          </w:tcPr>
          <w:p w:rsidRPr="00FF02F8" w:rsidR="00D57D96" w:rsidP="00FF02F8" w:rsidRDefault="00D57D96" w14:paraId="556B7122" w14:textId="3144305C">
            <w:pPr>
              <w:spacing w:after="0" w:line="240" w:lineRule="auto"/>
              <w:jc w:val="right"/>
              <w:rPr>
                <w:rFonts w:cs="Calibri"/>
                <w:sz w:val="18"/>
                <w:szCs w:val="18"/>
              </w:rPr>
            </w:pPr>
            <w:r w:rsidRPr="00FF02F8">
              <w:rPr>
                <w:rFonts w:cs="Calibri"/>
                <w:sz w:val="18"/>
                <w:szCs w:val="18"/>
              </w:rPr>
              <w:t>Vacant Property Inspections</w:t>
            </w:r>
          </w:p>
        </w:tc>
        <w:tc>
          <w:tcPr>
            <w:tcW w:w="1194" w:type="dxa"/>
            <w:shd w:val="clear" w:color="auto" w:fill="F2F2F2"/>
            <w:vAlign w:val="bottom"/>
          </w:tcPr>
          <w:p w:rsidRPr="00FF02F8" w:rsidR="00D57D96" w:rsidP="00FF02F8" w:rsidRDefault="00CD759D" w14:paraId="15E016F2" w14:textId="3E19D40D">
            <w:pPr>
              <w:spacing w:after="0" w:line="240" w:lineRule="auto"/>
              <w:jc w:val="right"/>
              <w:rPr>
                <w:rFonts w:cs="Calibri"/>
                <w:sz w:val="18"/>
                <w:szCs w:val="18"/>
              </w:rPr>
            </w:pPr>
            <w:r>
              <w:rPr>
                <w:rFonts w:cs="Calibri"/>
                <w:sz w:val="18"/>
                <w:szCs w:val="18"/>
              </w:rPr>
              <w:t>340</w:t>
            </w:r>
          </w:p>
        </w:tc>
        <w:tc>
          <w:tcPr>
            <w:tcW w:w="1160" w:type="dxa"/>
            <w:shd w:val="clear" w:color="auto" w:fill="F2F2F2"/>
            <w:vAlign w:val="bottom"/>
          </w:tcPr>
          <w:p w:rsidRPr="00FF02F8" w:rsidR="00D57D96" w:rsidP="00FF02F8" w:rsidRDefault="00D57D96" w14:paraId="50DD037A" w14:textId="702632C9">
            <w:pPr>
              <w:spacing w:after="0" w:line="240" w:lineRule="auto"/>
              <w:jc w:val="right"/>
              <w:rPr>
                <w:rFonts w:cs="Calibri"/>
                <w:sz w:val="18"/>
                <w:szCs w:val="18"/>
              </w:rPr>
            </w:pPr>
            <w:r w:rsidRPr="00FF02F8">
              <w:rPr>
                <w:rFonts w:cs="Calibri"/>
                <w:color w:val="000000"/>
                <w:sz w:val="18"/>
                <w:szCs w:val="18"/>
              </w:rPr>
              <w:t>155.34</w:t>
            </w:r>
          </w:p>
        </w:tc>
        <w:tc>
          <w:tcPr>
            <w:tcW w:w="1178" w:type="dxa"/>
            <w:shd w:val="clear" w:color="auto" w:fill="F2F2F2"/>
            <w:vAlign w:val="bottom"/>
          </w:tcPr>
          <w:p w:rsidRPr="00FF02F8" w:rsidR="00D57D96" w:rsidP="00FF02F8" w:rsidRDefault="00D57D96" w14:paraId="49DB36B0" w14:textId="04772C27">
            <w:pPr>
              <w:spacing w:after="0" w:line="240" w:lineRule="auto"/>
              <w:jc w:val="right"/>
              <w:rPr>
                <w:rFonts w:cs="Calibri"/>
                <w:sz w:val="18"/>
                <w:szCs w:val="18"/>
              </w:rPr>
            </w:pPr>
            <w:r w:rsidRPr="00FF02F8">
              <w:rPr>
                <w:rFonts w:cs="Calibri"/>
                <w:color w:val="000000"/>
                <w:sz w:val="18"/>
                <w:szCs w:val="18"/>
              </w:rPr>
              <w:t>52,815.60</w:t>
            </w:r>
          </w:p>
        </w:tc>
        <w:tc>
          <w:tcPr>
            <w:tcW w:w="1274" w:type="dxa"/>
            <w:shd w:val="clear" w:color="auto" w:fill="F2F2F2"/>
            <w:vAlign w:val="bottom"/>
          </w:tcPr>
          <w:p w:rsidRPr="00FF02F8" w:rsidR="00D57D96" w:rsidP="00FF02F8" w:rsidRDefault="00D57D96" w14:paraId="79CDCFD5" w14:textId="38EDA5B0">
            <w:pPr>
              <w:spacing w:after="0" w:line="240" w:lineRule="auto"/>
              <w:jc w:val="right"/>
              <w:rPr>
                <w:rFonts w:cs="Calibri"/>
                <w:sz w:val="18"/>
                <w:szCs w:val="18"/>
              </w:rPr>
            </w:pPr>
            <w:r w:rsidRPr="00FF02F8">
              <w:rPr>
                <w:rFonts w:cs="Calibri"/>
                <w:color w:val="000000"/>
                <w:sz w:val="18"/>
                <w:szCs w:val="18"/>
              </w:rPr>
              <w:t>1</w:t>
            </w:r>
            <w:r w:rsidRPr="00FF02F8" w:rsidR="007B246E">
              <w:rPr>
                <w:rFonts w:cs="Calibri"/>
                <w:color w:val="000000"/>
                <w:sz w:val="18"/>
                <w:szCs w:val="18"/>
              </w:rPr>
              <w:t>.00</w:t>
            </w:r>
          </w:p>
        </w:tc>
        <w:tc>
          <w:tcPr>
            <w:tcW w:w="1209" w:type="dxa"/>
            <w:shd w:val="clear" w:color="auto" w:fill="F2F2F2"/>
            <w:vAlign w:val="bottom"/>
          </w:tcPr>
          <w:p w:rsidRPr="00FF02F8" w:rsidR="00D57D96" w:rsidP="00FF02F8" w:rsidRDefault="00D57D96" w14:paraId="67AB0CAC" w14:textId="045D81ED">
            <w:pPr>
              <w:spacing w:after="0" w:line="240" w:lineRule="auto"/>
              <w:jc w:val="right"/>
              <w:rPr>
                <w:rFonts w:cs="Calibri"/>
                <w:sz w:val="18"/>
                <w:szCs w:val="18"/>
              </w:rPr>
            </w:pPr>
            <w:r w:rsidRPr="00FF02F8">
              <w:rPr>
                <w:rFonts w:cs="Calibri"/>
                <w:color w:val="000000"/>
                <w:sz w:val="18"/>
                <w:szCs w:val="18"/>
              </w:rPr>
              <w:t>52,815.60</w:t>
            </w:r>
          </w:p>
        </w:tc>
        <w:tc>
          <w:tcPr>
            <w:tcW w:w="1274" w:type="dxa"/>
            <w:shd w:val="clear" w:color="auto" w:fill="F2F2F2"/>
            <w:vAlign w:val="bottom"/>
          </w:tcPr>
          <w:p w:rsidRPr="00FF02F8" w:rsidR="00D57D96" w:rsidP="00FF02F8" w:rsidRDefault="00FB46A2" w14:paraId="28120AB6" w14:textId="4080E999">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D57D96" w:rsidP="00FF02F8" w:rsidRDefault="005D2D8C" w14:paraId="5731B4FE" w14:textId="61FB725D">
            <w:pPr>
              <w:spacing w:after="0" w:line="240" w:lineRule="auto"/>
              <w:jc w:val="right"/>
              <w:rPr>
                <w:rFonts w:cs="Calibri"/>
                <w:sz w:val="18"/>
                <w:szCs w:val="18"/>
              </w:rPr>
            </w:pPr>
            <w:r w:rsidRPr="00FF02F8">
              <w:rPr>
                <w:rFonts w:cs="Calibri"/>
                <w:sz w:val="18"/>
                <w:szCs w:val="18"/>
              </w:rPr>
              <w:t>$1,056,312.00</w:t>
            </w:r>
          </w:p>
        </w:tc>
      </w:tr>
      <w:tr w:rsidRPr="00535484" w:rsidR="00FF02F8" w:rsidTr="00FF02F8" w14:paraId="519A172B" w14:textId="77777777">
        <w:tc>
          <w:tcPr>
            <w:tcW w:w="1268" w:type="dxa"/>
            <w:shd w:val="clear" w:color="auto" w:fill="auto"/>
            <w:vAlign w:val="center"/>
          </w:tcPr>
          <w:p w:rsidRPr="00FF02F8" w:rsidR="00D57D96" w:rsidP="00FF02F8" w:rsidRDefault="00D57D96" w14:paraId="014D2828" w14:textId="20001849">
            <w:pPr>
              <w:spacing w:after="0" w:line="240" w:lineRule="auto"/>
              <w:jc w:val="right"/>
              <w:rPr>
                <w:rFonts w:cs="Calibri"/>
                <w:sz w:val="18"/>
                <w:szCs w:val="18"/>
              </w:rPr>
            </w:pPr>
            <w:r w:rsidRPr="00FF02F8">
              <w:rPr>
                <w:rFonts w:cs="Calibri"/>
                <w:sz w:val="18"/>
                <w:szCs w:val="18"/>
              </w:rPr>
              <w:t>Voluntary Pre-Conveyance Inspections</w:t>
            </w:r>
          </w:p>
        </w:tc>
        <w:tc>
          <w:tcPr>
            <w:tcW w:w="1194" w:type="dxa"/>
            <w:shd w:val="clear" w:color="auto" w:fill="auto"/>
            <w:vAlign w:val="bottom"/>
          </w:tcPr>
          <w:p w:rsidRPr="00FF02F8" w:rsidR="00D57D96" w:rsidP="00FF02F8" w:rsidRDefault="00CD759D" w14:paraId="080A3A4F" w14:textId="59F6F79E">
            <w:pPr>
              <w:spacing w:after="0" w:line="240" w:lineRule="auto"/>
              <w:jc w:val="right"/>
              <w:rPr>
                <w:rFonts w:cs="Calibri"/>
                <w:sz w:val="18"/>
                <w:szCs w:val="18"/>
              </w:rPr>
            </w:pPr>
            <w:r>
              <w:rPr>
                <w:rFonts w:cs="Calibri"/>
                <w:sz w:val="18"/>
                <w:szCs w:val="18"/>
              </w:rPr>
              <w:t>340</w:t>
            </w:r>
          </w:p>
        </w:tc>
        <w:tc>
          <w:tcPr>
            <w:tcW w:w="1160" w:type="dxa"/>
            <w:shd w:val="clear" w:color="auto" w:fill="auto"/>
            <w:vAlign w:val="bottom"/>
          </w:tcPr>
          <w:p w:rsidRPr="00FF02F8" w:rsidR="00D57D96" w:rsidP="00FF02F8" w:rsidRDefault="00D57D96" w14:paraId="0B6BAFE3" w14:textId="080323B7">
            <w:pPr>
              <w:spacing w:after="0" w:line="240" w:lineRule="auto"/>
              <w:jc w:val="right"/>
              <w:rPr>
                <w:rFonts w:cs="Calibri"/>
                <w:sz w:val="18"/>
                <w:szCs w:val="18"/>
              </w:rPr>
            </w:pPr>
            <w:r w:rsidRPr="00FF02F8">
              <w:rPr>
                <w:rFonts w:cs="Calibri"/>
                <w:color w:val="000000"/>
                <w:sz w:val="18"/>
                <w:szCs w:val="18"/>
              </w:rPr>
              <w:t>1.4</w:t>
            </w:r>
            <w:r w:rsidRPr="00FF02F8" w:rsidR="00BC5D1E">
              <w:rPr>
                <w:rFonts w:cs="Calibri"/>
                <w:color w:val="000000"/>
                <w:sz w:val="18"/>
                <w:szCs w:val="18"/>
              </w:rPr>
              <w:t>0</w:t>
            </w:r>
          </w:p>
        </w:tc>
        <w:tc>
          <w:tcPr>
            <w:tcW w:w="1178" w:type="dxa"/>
            <w:shd w:val="clear" w:color="auto" w:fill="auto"/>
            <w:vAlign w:val="bottom"/>
          </w:tcPr>
          <w:p w:rsidRPr="00FF02F8" w:rsidR="00D57D96" w:rsidP="00FF02F8" w:rsidRDefault="00D57D96" w14:paraId="3D474582" w14:textId="5758AA01">
            <w:pPr>
              <w:spacing w:after="0" w:line="240" w:lineRule="auto"/>
              <w:jc w:val="right"/>
              <w:rPr>
                <w:rFonts w:cs="Calibri"/>
                <w:sz w:val="18"/>
                <w:szCs w:val="18"/>
              </w:rPr>
            </w:pPr>
            <w:r w:rsidRPr="00FF02F8">
              <w:rPr>
                <w:rFonts w:cs="Calibri"/>
                <w:color w:val="000000"/>
                <w:sz w:val="18"/>
                <w:szCs w:val="18"/>
              </w:rPr>
              <w:t>476.00</w:t>
            </w:r>
          </w:p>
        </w:tc>
        <w:tc>
          <w:tcPr>
            <w:tcW w:w="1274" w:type="dxa"/>
            <w:shd w:val="clear" w:color="auto" w:fill="auto"/>
            <w:vAlign w:val="bottom"/>
          </w:tcPr>
          <w:p w:rsidRPr="00FF02F8" w:rsidR="00D57D96" w:rsidP="00FF02F8" w:rsidRDefault="00D57D96" w14:paraId="72426A99" w14:textId="041E91AA">
            <w:pPr>
              <w:spacing w:after="0" w:line="240" w:lineRule="auto"/>
              <w:jc w:val="right"/>
              <w:rPr>
                <w:rFonts w:cs="Calibri"/>
                <w:sz w:val="18"/>
                <w:szCs w:val="18"/>
              </w:rPr>
            </w:pPr>
            <w:r w:rsidRPr="00FF02F8">
              <w:rPr>
                <w:rFonts w:cs="Calibri"/>
                <w:color w:val="000000"/>
                <w:sz w:val="18"/>
                <w:szCs w:val="18"/>
              </w:rPr>
              <w:t>1</w:t>
            </w:r>
            <w:r w:rsidRPr="00FF02F8" w:rsidR="007B246E">
              <w:rPr>
                <w:rFonts w:cs="Calibri"/>
                <w:color w:val="000000"/>
                <w:sz w:val="18"/>
                <w:szCs w:val="18"/>
              </w:rPr>
              <w:t>.00</w:t>
            </w:r>
          </w:p>
        </w:tc>
        <w:tc>
          <w:tcPr>
            <w:tcW w:w="1209" w:type="dxa"/>
            <w:shd w:val="clear" w:color="auto" w:fill="auto"/>
            <w:vAlign w:val="bottom"/>
          </w:tcPr>
          <w:p w:rsidRPr="00FF02F8" w:rsidR="00D57D96" w:rsidP="00FF02F8" w:rsidRDefault="00D57D96" w14:paraId="790053FC" w14:textId="41202632">
            <w:pPr>
              <w:spacing w:after="0" w:line="240" w:lineRule="auto"/>
              <w:jc w:val="right"/>
              <w:rPr>
                <w:rFonts w:cs="Calibri"/>
                <w:sz w:val="18"/>
                <w:szCs w:val="18"/>
              </w:rPr>
            </w:pPr>
            <w:r w:rsidRPr="00FF02F8">
              <w:rPr>
                <w:rFonts w:cs="Calibri"/>
                <w:color w:val="000000"/>
                <w:sz w:val="18"/>
                <w:szCs w:val="18"/>
              </w:rPr>
              <w:t>476.00</w:t>
            </w:r>
          </w:p>
        </w:tc>
        <w:tc>
          <w:tcPr>
            <w:tcW w:w="1274" w:type="dxa"/>
            <w:shd w:val="clear" w:color="auto" w:fill="auto"/>
            <w:vAlign w:val="bottom"/>
          </w:tcPr>
          <w:p w:rsidRPr="00FF02F8" w:rsidR="00D57D96" w:rsidP="00FF02F8" w:rsidRDefault="00FB46A2" w14:paraId="1CA2D3AC" w14:textId="2C8E5F9C">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D57D96" w:rsidP="00FF02F8" w:rsidRDefault="001944DF" w14:paraId="2D9F4155" w14:textId="68F12902">
            <w:pPr>
              <w:spacing w:after="0" w:line="240" w:lineRule="auto"/>
              <w:jc w:val="right"/>
              <w:rPr>
                <w:rFonts w:cs="Calibri"/>
                <w:sz w:val="18"/>
                <w:szCs w:val="18"/>
              </w:rPr>
            </w:pPr>
            <w:r w:rsidRPr="00FF02F8">
              <w:rPr>
                <w:rFonts w:cs="Calibri"/>
                <w:sz w:val="18"/>
                <w:szCs w:val="18"/>
              </w:rPr>
              <w:t>$9,520.00</w:t>
            </w:r>
          </w:p>
        </w:tc>
      </w:tr>
      <w:tr w:rsidRPr="00535484" w:rsidR="00FF02F8" w:rsidTr="00FF02F8" w14:paraId="4CDF5C91" w14:textId="77777777">
        <w:tc>
          <w:tcPr>
            <w:tcW w:w="1268" w:type="dxa"/>
            <w:shd w:val="clear" w:color="auto" w:fill="F2F2F2"/>
            <w:vAlign w:val="center"/>
          </w:tcPr>
          <w:p w:rsidRPr="00FF02F8" w:rsidR="00C543D0" w:rsidP="00FF02F8" w:rsidRDefault="00C543D0" w14:paraId="206F8956" w14:textId="540607A0">
            <w:pPr>
              <w:spacing w:after="0" w:line="240" w:lineRule="auto"/>
              <w:jc w:val="right"/>
              <w:rPr>
                <w:rFonts w:cs="Calibri"/>
                <w:sz w:val="18"/>
                <w:szCs w:val="18"/>
              </w:rPr>
            </w:pPr>
            <w:r w:rsidRPr="00FF02F8">
              <w:rPr>
                <w:rFonts w:cs="Calibri"/>
                <w:sz w:val="18"/>
                <w:szCs w:val="18"/>
              </w:rPr>
              <w:t>Pre-</w:t>
            </w:r>
            <w:r w:rsidRPr="00FF02F8">
              <w:rPr>
                <w:rFonts w:cs="Calibri"/>
                <w:sz w:val="18"/>
                <w:szCs w:val="18"/>
              </w:rPr>
              <w:lastRenderedPageBreak/>
              <w:t>Conveyance Inspections</w:t>
            </w:r>
            <w:r w:rsidRPr="00FF02F8" w:rsidR="000F7561">
              <w:rPr>
                <w:rFonts w:cs="Calibri"/>
                <w:sz w:val="18"/>
                <w:szCs w:val="18"/>
              </w:rPr>
              <w:t xml:space="preserve"> with M&amp;M Involvement</w:t>
            </w:r>
          </w:p>
        </w:tc>
        <w:tc>
          <w:tcPr>
            <w:tcW w:w="1194" w:type="dxa"/>
            <w:shd w:val="clear" w:color="auto" w:fill="F2F2F2"/>
            <w:vAlign w:val="bottom"/>
          </w:tcPr>
          <w:p w:rsidRPr="00FF02F8" w:rsidR="00C543D0" w:rsidP="00FF02F8" w:rsidRDefault="00CD759D" w14:paraId="71F471F8" w14:textId="410C7AAF">
            <w:pPr>
              <w:spacing w:after="0" w:line="240" w:lineRule="auto"/>
              <w:jc w:val="right"/>
              <w:rPr>
                <w:rFonts w:cs="Calibri"/>
                <w:sz w:val="18"/>
                <w:szCs w:val="18"/>
              </w:rPr>
            </w:pPr>
            <w:r>
              <w:rPr>
                <w:rFonts w:cs="Calibri"/>
                <w:sz w:val="18"/>
                <w:szCs w:val="18"/>
              </w:rPr>
              <w:lastRenderedPageBreak/>
              <w:t>340</w:t>
            </w:r>
          </w:p>
        </w:tc>
        <w:tc>
          <w:tcPr>
            <w:tcW w:w="1160" w:type="dxa"/>
            <w:shd w:val="clear" w:color="auto" w:fill="F2F2F2"/>
            <w:vAlign w:val="bottom"/>
          </w:tcPr>
          <w:p w:rsidRPr="00FF02F8" w:rsidR="00C543D0" w:rsidP="00FF02F8" w:rsidRDefault="00C543D0" w14:paraId="49C52D1B" w14:textId="68883FF6">
            <w:pPr>
              <w:spacing w:after="0" w:line="240" w:lineRule="auto"/>
              <w:jc w:val="right"/>
              <w:rPr>
                <w:rFonts w:cs="Calibri"/>
                <w:sz w:val="18"/>
                <w:szCs w:val="18"/>
              </w:rPr>
            </w:pPr>
            <w:r w:rsidRPr="00FF02F8">
              <w:rPr>
                <w:rFonts w:cs="Calibri"/>
                <w:color w:val="000000"/>
                <w:sz w:val="18"/>
                <w:szCs w:val="18"/>
              </w:rPr>
              <w:t>1.40</w:t>
            </w:r>
          </w:p>
        </w:tc>
        <w:tc>
          <w:tcPr>
            <w:tcW w:w="1178" w:type="dxa"/>
            <w:shd w:val="clear" w:color="auto" w:fill="F2F2F2"/>
            <w:vAlign w:val="bottom"/>
          </w:tcPr>
          <w:p w:rsidRPr="00FF02F8" w:rsidR="00C543D0" w:rsidP="00FF02F8" w:rsidRDefault="00C543D0" w14:paraId="2C6041F2" w14:textId="4E0ABBC6">
            <w:pPr>
              <w:spacing w:after="0" w:line="240" w:lineRule="auto"/>
              <w:jc w:val="right"/>
              <w:rPr>
                <w:rFonts w:cs="Calibri"/>
                <w:sz w:val="18"/>
                <w:szCs w:val="18"/>
              </w:rPr>
            </w:pPr>
            <w:r w:rsidRPr="00FF02F8">
              <w:rPr>
                <w:rFonts w:cs="Calibri"/>
                <w:color w:val="000000"/>
                <w:sz w:val="18"/>
                <w:szCs w:val="18"/>
              </w:rPr>
              <w:t>476.00</w:t>
            </w:r>
          </w:p>
        </w:tc>
        <w:tc>
          <w:tcPr>
            <w:tcW w:w="1274" w:type="dxa"/>
            <w:shd w:val="clear" w:color="auto" w:fill="F2F2F2"/>
            <w:vAlign w:val="bottom"/>
          </w:tcPr>
          <w:p w:rsidRPr="00FF02F8" w:rsidR="00C543D0" w:rsidP="00FF02F8" w:rsidRDefault="00225899" w14:paraId="03CEB24A" w14:textId="27132824">
            <w:pPr>
              <w:spacing w:after="0" w:line="240" w:lineRule="auto"/>
              <w:jc w:val="right"/>
              <w:rPr>
                <w:rFonts w:cs="Calibri"/>
                <w:sz w:val="18"/>
                <w:szCs w:val="18"/>
              </w:rPr>
            </w:pPr>
            <w:r w:rsidRPr="00FF02F8">
              <w:rPr>
                <w:rFonts w:cs="Calibri"/>
                <w:sz w:val="18"/>
                <w:szCs w:val="18"/>
              </w:rPr>
              <w:t>0</w:t>
            </w:r>
            <w:r w:rsidRPr="00FF02F8" w:rsidR="004E67A0">
              <w:rPr>
                <w:rFonts w:cs="Calibri"/>
                <w:sz w:val="18"/>
                <w:szCs w:val="18"/>
              </w:rPr>
              <w:t>.50</w:t>
            </w:r>
          </w:p>
        </w:tc>
        <w:tc>
          <w:tcPr>
            <w:tcW w:w="1209" w:type="dxa"/>
            <w:shd w:val="clear" w:color="auto" w:fill="F2F2F2"/>
            <w:vAlign w:val="bottom"/>
          </w:tcPr>
          <w:p w:rsidRPr="00FF02F8" w:rsidR="00C543D0" w:rsidP="00FF02F8" w:rsidRDefault="00263F17" w14:paraId="2B9A7E67" w14:textId="35BC4F84">
            <w:pPr>
              <w:spacing w:after="0" w:line="240" w:lineRule="auto"/>
              <w:jc w:val="right"/>
              <w:rPr>
                <w:rFonts w:cs="Calibri"/>
                <w:sz w:val="18"/>
                <w:szCs w:val="18"/>
              </w:rPr>
            </w:pPr>
            <w:r w:rsidRPr="00FF02F8">
              <w:rPr>
                <w:rFonts w:cs="Calibri"/>
                <w:sz w:val="18"/>
                <w:szCs w:val="18"/>
              </w:rPr>
              <w:t>238.00</w:t>
            </w:r>
          </w:p>
        </w:tc>
        <w:tc>
          <w:tcPr>
            <w:tcW w:w="1274" w:type="dxa"/>
            <w:shd w:val="clear" w:color="auto" w:fill="F2F2F2"/>
            <w:vAlign w:val="bottom"/>
          </w:tcPr>
          <w:p w:rsidRPr="00FF02F8" w:rsidR="00C543D0" w:rsidP="00FF02F8" w:rsidRDefault="00DE4B8B" w14:paraId="60EFEDC3" w14:textId="380CEA07">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C543D0" w:rsidP="00FF02F8" w:rsidRDefault="0003260F" w14:paraId="6F814274" w14:textId="6DCFDFFC">
            <w:pPr>
              <w:spacing w:after="0" w:line="240" w:lineRule="auto"/>
              <w:jc w:val="right"/>
              <w:rPr>
                <w:rFonts w:cs="Calibri"/>
                <w:sz w:val="18"/>
                <w:szCs w:val="18"/>
              </w:rPr>
            </w:pPr>
            <w:r w:rsidRPr="00FF02F8">
              <w:rPr>
                <w:rFonts w:cs="Calibri"/>
                <w:sz w:val="18"/>
                <w:szCs w:val="18"/>
              </w:rPr>
              <w:t>$4,760.00</w:t>
            </w:r>
          </w:p>
        </w:tc>
      </w:tr>
      <w:tr w:rsidRPr="00535484" w:rsidR="00FF02F8" w:rsidTr="00FF02F8" w14:paraId="40D96B7E" w14:textId="77777777">
        <w:tc>
          <w:tcPr>
            <w:tcW w:w="1268" w:type="dxa"/>
            <w:shd w:val="clear" w:color="auto" w:fill="auto"/>
            <w:vAlign w:val="center"/>
          </w:tcPr>
          <w:p w:rsidRPr="00FF02F8" w:rsidR="00D325B7" w:rsidP="00FF02F8" w:rsidRDefault="00D325B7" w14:paraId="2FEF0D67" w14:textId="1408C990">
            <w:pPr>
              <w:spacing w:after="0" w:line="240" w:lineRule="auto"/>
              <w:jc w:val="right"/>
              <w:rPr>
                <w:rFonts w:cs="Calibri"/>
                <w:sz w:val="18"/>
                <w:szCs w:val="18"/>
              </w:rPr>
            </w:pPr>
            <w:r w:rsidRPr="00FF02F8">
              <w:rPr>
                <w:rFonts w:cs="Calibri"/>
                <w:sz w:val="18"/>
                <w:szCs w:val="18"/>
              </w:rPr>
              <w:t>Eviction Inspections</w:t>
            </w:r>
          </w:p>
        </w:tc>
        <w:tc>
          <w:tcPr>
            <w:tcW w:w="1194" w:type="dxa"/>
            <w:shd w:val="clear" w:color="auto" w:fill="auto"/>
            <w:vAlign w:val="bottom"/>
          </w:tcPr>
          <w:p w:rsidRPr="00FF02F8" w:rsidR="00D325B7" w:rsidP="00FF02F8" w:rsidRDefault="00CD759D" w14:paraId="00E20363" w14:textId="1BE6E005">
            <w:pPr>
              <w:spacing w:after="0" w:line="240" w:lineRule="auto"/>
              <w:jc w:val="right"/>
              <w:rPr>
                <w:rFonts w:cs="Calibri"/>
                <w:sz w:val="18"/>
                <w:szCs w:val="18"/>
              </w:rPr>
            </w:pPr>
            <w:r>
              <w:rPr>
                <w:rFonts w:cs="Calibri"/>
                <w:sz w:val="18"/>
                <w:szCs w:val="18"/>
              </w:rPr>
              <w:t>340</w:t>
            </w:r>
          </w:p>
        </w:tc>
        <w:tc>
          <w:tcPr>
            <w:tcW w:w="1160" w:type="dxa"/>
            <w:shd w:val="clear" w:color="auto" w:fill="auto"/>
            <w:vAlign w:val="bottom"/>
          </w:tcPr>
          <w:p w:rsidRPr="00FF02F8" w:rsidR="00D325B7" w:rsidP="00FF02F8" w:rsidRDefault="0031269B" w14:paraId="79A88DB5" w14:textId="515C55D1">
            <w:pPr>
              <w:spacing w:after="0" w:line="240" w:lineRule="auto"/>
              <w:jc w:val="right"/>
              <w:rPr>
                <w:rFonts w:cs="Calibri"/>
                <w:sz w:val="18"/>
                <w:szCs w:val="18"/>
              </w:rPr>
            </w:pPr>
            <w:r w:rsidRPr="00FF02F8">
              <w:rPr>
                <w:rFonts w:cs="Calibri"/>
                <w:sz w:val="18"/>
                <w:szCs w:val="18"/>
              </w:rPr>
              <w:t>2.80</w:t>
            </w:r>
          </w:p>
        </w:tc>
        <w:tc>
          <w:tcPr>
            <w:tcW w:w="1178" w:type="dxa"/>
            <w:shd w:val="clear" w:color="auto" w:fill="auto"/>
            <w:vAlign w:val="bottom"/>
          </w:tcPr>
          <w:p w:rsidRPr="00FF02F8" w:rsidR="00D325B7" w:rsidP="00FF02F8" w:rsidRDefault="0031269B" w14:paraId="5251410E" w14:textId="06C92FF3">
            <w:pPr>
              <w:spacing w:after="0" w:line="240" w:lineRule="auto"/>
              <w:jc w:val="right"/>
              <w:rPr>
                <w:rFonts w:cs="Calibri"/>
                <w:sz w:val="18"/>
                <w:szCs w:val="18"/>
              </w:rPr>
            </w:pPr>
            <w:r w:rsidRPr="00FF02F8">
              <w:rPr>
                <w:rFonts w:cs="Calibri"/>
                <w:sz w:val="18"/>
                <w:szCs w:val="18"/>
              </w:rPr>
              <w:t>952.00</w:t>
            </w:r>
          </w:p>
        </w:tc>
        <w:tc>
          <w:tcPr>
            <w:tcW w:w="1274" w:type="dxa"/>
            <w:shd w:val="clear" w:color="auto" w:fill="auto"/>
            <w:vAlign w:val="bottom"/>
          </w:tcPr>
          <w:p w:rsidRPr="00FF02F8" w:rsidR="00D325B7" w:rsidP="00FF02F8" w:rsidRDefault="00E25AB3" w14:paraId="12399579" w14:textId="4DAF7728">
            <w:pPr>
              <w:spacing w:after="0" w:line="240" w:lineRule="auto"/>
              <w:jc w:val="right"/>
              <w:rPr>
                <w:rFonts w:cs="Calibri"/>
                <w:sz w:val="18"/>
                <w:szCs w:val="18"/>
              </w:rPr>
            </w:pPr>
            <w:r w:rsidRPr="00FF02F8">
              <w:rPr>
                <w:rFonts w:cs="Calibri"/>
                <w:sz w:val="18"/>
                <w:szCs w:val="18"/>
              </w:rPr>
              <w:t>1.00</w:t>
            </w:r>
          </w:p>
        </w:tc>
        <w:tc>
          <w:tcPr>
            <w:tcW w:w="1209" w:type="dxa"/>
            <w:shd w:val="clear" w:color="auto" w:fill="auto"/>
            <w:vAlign w:val="bottom"/>
          </w:tcPr>
          <w:p w:rsidRPr="00FF02F8" w:rsidR="00D325B7" w:rsidP="00FF02F8" w:rsidRDefault="00BC0C14" w14:paraId="4627FF33" w14:textId="7BC39191">
            <w:pPr>
              <w:spacing w:after="0" w:line="240" w:lineRule="auto"/>
              <w:jc w:val="right"/>
              <w:rPr>
                <w:rFonts w:cs="Calibri"/>
                <w:sz w:val="18"/>
                <w:szCs w:val="18"/>
              </w:rPr>
            </w:pPr>
            <w:r w:rsidRPr="00FF02F8">
              <w:rPr>
                <w:rFonts w:cs="Calibri"/>
                <w:sz w:val="18"/>
                <w:szCs w:val="18"/>
              </w:rPr>
              <w:t>952.00</w:t>
            </w:r>
          </w:p>
        </w:tc>
        <w:tc>
          <w:tcPr>
            <w:tcW w:w="1274" w:type="dxa"/>
            <w:shd w:val="clear" w:color="auto" w:fill="auto"/>
            <w:vAlign w:val="bottom"/>
          </w:tcPr>
          <w:p w:rsidRPr="00FF02F8" w:rsidR="00D325B7" w:rsidP="00FF02F8" w:rsidRDefault="00D325B7" w14:paraId="077622DE" w14:textId="1A58F2F4">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D325B7" w:rsidP="00FF02F8" w:rsidRDefault="00BC0C14" w14:paraId="5A24623C" w14:textId="643977DE">
            <w:pPr>
              <w:spacing w:after="0" w:line="240" w:lineRule="auto"/>
              <w:jc w:val="right"/>
              <w:rPr>
                <w:rFonts w:cs="Calibri"/>
                <w:sz w:val="18"/>
                <w:szCs w:val="18"/>
              </w:rPr>
            </w:pPr>
            <w:r w:rsidRPr="00FF02F8">
              <w:rPr>
                <w:rFonts w:cs="Calibri"/>
                <w:sz w:val="18"/>
                <w:szCs w:val="18"/>
              </w:rPr>
              <w:t>$19,040.00</w:t>
            </w:r>
          </w:p>
        </w:tc>
      </w:tr>
      <w:tr w:rsidRPr="00535484" w:rsidR="00FF02F8" w:rsidTr="00FF02F8" w14:paraId="105E873D" w14:textId="77777777">
        <w:tc>
          <w:tcPr>
            <w:tcW w:w="1268" w:type="dxa"/>
            <w:shd w:val="clear" w:color="auto" w:fill="F2F2F2"/>
            <w:vAlign w:val="center"/>
          </w:tcPr>
          <w:p w:rsidRPr="00FF02F8" w:rsidR="00D325B7" w:rsidP="00FF02F8" w:rsidRDefault="00D325B7" w14:paraId="6FFD967D" w14:textId="3D9BCD65">
            <w:pPr>
              <w:spacing w:after="0" w:line="240" w:lineRule="auto"/>
              <w:jc w:val="right"/>
              <w:rPr>
                <w:rFonts w:cs="Calibri"/>
                <w:sz w:val="18"/>
                <w:szCs w:val="18"/>
              </w:rPr>
            </w:pPr>
            <w:r w:rsidRPr="00FF02F8">
              <w:rPr>
                <w:rFonts w:cs="Calibri"/>
                <w:sz w:val="18"/>
                <w:szCs w:val="18"/>
              </w:rPr>
              <w:t>Preservation and Protection</w:t>
            </w:r>
          </w:p>
        </w:tc>
        <w:tc>
          <w:tcPr>
            <w:tcW w:w="1194" w:type="dxa"/>
            <w:shd w:val="clear" w:color="auto" w:fill="F2F2F2"/>
            <w:vAlign w:val="bottom"/>
          </w:tcPr>
          <w:p w:rsidRPr="00FF02F8" w:rsidR="00D325B7" w:rsidP="00FF02F8" w:rsidRDefault="00CD759D" w14:paraId="6E8331D1" w14:textId="41137953">
            <w:pPr>
              <w:spacing w:after="0" w:line="240" w:lineRule="auto"/>
              <w:jc w:val="right"/>
              <w:rPr>
                <w:rFonts w:cs="Calibri"/>
                <w:sz w:val="18"/>
                <w:szCs w:val="18"/>
              </w:rPr>
            </w:pPr>
            <w:r>
              <w:rPr>
                <w:rFonts w:cs="Calibri"/>
                <w:sz w:val="18"/>
                <w:szCs w:val="18"/>
              </w:rPr>
              <w:t>340</w:t>
            </w:r>
          </w:p>
        </w:tc>
        <w:tc>
          <w:tcPr>
            <w:tcW w:w="1160" w:type="dxa"/>
            <w:shd w:val="clear" w:color="auto" w:fill="F2F2F2"/>
            <w:vAlign w:val="bottom"/>
          </w:tcPr>
          <w:p w:rsidRPr="00FF02F8" w:rsidR="00D325B7" w:rsidP="00FF02F8" w:rsidRDefault="00803674" w14:paraId="3A1B1B3C" w14:textId="69AEB2E4">
            <w:pPr>
              <w:spacing w:after="0" w:line="240" w:lineRule="auto"/>
              <w:jc w:val="right"/>
              <w:rPr>
                <w:rFonts w:cs="Calibri"/>
                <w:sz w:val="18"/>
                <w:szCs w:val="18"/>
              </w:rPr>
            </w:pPr>
            <w:r w:rsidRPr="00FF02F8">
              <w:rPr>
                <w:rFonts w:cs="Calibri"/>
                <w:sz w:val="18"/>
                <w:szCs w:val="18"/>
              </w:rPr>
              <w:t>2.80</w:t>
            </w:r>
          </w:p>
        </w:tc>
        <w:tc>
          <w:tcPr>
            <w:tcW w:w="1178" w:type="dxa"/>
            <w:shd w:val="clear" w:color="auto" w:fill="F2F2F2"/>
            <w:vAlign w:val="bottom"/>
          </w:tcPr>
          <w:p w:rsidRPr="00FF02F8" w:rsidR="00D325B7" w:rsidP="00FF02F8" w:rsidRDefault="00496270" w14:paraId="3CF08D76" w14:textId="52756563">
            <w:pPr>
              <w:spacing w:after="0" w:line="240" w:lineRule="auto"/>
              <w:jc w:val="right"/>
              <w:rPr>
                <w:rFonts w:cs="Calibri"/>
                <w:sz w:val="18"/>
                <w:szCs w:val="18"/>
              </w:rPr>
            </w:pPr>
            <w:r w:rsidRPr="00FF02F8">
              <w:rPr>
                <w:rFonts w:cs="Calibri"/>
                <w:sz w:val="18"/>
                <w:szCs w:val="18"/>
              </w:rPr>
              <w:t>952.00</w:t>
            </w:r>
          </w:p>
        </w:tc>
        <w:tc>
          <w:tcPr>
            <w:tcW w:w="1274" w:type="dxa"/>
            <w:shd w:val="clear" w:color="auto" w:fill="F2F2F2"/>
            <w:vAlign w:val="bottom"/>
          </w:tcPr>
          <w:p w:rsidRPr="00FF02F8" w:rsidR="00D325B7" w:rsidP="00FF02F8" w:rsidRDefault="00327705" w14:paraId="736FB856" w14:textId="212A3522">
            <w:pPr>
              <w:spacing w:after="0" w:line="240" w:lineRule="auto"/>
              <w:jc w:val="right"/>
              <w:rPr>
                <w:rFonts w:cs="Calibri"/>
                <w:sz w:val="18"/>
                <w:szCs w:val="18"/>
              </w:rPr>
            </w:pPr>
            <w:r w:rsidRPr="00FF02F8">
              <w:rPr>
                <w:rFonts w:cs="Calibri"/>
                <w:sz w:val="18"/>
                <w:szCs w:val="18"/>
              </w:rPr>
              <w:t>1.00</w:t>
            </w:r>
          </w:p>
        </w:tc>
        <w:tc>
          <w:tcPr>
            <w:tcW w:w="1209" w:type="dxa"/>
            <w:shd w:val="clear" w:color="auto" w:fill="F2F2F2"/>
            <w:vAlign w:val="bottom"/>
          </w:tcPr>
          <w:p w:rsidRPr="00FF02F8" w:rsidR="00D325B7" w:rsidP="00FF02F8" w:rsidRDefault="007A61FB" w14:paraId="1FFFBE98" w14:textId="1EB8BA8B">
            <w:pPr>
              <w:spacing w:after="0" w:line="240" w:lineRule="auto"/>
              <w:jc w:val="right"/>
              <w:rPr>
                <w:rFonts w:cs="Calibri"/>
                <w:sz w:val="18"/>
                <w:szCs w:val="18"/>
              </w:rPr>
            </w:pPr>
            <w:r w:rsidRPr="00FF02F8">
              <w:rPr>
                <w:rFonts w:cs="Calibri"/>
                <w:sz w:val="18"/>
                <w:szCs w:val="18"/>
              </w:rPr>
              <w:t>952.00</w:t>
            </w:r>
          </w:p>
        </w:tc>
        <w:tc>
          <w:tcPr>
            <w:tcW w:w="1274" w:type="dxa"/>
            <w:shd w:val="clear" w:color="auto" w:fill="F2F2F2"/>
            <w:vAlign w:val="bottom"/>
          </w:tcPr>
          <w:p w:rsidRPr="00FF02F8" w:rsidR="00D325B7" w:rsidP="00FF02F8" w:rsidRDefault="00D325B7" w14:paraId="313F90BB" w14:textId="6B97278A">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D325B7" w:rsidP="00FF02F8" w:rsidRDefault="00BF1B72" w14:paraId="6EA022A8" w14:textId="7485CE42">
            <w:pPr>
              <w:spacing w:after="0" w:line="240" w:lineRule="auto"/>
              <w:jc w:val="right"/>
              <w:rPr>
                <w:rFonts w:cs="Calibri"/>
                <w:sz w:val="18"/>
                <w:szCs w:val="18"/>
              </w:rPr>
            </w:pPr>
            <w:r w:rsidRPr="00FF02F8">
              <w:rPr>
                <w:rFonts w:cs="Calibri"/>
                <w:sz w:val="18"/>
                <w:szCs w:val="18"/>
              </w:rPr>
              <w:t>$</w:t>
            </w:r>
            <w:r w:rsidR="0066179A">
              <w:rPr>
                <w:rFonts w:cs="Calibri"/>
                <w:sz w:val="18"/>
                <w:szCs w:val="18"/>
              </w:rPr>
              <w:t>19,040.00</w:t>
            </w:r>
          </w:p>
        </w:tc>
      </w:tr>
      <w:tr w:rsidRPr="00535484" w:rsidR="00C73078" w:rsidTr="00FF02F8" w14:paraId="3D606AC4" w14:textId="77777777">
        <w:tc>
          <w:tcPr>
            <w:tcW w:w="9918" w:type="dxa"/>
            <w:gridSpan w:val="8"/>
            <w:shd w:val="clear" w:color="auto" w:fill="auto"/>
            <w:vAlign w:val="center"/>
          </w:tcPr>
          <w:p w:rsidRPr="00FF02F8" w:rsidR="00C73078" w:rsidP="00FF02F8" w:rsidRDefault="00C73078" w14:paraId="4BCE1DF7" w14:textId="41508773">
            <w:pPr>
              <w:spacing w:after="0" w:line="240" w:lineRule="auto"/>
              <w:rPr>
                <w:rFonts w:cs="Calibri"/>
                <w:sz w:val="18"/>
                <w:szCs w:val="18"/>
              </w:rPr>
            </w:pPr>
            <w:r w:rsidRPr="00FF02F8">
              <w:rPr>
                <w:rFonts w:cs="Calibri"/>
                <w:b/>
                <w:iCs/>
                <w:sz w:val="18"/>
                <w:szCs w:val="18"/>
              </w:rPr>
              <w:t>Presidentially</w:t>
            </w:r>
            <w:r w:rsidRPr="00FF02F8" w:rsidR="00186B5F">
              <w:rPr>
                <w:rFonts w:cs="Calibri"/>
                <w:b/>
                <w:iCs/>
                <w:sz w:val="18"/>
                <w:szCs w:val="18"/>
              </w:rPr>
              <w:t>-</w:t>
            </w:r>
            <w:r w:rsidRPr="00FF02F8">
              <w:rPr>
                <w:rFonts w:cs="Calibri"/>
                <w:b/>
                <w:iCs/>
                <w:sz w:val="18"/>
                <w:szCs w:val="18"/>
              </w:rPr>
              <w:t xml:space="preserve">Declared Disaster </w:t>
            </w:r>
            <w:r w:rsidRPr="00FF02F8" w:rsidR="00E81B67">
              <w:rPr>
                <w:rFonts w:cs="Calibri"/>
                <w:b/>
                <w:iCs/>
                <w:sz w:val="18"/>
                <w:szCs w:val="18"/>
              </w:rPr>
              <w:t xml:space="preserve">Area </w:t>
            </w:r>
            <w:r w:rsidRPr="00FF02F8">
              <w:rPr>
                <w:rFonts w:cs="Calibri"/>
                <w:b/>
                <w:iCs/>
                <w:sz w:val="18"/>
                <w:szCs w:val="18"/>
              </w:rPr>
              <w:t>Partial Claims (PDPC)</w:t>
            </w:r>
          </w:p>
        </w:tc>
      </w:tr>
      <w:tr w:rsidRPr="00535484" w:rsidR="00FF02F8" w:rsidTr="00FF02F8" w14:paraId="1F298D45" w14:textId="77777777">
        <w:tc>
          <w:tcPr>
            <w:tcW w:w="1268" w:type="dxa"/>
            <w:shd w:val="clear" w:color="auto" w:fill="F2F2F2"/>
            <w:vAlign w:val="center"/>
          </w:tcPr>
          <w:p w:rsidRPr="00FF02F8" w:rsidR="00BC2599" w:rsidP="00FF02F8" w:rsidRDefault="00BC2599" w14:paraId="1C1AAAB1" w14:textId="56958239">
            <w:pPr>
              <w:spacing w:after="0" w:line="240" w:lineRule="auto"/>
              <w:jc w:val="right"/>
              <w:rPr>
                <w:rFonts w:cs="Calibri"/>
                <w:iCs/>
                <w:sz w:val="18"/>
                <w:szCs w:val="18"/>
              </w:rPr>
            </w:pPr>
            <w:r w:rsidRPr="00FF02F8">
              <w:rPr>
                <w:rFonts w:cs="Calibri"/>
                <w:iCs/>
                <w:sz w:val="18"/>
                <w:szCs w:val="18"/>
              </w:rPr>
              <w:t xml:space="preserve"> Evaluation</w:t>
            </w:r>
          </w:p>
        </w:tc>
        <w:tc>
          <w:tcPr>
            <w:tcW w:w="1194" w:type="dxa"/>
            <w:shd w:val="clear" w:color="auto" w:fill="F2F2F2"/>
            <w:vAlign w:val="bottom"/>
          </w:tcPr>
          <w:p w:rsidRPr="00FF02F8" w:rsidR="00BC2599" w:rsidP="00FF02F8" w:rsidRDefault="0066179A" w14:paraId="4613013F" w14:textId="62C05D96">
            <w:pPr>
              <w:spacing w:after="0" w:line="240" w:lineRule="auto"/>
              <w:jc w:val="right"/>
              <w:rPr>
                <w:rFonts w:cs="Calibri"/>
                <w:sz w:val="18"/>
                <w:szCs w:val="18"/>
              </w:rPr>
            </w:pPr>
            <w:r>
              <w:rPr>
                <w:rFonts w:cs="Calibri"/>
                <w:sz w:val="18"/>
                <w:szCs w:val="18"/>
              </w:rPr>
              <w:t>30</w:t>
            </w:r>
            <w:r w:rsidRPr="00FF02F8" w:rsidR="00BC2599">
              <w:rPr>
                <w:rFonts w:cs="Calibri"/>
                <w:sz w:val="18"/>
                <w:szCs w:val="18"/>
              </w:rPr>
              <w:t>0</w:t>
            </w:r>
          </w:p>
        </w:tc>
        <w:tc>
          <w:tcPr>
            <w:tcW w:w="1160" w:type="dxa"/>
            <w:shd w:val="clear" w:color="auto" w:fill="F2F2F2"/>
            <w:vAlign w:val="bottom"/>
          </w:tcPr>
          <w:p w:rsidRPr="00FF02F8" w:rsidR="00BC2599" w:rsidP="00FF02F8" w:rsidRDefault="00BC2599" w14:paraId="6223A986" w14:textId="4A594141">
            <w:pPr>
              <w:spacing w:after="0" w:line="240" w:lineRule="auto"/>
              <w:jc w:val="right"/>
              <w:rPr>
                <w:rFonts w:cs="Calibri"/>
                <w:sz w:val="18"/>
                <w:szCs w:val="18"/>
              </w:rPr>
            </w:pPr>
            <w:r w:rsidRPr="00FF02F8">
              <w:rPr>
                <w:rFonts w:cs="Calibri"/>
                <w:color w:val="000000"/>
                <w:sz w:val="18"/>
                <w:szCs w:val="18"/>
              </w:rPr>
              <w:t>0.28</w:t>
            </w:r>
          </w:p>
        </w:tc>
        <w:tc>
          <w:tcPr>
            <w:tcW w:w="1178" w:type="dxa"/>
            <w:shd w:val="clear" w:color="auto" w:fill="F2F2F2"/>
            <w:vAlign w:val="bottom"/>
          </w:tcPr>
          <w:p w:rsidRPr="00FF02F8" w:rsidR="00BC2599" w:rsidP="00FF02F8" w:rsidRDefault="0066179A" w14:paraId="0D2B5924" w14:textId="6EF0D33A">
            <w:pPr>
              <w:spacing w:after="0" w:line="240" w:lineRule="auto"/>
              <w:jc w:val="right"/>
              <w:rPr>
                <w:rFonts w:cs="Calibri"/>
                <w:sz w:val="18"/>
                <w:szCs w:val="18"/>
              </w:rPr>
            </w:pPr>
            <w:r>
              <w:rPr>
                <w:rFonts w:cs="Calibri"/>
                <w:color w:val="000000"/>
                <w:sz w:val="18"/>
                <w:szCs w:val="18"/>
              </w:rPr>
              <w:t>84.00</w:t>
            </w:r>
          </w:p>
        </w:tc>
        <w:tc>
          <w:tcPr>
            <w:tcW w:w="1274" w:type="dxa"/>
            <w:shd w:val="clear" w:color="auto" w:fill="F2F2F2"/>
            <w:vAlign w:val="bottom"/>
          </w:tcPr>
          <w:p w:rsidRPr="00FF02F8" w:rsidR="00BC2599" w:rsidP="00FF02F8" w:rsidRDefault="00BC2599" w14:paraId="53077D4A" w14:textId="7F3C0E9C">
            <w:pPr>
              <w:spacing w:after="0" w:line="240" w:lineRule="auto"/>
              <w:jc w:val="right"/>
              <w:rPr>
                <w:rFonts w:cs="Calibri"/>
                <w:sz w:val="18"/>
                <w:szCs w:val="18"/>
              </w:rPr>
            </w:pPr>
            <w:r w:rsidRPr="00FF02F8">
              <w:rPr>
                <w:rFonts w:cs="Calibri"/>
                <w:color w:val="000000"/>
                <w:sz w:val="18"/>
                <w:szCs w:val="18"/>
              </w:rPr>
              <w:t>4</w:t>
            </w:r>
            <w:r w:rsidRPr="00FF02F8" w:rsidR="00E41177">
              <w:rPr>
                <w:rFonts w:cs="Calibri"/>
                <w:color w:val="000000"/>
                <w:sz w:val="18"/>
                <w:szCs w:val="18"/>
              </w:rPr>
              <w:t>.00</w:t>
            </w:r>
          </w:p>
        </w:tc>
        <w:tc>
          <w:tcPr>
            <w:tcW w:w="1209" w:type="dxa"/>
            <w:shd w:val="clear" w:color="auto" w:fill="F2F2F2"/>
            <w:vAlign w:val="bottom"/>
          </w:tcPr>
          <w:p w:rsidRPr="00FF02F8" w:rsidR="00BC2599" w:rsidP="00FF02F8" w:rsidRDefault="00BC2599" w14:paraId="615E5719" w14:textId="0DBB7BF9">
            <w:pPr>
              <w:spacing w:after="0" w:line="240" w:lineRule="auto"/>
              <w:jc w:val="right"/>
              <w:rPr>
                <w:rFonts w:cs="Calibri"/>
                <w:sz w:val="18"/>
                <w:szCs w:val="18"/>
              </w:rPr>
            </w:pPr>
            <w:r w:rsidRPr="00FF02F8">
              <w:rPr>
                <w:rFonts w:cs="Calibri"/>
                <w:color w:val="000000"/>
                <w:sz w:val="18"/>
                <w:szCs w:val="18"/>
              </w:rPr>
              <w:t>3</w:t>
            </w:r>
            <w:r w:rsidR="0066179A">
              <w:rPr>
                <w:rFonts w:cs="Calibri"/>
                <w:color w:val="000000"/>
                <w:sz w:val="18"/>
                <w:szCs w:val="18"/>
              </w:rPr>
              <w:t>36.00</w:t>
            </w:r>
          </w:p>
        </w:tc>
        <w:tc>
          <w:tcPr>
            <w:tcW w:w="1274" w:type="dxa"/>
            <w:shd w:val="clear" w:color="auto" w:fill="F2F2F2"/>
            <w:vAlign w:val="bottom"/>
          </w:tcPr>
          <w:p w:rsidRPr="00FF02F8" w:rsidR="00BC2599" w:rsidP="00FF02F8" w:rsidRDefault="00BC2599" w14:paraId="7B404467" w14:textId="1013922E">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BC2599" w:rsidP="00FF02F8" w:rsidRDefault="000F2663" w14:paraId="6B8D19F4" w14:textId="54E871D0">
            <w:pPr>
              <w:spacing w:after="0" w:line="240" w:lineRule="auto"/>
              <w:jc w:val="right"/>
              <w:rPr>
                <w:rFonts w:cs="Calibri"/>
                <w:sz w:val="18"/>
                <w:szCs w:val="18"/>
              </w:rPr>
            </w:pPr>
            <w:r w:rsidRPr="00FF02F8">
              <w:rPr>
                <w:rFonts w:cs="Calibri"/>
                <w:sz w:val="18"/>
                <w:szCs w:val="18"/>
              </w:rPr>
              <w:t>$</w:t>
            </w:r>
            <w:r w:rsidR="0066179A">
              <w:rPr>
                <w:rFonts w:cs="Calibri"/>
                <w:sz w:val="18"/>
                <w:szCs w:val="18"/>
              </w:rPr>
              <w:t>6,720.00</w:t>
            </w:r>
          </w:p>
        </w:tc>
      </w:tr>
      <w:tr w:rsidRPr="00535484" w:rsidR="00FF02F8" w:rsidTr="00FF02F8" w14:paraId="599527C5" w14:textId="77777777">
        <w:tc>
          <w:tcPr>
            <w:tcW w:w="1268" w:type="dxa"/>
            <w:shd w:val="clear" w:color="auto" w:fill="auto"/>
            <w:vAlign w:val="center"/>
          </w:tcPr>
          <w:p w:rsidRPr="00FF02F8" w:rsidR="00BC2599" w:rsidP="00FF02F8" w:rsidRDefault="00BC2599" w14:paraId="181D4BA3" w14:textId="3339A297">
            <w:pPr>
              <w:spacing w:after="0" w:line="240" w:lineRule="auto"/>
              <w:jc w:val="right"/>
              <w:rPr>
                <w:rFonts w:cs="Calibri"/>
                <w:iCs/>
                <w:sz w:val="18"/>
                <w:szCs w:val="18"/>
              </w:rPr>
            </w:pPr>
            <w:r w:rsidRPr="00FF02F8">
              <w:rPr>
                <w:rFonts w:cs="Calibri"/>
                <w:iCs/>
                <w:sz w:val="18"/>
                <w:szCs w:val="18"/>
              </w:rPr>
              <w:t>Subordinate Lien</w:t>
            </w:r>
          </w:p>
        </w:tc>
        <w:tc>
          <w:tcPr>
            <w:tcW w:w="1194" w:type="dxa"/>
            <w:shd w:val="clear" w:color="auto" w:fill="auto"/>
            <w:vAlign w:val="bottom"/>
          </w:tcPr>
          <w:p w:rsidRPr="00FF02F8" w:rsidR="00BC2599" w:rsidP="00FF02F8" w:rsidRDefault="00CD759D" w14:paraId="36EB6F34" w14:textId="410AAD7F">
            <w:pPr>
              <w:spacing w:after="0" w:line="240" w:lineRule="auto"/>
              <w:jc w:val="right"/>
              <w:rPr>
                <w:rFonts w:cs="Calibri"/>
                <w:sz w:val="18"/>
                <w:szCs w:val="18"/>
              </w:rPr>
            </w:pPr>
            <w:r>
              <w:rPr>
                <w:rFonts w:cs="Calibri"/>
                <w:sz w:val="18"/>
                <w:szCs w:val="18"/>
              </w:rPr>
              <w:t>300</w:t>
            </w:r>
          </w:p>
        </w:tc>
        <w:tc>
          <w:tcPr>
            <w:tcW w:w="1160" w:type="dxa"/>
            <w:shd w:val="clear" w:color="auto" w:fill="auto"/>
            <w:vAlign w:val="bottom"/>
          </w:tcPr>
          <w:p w:rsidRPr="00FF02F8" w:rsidR="00BC2599" w:rsidP="00FF02F8" w:rsidRDefault="00BC2599" w14:paraId="0115E035" w14:textId="7DCE08CB">
            <w:pPr>
              <w:spacing w:after="0" w:line="240" w:lineRule="auto"/>
              <w:jc w:val="right"/>
              <w:rPr>
                <w:rFonts w:cs="Calibri"/>
                <w:sz w:val="18"/>
                <w:szCs w:val="18"/>
              </w:rPr>
            </w:pPr>
            <w:r w:rsidRPr="00FF02F8">
              <w:rPr>
                <w:rFonts w:cs="Calibri"/>
                <w:color w:val="000000"/>
                <w:sz w:val="18"/>
                <w:szCs w:val="18"/>
              </w:rPr>
              <w:t>0.28</w:t>
            </w:r>
          </w:p>
        </w:tc>
        <w:tc>
          <w:tcPr>
            <w:tcW w:w="1178" w:type="dxa"/>
            <w:shd w:val="clear" w:color="auto" w:fill="auto"/>
            <w:vAlign w:val="bottom"/>
          </w:tcPr>
          <w:p w:rsidRPr="00FF02F8" w:rsidR="00BC2599" w:rsidP="00FF02F8" w:rsidRDefault="0066179A" w14:paraId="3F46FB37" w14:textId="16ED20B7">
            <w:pPr>
              <w:spacing w:after="0" w:line="240" w:lineRule="auto"/>
              <w:jc w:val="right"/>
              <w:rPr>
                <w:rFonts w:cs="Calibri"/>
                <w:sz w:val="18"/>
                <w:szCs w:val="18"/>
              </w:rPr>
            </w:pPr>
            <w:r>
              <w:rPr>
                <w:rFonts w:cs="Calibri"/>
                <w:color w:val="000000"/>
                <w:sz w:val="18"/>
                <w:szCs w:val="18"/>
              </w:rPr>
              <w:t>84.00</w:t>
            </w:r>
          </w:p>
        </w:tc>
        <w:tc>
          <w:tcPr>
            <w:tcW w:w="1274" w:type="dxa"/>
            <w:shd w:val="clear" w:color="auto" w:fill="auto"/>
            <w:vAlign w:val="bottom"/>
          </w:tcPr>
          <w:p w:rsidRPr="00FF02F8" w:rsidR="00BC2599" w:rsidP="00FF02F8" w:rsidRDefault="00BC2599" w14:paraId="21203C08" w14:textId="6A3060C7">
            <w:pPr>
              <w:spacing w:after="0" w:line="240" w:lineRule="auto"/>
              <w:jc w:val="right"/>
              <w:rPr>
                <w:rFonts w:cs="Calibri"/>
                <w:sz w:val="18"/>
                <w:szCs w:val="18"/>
              </w:rPr>
            </w:pPr>
            <w:r w:rsidRPr="00FF02F8">
              <w:rPr>
                <w:rFonts w:cs="Calibri"/>
                <w:color w:val="000000"/>
                <w:sz w:val="18"/>
                <w:szCs w:val="18"/>
              </w:rPr>
              <w:t>2</w:t>
            </w:r>
            <w:r w:rsidRPr="00FF02F8" w:rsidR="00E41177">
              <w:rPr>
                <w:rFonts w:cs="Calibri"/>
                <w:color w:val="000000"/>
                <w:sz w:val="18"/>
                <w:szCs w:val="18"/>
              </w:rPr>
              <w:t>.00</w:t>
            </w:r>
          </w:p>
        </w:tc>
        <w:tc>
          <w:tcPr>
            <w:tcW w:w="1209" w:type="dxa"/>
            <w:shd w:val="clear" w:color="auto" w:fill="auto"/>
            <w:vAlign w:val="bottom"/>
          </w:tcPr>
          <w:p w:rsidRPr="00FF02F8" w:rsidR="00BC2599" w:rsidP="00FF02F8" w:rsidRDefault="00BC2599" w14:paraId="6CABD60C" w14:textId="2918D71A">
            <w:pPr>
              <w:spacing w:after="0" w:line="240" w:lineRule="auto"/>
              <w:jc w:val="right"/>
              <w:rPr>
                <w:rFonts w:cs="Calibri"/>
                <w:sz w:val="18"/>
                <w:szCs w:val="18"/>
              </w:rPr>
            </w:pPr>
            <w:r w:rsidRPr="00FF02F8">
              <w:rPr>
                <w:rFonts w:cs="Calibri"/>
                <w:color w:val="000000"/>
                <w:sz w:val="18"/>
                <w:szCs w:val="18"/>
              </w:rPr>
              <w:t>1</w:t>
            </w:r>
            <w:r w:rsidR="0066179A">
              <w:rPr>
                <w:rFonts w:cs="Calibri"/>
                <w:color w:val="000000"/>
                <w:sz w:val="18"/>
                <w:szCs w:val="18"/>
              </w:rPr>
              <w:t>68.00</w:t>
            </w:r>
          </w:p>
        </w:tc>
        <w:tc>
          <w:tcPr>
            <w:tcW w:w="1274" w:type="dxa"/>
            <w:shd w:val="clear" w:color="auto" w:fill="auto"/>
            <w:vAlign w:val="bottom"/>
          </w:tcPr>
          <w:p w:rsidRPr="00FF02F8" w:rsidR="00BC2599" w:rsidP="00FF02F8" w:rsidRDefault="00BC2599" w14:paraId="173F6DB8" w14:textId="6C913EC3">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BC2599" w:rsidP="00FF02F8" w:rsidRDefault="00F56AA7" w14:paraId="7760D9EC" w14:textId="7BC4312B">
            <w:pPr>
              <w:spacing w:after="0" w:line="240" w:lineRule="auto"/>
              <w:jc w:val="right"/>
              <w:rPr>
                <w:rFonts w:cs="Calibri"/>
                <w:sz w:val="18"/>
                <w:szCs w:val="18"/>
              </w:rPr>
            </w:pPr>
            <w:r w:rsidRPr="00FF02F8">
              <w:rPr>
                <w:rFonts w:cs="Calibri"/>
                <w:sz w:val="18"/>
                <w:szCs w:val="18"/>
              </w:rPr>
              <w:t>$3,</w:t>
            </w:r>
            <w:r w:rsidR="0066179A">
              <w:rPr>
                <w:rFonts w:cs="Calibri"/>
                <w:sz w:val="18"/>
                <w:szCs w:val="18"/>
              </w:rPr>
              <w:t>360.00</w:t>
            </w:r>
          </w:p>
        </w:tc>
      </w:tr>
      <w:tr w:rsidRPr="00535484" w:rsidR="00FF02F8" w:rsidTr="00FF02F8" w14:paraId="17398B22" w14:textId="77777777">
        <w:tc>
          <w:tcPr>
            <w:tcW w:w="1268" w:type="dxa"/>
            <w:shd w:val="clear" w:color="auto" w:fill="F2F2F2"/>
            <w:vAlign w:val="center"/>
          </w:tcPr>
          <w:p w:rsidRPr="00FF02F8" w:rsidR="00BC2599" w:rsidP="00FF02F8" w:rsidRDefault="00BC2599" w14:paraId="4FAC032E" w14:textId="7C69CAAE">
            <w:pPr>
              <w:spacing w:after="0" w:line="240" w:lineRule="auto"/>
              <w:jc w:val="right"/>
              <w:rPr>
                <w:rFonts w:cs="Calibri"/>
                <w:iCs/>
                <w:sz w:val="18"/>
                <w:szCs w:val="18"/>
              </w:rPr>
            </w:pPr>
            <w:r w:rsidRPr="00FF02F8">
              <w:rPr>
                <w:rFonts w:cs="Calibri"/>
                <w:iCs/>
                <w:sz w:val="18"/>
                <w:szCs w:val="18"/>
              </w:rPr>
              <w:t xml:space="preserve">HUD-27011 </w:t>
            </w:r>
          </w:p>
        </w:tc>
        <w:tc>
          <w:tcPr>
            <w:tcW w:w="1194" w:type="dxa"/>
            <w:shd w:val="clear" w:color="auto" w:fill="F2F2F2"/>
            <w:vAlign w:val="bottom"/>
          </w:tcPr>
          <w:p w:rsidRPr="00FF02F8" w:rsidR="00BC2599" w:rsidP="00FF02F8" w:rsidRDefault="00CD759D" w14:paraId="1502DB3F" w14:textId="6BF22BF3">
            <w:pPr>
              <w:spacing w:after="0" w:line="240" w:lineRule="auto"/>
              <w:jc w:val="right"/>
              <w:rPr>
                <w:rFonts w:cs="Calibri"/>
                <w:sz w:val="18"/>
                <w:szCs w:val="18"/>
              </w:rPr>
            </w:pPr>
            <w:r>
              <w:rPr>
                <w:rFonts w:cs="Calibri"/>
                <w:sz w:val="18"/>
                <w:szCs w:val="18"/>
              </w:rPr>
              <w:t>300</w:t>
            </w:r>
          </w:p>
        </w:tc>
        <w:tc>
          <w:tcPr>
            <w:tcW w:w="1160" w:type="dxa"/>
            <w:shd w:val="clear" w:color="auto" w:fill="F2F2F2"/>
            <w:vAlign w:val="bottom"/>
          </w:tcPr>
          <w:p w:rsidRPr="00FF02F8" w:rsidR="00BC2599" w:rsidP="00FF02F8" w:rsidRDefault="00BC2599" w14:paraId="29A1CA11" w14:textId="0DB3F498">
            <w:pPr>
              <w:spacing w:after="0" w:line="240" w:lineRule="auto"/>
              <w:jc w:val="right"/>
              <w:rPr>
                <w:rFonts w:cs="Calibri"/>
                <w:sz w:val="18"/>
                <w:szCs w:val="18"/>
              </w:rPr>
            </w:pPr>
            <w:r w:rsidRPr="00FF02F8">
              <w:rPr>
                <w:rFonts w:cs="Calibri"/>
                <w:color w:val="000000"/>
                <w:sz w:val="18"/>
                <w:szCs w:val="18"/>
              </w:rPr>
              <w:t>0.28</w:t>
            </w:r>
          </w:p>
        </w:tc>
        <w:tc>
          <w:tcPr>
            <w:tcW w:w="1178" w:type="dxa"/>
            <w:shd w:val="clear" w:color="auto" w:fill="F2F2F2"/>
            <w:vAlign w:val="bottom"/>
          </w:tcPr>
          <w:p w:rsidRPr="00FF02F8" w:rsidR="00BC2599" w:rsidP="00FF02F8" w:rsidRDefault="0066179A" w14:paraId="3ED1C146" w14:textId="5F0EB8C4">
            <w:pPr>
              <w:spacing w:after="0" w:line="240" w:lineRule="auto"/>
              <w:jc w:val="right"/>
              <w:rPr>
                <w:rFonts w:cs="Calibri"/>
                <w:sz w:val="18"/>
                <w:szCs w:val="18"/>
              </w:rPr>
            </w:pPr>
            <w:r>
              <w:rPr>
                <w:rFonts w:cs="Calibri"/>
                <w:color w:val="000000"/>
                <w:sz w:val="18"/>
                <w:szCs w:val="18"/>
              </w:rPr>
              <w:t>84.00</w:t>
            </w:r>
          </w:p>
        </w:tc>
        <w:tc>
          <w:tcPr>
            <w:tcW w:w="1274" w:type="dxa"/>
            <w:shd w:val="clear" w:color="auto" w:fill="F2F2F2"/>
            <w:vAlign w:val="bottom"/>
          </w:tcPr>
          <w:p w:rsidRPr="00FF02F8" w:rsidR="00BC2599" w:rsidP="00FF02F8" w:rsidRDefault="00BC2599" w14:paraId="0FF05EC4" w14:textId="5CFDB38B">
            <w:pPr>
              <w:spacing w:after="0" w:line="240" w:lineRule="auto"/>
              <w:jc w:val="right"/>
              <w:rPr>
                <w:rFonts w:cs="Calibri"/>
                <w:sz w:val="18"/>
                <w:szCs w:val="18"/>
              </w:rPr>
            </w:pPr>
            <w:r w:rsidRPr="00FF02F8">
              <w:rPr>
                <w:rFonts w:cs="Calibri"/>
                <w:color w:val="000000"/>
                <w:sz w:val="18"/>
                <w:szCs w:val="18"/>
              </w:rPr>
              <w:t>0.5</w:t>
            </w:r>
            <w:r w:rsidRPr="00FF02F8" w:rsidR="00E41177">
              <w:rPr>
                <w:rFonts w:cs="Calibri"/>
                <w:color w:val="000000"/>
                <w:sz w:val="18"/>
                <w:szCs w:val="18"/>
              </w:rPr>
              <w:t>0</w:t>
            </w:r>
          </w:p>
        </w:tc>
        <w:tc>
          <w:tcPr>
            <w:tcW w:w="1209" w:type="dxa"/>
            <w:shd w:val="clear" w:color="auto" w:fill="F2F2F2"/>
            <w:vAlign w:val="bottom"/>
          </w:tcPr>
          <w:p w:rsidRPr="00FF02F8" w:rsidR="00BC2599" w:rsidP="00FF02F8" w:rsidRDefault="00BC2599" w14:paraId="137051DC" w14:textId="676DB66D">
            <w:pPr>
              <w:spacing w:after="0" w:line="240" w:lineRule="auto"/>
              <w:jc w:val="right"/>
              <w:rPr>
                <w:rFonts w:cs="Calibri"/>
                <w:sz w:val="18"/>
                <w:szCs w:val="18"/>
              </w:rPr>
            </w:pPr>
            <w:r w:rsidRPr="00FF02F8">
              <w:rPr>
                <w:rFonts w:cs="Calibri"/>
                <w:color w:val="000000"/>
                <w:sz w:val="18"/>
                <w:szCs w:val="18"/>
              </w:rPr>
              <w:t>4</w:t>
            </w:r>
            <w:r w:rsidR="0066179A">
              <w:rPr>
                <w:rFonts w:cs="Calibri"/>
                <w:color w:val="000000"/>
                <w:sz w:val="18"/>
                <w:szCs w:val="18"/>
              </w:rPr>
              <w:t>2.00</w:t>
            </w:r>
          </w:p>
        </w:tc>
        <w:tc>
          <w:tcPr>
            <w:tcW w:w="1274" w:type="dxa"/>
            <w:shd w:val="clear" w:color="auto" w:fill="F2F2F2"/>
            <w:vAlign w:val="bottom"/>
          </w:tcPr>
          <w:p w:rsidRPr="00FF02F8" w:rsidR="00BC2599" w:rsidP="00FF02F8" w:rsidRDefault="00DA3254" w14:paraId="5701116E" w14:textId="666099DE">
            <w:pPr>
              <w:spacing w:after="0" w:line="240" w:lineRule="auto"/>
              <w:jc w:val="right"/>
              <w:rPr>
                <w:rFonts w:cs="Calibri"/>
                <w:sz w:val="18"/>
                <w:szCs w:val="18"/>
              </w:rPr>
            </w:pPr>
            <w:r w:rsidRPr="00FF02F8">
              <w:rPr>
                <w:rFonts w:cs="Calibri"/>
                <w:sz w:val="18"/>
                <w:szCs w:val="18"/>
              </w:rPr>
              <w:t>$20.00</w:t>
            </w:r>
          </w:p>
        </w:tc>
        <w:tc>
          <w:tcPr>
            <w:tcW w:w="1361" w:type="dxa"/>
            <w:shd w:val="clear" w:color="auto" w:fill="F2F2F2"/>
            <w:vAlign w:val="bottom"/>
          </w:tcPr>
          <w:p w:rsidRPr="00FF02F8" w:rsidR="00BC2599" w:rsidP="00FF02F8" w:rsidRDefault="00F07C91" w14:paraId="5F067EC1" w14:textId="0BE21DAF">
            <w:pPr>
              <w:spacing w:after="0" w:line="240" w:lineRule="auto"/>
              <w:jc w:val="right"/>
              <w:rPr>
                <w:rFonts w:cs="Calibri"/>
                <w:sz w:val="18"/>
                <w:szCs w:val="18"/>
              </w:rPr>
            </w:pPr>
            <w:r w:rsidRPr="00FF02F8">
              <w:rPr>
                <w:rFonts w:cs="Calibri"/>
                <w:sz w:val="18"/>
                <w:szCs w:val="18"/>
              </w:rPr>
              <w:t>$</w:t>
            </w:r>
            <w:r w:rsidR="0066179A">
              <w:rPr>
                <w:rFonts w:cs="Calibri"/>
                <w:sz w:val="18"/>
                <w:szCs w:val="18"/>
              </w:rPr>
              <w:t>840</w:t>
            </w:r>
            <w:r w:rsidRPr="00FF02F8">
              <w:rPr>
                <w:rFonts w:cs="Calibri"/>
                <w:sz w:val="18"/>
                <w:szCs w:val="18"/>
              </w:rPr>
              <w:t>.00</w:t>
            </w:r>
          </w:p>
        </w:tc>
      </w:tr>
      <w:tr w:rsidRPr="00535484" w:rsidR="000A56AB" w:rsidTr="00FF02F8" w14:paraId="6CFC486F" w14:textId="77777777">
        <w:tc>
          <w:tcPr>
            <w:tcW w:w="9918" w:type="dxa"/>
            <w:gridSpan w:val="8"/>
            <w:shd w:val="clear" w:color="auto" w:fill="auto"/>
            <w:vAlign w:val="center"/>
          </w:tcPr>
          <w:p w:rsidRPr="00FF02F8" w:rsidR="000A56AB" w:rsidP="00FF02F8" w:rsidRDefault="000A56AB" w14:paraId="3863F009" w14:textId="661E565C">
            <w:pPr>
              <w:spacing w:after="0" w:line="240" w:lineRule="auto"/>
              <w:rPr>
                <w:rFonts w:cs="Calibri"/>
                <w:sz w:val="18"/>
                <w:szCs w:val="18"/>
              </w:rPr>
            </w:pPr>
            <w:r w:rsidRPr="00FF02F8">
              <w:rPr>
                <w:rFonts w:cs="Calibri"/>
                <w:b/>
                <w:iCs/>
                <w:sz w:val="18"/>
                <w:szCs w:val="18"/>
              </w:rPr>
              <w:t>Accelerated Claims (AC</w:t>
            </w:r>
            <w:r w:rsidRPr="00FF02F8">
              <w:rPr>
                <w:rFonts w:cs="Calibri"/>
                <w:iCs/>
                <w:sz w:val="18"/>
                <w:szCs w:val="18"/>
              </w:rPr>
              <w:t>)</w:t>
            </w:r>
          </w:p>
        </w:tc>
      </w:tr>
      <w:tr w:rsidRPr="00577741" w:rsidR="00FF02F8" w:rsidTr="00FF02F8" w14:paraId="3A24C3D7" w14:textId="77777777">
        <w:tc>
          <w:tcPr>
            <w:tcW w:w="1268" w:type="dxa"/>
            <w:shd w:val="clear" w:color="auto" w:fill="auto"/>
            <w:vAlign w:val="center"/>
          </w:tcPr>
          <w:p w:rsidRPr="00FF02F8" w:rsidR="000A56AB" w:rsidP="00FF02F8" w:rsidRDefault="000A56AB" w14:paraId="0491DEE2" w14:textId="77777777">
            <w:pPr>
              <w:spacing w:after="0" w:line="240" w:lineRule="auto"/>
              <w:rPr>
                <w:rFonts w:cs="Calibri"/>
                <w:sz w:val="18"/>
                <w:szCs w:val="18"/>
              </w:rPr>
            </w:pPr>
            <w:r w:rsidRPr="00FF02F8">
              <w:rPr>
                <w:rFonts w:cs="Calibri"/>
                <w:iCs/>
                <w:sz w:val="18"/>
                <w:szCs w:val="18"/>
              </w:rPr>
              <w:t>AC Evaluation</w:t>
            </w:r>
          </w:p>
        </w:tc>
        <w:tc>
          <w:tcPr>
            <w:tcW w:w="1194" w:type="dxa"/>
            <w:shd w:val="clear" w:color="auto" w:fill="auto"/>
            <w:vAlign w:val="center"/>
          </w:tcPr>
          <w:p w:rsidRPr="00FF02F8" w:rsidR="000A56AB" w:rsidP="00FF02F8" w:rsidRDefault="0066179A" w14:paraId="6B20297D" w14:textId="60A7DEAE">
            <w:pPr>
              <w:spacing w:after="0" w:line="240" w:lineRule="auto"/>
              <w:jc w:val="right"/>
              <w:rPr>
                <w:rFonts w:cs="Calibri"/>
                <w:sz w:val="18"/>
                <w:szCs w:val="18"/>
              </w:rPr>
            </w:pPr>
            <w:r>
              <w:rPr>
                <w:rFonts w:cs="Calibri"/>
                <w:sz w:val="18"/>
                <w:szCs w:val="18"/>
              </w:rPr>
              <w:t>100</w:t>
            </w:r>
          </w:p>
        </w:tc>
        <w:tc>
          <w:tcPr>
            <w:tcW w:w="1160" w:type="dxa"/>
            <w:shd w:val="clear" w:color="auto" w:fill="auto"/>
            <w:vAlign w:val="center"/>
          </w:tcPr>
          <w:p w:rsidRPr="00FF02F8" w:rsidR="000A56AB" w:rsidP="00FF02F8" w:rsidRDefault="00385B6A" w14:paraId="4BE492C0" w14:textId="27348098">
            <w:pPr>
              <w:spacing w:after="0" w:line="240" w:lineRule="auto"/>
              <w:jc w:val="right"/>
              <w:rPr>
                <w:rFonts w:cs="Calibri"/>
                <w:sz w:val="18"/>
                <w:szCs w:val="18"/>
              </w:rPr>
            </w:pPr>
            <w:r w:rsidRPr="00FF02F8">
              <w:rPr>
                <w:rFonts w:cs="Calibri"/>
                <w:sz w:val="18"/>
                <w:szCs w:val="18"/>
              </w:rPr>
              <w:t>2.</w:t>
            </w:r>
            <w:r w:rsidRPr="00FF02F8" w:rsidR="000F7B06">
              <w:rPr>
                <w:rFonts w:cs="Calibri"/>
                <w:sz w:val="18"/>
                <w:szCs w:val="18"/>
              </w:rPr>
              <w:t>94</w:t>
            </w:r>
          </w:p>
        </w:tc>
        <w:tc>
          <w:tcPr>
            <w:tcW w:w="1178" w:type="dxa"/>
            <w:shd w:val="clear" w:color="auto" w:fill="auto"/>
            <w:vAlign w:val="center"/>
          </w:tcPr>
          <w:p w:rsidRPr="00FF02F8" w:rsidR="000A56AB" w:rsidP="00FF02F8" w:rsidRDefault="0066179A" w14:paraId="1ADEB0C9" w14:textId="0947BCA6">
            <w:pPr>
              <w:spacing w:after="0" w:line="240" w:lineRule="auto"/>
              <w:jc w:val="right"/>
              <w:rPr>
                <w:rFonts w:cs="Calibri"/>
                <w:sz w:val="18"/>
                <w:szCs w:val="18"/>
              </w:rPr>
            </w:pPr>
            <w:r>
              <w:rPr>
                <w:rFonts w:cs="Calibri"/>
                <w:sz w:val="18"/>
                <w:szCs w:val="18"/>
              </w:rPr>
              <w:t>294.00</w:t>
            </w:r>
          </w:p>
        </w:tc>
        <w:tc>
          <w:tcPr>
            <w:tcW w:w="1274" w:type="dxa"/>
            <w:shd w:val="clear" w:color="auto" w:fill="auto"/>
            <w:vAlign w:val="center"/>
          </w:tcPr>
          <w:p w:rsidRPr="00FF02F8" w:rsidR="000A56AB" w:rsidP="00FF02F8" w:rsidRDefault="007B42E2" w14:paraId="6C30CB1C" w14:textId="4957CDDB">
            <w:pPr>
              <w:spacing w:after="0" w:line="240" w:lineRule="auto"/>
              <w:jc w:val="right"/>
              <w:rPr>
                <w:rFonts w:cs="Calibri"/>
                <w:sz w:val="18"/>
                <w:szCs w:val="18"/>
              </w:rPr>
            </w:pPr>
            <w:r w:rsidRPr="00FF02F8">
              <w:rPr>
                <w:rFonts w:cs="Calibri"/>
                <w:sz w:val="18"/>
                <w:szCs w:val="18"/>
              </w:rPr>
              <w:t>2</w:t>
            </w:r>
            <w:r w:rsidRPr="00FF02F8" w:rsidR="00D84926">
              <w:rPr>
                <w:rFonts w:cs="Calibri"/>
                <w:sz w:val="18"/>
                <w:szCs w:val="18"/>
              </w:rPr>
              <w:t>.00</w:t>
            </w:r>
          </w:p>
        </w:tc>
        <w:tc>
          <w:tcPr>
            <w:tcW w:w="1209" w:type="dxa"/>
            <w:shd w:val="clear" w:color="auto" w:fill="auto"/>
            <w:vAlign w:val="center"/>
          </w:tcPr>
          <w:p w:rsidRPr="00FF02F8" w:rsidR="000A56AB" w:rsidP="00FF02F8" w:rsidRDefault="0066179A" w14:paraId="26ECE4F0" w14:textId="4497FB9B">
            <w:pPr>
              <w:spacing w:after="0" w:line="240" w:lineRule="auto"/>
              <w:jc w:val="right"/>
              <w:rPr>
                <w:rFonts w:cs="Calibri"/>
                <w:sz w:val="18"/>
                <w:szCs w:val="18"/>
              </w:rPr>
            </w:pPr>
            <w:r>
              <w:rPr>
                <w:rFonts w:cs="Calibri"/>
                <w:sz w:val="18"/>
                <w:szCs w:val="18"/>
              </w:rPr>
              <w:t>588.00</w:t>
            </w:r>
          </w:p>
        </w:tc>
        <w:tc>
          <w:tcPr>
            <w:tcW w:w="1274" w:type="dxa"/>
            <w:shd w:val="clear" w:color="auto" w:fill="auto"/>
            <w:vAlign w:val="center"/>
          </w:tcPr>
          <w:p w:rsidRPr="00FF02F8" w:rsidR="000A56AB" w:rsidP="00FF02F8" w:rsidRDefault="001D31C7" w14:paraId="69179716" w14:textId="5A78BAB1">
            <w:pPr>
              <w:spacing w:after="0" w:line="240" w:lineRule="auto"/>
              <w:jc w:val="right"/>
              <w:rPr>
                <w:rFonts w:cs="Calibri"/>
                <w:sz w:val="18"/>
                <w:szCs w:val="18"/>
              </w:rPr>
            </w:pPr>
            <w:r w:rsidRPr="00FF02F8">
              <w:rPr>
                <w:rFonts w:cs="Calibri"/>
                <w:sz w:val="18"/>
                <w:szCs w:val="18"/>
              </w:rPr>
              <w:t>$20</w:t>
            </w:r>
            <w:r w:rsidRPr="00FF02F8" w:rsidR="00F20DA7">
              <w:rPr>
                <w:rFonts w:cs="Calibri"/>
                <w:sz w:val="18"/>
                <w:szCs w:val="18"/>
              </w:rPr>
              <w:t>.00</w:t>
            </w:r>
          </w:p>
        </w:tc>
        <w:tc>
          <w:tcPr>
            <w:tcW w:w="1361" w:type="dxa"/>
            <w:shd w:val="clear" w:color="auto" w:fill="auto"/>
            <w:vAlign w:val="center"/>
          </w:tcPr>
          <w:p w:rsidRPr="00FF02F8" w:rsidR="000A56AB" w:rsidP="00FF02F8" w:rsidRDefault="006F5275" w14:paraId="5A1D892F" w14:textId="3A34C1D3">
            <w:pPr>
              <w:spacing w:after="0" w:line="240" w:lineRule="auto"/>
              <w:jc w:val="right"/>
              <w:rPr>
                <w:rFonts w:cs="Calibri"/>
                <w:sz w:val="18"/>
                <w:szCs w:val="18"/>
              </w:rPr>
            </w:pPr>
            <w:r w:rsidRPr="00FF02F8">
              <w:rPr>
                <w:rFonts w:cs="Calibri"/>
                <w:sz w:val="18"/>
                <w:szCs w:val="18"/>
              </w:rPr>
              <w:t>$</w:t>
            </w:r>
            <w:r w:rsidR="00820A98">
              <w:rPr>
                <w:rFonts w:cs="Calibri"/>
                <w:sz w:val="18"/>
                <w:szCs w:val="18"/>
              </w:rPr>
              <w:t>11,760.00</w:t>
            </w:r>
          </w:p>
        </w:tc>
      </w:tr>
      <w:tr w:rsidRPr="00535484" w:rsidR="00FF02F8" w:rsidTr="00FF02F8" w14:paraId="58CC9493" w14:textId="77777777">
        <w:tc>
          <w:tcPr>
            <w:tcW w:w="1268" w:type="dxa"/>
            <w:shd w:val="clear" w:color="auto" w:fill="F2F2F2"/>
            <w:vAlign w:val="center"/>
          </w:tcPr>
          <w:p w:rsidRPr="00FF02F8" w:rsidR="00B92AB3" w:rsidP="00FF02F8" w:rsidRDefault="00B92AB3" w14:paraId="7F2BA949" w14:textId="2EA06BC1">
            <w:pPr>
              <w:spacing w:after="0" w:line="240" w:lineRule="auto"/>
              <w:jc w:val="right"/>
              <w:rPr>
                <w:rFonts w:cs="Calibri"/>
                <w:iCs/>
                <w:sz w:val="18"/>
                <w:szCs w:val="18"/>
              </w:rPr>
            </w:pPr>
            <w:r w:rsidRPr="00FF02F8">
              <w:rPr>
                <w:rFonts w:cs="Calibri"/>
                <w:iCs/>
                <w:sz w:val="18"/>
                <w:szCs w:val="18"/>
              </w:rPr>
              <w:t>Note Assignment and Transfer</w:t>
            </w:r>
          </w:p>
        </w:tc>
        <w:tc>
          <w:tcPr>
            <w:tcW w:w="1194" w:type="dxa"/>
            <w:shd w:val="clear" w:color="auto" w:fill="F2F2F2"/>
            <w:vAlign w:val="bottom"/>
          </w:tcPr>
          <w:p w:rsidRPr="00FF02F8" w:rsidR="00B92AB3" w:rsidP="00FF02F8" w:rsidRDefault="00CD759D" w14:paraId="490A471C" w14:textId="3ADF1A0B">
            <w:pPr>
              <w:spacing w:after="0" w:line="240" w:lineRule="auto"/>
              <w:jc w:val="right"/>
              <w:rPr>
                <w:rFonts w:cs="Calibri"/>
                <w:sz w:val="18"/>
                <w:szCs w:val="18"/>
              </w:rPr>
            </w:pPr>
            <w:r>
              <w:rPr>
                <w:rFonts w:cs="Calibri"/>
                <w:sz w:val="18"/>
                <w:szCs w:val="18"/>
              </w:rPr>
              <w:t>100</w:t>
            </w:r>
          </w:p>
        </w:tc>
        <w:tc>
          <w:tcPr>
            <w:tcW w:w="1160" w:type="dxa"/>
            <w:shd w:val="clear" w:color="auto" w:fill="F2F2F2"/>
            <w:vAlign w:val="bottom"/>
          </w:tcPr>
          <w:p w:rsidRPr="00FF02F8" w:rsidR="00B92AB3" w:rsidP="00FF02F8" w:rsidRDefault="00213BBC" w14:paraId="2A56E519" w14:textId="3FF350C4">
            <w:pPr>
              <w:spacing w:after="0" w:line="240" w:lineRule="auto"/>
              <w:jc w:val="right"/>
              <w:rPr>
                <w:rFonts w:cs="Calibri"/>
                <w:sz w:val="18"/>
                <w:szCs w:val="18"/>
              </w:rPr>
            </w:pPr>
            <w:r w:rsidRPr="00FF02F8">
              <w:rPr>
                <w:rFonts w:cs="Calibri"/>
                <w:sz w:val="18"/>
                <w:szCs w:val="18"/>
              </w:rPr>
              <w:t>2.</w:t>
            </w:r>
            <w:r w:rsidRPr="00FF02F8" w:rsidR="000F7B06">
              <w:rPr>
                <w:rFonts w:cs="Calibri"/>
                <w:sz w:val="18"/>
                <w:szCs w:val="18"/>
              </w:rPr>
              <w:t>94</w:t>
            </w:r>
          </w:p>
        </w:tc>
        <w:tc>
          <w:tcPr>
            <w:tcW w:w="1178" w:type="dxa"/>
            <w:shd w:val="clear" w:color="auto" w:fill="F2F2F2"/>
            <w:vAlign w:val="bottom"/>
          </w:tcPr>
          <w:p w:rsidRPr="00FF02F8" w:rsidR="00B92AB3" w:rsidP="00FF02F8" w:rsidRDefault="0066179A" w14:paraId="629FC772" w14:textId="722D869C">
            <w:pPr>
              <w:spacing w:after="0" w:line="240" w:lineRule="auto"/>
              <w:jc w:val="right"/>
              <w:rPr>
                <w:rFonts w:cs="Calibri"/>
                <w:sz w:val="18"/>
                <w:szCs w:val="18"/>
              </w:rPr>
            </w:pPr>
            <w:r>
              <w:rPr>
                <w:rFonts w:cs="Calibri"/>
                <w:sz w:val="18"/>
                <w:szCs w:val="18"/>
              </w:rPr>
              <w:t>294.00</w:t>
            </w:r>
          </w:p>
        </w:tc>
        <w:tc>
          <w:tcPr>
            <w:tcW w:w="1274" w:type="dxa"/>
            <w:shd w:val="clear" w:color="auto" w:fill="F2F2F2"/>
            <w:vAlign w:val="bottom"/>
          </w:tcPr>
          <w:p w:rsidRPr="00FF02F8" w:rsidR="00B92AB3" w:rsidP="00FF02F8" w:rsidRDefault="007B42E2" w14:paraId="26B358AD" w14:textId="4F1F3CF1">
            <w:pPr>
              <w:spacing w:after="0" w:line="240" w:lineRule="auto"/>
              <w:jc w:val="right"/>
              <w:rPr>
                <w:rFonts w:cs="Calibri"/>
                <w:sz w:val="18"/>
                <w:szCs w:val="18"/>
              </w:rPr>
            </w:pPr>
            <w:r w:rsidRPr="00FF02F8">
              <w:rPr>
                <w:rFonts w:cs="Calibri"/>
                <w:sz w:val="18"/>
                <w:szCs w:val="18"/>
              </w:rPr>
              <w:t>2</w:t>
            </w:r>
            <w:r w:rsidRPr="00FF02F8" w:rsidR="00D84926">
              <w:rPr>
                <w:rFonts w:cs="Calibri"/>
                <w:sz w:val="18"/>
                <w:szCs w:val="18"/>
              </w:rPr>
              <w:t>.00</w:t>
            </w:r>
          </w:p>
        </w:tc>
        <w:tc>
          <w:tcPr>
            <w:tcW w:w="1209" w:type="dxa"/>
            <w:shd w:val="clear" w:color="auto" w:fill="F2F2F2"/>
            <w:vAlign w:val="bottom"/>
          </w:tcPr>
          <w:p w:rsidRPr="00FF02F8" w:rsidR="00B92AB3" w:rsidP="00FF02F8" w:rsidRDefault="0066179A" w14:paraId="495DACC7" w14:textId="03D29B72">
            <w:pPr>
              <w:spacing w:after="0" w:line="240" w:lineRule="auto"/>
              <w:jc w:val="right"/>
              <w:rPr>
                <w:rFonts w:cs="Calibri"/>
                <w:sz w:val="18"/>
                <w:szCs w:val="18"/>
              </w:rPr>
            </w:pPr>
            <w:r>
              <w:rPr>
                <w:rFonts w:cs="Calibri"/>
                <w:sz w:val="18"/>
                <w:szCs w:val="18"/>
              </w:rPr>
              <w:t>588.00</w:t>
            </w:r>
          </w:p>
        </w:tc>
        <w:tc>
          <w:tcPr>
            <w:tcW w:w="1274" w:type="dxa"/>
            <w:shd w:val="clear" w:color="auto" w:fill="F2F2F2"/>
            <w:vAlign w:val="bottom"/>
          </w:tcPr>
          <w:p w:rsidRPr="00FF02F8" w:rsidR="00B92AB3" w:rsidP="00FF02F8" w:rsidRDefault="001D31C7" w14:paraId="29BA3685" w14:textId="46A4E3D8">
            <w:pPr>
              <w:spacing w:after="0" w:line="240" w:lineRule="auto"/>
              <w:jc w:val="right"/>
              <w:rPr>
                <w:rFonts w:cs="Calibri"/>
                <w:sz w:val="18"/>
                <w:szCs w:val="18"/>
              </w:rPr>
            </w:pPr>
            <w:r w:rsidRPr="00FF02F8">
              <w:rPr>
                <w:rFonts w:cs="Calibri"/>
                <w:sz w:val="18"/>
                <w:szCs w:val="18"/>
              </w:rPr>
              <w:t>$20</w:t>
            </w:r>
            <w:r w:rsidRPr="00FF02F8" w:rsidR="00F20DA7">
              <w:rPr>
                <w:rFonts w:cs="Calibri"/>
                <w:sz w:val="18"/>
                <w:szCs w:val="18"/>
              </w:rPr>
              <w:t>.00</w:t>
            </w:r>
          </w:p>
        </w:tc>
        <w:tc>
          <w:tcPr>
            <w:tcW w:w="1361" w:type="dxa"/>
            <w:shd w:val="clear" w:color="auto" w:fill="F2F2F2"/>
            <w:vAlign w:val="bottom"/>
          </w:tcPr>
          <w:p w:rsidRPr="00FF02F8" w:rsidR="00B92AB3" w:rsidP="00FF02F8" w:rsidRDefault="006F5275" w14:paraId="67CA5931" w14:textId="5528804B">
            <w:pPr>
              <w:spacing w:after="0" w:line="240" w:lineRule="auto"/>
              <w:jc w:val="right"/>
              <w:rPr>
                <w:rFonts w:cs="Calibri"/>
                <w:sz w:val="18"/>
                <w:szCs w:val="18"/>
              </w:rPr>
            </w:pPr>
            <w:r w:rsidRPr="00FF02F8">
              <w:rPr>
                <w:rFonts w:cs="Calibri"/>
                <w:sz w:val="18"/>
                <w:szCs w:val="18"/>
              </w:rPr>
              <w:t>$</w:t>
            </w:r>
            <w:r w:rsidR="00820A98">
              <w:rPr>
                <w:rFonts w:cs="Calibri"/>
                <w:sz w:val="18"/>
                <w:szCs w:val="18"/>
              </w:rPr>
              <w:t>11,760</w:t>
            </w:r>
            <w:r w:rsidRPr="00FF02F8">
              <w:rPr>
                <w:rFonts w:cs="Calibri"/>
                <w:sz w:val="18"/>
                <w:szCs w:val="18"/>
              </w:rPr>
              <w:t>.00</w:t>
            </w:r>
          </w:p>
        </w:tc>
      </w:tr>
      <w:tr w:rsidRPr="00535484" w:rsidR="00FF02F8" w:rsidTr="00FF02F8" w14:paraId="1DAE8B2F" w14:textId="77777777">
        <w:tc>
          <w:tcPr>
            <w:tcW w:w="1268" w:type="dxa"/>
            <w:shd w:val="clear" w:color="auto" w:fill="auto"/>
            <w:vAlign w:val="center"/>
          </w:tcPr>
          <w:p w:rsidRPr="00FF02F8" w:rsidR="00B92AB3" w:rsidP="00FF02F8" w:rsidRDefault="00B92AB3" w14:paraId="7E46E3AB" w14:textId="4E276BED">
            <w:pPr>
              <w:spacing w:after="0" w:line="240" w:lineRule="auto"/>
              <w:jc w:val="right"/>
              <w:rPr>
                <w:rFonts w:cs="Calibri"/>
                <w:iCs/>
                <w:sz w:val="18"/>
                <w:szCs w:val="18"/>
              </w:rPr>
            </w:pPr>
            <w:r w:rsidRPr="00FF02F8">
              <w:rPr>
                <w:rFonts w:cs="Calibri"/>
                <w:iCs/>
                <w:sz w:val="18"/>
                <w:szCs w:val="18"/>
              </w:rPr>
              <w:t>HUD-27011 “</w:t>
            </w:r>
            <w:r w:rsidR="00820A98">
              <w:rPr>
                <w:rFonts w:cs="Calibri"/>
                <w:iCs/>
                <w:sz w:val="18"/>
                <w:szCs w:val="18"/>
              </w:rPr>
              <w:t>Single-Family Application</w:t>
            </w:r>
            <w:r w:rsidRPr="00FF02F8">
              <w:rPr>
                <w:rFonts w:cs="Calibri"/>
                <w:iCs/>
                <w:sz w:val="18"/>
                <w:szCs w:val="18"/>
              </w:rPr>
              <w:t xml:space="preserve"> for Insurance Benefits”</w:t>
            </w:r>
          </w:p>
        </w:tc>
        <w:tc>
          <w:tcPr>
            <w:tcW w:w="1194" w:type="dxa"/>
            <w:shd w:val="clear" w:color="auto" w:fill="auto"/>
            <w:vAlign w:val="bottom"/>
          </w:tcPr>
          <w:p w:rsidRPr="00FF02F8" w:rsidR="00B92AB3" w:rsidP="00FF02F8" w:rsidRDefault="00CD759D" w14:paraId="009918AD" w14:textId="61CFF2F2">
            <w:pPr>
              <w:spacing w:after="0" w:line="240" w:lineRule="auto"/>
              <w:jc w:val="right"/>
              <w:rPr>
                <w:rFonts w:cs="Calibri"/>
                <w:sz w:val="18"/>
                <w:szCs w:val="18"/>
              </w:rPr>
            </w:pPr>
            <w:r>
              <w:rPr>
                <w:rFonts w:cs="Calibri"/>
                <w:sz w:val="18"/>
                <w:szCs w:val="18"/>
              </w:rPr>
              <w:t>100</w:t>
            </w:r>
          </w:p>
        </w:tc>
        <w:tc>
          <w:tcPr>
            <w:tcW w:w="1160" w:type="dxa"/>
            <w:shd w:val="clear" w:color="auto" w:fill="auto"/>
            <w:vAlign w:val="bottom"/>
          </w:tcPr>
          <w:p w:rsidRPr="00FF02F8" w:rsidR="00B92AB3" w:rsidP="00FF02F8" w:rsidRDefault="00213BBC" w14:paraId="0C545A93" w14:textId="141772FE">
            <w:pPr>
              <w:spacing w:after="0" w:line="240" w:lineRule="auto"/>
              <w:jc w:val="right"/>
              <w:rPr>
                <w:rFonts w:cs="Calibri"/>
                <w:sz w:val="18"/>
                <w:szCs w:val="18"/>
              </w:rPr>
            </w:pPr>
            <w:r w:rsidRPr="00FF02F8">
              <w:rPr>
                <w:rFonts w:cs="Calibri"/>
                <w:sz w:val="18"/>
                <w:szCs w:val="18"/>
              </w:rPr>
              <w:t>2.</w:t>
            </w:r>
            <w:r w:rsidRPr="00FF02F8" w:rsidR="000F7B06">
              <w:rPr>
                <w:rFonts w:cs="Calibri"/>
                <w:sz w:val="18"/>
                <w:szCs w:val="18"/>
              </w:rPr>
              <w:t>94</w:t>
            </w:r>
          </w:p>
        </w:tc>
        <w:tc>
          <w:tcPr>
            <w:tcW w:w="1178" w:type="dxa"/>
            <w:shd w:val="clear" w:color="auto" w:fill="auto"/>
            <w:vAlign w:val="bottom"/>
          </w:tcPr>
          <w:p w:rsidRPr="00FF02F8" w:rsidR="00B92AB3" w:rsidP="00FF02F8" w:rsidRDefault="0066179A" w14:paraId="1B2375F3" w14:textId="2EF774BE">
            <w:pPr>
              <w:spacing w:after="0" w:line="240" w:lineRule="auto"/>
              <w:jc w:val="right"/>
              <w:rPr>
                <w:rFonts w:cs="Calibri"/>
                <w:sz w:val="18"/>
                <w:szCs w:val="18"/>
              </w:rPr>
            </w:pPr>
            <w:r>
              <w:rPr>
                <w:rFonts w:cs="Calibri"/>
                <w:sz w:val="18"/>
                <w:szCs w:val="18"/>
              </w:rPr>
              <w:t>294.00</w:t>
            </w:r>
          </w:p>
        </w:tc>
        <w:tc>
          <w:tcPr>
            <w:tcW w:w="1274" w:type="dxa"/>
            <w:shd w:val="clear" w:color="auto" w:fill="auto"/>
            <w:vAlign w:val="bottom"/>
          </w:tcPr>
          <w:p w:rsidRPr="00FF02F8" w:rsidR="00B92AB3" w:rsidP="00FF02F8" w:rsidRDefault="007B42E2" w14:paraId="3A70A144" w14:textId="05CC0A15">
            <w:pPr>
              <w:spacing w:after="0" w:line="240" w:lineRule="auto"/>
              <w:jc w:val="right"/>
              <w:rPr>
                <w:rFonts w:cs="Calibri"/>
                <w:sz w:val="18"/>
                <w:szCs w:val="18"/>
              </w:rPr>
            </w:pPr>
            <w:r w:rsidRPr="00FF02F8">
              <w:rPr>
                <w:rFonts w:cs="Calibri"/>
                <w:sz w:val="18"/>
                <w:szCs w:val="18"/>
              </w:rPr>
              <w:t>1.33</w:t>
            </w:r>
          </w:p>
        </w:tc>
        <w:tc>
          <w:tcPr>
            <w:tcW w:w="1209" w:type="dxa"/>
            <w:shd w:val="clear" w:color="auto" w:fill="auto"/>
            <w:vAlign w:val="bottom"/>
          </w:tcPr>
          <w:p w:rsidRPr="00FF02F8" w:rsidR="00B92AB3" w:rsidP="00FF02F8" w:rsidRDefault="00820A98" w14:paraId="0DE76F75" w14:textId="02E49491">
            <w:pPr>
              <w:spacing w:after="0" w:line="240" w:lineRule="auto"/>
              <w:jc w:val="right"/>
              <w:rPr>
                <w:rFonts w:cs="Calibri"/>
                <w:sz w:val="18"/>
                <w:szCs w:val="18"/>
              </w:rPr>
            </w:pPr>
            <w:r>
              <w:rPr>
                <w:rFonts w:cs="Calibri"/>
                <w:sz w:val="18"/>
                <w:szCs w:val="18"/>
              </w:rPr>
              <w:t>391.02</w:t>
            </w:r>
          </w:p>
        </w:tc>
        <w:tc>
          <w:tcPr>
            <w:tcW w:w="1274" w:type="dxa"/>
            <w:shd w:val="clear" w:color="auto" w:fill="auto"/>
            <w:vAlign w:val="bottom"/>
          </w:tcPr>
          <w:p w:rsidRPr="00FF02F8" w:rsidR="00B92AB3" w:rsidP="00FF02F8" w:rsidRDefault="00F20DA7" w14:paraId="02AB8AB6" w14:textId="67EFDA20">
            <w:pPr>
              <w:spacing w:after="0" w:line="240" w:lineRule="auto"/>
              <w:jc w:val="right"/>
              <w:rPr>
                <w:rFonts w:cs="Calibri"/>
                <w:sz w:val="18"/>
                <w:szCs w:val="18"/>
              </w:rPr>
            </w:pPr>
            <w:r w:rsidRPr="00FF02F8">
              <w:rPr>
                <w:rFonts w:cs="Calibri"/>
                <w:sz w:val="18"/>
                <w:szCs w:val="18"/>
              </w:rPr>
              <w:t>$20.00</w:t>
            </w:r>
          </w:p>
        </w:tc>
        <w:tc>
          <w:tcPr>
            <w:tcW w:w="1361" w:type="dxa"/>
            <w:shd w:val="clear" w:color="auto" w:fill="auto"/>
            <w:vAlign w:val="bottom"/>
          </w:tcPr>
          <w:p w:rsidRPr="00FF02F8" w:rsidR="00B92AB3" w:rsidP="00FF02F8" w:rsidRDefault="00B8175A" w14:paraId="09F52C3B" w14:textId="7B9CB0E4">
            <w:pPr>
              <w:spacing w:after="0" w:line="240" w:lineRule="auto"/>
              <w:jc w:val="right"/>
              <w:rPr>
                <w:rFonts w:cs="Calibri"/>
                <w:sz w:val="18"/>
                <w:szCs w:val="18"/>
              </w:rPr>
            </w:pPr>
            <w:r w:rsidRPr="00FF02F8">
              <w:rPr>
                <w:rFonts w:cs="Calibri"/>
                <w:sz w:val="18"/>
                <w:szCs w:val="18"/>
              </w:rPr>
              <w:t>$</w:t>
            </w:r>
            <w:r w:rsidR="00820A98">
              <w:rPr>
                <w:rFonts w:cs="Calibri"/>
                <w:sz w:val="18"/>
                <w:szCs w:val="18"/>
              </w:rPr>
              <w:t>7,820.40</w:t>
            </w:r>
          </w:p>
        </w:tc>
      </w:tr>
      <w:tr w:rsidRPr="00535484" w:rsidR="00FF02F8" w:rsidTr="00FF02F8" w14:paraId="2B8947CF" w14:textId="77777777">
        <w:tc>
          <w:tcPr>
            <w:tcW w:w="1268" w:type="dxa"/>
            <w:shd w:val="clear" w:color="auto" w:fill="auto"/>
            <w:vAlign w:val="center"/>
          </w:tcPr>
          <w:p w:rsidRPr="00FF02F8" w:rsidR="00B92AB3" w:rsidP="00FF02F8" w:rsidRDefault="00B92AB3" w14:paraId="3BEDBEA5" w14:textId="0AEB4933">
            <w:pPr>
              <w:spacing w:after="0" w:line="240" w:lineRule="auto"/>
              <w:rPr>
                <w:rFonts w:cs="Calibri"/>
                <w:b/>
                <w:iCs/>
                <w:sz w:val="18"/>
                <w:szCs w:val="18"/>
              </w:rPr>
            </w:pPr>
            <w:r w:rsidRPr="00FF02F8">
              <w:rPr>
                <w:rFonts w:cs="Calibri"/>
                <w:b/>
                <w:iCs/>
                <w:sz w:val="18"/>
                <w:szCs w:val="18"/>
              </w:rPr>
              <w:t>Totals</w:t>
            </w:r>
          </w:p>
        </w:tc>
        <w:tc>
          <w:tcPr>
            <w:tcW w:w="1194" w:type="dxa"/>
            <w:shd w:val="clear" w:color="auto" w:fill="auto"/>
            <w:vAlign w:val="bottom"/>
          </w:tcPr>
          <w:p w:rsidRPr="00FF02F8" w:rsidR="00B92AB3" w:rsidP="00FF02F8" w:rsidRDefault="00AB5BDD" w14:paraId="2AB794FD" w14:textId="1CE393AD">
            <w:pPr>
              <w:spacing w:after="0" w:line="240" w:lineRule="auto"/>
              <w:jc w:val="right"/>
              <w:rPr>
                <w:rFonts w:cs="Calibri"/>
                <w:b/>
                <w:sz w:val="18"/>
                <w:szCs w:val="18"/>
              </w:rPr>
            </w:pPr>
            <w:r>
              <w:rPr>
                <w:rFonts w:cs="Calibri"/>
                <w:b/>
                <w:sz w:val="18"/>
                <w:szCs w:val="18"/>
              </w:rPr>
              <w:t>440*</w:t>
            </w:r>
          </w:p>
        </w:tc>
        <w:tc>
          <w:tcPr>
            <w:tcW w:w="1160" w:type="dxa"/>
            <w:shd w:val="clear" w:color="auto" w:fill="auto"/>
            <w:vAlign w:val="bottom"/>
          </w:tcPr>
          <w:p w:rsidRPr="00FF02F8" w:rsidR="00B92AB3" w:rsidP="00FF02F8" w:rsidRDefault="00B92AB3" w14:paraId="5FDB679A" w14:textId="77777777">
            <w:pPr>
              <w:spacing w:after="0" w:line="240" w:lineRule="auto"/>
              <w:jc w:val="right"/>
              <w:rPr>
                <w:rFonts w:cs="Calibri"/>
                <w:b/>
                <w:sz w:val="18"/>
                <w:szCs w:val="18"/>
              </w:rPr>
            </w:pPr>
          </w:p>
        </w:tc>
        <w:tc>
          <w:tcPr>
            <w:tcW w:w="1178" w:type="dxa"/>
            <w:shd w:val="clear" w:color="auto" w:fill="auto"/>
            <w:vAlign w:val="bottom"/>
          </w:tcPr>
          <w:p w:rsidRPr="00FF02F8" w:rsidR="00B92AB3" w:rsidP="00FF02F8" w:rsidRDefault="00CF1C14" w14:paraId="7F2279E6" w14:textId="4268EEC9">
            <w:pPr>
              <w:spacing w:after="0" w:line="240" w:lineRule="auto"/>
              <w:jc w:val="right"/>
              <w:rPr>
                <w:rFonts w:cs="Calibri"/>
                <w:b/>
                <w:sz w:val="18"/>
                <w:szCs w:val="18"/>
              </w:rPr>
            </w:pPr>
            <w:r w:rsidRPr="00FF02F8">
              <w:rPr>
                <w:rFonts w:cs="Calibri"/>
                <w:b/>
                <w:sz w:val="18"/>
                <w:szCs w:val="18"/>
              </w:rPr>
              <w:t>1,</w:t>
            </w:r>
            <w:r w:rsidRPr="00FF02F8" w:rsidR="002E54DF">
              <w:rPr>
                <w:rFonts w:cs="Calibri"/>
                <w:b/>
                <w:sz w:val="18"/>
                <w:szCs w:val="18"/>
              </w:rPr>
              <w:t>1</w:t>
            </w:r>
            <w:r w:rsidR="00820A98">
              <w:rPr>
                <w:rFonts w:cs="Calibri"/>
                <w:b/>
                <w:sz w:val="18"/>
                <w:szCs w:val="18"/>
              </w:rPr>
              <w:t>25,455.80</w:t>
            </w:r>
          </w:p>
        </w:tc>
        <w:tc>
          <w:tcPr>
            <w:tcW w:w="1274" w:type="dxa"/>
            <w:shd w:val="clear" w:color="auto" w:fill="auto"/>
            <w:vAlign w:val="bottom"/>
          </w:tcPr>
          <w:p w:rsidRPr="00FF02F8" w:rsidR="00B92AB3" w:rsidP="00FF02F8" w:rsidRDefault="00B92AB3" w14:paraId="68AB6F87" w14:textId="77777777">
            <w:pPr>
              <w:spacing w:after="0" w:line="240" w:lineRule="auto"/>
              <w:jc w:val="right"/>
              <w:rPr>
                <w:rFonts w:cs="Calibri"/>
                <w:b/>
                <w:sz w:val="18"/>
                <w:szCs w:val="18"/>
              </w:rPr>
            </w:pPr>
          </w:p>
        </w:tc>
        <w:tc>
          <w:tcPr>
            <w:tcW w:w="1209" w:type="dxa"/>
            <w:shd w:val="clear" w:color="auto" w:fill="auto"/>
            <w:vAlign w:val="bottom"/>
          </w:tcPr>
          <w:p w:rsidRPr="00FF02F8" w:rsidR="00B92AB3" w:rsidP="00FF02F8" w:rsidRDefault="007D6D92" w14:paraId="13E27B5E" w14:textId="6F42512E">
            <w:pPr>
              <w:spacing w:after="0" w:line="240" w:lineRule="auto"/>
              <w:jc w:val="right"/>
              <w:rPr>
                <w:rFonts w:cs="Calibri"/>
                <w:b/>
                <w:sz w:val="18"/>
                <w:szCs w:val="18"/>
              </w:rPr>
            </w:pPr>
            <w:r w:rsidRPr="00FF02F8">
              <w:rPr>
                <w:rFonts w:cs="Calibri"/>
                <w:b/>
                <w:sz w:val="18"/>
                <w:szCs w:val="18"/>
              </w:rPr>
              <w:t>9</w:t>
            </w:r>
            <w:r w:rsidRPr="00FF02F8" w:rsidR="00154FCE">
              <w:rPr>
                <w:rFonts w:cs="Calibri"/>
                <w:b/>
                <w:sz w:val="18"/>
                <w:szCs w:val="18"/>
              </w:rPr>
              <w:t>33,</w:t>
            </w:r>
            <w:r w:rsidR="00820A98">
              <w:rPr>
                <w:rFonts w:cs="Calibri"/>
                <w:b/>
                <w:sz w:val="18"/>
                <w:szCs w:val="18"/>
              </w:rPr>
              <w:t>416.19</w:t>
            </w:r>
          </w:p>
        </w:tc>
        <w:tc>
          <w:tcPr>
            <w:tcW w:w="1274" w:type="dxa"/>
            <w:shd w:val="clear" w:color="auto" w:fill="auto"/>
            <w:vAlign w:val="bottom"/>
          </w:tcPr>
          <w:p w:rsidRPr="00FF02F8" w:rsidR="00B92AB3" w:rsidP="00FF02F8" w:rsidRDefault="00B92AB3" w14:paraId="72A37925" w14:textId="77777777">
            <w:pPr>
              <w:spacing w:after="0" w:line="240" w:lineRule="auto"/>
              <w:jc w:val="right"/>
              <w:rPr>
                <w:rFonts w:cs="Calibri"/>
                <w:b/>
                <w:sz w:val="18"/>
                <w:szCs w:val="18"/>
              </w:rPr>
            </w:pPr>
          </w:p>
        </w:tc>
        <w:tc>
          <w:tcPr>
            <w:tcW w:w="1361" w:type="dxa"/>
            <w:shd w:val="clear" w:color="auto" w:fill="auto"/>
            <w:vAlign w:val="bottom"/>
          </w:tcPr>
          <w:p w:rsidRPr="00FF02F8" w:rsidR="00B92AB3" w:rsidP="00FF02F8" w:rsidRDefault="005D26B9" w14:paraId="046B82E5" w14:textId="7EC296B7">
            <w:pPr>
              <w:spacing w:after="0" w:line="240" w:lineRule="auto"/>
              <w:jc w:val="right"/>
              <w:rPr>
                <w:rFonts w:cs="Calibri"/>
                <w:b/>
                <w:sz w:val="18"/>
                <w:szCs w:val="18"/>
              </w:rPr>
            </w:pPr>
            <w:r w:rsidRPr="00FF02F8">
              <w:rPr>
                <w:rFonts w:cs="Calibri"/>
                <w:b/>
                <w:sz w:val="18"/>
                <w:szCs w:val="18"/>
              </w:rPr>
              <w:t>$1</w:t>
            </w:r>
            <w:r w:rsidRPr="00FF02F8" w:rsidR="00B22806">
              <w:rPr>
                <w:rFonts w:cs="Calibri"/>
                <w:b/>
                <w:sz w:val="18"/>
                <w:szCs w:val="18"/>
              </w:rPr>
              <w:t>8,66</w:t>
            </w:r>
            <w:r w:rsidR="00820A98">
              <w:rPr>
                <w:rFonts w:cs="Calibri"/>
                <w:b/>
                <w:sz w:val="18"/>
                <w:szCs w:val="18"/>
              </w:rPr>
              <w:t>8,323.76</w:t>
            </w:r>
          </w:p>
        </w:tc>
      </w:tr>
    </w:tbl>
    <w:p w:rsidR="006207EB" w:rsidP="006207EB" w:rsidRDefault="006207EB" w14:paraId="6BBD4484" w14:textId="61A516E8">
      <w:pPr>
        <w:rPr>
          <w:rFonts w:ascii="Times New Roman" w:hAnsi="Times New Roman"/>
          <w:sz w:val="20"/>
          <w:szCs w:val="20"/>
        </w:rPr>
      </w:pPr>
      <w:r w:rsidRPr="006E12AC">
        <w:rPr>
          <w:rFonts w:ascii="Times New Roman" w:hAnsi="Times New Roman"/>
          <w:sz w:val="20"/>
          <w:szCs w:val="20"/>
        </w:rPr>
        <w:t xml:space="preserve">Average hourly wage rate based for </w:t>
      </w:r>
      <w:r>
        <w:rPr>
          <w:rFonts w:ascii="Times New Roman" w:hAnsi="Times New Roman"/>
          <w:sz w:val="20"/>
          <w:szCs w:val="20"/>
        </w:rPr>
        <w:t>mortgage loan clerk</w:t>
      </w:r>
      <w:r w:rsidRPr="006E12AC">
        <w:rPr>
          <w:rFonts w:ascii="Times New Roman" w:hAnsi="Times New Roman"/>
          <w:sz w:val="20"/>
          <w:szCs w:val="20"/>
        </w:rPr>
        <w:t xml:space="preserve"> of the U.S. Department of Labor, Bureau of Labor Statistics website </w:t>
      </w:r>
      <w:hyperlink w:history="1" r:id="rId11">
        <w:r w:rsidRPr="006E12AC">
          <w:rPr>
            <w:rStyle w:val="Hyperlink"/>
            <w:rFonts w:ascii="Times New Roman" w:hAnsi="Times New Roman"/>
            <w:sz w:val="20"/>
            <w:szCs w:val="20"/>
          </w:rPr>
          <w:t>https://www.bls.gov/oes/current/oes_nat.htm</w:t>
        </w:r>
      </w:hyperlink>
      <w:r w:rsidRPr="006E12AC">
        <w:rPr>
          <w:rFonts w:ascii="Times New Roman" w:hAnsi="Times New Roman"/>
          <w:sz w:val="20"/>
          <w:szCs w:val="20"/>
        </w:rPr>
        <w:t xml:space="preserve"> </w:t>
      </w:r>
      <w:r>
        <w:rPr>
          <w:rFonts w:ascii="Times New Roman" w:hAnsi="Times New Roman"/>
          <w:sz w:val="20"/>
          <w:szCs w:val="20"/>
        </w:rPr>
        <w:t>at</w:t>
      </w:r>
      <w:r w:rsidRPr="006E12AC">
        <w:rPr>
          <w:rFonts w:ascii="Times New Roman" w:hAnsi="Times New Roman"/>
          <w:sz w:val="20"/>
          <w:szCs w:val="20"/>
        </w:rPr>
        <w:t xml:space="preserve"> approximately $</w:t>
      </w:r>
      <w:r>
        <w:rPr>
          <w:rFonts w:ascii="Times New Roman" w:hAnsi="Times New Roman"/>
          <w:sz w:val="20"/>
          <w:szCs w:val="20"/>
        </w:rPr>
        <w:t>40,610</w:t>
      </w:r>
      <w:r w:rsidRPr="006E12AC">
        <w:rPr>
          <w:rFonts w:ascii="Times New Roman" w:hAnsi="Times New Roman"/>
          <w:sz w:val="20"/>
          <w:szCs w:val="20"/>
        </w:rPr>
        <w:t xml:space="preserve"> annually.</w:t>
      </w:r>
    </w:p>
    <w:p w:rsidRPr="006E12AC" w:rsidR="00AB5BDD" w:rsidP="006207EB" w:rsidRDefault="00AB5BDD" w14:paraId="156CB1ED" w14:textId="584CA3F3">
      <w:pPr>
        <w:rPr>
          <w:rFonts w:ascii="Times New Roman" w:hAnsi="Times New Roman"/>
          <w:sz w:val="20"/>
          <w:szCs w:val="20"/>
        </w:rPr>
      </w:pPr>
      <w:r>
        <w:rPr>
          <w:rFonts w:ascii="Times New Roman" w:hAnsi="Times New Roman"/>
          <w:sz w:val="20"/>
          <w:szCs w:val="20"/>
        </w:rPr>
        <w:t xml:space="preserve">* There are 440 </w:t>
      </w:r>
      <w:r w:rsidR="00946ACF">
        <w:rPr>
          <w:rFonts w:ascii="Times New Roman" w:hAnsi="Times New Roman"/>
          <w:sz w:val="20"/>
          <w:szCs w:val="20"/>
        </w:rPr>
        <w:t>respondents for this information collection.</w:t>
      </w:r>
    </w:p>
    <w:p w:rsidRPr="00946ACF" w:rsidR="00075224" w:rsidP="00075224" w:rsidRDefault="00075224" w14:paraId="3648EEB2" w14:textId="0A193F11">
      <w:pPr>
        <w:rPr>
          <w:rFonts w:ascii="Times New Roman" w:hAnsi="Times New Roman"/>
          <w:b/>
          <w:bCs/>
          <w:sz w:val="24"/>
          <w:szCs w:val="24"/>
        </w:rPr>
      </w:pPr>
      <w:r w:rsidRPr="00575D07">
        <w:rPr>
          <w:rFonts w:ascii="Times New Roman" w:hAnsi="Times New Roman"/>
          <w:sz w:val="24"/>
          <w:szCs w:val="24"/>
        </w:rPr>
        <w:t xml:space="preserve">13. </w:t>
      </w:r>
      <w:r w:rsidRPr="00946ACF">
        <w:rPr>
          <w:rFonts w:ascii="Times New Roman" w:hAnsi="Times New Roman"/>
          <w:b/>
          <w:bCs/>
          <w:sz w:val="24"/>
          <w:szCs w:val="24"/>
        </w:rPr>
        <w:t>Provide an estimate for the total annual cost burden to respondents or recordkeepers resulting from the collection of information. (Do not include the cost of any hour burden shown in Items 12 and 14</w:t>
      </w:r>
      <w:r w:rsidRPr="00946ACF" w:rsidR="007416E8">
        <w:rPr>
          <w:rFonts w:ascii="Times New Roman" w:hAnsi="Times New Roman"/>
          <w:b/>
          <w:bCs/>
          <w:sz w:val="24"/>
          <w:szCs w:val="24"/>
        </w:rPr>
        <w:t xml:space="preserve"> of OMB Form 83-I</w:t>
      </w:r>
      <w:r w:rsidRPr="00946ACF">
        <w:rPr>
          <w:rFonts w:ascii="Times New Roman" w:hAnsi="Times New Roman"/>
          <w:b/>
          <w:bCs/>
          <w:sz w:val="24"/>
          <w:szCs w:val="24"/>
        </w:rPr>
        <w:t xml:space="preserve">). </w:t>
      </w:r>
    </w:p>
    <w:p w:rsidRPr="00946ACF" w:rsidR="00075224" w:rsidP="00075224" w:rsidRDefault="00075224" w14:paraId="26F9F670" w14:textId="4B73C9C8">
      <w:pPr>
        <w:rPr>
          <w:rFonts w:ascii="Times New Roman" w:hAnsi="Times New Roman"/>
          <w:b/>
          <w:bCs/>
          <w:sz w:val="24"/>
          <w:szCs w:val="24"/>
        </w:rPr>
      </w:pPr>
      <w:r w:rsidRPr="00946ACF">
        <w:rPr>
          <w:rFonts w:ascii="Times New Roman" w:hAnsi="Times New Roman"/>
          <w:b/>
          <w:bCs/>
          <w:sz w:val="24"/>
          <w:szCs w:val="24"/>
        </w:rPr>
        <w:t>* The cost estimate should be split into two components: (a) a total capital and start-up cost component (annualized over its expected useful life) and (b) a total operation</w:t>
      </w:r>
      <w:r w:rsidRPr="00946ACF" w:rsidR="007416E8">
        <w:rPr>
          <w:rFonts w:ascii="Times New Roman" w:hAnsi="Times New Roman"/>
          <w:b/>
          <w:bCs/>
          <w:sz w:val="24"/>
          <w:szCs w:val="24"/>
        </w:rPr>
        <w:t>,</w:t>
      </w:r>
      <w:r w:rsidRPr="00946ACF">
        <w:rPr>
          <w:rFonts w:ascii="Times New Roman" w:hAnsi="Times New Roman"/>
          <w:b/>
          <w:bCs/>
          <w:sz w:val="24"/>
          <w:szCs w:val="24"/>
        </w:rPr>
        <w:t xml:space="preserve"> maintenance</w:t>
      </w:r>
      <w:r w:rsidRPr="00946ACF" w:rsidR="00013302">
        <w:rPr>
          <w:rFonts w:ascii="Times New Roman" w:hAnsi="Times New Roman"/>
          <w:b/>
          <w:bCs/>
          <w:sz w:val="24"/>
          <w:szCs w:val="24"/>
        </w:rPr>
        <w:t>,</w:t>
      </w:r>
      <w:r w:rsidRPr="00946ACF">
        <w:rPr>
          <w:rFonts w:ascii="Times New Roman" w:hAnsi="Times New Roman"/>
          <w:b/>
          <w:bCs/>
          <w:sz w:val="24"/>
          <w:szCs w:val="24"/>
        </w:rPr>
        <w:t xml:space="preserve"> and purchase of services component. The estimates should </w:t>
      </w:r>
      <w:r w:rsidRPr="00946ACF" w:rsidR="007416E8">
        <w:rPr>
          <w:rFonts w:ascii="Times New Roman" w:hAnsi="Times New Roman"/>
          <w:b/>
          <w:bCs/>
          <w:sz w:val="24"/>
          <w:szCs w:val="24"/>
        </w:rPr>
        <w:t>consider</w:t>
      </w:r>
      <w:r w:rsidRPr="00946ACF">
        <w:rPr>
          <w:rFonts w:ascii="Times New Roman" w:hAnsi="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46ACF">
        <w:rPr>
          <w:rFonts w:ascii="Times New Roman" w:hAnsi="Times New Roman"/>
          <w:b/>
          <w:bCs/>
          <w:sz w:val="24"/>
          <w:szCs w:val="24"/>
        </w:rPr>
        <w:t>time period</w:t>
      </w:r>
      <w:proofErr w:type="gramEnd"/>
      <w:r w:rsidRPr="00946ACF">
        <w:rPr>
          <w:rFonts w:ascii="Times New Roman" w:hAnsi="Times New Roman"/>
          <w:b/>
          <w:bCs/>
          <w:sz w:val="24"/>
          <w:szCs w:val="24"/>
        </w:rPr>
        <w:t xml:space="preserve"> over which costs will be incurred. Capital and start-up costs include, among other items, preparations for collecting information such as purchasing computers and software; monitoring, sampling, drilling</w:t>
      </w:r>
      <w:r w:rsidRPr="00946ACF" w:rsidR="00013302">
        <w:rPr>
          <w:rFonts w:ascii="Times New Roman" w:hAnsi="Times New Roman"/>
          <w:b/>
          <w:bCs/>
          <w:sz w:val="24"/>
          <w:szCs w:val="24"/>
        </w:rPr>
        <w:t>,</w:t>
      </w:r>
      <w:r w:rsidRPr="00946ACF">
        <w:rPr>
          <w:rFonts w:ascii="Times New Roman" w:hAnsi="Times New Roman"/>
          <w:b/>
          <w:bCs/>
          <w:sz w:val="24"/>
          <w:szCs w:val="24"/>
        </w:rPr>
        <w:t xml:space="preserve"> and testing equipment; and record storage facilities. </w:t>
      </w:r>
    </w:p>
    <w:p w:rsidRPr="00946ACF" w:rsidR="00075224" w:rsidP="00075224" w:rsidRDefault="00075224" w14:paraId="5E6FDD02" w14:textId="3410D28D">
      <w:pPr>
        <w:rPr>
          <w:rFonts w:ascii="Times New Roman" w:hAnsi="Times New Roman"/>
          <w:b/>
          <w:bCs/>
          <w:sz w:val="24"/>
          <w:szCs w:val="24"/>
        </w:rPr>
      </w:pPr>
      <w:r w:rsidRPr="00946ACF">
        <w:rPr>
          <w:rFonts w:ascii="Times New Roman" w:hAnsi="Times New Roman"/>
          <w:b/>
          <w:bCs/>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Pr="00946ACF" w:rsidR="00013302">
        <w:rPr>
          <w:rFonts w:ascii="Times New Roman" w:hAnsi="Times New Roman"/>
          <w:b/>
          <w:bCs/>
          <w:sz w:val="24"/>
          <w:szCs w:val="24"/>
        </w:rPr>
        <w:t>,</w:t>
      </w:r>
      <w:r w:rsidRPr="00946ACF">
        <w:rPr>
          <w:rFonts w:ascii="Times New Roman" w:hAnsi="Times New Roman"/>
          <w:b/>
          <w:bCs/>
          <w:sz w:val="24"/>
          <w:szCs w:val="24"/>
        </w:rPr>
        <w:t xml:space="preserve"> and use existing economic or regulatory impact analysis associated with the rulemaking containing the information collection, as appropriate. </w:t>
      </w:r>
    </w:p>
    <w:p w:rsidRPr="00946ACF" w:rsidR="00075224" w:rsidP="00075224" w:rsidRDefault="00075224" w14:paraId="047E8A05" w14:textId="7AB5B7FA">
      <w:pPr>
        <w:rPr>
          <w:rFonts w:ascii="Times New Roman" w:hAnsi="Times New Roman"/>
          <w:b/>
          <w:bCs/>
          <w:sz w:val="24"/>
          <w:szCs w:val="24"/>
        </w:rPr>
      </w:pPr>
      <w:r w:rsidRPr="00946ACF">
        <w:rPr>
          <w:rFonts w:ascii="Times New Roman" w:hAnsi="Times New Roman"/>
          <w:b/>
          <w:bCs/>
          <w:sz w:val="24"/>
          <w:szCs w:val="24"/>
        </w:rPr>
        <w:lastRenderedPageBreak/>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575D07" w:rsidR="00BC0A0B" w:rsidP="00075224" w:rsidRDefault="00D3609C" w14:paraId="285FE4D6" w14:textId="1C6EE9C7">
      <w:pPr>
        <w:rPr>
          <w:rFonts w:ascii="Times New Roman" w:hAnsi="Times New Roman"/>
          <w:sz w:val="24"/>
          <w:szCs w:val="24"/>
        </w:rPr>
      </w:pPr>
      <w:r w:rsidRPr="006E12AC">
        <w:rPr>
          <w:rFonts w:ascii="Times New Roman" w:hAnsi="Times New Roman"/>
          <w:sz w:val="24"/>
          <w:szCs w:val="24"/>
        </w:rPr>
        <w:t>There are no additional costs to the respondents.</w:t>
      </w:r>
    </w:p>
    <w:p w:rsidR="00075224" w:rsidP="00075224" w:rsidRDefault="00075224" w14:paraId="058191B3" w14:textId="73EDC33F">
      <w:pPr>
        <w:rPr>
          <w:rFonts w:ascii="Times New Roman" w:hAnsi="Times New Roman"/>
          <w:sz w:val="24"/>
          <w:szCs w:val="24"/>
        </w:rPr>
      </w:pPr>
      <w:r w:rsidRPr="00575D07">
        <w:rPr>
          <w:rFonts w:ascii="Times New Roman" w:hAnsi="Times New Roman"/>
          <w:sz w:val="24"/>
          <w:szCs w:val="24"/>
        </w:rPr>
        <w:t xml:space="preserve">14. Provide estimates of annualized costs to the </w:t>
      </w:r>
      <w:r w:rsidR="00013302">
        <w:rPr>
          <w:rFonts w:ascii="Times New Roman" w:hAnsi="Times New Roman"/>
          <w:sz w:val="24"/>
          <w:szCs w:val="24"/>
        </w:rPr>
        <w:t>f</w:t>
      </w:r>
      <w:r w:rsidRPr="00575D07">
        <w:rPr>
          <w:rFonts w:ascii="Times New Roman" w:hAnsi="Times New Roman"/>
          <w:sz w:val="24"/>
          <w:szCs w:val="24"/>
        </w:rPr>
        <w:t xml:space="preserve">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w:t>
      </w:r>
      <w:r w:rsidR="007416E8">
        <w:rPr>
          <w:rFonts w:ascii="Times New Roman" w:hAnsi="Times New Roman"/>
          <w:sz w:val="24"/>
          <w:szCs w:val="24"/>
        </w:rPr>
        <w:t xml:space="preserve">of the OMB Form 83-I </w:t>
      </w:r>
      <w:r w:rsidRPr="00575D07">
        <w:rPr>
          <w:rFonts w:ascii="Times New Roman" w:hAnsi="Times New Roman"/>
          <w:sz w:val="24"/>
          <w:szCs w:val="24"/>
        </w:rPr>
        <w:t xml:space="preserve">in a single table. </w:t>
      </w:r>
    </w:p>
    <w:tbl>
      <w:tblPr>
        <w:tblW w:w="963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30"/>
        <w:gridCol w:w="1252"/>
        <w:gridCol w:w="1448"/>
        <w:gridCol w:w="1350"/>
        <w:gridCol w:w="1080"/>
        <w:gridCol w:w="1170"/>
      </w:tblGrid>
      <w:tr w:rsidR="002A491E" w:rsidTr="00946ACF" w14:paraId="4A86A6E5" w14:textId="77777777">
        <w:tc>
          <w:tcPr>
            <w:tcW w:w="3330" w:type="dxa"/>
            <w:vAlign w:val="center"/>
          </w:tcPr>
          <w:p w:rsidR="002A491E" w:rsidP="00762154" w:rsidRDefault="002A491E" w14:paraId="385F8591" w14:textId="77777777">
            <w:pPr>
              <w:spacing w:after="0" w:line="240" w:lineRule="auto"/>
              <w:jc w:val="center"/>
              <w:rPr>
                <w:b/>
                <w:bCs/>
                <w:color w:val="000000"/>
                <w:sz w:val="18"/>
              </w:rPr>
            </w:pPr>
            <w:r>
              <w:rPr>
                <w:b/>
                <w:bCs/>
                <w:color w:val="000000"/>
                <w:sz w:val="18"/>
              </w:rPr>
              <w:t>Information Collection</w:t>
            </w:r>
          </w:p>
        </w:tc>
        <w:tc>
          <w:tcPr>
            <w:tcW w:w="1252" w:type="dxa"/>
            <w:vAlign w:val="center"/>
          </w:tcPr>
          <w:p w:rsidR="002A491E" w:rsidP="00762154" w:rsidRDefault="002A491E" w14:paraId="4393CCF0" w14:textId="77777777">
            <w:pPr>
              <w:spacing w:after="0" w:line="240" w:lineRule="auto"/>
              <w:jc w:val="center"/>
              <w:rPr>
                <w:b/>
                <w:bCs/>
                <w:color w:val="000000"/>
                <w:sz w:val="18"/>
              </w:rPr>
            </w:pPr>
            <w:r>
              <w:rPr>
                <w:b/>
                <w:bCs/>
                <w:color w:val="000000"/>
                <w:sz w:val="18"/>
              </w:rPr>
              <w:t>Responses Per Annum</w:t>
            </w:r>
          </w:p>
        </w:tc>
        <w:tc>
          <w:tcPr>
            <w:tcW w:w="1448" w:type="dxa"/>
            <w:vAlign w:val="center"/>
          </w:tcPr>
          <w:p w:rsidR="002A491E" w:rsidP="00762154" w:rsidRDefault="002A491E" w14:paraId="1829F50C" w14:textId="77777777">
            <w:pPr>
              <w:spacing w:after="0" w:line="240" w:lineRule="auto"/>
              <w:jc w:val="center"/>
              <w:rPr>
                <w:b/>
                <w:bCs/>
                <w:color w:val="000000"/>
                <w:sz w:val="18"/>
              </w:rPr>
            </w:pPr>
            <w:r>
              <w:rPr>
                <w:b/>
                <w:bCs/>
                <w:color w:val="000000"/>
                <w:sz w:val="18"/>
              </w:rPr>
              <w:t>Burden Hour Per Response</w:t>
            </w:r>
          </w:p>
        </w:tc>
        <w:tc>
          <w:tcPr>
            <w:tcW w:w="1350" w:type="dxa"/>
            <w:vAlign w:val="center"/>
          </w:tcPr>
          <w:p w:rsidR="002A491E" w:rsidP="00762154" w:rsidRDefault="002A491E" w14:paraId="1CAA8961" w14:textId="77777777">
            <w:pPr>
              <w:spacing w:after="0" w:line="240" w:lineRule="auto"/>
              <w:jc w:val="center"/>
              <w:rPr>
                <w:b/>
                <w:bCs/>
                <w:color w:val="000000"/>
                <w:sz w:val="18"/>
              </w:rPr>
            </w:pPr>
            <w:r>
              <w:rPr>
                <w:b/>
                <w:bCs/>
                <w:color w:val="000000"/>
                <w:sz w:val="18"/>
              </w:rPr>
              <w:t>Annual Burden Hours</w:t>
            </w:r>
          </w:p>
        </w:tc>
        <w:tc>
          <w:tcPr>
            <w:tcW w:w="1080" w:type="dxa"/>
            <w:vAlign w:val="center"/>
          </w:tcPr>
          <w:p w:rsidR="002A491E" w:rsidP="00762154" w:rsidRDefault="002A491E" w14:paraId="556514AB" w14:textId="77777777">
            <w:pPr>
              <w:spacing w:after="0" w:line="240" w:lineRule="auto"/>
              <w:jc w:val="center"/>
              <w:rPr>
                <w:b/>
                <w:bCs/>
                <w:color w:val="000000"/>
                <w:sz w:val="18"/>
              </w:rPr>
            </w:pPr>
            <w:r>
              <w:rPr>
                <w:b/>
                <w:bCs/>
                <w:color w:val="000000"/>
                <w:sz w:val="18"/>
              </w:rPr>
              <w:t>Hourly Cost</w:t>
            </w:r>
          </w:p>
        </w:tc>
        <w:tc>
          <w:tcPr>
            <w:tcW w:w="1170" w:type="dxa"/>
            <w:vAlign w:val="center"/>
          </w:tcPr>
          <w:p w:rsidR="002A491E" w:rsidP="00762154" w:rsidRDefault="002A491E" w14:paraId="21D6DA6F" w14:textId="77777777">
            <w:pPr>
              <w:spacing w:after="0" w:line="240" w:lineRule="auto"/>
              <w:jc w:val="center"/>
              <w:rPr>
                <w:b/>
                <w:bCs/>
                <w:color w:val="000000"/>
                <w:sz w:val="18"/>
              </w:rPr>
            </w:pPr>
            <w:r>
              <w:rPr>
                <w:b/>
                <w:bCs/>
                <w:color w:val="000000"/>
                <w:sz w:val="18"/>
              </w:rPr>
              <w:t>Annual Cost</w:t>
            </w:r>
          </w:p>
        </w:tc>
      </w:tr>
      <w:tr w:rsidR="002A491E" w:rsidTr="00946ACF" w14:paraId="64CDC72E" w14:textId="77777777">
        <w:trPr>
          <w:trHeight w:val="167"/>
        </w:trPr>
        <w:tc>
          <w:tcPr>
            <w:tcW w:w="3330" w:type="dxa"/>
            <w:shd w:val="clear" w:color="auto" w:fill="E0E0E0"/>
          </w:tcPr>
          <w:p w:rsidR="002A491E" w:rsidP="00762154" w:rsidRDefault="002A491E" w14:paraId="2ABD7F7A" w14:textId="77777777">
            <w:pPr>
              <w:spacing w:after="0" w:line="240" w:lineRule="auto"/>
              <w:rPr>
                <w:rFonts w:ascii="Arial" w:hAnsi="Arial" w:cs="Arial"/>
                <w:b/>
                <w:bCs/>
                <w:color w:val="000000"/>
                <w:sz w:val="18"/>
              </w:rPr>
            </w:pPr>
            <w:r>
              <w:rPr>
                <w:b/>
                <w:bCs/>
              </w:rPr>
              <w:t>Unoccupied Conveyance</w:t>
            </w:r>
          </w:p>
        </w:tc>
        <w:tc>
          <w:tcPr>
            <w:tcW w:w="1252" w:type="dxa"/>
            <w:shd w:val="clear" w:color="auto" w:fill="E0E0E0"/>
          </w:tcPr>
          <w:p w:rsidR="002A491E" w:rsidP="00762154" w:rsidRDefault="002A491E" w14:paraId="42D02E75" w14:textId="77777777">
            <w:pPr>
              <w:spacing w:after="0" w:line="240" w:lineRule="auto"/>
              <w:jc w:val="center"/>
              <w:rPr>
                <w:color w:val="000000"/>
                <w:sz w:val="18"/>
              </w:rPr>
            </w:pPr>
          </w:p>
        </w:tc>
        <w:tc>
          <w:tcPr>
            <w:tcW w:w="1448" w:type="dxa"/>
            <w:shd w:val="clear" w:color="auto" w:fill="E0E0E0"/>
          </w:tcPr>
          <w:p w:rsidR="002A491E" w:rsidP="00762154" w:rsidRDefault="002A491E" w14:paraId="47930EC1" w14:textId="77777777">
            <w:pPr>
              <w:spacing w:after="0" w:line="240" w:lineRule="auto"/>
              <w:rPr>
                <w:color w:val="000000"/>
                <w:sz w:val="18"/>
              </w:rPr>
            </w:pPr>
          </w:p>
        </w:tc>
        <w:tc>
          <w:tcPr>
            <w:tcW w:w="1350" w:type="dxa"/>
            <w:shd w:val="clear" w:color="auto" w:fill="E0E0E0"/>
          </w:tcPr>
          <w:p w:rsidR="002A491E" w:rsidP="00762154" w:rsidRDefault="002A491E" w14:paraId="6FA9CA31" w14:textId="77777777">
            <w:pPr>
              <w:spacing w:after="0" w:line="240" w:lineRule="auto"/>
              <w:rPr>
                <w:color w:val="000000"/>
                <w:sz w:val="18"/>
              </w:rPr>
            </w:pPr>
          </w:p>
        </w:tc>
        <w:tc>
          <w:tcPr>
            <w:tcW w:w="1080" w:type="dxa"/>
            <w:shd w:val="clear" w:color="auto" w:fill="E0E0E0"/>
          </w:tcPr>
          <w:p w:rsidR="002A491E" w:rsidP="00762154" w:rsidRDefault="002A491E" w14:paraId="5FBEAFF6" w14:textId="77777777">
            <w:pPr>
              <w:spacing w:after="0" w:line="240" w:lineRule="auto"/>
              <w:rPr>
                <w:color w:val="000000"/>
                <w:sz w:val="18"/>
              </w:rPr>
            </w:pPr>
          </w:p>
        </w:tc>
        <w:tc>
          <w:tcPr>
            <w:tcW w:w="1170" w:type="dxa"/>
            <w:shd w:val="clear" w:color="auto" w:fill="E0E0E0"/>
          </w:tcPr>
          <w:p w:rsidR="002A491E" w:rsidP="00762154" w:rsidRDefault="002A491E" w14:paraId="31715B71" w14:textId="77777777">
            <w:pPr>
              <w:spacing w:after="0" w:line="240" w:lineRule="auto"/>
              <w:rPr>
                <w:color w:val="000000"/>
                <w:sz w:val="18"/>
              </w:rPr>
            </w:pPr>
          </w:p>
        </w:tc>
      </w:tr>
      <w:tr w:rsidR="002A491E" w:rsidTr="00946ACF" w14:paraId="3B16ED76" w14:textId="77777777">
        <w:trPr>
          <w:trHeight w:val="167"/>
        </w:trPr>
        <w:tc>
          <w:tcPr>
            <w:tcW w:w="3330" w:type="dxa"/>
            <w:vAlign w:val="center"/>
          </w:tcPr>
          <w:p w:rsidR="002A491E" w:rsidP="00762154" w:rsidRDefault="002A491E" w14:paraId="455F1457" w14:textId="77777777">
            <w:pPr>
              <w:spacing w:after="0" w:line="240" w:lineRule="auto"/>
              <w:rPr>
                <w:sz w:val="18"/>
              </w:rPr>
            </w:pPr>
            <w:r>
              <w:rPr>
                <w:sz w:val="18"/>
              </w:rPr>
              <w:t>Conveyance of Damaged Property</w:t>
            </w:r>
          </w:p>
        </w:tc>
        <w:tc>
          <w:tcPr>
            <w:tcW w:w="1252" w:type="dxa"/>
            <w:tcBorders>
              <w:top w:val="nil"/>
              <w:left w:val="nil"/>
              <w:bottom w:val="single" w:color="auto" w:sz="8" w:space="0"/>
              <w:right w:val="single" w:color="auto" w:sz="8" w:space="0"/>
            </w:tcBorders>
            <w:shd w:val="clear" w:color="auto" w:fill="auto"/>
            <w:vAlign w:val="center"/>
          </w:tcPr>
          <w:p w:rsidR="002A491E" w:rsidP="00762154" w:rsidRDefault="002A491E" w14:paraId="6B9C2545" w14:textId="77777777">
            <w:pPr>
              <w:spacing w:after="0" w:line="240" w:lineRule="auto"/>
              <w:jc w:val="center"/>
              <w:rPr>
                <w:sz w:val="18"/>
              </w:rPr>
            </w:pPr>
            <w:r>
              <w:rPr>
                <w:rFonts w:cs="Calibri"/>
                <w:color w:val="000000"/>
                <w:sz w:val="18"/>
              </w:rPr>
              <w:t>3,250</w:t>
            </w:r>
          </w:p>
        </w:tc>
        <w:tc>
          <w:tcPr>
            <w:tcW w:w="1448" w:type="dxa"/>
            <w:tcBorders>
              <w:top w:val="nil"/>
              <w:left w:val="nil"/>
              <w:bottom w:val="single" w:color="auto" w:sz="8" w:space="0"/>
              <w:right w:val="single" w:color="auto" w:sz="8" w:space="0"/>
            </w:tcBorders>
            <w:shd w:val="clear" w:color="auto" w:fill="auto"/>
            <w:vAlign w:val="center"/>
          </w:tcPr>
          <w:p w:rsidR="002A491E" w:rsidP="00762154" w:rsidRDefault="002A491E" w14:paraId="604EB5D6" w14:textId="6144389B">
            <w:pPr>
              <w:spacing w:after="0" w:line="240" w:lineRule="auto"/>
              <w:jc w:val="center"/>
              <w:rPr>
                <w:color w:val="000000"/>
                <w:sz w:val="18"/>
              </w:rPr>
            </w:pPr>
            <w:r>
              <w:rPr>
                <w:rFonts w:cs="Calibri"/>
                <w:color w:val="000000"/>
                <w:sz w:val="18"/>
              </w:rPr>
              <w:t>1</w:t>
            </w:r>
            <w:r w:rsidR="00B2143F">
              <w:rPr>
                <w:rFonts w:cs="Calibri"/>
                <w:color w:val="000000"/>
                <w:sz w:val="18"/>
              </w:rPr>
              <w:t>.00</w:t>
            </w:r>
          </w:p>
        </w:tc>
        <w:tc>
          <w:tcPr>
            <w:tcW w:w="1350" w:type="dxa"/>
            <w:tcBorders>
              <w:top w:val="nil"/>
              <w:left w:val="nil"/>
              <w:bottom w:val="single" w:color="auto" w:sz="8" w:space="0"/>
              <w:right w:val="single" w:color="auto" w:sz="8" w:space="0"/>
            </w:tcBorders>
            <w:shd w:val="clear" w:color="auto" w:fill="auto"/>
            <w:vAlign w:val="center"/>
          </w:tcPr>
          <w:p w:rsidR="002A491E" w:rsidP="00762154" w:rsidRDefault="002A491E" w14:paraId="46A2B0A1" w14:textId="687C192A">
            <w:pPr>
              <w:spacing w:after="0" w:line="240" w:lineRule="auto"/>
              <w:jc w:val="center"/>
              <w:rPr>
                <w:color w:val="000000"/>
                <w:sz w:val="18"/>
              </w:rPr>
            </w:pPr>
            <w:r>
              <w:rPr>
                <w:rFonts w:cs="Calibri"/>
                <w:color w:val="000000"/>
                <w:sz w:val="18"/>
              </w:rPr>
              <w:t>3,250</w:t>
            </w:r>
            <w:r w:rsidR="00A2062A">
              <w:rPr>
                <w:rFonts w:cs="Calibri"/>
                <w:color w:val="000000"/>
                <w:sz w:val="18"/>
              </w:rPr>
              <w:t>.0</w:t>
            </w:r>
            <w:r w:rsidR="007A176A">
              <w:rPr>
                <w:rFonts w:cs="Calibri"/>
                <w:color w:val="000000"/>
                <w:sz w:val="18"/>
              </w:rPr>
              <w:t>0</w:t>
            </w:r>
          </w:p>
        </w:tc>
        <w:tc>
          <w:tcPr>
            <w:tcW w:w="1080" w:type="dxa"/>
            <w:tcBorders>
              <w:top w:val="nil"/>
              <w:left w:val="nil"/>
              <w:bottom w:val="single" w:color="auto" w:sz="8" w:space="0"/>
              <w:right w:val="single" w:color="auto" w:sz="8" w:space="0"/>
            </w:tcBorders>
            <w:shd w:val="clear" w:color="auto" w:fill="auto"/>
            <w:vAlign w:val="center"/>
          </w:tcPr>
          <w:p w:rsidR="002A491E" w:rsidP="00762154" w:rsidRDefault="002A491E" w14:paraId="6A5EDAD1" w14:textId="42A3D388">
            <w:pPr>
              <w:spacing w:after="0" w:line="240" w:lineRule="auto"/>
              <w:jc w:val="center"/>
              <w:rPr>
                <w:color w:val="000000"/>
                <w:sz w:val="18"/>
              </w:rPr>
            </w:pPr>
            <w:r>
              <w:rPr>
                <w:rFonts w:cs="Calibri"/>
                <w:color w:val="000000"/>
                <w:sz w:val="18"/>
              </w:rPr>
              <w:t>$</w:t>
            </w:r>
            <w:r w:rsidR="00927AEE">
              <w:rPr>
                <w:rFonts w:cs="Calibri"/>
                <w:color w:val="000000"/>
                <w:sz w:val="18"/>
              </w:rPr>
              <w:t>3</w:t>
            </w:r>
            <w:r w:rsidR="00007F3A">
              <w:rPr>
                <w:rFonts w:cs="Calibri"/>
                <w:color w:val="000000"/>
                <w:sz w:val="18"/>
              </w:rPr>
              <w:t>1</w:t>
            </w:r>
            <w:r w:rsidR="00927AEE">
              <w:rPr>
                <w:rFonts w:cs="Calibri"/>
                <w:color w:val="000000"/>
                <w:sz w:val="18"/>
              </w:rPr>
              <w:t>.</w:t>
            </w:r>
            <w:r w:rsidR="00007F3A">
              <w:rPr>
                <w:rFonts w:cs="Calibri"/>
                <w:color w:val="000000"/>
                <w:sz w:val="18"/>
              </w:rPr>
              <w:t>7</w:t>
            </w:r>
            <w:r w:rsidR="00927AEE">
              <w:rPr>
                <w:rFonts w:cs="Calibri"/>
                <w:color w:val="000000"/>
                <w:sz w:val="18"/>
              </w:rPr>
              <w:t>0</w:t>
            </w:r>
            <w:r>
              <w:rPr>
                <w:rFonts w:cs="Calibri"/>
                <w:color w:val="000000"/>
                <w:sz w:val="18"/>
              </w:rPr>
              <w:t xml:space="preserve"> </w:t>
            </w:r>
          </w:p>
        </w:tc>
        <w:tc>
          <w:tcPr>
            <w:tcW w:w="1170" w:type="dxa"/>
            <w:tcBorders>
              <w:top w:val="nil"/>
              <w:left w:val="nil"/>
              <w:bottom w:val="single" w:color="auto" w:sz="8" w:space="0"/>
              <w:right w:val="single" w:color="auto" w:sz="8" w:space="0"/>
            </w:tcBorders>
            <w:shd w:val="clear" w:color="auto" w:fill="auto"/>
            <w:vAlign w:val="center"/>
          </w:tcPr>
          <w:p w:rsidR="002A491E" w:rsidP="00762154" w:rsidRDefault="002A491E" w14:paraId="53FD64F5" w14:textId="3EE92340">
            <w:pPr>
              <w:spacing w:after="0" w:line="240" w:lineRule="auto"/>
              <w:jc w:val="right"/>
              <w:rPr>
                <w:color w:val="000000"/>
                <w:sz w:val="18"/>
              </w:rPr>
            </w:pPr>
            <w:r>
              <w:rPr>
                <w:rFonts w:cs="Calibri"/>
                <w:color w:val="000000"/>
                <w:sz w:val="18"/>
              </w:rPr>
              <w:t>$</w:t>
            </w:r>
            <w:r w:rsidR="00621C09">
              <w:rPr>
                <w:rFonts w:cs="Calibri"/>
                <w:color w:val="000000"/>
                <w:sz w:val="18"/>
              </w:rPr>
              <w:t>10</w:t>
            </w:r>
            <w:r w:rsidR="00007F3A">
              <w:rPr>
                <w:rFonts w:cs="Calibri"/>
                <w:color w:val="000000"/>
                <w:sz w:val="18"/>
              </w:rPr>
              <w:t>3,02</w:t>
            </w:r>
            <w:r w:rsidR="00621C09">
              <w:rPr>
                <w:rFonts w:cs="Calibri"/>
                <w:color w:val="000000"/>
                <w:sz w:val="18"/>
              </w:rPr>
              <w:t>5.00</w:t>
            </w:r>
            <w:r>
              <w:rPr>
                <w:rFonts w:cs="Calibri"/>
                <w:color w:val="000000"/>
                <w:sz w:val="18"/>
              </w:rPr>
              <w:t xml:space="preserve"> </w:t>
            </w:r>
          </w:p>
        </w:tc>
      </w:tr>
      <w:tr w:rsidR="002A491E" w:rsidTr="00946ACF" w14:paraId="7F7A4947" w14:textId="77777777">
        <w:trPr>
          <w:trHeight w:val="428"/>
        </w:trPr>
        <w:tc>
          <w:tcPr>
            <w:tcW w:w="3330" w:type="dxa"/>
            <w:vAlign w:val="center"/>
          </w:tcPr>
          <w:p w:rsidR="002A491E" w:rsidP="00762154" w:rsidRDefault="002A491E" w14:paraId="79A09544" w14:textId="559ED94D">
            <w:pPr>
              <w:spacing w:after="0" w:line="240" w:lineRule="auto"/>
              <w:rPr>
                <w:sz w:val="18"/>
              </w:rPr>
            </w:pPr>
            <w:r>
              <w:rPr>
                <w:sz w:val="18"/>
              </w:rPr>
              <w:t xml:space="preserve">HUD-50002 “Request to Exceed Cost </w:t>
            </w:r>
            <w:r w:rsidR="007416E8">
              <w:rPr>
                <w:sz w:val="18"/>
              </w:rPr>
              <w:t xml:space="preserve">and Protection </w:t>
            </w:r>
            <w:r>
              <w:rPr>
                <w:sz w:val="18"/>
              </w:rPr>
              <w:t>Limits for Preservation”</w:t>
            </w:r>
          </w:p>
        </w:tc>
        <w:tc>
          <w:tcPr>
            <w:tcW w:w="1252" w:type="dxa"/>
            <w:tcBorders>
              <w:top w:val="nil"/>
              <w:left w:val="nil"/>
              <w:bottom w:val="single" w:color="auto" w:sz="8" w:space="0"/>
              <w:right w:val="single" w:color="auto" w:sz="8" w:space="0"/>
            </w:tcBorders>
            <w:shd w:val="clear" w:color="auto" w:fill="auto"/>
            <w:vAlign w:val="center"/>
          </w:tcPr>
          <w:p w:rsidR="002A491E" w:rsidP="00762154" w:rsidRDefault="002A491E" w14:paraId="208B43E5" w14:textId="77777777">
            <w:pPr>
              <w:spacing w:after="0" w:line="240" w:lineRule="auto"/>
              <w:jc w:val="center"/>
              <w:rPr>
                <w:sz w:val="18"/>
              </w:rPr>
            </w:pPr>
            <w:r>
              <w:rPr>
                <w:rFonts w:cs="Calibri"/>
                <w:color w:val="000000"/>
                <w:sz w:val="18"/>
              </w:rPr>
              <w:t>4,339</w:t>
            </w:r>
          </w:p>
        </w:tc>
        <w:tc>
          <w:tcPr>
            <w:tcW w:w="1448" w:type="dxa"/>
            <w:tcBorders>
              <w:top w:val="nil"/>
              <w:left w:val="nil"/>
              <w:bottom w:val="single" w:color="auto" w:sz="8" w:space="0"/>
              <w:right w:val="single" w:color="auto" w:sz="8" w:space="0"/>
            </w:tcBorders>
            <w:shd w:val="clear" w:color="auto" w:fill="auto"/>
            <w:vAlign w:val="center"/>
          </w:tcPr>
          <w:p w:rsidR="002A491E" w:rsidP="00762154" w:rsidRDefault="002A491E" w14:paraId="19B87B24" w14:textId="113C70CC">
            <w:pPr>
              <w:spacing w:after="0" w:line="240" w:lineRule="auto"/>
              <w:jc w:val="center"/>
              <w:rPr>
                <w:color w:val="000000"/>
                <w:sz w:val="18"/>
              </w:rPr>
            </w:pPr>
            <w:r>
              <w:rPr>
                <w:rFonts w:cs="Calibri"/>
                <w:color w:val="000000"/>
                <w:sz w:val="18"/>
              </w:rPr>
              <w:t>0.5</w:t>
            </w:r>
            <w:r w:rsidR="00B2143F">
              <w:rPr>
                <w:rFonts w:cs="Calibri"/>
                <w:color w:val="000000"/>
                <w:sz w:val="18"/>
              </w:rPr>
              <w:t>0</w:t>
            </w:r>
          </w:p>
        </w:tc>
        <w:tc>
          <w:tcPr>
            <w:tcW w:w="1350" w:type="dxa"/>
            <w:tcBorders>
              <w:top w:val="nil"/>
              <w:left w:val="nil"/>
              <w:bottom w:val="single" w:color="auto" w:sz="8" w:space="0"/>
              <w:right w:val="single" w:color="auto" w:sz="8" w:space="0"/>
            </w:tcBorders>
            <w:shd w:val="clear" w:color="auto" w:fill="auto"/>
            <w:vAlign w:val="center"/>
          </w:tcPr>
          <w:p w:rsidR="002A491E" w:rsidP="00762154" w:rsidRDefault="002A491E" w14:paraId="5558CA7A" w14:textId="32F3BED1">
            <w:pPr>
              <w:spacing w:after="0" w:line="240" w:lineRule="auto"/>
              <w:jc w:val="center"/>
              <w:rPr>
                <w:color w:val="000000"/>
                <w:sz w:val="18"/>
              </w:rPr>
            </w:pPr>
            <w:r>
              <w:rPr>
                <w:rFonts w:cs="Calibri"/>
                <w:color w:val="000000"/>
                <w:sz w:val="18"/>
              </w:rPr>
              <w:t>2,1</w:t>
            </w:r>
            <w:r w:rsidR="00A2062A">
              <w:rPr>
                <w:rFonts w:cs="Calibri"/>
                <w:color w:val="000000"/>
                <w:sz w:val="18"/>
              </w:rPr>
              <w:t>69.50</w:t>
            </w:r>
          </w:p>
        </w:tc>
        <w:tc>
          <w:tcPr>
            <w:tcW w:w="1080" w:type="dxa"/>
            <w:tcBorders>
              <w:top w:val="nil"/>
              <w:left w:val="nil"/>
              <w:bottom w:val="single" w:color="auto" w:sz="8" w:space="0"/>
              <w:right w:val="single" w:color="auto" w:sz="8" w:space="0"/>
            </w:tcBorders>
            <w:shd w:val="clear" w:color="auto" w:fill="auto"/>
            <w:vAlign w:val="center"/>
          </w:tcPr>
          <w:p w:rsidR="002A491E" w:rsidP="00762154" w:rsidRDefault="002A491E" w14:paraId="4A5C7F37" w14:textId="54030CF3">
            <w:pPr>
              <w:spacing w:after="0" w:line="240" w:lineRule="auto"/>
              <w:jc w:val="center"/>
              <w:rPr>
                <w:color w:val="000000"/>
                <w:sz w:val="18"/>
              </w:rPr>
            </w:pPr>
            <w:r>
              <w:rPr>
                <w:rFonts w:cs="Calibri"/>
                <w:color w:val="000000"/>
                <w:sz w:val="18"/>
              </w:rPr>
              <w:t>$</w:t>
            </w:r>
            <w:r w:rsidR="00927AEE">
              <w:rPr>
                <w:rFonts w:cs="Calibri"/>
                <w:color w:val="000000"/>
                <w:sz w:val="18"/>
              </w:rPr>
              <w:t>3</w:t>
            </w:r>
            <w:r w:rsidR="00007F3A">
              <w:rPr>
                <w:rFonts w:cs="Calibri"/>
                <w:color w:val="000000"/>
                <w:sz w:val="18"/>
              </w:rPr>
              <w:t>1</w:t>
            </w:r>
            <w:r w:rsidR="00927AEE">
              <w:rPr>
                <w:rFonts w:cs="Calibri"/>
                <w:color w:val="000000"/>
                <w:sz w:val="18"/>
              </w:rPr>
              <w:t>.</w:t>
            </w:r>
            <w:r w:rsidR="00007F3A">
              <w:rPr>
                <w:rFonts w:cs="Calibri"/>
                <w:color w:val="000000"/>
                <w:sz w:val="18"/>
              </w:rPr>
              <w:t>7</w:t>
            </w:r>
            <w:r w:rsidR="00927AEE">
              <w:rPr>
                <w:rFonts w:cs="Calibri"/>
                <w:color w:val="000000"/>
                <w:sz w:val="18"/>
              </w:rPr>
              <w:t>0</w:t>
            </w:r>
            <w:r>
              <w:rPr>
                <w:rFonts w:cs="Calibri"/>
                <w:color w:val="000000"/>
                <w:sz w:val="18"/>
              </w:rPr>
              <w:t xml:space="preserve"> </w:t>
            </w:r>
          </w:p>
        </w:tc>
        <w:tc>
          <w:tcPr>
            <w:tcW w:w="1170" w:type="dxa"/>
            <w:tcBorders>
              <w:top w:val="nil"/>
              <w:left w:val="nil"/>
              <w:bottom w:val="single" w:color="auto" w:sz="8" w:space="0"/>
              <w:right w:val="single" w:color="auto" w:sz="8" w:space="0"/>
            </w:tcBorders>
            <w:shd w:val="clear" w:color="auto" w:fill="auto"/>
            <w:vAlign w:val="center"/>
          </w:tcPr>
          <w:p w:rsidR="002A491E" w:rsidP="00762154" w:rsidRDefault="00621C09" w14:paraId="5989331A" w14:textId="7C6520A4">
            <w:pPr>
              <w:spacing w:after="0" w:line="240" w:lineRule="auto"/>
              <w:jc w:val="right"/>
              <w:rPr>
                <w:color w:val="000000"/>
                <w:sz w:val="18"/>
              </w:rPr>
            </w:pPr>
            <w:r>
              <w:rPr>
                <w:rFonts w:cs="Calibri"/>
                <w:color w:val="000000"/>
                <w:sz w:val="18"/>
              </w:rPr>
              <w:t>$6</w:t>
            </w:r>
            <w:r w:rsidR="00007F3A">
              <w:rPr>
                <w:rFonts w:cs="Calibri"/>
                <w:color w:val="000000"/>
                <w:sz w:val="18"/>
              </w:rPr>
              <w:t>8,773</w:t>
            </w:r>
            <w:r>
              <w:rPr>
                <w:rFonts w:cs="Calibri"/>
                <w:color w:val="000000"/>
                <w:sz w:val="18"/>
              </w:rPr>
              <w:t>.</w:t>
            </w:r>
            <w:r w:rsidR="00007F3A">
              <w:rPr>
                <w:rFonts w:cs="Calibri"/>
                <w:color w:val="000000"/>
                <w:sz w:val="18"/>
              </w:rPr>
              <w:t>1</w:t>
            </w:r>
            <w:r>
              <w:rPr>
                <w:rFonts w:cs="Calibri"/>
                <w:color w:val="000000"/>
                <w:sz w:val="18"/>
              </w:rPr>
              <w:t>5</w:t>
            </w:r>
            <w:r w:rsidR="002A491E">
              <w:rPr>
                <w:rFonts w:cs="Calibri"/>
                <w:color w:val="000000"/>
                <w:sz w:val="18"/>
              </w:rPr>
              <w:t xml:space="preserve"> </w:t>
            </w:r>
          </w:p>
        </w:tc>
      </w:tr>
      <w:tr w:rsidR="002A491E" w:rsidTr="00946ACF" w14:paraId="2B680322" w14:textId="77777777">
        <w:trPr>
          <w:trHeight w:val="257"/>
        </w:trPr>
        <w:tc>
          <w:tcPr>
            <w:tcW w:w="3330" w:type="dxa"/>
            <w:tcBorders>
              <w:bottom w:val="single" w:color="auto" w:sz="4" w:space="0"/>
            </w:tcBorders>
            <w:vAlign w:val="center"/>
          </w:tcPr>
          <w:p w:rsidR="002A491E" w:rsidP="00762154" w:rsidRDefault="001559C0" w14:paraId="115A2B06" w14:textId="1C88F9A1">
            <w:pPr>
              <w:spacing w:after="0" w:line="240" w:lineRule="auto"/>
              <w:rPr>
                <w:b/>
                <w:bCs/>
              </w:rPr>
            </w:pPr>
            <w:r>
              <w:rPr>
                <w:sz w:val="18"/>
              </w:rPr>
              <w:t>Mortgagee</w:t>
            </w:r>
            <w:r w:rsidR="002A491E">
              <w:rPr>
                <w:sz w:val="18"/>
              </w:rPr>
              <w:t xml:space="preserve">’s Request for Extension of Time </w:t>
            </w:r>
          </w:p>
        </w:tc>
        <w:tc>
          <w:tcPr>
            <w:tcW w:w="1252" w:type="dxa"/>
            <w:tcBorders>
              <w:top w:val="nil"/>
              <w:left w:val="single" w:color="auto" w:sz="8" w:space="0"/>
              <w:bottom w:val="single" w:color="000000" w:sz="8" w:space="0"/>
              <w:right w:val="single" w:color="auto" w:sz="8" w:space="0"/>
            </w:tcBorders>
            <w:shd w:val="clear" w:color="auto" w:fill="auto"/>
            <w:vAlign w:val="center"/>
          </w:tcPr>
          <w:p w:rsidR="002A491E" w:rsidP="00762154" w:rsidRDefault="002A491E" w14:paraId="4B312CF7" w14:textId="77777777">
            <w:pPr>
              <w:spacing w:after="0" w:line="240" w:lineRule="auto"/>
              <w:jc w:val="center"/>
              <w:rPr>
                <w:sz w:val="18"/>
              </w:rPr>
            </w:pPr>
            <w:r>
              <w:rPr>
                <w:rFonts w:cs="Calibri"/>
                <w:color w:val="000000"/>
                <w:sz w:val="18"/>
              </w:rPr>
              <w:t>5,651</w:t>
            </w:r>
          </w:p>
        </w:tc>
        <w:tc>
          <w:tcPr>
            <w:tcW w:w="1448" w:type="dxa"/>
            <w:tcBorders>
              <w:top w:val="nil"/>
              <w:left w:val="single" w:color="auto" w:sz="8" w:space="0"/>
              <w:bottom w:val="single" w:color="000000" w:sz="8" w:space="0"/>
              <w:right w:val="single" w:color="auto" w:sz="8" w:space="0"/>
            </w:tcBorders>
            <w:shd w:val="clear" w:color="auto" w:fill="auto"/>
            <w:vAlign w:val="center"/>
          </w:tcPr>
          <w:p w:rsidR="002A491E" w:rsidP="00762154" w:rsidRDefault="002A491E" w14:paraId="3896EAE1" w14:textId="56BFF775">
            <w:pPr>
              <w:spacing w:after="0" w:line="240" w:lineRule="auto"/>
              <w:jc w:val="center"/>
              <w:rPr>
                <w:color w:val="000000"/>
                <w:sz w:val="18"/>
              </w:rPr>
            </w:pPr>
            <w:r>
              <w:rPr>
                <w:rFonts w:cs="Calibri"/>
                <w:color w:val="000000"/>
                <w:sz w:val="18"/>
              </w:rPr>
              <w:t>0.5</w:t>
            </w:r>
            <w:r w:rsidR="00B2143F">
              <w:rPr>
                <w:rFonts w:cs="Calibri"/>
                <w:color w:val="000000"/>
                <w:sz w:val="18"/>
              </w:rPr>
              <w:t>0</w:t>
            </w:r>
          </w:p>
        </w:tc>
        <w:tc>
          <w:tcPr>
            <w:tcW w:w="1350" w:type="dxa"/>
            <w:tcBorders>
              <w:top w:val="nil"/>
              <w:left w:val="nil"/>
              <w:bottom w:val="single" w:color="auto" w:sz="8" w:space="0"/>
              <w:right w:val="single" w:color="auto" w:sz="8" w:space="0"/>
            </w:tcBorders>
            <w:shd w:val="clear" w:color="auto" w:fill="auto"/>
            <w:vAlign w:val="center"/>
          </w:tcPr>
          <w:p w:rsidR="002A491E" w:rsidP="00762154" w:rsidRDefault="002A491E" w14:paraId="10BD89D7" w14:textId="2DDC896C">
            <w:pPr>
              <w:spacing w:after="0" w:line="240" w:lineRule="auto"/>
              <w:jc w:val="center"/>
              <w:rPr>
                <w:color w:val="000000"/>
                <w:sz w:val="18"/>
              </w:rPr>
            </w:pPr>
            <w:r>
              <w:rPr>
                <w:rFonts w:cs="Calibri"/>
                <w:color w:val="000000"/>
                <w:sz w:val="18"/>
                <w:szCs w:val="18"/>
              </w:rPr>
              <w:t>2,82</w:t>
            </w:r>
            <w:r w:rsidR="00A2062A">
              <w:rPr>
                <w:rFonts w:cs="Calibri"/>
                <w:color w:val="000000"/>
                <w:sz w:val="18"/>
                <w:szCs w:val="18"/>
              </w:rPr>
              <w:t>5.50</w:t>
            </w:r>
          </w:p>
        </w:tc>
        <w:tc>
          <w:tcPr>
            <w:tcW w:w="1080" w:type="dxa"/>
            <w:tcBorders>
              <w:top w:val="nil"/>
              <w:left w:val="single" w:color="auto" w:sz="8" w:space="0"/>
              <w:bottom w:val="single" w:color="000000" w:sz="8" w:space="0"/>
              <w:right w:val="single" w:color="auto" w:sz="8" w:space="0"/>
            </w:tcBorders>
            <w:shd w:val="clear" w:color="auto" w:fill="auto"/>
            <w:vAlign w:val="center"/>
          </w:tcPr>
          <w:p w:rsidR="002A491E" w:rsidP="00762154" w:rsidRDefault="002A491E" w14:paraId="525DB740" w14:textId="7743C593">
            <w:pPr>
              <w:spacing w:after="0" w:line="240" w:lineRule="auto"/>
              <w:jc w:val="center"/>
              <w:rPr>
                <w:color w:val="000000"/>
                <w:sz w:val="18"/>
              </w:rPr>
            </w:pPr>
            <w:r>
              <w:rPr>
                <w:rFonts w:cs="Calibri"/>
                <w:color w:val="000000"/>
                <w:sz w:val="18"/>
              </w:rPr>
              <w:t>$</w:t>
            </w:r>
            <w:r w:rsidR="00927AEE">
              <w:rPr>
                <w:rFonts w:cs="Calibri"/>
                <w:color w:val="000000"/>
                <w:sz w:val="18"/>
              </w:rPr>
              <w:t>3</w:t>
            </w:r>
            <w:r w:rsidR="00007F3A">
              <w:rPr>
                <w:rFonts w:cs="Calibri"/>
                <w:color w:val="000000"/>
                <w:sz w:val="18"/>
              </w:rPr>
              <w:t>1</w:t>
            </w:r>
            <w:r w:rsidR="00927AEE">
              <w:rPr>
                <w:rFonts w:cs="Calibri"/>
                <w:color w:val="000000"/>
                <w:sz w:val="18"/>
              </w:rPr>
              <w:t>.</w:t>
            </w:r>
            <w:r w:rsidR="00007F3A">
              <w:rPr>
                <w:rFonts w:cs="Calibri"/>
                <w:color w:val="000000"/>
                <w:sz w:val="18"/>
              </w:rPr>
              <w:t>7</w:t>
            </w:r>
            <w:r w:rsidR="00927AEE">
              <w:rPr>
                <w:rFonts w:cs="Calibri"/>
                <w:color w:val="000000"/>
                <w:sz w:val="18"/>
              </w:rPr>
              <w:t>0</w:t>
            </w:r>
            <w:r>
              <w:rPr>
                <w:rFonts w:cs="Calibri"/>
                <w:color w:val="000000"/>
                <w:sz w:val="18"/>
              </w:rPr>
              <w:t xml:space="preserve"> </w:t>
            </w:r>
          </w:p>
        </w:tc>
        <w:tc>
          <w:tcPr>
            <w:tcW w:w="1170" w:type="dxa"/>
            <w:tcBorders>
              <w:top w:val="nil"/>
              <w:left w:val="nil"/>
              <w:bottom w:val="single" w:color="auto" w:sz="8" w:space="0"/>
              <w:right w:val="single" w:color="auto" w:sz="8" w:space="0"/>
            </w:tcBorders>
            <w:shd w:val="clear" w:color="auto" w:fill="auto"/>
            <w:vAlign w:val="center"/>
          </w:tcPr>
          <w:p w:rsidR="002A491E" w:rsidP="00762154" w:rsidRDefault="002A491E" w14:paraId="704BEA4A" w14:textId="547A3D03">
            <w:pPr>
              <w:spacing w:after="0" w:line="240" w:lineRule="auto"/>
              <w:jc w:val="right"/>
              <w:rPr>
                <w:color w:val="000000"/>
                <w:sz w:val="18"/>
              </w:rPr>
            </w:pPr>
            <w:r>
              <w:rPr>
                <w:rFonts w:cs="Calibri"/>
                <w:color w:val="000000"/>
                <w:sz w:val="18"/>
                <w:szCs w:val="18"/>
              </w:rPr>
              <w:t>$</w:t>
            </w:r>
            <w:r w:rsidR="00737709">
              <w:rPr>
                <w:rFonts w:cs="Calibri"/>
                <w:color w:val="000000"/>
                <w:sz w:val="18"/>
                <w:szCs w:val="18"/>
              </w:rPr>
              <w:t>8</w:t>
            </w:r>
            <w:r w:rsidR="00007F3A">
              <w:rPr>
                <w:rFonts w:cs="Calibri"/>
                <w:color w:val="000000"/>
                <w:sz w:val="18"/>
                <w:szCs w:val="18"/>
              </w:rPr>
              <w:t>9</w:t>
            </w:r>
            <w:r w:rsidR="00737709">
              <w:rPr>
                <w:rFonts w:cs="Calibri"/>
                <w:color w:val="000000"/>
                <w:sz w:val="18"/>
                <w:szCs w:val="18"/>
              </w:rPr>
              <w:t>,</w:t>
            </w:r>
            <w:r w:rsidR="00007F3A">
              <w:rPr>
                <w:rFonts w:cs="Calibri"/>
                <w:color w:val="000000"/>
                <w:sz w:val="18"/>
                <w:szCs w:val="18"/>
              </w:rPr>
              <w:t>568</w:t>
            </w:r>
            <w:r w:rsidR="00737709">
              <w:rPr>
                <w:rFonts w:cs="Calibri"/>
                <w:color w:val="000000"/>
                <w:sz w:val="18"/>
                <w:szCs w:val="18"/>
              </w:rPr>
              <w:t>.</w:t>
            </w:r>
            <w:r w:rsidR="00007F3A">
              <w:rPr>
                <w:rFonts w:cs="Calibri"/>
                <w:color w:val="000000"/>
                <w:sz w:val="18"/>
                <w:szCs w:val="18"/>
              </w:rPr>
              <w:t>3</w:t>
            </w:r>
            <w:r w:rsidR="00737709">
              <w:rPr>
                <w:rFonts w:cs="Calibri"/>
                <w:color w:val="000000"/>
                <w:sz w:val="18"/>
                <w:szCs w:val="18"/>
              </w:rPr>
              <w:t>5</w:t>
            </w:r>
            <w:r>
              <w:rPr>
                <w:rFonts w:cs="Calibri"/>
                <w:color w:val="000000"/>
                <w:sz w:val="18"/>
                <w:szCs w:val="18"/>
              </w:rPr>
              <w:t xml:space="preserve"> </w:t>
            </w:r>
          </w:p>
        </w:tc>
      </w:tr>
      <w:tr w:rsidR="002A491E" w:rsidTr="00946ACF" w14:paraId="27709C0D" w14:textId="77777777">
        <w:trPr>
          <w:trHeight w:val="257"/>
        </w:trPr>
        <w:tc>
          <w:tcPr>
            <w:tcW w:w="3330" w:type="dxa"/>
            <w:shd w:val="clear" w:color="auto" w:fill="E0E0E0"/>
            <w:vAlign w:val="center"/>
          </w:tcPr>
          <w:p w:rsidR="002A491E" w:rsidP="00762154" w:rsidRDefault="002A491E" w14:paraId="504CF8B5" w14:textId="77777777">
            <w:pPr>
              <w:spacing w:after="0" w:line="240" w:lineRule="auto"/>
              <w:rPr>
                <w:b/>
                <w:bCs/>
              </w:rPr>
            </w:pPr>
            <w:r>
              <w:rPr>
                <w:b/>
                <w:bCs/>
              </w:rPr>
              <w:t>Claims Without Conveyance of Title</w:t>
            </w:r>
          </w:p>
        </w:tc>
        <w:tc>
          <w:tcPr>
            <w:tcW w:w="1252" w:type="dxa"/>
            <w:shd w:val="clear" w:color="auto" w:fill="E0E0E0"/>
            <w:vAlign w:val="center"/>
          </w:tcPr>
          <w:p w:rsidR="002A491E" w:rsidP="00762154" w:rsidRDefault="002A491E" w14:paraId="33EE0AED" w14:textId="77777777">
            <w:pPr>
              <w:spacing w:after="0" w:line="240" w:lineRule="auto"/>
              <w:jc w:val="center"/>
              <w:rPr>
                <w:sz w:val="18"/>
              </w:rPr>
            </w:pPr>
          </w:p>
        </w:tc>
        <w:tc>
          <w:tcPr>
            <w:tcW w:w="1448" w:type="dxa"/>
            <w:shd w:val="clear" w:color="auto" w:fill="E0E0E0"/>
          </w:tcPr>
          <w:p w:rsidR="002A491E" w:rsidP="00762154" w:rsidRDefault="002A491E" w14:paraId="4E25F166" w14:textId="77777777">
            <w:pPr>
              <w:spacing w:after="0" w:line="240" w:lineRule="auto"/>
              <w:rPr>
                <w:color w:val="000000"/>
                <w:sz w:val="18"/>
              </w:rPr>
            </w:pPr>
          </w:p>
        </w:tc>
        <w:tc>
          <w:tcPr>
            <w:tcW w:w="1350" w:type="dxa"/>
            <w:shd w:val="clear" w:color="auto" w:fill="E0E0E0"/>
          </w:tcPr>
          <w:p w:rsidR="002A491E" w:rsidP="00762154" w:rsidRDefault="002A491E" w14:paraId="20AAC4F3" w14:textId="77777777">
            <w:pPr>
              <w:spacing w:after="0" w:line="240" w:lineRule="auto"/>
              <w:rPr>
                <w:color w:val="000000"/>
                <w:sz w:val="18"/>
              </w:rPr>
            </w:pPr>
          </w:p>
        </w:tc>
        <w:tc>
          <w:tcPr>
            <w:tcW w:w="1080" w:type="dxa"/>
            <w:shd w:val="clear" w:color="auto" w:fill="E0E0E0"/>
          </w:tcPr>
          <w:p w:rsidR="002A491E" w:rsidP="00762154" w:rsidRDefault="002A491E" w14:paraId="52527186" w14:textId="77777777">
            <w:pPr>
              <w:spacing w:after="0" w:line="240" w:lineRule="auto"/>
              <w:rPr>
                <w:color w:val="000000"/>
                <w:sz w:val="18"/>
              </w:rPr>
            </w:pPr>
          </w:p>
        </w:tc>
        <w:tc>
          <w:tcPr>
            <w:tcW w:w="1170" w:type="dxa"/>
            <w:shd w:val="clear" w:color="auto" w:fill="E0E0E0"/>
          </w:tcPr>
          <w:p w:rsidR="002A491E" w:rsidP="00762154" w:rsidRDefault="002A491E" w14:paraId="3FD9F3F4" w14:textId="77777777">
            <w:pPr>
              <w:spacing w:after="0" w:line="240" w:lineRule="auto"/>
              <w:rPr>
                <w:color w:val="000000"/>
                <w:sz w:val="18"/>
              </w:rPr>
            </w:pPr>
          </w:p>
        </w:tc>
      </w:tr>
      <w:tr w:rsidR="002A491E" w:rsidTr="00946ACF" w14:paraId="7562F9C8" w14:textId="77777777">
        <w:trPr>
          <w:trHeight w:val="248"/>
        </w:trPr>
        <w:tc>
          <w:tcPr>
            <w:tcW w:w="3330" w:type="dxa"/>
            <w:tcBorders>
              <w:bottom w:val="single" w:color="auto" w:sz="4" w:space="0"/>
            </w:tcBorders>
            <w:vAlign w:val="center"/>
          </w:tcPr>
          <w:p w:rsidR="002A491E" w:rsidP="00762154" w:rsidRDefault="002A491E" w14:paraId="261F7258" w14:textId="77777777">
            <w:pPr>
              <w:spacing w:after="0" w:line="240" w:lineRule="auto"/>
              <w:rPr>
                <w:sz w:val="18"/>
              </w:rPr>
            </w:pPr>
            <w:r>
              <w:rPr>
                <w:sz w:val="18"/>
              </w:rPr>
              <w:t>Appraisal for HUD Approval</w:t>
            </w:r>
          </w:p>
        </w:tc>
        <w:tc>
          <w:tcPr>
            <w:tcW w:w="1252" w:type="dxa"/>
            <w:tcBorders>
              <w:top w:val="nil"/>
              <w:left w:val="nil"/>
              <w:bottom w:val="single" w:color="auto" w:sz="8" w:space="0"/>
              <w:right w:val="single" w:color="auto" w:sz="8" w:space="0"/>
            </w:tcBorders>
            <w:shd w:val="clear" w:color="auto" w:fill="auto"/>
            <w:vAlign w:val="center"/>
          </w:tcPr>
          <w:p w:rsidR="002A491E" w:rsidP="00762154" w:rsidRDefault="002A491E" w14:paraId="1F7268B8" w14:textId="77777777">
            <w:pPr>
              <w:spacing w:after="0" w:line="240" w:lineRule="auto"/>
              <w:jc w:val="center"/>
              <w:rPr>
                <w:sz w:val="18"/>
              </w:rPr>
            </w:pPr>
            <w:r>
              <w:rPr>
                <w:rFonts w:cs="Calibri"/>
                <w:color w:val="000000"/>
                <w:sz w:val="18"/>
              </w:rPr>
              <w:t>325</w:t>
            </w:r>
          </w:p>
        </w:tc>
        <w:tc>
          <w:tcPr>
            <w:tcW w:w="1448" w:type="dxa"/>
            <w:tcBorders>
              <w:top w:val="nil"/>
              <w:left w:val="nil"/>
              <w:bottom w:val="single" w:color="auto" w:sz="8" w:space="0"/>
              <w:right w:val="single" w:color="auto" w:sz="8" w:space="0"/>
            </w:tcBorders>
            <w:shd w:val="clear" w:color="auto" w:fill="auto"/>
            <w:vAlign w:val="center"/>
          </w:tcPr>
          <w:p w:rsidR="002A491E" w:rsidP="00762154" w:rsidRDefault="002A491E" w14:paraId="03283104" w14:textId="44E00C99">
            <w:pPr>
              <w:spacing w:after="0" w:line="240" w:lineRule="auto"/>
              <w:jc w:val="center"/>
              <w:rPr>
                <w:color w:val="000000"/>
                <w:sz w:val="18"/>
              </w:rPr>
            </w:pPr>
            <w:r>
              <w:rPr>
                <w:rFonts w:cs="Calibri"/>
                <w:color w:val="000000"/>
                <w:sz w:val="18"/>
              </w:rPr>
              <w:t>1</w:t>
            </w:r>
            <w:r w:rsidR="00B2143F">
              <w:rPr>
                <w:rFonts w:cs="Calibri"/>
                <w:color w:val="000000"/>
                <w:sz w:val="18"/>
              </w:rPr>
              <w:t>.00</w:t>
            </w:r>
          </w:p>
        </w:tc>
        <w:tc>
          <w:tcPr>
            <w:tcW w:w="1350" w:type="dxa"/>
            <w:tcBorders>
              <w:top w:val="nil"/>
              <w:left w:val="nil"/>
              <w:bottom w:val="single" w:color="auto" w:sz="8" w:space="0"/>
              <w:right w:val="single" w:color="auto" w:sz="8" w:space="0"/>
            </w:tcBorders>
            <w:shd w:val="clear" w:color="auto" w:fill="auto"/>
            <w:vAlign w:val="center"/>
          </w:tcPr>
          <w:p w:rsidR="002A491E" w:rsidP="00762154" w:rsidRDefault="002A491E" w14:paraId="37ED1595" w14:textId="58D2B192">
            <w:pPr>
              <w:spacing w:after="0" w:line="240" w:lineRule="auto"/>
              <w:jc w:val="center"/>
              <w:rPr>
                <w:color w:val="000000"/>
                <w:sz w:val="18"/>
              </w:rPr>
            </w:pPr>
            <w:r>
              <w:rPr>
                <w:rFonts w:cs="Calibri"/>
                <w:color w:val="000000"/>
                <w:sz w:val="18"/>
              </w:rPr>
              <w:t>325</w:t>
            </w:r>
            <w:r w:rsidR="00A2062A">
              <w:rPr>
                <w:rFonts w:cs="Calibri"/>
                <w:color w:val="000000"/>
                <w:sz w:val="18"/>
              </w:rPr>
              <w:t>.00</w:t>
            </w:r>
          </w:p>
        </w:tc>
        <w:tc>
          <w:tcPr>
            <w:tcW w:w="1080" w:type="dxa"/>
            <w:tcBorders>
              <w:top w:val="nil"/>
              <w:left w:val="nil"/>
              <w:bottom w:val="single" w:color="auto" w:sz="8" w:space="0"/>
              <w:right w:val="single" w:color="auto" w:sz="8" w:space="0"/>
            </w:tcBorders>
            <w:shd w:val="clear" w:color="auto" w:fill="auto"/>
            <w:vAlign w:val="center"/>
          </w:tcPr>
          <w:p w:rsidR="002A491E" w:rsidP="00762154" w:rsidRDefault="002A491E" w14:paraId="1D61D8A3" w14:textId="763B212C">
            <w:pPr>
              <w:spacing w:after="0" w:line="240" w:lineRule="auto"/>
              <w:jc w:val="center"/>
              <w:rPr>
                <w:color w:val="000000"/>
                <w:sz w:val="18"/>
              </w:rPr>
            </w:pPr>
            <w:r>
              <w:rPr>
                <w:rFonts w:cs="Calibri"/>
                <w:color w:val="000000"/>
                <w:sz w:val="18"/>
              </w:rPr>
              <w:t>$</w:t>
            </w:r>
            <w:r w:rsidR="00927AEE">
              <w:rPr>
                <w:rFonts w:cs="Calibri"/>
                <w:color w:val="000000"/>
                <w:sz w:val="18"/>
              </w:rPr>
              <w:t>3</w:t>
            </w:r>
            <w:r w:rsidR="00007F3A">
              <w:rPr>
                <w:rFonts w:cs="Calibri"/>
                <w:color w:val="000000"/>
                <w:sz w:val="18"/>
              </w:rPr>
              <w:t>1</w:t>
            </w:r>
            <w:r w:rsidR="00927AEE">
              <w:rPr>
                <w:rFonts w:cs="Calibri"/>
                <w:color w:val="000000"/>
                <w:sz w:val="18"/>
              </w:rPr>
              <w:t>.</w:t>
            </w:r>
            <w:r w:rsidR="007A176A">
              <w:rPr>
                <w:rFonts w:cs="Calibri"/>
                <w:color w:val="000000"/>
                <w:sz w:val="18"/>
              </w:rPr>
              <w:t>70</w:t>
            </w:r>
          </w:p>
        </w:tc>
        <w:tc>
          <w:tcPr>
            <w:tcW w:w="1170" w:type="dxa"/>
            <w:tcBorders>
              <w:top w:val="nil"/>
              <w:left w:val="nil"/>
              <w:bottom w:val="single" w:color="auto" w:sz="8" w:space="0"/>
              <w:right w:val="single" w:color="auto" w:sz="8" w:space="0"/>
            </w:tcBorders>
            <w:shd w:val="clear" w:color="auto" w:fill="auto"/>
            <w:vAlign w:val="center"/>
          </w:tcPr>
          <w:p w:rsidR="002A491E" w:rsidP="00762154" w:rsidRDefault="002A491E" w14:paraId="4DC0B816" w14:textId="7E38FE2A">
            <w:pPr>
              <w:spacing w:after="0" w:line="240" w:lineRule="auto"/>
              <w:jc w:val="right"/>
              <w:rPr>
                <w:color w:val="000000"/>
                <w:sz w:val="18"/>
              </w:rPr>
            </w:pPr>
            <w:r>
              <w:rPr>
                <w:rFonts w:cs="Calibri"/>
                <w:color w:val="000000"/>
                <w:sz w:val="18"/>
                <w:szCs w:val="18"/>
              </w:rPr>
              <w:t>$</w:t>
            </w:r>
            <w:r w:rsidR="00737709">
              <w:rPr>
                <w:rFonts w:cs="Calibri"/>
                <w:color w:val="000000"/>
                <w:sz w:val="18"/>
                <w:szCs w:val="18"/>
              </w:rPr>
              <w:t>10,</w:t>
            </w:r>
            <w:r w:rsidR="00007F3A">
              <w:rPr>
                <w:rFonts w:cs="Calibri"/>
                <w:color w:val="000000"/>
                <w:sz w:val="18"/>
                <w:szCs w:val="18"/>
              </w:rPr>
              <w:t>3</w:t>
            </w:r>
            <w:r w:rsidR="00737709">
              <w:rPr>
                <w:rFonts w:cs="Calibri"/>
                <w:color w:val="000000"/>
                <w:sz w:val="18"/>
                <w:szCs w:val="18"/>
              </w:rPr>
              <w:t>02.50</w:t>
            </w:r>
            <w:r>
              <w:rPr>
                <w:rFonts w:cs="Calibri"/>
                <w:color w:val="000000"/>
                <w:sz w:val="18"/>
                <w:szCs w:val="18"/>
              </w:rPr>
              <w:t xml:space="preserve"> </w:t>
            </w:r>
          </w:p>
        </w:tc>
      </w:tr>
      <w:tr w:rsidR="002A491E" w:rsidTr="00946ACF" w14:paraId="2692915B" w14:textId="77777777">
        <w:trPr>
          <w:trHeight w:val="257"/>
        </w:trPr>
        <w:tc>
          <w:tcPr>
            <w:tcW w:w="3330" w:type="dxa"/>
            <w:vAlign w:val="center"/>
          </w:tcPr>
          <w:p w:rsidRPr="007A176A" w:rsidR="002A491E" w:rsidP="00762154" w:rsidRDefault="002A491E" w14:paraId="39E60794" w14:textId="77777777">
            <w:pPr>
              <w:spacing w:after="0" w:line="240" w:lineRule="auto"/>
              <w:rPr>
                <w:b/>
                <w:sz w:val="18"/>
              </w:rPr>
            </w:pPr>
            <w:r w:rsidRPr="007A176A">
              <w:rPr>
                <w:b/>
                <w:sz w:val="18"/>
              </w:rPr>
              <w:t>Totals</w:t>
            </w:r>
          </w:p>
        </w:tc>
        <w:tc>
          <w:tcPr>
            <w:tcW w:w="1252" w:type="dxa"/>
            <w:tcBorders>
              <w:top w:val="nil"/>
              <w:left w:val="nil"/>
              <w:bottom w:val="single" w:color="auto" w:sz="8" w:space="0"/>
              <w:right w:val="single" w:color="auto" w:sz="8" w:space="0"/>
            </w:tcBorders>
            <w:shd w:val="clear" w:color="auto" w:fill="auto"/>
            <w:vAlign w:val="center"/>
          </w:tcPr>
          <w:p w:rsidRPr="007A176A" w:rsidR="002A491E" w:rsidP="00762154" w:rsidRDefault="002A491E" w14:paraId="48BD856B" w14:textId="012057F1">
            <w:pPr>
              <w:spacing w:after="0" w:line="240" w:lineRule="auto"/>
              <w:jc w:val="center"/>
              <w:rPr>
                <w:b/>
                <w:sz w:val="18"/>
              </w:rPr>
            </w:pPr>
            <w:r w:rsidRPr="007A176A">
              <w:rPr>
                <w:rFonts w:cs="Calibri"/>
                <w:b/>
                <w:color w:val="000000"/>
                <w:sz w:val="18"/>
              </w:rPr>
              <w:t>13,</w:t>
            </w:r>
            <w:r w:rsidRPr="007A176A" w:rsidR="00A81F24">
              <w:rPr>
                <w:rFonts w:cs="Calibri"/>
                <w:b/>
                <w:color w:val="000000"/>
                <w:sz w:val="18"/>
              </w:rPr>
              <w:t>5</w:t>
            </w:r>
            <w:r w:rsidRPr="007A176A">
              <w:rPr>
                <w:rFonts w:cs="Calibri"/>
                <w:b/>
                <w:color w:val="000000"/>
                <w:sz w:val="18"/>
              </w:rPr>
              <w:t>65</w:t>
            </w:r>
          </w:p>
        </w:tc>
        <w:tc>
          <w:tcPr>
            <w:tcW w:w="1448" w:type="dxa"/>
            <w:tcBorders>
              <w:top w:val="nil"/>
              <w:left w:val="nil"/>
              <w:bottom w:val="single" w:color="auto" w:sz="8" w:space="0"/>
              <w:right w:val="single" w:color="auto" w:sz="8" w:space="0"/>
            </w:tcBorders>
            <w:shd w:val="clear" w:color="auto" w:fill="auto"/>
            <w:vAlign w:val="center"/>
          </w:tcPr>
          <w:p w:rsidRPr="007A176A" w:rsidR="002A491E" w:rsidP="00762154" w:rsidRDefault="002A491E" w14:paraId="29B42CBE" w14:textId="77777777">
            <w:pPr>
              <w:spacing w:after="0" w:line="240" w:lineRule="auto"/>
              <w:jc w:val="center"/>
              <w:rPr>
                <w:b/>
                <w:sz w:val="18"/>
              </w:rPr>
            </w:pPr>
            <w:r w:rsidRPr="007A176A">
              <w:rPr>
                <w:rFonts w:cs="Calibri"/>
                <w:b/>
                <w:color w:val="000000"/>
                <w:sz w:val="18"/>
              </w:rPr>
              <w:t> </w:t>
            </w:r>
          </w:p>
        </w:tc>
        <w:tc>
          <w:tcPr>
            <w:tcW w:w="1350" w:type="dxa"/>
            <w:tcBorders>
              <w:top w:val="nil"/>
              <w:left w:val="nil"/>
              <w:bottom w:val="single" w:color="auto" w:sz="8" w:space="0"/>
              <w:right w:val="single" w:color="auto" w:sz="8" w:space="0"/>
            </w:tcBorders>
            <w:shd w:val="clear" w:color="auto" w:fill="auto"/>
            <w:vAlign w:val="center"/>
          </w:tcPr>
          <w:p w:rsidRPr="007A176A" w:rsidR="002A491E" w:rsidP="00762154" w:rsidRDefault="002A491E" w14:paraId="00254AD2" w14:textId="790EC28F">
            <w:pPr>
              <w:spacing w:after="0" w:line="240" w:lineRule="auto"/>
              <w:jc w:val="center"/>
              <w:rPr>
                <w:b/>
                <w:sz w:val="18"/>
              </w:rPr>
            </w:pPr>
            <w:r w:rsidRPr="007A176A">
              <w:rPr>
                <w:rFonts w:cs="Calibri"/>
                <w:b/>
                <w:color w:val="000000"/>
                <w:sz w:val="18"/>
              </w:rPr>
              <w:t>8,</w:t>
            </w:r>
            <w:r w:rsidRPr="007A176A" w:rsidR="00A2062A">
              <w:rPr>
                <w:rFonts w:cs="Calibri"/>
                <w:b/>
                <w:color w:val="000000"/>
                <w:sz w:val="18"/>
              </w:rPr>
              <w:t>5</w:t>
            </w:r>
            <w:r w:rsidRPr="007A176A">
              <w:rPr>
                <w:rFonts w:cs="Calibri"/>
                <w:b/>
                <w:color w:val="000000"/>
                <w:sz w:val="18"/>
              </w:rPr>
              <w:t>70</w:t>
            </w:r>
          </w:p>
        </w:tc>
        <w:tc>
          <w:tcPr>
            <w:tcW w:w="1080" w:type="dxa"/>
            <w:tcBorders>
              <w:top w:val="nil"/>
              <w:left w:val="nil"/>
              <w:bottom w:val="single" w:color="auto" w:sz="8" w:space="0"/>
              <w:right w:val="single" w:color="auto" w:sz="8" w:space="0"/>
            </w:tcBorders>
            <w:shd w:val="clear" w:color="auto" w:fill="auto"/>
            <w:vAlign w:val="center"/>
          </w:tcPr>
          <w:p w:rsidRPr="007A176A" w:rsidR="002A491E" w:rsidP="00762154" w:rsidRDefault="002A491E" w14:paraId="31B40CF1" w14:textId="77777777">
            <w:pPr>
              <w:spacing w:after="0" w:line="240" w:lineRule="auto"/>
              <w:jc w:val="center"/>
              <w:rPr>
                <w:b/>
                <w:sz w:val="18"/>
              </w:rPr>
            </w:pPr>
            <w:r w:rsidRPr="007A176A">
              <w:rPr>
                <w:rFonts w:cs="Calibri"/>
                <w:b/>
                <w:color w:val="000000"/>
                <w:sz w:val="18"/>
              </w:rPr>
              <w:t> </w:t>
            </w:r>
          </w:p>
        </w:tc>
        <w:tc>
          <w:tcPr>
            <w:tcW w:w="1170" w:type="dxa"/>
            <w:tcBorders>
              <w:top w:val="nil"/>
              <w:left w:val="nil"/>
              <w:bottom w:val="single" w:color="auto" w:sz="8" w:space="0"/>
              <w:right w:val="single" w:color="auto" w:sz="8" w:space="0"/>
            </w:tcBorders>
            <w:shd w:val="clear" w:color="auto" w:fill="auto"/>
            <w:vAlign w:val="center"/>
          </w:tcPr>
          <w:p w:rsidRPr="007A176A" w:rsidR="002A491E" w:rsidP="00762154" w:rsidRDefault="002A491E" w14:paraId="63614B4C" w14:textId="6651BC89">
            <w:pPr>
              <w:spacing w:after="0" w:line="240" w:lineRule="auto"/>
              <w:jc w:val="right"/>
              <w:rPr>
                <w:b/>
                <w:sz w:val="18"/>
              </w:rPr>
            </w:pPr>
            <w:r w:rsidRPr="007A176A">
              <w:rPr>
                <w:rFonts w:cs="Calibri"/>
                <w:b/>
                <w:color w:val="000000"/>
                <w:sz w:val="18"/>
              </w:rPr>
              <w:t>$</w:t>
            </w:r>
            <w:r w:rsidRPr="007A176A" w:rsidR="00737709">
              <w:rPr>
                <w:rFonts w:cs="Calibri"/>
                <w:b/>
                <w:color w:val="000000"/>
                <w:sz w:val="18"/>
              </w:rPr>
              <w:t>2</w:t>
            </w:r>
            <w:r w:rsidRPr="007A176A" w:rsidR="00007F3A">
              <w:rPr>
                <w:rFonts w:cs="Calibri"/>
                <w:b/>
                <w:color w:val="000000"/>
                <w:sz w:val="18"/>
              </w:rPr>
              <w:t>71,669</w:t>
            </w:r>
            <w:r w:rsidRPr="007A176A" w:rsidR="00737709">
              <w:rPr>
                <w:rFonts w:cs="Calibri"/>
                <w:b/>
                <w:color w:val="000000"/>
                <w:sz w:val="18"/>
              </w:rPr>
              <w:t>.00</w:t>
            </w:r>
            <w:r w:rsidRPr="007A176A">
              <w:rPr>
                <w:rFonts w:cs="Calibri"/>
                <w:b/>
                <w:color w:val="000000"/>
                <w:sz w:val="18"/>
              </w:rPr>
              <w:t xml:space="preserve"> </w:t>
            </w:r>
          </w:p>
        </w:tc>
      </w:tr>
    </w:tbl>
    <w:p w:rsidR="00DF2865" w:rsidP="00DF2865" w:rsidRDefault="00DF2865" w14:paraId="64F7DAC6" w14:textId="30B959C6">
      <w:pPr>
        <w:rPr>
          <w:rFonts w:ascii="Times New Roman" w:hAnsi="Times New Roman"/>
        </w:rPr>
      </w:pPr>
      <w:r w:rsidRPr="006E12AC">
        <w:rPr>
          <w:rFonts w:ascii="Times New Roman" w:hAnsi="Times New Roman"/>
        </w:rPr>
        <w:t>The hourly cost is based on a GS</w:t>
      </w:r>
      <w:r w:rsidR="00007F3A">
        <w:rPr>
          <w:rFonts w:ascii="Times New Roman" w:hAnsi="Times New Roman"/>
        </w:rPr>
        <w:t>-</w:t>
      </w:r>
      <w:r w:rsidRPr="006E12AC">
        <w:rPr>
          <w:rFonts w:ascii="Times New Roman" w:hAnsi="Times New Roman"/>
        </w:rPr>
        <w:t>12 Step</w:t>
      </w:r>
      <w:r w:rsidR="00007F3A">
        <w:rPr>
          <w:rFonts w:ascii="Times New Roman" w:hAnsi="Times New Roman"/>
        </w:rPr>
        <w:t xml:space="preserve"> </w:t>
      </w:r>
      <w:r w:rsidRPr="006E12AC">
        <w:rPr>
          <w:rFonts w:ascii="Times New Roman" w:hAnsi="Times New Roman"/>
        </w:rPr>
        <w:t>1 CY</w:t>
      </w:r>
      <w:r w:rsidR="00007F3A">
        <w:rPr>
          <w:rFonts w:ascii="Times New Roman" w:hAnsi="Times New Roman"/>
        </w:rPr>
        <w:t xml:space="preserve"> </w:t>
      </w:r>
      <w:r w:rsidRPr="006E12AC">
        <w:rPr>
          <w:rFonts w:ascii="Times New Roman" w:hAnsi="Times New Roman"/>
        </w:rPr>
        <w:t>20</w:t>
      </w:r>
      <w:r w:rsidR="00007F3A">
        <w:rPr>
          <w:rFonts w:ascii="Times New Roman" w:hAnsi="Times New Roman"/>
        </w:rPr>
        <w:t>20</w:t>
      </w:r>
      <w:r w:rsidRPr="006E12AC">
        <w:rPr>
          <w:rFonts w:ascii="Times New Roman" w:hAnsi="Times New Roman"/>
        </w:rPr>
        <w:t xml:space="preserve"> General Schedule Base Annual Rate of $6</w:t>
      </w:r>
      <w:r w:rsidR="00007F3A">
        <w:rPr>
          <w:rFonts w:ascii="Times New Roman" w:hAnsi="Times New Roman"/>
        </w:rPr>
        <w:t>6</w:t>
      </w:r>
      <w:r w:rsidRPr="006E12AC">
        <w:rPr>
          <w:rFonts w:ascii="Times New Roman" w:hAnsi="Times New Roman"/>
        </w:rPr>
        <w:t>,</w:t>
      </w:r>
      <w:r w:rsidR="00007F3A">
        <w:rPr>
          <w:rFonts w:ascii="Times New Roman" w:hAnsi="Times New Roman"/>
        </w:rPr>
        <w:t>167</w:t>
      </w:r>
      <w:r w:rsidRPr="006E12AC">
        <w:rPr>
          <w:rFonts w:ascii="Times New Roman" w:hAnsi="Times New Roman"/>
        </w:rPr>
        <w:t>.</w:t>
      </w:r>
    </w:p>
    <w:p w:rsidRPr="00946ACF" w:rsidR="00075224" w:rsidP="00075224" w:rsidRDefault="00075224" w14:paraId="56BF3620" w14:textId="660B431E">
      <w:pPr>
        <w:rPr>
          <w:rFonts w:ascii="Times New Roman" w:hAnsi="Times New Roman"/>
          <w:b/>
          <w:bCs/>
          <w:sz w:val="24"/>
          <w:szCs w:val="24"/>
        </w:rPr>
      </w:pPr>
      <w:r w:rsidRPr="00575D07">
        <w:rPr>
          <w:rFonts w:ascii="Times New Roman" w:hAnsi="Times New Roman"/>
          <w:sz w:val="24"/>
          <w:szCs w:val="24"/>
        </w:rPr>
        <w:t xml:space="preserve">15. </w:t>
      </w:r>
      <w:r w:rsidRPr="00946ACF">
        <w:rPr>
          <w:rFonts w:ascii="Times New Roman" w:hAnsi="Times New Roman"/>
          <w:b/>
          <w:bCs/>
          <w:sz w:val="24"/>
          <w:szCs w:val="24"/>
        </w:rPr>
        <w:t xml:space="preserve">Explain the reasons for any program changes or adjustments reported in Items 13 or 14 of the OMB Form 83-I. </w:t>
      </w:r>
    </w:p>
    <w:p w:rsidR="00834719" w:rsidP="00834719" w:rsidRDefault="00274D14" w14:paraId="4FD59F82" w14:textId="5B21EC68">
      <w:pPr>
        <w:rPr>
          <w:rFonts w:ascii="Times New Roman" w:hAnsi="Times New Roman"/>
          <w:sz w:val="24"/>
          <w:szCs w:val="24"/>
        </w:rPr>
      </w:pPr>
      <w:r>
        <w:rPr>
          <w:rFonts w:ascii="Times New Roman" w:hAnsi="Times New Roman"/>
          <w:sz w:val="24"/>
          <w:szCs w:val="24"/>
        </w:rPr>
        <w:t>This is an extension</w:t>
      </w:r>
      <w:r w:rsidR="00A31CFF">
        <w:rPr>
          <w:rFonts w:ascii="Times New Roman" w:hAnsi="Times New Roman"/>
          <w:sz w:val="24"/>
          <w:szCs w:val="24"/>
        </w:rPr>
        <w:t xml:space="preserve"> of a currently approved information collection. </w:t>
      </w:r>
      <w:r w:rsidR="0073674D">
        <w:rPr>
          <w:rFonts w:ascii="Times New Roman" w:hAnsi="Times New Roman"/>
          <w:sz w:val="24"/>
          <w:szCs w:val="24"/>
        </w:rPr>
        <w:t>The</w:t>
      </w:r>
      <w:r w:rsidR="00C62DDC">
        <w:rPr>
          <w:rFonts w:ascii="Times New Roman" w:hAnsi="Times New Roman"/>
          <w:sz w:val="24"/>
          <w:szCs w:val="24"/>
        </w:rPr>
        <w:t xml:space="preserve"> c</w:t>
      </w:r>
      <w:r w:rsidR="00834719">
        <w:rPr>
          <w:rFonts w:ascii="Times New Roman" w:hAnsi="Times New Roman"/>
          <w:sz w:val="24"/>
          <w:szCs w:val="24"/>
        </w:rPr>
        <w:t>ollection</w:t>
      </w:r>
      <w:r w:rsidR="00C62DDC">
        <w:rPr>
          <w:rFonts w:ascii="Times New Roman" w:hAnsi="Times New Roman"/>
          <w:sz w:val="24"/>
          <w:szCs w:val="24"/>
        </w:rPr>
        <w:t xml:space="preserve"> of information</w:t>
      </w:r>
      <w:r w:rsidR="006B585B">
        <w:rPr>
          <w:rFonts w:ascii="Times New Roman" w:hAnsi="Times New Roman"/>
          <w:sz w:val="24"/>
          <w:szCs w:val="24"/>
        </w:rPr>
        <w:t xml:space="preserve"> ha</w:t>
      </w:r>
      <w:r w:rsidR="000417AA">
        <w:rPr>
          <w:rFonts w:ascii="Times New Roman" w:hAnsi="Times New Roman"/>
          <w:sz w:val="24"/>
          <w:szCs w:val="24"/>
        </w:rPr>
        <w:t>s been updated</w:t>
      </w:r>
      <w:r w:rsidR="001D4DC6">
        <w:rPr>
          <w:rFonts w:ascii="Times New Roman" w:hAnsi="Times New Roman"/>
          <w:sz w:val="24"/>
          <w:szCs w:val="24"/>
        </w:rPr>
        <w:t xml:space="preserve"> with new figures to represent the Department’s</w:t>
      </w:r>
      <w:r w:rsidR="00860BC9">
        <w:rPr>
          <w:rFonts w:ascii="Times New Roman" w:hAnsi="Times New Roman"/>
          <w:sz w:val="24"/>
          <w:szCs w:val="24"/>
        </w:rPr>
        <w:t xml:space="preserve"> current claims activity</w:t>
      </w:r>
      <w:r w:rsidR="00BF0B5D">
        <w:rPr>
          <w:rFonts w:ascii="Times New Roman" w:hAnsi="Times New Roman"/>
          <w:sz w:val="24"/>
          <w:szCs w:val="24"/>
        </w:rPr>
        <w:t xml:space="preserve">. </w:t>
      </w:r>
      <w:r w:rsidR="00B65C67">
        <w:rPr>
          <w:rFonts w:ascii="Times New Roman" w:hAnsi="Times New Roman"/>
          <w:sz w:val="24"/>
          <w:szCs w:val="24"/>
        </w:rPr>
        <w:t>As a result of this activity</w:t>
      </w:r>
      <w:r w:rsidR="0035643D">
        <w:rPr>
          <w:rFonts w:ascii="Times New Roman" w:hAnsi="Times New Roman"/>
          <w:sz w:val="24"/>
          <w:szCs w:val="24"/>
        </w:rPr>
        <w:t>,</w:t>
      </w:r>
      <w:r w:rsidR="00AD1A25">
        <w:rPr>
          <w:rFonts w:ascii="Times New Roman" w:hAnsi="Times New Roman"/>
          <w:sz w:val="24"/>
          <w:szCs w:val="24"/>
        </w:rPr>
        <w:t xml:space="preserve"> increase in the number of respondents occurred,</w:t>
      </w:r>
      <w:r w:rsidR="00834719">
        <w:rPr>
          <w:rFonts w:ascii="Times New Roman" w:hAnsi="Times New Roman"/>
          <w:sz w:val="24"/>
          <w:szCs w:val="24"/>
        </w:rPr>
        <w:t xml:space="preserve"> decrease in t</w:t>
      </w:r>
      <w:r w:rsidRPr="008D1320" w:rsidR="00834719">
        <w:rPr>
          <w:rFonts w:ascii="Times New Roman" w:hAnsi="Times New Roman"/>
          <w:sz w:val="24"/>
          <w:szCs w:val="24"/>
        </w:rPr>
        <w:t xml:space="preserve">he number of </w:t>
      </w:r>
      <w:r w:rsidR="00834719">
        <w:rPr>
          <w:rFonts w:ascii="Times New Roman" w:hAnsi="Times New Roman"/>
          <w:sz w:val="24"/>
          <w:szCs w:val="24"/>
        </w:rPr>
        <w:t>responses</w:t>
      </w:r>
      <w:r w:rsidR="00AD1A25">
        <w:rPr>
          <w:rFonts w:ascii="Times New Roman" w:hAnsi="Times New Roman"/>
          <w:sz w:val="24"/>
          <w:szCs w:val="24"/>
        </w:rPr>
        <w:t xml:space="preserve"> </w:t>
      </w:r>
      <w:r w:rsidR="00834719">
        <w:rPr>
          <w:rFonts w:ascii="Times New Roman" w:hAnsi="Times New Roman"/>
          <w:sz w:val="24"/>
          <w:szCs w:val="24"/>
        </w:rPr>
        <w:t>and annual burden hours</w:t>
      </w:r>
      <w:r w:rsidR="007C73C7">
        <w:rPr>
          <w:rFonts w:ascii="Times New Roman" w:hAnsi="Times New Roman"/>
          <w:sz w:val="24"/>
          <w:szCs w:val="24"/>
        </w:rPr>
        <w:t xml:space="preserve"> </w:t>
      </w:r>
      <w:r w:rsidR="005B0E94">
        <w:rPr>
          <w:rFonts w:ascii="Times New Roman" w:hAnsi="Times New Roman"/>
          <w:sz w:val="24"/>
          <w:szCs w:val="24"/>
        </w:rPr>
        <w:t>occurred</w:t>
      </w:r>
      <w:r w:rsidR="00834719">
        <w:rPr>
          <w:rFonts w:ascii="Times New Roman" w:hAnsi="Times New Roman"/>
          <w:sz w:val="24"/>
          <w:szCs w:val="24"/>
        </w:rPr>
        <w:t>, particularly since most claims are filed electronically</w:t>
      </w:r>
      <w:r w:rsidR="005B0E94">
        <w:rPr>
          <w:rFonts w:ascii="Times New Roman" w:hAnsi="Times New Roman"/>
          <w:sz w:val="24"/>
          <w:szCs w:val="24"/>
        </w:rPr>
        <w:t>.</w:t>
      </w:r>
      <w:r w:rsidR="005E1B3A">
        <w:rPr>
          <w:rFonts w:ascii="Times New Roman" w:hAnsi="Times New Roman"/>
          <w:sz w:val="24"/>
          <w:szCs w:val="24"/>
        </w:rPr>
        <w:t xml:space="preserve"> Three forms were updated as indicated with the following minor edits.</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7758"/>
      </w:tblGrid>
      <w:tr w:rsidR="00E96657" w:rsidTr="001D4845" w14:paraId="0131895E" w14:textId="77777777">
        <w:tc>
          <w:tcPr>
            <w:tcW w:w="1620" w:type="dxa"/>
            <w:shd w:val="clear" w:color="auto" w:fill="auto"/>
          </w:tcPr>
          <w:p w:rsidRPr="001D4845" w:rsidR="00E96657" w:rsidP="001D4845" w:rsidRDefault="00E96657" w14:paraId="0184F118" w14:textId="77777777">
            <w:pPr>
              <w:pStyle w:val="ListParagraph"/>
              <w:tabs>
                <w:tab w:val="left" w:pos="-720"/>
                <w:tab w:val="left" w:pos="0"/>
              </w:tabs>
              <w:suppressAutoHyphens/>
              <w:ind w:left="0"/>
              <w:rPr>
                <w:sz w:val="24"/>
                <w:szCs w:val="24"/>
              </w:rPr>
            </w:pPr>
            <w:r w:rsidRPr="001D4845">
              <w:rPr>
                <w:sz w:val="24"/>
                <w:szCs w:val="24"/>
              </w:rPr>
              <w:t>Form Number</w:t>
            </w:r>
          </w:p>
        </w:tc>
        <w:tc>
          <w:tcPr>
            <w:tcW w:w="7758" w:type="dxa"/>
            <w:shd w:val="clear" w:color="auto" w:fill="auto"/>
          </w:tcPr>
          <w:p w:rsidRPr="001D4845" w:rsidR="00E96657" w:rsidP="001D4845" w:rsidRDefault="005E1B3A" w14:paraId="6421D692" w14:textId="4A85F0EC">
            <w:pPr>
              <w:pStyle w:val="ListParagraph"/>
              <w:tabs>
                <w:tab w:val="left" w:pos="-720"/>
                <w:tab w:val="left" w:pos="0"/>
              </w:tabs>
              <w:suppressAutoHyphens/>
              <w:ind w:left="0"/>
              <w:rPr>
                <w:sz w:val="24"/>
                <w:szCs w:val="24"/>
              </w:rPr>
            </w:pPr>
            <w:r w:rsidRPr="001D4845">
              <w:rPr>
                <w:sz w:val="24"/>
                <w:szCs w:val="24"/>
              </w:rPr>
              <w:t xml:space="preserve">Minor </w:t>
            </w:r>
            <w:r w:rsidRPr="001D4845" w:rsidR="004D2DD6">
              <w:rPr>
                <w:sz w:val="24"/>
                <w:szCs w:val="24"/>
              </w:rPr>
              <w:t>Edits</w:t>
            </w:r>
            <w:r w:rsidRPr="001D4845">
              <w:rPr>
                <w:sz w:val="24"/>
                <w:szCs w:val="24"/>
              </w:rPr>
              <w:t xml:space="preserve"> </w:t>
            </w:r>
          </w:p>
        </w:tc>
      </w:tr>
      <w:tr w:rsidR="00E96657" w:rsidTr="001D4845" w14:paraId="6DB1A156" w14:textId="77777777">
        <w:tc>
          <w:tcPr>
            <w:tcW w:w="1620" w:type="dxa"/>
            <w:shd w:val="clear" w:color="auto" w:fill="auto"/>
          </w:tcPr>
          <w:p w:rsidRPr="001D4845" w:rsidR="00E96657" w:rsidP="001D4845" w:rsidRDefault="00E96657" w14:paraId="646F906C" w14:textId="617BEB0D">
            <w:pPr>
              <w:pStyle w:val="ListParagraph"/>
              <w:tabs>
                <w:tab w:val="left" w:pos="-720"/>
                <w:tab w:val="left" w:pos="0"/>
              </w:tabs>
              <w:suppressAutoHyphens/>
              <w:ind w:left="0"/>
              <w:rPr>
                <w:sz w:val="24"/>
                <w:szCs w:val="24"/>
              </w:rPr>
            </w:pPr>
            <w:r w:rsidRPr="001D4845">
              <w:rPr>
                <w:sz w:val="24"/>
                <w:szCs w:val="24"/>
              </w:rPr>
              <w:t>HUD-95</w:t>
            </w:r>
            <w:r w:rsidRPr="001D4845" w:rsidR="004D2DD6">
              <w:rPr>
                <w:sz w:val="24"/>
                <w:szCs w:val="24"/>
              </w:rPr>
              <w:t>19-A</w:t>
            </w:r>
          </w:p>
        </w:tc>
        <w:tc>
          <w:tcPr>
            <w:tcW w:w="7758" w:type="dxa"/>
            <w:shd w:val="clear" w:color="auto" w:fill="auto"/>
          </w:tcPr>
          <w:p w:rsidRPr="001D4845" w:rsidR="00E96657" w:rsidP="001D4845" w:rsidRDefault="004D2DD6" w14:paraId="27045EB2" w14:textId="054E1AAE">
            <w:pPr>
              <w:pStyle w:val="ListParagraph"/>
              <w:tabs>
                <w:tab w:val="left" w:pos="-720"/>
                <w:tab w:val="left" w:pos="0"/>
              </w:tabs>
              <w:suppressAutoHyphens/>
              <w:ind w:left="0"/>
              <w:rPr>
                <w:sz w:val="24"/>
                <w:szCs w:val="24"/>
              </w:rPr>
            </w:pPr>
            <w:r w:rsidRPr="001D4845">
              <w:rPr>
                <w:sz w:val="24"/>
                <w:szCs w:val="24"/>
              </w:rPr>
              <w:t>False claims certification language updated</w:t>
            </w:r>
          </w:p>
        </w:tc>
      </w:tr>
      <w:tr w:rsidR="00E96657" w:rsidTr="001D4845" w14:paraId="185593C8" w14:textId="77777777">
        <w:tc>
          <w:tcPr>
            <w:tcW w:w="1620" w:type="dxa"/>
            <w:shd w:val="clear" w:color="auto" w:fill="auto"/>
          </w:tcPr>
          <w:p w:rsidRPr="001D4845" w:rsidR="00E96657" w:rsidP="001D4845" w:rsidRDefault="00E96657" w14:paraId="528755CE" w14:textId="0665D20A">
            <w:pPr>
              <w:pStyle w:val="ListParagraph"/>
              <w:tabs>
                <w:tab w:val="left" w:pos="-720"/>
                <w:tab w:val="left" w:pos="0"/>
              </w:tabs>
              <w:suppressAutoHyphens/>
              <w:ind w:left="0"/>
              <w:rPr>
                <w:sz w:val="24"/>
                <w:szCs w:val="24"/>
              </w:rPr>
            </w:pPr>
            <w:r w:rsidRPr="001D4845">
              <w:rPr>
                <w:sz w:val="24"/>
                <w:szCs w:val="24"/>
              </w:rPr>
              <w:t>HUD-95</w:t>
            </w:r>
            <w:r w:rsidRPr="001D4845" w:rsidR="004D2DD6">
              <w:rPr>
                <w:sz w:val="24"/>
                <w:szCs w:val="24"/>
              </w:rPr>
              <w:t>39</w:t>
            </w:r>
          </w:p>
        </w:tc>
        <w:tc>
          <w:tcPr>
            <w:tcW w:w="7758" w:type="dxa"/>
            <w:shd w:val="clear" w:color="auto" w:fill="auto"/>
          </w:tcPr>
          <w:p w:rsidRPr="001D4845" w:rsidR="00E96657" w:rsidP="001D4845" w:rsidRDefault="004D2DD6" w14:paraId="2CF39987" w14:textId="7CEA3210">
            <w:pPr>
              <w:pStyle w:val="ListParagraph"/>
              <w:tabs>
                <w:tab w:val="left" w:pos="-720"/>
                <w:tab w:val="left" w:pos="0"/>
              </w:tabs>
              <w:suppressAutoHyphens/>
              <w:ind w:left="0"/>
              <w:rPr>
                <w:sz w:val="24"/>
                <w:szCs w:val="24"/>
              </w:rPr>
            </w:pPr>
            <w:r w:rsidRPr="001D4845">
              <w:rPr>
                <w:sz w:val="24"/>
                <w:szCs w:val="24"/>
              </w:rPr>
              <w:t>Realign 1</w:t>
            </w:r>
            <w:r w:rsidRPr="001D4845">
              <w:rPr>
                <w:sz w:val="24"/>
                <w:szCs w:val="24"/>
                <w:vertAlign w:val="superscript"/>
              </w:rPr>
              <w:t>st</w:t>
            </w:r>
            <w:r w:rsidRPr="001D4845">
              <w:rPr>
                <w:sz w:val="24"/>
                <w:szCs w:val="24"/>
              </w:rPr>
              <w:t xml:space="preserve"> paragraph, MCM website updated</w:t>
            </w:r>
            <w:r w:rsidRPr="001D4845" w:rsidR="00AD1A25">
              <w:rPr>
                <w:sz w:val="24"/>
                <w:szCs w:val="24"/>
              </w:rPr>
              <w:t xml:space="preserve">, removed Dear </w:t>
            </w:r>
            <w:proofErr w:type="gramStart"/>
            <w:r w:rsidRPr="001D4845" w:rsidR="00AD1A25">
              <w:rPr>
                <w:sz w:val="24"/>
                <w:szCs w:val="24"/>
              </w:rPr>
              <w:t>Sir</w:t>
            </w:r>
            <w:proofErr w:type="gramEnd"/>
            <w:r w:rsidRPr="001D4845" w:rsidR="00AD1A25">
              <w:rPr>
                <w:sz w:val="24"/>
                <w:szCs w:val="24"/>
              </w:rPr>
              <w:t xml:space="preserve"> and replaced with To Whom it May Concern </w:t>
            </w:r>
          </w:p>
        </w:tc>
      </w:tr>
      <w:tr w:rsidR="00E96657" w:rsidTr="001D4845" w14:paraId="0CE7B134" w14:textId="77777777">
        <w:tc>
          <w:tcPr>
            <w:tcW w:w="1620" w:type="dxa"/>
            <w:shd w:val="clear" w:color="auto" w:fill="auto"/>
          </w:tcPr>
          <w:p w:rsidRPr="001D4845" w:rsidR="00E96657" w:rsidP="001D4845" w:rsidRDefault="00E96657" w14:paraId="26131AED" w14:textId="5412B518">
            <w:pPr>
              <w:pStyle w:val="ListParagraph"/>
              <w:tabs>
                <w:tab w:val="left" w:pos="-720"/>
                <w:tab w:val="left" w:pos="0"/>
              </w:tabs>
              <w:suppressAutoHyphens/>
              <w:ind w:left="0"/>
              <w:rPr>
                <w:sz w:val="24"/>
                <w:szCs w:val="24"/>
              </w:rPr>
            </w:pPr>
            <w:r w:rsidRPr="001D4845">
              <w:rPr>
                <w:sz w:val="24"/>
                <w:szCs w:val="24"/>
              </w:rPr>
              <w:t>HUD-</w:t>
            </w:r>
            <w:r w:rsidRPr="001D4845" w:rsidR="004D2DD6">
              <w:rPr>
                <w:sz w:val="24"/>
                <w:szCs w:val="24"/>
              </w:rPr>
              <w:t>27011</w:t>
            </w:r>
          </w:p>
        </w:tc>
        <w:tc>
          <w:tcPr>
            <w:tcW w:w="7758" w:type="dxa"/>
            <w:shd w:val="clear" w:color="auto" w:fill="auto"/>
          </w:tcPr>
          <w:p w:rsidRPr="001D4845" w:rsidR="00E96657" w:rsidP="001D4845" w:rsidRDefault="004D2DD6" w14:paraId="45FCC393" w14:textId="3C2654AF">
            <w:pPr>
              <w:pStyle w:val="ListParagraph"/>
              <w:tabs>
                <w:tab w:val="left" w:pos="-720"/>
                <w:tab w:val="left" w:pos="0"/>
              </w:tabs>
              <w:suppressAutoHyphens/>
              <w:ind w:left="0"/>
              <w:rPr>
                <w:sz w:val="24"/>
                <w:szCs w:val="24"/>
              </w:rPr>
            </w:pPr>
            <w:r w:rsidRPr="001D4845">
              <w:rPr>
                <w:sz w:val="24"/>
                <w:szCs w:val="24"/>
              </w:rPr>
              <w:t>False claims certification language updated and n</w:t>
            </w:r>
            <w:r w:rsidRPr="001D4845" w:rsidR="00E96657">
              <w:rPr>
                <w:sz w:val="24"/>
                <w:szCs w:val="24"/>
              </w:rPr>
              <w:t xml:space="preserve">on-substantive revisions to the Public Reporting Burden </w:t>
            </w:r>
          </w:p>
        </w:tc>
      </w:tr>
    </w:tbl>
    <w:p w:rsidRPr="00575D07" w:rsidR="00E96657" w:rsidP="00834719" w:rsidRDefault="00E96657" w14:paraId="16602555" w14:textId="77777777">
      <w:pPr>
        <w:rPr>
          <w:rFonts w:ascii="Times New Roman" w:hAnsi="Times New Roman"/>
          <w:sz w:val="24"/>
          <w:szCs w:val="24"/>
        </w:rPr>
      </w:pPr>
    </w:p>
    <w:p w:rsidR="00075224" w:rsidP="00075224" w:rsidRDefault="00075224" w14:paraId="008C4903" w14:textId="4993F27E">
      <w:pPr>
        <w:rPr>
          <w:rFonts w:ascii="Times New Roman" w:hAnsi="Times New Roman"/>
          <w:sz w:val="24"/>
          <w:szCs w:val="24"/>
        </w:rPr>
      </w:pPr>
      <w:r w:rsidRPr="00575D07">
        <w:rPr>
          <w:rFonts w:ascii="Times New Roman" w:hAnsi="Times New Roman"/>
          <w:sz w:val="24"/>
          <w:szCs w:val="24"/>
        </w:rPr>
        <w:t xml:space="preserve">16. </w:t>
      </w:r>
      <w:r w:rsidRPr="00946ACF">
        <w:rPr>
          <w:rFonts w:ascii="Times New Roman" w:hAnsi="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75D07">
        <w:rPr>
          <w:rFonts w:ascii="Times New Roman" w:hAnsi="Times New Roman"/>
          <w:sz w:val="24"/>
          <w:szCs w:val="24"/>
        </w:rPr>
        <w:t xml:space="preserve"> </w:t>
      </w:r>
    </w:p>
    <w:p w:rsidRPr="00575D07" w:rsidR="009226CD" w:rsidP="00075224" w:rsidRDefault="006956A7" w14:paraId="4BCAB918" w14:textId="22E036FC">
      <w:pPr>
        <w:rPr>
          <w:rFonts w:ascii="Times New Roman" w:hAnsi="Times New Roman"/>
          <w:sz w:val="24"/>
          <w:szCs w:val="24"/>
        </w:rPr>
      </w:pPr>
      <w:r w:rsidRPr="006956A7">
        <w:rPr>
          <w:rFonts w:ascii="Times New Roman" w:hAnsi="Times New Roman"/>
          <w:sz w:val="24"/>
          <w:szCs w:val="24"/>
        </w:rPr>
        <w:lastRenderedPageBreak/>
        <w:t>There are no plans to publish this collection of information for statistical use.</w:t>
      </w:r>
    </w:p>
    <w:p w:rsidRPr="00946ACF" w:rsidR="006956A7" w:rsidP="00075224" w:rsidRDefault="00075224" w14:paraId="315F318A" w14:textId="77777777">
      <w:pPr>
        <w:rPr>
          <w:rFonts w:ascii="Times New Roman" w:hAnsi="Times New Roman"/>
          <w:b/>
          <w:bCs/>
          <w:sz w:val="24"/>
          <w:szCs w:val="24"/>
        </w:rPr>
      </w:pPr>
      <w:r w:rsidRPr="00575D07">
        <w:rPr>
          <w:rFonts w:ascii="Times New Roman" w:hAnsi="Times New Roman"/>
          <w:sz w:val="24"/>
          <w:szCs w:val="24"/>
        </w:rPr>
        <w:t xml:space="preserve">17. </w:t>
      </w:r>
      <w:r w:rsidRPr="00946ACF">
        <w:rPr>
          <w:rFonts w:ascii="Times New Roman" w:hAnsi="Times New Roman"/>
          <w:b/>
          <w:bCs/>
          <w:sz w:val="24"/>
          <w:szCs w:val="24"/>
        </w:rPr>
        <w:t>If seeking approval to not display the expiration date for OMB approval of the information collection, explain the reasons that display would be inappropriate.</w:t>
      </w:r>
    </w:p>
    <w:p w:rsidRPr="00575D07" w:rsidR="00075224" w:rsidP="00075224" w:rsidRDefault="00796F66" w14:paraId="20D9B456" w14:textId="5B91AD23">
      <w:pPr>
        <w:rPr>
          <w:rFonts w:ascii="Times New Roman" w:hAnsi="Times New Roman"/>
          <w:sz w:val="24"/>
          <w:szCs w:val="24"/>
        </w:rPr>
      </w:pPr>
      <w:r w:rsidRPr="00796F66">
        <w:rPr>
          <w:rFonts w:ascii="Times New Roman" w:hAnsi="Times New Roman"/>
          <w:sz w:val="24"/>
          <w:szCs w:val="24"/>
        </w:rPr>
        <w:t>HUD is not seeking approval to avoid displaying the expiration date.</w:t>
      </w:r>
      <w:r w:rsidRPr="00575D07" w:rsidR="00075224">
        <w:rPr>
          <w:rFonts w:ascii="Times New Roman" w:hAnsi="Times New Roman"/>
          <w:sz w:val="24"/>
          <w:szCs w:val="24"/>
        </w:rPr>
        <w:t xml:space="preserve"> </w:t>
      </w:r>
    </w:p>
    <w:p w:rsidR="00075224" w:rsidP="00075224" w:rsidRDefault="00075224" w14:paraId="5AE7FC37" w14:textId="7EAC02EF">
      <w:pPr>
        <w:rPr>
          <w:rFonts w:ascii="Times New Roman" w:hAnsi="Times New Roman"/>
          <w:sz w:val="24"/>
          <w:szCs w:val="24"/>
        </w:rPr>
      </w:pPr>
      <w:r w:rsidRPr="00575D07">
        <w:rPr>
          <w:rFonts w:ascii="Times New Roman" w:hAnsi="Times New Roman"/>
          <w:sz w:val="24"/>
          <w:szCs w:val="24"/>
        </w:rPr>
        <w:t xml:space="preserve">18. </w:t>
      </w:r>
      <w:r w:rsidRPr="00946ACF">
        <w:rPr>
          <w:rFonts w:ascii="Times New Roman" w:hAnsi="Times New Roman"/>
          <w:b/>
          <w:bCs/>
          <w:sz w:val="24"/>
          <w:szCs w:val="24"/>
        </w:rPr>
        <w:t>Explain each exception to the certification statement identified in Item 19, "Certification for Paperwork Reduction Act Submissions," of OMB Form 83-I.</w:t>
      </w:r>
      <w:r w:rsidRPr="00575D07">
        <w:rPr>
          <w:rFonts w:ascii="Times New Roman" w:hAnsi="Times New Roman"/>
          <w:sz w:val="24"/>
          <w:szCs w:val="24"/>
        </w:rPr>
        <w:t xml:space="preserve"> </w:t>
      </w:r>
    </w:p>
    <w:p w:rsidRPr="00575D07" w:rsidR="00075224" w:rsidP="00075224" w:rsidRDefault="009339F7" w14:paraId="10C3BF6F" w14:textId="38871D5B">
      <w:pPr>
        <w:rPr>
          <w:rFonts w:ascii="Times New Roman" w:hAnsi="Times New Roman"/>
          <w:sz w:val="24"/>
          <w:szCs w:val="24"/>
        </w:rPr>
      </w:pPr>
      <w:r w:rsidRPr="009339F7">
        <w:rPr>
          <w:rFonts w:ascii="Times New Roman" w:hAnsi="Times New Roman"/>
          <w:sz w:val="24"/>
          <w:szCs w:val="24"/>
        </w:rPr>
        <w:t>There are no exceptions to the certification statement identified in Item 19, "Certification for Paperwork Reduction Act Submissions," of OMB Form 83-I.</w:t>
      </w:r>
    </w:p>
    <w:p w:rsidRPr="00575D07" w:rsidR="00075224" w:rsidP="00075224" w:rsidRDefault="00075224" w14:paraId="4093C144" w14:textId="77777777">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p w:rsidRPr="00946ACF" w:rsidR="00075224" w:rsidP="00075224" w:rsidRDefault="00075224" w14:paraId="7F6A3387" w14:textId="3F772B8C">
      <w:pPr>
        <w:rPr>
          <w:rFonts w:ascii="Times New Roman" w:hAnsi="Times New Roman"/>
          <w:b/>
          <w:bCs/>
          <w:sz w:val="24"/>
          <w:szCs w:val="24"/>
        </w:rPr>
      </w:pPr>
      <w:r w:rsidRPr="00946ACF">
        <w:rPr>
          <w:rFonts w:ascii="Times New Roman" w:hAnsi="Times New Roman"/>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946ACF" w:rsidR="00BD04D4">
        <w:rPr>
          <w:rFonts w:ascii="Times New Roman" w:hAnsi="Times New Roman"/>
          <w:b/>
          <w:bCs/>
          <w:sz w:val="24"/>
          <w:szCs w:val="24"/>
        </w:rPr>
        <w:t>extent</w:t>
      </w:r>
      <w:r w:rsidRPr="00946ACF">
        <w:rPr>
          <w:rFonts w:ascii="Times New Roman" w:hAnsi="Times New Roman"/>
          <w:b/>
          <w:bCs/>
          <w:sz w:val="24"/>
          <w:szCs w:val="24"/>
        </w:rPr>
        <w:t xml:space="preserve"> that it applies to the methods proposed: </w:t>
      </w:r>
    </w:p>
    <w:p w:rsidRPr="00946ACF" w:rsidR="00075224" w:rsidP="00075224" w:rsidRDefault="00075224" w14:paraId="2847BC7A" w14:textId="09A3F852">
      <w:pPr>
        <w:rPr>
          <w:rFonts w:ascii="Times New Roman" w:hAnsi="Times New Roman"/>
          <w:b/>
          <w:bCs/>
          <w:sz w:val="24"/>
          <w:szCs w:val="24"/>
        </w:rPr>
      </w:pPr>
      <w:r w:rsidRPr="00946ACF">
        <w:rPr>
          <w:rFonts w:ascii="Times New Roman" w:hAnsi="Times New Roman"/>
          <w:b/>
          <w:bCs/>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946ACF" w:rsidR="00007F3A">
        <w:rPr>
          <w:rFonts w:ascii="Times New Roman" w:hAnsi="Times New Roman"/>
          <w:b/>
          <w:bCs/>
          <w:sz w:val="24"/>
          <w:szCs w:val="24"/>
        </w:rPr>
        <w:t xml:space="preserve">whole </w:t>
      </w:r>
      <w:r w:rsidRPr="00946ACF">
        <w:rPr>
          <w:rFonts w:ascii="Times New Roman" w:hAnsi="Times New Roman"/>
          <w:b/>
          <w:bCs/>
          <w:sz w:val="24"/>
          <w:szCs w:val="24"/>
        </w:rPr>
        <w:t xml:space="preserve">collection. If the collection had been conducted previously, include the actual response rate achieved during the last collection. </w:t>
      </w:r>
    </w:p>
    <w:p w:rsidRPr="00946ACF" w:rsidR="00075224" w:rsidP="00075224" w:rsidRDefault="00075224" w14:paraId="631666AA" w14:textId="77777777">
      <w:pPr>
        <w:rPr>
          <w:rFonts w:ascii="Times New Roman" w:hAnsi="Times New Roman"/>
          <w:b/>
          <w:bCs/>
          <w:sz w:val="24"/>
          <w:szCs w:val="24"/>
        </w:rPr>
      </w:pPr>
      <w:r w:rsidRPr="00946ACF">
        <w:rPr>
          <w:rFonts w:ascii="Times New Roman" w:hAnsi="Times New Roman"/>
          <w:b/>
          <w:bCs/>
          <w:sz w:val="24"/>
          <w:szCs w:val="24"/>
        </w:rPr>
        <w:t xml:space="preserve">2. Describe the procedures for the collection of information including: </w:t>
      </w:r>
    </w:p>
    <w:p w:rsidRPr="00946ACF" w:rsidR="00075224" w:rsidP="00075224" w:rsidRDefault="00075224" w14:paraId="6D6D797F" w14:textId="77777777">
      <w:pPr>
        <w:rPr>
          <w:rFonts w:ascii="Times New Roman" w:hAnsi="Times New Roman"/>
          <w:b/>
          <w:bCs/>
          <w:sz w:val="24"/>
          <w:szCs w:val="24"/>
        </w:rPr>
      </w:pPr>
      <w:r w:rsidRPr="00946ACF">
        <w:rPr>
          <w:rFonts w:ascii="Times New Roman" w:hAnsi="Times New Roman"/>
          <w:b/>
          <w:bCs/>
          <w:sz w:val="24"/>
          <w:szCs w:val="24"/>
        </w:rPr>
        <w:t xml:space="preserve">* Statistical methodology for stratification and sample selection, </w:t>
      </w:r>
    </w:p>
    <w:p w:rsidRPr="00946ACF" w:rsidR="00075224" w:rsidP="00075224" w:rsidRDefault="00075224" w14:paraId="1BDAF300" w14:textId="77777777">
      <w:pPr>
        <w:rPr>
          <w:rFonts w:ascii="Times New Roman" w:hAnsi="Times New Roman"/>
          <w:b/>
          <w:bCs/>
          <w:sz w:val="24"/>
          <w:szCs w:val="24"/>
        </w:rPr>
      </w:pPr>
      <w:r w:rsidRPr="00946ACF">
        <w:rPr>
          <w:rFonts w:ascii="Times New Roman" w:hAnsi="Times New Roman"/>
          <w:b/>
          <w:bCs/>
          <w:sz w:val="24"/>
          <w:szCs w:val="24"/>
        </w:rPr>
        <w:t xml:space="preserve">* Estimation procedure, </w:t>
      </w:r>
    </w:p>
    <w:p w:rsidRPr="00946ACF" w:rsidR="00075224" w:rsidP="00075224" w:rsidRDefault="00075224" w14:paraId="39A91633" w14:textId="77777777">
      <w:pPr>
        <w:rPr>
          <w:rFonts w:ascii="Times New Roman" w:hAnsi="Times New Roman"/>
          <w:b/>
          <w:bCs/>
          <w:sz w:val="24"/>
          <w:szCs w:val="24"/>
        </w:rPr>
      </w:pPr>
      <w:r w:rsidRPr="00946ACF">
        <w:rPr>
          <w:rFonts w:ascii="Times New Roman" w:hAnsi="Times New Roman"/>
          <w:b/>
          <w:bCs/>
          <w:sz w:val="24"/>
          <w:szCs w:val="24"/>
        </w:rPr>
        <w:t xml:space="preserve">* Degree of accuracy needed for the purpose described in the justification, </w:t>
      </w:r>
    </w:p>
    <w:p w:rsidRPr="00946ACF" w:rsidR="00075224" w:rsidP="00075224" w:rsidRDefault="00075224" w14:paraId="26C57C25" w14:textId="77777777">
      <w:pPr>
        <w:rPr>
          <w:rFonts w:ascii="Times New Roman" w:hAnsi="Times New Roman"/>
          <w:b/>
          <w:bCs/>
          <w:sz w:val="24"/>
          <w:szCs w:val="24"/>
        </w:rPr>
      </w:pPr>
      <w:r w:rsidRPr="00946ACF">
        <w:rPr>
          <w:rFonts w:ascii="Times New Roman" w:hAnsi="Times New Roman"/>
          <w:b/>
          <w:bCs/>
          <w:sz w:val="24"/>
          <w:szCs w:val="24"/>
        </w:rPr>
        <w:t xml:space="preserve">* Unusual problems requiring specialized sampling procedures, and </w:t>
      </w:r>
    </w:p>
    <w:p w:rsidRPr="00946ACF" w:rsidR="00075224" w:rsidP="00075224" w:rsidRDefault="00075224" w14:paraId="01385436" w14:textId="77777777">
      <w:pPr>
        <w:rPr>
          <w:rFonts w:ascii="Times New Roman" w:hAnsi="Times New Roman"/>
          <w:b/>
          <w:bCs/>
          <w:sz w:val="24"/>
          <w:szCs w:val="24"/>
        </w:rPr>
      </w:pPr>
      <w:r w:rsidRPr="00946ACF">
        <w:rPr>
          <w:rFonts w:ascii="Times New Roman" w:hAnsi="Times New Roman"/>
          <w:b/>
          <w:bCs/>
          <w:sz w:val="24"/>
          <w:szCs w:val="24"/>
        </w:rPr>
        <w:t xml:space="preserve">* Any use of periodic (less frequent than annual) data collection cycles to reduce burden. </w:t>
      </w:r>
    </w:p>
    <w:p w:rsidRPr="00946ACF" w:rsidR="00075224" w:rsidP="00075224" w:rsidRDefault="00075224" w14:paraId="69035B01" w14:textId="77777777">
      <w:pPr>
        <w:rPr>
          <w:rFonts w:ascii="Times New Roman" w:hAnsi="Times New Roman"/>
          <w:b/>
          <w:bCs/>
          <w:sz w:val="24"/>
          <w:szCs w:val="24"/>
        </w:rPr>
      </w:pPr>
      <w:r w:rsidRPr="00946ACF">
        <w:rPr>
          <w:rFonts w:ascii="Times New Roman" w:hAnsi="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946ACF" w:rsidR="00075224" w:rsidP="00075224" w:rsidRDefault="00075224" w14:paraId="40C728D4" w14:textId="727A1E54">
      <w:pPr>
        <w:rPr>
          <w:rFonts w:ascii="Times New Roman" w:hAnsi="Times New Roman"/>
          <w:b/>
          <w:bCs/>
          <w:sz w:val="24"/>
          <w:szCs w:val="24"/>
        </w:rPr>
      </w:pPr>
      <w:r w:rsidRPr="00946ACF">
        <w:rPr>
          <w:rFonts w:ascii="Times New Roman" w:hAnsi="Times New Roman"/>
          <w:b/>
          <w:bCs/>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w:t>
      </w:r>
      <w:r w:rsidRPr="00946ACF">
        <w:rPr>
          <w:rFonts w:ascii="Times New Roman" w:hAnsi="Times New Roman"/>
          <w:b/>
          <w:bCs/>
          <w:sz w:val="24"/>
          <w:szCs w:val="24"/>
        </w:rPr>
        <w:lastRenderedPageBreak/>
        <w:t>more respondents. A proposed test or set of test</w:t>
      </w:r>
      <w:r w:rsidRPr="00946ACF" w:rsidR="00007F3A">
        <w:rPr>
          <w:rFonts w:ascii="Times New Roman" w:hAnsi="Times New Roman"/>
          <w:b/>
          <w:bCs/>
          <w:sz w:val="24"/>
          <w:szCs w:val="24"/>
        </w:rPr>
        <w:t>s</w:t>
      </w:r>
      <w:r w:rsidRPr="00946ACF">
        <w:rPr>
          <w:rFonts w:ascii="Times New Roman" w:hAnsi="Times New Roman"/>
          <w:b/>
          <w:bCs/>
          <w:sz w:val="24"/>
          <w:szCs w:val="24"/>
        </w:rPr>
        <w:t xml:space="preserve"> may be submitted for approval separately or in combination with the main collection of information. </w:t>
      </w:r>
    </w:p>
    <w:p w:rsidRPr="00946ACF" w:rsidR="00075224" w:rsidP="00075224" w:rsidRDefault="00075224" w14:paraId="33762ECC" w14:textId="3D83B317">
      <w:pPr>
        <w:rPr>
          <w:rFonts w:ascii="Times New Roman" w:hAnsi="Times New Roman"/>
          <w:b/>
          <w:bCs/>
          <w:sz w:val="24"/>
          <w:szCs w:val="24"/>
        </w:rPr>
      </w:pPr>
      <w:r w:rsidRPr="00946ACF">
        <w:rPr>
          <w:rFonts w:ascii="Times New Roman" w:hAnsi="Times New Roman"/>
          <w:b/>
          <w:bCs/>
          <w:sz w:val="24"/>
          <w:szCs w:val="24"/>
        </w:rPr>
        <w:t xml:space="preserve">5. Provide the name and telephone number of individuals consulted on statistical aspects of the design and the name of the agency unit, contractor(s), grantee(s), or other person(s) who will collect and/or analyze the information for the agency. </w:t>
      </w:r>
    </w:p>
    <w:p w:rsidRPr="006E12AC" w:rsidR="00B22D18" w:rsidP="00B22D18" w:rsidRDefault="00B22D18" w14:paraId="4B406EE0" w14:textId="77777777">
      <w:pPr>
        <w:rPr>
          <w:rFonts w:ascii="Times New Roman" w:hAnsi="Times New Roman"/>
          <w:sz w:val="24"/>
          <w:szCs w:val="24"/>
        </w:rPr>
      </w:pPr>
      <w:r w:rsidRPr="006E12AC">
        <w:rPr>
          <w:rFonts w:ascii="Times New Roman" w:hAnsi="Times New Roman"/>
          <w:sz w:val="24"/>
          <w:szCs w:val="24"/>
        </w:rPr>
        <w:t xml:space="preserve">This collection of information does not employ statistical methods. </w:t>
      </w:r>
    </w:p>
    <w:p w:rsidRPr="00575D07" w:rsidR="0066398E" w:rsidP="00075224" w:rsidRDefault="0066398E" w14:paraId="57EE2385" w14:textId="77777777">
      <w:pPr>
        <w:rPr>
          <w:rFonts w:ascii="Times New Roman" w:hAnsi="Times New Roman"/>
          <w:sz w:val="24"/>
          <w:szCs w:val="24"/>
        </w:rPr>
      </w:pPr>
    </w:p>
    <w:sectPr w:rsidRPr="00575D07" w:rsidR="0066398E" w:rsidSect="00075224">
      <w:footerReference w:type="even" r:id="rId12"/>
      <w:footerReference w:type="default" r:id="rId13"/>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AE000" w14:textId="77777777" w:rsidR="0022348F" w:rsidRDefault="0022348F" w:rsidP="00075224">
      <w:pPr>
        <w:spacing w:after="0" w:line="240" w:lineRule="auto"/>
      </w:pPr>
      <w:r>
        <w:separator/>
      </w:r>
    </w:p>
  </w:endnote>
  <w:endnote w:type="continuationSeparator" w:id="0">
    <w:p w14:paraId="59257C64" w14:textId="77777777" w:rsidR="0022348F" w:rsidRDefault="0022348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5F64F" w14:textId="77777777" w:rsidR="00CD759D" w:rsidRDefault="00CD7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072DA3" w14:textId="77777777" w:rsidR="00CD759D" w:rsidRDefault="00CD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4197" w14:textId="77777777" w:rsidR="00CD759D" w:rsidRDefault="00CD7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AD2C3A" w14:textId="77777777" w:rsidR="00CD759D" w:rsidRDefault="00CD759D"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BE3C4" w14:textId="77777777" w:rsidR="0022348F" w:rsidRDefault="0022348F" w:rsidP="00075224">
      <w:pPr>
        <w:spacing w:after="0" w:line="240" w:lineRule="auto"/>
      </w:pPr>
      <w:r>
        <w:separator/>
      </w:r>
    </w:p>
  </w:footnote>
  <w:footnote w:type="continuationSeparator" w:id="0">
    <w:p w14:paraId="4587E5F2" w14:textId="77777777" w:rsidR="0022348F" w:rsidRDefault="0022348F"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A0AA0"/>
    <w:multiLevelType w:val="hybridMultilevel"/>
    <w:tmpl w:val="C0A2B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202B5938"/>
    <w:multiLevelType w:val="hybridMultilevel"/>
    <w:tmpl w:val="E5BCF29C"/>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8E1DC7"/>
    <w:multiLevelType w:val="hybridMultilevel"/>
    <w:tmpl w:val="0796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57736"/>
    <w:multiLevelType w:val="hybridMultilevel"/>
    <w:tmpl w:val="6A2A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227A"/>
    <w:multiLevelType w:val="hybridMultilevel"/>
    <w:tmpl w:val="BF3AB6F0"/>
    <w:lvl w:ilvl="0" w:tplc="C602D6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9"/>
  </w:num>
  <w:num w:numId="3">
    <w:abstractNumId w:val="1"/>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3"/>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0171F"/>
    <w:rsid w:val="00001E67"/>
    <w:rsid w:val="00007F3A"/>
    <w:rsid w:val="00007FC3"/>
    <w:rsid w:val="0001139E"/>
    <w:rsid w:val="00012938"/>
    <w:rsid w:val="00013302"/>
    <w:rsid w:val="00013846"/>
    <w:rsid w:val="000151EE"/>
    <w:rsid w:val="00016A87"/>
    <w:rsid w:val="00020EA7"/>
    <w:rsid w:val="0002173F"/>
    <w:rsid w:val="00023550"/>
    <w:rsid w:val="00025522"/>
    <w:rsid w:val="00030222"/>
    <w:rsid w:val="000304C7"/>
    <w:rsid w:val="00031A3E"/>
    <w:rsid w:val="00032018"/>
    <w:rsid w:val="0003215F"/>
    <w:rsid w:val="0003260F"/>
    <w:rsid w:val="00032745"/>
    <w:rsid w:val="0003387E"/>
    <w:rsid w:val="00033B96"/>
    <w:rsid w:val="0003567C"/>
    <w:rsid w:val="0003614B"/>
    <w:rsid w:val="000417AA"/>
    <w:rsid w:val="00043BAA"/>
    <w:rsid w:val="000547E6"/>
    <w:rsid w:val="0005589C"/>
    <w:rsid w:val="00074DA4"/>
    <w:rsid w:val="00075224"/>
    <w:rsid w:val="000752F9"/>
    <w:rsid w:val="000757FC"/>
    <w:rsid w:val="00075E52"/>
    <w:rsid w:val="00077AA0"/>
    <w:rsid w:val="00082ADF"/>
    <w:rsid w:val="0008336A"/>
    <w:rsid w:val="00084342"/>
    <w:rsid w:val="0009044C"/>
    <w:rsid w:val="00092974"/>
    <w:rsid w:val="00092F47"/>
    <w:rsid w:val="000A04A2"/>
    <w:rsid w:val="000A16DB"/>
    <w:rsid w:val="000A453C"/>
    <w:rsid w:val="000A4E66"/>
    <w:rsid w:val="000A56AB"/>
    <w:rsid w:val="000A5F70"/>
    <w:rsid w:val="000B2949"/>
    <w:rsid w:val="000B4874"/>
    <w:rsid w:val="000C1CE1"/>
    <w:rsid w:val="000D46E9"/>
    <w:rsid w:val="000D5C42"/>
    <w:rsid w:val="000E3985"/>
    <w:rsid w:val="000E7BB7"/>
    <w:rsid w:val="000F0897"/>
    <w:rsid w:val="000F1611"/>
    <w:rsid w:val="000F2663"/>
    <w:rsid w:val="000F4E94"/>
    <w:rsid w:val="000F7561"/>
    <w:rsid w:val="000F7B06"/>
    <w:rsid w:val="00102C1A"/>
    <w:rsid w:val="00103C4C"/>
    <w:rsid w:val="0010558E"/>
    <w:rsid w:val="00107A98"/>
    <w:rsid w:val="0011018D"/>
    <w:rsid w:val="00111186"/>
    <w:rsid w:val="00117260"/>
    <w:rsid w:val="00117920"/>
    <w:rsid w:val="00122A3E"/>
    <w:rsid w:val="00126CE0"/>
    <w:rsid w:val="00130270"/>
    <w:rsid w:val="00134D9E"/>
    <w:rsid w:val="0013508A"/>
    <w:rsid w:val="0013554C"/>
    <w:rsid w:val="00135FE2"/>
    <w:rsid w:val="001375D4"/>
    <w:rsid w:val="00142A8B"/>
    <w:rsid w:val="00146A62"/>
    <w:rsid w:val="00154DC7"/>
    <w:rsid w:val="00154FCE"/>
    <w:rsid w:val="001559C0"/>
    <w:rsid w:val="00161674"/>
    <w:rsid w:val="001632A6"/>
    <w:rsid w:val="00164BAE"/>
    <w:rsid w:val="00165508"/>
    <w:rsid w:val="00166B3A"/>
    <w:rsid w:val="00167FD2"/>
    <w:rsid w:val="00174045"/>
    <w:rsid w:val="00175338"/>
    <w:rsid w:val="0017674D"/>
    <w:rsid w:val="00185210"/>
    <w:rsid w:val="0018581D"/>
    <w:rsid w:val="00186985"/>
    <w:rsid w:val="00186B5F"/>
    <w:rsid w:val="00191357"/>
    <w:rsid w:val="00192906"/>
    <w:rsid w:val="00193355"/>
    <w:rsid w:val="0019374F"/>
    <w:rsid w:val="001944DF"/>
    <w:rsid w:val="00194EFA"/>
    <w:rsid w:val="001A23C4"/>
    <w:rsid w:val="001A5240"/>
    <w:rsid w:val="001A7307"/>
    <w:rsid w:val="001B12A6"/>
    <w:rsid w:val="001B2A67"/>
    <w:rsid w:val="001B307A"/>
    <w:rsid w:val="001B5B15"/>
    <w:rsid w:val="001B6EFC"/>
    <w:rsid w:val="001C6560"/>
    <w:rsid w:val="001D31C7"/>
    <w:rsid w:val="001D4845"/>
    <w:rsid w:val="001D4DC6"/>
    <w:rsid w:val="001D5B61"/>
    <w:rsid w:val="001D78C4"/>
    <w:rsid w:val="001E026F"/>
    <w:rsid w:val="001E3C07"/>
    <w:rsid w:val="001E43E1"/>
    <w:rsid w:val="002039BC"/>
    <w:rsid w:val="00206448"/>
    <w:rsid w:val="00206F63"/>
    <w:rsid w:val="0021084E"/>
    <w:rsid w:val="00213BBC"/>
    <w:rsid w:val="00214CB6"/>
    <w:rsid w:val="002157FE"/>
    <w:rsid w:val="00216B17"/>
    <w:rsid w:val="002205AA"/>
    <w:rsid w:val="00222621"/>
    <w:rsid w:val="0022348F"/>
    <w:rsid w:val="00225899"/>
    <w:rsid w:val="00226D43"/>
    <w:rsid w:val="00227AAD"/>
    <w:rsid w:val="00241CE4"/>
    <w:rsid w:val="00245257"/>
    <w:rsid w:val="0025468B"/>
    <w:rsid w:val="00256C14"/>
    <w:rsid w:val="0026089C"/>
    <w:rsid w:val="002610E7"/>
    <w:rsid w:val="0026393B"/>
    <w:rsid w:val="00263F17"/>
    <w:rsid w:val="00264F50"/>
    <w:rsid w:val="00267BC2"/>
    <w:rsid w:val="00267FD1"/>
    <w:rsid w:val="00274D14"/>
    <w:rsid w:val="0027538C"/>
    <w:rsid w:val="00275A1C"/>
    <w:rsid w:val="00280FBB"/>
    <w:rsid w:val="002825D5"/>
    <w:rsid w:val="00285020"/>
    <w:rsid w:val="0029110D"/>
    <w:rsid w:val="00295706"/>
    <w:rsid w:val="00295F02"/>
    <w:rsid w:val="00296DF2"/>
    <w:rsid w:val="002A0F2A"/>
    <w:rsid w:val="002A4319"/>
    <w:rsid w:val="002A43CD"/>
    <w:rsid w:val="002A491E"/>
    <w:rsid w:val="002B469A"/>
    <w:rsid w:val="002B66F1"/>
    <w:rsid w:val="002B7955"/>
    <w:rsid w:val="002C078D"/>
    <w:rsid w:val="002C3D39"/>
    <w:rsid w:val="002C4EFC"/>
    <w:rsid w:val="002C6424"/>
    <w:rsid w:val="002D06D1"/>
    <w:rsid w:val="002D229F"/>
    <w:rsid w:val="002D24B0"/>
    <w:rsid w:val="002D5152"/>
    <w:rsid w:val="002D5509"/>
    <w:rsid w:val="002D5966"/>
    <w:rsid w:val="002D628B"/>
    <w:rsid w:val="002D64EC"/>
    <w:rsid w:val="002E54DF"/>
    <w:rsid w:val="002F18AC"/>
    <w:rsid w:val="002F5556"/>
    <w:rsid w:val="002F6C80"/>
    <w:rsid w:val="003021F9"/>
    <w:rsid w:val="003026AE"/>
    <w:rsid w:val="00304210"/>
    <w:rsid w:val="00306E6D"/>
    <w:rsid w:val="003102B5"/>
    <w:rsid w:val="0031269B"/>
    <w:rsid w:val="00315AC0"/>
    <w:rsid w:val="003164AC"/>
    <w:rsid w:val="00320358"/>
    <w:rsid w:val="00320B94"/>
    <w:rsid w:val="00322892"/>
    <w:rsid w:val="003255D0"/>
    <w:rsid w:val="003257B4"/>
    <w:rsid w:val="00327705"/>
    <w:rsid w:val="0033104E"/>
    <w:rsid w:val="00333818"/>
    <w:rsid w:val="00334063"/>
    <w:rsid w:val="00335446"/>
    <w:rsid w:val="00341D7F"/>
    <w:rsid w:val="0034635E"/>
    <w:rsid w:val="003553AB"/>
    <w:rsid w:val="0035643D"/>
    <w:rsid w:val="003619CF"/>
    <w:rsid w:val="00366551"/>
    <w:rsid w:val="00367FE0"/>
    <w:rsid w:val="003705C7"/>
    <w:rsid w:val="003733FA"/>
    <w:rsid w:val="00385B6A"/>
    <w:rsid w:val="003905E0"/>
    <w:rsid w:val="00392143"/>
    <w:rsid w:val="00397418"/>
    <w:rsid w:val="003A451E"/>
    <w:rsid w:val="003A47F4"/>
    <w:rsid w:val="003B092D"/>
    <w:rsid w:val="003B31BA"/>
    <w:rsid w:val="003B3CE1"/>
    <w:rsid w:val="003B503D"/>
    <w:rsid w:val="003B609A"/>
    <w:rsid w:val="003B6380"/>
    <w:rsid w:val="003C0B45"/>
    <w:rsid w:val="003C212C"/>
    <w:rsid w:val="003C400F"/>
    <w:rsid w:val="003C6333"/>
    <w:rsid w:val="003D1A82"/>
    <w:rsid w:val="003D3742"/>
    <w:rsid w:val="003D48D5"/>
    <w:rsid w:val="003D7476"/>
    <w:rsid w:val="003D7492"/>
    <w:rsid w:val="003E064E"/>
    <w:rsid w:val="003E1C0A"/>
    <w:rsid w:val="003E34CB"/>
    <w:rsid w:val="003E5CD4"/>
    <w:rsid w:val="003F492B"/>
    <w:rsid w:val="003F4D24"/>
    <w:rsid w:val="003F6EA7"/>
    <w:rsid w:val="0040475F"/>
    <w:rsid w:val="004059F0"/>
    <w:rsid w:val="0040615F"/>
    <w:rsid w:val="004062C3"/>
    <w:rsid w:val="004073C1"/>
    <w:rsid w:val="004101E5"/>
    <w:rsid w:val="00413CA0"/>
    <w:rsid w:val="004242F9"/>
    <w:rsid w:val="004318DA"/>
    <w:rsid w:val="00436C61"/>
    <w:rsid w:val="004449BF"/>
    <w:rsid w:val="00445C0F"/>
    <w:rsid w:val="00456318"/>
    <w:rsid w:val="004571FB"/>
    <w:rsid w:val="0045793A"/>
    <w:rsid w:val="00457B2B"/>
    <w:rsid w:val="0046063D"/>
    <w:rsid w:val="00462053"/>
    <w:rsid w:val="004620DB"/>
    <w:rsid w:val="004623A9"/>
    <w:rsid w:val="00470176"/>
    <w:rsid w:val="00472928"/>
    <w:rsid w:val="00480874"/>
    <w:rsid w:val="0048261A"/>
    <w:rsid w:val="00483927"/>
    <w:rsid w:val="00483BB3"/>
    <w:rsid w:val="004875AA"/>
    <w:rsid w:val="004876D7"/>
    <w:rsid w:val="00490E31"/>
    <w:rsid w:val="00492170"/>
    <w:rsid w:val="004939BF"/>
    <w:rsid w:val="00494C86"/>
    <w:rsid w:val="00496270"/>
    <w:rsid w:val="00496924"/>
    <w:rsid w:val="00497D3B"/>
    <w:rsid w:val="004A2F7B"/>
    <w:rsid w:val="004A3278"/>
    <w:rsid w:val="004A6E26"/>
    <w:rsid w:val="004B0C3C"/>
    <w:rsid w:val="004B5BC0"/>
    <w:rsid w:val="004C2787"/>
    <w:rsid w:val="004C577A"/>
    <w:rsid w:val="004D0014"/>
    <w:rsid w:val="004D04B1"/>
    <w:rsid w:val="004D0803"/>
    <w:rsid w:val="004D2427"/>
    <w:rsid w:val="004D2834"/>
    <w:rsid w:val="004D2AFE"/>
    <w:rsid w:val="004D2DD6"/>
    <w:rsid w:val="004E67A0"/>
    <w:rsid w:val="004F341B"/>
    <w:rsid w:val="004F7F5F"/>
    <w:rsid w:val="00500113"/>
    <w:rsid w:val="005007B4"/>
    <w:rsid w:val="0050120C"/>
    <w:rsid w:val="005034F7"/>
    <w:rsid w:val="00506CEE"/>
    <w:rsid w:val="00515B9C"/>
    <w:rsid w:val="00515E45"/>
    <w:rsid w:val="00517117"/>
    <w:rsid w:val="005202C5"/>
    <w:rsid w:val="0052106C"/>
    <w:rsid w:val="005274F1"/>
    <w:rsid w:val="00535484"/>
    <w:rsid w:val="0053608A"/>
    <w:rsid w:val="00537C87"/>
    <w:rsid w:val="00537E0C"/>
    <w:rsid w:val="00543BD2"/>
    <w:rsid w:val="00550583"/>
    <w:rsid w:val="00552B95"/>
    <w:rsid w:val="00561E6E"/>
    <w:rsid w:val="00562FBE"/>
    <w:rsid w:val="0056381D"/>
    <w:rsid w:val="00566CE0"/>
    <w:rsid w:val="005702FD"/>
    <w:rsid w:val="0057124F"/>
    <w:rsid w:val="0057230C"/>
    <w:rsid w:val="0057378F"/>
    <w:rsid w:val="005753BD"/>
    <w:rsid w:val="005756BE"/>
    <w:rsid w:val="00575D07"/>
    <w:rsid w:val="00577741"/>
    <w:rsid w:val="0058359F"/>
    <w:rsid w:val="00586144"/>
    <w:rsid w:val="00586A99"/>
    <w:rsid w:val="0059262E"/>
    <w:rsid w:val="00593BEA"/>
    <w:rsid w:val="00595D85"/>
    <w:rsid w:val="005A0662"/>
    <w:rsid w:val="005A1ADE"/>
    <w:rsid w:val="005A2F19"/>
    <w:rsid w:val="005A40C1"/>
    <w:rsid w:val="005A6EB8"/>
    <w:rsid w:val="005B0E94"/>
    <w:rsid w:val="005B1405"/>
    <w:rsid w:val="005C2631"/>
    <w:rsid w:val="005C2D74"/>
    <w:rsid w:val="005C3218"/>
    <w:rsid w:val="005C78AA"/>
    <w:rsid w:val="005D21A4"/>
    <w:rsid w:val="005D26B9"/>
    <w:rsid w:val="005D2D8C"/>
    <w:rsid w:val="005D413C"/>
    <w:rsid w:val="005D7B2C"/>
    <w:rsid w:val="005E034E"/>
    <w:rsid w:val="005E1B3A"/>
    <w:rsid w:val="005E226B"/>
    <w:rsid w:val="005E3692"/>
    <w:rsid w:val="005E4603"/>
    <w:rsid w:val="005E557A"/>
    <w:rsid w:val="005E7A54"/>
    <w:rsid w:val="005F3E52"/>
    <w:rsid w:val="006031A2"/>
    <w:rsid w:val="006033BB"/>
    <w:rsid w:val="00610C3C"/>
    <w:rsid w:val="006121B1"/>
    <w:rsid w:val="00614A92"/>
    <w:rsid w:val="00615C38"/>
    <w:rsid w:val="00620069"/>
    <w:rsid w:val="006207EB"/>
    <w:rsid w:val="00621C09"/>
    <w:rsid w:val="0062219E"/>
    <w:rsid w:val="00631874"/>
    <w:rsid w:val="00640A3F"/>
    <w:rsid w:val="00645706"/>
    <w:rsid w:val="006466B8"/>
    <w:rsid w:val="00646B4E"/>
    <w:rsid w:val="00652B80"/>
    <w:rsid w:val="0066179A"/>
    <w:rsid w:val="0066398E"/>
    <w:rsid w:val="006660D7"/>
    <w:rsid w:val="0066663B"/>
    <w:rsid w:val="00666CF0"/>
    <w:rsid w:val="0067098C"/>
    <w:rsid w:val="0067121D"/>
    <w:rsid w:val="006717F4"/>
    <w:rsid w:val="00672892"/>
    <w:rsid w:val="00675ACC"/>
    <w:rsid w:val="00680E4E"/>
    <w:rsid w:val="006826C2"/>
    <w:rsid w:val="00687647"/>
    <w:rsid w:val="0068770D"/>
    <w:rsid w:val="006956A7"/>
    <w:rsid w:val="006A389A"/>
    <w:rsid w:val="006A571A"/>
    <w:rsid w:val="006A6E20"/>
    <w:rsid w:val="006A7B36"/>
    <w:rsid w:val="006B455E"/>
    <w:rsid w:val="006B4915"/>
    <w:rsid w:val="006B5378"/>
    <w:rsid w:val="006B585B"/>
    <w:rsid w:val="006B6621"/>
    <w:rsid w:val="006C2CF5"/>
    <w:rsid w:val="006C3FA2"/>
    <w:rsid w:val="006D0D1E"/>
    <w:rsid w:val="006D121C"/>
    <w:rsid w:val="006D25C7"/>
    <w:rsid w:val="006D275A"/>
    <w:rsid w:val="006D3454"/>
    <w:rsid w:val="006D34B8"/>
    <w:rsid w:val="006D7C24"/>
    <w:rsid w:val="006E64E4"/>
    <w:rsid w:val="006F3911"/>
    <w:rsid w:val="006F5275"/>
    <w:rsid w:val="006F7960"/>
    <w:rsid w:val="007000E0"/>
    <w:rsid w:val="00700A74"/>
    <w:rsid w:val="0070127C"/>
    <w:rsid w:val="00701E12"/>
    <w:rsid w:val="00702A91"/>
    <w:rsid w:val="007036AE"/>
    <w:rsid w:val="0070607C"/>
    <w:rsid w:val="0070716A"/>
    <w:rsid w:val="00711F61"/>
    <w:rsid w:val="0071208B"/>
    <w:rsid w:val="00721C2F"/>
    <w:rsid w:val="0072217E"/>
    <w:rsid w:val="0072528E"/>
    <w:rsid w:val="0073412C"/>
    <w:rsid w:val="0073674D"/>
    <w:rsid w:val="00736FDB"/>
    <w:rsid w:val="00737709"/>
    <w:rsid w:val="007416E8"/>
    <w:rsid w:val="007419E1"/>
    <w:rsid w:val="00741B05"/>
    <w:rsid w:val="0074325B"/>
    <w:rsid w:val="007455E2"/>
    <w:rsid w:val="00745D53"/>
    <w:rsid w:val="00750B0F"/>
    <w:rsid w:val="007556E9"/>
    <w:rsid w:val="007560BD"/>
    <w:rsid w:val="00757646"/>
    <w:rsid w:val="00762154"/>
    <w:rsid w:val="0076523D"/>
    <w:rsid w:val="007712C9"/>
    <w:rsid w:val="007717B7"/>
    <w:rsid w:val="007722AC"/>
    <w:rsid w:val="00772E7E"/>
    <w:rsid w:val="0077661A"/>
    <w:rsid w:val="007825E8"/>
    <w:rsid w:val="00784569"/>
    <w:rsid w:val="00784C89"/>
    <w:rsid w:val="00796F66"/>
    <w:rsid w:val="0079725A"/>
    <w:rsid w:val="00797FB9"/>
    <w:rsid w:val="007A176A"/>
    <w:rsid w:val="007A4386"/>
    <w:rsid w:val="007A4F52"/>
    <w:rsid w:val="007A5C30"/>
    <w:rsid w:val="007A61FB"/>
    <w:rsid w:val="007A6BEB"/>
    <w:rsid w:val="007B0390"/>
    <w:rsid w:val="007B246E"/>
    <w:rsid w:val="007B42E2"/>
    <w:rsid w:val="007B68B3"/>
    <w:rsid w:val="007C14CF"/>
    <w:rsid w:val="007C2820"/>
    <w:rsid w:val="007C551C"/>
    <w:rsid w:val="007C6C89"/>
    <w:rsid w:val="007C73C7"/>
    <w:rsid w:val="007C7580"/>
    <w:rsid w:val="007D168E"/>
    <w:rsid w:val="007D2760"/>
    <w:rsid w:val="007D4098"/>
    <w:rsid w:val="007D5DD7"/>
    <w:rsid w:val="007D6D92"/>
    <w:rsid w:val="007E192F"/>
    <w:rsid w:val="007E2605"/>
    <w:rsid w:val="007E3D62"/>
    <w:rsid w:val="007E5AF5"/>
    <w:rsid w:val="007E7E0D"/>
    <w:rsid w:val="007F1161"/>
    <w:rsid w:val="007F6331"/>
    <w:rsid w:val="008020E5"/>
    <w:rsid w:val="008034EE"/>
    <w:rsid w:val="00803674"/>
    <w:rsid w:val="0081338A"/>
    <w:rsid w:val="00820A98"/>
    <w:rsid w:val="00825760"/>
    <w:rsid w:val="00825F8B"/>
    <w:rsid w:val="00826A31"/>
    <w:rsid w:val="00826D7F"/>
    <w:rsid w:val="00827FC5"/>
    <w:rsid w:val="00834719"/>
    <w:rsid w:val="00837F19"/>
    <w:rsid w:val="00840802"/>
    <w:rsid w:val="0084281F"/>
    <w:rsid w:val="008435B6"/>
    <w:rsid w:val="008438C6"/>
    <w:rsid w:val="00843E75"/>
    <w:rsid w:val="00844115"/>
    <w:rsid w:val="0084411E"/>
    <w:rsid w:val="00844CB2"/>
    <w:rsid w:val="008519AA"/>
    <w:rsid w:val="0085204F"/>
    <w:rsid w:val="00860BC9"/>
    <w:rsid w:val="00861EFD"/>
    <w:rsid w:val="00862FEB"/>
    <w:rsid w:val="00863169"/>
    <w:rsid w:val="00865A6D"/>
    <w:rsid w:val="00865E3D"/>
    <w:rsid w:val="008703D8"/>
    <w:rsid w:val="00871C4B"/>
    <w:rsid w:val="00872DC2"/>
    <w:rsid w:val="00873147"/>
    <w:rsid w:val="00874486"/>
    <w:rsid w:val="00885D33"/>
    <w:rsid w:val="00886F14"/>
    <w:rsid w:val="00893438"/>
    <w:rsid w:val="00896392"/>
    <w:rsid w:val="00896454"/>
    <w:rsid w:val="008977C7"/>
    <w:rsid w:val="008A025C"/>
    <w:rsid w:val="008A045D"/>
    <w:rsid w:val="008A7598"/>
    <w:rsid w:val="008B3019"/>
    <w:rsid w:val="008B3433"/>
    <w:rsid w:val="008B4132"/>
    <w:rsid w:val="008B59A7"/>
    <w:rsid w:val="008C1C37"/>
    <w:rsid w:val="008C3B88"/>
    <w:rsid w:val="008D1A60"/>
    <w:rsid w:val="008D1DD9"/>
    <w:rsid w:val="008D1E46"/>
    <w:rsid w:val="008D239A"/>
    <w:rsid w:val="008D2E58"/>
    <w:rsid w:val="008D305A"/>
    <w:rsid w:val="008D3D79"/>
    <w:rsid w:val="008E5970"/>
    <w:rsid w:val="008F1B19"/>
    <w:rsid w:val="008F1C53"/>
    <w:rsid w:val="009004C0"/>
    <w:rsid w:val="00900616"/>
    <w:rsid w:val="0090255E"/>
    <w:rsid w:val="00903744"/>
    <w:rsid w:val="00910371"/>
    <w:rsid w:val="00916F85"/>
    <w:rsid w:val="00921C7E"/>
    <w:rsid w:val="009226CD"/>
    <w:rsid w:val="00927AEE"/>
    <w:rsid w:val="009303C6"/>
    <w:rsid w:val="00932C97"/>
    <w:rsid w:val="009339F7"/>
    <w:rsid w:val="00934001"/>
    <w:rsid w:val="00934097"/>
    <w:rsid w:val="00937A17"/>
    <w:rsid w:val="00941579"/>
    <w:rsid w:val="00942621"/>
    <w:rsid w:val="00942E6C"/>
    <w:rsid w:val="0094324D"/>
    <w:rsid w:val="00943467"/>
    <w:rsid w:val="00946ACF"/>
    <w:rsid w:val="00947C22"/>
    <w:rsid w:val="00947F10"/>
    <w:rsid w:val="0095025D"/>
    <w:rsid w:val="009524CE"/>
    <w:rsid w:val="00954C81"/>
    <w:rsid w:val="00955AEC"/>
    <w:rsid w:val="009625C8"/>
    <w:rsid w:val="00962996"/>
    <w:rsid w:val="00964F1B"/>
    <w:rsid w:val="009707DD"/>
    <w:rsid w:val="009733E5"/>
    <w:rsid w:val="009756FB"/>
    <w:rsid w:val="009814CB"/>
    <w:rsid w:val="00981519"/>
    <w:rsid w:val="00982371"/>
    <w:rsid w:val="009841AB"/>
    <w:rsid w:val="009842DE"/>
    <w:rsid w:val="00984512"/>
    <w:rsid w:val="009846B3"/>
    <w:rsid w:val="00984D0C"/>
    <w:rsid w:val="00986A6C"/>
    <w:rsid w:val="00986DD2"/>
    <w:rsid w:val="00992568"/>
    <w:rsid w:val="009A0122"/>
    <w:rsid w:val="009A1875"/>
    <w:rsid w:val="009A3A5E"/>
    <w:rsid w:val="009A403A"/>
    <w:rsid w:val="009A6E87"/>
    <w:rsid w:val="009B02CB"/>
    <w:rsid w:val="009B3C57"/>
    <w:rsid w:val="009B7674"/>
    <w:rsid w:val="009C712E"/>
    <w:rsid w:val="009D3575"/>
    <w:rsid w:val="009D5108"/>
    <w:rsid w:val="009D5269"/>
    <w:rsid w:val="009D794F"/>
    <w:rsid w:val="009E00ED"/>
    <w:rsid w:val="009E118C"/>
    <w:rsid w:val="009E285F"/>
    <w:rsid w:val="009F1176"/>
    <w:rsid w:val="009F2E3D"/>
    <w:rsid w:val="009F3A29"/>
    <w:rsid w:val="009F5C05"/>
    <w:rsid w:val="009F65D0"/>
    <w:rsid w:val="00A0109C"/>
    <w:rsid w:val="00A03FBB"/>
    <w:rsid w:val="00A1193F"/>
    <w:rsid w:val="00A15DFB"/>
    <w:rsid w:val="00A2062A"/>
    <w:rsid w:val="00A26104"/>
    <w:rsid w:val="00A26C3F"/>
    <w:rsid w:val="00A30093"/>
    <w:rsid w:val="00A3072D"/>
    <w:rsid w:val="00A31CFF"/>
    <w:rsid w:val="00A32A9A"/>
    <w:rsid w:val="00A33706"/>
    <w:rsid w:val="00A34D4D"/>
    <w:rsid w:val="00A34E44"/>
    <w:rsid w:val="00A434AF"/>
    <w:rsid w:val="00A4599D"/>
    <w:rsid w:val="00A5239E"/>
    <w:rsid w:val="00A534C6"/>
    <w:rsid w:val="00A56D63"/>
    <w:rsid w:val="00A643C0"/>
    <w:rsid w:val="00A64F36"/>
    <w:rsid w:val="00A65C22"/>
    <w:rsid w:val="00A67206"/>
    <w:rsid w:val="00A715B6"/>
    <w:rsid w:val="00A7556B"/>
    <w:rsid w:val="00A77997"/>
    <w:rsid w:val="00A81F24"/>
    <w:rsid w:val="00A81FB6"/>
    <w:rsid w:val="00A82D8A"/>
    <w:rsid w:val="00A859AE"/>
    <w:rsid w:val="00A86A27"/>
    <w:rsid w:val="00A86D20"/>
    <w:rsid w:val="00A91AA3"/>
    <w:rsid w:val="00A91E52"/>
    <w:rsid w:val="00A944D4"/>
    <w:rsid w:val="00A94CE7"/>
    <w:rsid w:val="00A94FC0"/>
    <w:rsid w:val="00A95278"/>
    <w:rsid w:val="00A96F43"/>
    <w:rsid w:val="00A9759B"/>
    <w:rsid w:val="00A97C7E"/>
    <w:rsid w:val="00AA04EA"/>
    <w:rsid w:val="00AA0679"/>
    <w:rsid w:val="00AA6BD3"/>
    <w:rsid w:val="00AB4B8F"/>
    <w:rsid w:val="00AB5BDD"/>
    <w:rsid w:val="00AB5F92"/>
    <w:rsid w:val="00AC1818"/>
    <w:rsid w:val="00AC2BC0"/>
    <w:rsid w:val="00AD1A25"/>
    <w:rsid w:val="00AD7242"/>
    <w:rsid w:val="00AF2D6D"/>
    <w:rsid w:val="00AF43E1"/>
    <w:rsid w:val="00AF4A59"/>
    <w:rsid w:val="00AF778A"/>
    <w:rsid w:val="00B02545"/>
    <w:rsid w:val="00B02B1A"/>
    <w:rsid w:val="00B05ADE"/>
    <w:rsid w:val="00B075E4"/>
    <w:rsid w:val="00B121FA"/>
    <w:rsid w:val="00B159A3"/>
    <w:rsid w:val="00B15F61"/>
    <w:rsid w:val="00B17760"/>
    <w:rsid w:val="00B2008B"/>
    <w:rsid w:val="00B2143F"/>
    <w:rsid w:val="00B22806"/>
    <w:rsid w:val="00B22C61"/>
    <w:rsid w:val="00B22D18"/>
    <w:rsid w:val="00B243BB"/>
    <w:rsid w:val="00B253CD"/>
    <w:rsid w:val="00B25E47"/>
    <w:rsid w:val="00B33154"/>
    <w:rsid w:val="00B33CED"/>
    <w:rsid w:val="00B34B61"/>
    <w:rsid w:val="00B407A0"/>
    <w:rsid w:val="00B415D5"/>
    <w:rsid w:val="00B416BA"/>
    <w:rsid w:val="00B41E73"/>
    <w:rsid w:val="00B4414D"/>
    <w:rsid w:val="00B44CCC"/>
    <w:rsid w:val="00B47F30"/>
    <w:rsid w:val="00B5018E"/>
    <w:rsid w:val="00B52478"/>
    <w:rsid w:val="00B52FC5"/>
    <w:rsid w:val="00B602D5"/>
    <w:rsid w:val="00B60A1B"/>
    <w:rsid w:val="00B61AF8"/>
    <w:rsid w:val="00B62C87"/>
    <w:rsid w:val="00B6357A"/>
    <w:rsid w:val="00B636AC"/>
    <w:rsid w:val="00B6379D"/>
    <w:rsid w:val="00B6571A"/>
    <w:rsid w:val="00B65C67"/>
    <w:rsid w:val="00B70168"/>
    <w:rsid w:val="00B7121A"/>
    <w:rsid w:val="00B72232"/>
    <w:rsid w:val="00B7253E"/>
    <w:rsid w:val="00B8175A"/>
    <w:rsid w:val="00B83290"/>
    <w:rsid w:val="00B9159E"/>
    <w:rsid w:val="00B92AB3"/>
    <w:rsid w:val="00B949B2"/>
    <w:rsid w:val="00B96BCC"/>
    <w:rsid w:val="00BA127C"/>
    <w:rsid w:val="00BA2D47"/>
    <w:rsid w:val="00BB0C2B"/>
    <w:rsid w:val="00BB4257"/>
    <w:rsid w:val="00BB5710"/>
    <w:rsid w:val="00BB6F6C"/>
    <w:rsid w:val="00BB7A47"/>
    <w:rsid w:val="00BC032E"/>
    <w:rsid w:val="00BC0A0B"/>
    <w:rsid w:val="00BC0C14"/>
    <w:rsid w:val="00BC2599"/>
    <w:rsid w:val="00BC5D1E"/>
    <w:rsid w:val="00BD04D4"/>
    <w:rsid w:val="00BD2142"/>
    <w:rsid w:val="00BD55D6"/>
    <w:rsid w:val="00BD593A"/>
    <w:rsid w:val="00BE10BF"/>
    <w:rsid w:val="00BE4453"/>
    <w:rsid w:val="00BE75B8"/>
    <w:rsid w:val="00BF0B5D"/>
    <w:rsid w:val="00BF0DCE"/>
    <w:rsid w:val="00BF1B72"/>
    <w:rsid w:val="00BF222E"/>
    <w:rsid w:val="00C02ABE"/>
    <w:rsid w:val="00C02E85"/>
    <w:rsid w:val="00C075F6"/>
    <w:rsid w:val="00C1104D"/>
    <w:rsid w:val="00C1539F"/>
    <w:rsid w:val="00C1586E"/>
    <w:rsid w:val="00C1791B"/>
    <w:rsid w:val="00C255E9"/>
    <w:rsid w:val="00C301DA"/>
    <w:rsid w:val="00C333C8"/>
    <w:rsid w:val="00C34EDD"/>
    <w:rsid w:val="00C34F85"/>
    <w:rsid w:val="00C35377"/>
    <w:rsid w:val="00C53DC5"/>
    <w:rsid w:val="00C543D0"/>
    <w:rsid w:val="00C557C2"/>
    <w:rsid w:val="00C57619"/>
    <w:rsid w:val="00C62DDC"/>
    <w:rsid w:val="00C67919"/>
    <w:rsid w:val="00C6795B"/>
    <w:rsid w:val="00C722A1"/>
    <w:rsid w:val="00C73078"/>
    <w:rsid w:val="00C73769"/>
    <w:rsid w:val="00C77C7C"/>
    <w:rsid w:val="00C823CF"/>
    <w:rsid w:val="00C8382F"/>
    <w:rsid w:val="00C83A81"/>
    <w:rsid w:val="00C94405"/>
    <w:rsid w:val="00C94723"/>
    <w:rsid w:val="00C948B8"/>
    <w:rsid w:val="00C95553"/>
    <w:rsid w:val="00C95EAC"/>
    <w:rsid w:val="00C96FF9"/>
    <w:rsid w:val="00CC16CB"/>
    <w:rsid w:val="00CC4D6B"/>
    <w:rsid w:val="00CC4DF2"/>
    <w:rsid w:val="00CC5292"/>
    <w:rsid w:val="00CD0E4C"/>
    <w:rsid w:val="00CD1813"/>
    <w:rsid w:val="00CD759D"/>
    <w:rsid w:val="00CE17ED"/>
    <w:rsid w:val="00CE3944"/>
    <w:rsid w:val="00CE40C5"/>
    <w:rsid w:val="00CE4995"/>
    <w:rsid w:val="00CE6CE8"/>
    <w:rsid w:val="00CF1C14"/>
    <w:rsid w:val="00CF1F25"/>
    <w:rsid w:val="00CF4404"/>
    <w:rsid w:val="00CF63AC"/>
    <w:rsid w:val="00CF69EF"/>
    <w:rsid w:val="00CF7191"/>
    <w:rsid w:val="00D02B59"/>
    <w:rsid w:val="00D03138"/>
    <w:rsid w:val="00D03660"/>
    <w:rsid w:val="00D124A1"/>
    <w:rsid w:val="00D127E8"/>
    <w:rsid w:val="00D131D0"/>
    <w:rsid w:val="00D149CA"/>
    <w:rsid w:val="00D14C6B"/>
    <w:rsid w:val="00D17036"/>
    <w:rsid w:val="00D20CCD"/>
    <w:rsid w:val="00D24ED7"/>
    <w:rsid w:val="00D27406"/>
    <w:rsid w:val="00D278D1"/>
    <w:rsid w:val="00D279D4"/>
    <w:rsid w:val="00D31F02"/>
    <w:rsid w:val="00D325B7"/>
    <w:rsid w:val="00D3384E"/>
    <w:rsid w:val="00D3609C"/>
    <w:rsid w:val="00D36BCE"/>
    <w:rsid w:val="00D447EE"/>
    <w:rsid w:val="00D46204"/>
    <w:rsid w:val="00D47BEE"/>
    <w:rsid w:val="00D5054E"/>
    <w:rsid w:val="00D530F9"/>
    <w:rsid w:val="00D57D96"/>
    <w:rsid w:val="00D62BEF"/>
    <w:rsid w:val="00D678C2"/>
    <w:rsid w:val="00D70275"/>
    <w:rsid w:val="00D720B2"/>
    <w:rsid w:val="00D7232E"/>
    <w:rsid w:val="00D81DD2"/>
    <w:rsid w:val="00D84506"/>
    <w:rsid w:val="00D84926"/>
    <w:rsid w:val="00D849F1"/>
    <w:rsid w:val="00D853FF"/>
    <w:rsid w:val="00D86663"/>
    <w:rsid w:val="00DA0DEC"/>
    <w:rsid w:val="00DA3254"/>
    <w:rsid w:val="00DA41A2"/>
    <w:rsid w:val="00DA717A"/>
    <w:rsid w:val="00DA7850"/>
    <w:rsid w:val="00DA7AF8"/>
    <w:rsid w:val="00DB0C23"/>
    <w:rsid w:val="00DB138D"/>
    <w:rsid w:val="00DB3335"/>
    <w:rsid w:val="00DB5FCA"/>
    <w:rsid w:val="00DC034A"/>
    <w:rsid w:val="00DC1E6C"/>
    <w:rsid w:val="00DD04E6"/>
    <w:rsid w:val="00DD51DA"/>
    <w:rsid w:val="00DD58A0"/>
    <w:rsid w:val="00DD69FB"/>
    <w:rsid w:val="00DE05B6"/>
    <w:rsid w:val="00DE4B8B"/>
    <w:rsid w:val="00DE56F3"/>
    <w:rsid w:val="00DE7A10"/>
    <w:rsid w:val="00DF2635"/>
    <w:rsid w:val="00DF2865"/>
    <w:rsid w:val="00DF6749"/>
    <w:rsid w:val="00E0334A"/>
    <w:rsid w:val="00E04610"/>
    <w:rsid w:val="00E05147"/>
    <w:rsid w:val="00E114D3"/>
    <w:rsid w:val="00E14FE6"/>
    <w:rsid w:val="00E15499"/>
    <w:rsid w:val="00E1566B"/>
    <w:rsid w:val="00E2192C"/>
    <w:rsid w:val="00E25AB3"/>
    <w:rsid w:val="00E2749E"/>
    <w:rsid w:val="00E335C6"/>
    <w:rsid w:val="00E34B6A"/>
    <w:rsid w:val="00E34D1A"/>
    <w:rsid w:val="00E376FC"/>
    <w:rsid w:val="00E41177"/>
    <w:rsid w:val="00E4400E"/>
    <w:rsid w:val="00E450C2"/>
    <w:rsid w:val="00E50CD9"/>
    <w:rsid w:val="00E53DE7"/>
    <w:rsid w:val="00E60462"/>
    <w:rsid w:val="00E62FFE"/>
    <w:rsid w:val="00E630BA"/>
    <w:rsid w:val="00E81921"/>
    <w:rsid w:val="00E81B67"/>
    <w:rsid w:val="00E83A25"/>
    <w:rsid w:val="00E83C32"/>
    <w:rsid w:val="00E865F0"/>
    <w:rsid w:val="00E957FC"/>
    <w:rsid w:val="00E96657"/>
    <w:rsid w:val="00EA2CFC"/>
    <w:rsid w:val="00EA3B05"/>
    <w:rsid w:val="00EB4D7E"/>
    <w:rsid w:val="00EB639B"/>
    <w:rsid w:val="00EB76B6"/>
    <w:rsid w:val="00EC253E"/>
    <w:rsid w:val="00EC46E5"/>
    <w:rsid w:val="00EC54BB"/>
    <w:rsid w:val="00EC6224"/>
    <w:rsid w:val="00ED2D0F"/>
    <w:rsid w:val="00EE2F99"/>
    <w:rsid w:val="00EF23C2"/>
    <w:rsid w:val="00EF4C18"/>
    <w:rsid w:val="00EF6F04"/>
    <w:rsid w:val="00F00765"/>
    <w:rsid w:val="00F07C91"/>
    <w:rsid w:val="00F11FFE"/>
    <w:rsid w:val="00F12F9A"/>
    <w:rsid w:val="00F2058B"/>
    <w:rsid w:val="00F20DA7"/>
    <w:rsid w:val="00F2113B"/>
    <w:rsid w:val="00F25E6F"/>
    <w:rsid w:val="00F26AF1"/>
    <w:rsid w:val="00F33F94"/>
    <w:rsid w:val="00F41A10"/>
    <w:rsid w:val="00F43A3F"/>
    <w:rsid w:val="00F44D48"/>
    <w:rsid w:val="00F4580D"/>
    <w:rsid w:val="00F50CF8"/>
    <w:rsid w:val="00F50E7E"/>
    <w:rsid w:val="00F54455"/>
    <w:rsid w:val="00F547F4"/>
    <w:rsid w:val="00F56AA7"/>
    <w:rsid w:val="00F6379A"/>
    <w:rsid w:val="00F652FE"/>
    <w:rsid w:val="00F7089B"/>
    <w:rsid w:val="00F8048A"/>
    <w:rsid w:val="00F85D75"/>
    <w:rsid w:val="00F8616F"/>
    <w:rsid w:val="00F861A2"/>
    <w:rsid w:val="00F90871"/>
    <w:rsid w:val="00F908CB"/>
    <w:rsid w:val="00F916B0"/>
    <w:rsid w:val="00FA50B2"/>
    <w:rsid w:val="00FB1304"/>
    <w:rsid w:val="00FB46A2"/>
    <w:rsid w:val="00FB4921"/>
    <w:rsid w:val="00FB5A4A"/>
    <w:rsid w:val="00FB786C"/>
    <w:rsid w:val="00FC4279"/>
    <w:rsid w:val="00FC5EA4"/>
    <w:rsid w:val="00FC66D7"/>
    <w:rsid w:val="00FC6EF1"/>
    <w:rsid w:val="00FC7A78"/>
    <w:rsid w:val="00FD2B91"/>
    <w:rsid w:val="00FD519A"/>
    <w:rsid w:val="00FE3B8D"/>
    <w:rsid w:val="00FE716C"/>
    <w:rsid w:val="00FE7761"/>
    <w:rsid w:val="00FF02F8"/>
    <w:rsid w:val="00FF3987"/>
    <w:rsid w:val="00FF3EA6"/>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3C820"/>
  <w15:chartTrackingRefBased/>
  <w15:docId w15:val="{D3C0AAFC-D11E-46A4-8D91-ECC22851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9">
    <w:name w:val="heading 9"/>
    <w:basedOn w:val="Normal"/>
    <w:next w:val="Normal"/>
    <w:link w:val="Heading9Char"/>
    <w:uiPriority w:val="9"/>
    <w:semiHidden/>
    <w:unhideWhenUsed/>
    <w:qFormat/>
    <w:rsid w:val="003D7492"/>
    <w:pPr>
      <w:keepNext/>
      <w:keepLines/>
      <w:spacing w:before="40" w:after="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character" w:styleId="Hyperlink">
    <w:name w:val="Hyperlink"/>
    <w:uiPriority w:val="99"/>
    <w:unhideWhenUsed/>
    <w:rsid w:val="006207EB"/>
    <w:rPr>
      <w:color w:val="0000FF"/>
      <w:u w:val="single"/>
    </w:rPr>
  </w:style>
  <w:style w:type="paragraph" w:styleId="ListParagraph">
    <w:name w:val="List Paragraph"/>
    <w:basedOn w:val="Normal"/>
    <w:uiPriority w:val="34"/>
    <w:qFormat/>
    <w:rsid w:val="00456318"/>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styleId="HTMLPreformatted">
    <w:name w:val="HTML Preformatted"/>
    <w:basedOn w:val="Normal"/>
    <w:link w:val="HTMLPreformattedChar"/>
    <w:rsid w:val="00FF3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link w:val="HTMLPreformatted"/>
    <w:rsid w:val="00FF3987"/>
    <w:rPr>
      <w:rFonts w:ascii="Courier New" w:eastAsia="Courier New" w:hAnsi="Courier New" w:cs="Courier New"/>
    </w:rPr>
  </w:style>
  <w:style w:type="paragraph" w:styleId="BodyTextIndent2">
    <w:name w:val="Body Text Indent 2"/>
    <w:basedOn w:val="Normal"/>
    <w:link w:val="BodyTextIndent2Char"/>
    <w:rsid w:val="00FF3987"/>
    <w:pPr>
      <w:overflowPunct w:val="0"/>
      <w:autoSpaceDE w:val="0"/>
      <w:autoSpaceDN w:val="0"/>
      <w:adjustRightInd w:val="0"/>
      <w:spacing w:after="0" w:line="240" w:lineRule="auto"/>
      <w:ind w:left="630"/>
      <w:textAlignment w:val="baseline"/>
    </w:pPr>
    <w:rPr>
      <w:rFonts w:ascii="Times New Roman" w:hAnsi="Times New Roman"/>
      <w:sz w:val="24"/>
      <w:szCs w:val="20"/>
    </w:rPr>
  </w:style>
  <w:style w:type="character" w:customStyle="1" w:styleId="BodyTextIndent2Char">
    <w:name w:val="Body Text Indent 2 Char"/>
    <w:link w:val="BodyTextIndent2"/>
    <w:rsid w:val="00FF3987"/>
    <w:rPr>
      <w:rFonts w:ascii="Times New Roman" w:hAnsi="Times New Roman"/>
      <w:sz w:val="24"/>
    </w:rPr>
  </w:style>
  <w:style w:type="character" w:styleId="CommentReference">
    <w:name w:val="annotation reference"/>
    <w:uiPriority w:val="99"/>
    <w:semiHidden/>
    <w:unhideWhenUsed/>
    <w:rsid w:val="00FF3987"/>
    <w:rPr>
      <w:sz w:val="16"/>
      <w:szCs w:val="16"/>
    </w:rPr>
  </w:style>
  <w:style w:type="paragraph" w:styleId="CommentText">
    <w:name w:val="annotation text"/>
    <w:basedOn w:val="Normal"/>
    <w:link w:val="CommentTextChar"/>
    <w:uiPriority w:val="99"/>
    <w:semiHidden/>
    <w:unhideWhenUsed/>
    <w:rsid w:val="00FF3987"/>
    <w:pPr>
      <w:spacing w:line="240" w:lineRule="auto"/>
    </w:pPr>
    <w:rPr>
      <w:sz w:val="20"/>
      <w:szCs w:val="20"/>
    </w:rPr>
  </w:style>
  <w:style w:type="character" w:customStyle="1" w:styleId="CommentTextChar">
    <w:name w:val="Comment Text Char"/>
    <w:basedOn w:val="DefaultParagraphFont"/>
    <w:link w:val="CommentText"/>
    <w:uiPriority w:val="99"/>
    <w:semiHidden/>
    <w:rsid w:val="00FF3987"/>
  </w:style>
  <w:style w:type="paragraph" w:styleId="BodyText2">
    <w:name w:val="Body Text 2"/>
    <w:basedOn w:val="Normal"/>
    <w:link w:val="BodyText2Char"/>
    <w:uiPriority w:val="99"/>
    <w:semiHidden/>
    <w:unhideWhenUsed/>
    <w:rsid w:val="003B6380"/>
    <w:pPr>
      <w:spacing w:after="120" w:line="480" w:lineRule="auto"/>
    </w:pPr>
  </w:style>
  <w:style w:type="character" w:customStyle="1" w:styleId="BodyText2Char">
    <w:name w:val="Body Text 2 Char"/>
    <w:link w:val="BodyText2"/>
    <w:uiPriority w:val="99"/>
    <w:semiHidden/>
    <w:rsid w:val="003B6380"/>
    <w:rPr>
      <w:sz w:val="22"/>
      <w:szCs w:val="22"/>
    </w:rPr>
  </w:style>
  <w:style w:type="character" w:customStyle="1" w:styleId="Heading9Char">
    <w:name w:val="Heading 9 Char"/>
    <w:link w:val="Heading9"/>
    <w:uiPriority w:val="9"/>
    <w:semiHidden/>
    <w:rsid w:val="003D7492"/>
    <w:rPr>
      <w:rFonts w:ascii="Cambria" w:hAnsi="Cambria"/>
      <w:i/>
      <w:iCs/>
      <w:color w:val="272727"/>
      <w:sz w:val="21"/>
      <w:szCs w:val="21"/>
    </w:rPr>
  </w:style>
  <w:style w:type="table" w:styleId="TableGrid">
    <w:name w:val="Table Grid"/>
    <w:basedOn w:val="TableNormal"/>
    <w:uiPriority w:val="59"/>
    <w:rsid w:val="009D5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tp.hud.gov/clas/index.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936c0ef7a0b5f933a58e7e7ce6c8ec42">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1d06e3b896019acb794e6cfbb2ff409b"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2B0A2-53A0-41D3-9CE4-4771C9ED6CA5}">
  <ds:schemaRefs>
    <ds:schemaRef ds:uri="http://schemas.microsoft.com/sharepoint/v3/contenttype/forms"/>
  </ds:schemaRefs>
</ds:datastoreItem>
</file>

<file path=customXml/itemProps2.xml><?xml version="1.0" encoding="utf-8"?>
<ds:datastoreItem xmlns:ds="http://schemas.openxmlformats.org/officeDocument/2006/customXml" ds:itemID="{DF63AB47-62C6-4291-A2E5-CD77831B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FD8FC-5071-48AF-83C1-8E77E44F46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7869</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Venida Brown</dc:creator>
  <cp:keywords/>
  <cp:lastModifiedBy>Sanders, Kim N</cp:lastModifiedBy>
  <cp:revision>2</cp:revision>
  <cp:lastPrinted>2019-11-14T19:10:00Z</cp:lastPrinted>
  <dcterms:created xsi:type="dcterms:W3CDTF">2020-09-08T11:51:00Z</dcterms:created>
  <dcterms:modified xsi:type="dcterms:W3CDTF">2020-09-08T11:51:00Z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9a2970c2-3aea-4922-a0da-42d652473cdf</vt:lpwstr>
  </property>
</Properties>
</file>