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84CA9" w14:textId="77777777" w:rsidR="00FC0F35" w:rsidRDefault="00FC0F35" w:rsidP="0038785F">
      <w:pPr>
        <w:tabs>
          <w:tab w:val="left" w:pos="990"/>
          <w:tab w:val="left" w:pos="3060"/>
        </w:tabs>
        <w:ind w:left="990" w:hanging="990"/>
        <w:rPr>
          <w:rFonts w:ascii="Arial" w:hAnsi="Arial"/>
          <w:sz w:val="22"/>
          <w:szCs w:val="22"/>
        </w:rPr>
      </w:pPr>
      <w:bookmarkStart w:id="0" w:name="_GoBack"/>
      <w:bookmarkEnd w:id="0"/>
    </w:p>
    <w:p w14:paraId="3E11EC13" w14:textId="77777777" w:rsidR="0045569E" w:rsidRPr="0045569E" w:rsidRDefault="0045569E" w:rsidP="0045569E">
      <w:pPr>
        <w:rPr>
          <w:rFonts w:ascii="Arial" w:hAnsi="Arial" w:cs="Arial"/>
          <w:b/>
          <w:sz w:val="28"/>
        </w:rPr>
      </w:pPr>
    </w:p>
    <w:tbl>
      <w:tblPr>
        <w:tblW w:w="11484" w:type="dxa"/>
        <w:tblInd w:w="-72" w:type="dxa"/>
        <w:tblLayout w:type="fixed"/>
        <w:tblLook w:val="0000" w:firstRow="0" w:lastRow="0" w:firstColumn="0" w:lastColumn="0" w:noHBand="0" w:noVBand="0"/>
      </w:tblPr>
      <w:tblGrid>
        <w:gridCol w:w="720"/>
        <w:gridCol w:w="4590"/>
        <w:gridCol w:w="4590"/>
        <w:gridCol w:w="1584"/>
      </w:tblGrid>
      <w:tr w:rsidR="0045569E" w:rsidRPr="0045569E" w14:paraId="6477EF43" w14:textId="77777777" w:rsidTr="007C016E">
        <w:trPr>
          <w:trHeight w:val="1233"/>
        </w:trPr>
        <w:tc>
          <w:tcPr>
            <w:tcW w:w="720" w:type="dxa"/>
          </w:tcPr>
          <w:p w14:paraId="509A7855" w14:textId="77777777" w:rsidR="0045569E" w:rsidRPr="0045569E" w:rsidRDefault="0045569E" w:rsidP="0045569E">
            <w:pPr>
              <w:ind w:left="-18" w:firstLine="18"/>
              <w:rPr>
                <w:rFonts w:ascii="Arial" w:hAnsi="Arial" w:cs="Arial"/>
                <w:b/>
                <w:sz w:val="36"/>
              </w:rPr>
            </w:pPr>
          </w:p>
        </w:tc>
        <w:tc>
          <w:tcPr>
            <w:tcW w:w="4590" w:type="dxa"/>
          </w:tcPr>
          <w:p w14:paraId="51073024" w14:textId="77777777" w:rsidR="0045569E" w:rsidRPr="0045569E" w:rsidRDefault="0045569E" w:rsidP="0045569E">
            <w:pPr>
              <w:spacing w:after="160"/>
              <w:rPr>
                <w:rFonts w:ascii="Arial" w:hAnsi="Arial" w:cs="Arial"/>
                <w:b/>
                <w:sz w:val="32"/>
              </w:rPr>
            </w:pPr>
            <w:r w:rsidRPr="0045569E">
              <w:rPr>
                <w:rFonts w:ascii="Arial" w:hAnsi="Arial" w:cs="Arial"/>
                <w:b/>
                <w:sz w:val="32"/>
              </w:rPr>
              <w:t xml:space="preserve">Department of </w:t>
            </w:r>
            <w:r w:rsidRPr="0045569E">
              <w:rPr>
                <w:rFonts w:ascii="Arial" w:hAnsi="Arial" w:cs="Arial"/>
                <w:b/>
                <w:sz w:val="32"/>
              </w:rPr>
              <w:br/>
              <w:t>Veterans Affairs</w:t>
            </w:r>
          </w:p>
        </w:tc>
        <w:tc>
          <w:tcPr>
            <w:tcW w:w="6174" w:type="dxa"/>
            <w:gridSpan w:val="2"/>
          </w:tcPr>
          <w:p w14:paraId="1BCEB810" w14:textId="77777777" w:rsidR="0045569E" w:rsidRPr="0045569E" w:rsidRDefault="0045569E" w:rsidP="0045569E">
            <w:pPr>
              <w:rPr>
                <w:rFonts w:ascii="Arial" w:hAnsi="Arial" w:cs="Arial"/>
                <w:b/>
                <w:sz w:val="52"/>
                <w:szCs w:val="52"/>
              </w:rPr>
            </w:pPr>
            <w:r w:rsidRPr="0045569E">
              <w:rPr>
                <w:rFonts w:ascii="Arial" w:hAnsi="Arial" w:cs="Arial"/>
                <w:b/>
                <w:sz w:val="52"/>
                <w:szCs w:val="52"/>
              </w:rPr>
              <w:t>Memorandum</w:t>
            </w:r>
          </w:p>
        </w:tc>
      </w:tr>
      <w:tr w:rsidR="0045569E" w:rsidRPr="0045569E" w14:paraId="7FF84C91" w14:textId="77777777" w:rsidTr="0045569E">
        <w:trPr>
          <w:gridAfter w:val="1"/>
          <w:wAfter w:w="1584" w:type="dxa"/>
          <w:trHeight w:hRule="exact" w:val="500"/>
        </w:trPr>
        <w:tc>
          <w:tcPr>
            <w:tcW w:w="720" w:type="dxa"/>
          </w:tcPr>
          <w:p w14:paraId="6822D90B" w14:textId="77777777" w:rsidR="0045569E" w:rsidRPr="0045569E" w:rsidRDefault="0045569E" w:rsidP="0045569E">
            <w:pPr>
              <w:rPr>
                <w:rFonts w:ascii="Arial" w:hAnsi="Arial" w:cs="Arial"/>
                <w:sz w:val="14"/>
              </w:rPr>
            </w:pPr>
            <w:r w:rsidRPr="0045569E">
              <w:rPr>
                <w:rFonts w:ascii="Arial" w:hAnsi="Arial" w:cs="Arial"/>
                <w:sz w:val="14"/>
              </w:rPr>
              <w:t>Date:</w:t>
            </w:r>
          </w:p>
        </w:tc>
        <w:tc>
          <w:tcPr>
            <w:tcW w:w="9180" w:type="dxa"/>
            <w:gridSpan w:val="2"/>
          </w:tcPr>
          <w:p w14:paraId="1BED76EE" w14:textId="2A1409C8" w:rsidR="0045569E" w:rsidRPr="0045569E" w:rsidRDefault="00AD4B04" w:rsidP="0045569E">
            <w:pPr>
              <w:rPr>
                <w:rFonts w:ascii="Arial" w:hAnsi="Arial" w:cs="Arial"/>
              </w:rPr>
            </w:pPr>
            <w:r>
              <w:rPr>
                <w:rFonts w:ascii="Arial" w:hAnsi="Arial" w:cs="Arial"/>
              </w:rPr>
              <w:t>May 7,</w:t>
            </w:r>
            <w:r w:rsidR="007912B2">
              <w:rPr>
                <w:rFonts w:ascii="Arial" w:hAnsi="Arial" w:cs="Arial"/>
              </w:rPr>
              <w:t xml:space="preserve"> 20</w:t>
            </w:r>
            <w:r>
              <w:rPr>
                <w:rFonts w:ascii="Arial" w:hAnsi="Arial" w:cs="Arial"/>
              </w:rPr>
              <w:t>20</w:t>
            </w:r>
          </w:p>
        </w:tc>
      </w:tr>
      <w:tr w:rsidR="0045569E" w:rsidRPr="0045569E" w14:paraId="2F98716D" w14:textId="77777777" w:rsidTr="002F2F39">
        <w:trPr>
          <w:gridAfter w:val="1"/>
          <w:wAfter w:w="1584" w:type="dxa"/>
          <w:trHeight w:hRule="exact" w:val="837"/>
        </w:trPr>
        <w:tc>
          <w:tcPr>
            <w:tcW w:w="720" w:type="dxa"/>
          </w:tcPr>
          <w:p w14:paraId="739E5B25" w14:textId="77777777" w:rsidR="0045569E" w:rsidRPr="0045569E" w:rsidRDefault="0045569E" w:rsidP="0045569E">
            <w:pPr>
              <w:rPr>
                <w:rFonts w:ascii="Arial" w:hAnsi="Arial" w:cs="Arial"/>
                <w:sz w:val="14"/>
              </w:rPr>
            </w:pPr>
            <w:r w:rsidRPr="0045569E">
              <w:rPr>
                <w:rFonts w:ascii="Arial" w:hAnsi="Arial" w:cs="Arial"/>
                <w:sz w:val="14"/>
              </w:rPr>
              <w:t>From:</w:t>
            </w:r>
          </w:p>
        </w:tc>
        <w:tc>
          <w:tcPr>
            <w:tcW w:w="9180" w:type="dxa"/>
            <w:gridSpan w:val="2"/>
          </w:tcPr>
          <w:p w14:paraId="3F434CBB" w14:textId="77777777" w:rsidR="0045569E" w:rsidRDefault="002F2F39" w:rsidP="00C42E80">
            <w:pPr>
              <w:rPr>
                <w:rFonts w:ascii="Arial" w:hAnsi="Arial" w:cs="Arial"/>
              </w:rPr>
            </w:pPr>
            <w:r>
              <w:rPr>
                <w:rFonts w:ascii="Arial" w:hAnsi="Arial" w:cs="Arial"/>
              </w:rPr>
              <w:t>Michael Shores, Director, Office of Regulation Policy and Management, Office of the Secretary, Department of Veterans Affairs</w:t>
            </w:r>
          </w:p>
          <w:p w14:paraId="19DC436C" w14:textId="77777777" w:rsidR="002F2F39" w:rsidRDefault="002F2F39" w:rsidP="00C42E80">
            <w:pPr>
              <w:rPr>
                <w:rFonts w:ascii="Arial" w:hAnsi="Arial" w:cs="Arial"/>
              </w:rPr>
            </w:pPr>
          </w:p>
          <w:p w14:paraId="28AD94DE" w14:textId="77777777" w:rsidR="002F2F39" w:rsidRDefault="002F2F39" w:rsidP="00C42E80">
            <w:pPr>
              <w:rPr>
                <w:rFonts w:ascii="Arial" w:hAnsi="Arial" w:cs="Arial"/>
              </w:rPr>
            </w:pPr>
          </w:p>
          <w:p w14:paraId="47D77460" w14:textId="32134793" w:rsidR="002F2F39" w:rsidRPr="0045569E" w:rsidRDefault="002F2F39" w:rsidP="00C42E80">
            <w:pPr>
              <w:rPr>
                <w:rFonts w:ascii="Arial" w:hAnsi="Arial" w:cs="Arial"/>
              </w:rPr>
            </w:pPr>
          </w:p>
        </w:tc>
      </w:tr>
      <w:tr w:rsidR="0045569E" w:rsidRPr="0045569E" w14:paraId="2B208076" w14:textId="77777777" w:rsidTr="002F2F39">
        <w:trPr>
          <w:gridAfter w:val="1"/>
          <w:wAfter w:w="1584" w:type="dxa"/>
          <w:trHeight w:hRule="exact" w:val="1458"/>
        </w:trPr>
        <w:tc>
          <w:tcPr>
            <w:tcW w:w="720" w:type="dxa"/>
          </w:tcPr>
          <w:p w14:paraId="19246431" w14:textId="77777777" w:rsidR="002F2F39" w:rsidRDefault="002F2F39" w:rsidP="0045569E">
            <w:pPr>
              <w:rPr>
                <w:rFonts w:ascii="Arial" w:hAnsi="Arial" w:cs="Arial"/>
                <w:sz w:val="14"/>
              </w:rPr>
            </w:pPr>
          </w:p>
          <w:p w14:paraId="06442151" w14:textId="2A3A498D" w:rsidR="0045569E" w:rsidRPr="0045569E" w:rsidRDefault="0045569E" w:rsidP="0045569E">
            <w:pPr>
              <w:rPr>
                <w:rFonts w:ascii="Arial" w:hAnsi="Arial" w:cs="Arial"/>
                <w:sz w:val="14"/>
              </w:rPr>
            </w:pPr>
            <w:r w:rsidRPr="0045569E">
              <w:rPr>
                <w:rFonts w:ascii="Arial" w:hAnsi="Arial" w:cs="Arial"/>
                <w:sz w:val="14"/>
              </w:rPr>
              <w:t>Subj:</w:t>
            </w:r>
          </w:p>
        </w:tc>
        <w:tc>
          <w:tcPr>
            <w:tcW w:w="9180" w:type="dxa"/>
            <w:gridSpan w:val="2"/>
            <w:shd w:val="clear" w:color="auto" w:fill="FFFFFF"/>
          </w:tcPr>
          <w:p w14:paraId="50CB81AA" w14:textId="77777777" w:rsidR="002F2F39" w:rsidRDefault="002F2F39" w:rsidP="0045569E">
            <w:pPr>
              <w:rPr>
                <w:rFonts w:ascii="Arial" w:hAnsi="Arial" w:cs="Arial"/>
              </w:rPr>
            </w:pPr>
          </w:p>
          <w:p w14:paraId="7EBED52C" w14:textId="2634C08C" w:rsidR="0045569E" w:rsidRDefault="0045569E" w:rsidP="0045569E">
            <w:pPr>
              <w:rPr>
                <w:rFonts w:ascii="Arial" w:hAnsi="Arial" w:cs="Arial"/>
              </w:rPr>
            </w:pPr>
            <w:r w:rsidRPr="0045569E">
              <w:rPr>
                <w:rFonts w:ascii="Arial" w:hAnsi="Arial" w:cs="Arial"/>
              </w:rPr>
              <w:t>Request for OMB review and consideration of emergency clearance for</w:t>
            </w:r>
            <w:r w:rsidR="007C016E">
              <w:rPr>
                <w:rFonts w:ascii="Arial" w:hAnsi="Arial" w:cs="Arial"/>
              </w:rPr>
              <w:t xml:space="preserve"> </w:t>
            </w:r>
            <w:r w:rsidR="00C42E80">
              <w:rPr>
                <w:rFonts w:ascii="Arial" w:hAnsi="Arial" w:cs="Arial"/>
              </w:rPr>
              <w:t>an</w:t>
            </w:r>
            <w:r w:rsidR="007C016E">
              <w:rPr>
                <w:rFonts w:ascii="Arial" w:hAnsi="Arial" w:cs="Arial"/>
              </w:rPr>
              <w:t xml:space="preserve"> </w:t>
            </w:r>
            <w:r w:rsidR="00C42E80">
              <w:rPr>
                <w:rFonts w:ascii="Arial" w:hAnsi="Arial" w:cs="Arial"/>
              </w:rPr>
              <w:t>addition to the “</w:t>
            </w:r>
            <w:r w:rsidR="00C42E80" w:rsidRPr="00C42E80">
              <w:rPr>
                <w:rFonts w:ascii="Arial" w:hAnsi="Arial" w:cs="Arial"/>
              </w:rPr>
              <w:t>VA Advance Directive - Durable Power of Attorney for Health Care and Living Will</w:t>
            </w:r>
            <w:r w:rsidR="00C42E80">
              <w:rPr>
                <w:rFonts w:ascii="Arial" w:hAnsi="Arial" w:cs="Arial"/>
              </w:rPr>
              <w:t>”</w:t>
            </w:r>
            <w:r w:rsidR="00C42E80" w:rsidRPr="00C42E80">
              <w:rPr>
                <w:rFonts w:ascii="Arial" w:hAnsi="Arial" w:cs="Arial"/>
              </w:rPr>
              <w:t xml:space="preserve"> </w:t>
            </w:r>
            <w:r w:rsidRPr="0045569E">
              <w:rPr>
                <w:rFonts w:ascii="Arial" w:hAnsi="Arial" w:cs="Arial"/>
              </w:rPr>
              <w:t>data collection</w:t>
            </w:r>
            <w:r w:rsidR="00C42E80">
              <w:rPr>
                <w:rFonts w:ascii="Arial" w:hAnsi="Arial" w:cs="Arial"/>
              </w:rPr>
              <w:t xml:space="preserve">, </w:t>
            </w:r>
            <w:r w:rsidR="00BC2752">
              <w:rPr>
                <w:rFonts w:ascii="Arial" w:hAnsi="Arial" w:cs="Arial"/>
              </w:rPr>
              <w:t>pursuant to interim final rule 2900-AQ</w:t>
            </w:r>
            <w:r w:rsidR="00066C7D">
              <w:rPr>
                <w:rFonts w:ascii="Arial" w:hAnsi="Arial" w:cs="Arial"/>
              </w:rPr>
              <w:t>97</w:t>
            </w:r>
          </w:p>
          <w:p w14:paraId="3ED581EA" w14:textId="1FE5B677" w:rsidR="000B3D9D" w:rsidRDefault="000B3D9D" w:rsidP="0045569E">
            <w:pPr>
              <w:rPr>
                <w:rFonts w:ascii="Arial" w:hAnsi="Arial" w:cs="Arial"/>
              </w:rPr>
            </w:pPr>
          </w:p>
          <w:p w14:paraId="4A95BF82" w14:textId="77777777" w:rsidR="000B3D9D" w:rsidRPr="0045569E" w:rsidRDefault="000B3D9D" w:rsidP="0045569E">
            <w:pPr>
              <w:rPr>
                <w:rFonts w:ascii="Arial" w:hAnsi="Arial" w:cs="Arial"/>
              </w:rPr>
            </w:pPr>
          </w:p>
          <w:p w14:paraId="7A04F463" w14:textId="77777777" w:rsidR="0045569E" w:rsidRPr="0045569E" w:rsidRDefault="0045569E" w:rsidP="0045569E">
            <w:pPr>
              <w:rPr>
                <w:rFonts w:ascii="Arial" w:hAnsi="Arial" w:cs="Arial"/>
              </w:rPr>
            </w:pPr>
          </w:p>
        </w:tc>
      </w:tr>
      <w:tr w:rsidR="0045569E" w:rsidRPr="0045569E" w14:paraId="2CCE3667" w14:textId="77777777" w:rsidTr="007C016E">
        <w:trPr>
          <w:gridAfter w:val="1"/>
          <w:wAfter w:w="1584" w:type="dxa"/>
          <w:trHeight w:hRule="exact" w:val="855"/>
        </w:trPr>
        <w:tc>
          <w:tcPr>
            <w:tcW w:w="720" w:type="dxa"/>
          </w:tcPr>
          <w:p w14:paraId="18ED0A82" w14:textId="77777777" w:rsidR="0045569E" w:rsidRPr="0045569E" w:rsidRDefault="0045569E" w:rsidP="0045569E">
            <w:pPr>
              <w:rPr>
                <w:rFonts w:ascii="Arial" w:hAnsi="Arial" w:cs="Arial"/>
                <w:sz w:val="14"/>
              </w:rPr>
            </w:pPr>
            <w:r w:rsidRPr="0045569E">
              <w:rPr>
                <w:rFonts w:ascii="Arial" w:hAnsi="Arial" w:cs="Arial"/>
                <w:sz w:val="14"/>
              </w:rPr>
              <w:t>To:</w:t>
            </w:r>
          </w:p>
          <w:p w14:paraId="58B8D652" w14:textId="77777777" w:rsidR="0045569E" w:rsidRPr="0045569E" w:rsidRDefault="0045569E" w:rsidP="0045569E">
            <w:pPr>
              <w:rPr>
                <w:rFonts w:ascii="Arial" w:hAnsi="Arial" w:cs="Arial"/>
                <w:sz w:val="14"/>
              </w:rPr>
            </w:pPr>
          </w:p>
          <w:p w14:paraId="4602F15D" w14:textId="77777777" w:rsidR="0045569E" w:rsidRPr="0045569E" w:rsidRDefault="0045569E" w:rsidP="0045569E">
            <w:pPr>
              <w:rPr>
                <w:rFonts w:ascii="Arial" w:hAnsi="Arial" w:cs="Arial"/>
                <w:sz w:val="14"/>
              </w:rPr>
            </w:pPr>
          </w:p>
          <w:p w14:paraId="79F25400" w14:textId="77777777" w:rsidR="0045569E" w:rsidRPr="0045569E" w:rsidRDefault="0045569E" w:rsidP="0045569E">
            <w:pPr>
              <w:rPr>
                <w:rFonts w:ascii="Arial" w:hAnsi="Arial" w:cs="Arial"/>
                <w:sz w:val="14"/>
              </w:rPr>
            </w:pPr>
          </w:p>
        </w:tc>
        <w:tc>
          <w:tcPr>
            <w:tcW w:w="9180" w:type="dxa"/>
            <w:gridSpan w:val="2"/>
          </w:tcPr>
          <w:p w14:paraId="608D6E52" w14:textId="4661D31C" w:rsidR="0045569E" w:rsidRPr="0045569E" w:rsidRDefault="00C42E80" w:rsidP="007C016E">
            <w:pPr>
              <w:rPr>
                <w:rFonts w:ascii="Arial" w:hAnsi="Arial" w:cs="Arial"/>
              </w:rPr>
            </w:pPr>
            <w:r>
              <w:rPr>
                <w:rFonts w:ascii="Arial" w:hAnsi="Arial"/>
              </w:rPr>
              <w:t>Paul Ray</w:t>
            </w:r>
            <w:r w:rsidR="0045569E">
              <w:rPr>
                <w:rFonts w:ascii="Arial" w:hAnsi="Arial"/>
              </w:rPr>
              <w:br/>
            </w:r>
            <w:r w:rsidR="0045569E" w:rsidRPr="0045569E">
              <w:rPr>
                <w:rFonts w:ascii="Arial" w:hAnsi="Arial" w:cs="Arial"/>
              </w:rPr>
              <w:t>Administrator, Office of Information and Regulatory Affairs (O</w:t>
            </w:r>
            <w:r w:rsidR="007C016E">
              <w:rPr>
                <w:rFonts w:ascii="Arial" w:hAnsi="Arial" w:cs="Arial"/>
              </w:rPr>
              <w:t>IRA</w:t>
            </w:r>
            <w:r w:rsidR="0045569E" w:rsidRPr="0045569E">
              <w:rPr>
                <w:rFonts w:ascii="Arial" w:hAnsi="Arial" w:cs="Arial"/>
              </w:rPr>
              <w:t>)</w:t>
            </w:r>
            <w:r w:rsidR="007C016E">
              <w:rPr>
                <w:rFonts w:ascii="Arial" w:hAnsi="Arial" w:cs="Arial"/>
              </w:rPr>
              <w:br/>
            </w:r>
          </w:p>
        </w:tc>
      </w:tr>
      <w:tr w:rsidR="0045569E" w:rsidRPr="0045569E" w14:paraId="5864D1AE" w14:textId="77777777" w:rsidTr="0045569E">
        <w:trPr>
          <w:gridAfter w:val="1"/>
          <w:wAfter w:w="1584" w:type="dxa"/>
          <w:trHeight w:hRule="exact" w:val="630"/>
        </w:trPr>
        <w:tc>
          <w:tcPr>
            <w:tcW w:w="720" w:type="dxa"/>
          </w:tcPr>
          <w:p w14:paraId="7E09D57F" w14:textId="77777777" w:rsidR="0045569E" w:rsidRPr="0045569E" w:rsidRDefault="0045569E" w:rsidP="0045569E">
            <w:pPr>
              <w:rPr>
                <w:rFonts w:ascii="Arial" w:hAnsi="Arial" w:cs="Arial"/>
                <w:sz w:val="14"/>
              </w:rPr>
            </w:pPr>
            <w:r w:rsidRPr="0045569E">
              <w:rPr>
                <w:rFonts w:ascii="Arial" w:hAnsi="Arial" w:cs="Arial"/>
                <w:sz w:val="14"/>
              </w:rPr>
              <w:t>Cc:</w:t>
            </w:r>
          </w:p>
        </w:tc>
        <w:tc>
          <w:tcPr>
            <w:tcW w:w="9180" w:type="dxa"/>
            <w:gridSpan w:val="2"/>
          </w:tcPr>
          <w:p w14:paraId="5A505F4C" w14:textId="35622CA6" w:rsidR="0045569E" w:rsidRPr="0045569E" w:rsidRDefault="007C016E" w:rsidP="007C016E">
            <w:pPr>
              <w:rPr>
                <w:rFonts w:ascii="Arial" w:hAnsi="Arial" w:cs="Arial"/>
              </w:rPr>
            </w:pPr>
            <w:r>
              <w:rPr>
                <w:rFonts w:ascii="Arial" w:hAnsi="Arial" w:cs="Arial"/>
              </w:rPr>
              <w:t>V</w:t>
            </w:r>
            <w:r w:rsidR="00E90283">
              <w:rPr>
                <w:rFonts w:ascii="Arial" w:hAnsi="Arial" w:cs="Arial"/>
              </w:rPr>
              <w:t xml:space="preserve">A Desk Officer, </w:t>
            </w:r>
            <w:r w:rsidR="00AD4B04">
              <w:rPr>
                <w:rFonts w:ascii="Arial" w:hAnsi="Arial" w:cs="Arial"/>
              </w:rPr>
              <w:t>James Crowe</w:t>
            </w:r>
            <w:r>
              <w:rPr>
                <w:rFonts w:ascii="Arial" w:hAnsi="Arial" w:cs="Arial"/>
              </w:rPr>
              <w:br/>
              <w:t>Office of Management and Budget (OMB)</w:t>
            </w:r>
          </w:p>
        </w:tc>
      </w:tr>
    </w:tbl>
    <w:p w14:paraId="2ECCEFB5" w14:textId="77777777" w:rsidR="007C016E" w:rsidRDefault="007C016E" w:rsidP="0045569E">
      <w:pPr>
        <w:tabs>
          <w:tab w:val="left" w:pos="720"/>
          <w:tab w:val="left" w:pos="1080"/>
          <w:tab w:val="left" w:pos="1440"/>
          <w:tab w:val="left" w:pos="1800"/>
        </w:tabs>
        <w:autoSpaceDE w:val="0"/>
        <w:autoSpaceDN w:val="0"/>
        <w:adjustRightInd w:val="0"/>
        <w:spacing w:line="280" w:lineRule="exact"/>
        <w:ind w:left="630" w:right="706"/>
        <w:rPr>
          <w:rFonts w:ascii="Arial" w:eastAsia="Calibri" w:hAnsi="Arial" w:cs="Arial"/>
        </w:rPr>
      </w:pPr>
    </w:p>
    <w:p w14:paraId="5F389A11" w14:textId="609D37F7" w:rsidR="000C7B53" w:rsidRPr="000C7B53" w:rsidRDefault="000C7B53" w:rsidP="00153676">
      <w:pPr>
        <w:ind w:left="630"/>
        <w:rPr>
          <w:rFonts w:ascii="Arial" w:hAnsi="Arial" w:cs="Arial"/>
        </w:rPr>
      </w:pPr>
      <w:r w:rsidRPr="000C7B53">
        <w:rPr>
          <w:rFonts w:ascii="Arial" w:hAnsi="Arial" w:cs="Arial"/>
        </w:rPr>
        <w:t xml:space="preserve">Section 7331 of title 38, United States Code (U.S.C.), requires, in relevant part, that the Secretary of Veterans Affairs, upon the recommendation of the Under Secretary for Health, prescribe regulations to ensure, to the maximum extent practicable, that all VA patient care be carried out only with the full and informed consent of the patient, or in appropriate cases, a representative thereof. Based on VA’s interpretation of this statute and our mandate in 38 U.S.C. 7301(b) to provide a complete medical and hospital service, we recognize that patients with decision-making capacity have the right to state their treatment preferences in a VA or other valid advance directive.  </w:t>
      </w:r>
    </w:p>
    <w:p w14:paraId="3AEBB02F" w14:textId="77777777" w:rsidR="000C7B53" w:rsidRPr="000C7B53" w:rsidRDefault="000C7B53" w:rsidP="00153676">
      <w:pPr>
        <w:ind w:left="630"/>
        <w:rPr>
          <w:rFonts w:ascii="Arial" w:eastAsia="Calibri" w:hAnsi="Arial" w:cs="Arial"/>
        </w:rPr>
      </w:pPr>
    </w:p>
    <w:p w14:paraId="24DB55B2" w14:textId="51F6C2A7" w:rsidR="00B43307" w:rsidRDefault="00066C7D" w:rsidP="00153676">
      <w:pPr>
        <w:ind w:left="630"/>
        <w:rPr>
          <w:rFonts w:ascii="Arial" w:eastAsia="Calibri" w:hAnsi="Arial" w:cs="Arial"/>
        </w:rPr>
      </w:pPr>
      <w:r>
        <w:rPr>
          <w:rFonts w:ascii="Arial" w:eastAsia="Calibri" w:hAnsi="Arial" w:cs="Arial"/>
        </w:rPr>
        <w:t>The VA</w:t>
      </w:r>
      <w:r w:rsidR="00414406">
        <w:rPr>
          <w:rFonts w:ascii="Arial" w:eastAsia="Calibri" w:hAnsi="Arial" w:cs="Arial"/>
        </w:rPr>
        <w:t xml:space="preserve"> advance directive form (both English and Spanish language versions) is VA Form 10-0137.  These forms have a current OMB Paperwork Reduction Act (PRA) clearance under OMB Control Number 2900-0556.  </w:t>
      </w:r>
      <w:r>
        <w:rPr>
          <w:rFonts w:ascii="Arial" w:eastAsia="Calibri" w:hAnsi="Arial" w:cs="Arial"/>
        </w:rPr>
        <w:t>Whe</w:t>
      </w:r>
      <w:r w:rsidR="00B43307">
        <w:rPr>
          <w:rFonts w:ascii="Arial" w:eastAsia="Calibri" w:hAnsi="Arial" w:cs="Arial"/>
        </w:rPr>
        <w:t>n</w:t>
      </w:r>
      <w:r>
        <w:rPr>
          <w:rFonts w:ascii="Arial" w:eastAsia="Calibri" w:hAnsi="Arial" w:cs="Arial"/>
        </w:rPr>
        <w:t xml:space="preserve"> a Veteran is incapacitated and does not have an advance directive, the </w:t>
      </w:r>
      <w:r w:rsidR="00414406">
        <w:rPr>
          <w:rFonts w:ascii="Arial" w:eastAsia="Calibri" w:hAnsi="Arial" w:cs="Arial"/>
        </w:rPr>
        <w:t xml:space="preserve">VA </w:t>
      </w:r>
      <w:r>
        <w:rPr>
          <w:rFonts w:ascii="Arial" w:eastAsia="Calibri" w:hAnsi="Arial" w:cs="Arial"/>
        </w:rPr>
        <w:t xml:space="preserve">regulations allow </w:t>
      </w:r>
      <w:r w:rsidR="00414406">
        <w:rPr>
          <w:rFonts w:ascii="Arial" w:eastAsia="Calibri" w:hAnsi="Arial" w:cs="Arial"/>
        </w:rPr>
        <w:t xml:space="preserve">a statement to be submitted from a </w:t>
      </w:r>
      <w:r w:rsidR="00B43307">
        <w:rPr>
          <w:rFonts w:ascii="Arial" w:eastAsia="Calibri" w:hAnsi="Arial" w:cs="Arial"/>
        </w:rPr>
        <w:t>“</w:t>
      </w:r>
      <w:r w:rsidR="00414406">
        <w:rPr>
          <w:rFonts w:ascii="Arial" w:eastAsia="Calibri" w:hAnsi="Arial" w:cs="Arial"/>
        </w:rPr>
        <w:t>Close Personal Friend</w:t>
      </w:r>
      <w:r w:rsidR="00B43307">
        <w:rPr>
          <w:rFonts w:ascii="Arial" w:eastAsia="Calibri" w:hAnsi="Arial" w:cs="Arial"/>
        </w:rPr>
        <w:t>”</w:t>
      </w:r>
      <w:r w:rsidR="00414406">
        <w:rPr>
          <w:rFonts w:ascii="Arial" w:eastAsia="Calibri" w:hAnsi="Arial" w:cs="Arial"/>
        </w:rPr>
        <w:t xml:space="preserve"> who will be responsible for making health care decisions on behalf of the Veteran.</w:t>
      </w:r>
      <w:r w:rsidR="00B43307">
        <w:rPr>
          <w:rFonts w:ascii="Arial" w:eastAsia="Calibri" w:hAnsi="Arial" w:cs="Arial"/>
        </w:rPr>
        <w:t xml:space="preserve">  </w:t>
      </w:r>
    </w:p>
    <w:p w14:paraId="1EFA95AD" w14:textId="77777777" w:rsidR="00B43307" w:rsidRDefault="00B43307" w:rsidP="00153676">
      <w:pPr>
        <w:ind w:left="630"/>
        <w:rPr>
          <w:rFonts w:ascii="Arial" w:eastAsia="Calibri" w:hAnsi="Arial" w:cs="Arial"/>
        </w:rPr>
      </w:pPr>
    </w:p>
    <w:p w14:paraId="6A069EE3" w14:textId="776DA1C7" w:rsidR="00CA5137" w:rsidRDefault="00B43307" w:rsidP="00153676">
      <w:pPr>
        <w:ind w:left="630"/>
        <w:rPr>
          <w:rFonts w:ascii="Arial" w:eastAsia="Calibri" w:hAnsi="Arial" w:cs="Arial"/>
        </w:rPr>
      </w:pPr>
      <w:r>
        <w:rPr>
          <w:rFonts w:ascii="Arial" w:eastAsia="Calibri" w:hAnsi="Arial" w:cs="Arial"/>
        </w:rPr>
        <w:t xml:space="preserve">This request for an emergency PRA clearance applies to the addition of the collection of a “Close Personal Friend Statement” to 2900-0556.  It is estimated that 300 statements will be collected annually, with a burden of 10 minutes per statement.  This information collection is noticed in the interim final rule associated </w:t>
      </w:r>
      <w:r w:rsidR="005F01F6">
        <w:rPr>
          <w:rFonts w:ascii="Arial" w:eastAsia="Calibri" w:hAnsi="Arial" w:cs="Arial"/>
        </w:rPr>
        <w:t xml:space="preserve">with </w:t>
      </w:r>
      <w:r w:rsidR="006C59AB">
        <w:rPr>
          <w:rFonts w:ascii="Arial" w:eastAsia="Calibri" w:hAnsi="Arial" w:cs="Arial"/>
        </w:rPr>
        <w:t>RIN-</w:t>
      </w:r>
      <w:r w:rsidR="005F01F6">
        <w:rPr>
          <w:rFonts w:ascii="Arial" w:eastAsia="Calibri" w:hAnsi="Arial" w:cs="Arial"/>
        </w:rPr>
        <w:t>AQ97.</w:t>
      </w:r>
    </w:p>
    <w:p w14:paraId="768EB79D" w14:textId="77777777" w:rsidR="00CA5137" w:rsidRDefault="00CA5137" w:rsidP="00153676">
      <w:pPr>
        <w:ind w:left="630"/>
        <w:rPr>
          <w:rFonts w:ascii="Arial" w:eastAsia="Calibri" w:hAnsi="Arial" w:cs="Arial"/>
        </w:rPr>
      </w:pPr>
    </w:p>
    <w:p w14:paraId="57A89111" w14:textId="52B271C5" w:rsidR="005F01F6" w:rsidRDefault="0045569E" w:rsidP="00625A7E">
      <w:pPr>
        <w:tabs>
          <w:tab w:val="left" w:pos="720"/>
        </w:tabs>
        <w:spacing w:line="280" w:lineRule="exact"/>
        <w:ind w:left="630"/>
        <w:rPr>
          <w:rFonts w:ascii="Arial" w:hAnsi="Arial" w:cs="Arial"/>
          <w:bCs/>
          <w:snapToGrid w:val="0"/>
        </w:rPr>
      </w:pPr>
      <w:r w:rsidRPr="00C256AE">
        <w:rPr>
          <w:rFonts w:ascii="Arial" w:eastAsia="Calibri" w:hAnsi="Arial" w:cs="Arial"/>
        </w:rPr>
        <w:t xml:space="preserve">Emergency clearance is requested because </w:t>
      </w:r>
      <w:r w:rsidR="005F01F6">
        <w:rPr>
          <w:rFonts w:ascii="Arial" w:eastAsia="Calibri" w:hAnsi="Arial" w:cs="Arial"/>
        </w:rPr>
        <w:t xml:space="preserve">AQ97 changed from a proposed rule to an interim final rule that </w:t>
      </w:r>
      <w:r w:rsidR="001D408A">
        <w:rPr>
          <w:rFonts w:ascii="Arial" w:eastAsia="Calibri" w:hAnsi="Arial" w:cs="Arial"/>
        </w:rPr>
        <w:t>will soon be cleared for publication</w:t>
      </w:r>
      <w:r w:rsidR="006C59AB">
        <w:rPr>
          <w:rFonts w:ascii="Arial" w:eastAsia="Calibri" w:hAnsi="Arial" w:cs="Arial"/>
        </w:rPr>
        <w:t xml:space="preserve"> in the Federal Register</w:t>
      </w:r>
      <w:r w:rsidR="001D408A">
        <w:rPr>
          <w:rFonts w:ascii="Arial" w:eastAsia="Calibri" w:hAnsi="Arial" w:cs="Arial"/>
        </w:rPr>
        <w:t xml:space="preserve">.  </w:t>
      </w:r>
      <w:r w:rsidR="005F01F6">
        <w:rPr>
          <w:rFonts w:ascii="Arial" w:eastAsia="Calibri" w:hAnsi="Arial" w:cs="Arial"/>
        </w:rPr>
        <w:t>T</w:t>
      </w:r>
      <w:r w:rsidRPr="00C256AE">
        <w:rPr>
          <w:rFonts w:ascii="Arial" w:eastAsia="Calibri" w:hAnsi="Arial" w:cs="Arial"/>
        </w:rPr>
        <w:t xml:space="preserve">he use of </w:t>
      </w:r>
      <w:r w:rsidR="005F01F6">
        <w:rPr>
          <w:rFonts w:ascii="Arial" w:eastAsia="Calibri" w:hAnsi="Arial" w:cs="Arial"/>
        </w:rPr>
        <w:t>regular</w:t>
      </w:r>
      <w:r w:rsidRPr="00C256AE">
        <w:rPr>
          <w:rFonts w:ascii="Arial" w:eastAsia="Calibri" w:hAnsi="Arial" w:cs="Arial"/>
        </w:rPr>
        <w:t xml:space="preserve"> OMB clearance procedures</w:t>
      </w:r>
      <w:r w:rsidR="005F01F6">
        <w:rPr>
          <w:rFonts w:ascii="Arial" w:eastAsia="Calibri" w:hAnsi="Arial" w:cs="Arial"/>
        </w:rPr>
        <w:t xml:space="preserve"> </w:t>
      </w:r>
      <w:r w:rsidR="00625A7E">
        <w:rPr>
          <w:rFonts w:ascii="Arial" w:eastAsia="Calibri" w:hAnsi="Arial" w:cs="Arial"/>
        </w:rPr>
        <w:t>will not allow for coordination of the PRA clearance with publication of the rule.</w:t>
      </w:r>
      <w:r w:rsidR="00625A7E">
        <w:rPr>
          <w:rFonts w:ascii="Arial" w:hAnsi="Arial" w:cs="Arial"/>
          <w:bCs/>
          <w:snapToGrid w:val="0"/>
        </w:rPr>
        <w:t xml:space="preserve">  </w:t>
      </w:r>
      <w:r w:rsidR="007C683F">
        <w:rPr>
          <w:rFonts w:ascii="Arial" w:hAnsi="Arial" w:cs="Arial"/>
          <w:bCs/>
          <w:snapToGrid w:val="0"/>
        </w:rPr>
        <w:t xml:space="preserve">OMB </w:t>
      </w:r>
      <w:r w:rsidR="005F01F6">
        <w:rPr>
          <w:rFonts w:ascii="Arial" w:hAnsi="Arial" w:cs="Arial"/>
          <w:bCs/>
          <w:snapToGrid w:val="0"/>
        </w:rPr>
        <w:t xml:space="preserve">PRA </w:t>
      </w:r>
      <w:r w:rsidR="007C683F">
        <w:rPr>
          <w:rFonts w:ascii="Arial" w:hAnsi="Arial" w:cs="Arial"/>
          <w:bCs/>
          <w:snapToGrid w:val="0"/>
        </w:rPr>
        <w:t xml:space="preserve">approval is </w:t>
      </w:r>
      <w:r w:rsidR="005F01F6">
        <w:rPr>
          <w:rFonts w:ascii="Arial" w:hAnsi="Arial" w:cs="Arial"/>
          <w:bCs/>
          <w:snapToGrid w:val="0"/>
        </w:rPr>
        <w:t xml:space="preserve">respectfully </w:t>
      </w:r>
      <w:r w:rsidR="007C683F">
        <w:rPr>
          <w:rFonts w:ascii="Arial" w:hAnsi="Arial" w:cs="Arial"/>
          <w:bCs/>
          <w:snapToGrid w:val="0"/>
        </w:rPr>
        <w:t>requested</w:t>
      </w:r>
      <w:r w:rsidR="001E77E0">
        <w:rPr>
          <w:rFonts w:ascii="Arial" w:hAnsi="Arial" w:cs="Arial"/>
          <w:bCs/>
          <w:snapToGrid w:val="0"/>
        </w:rPr>
        <w:t xml:space="preserve"> by </w:t>
      </w:r>
      <w:r w:rsidR="005F01F6">
        <w:rPr>
          <w:rFonts w:ascii="Arial" w:hAnsi="Arial" w:cs="Arial"/>
          <w:bCs/>
          <w:snapToGrid w:val="0"/>
        </w:rPr>
        <w:t>May 8, 2020</w:t>
      </w:r>
      <w:r w:rsidR="001762D3">
        <w:rPr>
          <w:rFonts w:ascii="Arial" w:hAnsi="Arial" w:cs="Arial"/>
          <w:bCs/>
          <w:snapToGrid w:val="0"/>
        </w:rPr>
        <w:t xml:space="preserve">.  </w:t>
      </w:r>
    </w:p>
    <w:p w14:paraId="316C2CE1" w14:textId="77777777" w:rsidR="005F01F6" w:rsidRDefault="005F01F6" w:rsidP="0045569E">
      <w:pPr>
        <w:tabs>
          <w:tab w:val="left" w:pos="540"/>
          <w:tab w:val="left" w:pos="720"/>
          <w:tab w:val="left" w:pos="1080"/>
          <w:tab w:val="left" w:pos="1620"/>
          <w:tab w:val="left" w:pos="2160"/>
          <w:tab w:val="left" w:pos="2700"/>
          <w:tab w:val="left" w:pos="3240"/>
          <w:tab w:val="left" w:pos="3780"/>
          <w:tab w:val="left" w:pos="4320"/>
        </w:tabs>
        <w:autoSpaceDE w:val="0"/>
        <w:autoSpaceDN w:val="0"/>
        <w:adjustRightInd w:val="0"/>
        <w:spacing w:line="280" w:lineRule="exact"/>
        <w:ind w:left="630"/>
        <w:rPr>
          <w:rFonts w:ascii="Arial" w:hAnsi="Arial" w:cs="Arial"/>
          <w:bCs/>
          <w:snapToGrid w:val="0"/>
        </w:rPr>
      </w:pPr>
    </w:p>
    <w:p w14:paraId="634EB4D1" w14:textId="77777777" w:rsidR="005F01F6" w:rsidRDefault="005F01F6" w:rsidP="0045569E">
      <w:pPr>
        <w:tabs>
          <w:tab w:val="left" w:pos="540"/>
          <w:tab w:val="left" w:pos="720"/>
          <w:tab w:val="left" w:pos="1080"/>
          <w:tab w:val="left" w:pos="1620"/>
          <w:tab w:val="left" w:pos="2160"/>
          <w:tab w:val="left" w:pos="2700"/>
          <w:tab w:val="left" w:pos="3240"/>
          <w:tab w:val="left" w:pos="3780"/>
          <w:tab w:val="left" w:pos="4320"/>
        </w:tabs>
        <w:autoSpaceDE w:val="0"/>
        <w:autoSpaceDN w:val="0"/>
        <w:adjustRightInd w:val="0"/>
        <w:spacing w:line="280" w:lineRule="exact"/>
        <w:ind w:left="630"/>
        <w:rPr>
          <w:rFonts w:ascii="Arial" w:hAnsi="Arial" w:cs="Arial"/>
          <w:bCs/>
          <w:snapToGrid w:val="0"/>
        </w:rPr>
      </w:pPr>
    </w:p>
    <w:p w14:paraId="173F4A2D" w14:textId="336F7BC3" w:rsidR="0045569E" w:rsidRDefault="0045569E" w:rsidP="0045569E">
      <w:pPr>
        <w:tabs>
          <w:tab w:val="left" w:pos="720"/>
        </w:tabs>
        <w:ind w:left="630"/>
        <w:rPr>
          <w:rFonts w:ascii="Arial" w:hAnsi="Arial" w:cs="Arial"/>
        </w:rPr>
      </w:pPr>
    </w:p>
    <w:p w14:paraId="56EBB9E3" w14:textId="2C471AD6" w:rsidR="00EB006B" w:rsidRDefault="00EB006B" w:rsidP="0045569E">
      <w:pPr>
        <w:tabs>
          <w:tab w:val="left" w:pos="720"/>
        </w:tabs>
        <w:ind w:left="630"/>
        <w:rPr>
          <w:rFonts w:ascii="Arial" w:hAnsi="Arial" w:cs="Arial"/>
        </w:rPr>
      </w:pPr>
    </w:p>
    <w:p w14:paraId="3EDD4BF9" w14:textId="77777777" w:rsidR="00EB006B" w:rsidRPr="00C256AE" w:rsidRDefault="00EB006B" w:rsidP="0045569E">
      <w:pPr>
        <w:tabs>
          <w:tab w:val="left" w:pos="720"/>
        </w:tabs>
        <w:ind w:left="630"/>
        <w:rPr>
          <w:rFonts w:ascii="Arial" w:hAnsi="Arial" w:cs="Arial"/>
        </w:rPr>
      </w:pPr>
    </w:p>
    <w:p w14:paraId="720D5A6A" w14:textId="03367CB9" w:rsidR="00045D0E" w:rsidRDefault="0045569E" w:rsidP="00BB1828">
      <w:pPr>
        <w:tabs>
          <w:tab w:val="left" w:pos="720"/>
        </w:tabs>
        <w:ind w:left="630"/>
        <w:rPr>
          <w:rFonts w:ascii="Arial" w:hAnsi="Arial" w:cs="Arial"/>
        </w:rPr>
      </w:pPr>
      <w:r w:rsidRPr="00C256AE">
        <w:rPr>
          <w:rFonts w:ascii="Arial" w:hAnsi="Arial" w:cs="Arial"/>
        </w:rPr>
        <w:t xml:space="preserve">Questions may be addressed to </w:t>
      </w:r>
      <w:r w:rsidR="002F2F39">
        <w:rPr>
          <w:rFonts w:ascii="Arial" w:hAnsi="Arial" w:cs="Arial"/>
        </w:rPr>
        <w:t xml:space="preserve">Michael P. Shores, </w:t>
      </w:r>
      <w:r w:rsidRPr="00C256AE">
        <w:rPr>
          <w:rFonts w:ascii="Arial" w:hAnsi="Arial" w:cs="Arial"/>
        </w:rPr>
        <w:t xml:space="preserve">via phone at </w:t>
      </w:r>
      <w:r w:rsidR="002F2F39">
        <w:rPr>
          <w:rFonts w:ascii="Arial" w:hAnsi="Arial" w:cs="Arial"/>
        </w:rPr>
        <w:t xml:space="preserve">(202) 461-4921 or </w:t>
      </w:r>
      <w:r w:rsidRPr="00C256AE">
        <w:rPr>
          <w:rFonts w:ascii="Arial" w:hAnsi="Arial" w:cs="Arial"/>
        </w:rPr>
        <w:t>via email at</w:t>
      </w:r>
      <w:r w:rsidR="00BB1828" w:rsidRPr="00C256AE">
        <w:rPr>
          <w:rFonts w:ascii="Arial" w:hAnsi="Arial" w:cs="Arial"/>
        </w:rPr>
        <w:t xml:space="preserve"> </w:t>
      </w:r>
      <w:r w:rsidR="002F2F39">
        <w:rPr>
          <w:rFonts w:ascii="Arial" w:hAnsi="Arial" w:cs="Arial"/>
        </w:rPr>
        <w:t>Michael.shores@va.gov</w:t>
      </w:r>
      <w:r w:rsidRPr="00C256AE">
        <w:rPr>
          <w:rFonts w:ascii="Arial" w:hAnsi="Arial" w:cs="Arial"/>
        </w:rPr>
        <w:t xml:space="preserve">.  </w:t>
      </w:r>
    </w:p>
    <w:p w14:paraId="05528BF3" w14:textId="5D7B8F04" w:rsidR="00045D0E" w:rsidRDefault="00045D0E" w:rsidP="00BB1828">
      <w:pPr>
        <w:tabs>
          <w:tab w:val="left" w:pos="720"/>
        </w:tabs>
        <w:ind w:left="630"/>
        <w:rPr>
          <w:rFonts w:ascii="Arial" w:hAnsi="Arial" w:cs="Arial"/>
        </w:rPr>
      </w:pPr>
    </w:p>
    <w:p w14:paraId="682A652B" w14:textId="77777777" w:rsidR="005F01F6" w:rsidRDefault="005F01F6" w:rsidP="00BB1828">
      <w:pPr>
        <w:tabs>
          <w:tab w:val="left" w:pos="720"/>
        </w:tabs>
        <w:ind w:left="630"/>
        <w:rPr>
          <w:rFonts w:ascii="Arial" w:hAnsi="Arial" w:cs="Arial"/>
        </w:rPr>
      </w:pPr>
    </w:p>
    <w:p w14:paraId="4ACF8B12" w14:textId="77777777" w:rsidR="0045569E" w:rsidRPr="00C256AE" w:rsidRDefault="0045569E" w:rsidP="00045D0E">
      <w:pPr>
        <w:tabs>
          <w:tab w:val="left" w:pos="720"/>
        </w:tabs>
        <w:ind w:left="630"/>
        <w:rPr>
          <w:rFonts w:ascii="Arial" w:hAnsi="Arial" w:cs="Arial"/>
        </w:rPr>
      </w:pPr>
      <w:r w:rsidRPr="00C256AE">
        <w:rPr>
          <w:rFonts w:ascii="Arial" w:hAnsi="Arial" w:cs="Arial"/>
        </w:rPr>
        <w:t>Thank you for your consideration of this matter.</w:t>
      </w:r>
    </w:p>
    <w:p w14:paraId="1717084F" w14:textId="77777777" w:rsidR="0045569E" w:rsidRPr="00C256AE" w:rsidRDefault="0045569E" w:rsidP="0045569E">
      <w:pPr>
        <w:tabs>
          <w:tab w:val="left" w:pos="720"/>
        </w:tabs>
        <w:ind w:left="630" w:firstLine="360"/>
        <w:rPr>
          <w:rFonts w:ascii="Arial" w:hAnsi="Arial" w:cs="Arial"/>
        </w:rPr>
      </w:pPr>
    </w:p>
    <w:p w14:paraId="204115F4" w14:textId="3F95FC6E" w:rsidR="002F2F39" w:rsidRPr="002F2F39" w:rsidRDefault="004D12A3" w:rsidP="004D12A3">
      <w:pPr>
        <w:tabs>
          <w:tab w:val="left" w:pos="720"/>
        </w:tabs>
        <w:rPr>
          <w:rFonts w:ascii="Arial" w:hAnsi="Arial" w:cs="Arial"/>
          <w:bCs/>
        </w:rPr>
      </w:pPr>
      <w:r w:rsidRPr="002F2F39">
        <w:rPr>
          <w:rFonts w:ascii="Arial" w:hAnsi="Arial" w:cs="Arial"/>
          <w:bCs/>
        </w:rPr>
        <w:t xml:space="preserve">        </w:t>
      </w:r>
    </w:p>
    <w:p w14:paraId="285B3278" w14:textId="06FD09CF" w:rsidR="00505771" w:rsidRPr="002F2F39" w:rsidRDefault="002F2F39" w:rsidP="004D12A3">
      <w:pPr>
        <w:tabs>
          <w:tab w:val="left" w:pos="720"/>
        </w:tabs>
        <w:rPr>
          <w:rFonts w:ascii="Brush Script MT" w:hAnsi="Brush Script MT" w:cs="Arial"/>
          <w:bCs/>
          <w:color w:val="000000"/>
          <w:sz w:val="36"/>
          <w:szCs w:val="36"/>
        </w:rPr>
      </w:pPr>
      <w:r w:rsidRPr="002F2F39">
        <w:rPr>
          <w:rFonts w:ascii="Brush Script MT" w:hAnsi="Brush Script MT" w:cs="Arial"/>
          <w:bCs/>
          <w:color w:val="000000"/>
          <w:sz w:val="36"/>
          <w:szCs w:val="36"/>
        </w:rPr>
        <w:tab/>
        <w:t xml:space="preserve">Michael P. Shores </w:t>
      </w:r>
    </w:p>
    <w:p w14:paraId="59C1A340" w14:textId="1BD58455" w:rsidR="001E77E0" w:rsidRPr="002F2F39" w:rsidRDefault="001E77E0" w:rsidP="004D12A3">
      <w:pPr>
        <w:tabs>
          <w:tab w:val="left" w:pos="720"/>
        </w:tabs>
        <w:rPr>
          <w:rFonts w:ascii="Arial" w:hAnsi="Arial" w:cs="Arial"/>
          <w:bCs/>
          <w:color w:val="000000"/>
        </w:rPr>
      </w:pPr>
      <w:r w:rsidRPr="002F2F39">
        <w:rPr>
          <w:rFonts w:ascii="Arial" w:hAnsi="Arial" w:cs="Arial"/>
          <w:bCs/>
          <w:color w:val="000000"/>
        </w:rPr>
        <w:tab/>
        <w:t>____________________________________</w:t>
      </w:r>
    </w:p>
    <w:p w14:paraId="17CE07C7" w14:textId="45EE1B9D" w:rsidR="002F2F39" w:rsidRPr="002F2F39" w:rsidRDefault="001E77E0" w:rsidP="004D12A3">
      <w:pPr>
        <w:tabs>
          <w:tab w:val="left" w:pos="720"/>
        </w:tabs>
        <w:rPr>
          <w:rFonts w:ascii="Arial" w:hAnsi="Arial" w:cs="Arial"/>
          <w:bCs/>
          <w:color w:val="000000"/>
        </w:rPr>
      </w:pPr>
      <w:r>
        <w:rPr>
          <w:rFonts w:ascii="Arial" w:hAnsi="Arial" w:cs="Arial"/>
          <w:b/>
          <w:color w:val="000000"/>
        </w:rPr>
        <w:tab/>
      </w:r>
      <w:r w:rsidR="002F2F39" w:rsidRPr="002F2F39">
        <w:rPr>
          <w:rFonts w:ascii="Arial" w:hAnsi="Arial" w:cs="Arial"/>
          <w:bCs/>
          <w:color w:val="000000"/>
        </w:rPr>
        <w:t xml:space="preserve">Michael </w:t>
      </w:r>
      <w:r w:rsidR="002F2F39">
        <w:rPr>
          <w:rFonts w:ascii="Arial" w:hAnsi="Arial" w:cs="Arial"/>
          <w:bCs/>
          <w:color w:val="000000"/>
        </w:rPr>
        <w:t xml:space="preserve">P. </w:t>
      </w:r>
      <w:r w:rsidR="002F2F39" w:rsidRPr="002F2F39">
        <w:rPr>
          <w:rFonts w:ascii="Arial" w:hAnsi="Arial" w:cs="Arial"/>
          <w:bCs/>
          <w:color w:val="000000"/>
        </w:rPr>
        <w:t>Shores,</w:t>
      </w:r>
    </w:p>
    <w:p w14:paraId="306E6FBE" w14:textId="59B9BC2C" w:rsidR="002F2F39" w:rsidRPr="002F2F39" w:rsidRDefault="002F2F39" w:rsidP="004D12A3">
      <w:pPr>
        <w:tabs>
          <w:tab w:val="left" w:pos="720"/>
        </w:tabs>
        <w:rPr>
          <w:rFonts w:ascii="Arial" w:hAnsi="Arial" w:cs="Arial"/>
          <w:bCs/>
          <w:color w:val="000000"/>
        </w:rPr>
      </w:pPr>
      <w:r w:rsidRPr="002F2F39">
        <w:rPr>
          <w:rFonts w:ascii="Arial" w:hAnsi="Arial" w:cs="Arial"/>
          <w:bCs/>
          <w:color w:val="000000"/>
        </w:rPr>
        <w:tab/>
        <w:t>Director, Office of Regulation Policy and Management,</w:t>
      </w:r>
    </w:p>
    <w:p w14:paraId="1854DFDA" w14:textId="4574CC96" w:rsidR="002F2F39" w:rsidRPr="002F2F39" w:rsidRDefault="002F2F39" w:rsidP="004D12A3">
      <w:pPr>
        <w:tabs>
          <w:tab w:val="left" w:pos="720"/>
        </w:tabs>
        <w:rPr>
          <w:rFonts w:ascii="Arial" w:hAnsi="Arial" w:cs="Arial"/>
          <w:bCs/>
          <w:color w:val="000000"/>
        </w:rPr>
      </w:pPr>
      <w:r w:rsidRPr="002F2F39">
        <w:rPr>
          <w:rFonts w:ascii="Arial" w:hAnsi="Arial" w:cs="Arial"/>
          <w:bCs/>
          <w:color w:val="000000"/>
        </w:rPr>
        <w:tab/>
        <w:t>Office of the Secretary,</w:t>
      </w:r>
    </w:p>
    <w:p w14:paraId="694260FB" w14:textId="5AA62083" w:rsidR="001E77E0" w:rsidRPr="002F2F39" w:rsidRDefault="002F2F39" w:rsidP="004D12A3">
      <w:pPr>
        <w:tabs>
          <w:tab w:val="left" w:pos="720"/>
        </w:tabs>
        <w:rPr>
          <w:rFonts w:ascii="Arial" w:hAnsi="Arial" w:cs="Arial"/>
          <w:bCs/>
        </w:rPr>
      </w:pPr>
      <w:r w:rsidRPr="002F2F39">
        <w:rPr>
          <w:rFonts w:ascii="Arial" w:hAnsi="Arial" w:cs="Arial"/>
          <w:bCs/>
          <w:color w:val="000000"/>
        </w:rPr>
        <w:tab/>
        <w:t>Department of Veterans Affairs</w:t>
      </w:r>
      <w:r>
        <w:rPr>
          <w:rFonts w:ascii="Arial" w:hAnsi="Arial" w:cs="Arial"/>
          <w:bCs/>
          <w:color w:val="000000"/>
        </w:rPr>
        <w:t>.</w:t>
      </w:r>
    </w:p>
    <w:p w14:paraId="336B2385" w14:textId="77777777" w:rsidR="00FC0F35" w:rsidRPr="00C256AE" w:rsidRDefault="00FC0F35" w:rsidP="0038785F">
      <w:pPr>
        <w:tabs>
          <w:tab w:val="left" w:pos="990"/>
          <w:tab w:val="left" w:pos="3060"/>
        </w:tabs>
        <w:ind w:left="990" w:hanging="990"/>
        <w:rPr>
          <w:rFonts w:ascii="Arial" w:hAnsi="Arial" w:cs="Arial"/>
        </w:rPr>
      </w:pPr>
    </w:p>
    <w:p w14:paraId="303E642F" w14:textId="77777777" w:rsidR="00FC0F35" w:rsidRPr="00C256AE" w:rsidRDefault="00FC0F35" w:rsidP="0038785F">
      <w:pPr>
        <w:tabs>
          <w:tab w:val="left" w:pos="990"/>
          <w:tab w:val="left" w:pos="3060"/>
        </w:tabs>
        <w:ind w:left="990" w:hanging="990"/>
        <w:rPr>
          <w:rFonts w:ascii="Arial" w:hAnsi="Arial" w:cs="Arial"/>
        </w:rPr>
      </w:pPr>
    </w:p>
    <w:p w14:paraId="3AFFEA09" w14:textId="77777777" w:rsidR="00045D0E" w:rsidRPr="00C256AE" w:rsidRDefault="00045D0E" w:rsidP="001669EF">
      <w:pPr>
        <w:pStyle w:val="HTMLPreformatted"/>
        <w:rPr>
          <w:rFonts w:ascii="Arial" w:hAnsi="Arial" w:cs="Arial"/>
          <w:sz w:val="24"/>
          <w:szCs w:val="24"/>
        </w:rPr>
      </w:pPr>
    </w:p>
    <w:sectPr w:rsidR="00045D0E" w:rsidRPr="00C256AE" w:rsidSect="0045569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C08AF" w14:textId="77777777" w:rsidR="0043123F" w:rsidRDefault="0043123F" w:rsidP="0046183F">
      <w:r>
        <w:separator/>
      </w:r>
    </w:p>
  </w:endnote>
  <w:endnote w:type="continuationSeparator" w:id="0">
    <w:p w14:paraId="313E5A63" w14:textId="77777777" w:rsidR="0043123F" w:rsidRDefault="0043123F" w:rsidP="0046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E1D5" w14:textId="77777777" w:rsidR="0046183F" w:rsidRDefault="00461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2A87" w14:textId="77777777" w:rsidR="0046183F" w:rsidRDefault="00461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EEEE5" w14:textId="77777777" w:rsidR="0046183F" w:rsidRDefault="00461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78DB" w14:textId="77777777" w:rsidR="0043123F" w:rsidRDefault="0043123F" w:rsidP="0046183F">
      <w:r>
        <w:separator/>
      </w:r>
    </w:p>
  </w:footnote>
  <w:footnote w:type="continuationSeparator" w:id="0">
    <w:p w14:paraId="5D1A92D5" w14:textId="77777777" w:rsidR="0043123F" w:rsidRDefault="0043123F" w:rsidP="0046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CA56" w14:textId="77777777" w:rsidR="0046183F" w:rsidRDefault="00461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62B5" w14:textId="32AC4A74" w:rsidR="0046183F" w:rsidRDefault="00461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4D21" w14:textId="77777777" w:rsidR="0046183F" w:rsidRDefault="00461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DEE"/>
    <w:multiLevelType w:val="hybridMultilevel"/>
    <w:tmpl w:val="3E7C9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544A3"/>
    <w:multiLevelType w:val="hybridMultilevel"/>
    <w:tmpl w:val="EBE8AAB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A126146"/>
    <w:multiLevelType w:val="hybridMultilevel"/>
    <w:tmpl w:val="361C4B14"/>
    <w:lvl w:ilvl="0" w:tplc="5C72DDD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CDC631F"/>
    <w:multiLevelType w:val="hybridMultilevel"/>
    <w:tmpl w:val="FBAECD60"/>
    <w:lvl w:ilvl="0" w:tplc="79B8F90C">
      <w:start w:val="1"/>
      <w:numFmt w:val="decimal"/>
      <w:lvlText w:val="%1."/>
      <w:lvlJc w:val="left"/>
      <w:pPr>
        <w:tabs>
          <w:tab w:val="num" w:pos="-180"/>
        </w:tabs>
        <w:ind w:left="-180" w:hanging="360"/>
      </w:pPr>
      <w:rPr>
        <w:rFonts w:cs="Arial"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4" w15:restartNumberingAfterBreak="0">
    <w:nsid w:val="20A33B98"/>
    <w:multiLevelType w:val="hybridMultilevel"/>
    <w:tmpl w:val="B23C3314"/>
    <w:lvl w:ilvl="0" w:tplc="D26C1AEC">
      <w:start w:val="1"/>
      <w:numFmt w:val="decimal"/>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4A61378B"/>
    <w:multiLevelType w:val="hybridMultilevel"/>
    <w:tmpl w:val="20AEF99C"/>
    <w:lvl w:ilvl="0" w:tplc="79B8F90C">
      <w:start w:val="1"/>
      <w:numFmt w:val="decimal"/>
      <w:lvlText w:val="%1."/>
      <w:lvlJc w:val="left"/>
      <w:pPr>
        <w:tabs>
          <w:tab w:val="num" w:pos="360"/>
        </w:tabs>
        <w:ind w:left="360" w:hanging="360"/>
      </w:pPr>
      <w:rPr>
        <w:rFonts w:cs="Arial"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55306B26"/>
    <w:multiLevelType w:val="hybridMultilevel"/>
    <w:tmpl w:val="964A0AFE"/>
    <w:lvl w:ilvl="0" w:tplc="1310BD6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83840C7"/>
    <w:multiLevelType w:val="hybridMultilevel"/>
    <w:tmpl w:val="4A868726"/>
    <w:lvl w:ilvl="0" w:tplc="360481E8">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0A3DDC"/>
    <w:multiLevelType w:val="hybridMultilevel"/>
    <w:tmpl w:val="BB58BC88"/>
    <w:lvl w:ilvl="0" w:tplc="0409000F">
      <w:start w:val="1"/>
      <w:numFmt w:val="decimal"/>
      <w:lvlText w:val="%1."/>
      <w:lvlJc w:val="left"/>
      <w:pPr>
        <w:tabs>
          <w:tab w:val="num" w:pos="180"/>
        </w:tabs>
        <w:ind w:left="180" w:hanging="360"/>
      </w:pPr>
      <w:rPr>
        <w:rFonts w:cs="Times New Roman"/>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8"/>
  </w:num>
  <w:num w:numId="2">
    <w:abstractNumId w:val="3"/>
  </w:num>
  <w:num w:numId="3">
    <w:abstractNumId w:val="5"/>
  </w:num>
  <w:num w:numId="4">
    <w:abstractNumId w:val="4"/>
  </w:num>
  <w:num w:numId="5">
    <w:abstractNumId w:val="7"/>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E5"/>
    <w:rsid w:val="00040B64"/>
    <w:rsid w:val="00045D0E"/>
    <w:rsid w:val="00066A1C"/>
    <w:rsid w:val="00066C7D"/>
    <w:rsid w:val="0009790B"/>
    <w:rsid w:val="000B3D9D"/>
    <w:rsid w:val="000C7B53"/>
    <w:rsid w:val="000F55CD"/>
    <w:rsid w:val="00104062"/>
    <w:rsid w:val="00114C0E"/>
    <w:rsid w:val="0013169F"/>
    <w:rsid w:val="001503E4"/>
    <w:rsid w:val="00153676"/>
    <w:rsid w:val="001669EF"/>
    <w:rsid w:val="001712E6"/>
    <w:rsid w:val="001762D3"/>
    <w:rsid w:val="0019446D"/>
    <w:rsid w:val="001B6F7B"/>
    <w:rsid w:val="001B77FC"/>
    <w:rsid w:val="001D408A"/>
    <w:rsid w:val="001D47B8"/>
    <w:rsid w:val="001E1D16"/>
    <w:rsid w:val="001E77E0"/>
    <w:rsid w:val="00200109"/>
    <w:rsid w:val="00253B2C"/>
    <w:rsid w:val="002A0DD5"/>
    <w:rsid w:val="002C37DF"/>
    <w:rsid w:val="002F2F39"/>
    <w:rsid w:val="002F6C0C"/>
    <w:rsid w:val="003178D2"/>
    <w:rsid w:val="00321D23"/>
    <w:rsid w:val="003269A6"/>
    <w:rsid w:val="0035329C"/>
    <w:rsid w:val="00370FE8"/>
    <w:rsid w:val="003719C4"/>
    <w:rsid w:val="00377D24"/>
    <w:rsid w:val="0038785F"/>
    <w:rsid w:val="003D6AB7"/>
    <w:rsid w:val="003F725E"/>
    <w:rsid w:val="00414406"/>
    <w:rsid w:val="0043123F"/>
    <w:rsid w:val="0045569E"/>
    <w:rsid w:val="0046183F"/>
    <w:rsid w:val="0046760A"/>
    <w:rsid w:val="00473338"/>
    <w:rsid w:val="004D12A3"/>
    <w:rsid w:val="004E15DC"/>
    <w:rsid w:val="004E1E02"/>
    <w:rsid w:val="004F5D89"/>
    <w:rsid w:val="00505771"/>
    <w:rsid w:val="005105CC"/>
    <w:rsid w:val="0051518A"/>
    <w:rsid w:val="00546182"/>
    <w:rsid w:val="00560F27"/>
    <w:rsid w:val="00560FFF"/>
    <w:rsid w:val="00581571"/>
    <w:rsid w:val="005A3433"/>
    <w:rsid w:val="005D40C0"/>
    <w:rsid w:val="005F01F6"/>
    <w:rsid w:val="0060486B"/>
    <w:rsid w:val="00611E64"/>
    <w:rsid w:val="00612422"/>
    <w:rsid w:val="00612E55"/>
    <w:rsid w:val="00613D2C"/>
    <w:rsid w:val="00625A7E"/>
    <w:rsid w:val="00647208"/>
    <w:rsid w:val="00650AA9"/>
    <w:rsid w:val="00651132"/>
    <w:rsid w:val="00694485"/>
    <w:rsid w:val="006B4CE5"/>
    <w:rsid w:val="006C59AB"/>
    <w:rsid w:val="006E6B9E"/>
    <w:rsid w:val="007426F1"/>
    <w:rsid w:val="007511D7"/>
    <w:rsid w:val="007912B2"/>
    <w:rsid w:val="00793A47"/>
    <w:rsid w:val="00793E2A"/>
    <w:rsid w:val="007B1538"/>
    <w:rsid w:val="007C016E"/>
    <w:rsid w:val="007C0E98"/>
    <w:rsid w:val="007C683F"/>
    <w:rsid w:val="007D3D64"/>
    <w:rsid w:val="007E2AEC"/>
    <w:rsid w:val="008204F1"/>
    <w:rsid w:val="008C1FF2"/>
    <w:rsid w:val="008C6CEB"/>
    <w:rsid w:val="008C786D"/>
    <w:rsid w:val="008D066A"/>
    <w:rsid w:val="008E639A"/>
    <w:rsid w:val="00910C65"/>
    <w:rsid w:val="00927F86"/>
    <w:rsid w:val="00930F42"/>
    <w:rsid w:val="00937B38"/>
    <w:rsid w:val="00980611"/>
    <w:rsid w:val="00985C9B"/>
    <w:rsid w:val="009928FD"/>
    <w:rsid w:val="009A12FC"/>
    <w:rsid w:val="009E0B9D"/>
    <w:rsid w:val="009E4098"/>
    <w:rsid w:val="009F0BEA"/>
    <w:rsid w:val="009F1858"/>
    <w:rsid w:val="00A33593"/>
    <w:rsid w:val="00A668C7"/>
    <w:rsid w:val="00AB11CE"/>
    <w:rsid w:val="00AD240F"/>
    <w:rsid w:val="00AD4B04"/>
    <w:rsid w:val="00AF2EBB"/>
    <w:rsid w:val="00B00456"/>
    <w:rsid w:val="00B43307"/>
    <w:rsid w:val="00B46E76"/>
    <w:rsid w:val="00B630B6"/>
    <w:rsid w:val="00B9185F"/>
    <w:rsid w:val="00BB1828"/>
    <w:rsid w:val="00BC0E72"/>
    <w:rsid w:val="00BC2752"/>
    <w:rsid w:val="00C20D75"/>
    <w:rsid w:val="00C256AE"/>
    <w:rsid w:val="00C26A01"/>
    <w:rsid w:val="00C42E80"/>
    <w:rsid w:val="00C463EB"/>
    <w:rsid w:val="00C70147"/>
    <w:rsid w:val="00C85143"/>
    <w:rsid w:val="00CA5137"/>
    <w:rsid w:val="00CE4687"/>
    <w:rsid w:val="00D50D1C"/>
    <w:rsid w:val="00D72E22"/>
    <w:rsid w:val="00D87DC5"/>
    <w:rsid w:val="00D92A8D"/>
    <w:rsid w:val="00DC316C"/>
    <w:rsid w:val="00DC33E6"/>
    <w:rsid w:val="00DF7D8C"/>
    <w:rsid w:val="00E24032"/>
    <w:rsid w:val="00E346D1"/>
    <w:rsid w:val="00E64AF1"/>
    <w:rsid w:val="00E77BF2"/>
    <w:rsid w:val="00E86EEE"/>
    <w:rsid w:val="00E90283"/>
    <w:rsid w:val="00EB006B"/>
    <w:rsid w:val="00F65FB6"/>
    <w:rsid w:val="00FC0F35"/>
    <w:rsid w:val="00FC2D37"/>
    <w:rsid w:val="00FD642E"/>
    <w:rsid w:val="00FE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8F1B56"/>
  <w15:docId w15:val="{2FA5441E-D56E-4E89-ABA6-370E0115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right" w:pos="-180"/>
        <w:tab w:val="left" w:pos="0"/>
        <w:tab w:val="left" w:pos="720"/>
      </w:tabs>
      <w:ind w:left="-540"/>
      <w:outlineLvl w:val="0"/>
    </w:pPr>
    <w:rPr>
      <w:rFonts w:ascii="Arial" w:hAnsi="Arial"/>
      <w:szCs w:val="20"/>
    </w:rPr>
  </w:style>
  <w:style w:type="paragraph" w:styleId="Heading2">
    <w:name w:val="heading 2"/>
    <w:basedOn w:val="Normal"/>
    <w:next w:val="Normal"/>
    <w:link w:val="Heading2Char"/>
    <w:uiPriority w:val="9"/>
    <w:qFormat/>
    <w:pPr>
      <w:keepNext/>
      <w:tabs>
        <w:tab w:val="left" w:pos="360"/>
        <w:tab w:val="left" w:pos="720"/>
        <w:tab w:val="left" w:pos="1080"/>
        <w:tab w:val="left" w:pos="1620"/>
      </w:tabs>
      <w:outlineLvl w:val="1"/>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268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8268E"/>
    <w:rPr>
      <w:rFonts w:ascii="Cambria" w:eastAsia="Times New Roman" w:hAnsi="Cambria" w:cs="Times New Roman"/>
      <w:b/>
      <w:bCs/>
      <w:i/>
      <w:iCs/>
      <w:sz w:val="28"/>
      <w:szCs w:val="28"/>
    </w:rPr>
  </w:style>
  <w:style w:type="paragraph" w:styleId="BodyText">
    <w:name w:val="Body Text"/>
    <w:basedOn w:val="Normal"/>
    <w:link w:val="BodyTextChar"/>
    <w:uiPriority w:val="99"/>
    <w:rPr>
      <w:rFonts w:ascii="Arial" w:hAnsi="Arial"/>
      <w:szCs w:val="20"/>
    </w:rPr>
  </w:style>
  <w:style w:type="character" w:customStyle="1" w:styleId="BodyTextChar">
    <w:name w:val="Body Text Char"/>
    <w:link w:val="BodyText"/>
    <w:uiPriority w:val="99"/>
    <w:semiHidden/>
    <w:rsid w:val="0098268E"/>
    <w:rPr>
      <w:sz w:val="24"/>
      <w:szCs w:val="24"/>
    </w:rPr>
  </w:style>
  <w:style w:type="paragraph" w:styleId="BodyText2">
    <w:name w:val="Body Text 2"/>
    <w:basedOn w:val="Normal"/>
    <w:link w:val="BodyText2Char"/>
    <w:uiPriority w:val="99"/>
    <w:rPr>
      <w:rFonts w:ascii="Arial" w:hAnsi="Arial" w:cs="Arial"/>
      <w:sz w:val="22"/>
    </w:rPr>
  </w:style>
  <w:style w:type="character" w:customStyle="1" w:styleId="BodyText2Char">
    <w:name w:val="Body Text 2 Char"/>
    <w:link w:val="BodyText2"/>
    <w:uiPriority w:val="99"/>
    <w:semiHidden/>
    <w:rsid w:val="0098268E"/>
    <w:rPr>
      <w:sz w:val="24"/>
      <w:szCs w:val="24"/>
    </w:rPr>
  </w:style>
  <w:style w:type="character" w:styleId="Hyperlink">
    <w:name w:val="Hyperlink"/>
    <w:uiPriority w:val="99"/>
    <w:rsid w:val="00C85143"/>
    <w:rPr>
      <w:rFonts w:cs="Times New Roman"/>
      <w:color w:val="0000FF"/>
      <w:u w:val="single"/>
    </w:rPr>
  </w:style>
  <w:style w:type="character" w:styleId="FollowedHyperlink">
    <w:name w:val="FollowedHyperlink"/>
    <w:uiPriority w:val="99"/>
    <w:rsid w:val="00C85143"/>
    <w:rPr>
      <w:rFonts w:cs="Times New Roman"/>
      <w:color w:val="800080"/>
      <w:u w:val="single"/>
    </w:rPr>
  </w:style>
  <w:style w:type="paragraph" w:styleId="HTMLPreformatted">
    <w:name w:val="HTML Preformatted"/>
    <w:basedOn w:val="Normal"/>
    <w:link w:val="HTMLPreformattedChar"/>
    <w:uiPriority w:val="99"/>
    <w:rsid w:val="00D8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98268E"/>
    <w:rPr>
      <w:rFonts w:ascii="Courier New" w:hAnsi="Courier New" w:cs="Courier New"/>
    </w:rPr>
  </w:style>
  <w:style w:type="paragraph" w:styleId="BalloonText">
    <w:name w:val="Balloon Text"/>
    <w:basedOn w:val="Normal"/>
    <w:link w:val="BalloonTextChar"/>
    <w:uiPriority w:val="99"/>
    <w:semiHidden/>
    <w:rsid w:val="00066A1C"/>
    <w:rPr>
      <w:rFonts w:ascii="Tahoma" w:hAnsi="Tahoma" w:cs="Tahoma"/>
      <w:sz w:val="16"/>
      <w:szCs w:val="16"/>
    </w:rPr>
  </w:style>
  <w:style w:type="character" w:customStyle="1" w:styleId="BalloonTextChar">
    <w:name w:val="Balloon Text Char"/>
    <w:link w:val="BalloonText"/>
    <w:uiPriority w:val="99"/>
    <w:semiHidden/>
    <w:rsid w:val="0098268E"/>
    <w:rPr>
      <w:sz w:val="0"/>
      <w:szCs w:val="0"/>
    </w:rPr>
  </w:style>
  <w:style w:type="paragraph" w:styleId="Header">
    <w:name w:val="header"/>
    <w:basedOn w:val="Normal"/>
    <w:link w:val="HeaderChar"/>
    <w:unhideWhenUsed/>
    <w:rsid w:val="0046183F"/>
    <w:pPr>
      <w:tabs>
        <w:tab w:val="center" w:pos="4680"/>
        <w:tab w:val="right" w:pos="9360"/>
      </w:tabs>
    </w:pPr>
  </w:style>
  <w:style w:type="character" w:customStyle="1" w:styleId="HeaderChar">
    <w:name w:val="Header Char"/>
    <w:basedOn w:val="DefaultParagraphFont"/>
    <w:link w:val="Header"/>
    <w:rsid w:val="0046183F"/>
    <w:rPr>
      <w:sz w:val="24"/>
      <w:szCs w:val="24"/>
    </w:rPr>
  </w:style>
  <w:style w:type="paragraph" w:styleId="Footer">
    <w:name w:val="footer"/>
    <w:basedOn w:val="Normal"/>
    <w:link w:val="FooterChar"/>
    <w:unhideWhenUsed/>
    <w:rsid w:val="0046183F"/>
    <w:pPr>
      <w:tabs>
        <w:tab w:val="center" w:pos="4680"/>
        <w:tab w:val="right" w:pos="9360"/>
      </w:tabs>
    </w:pPr>
  </w:style>
  <w:style w:type="character" w:customStyle="1" w:styleId="FooterChar">
    <w:name w:val="Footer Char"/>
    <w:basedOn w:val="DefaultParagraphFont"/>
    <w:link w:val="Footer"/>
    <w:rsid w:val="0046183F"/>
    <w:rPr>
      <w:sz w:val="24"/>
      <w:szCs w:val="24"/>
    </w:rPr>
  </w:style>
  <w:style w:type="character" w:styleId="UnresolvedMention">
    <w:name w:val="Unresolved Mention"/>
    <w:basedOn w:val="DefaultParagraphFont"/>
    <w:uiPriority w:val="99"/>
    <w:semiHidden/>
    <w:unhideWhenUsed/>
    <w:rsid w:val="00BB1828"/>
    <w:rPr>
      <w:color w:val="808080"/>
      <w:shd w:val="clear" w:color="auto" w:fill="E6E6E6"/>
    </w:rPr>
  </w:style>
  <w:style w:type="character" w:styleId="CommentReference">
    <w:name w:val="annotation reference"/>
    <w:basedOn w:val="DefaultParagraphFont"/>
    <w:semiHidden/>
    <w:unhideWhenUsed/>
    <w:rsid w:val="00045D0E"/>
    <w:rPr>
      <w:sz w:val="16"/>
      <w:szCs w:val="16"/>
    </w:rPr>
  </w:style>
  <w:style w:type="paragraph" w:styleId="CommentText">
    <w:name w:val="annotation text"/>
    <w:basedOn w:val="Normal"/>
    <w:link w:val="CommentTextChar"/>
    <w:semiHidden/>
    <w:unhideWhenUsed/>
    <w:rsid w:val="00045D0E"/>
    <w:rPr>
      <w:sz w:val="20"/>
      <w:szCs w:val="20"/>
    </w:rPr>
  </w:style>
  <w:style w:type="character" w:customStyle="1" w:styleId="CommentTextChar">
    <w:name w:val="Comment Text Char"/>
    <w:basedOn w:val="DefaultParagraphFont"/>
    <w:link w:val="CommentText"/>
    <w:semiHidden/>
    <w:rsid w:val="00045D0E"/>
  </w:style>
  <w:style w:type="paragraph" w:styleId="CommentSubject">
    <w:name w:val="annotation subject"/>
    <w:basedOn w:val="CommentText"/>
    <w:next w:val="CommentText"/>
    <w:link w:val="CommentSubjectChar"/>
    <w:semiHidden/>
    <w:unhideWhenUsed/>
    <w:rsid w:val="00045D0E"/>
    <w:rPr>
      <w:b/>
      <w:bCs/>
    </w:rPr>
  </w:style>
  <w:style w:type="character" w:customStyle="1" w:styleId="CommentSubjectChar">
    <w:name w:val="Comment Subject Char"/>
    <w:basedOn w:val="CommentTextChar"/>
    <w:link w:val="CommentSubject"/>
    <w:semiHidden/>
    <w:rsid w:val="00045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A547-80BC-46EE-805E-9DDE76C5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Department of</vt:lpstr>
    </vt:vector>
  </TitlesOfParts>
  <Company>Dept. of VA</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dc:title>
  <dc:creator>vhacobickoa</dc:creator>
  <cp:lastModifiedBy>O'Donnell, Frances M.  (Cathexis)</cp:lastModifiedBy>
  <cp:revision>2</cp:revision>
  <cp:lastPrinted>2008-03-27T14:13:00Z</cp:lastPrinted>
  <dcterms:created xsi:type="dcterms:W3CDTF">2020-05-07T00:20:00Z</dcterms:created>
  <dcterms:modified xsi:type="dcterms:W3CDTF">2020-05-07T00:20:00Z</dcterms:modified>
</cp:coreProperties>
</file>