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5A1A" w:rsidR="00BD1F10" w:rsidRDefault="00BD1F10">
      <w:pPr>
        <w:suppressAutoHyphens/>
        <w:jc w:val="center"/>
        <w:rPr>
          <w:b/>
          <w:sz w:val="24"/>
          <w:szCs w:val="24"/>
        </w:rPr>
      </w:pPr>
    </w:p>
    <w:p w:rsidRPr="006D5A1A" w:rsidR="00967C97" w:rsidRDefault="00967C97">
      <w:pPr>
        <w:suppressAutoHyphens/>
        <w:jc w:val="center"/>
        <w:rPr>
          <w:sz w:val="24"/>
          <w:szCs w:val="24"/>
        </w:rPr>
      </w:pPr>
      <w:r w:rsidRPr="006D5A1A">
        <w:rPr>
          <w:sz w:val="24"/>
          <w:szCs w:val="24"/>
        </w:rPr>
        <w:t>SUPPORTING STATEMENT</w:t>
      </w:r>
    </w:p>
    <w:p w:rsidRPr="006D5A1A" w:rsidR="00967C97" w:rsidRDefault="00967C97">
      <w:pPr>
        <w:suppressAutoHyphens/>
        <w:jc w:val="center"/>
        <w:rPr>
          <w:sz w:val="24"/>
          <w:szCs w:val="24"/>
        </w:rPr>
      </w:pPr>
    </w:p>
    <w:p w:rsidRPr="006D5A1A" w:rsidR="00967C97" w:rsidP="00967C97" w:rsidRDefault="00BD1F10">
      <w:pPr>
        <w:pStyle w:val="BodyText"/>
        <w:numPr>
          <w:ilvl w:val="0"/>
          <w:numId w:val="17"/>
        </w:numPr>
        <w:rPr>
          <w:rFonts w:ascii="Times New Roman" w:hAnsi="Times New Roman"/>
          <w:szCs w:val="24"/>
          <w:u w:val="single"/>
        </w:rPr>
      </w:pPr>
      <w:r w:rsidRPr="006D5A1A">
        <w:rPr>
          <w:rFonts w:ascii="Times New Roman" w:hAnsi="Times New Roman"/>
          <w:szCs w:val="24"/>
          <w:u w:val="single"/>
        </w:rPr>
        <w:t>Justification:</w:t>
      </w:r>
    </w:p>
    <w:p w:rsidRPr="006D5A1A" w:rsidR="00BD1F10" w:rsidRDefault="00BD1F10">
      <w:pPr>
        <w:suppressAutoHyphens/>
        <w:rPr>
          <w:sz w:val="24"/>
          <w:szCs w:val="24"/>
        </w:rPr>
      </w:pPr>
    </w:p>
    <w:p w:rsidRPr="006D5A1A" w:rsidR="0092543E" w:rsidP="00AF3CA1" w:rsidRDefault="00AF3CA1">
      <w:pPr>
        <w:pStyle w:val="BodyText2"/>
        <w:ind w:left="360" w:hanging="360"/>
        <w:rPr>
          <w:szCs w:val="24"/>
        </w:rPr>
      </w:pPr>
      <w:r w:rsidRPr="006D5A1A">
        <w:rPr>
          <w:szCs w:val="24"/>
        </w:rPr>
        <w:t xml:space="preserve">1.  </w:t>
      </w:r>
      <w:r w:rsidRPr="006D5A1A" w:rsidR="00BD1F10">
        <w:rPr>
          <w:szCs w:val="24"/>
        </w:rPr>
        <w:t xml:space="preserve">FCC 605 is </w:t>
      </w:r>
      <w:r w:rsidRPr="006D5A1A" w:rsidR="0092543E">
        <w:rPr>
          <w:szCs w:val="24"/>
        </w:rPr>
        <w:t>a multi-part, consolidated, general application form that is part of the Universal Licensing System (ULS).  Form 605 includes a main form containing administrative information and a series of Schedules used to file technical information applicable to a specific radio service.  The form is used to file for authorization to operate radio stations, amend pending applications, modify existing licenses, renew or renew/modify existing licenses, request cancellation of a license, withdraw a pending application, request a duplicate license, or request an administrative update of an existing license (</w:t>
      </w:r>
      <w:r w:rsidRPr="006D5A1A" w:rsidR="0092543E">
        <w:rPr>
          <w:i/>
          <w:szCs w:val="24"/>
        </w:rPr>
        <w:t>i.e.,</w:t>
      </w:r>
      <w:r w:rsidRPr="006D5A1A" w:rsidR="0092543E">
        <w:rPr>
          <w:szCs w:val="24"/>
        </w:rPr>
        <w:t xml:space="preserve"> name change without change to corporate structure or control, change mailing address, change name of vessel, etc.) in the Ship (Part 80), Aircraft (Part 87), Amateur (including Amateur Vanity (Part 97)</w:t>
      </w:r>
      <w:r w:rsidRPr="006D5A1A" w:rsidR="00EA7472">
        <w:rPr>
          <w:szCs w:val="24"/>
        </w:rPr>
        <w:t>)</w:t>
      </w:r>
      <w:r w:rsidRPr="006D5A1A" w:rsidR="0092543E">
        <w:rPr>
          <w:szCs w:val="24"/>
        </w:rPr>
        <w:t>, Restricted and Commercial (Part 13), and General Mobile Radio Services (GMRS) (Part 95). This form is also used to apply for a Developmental License or a Special Temporary Authority (STA) in these services and to self-certify for temporary authorization to operate where applicable.  Respondents are encouraged to submit FCC 605 electronically.</w:t>
      </w:r>
    </w:p>
    <w:p w:rsidRPr="006D5A1A" w:rsidR="00BD1F10" w:rsidRDefault="00BD1F10">
      <w:pPr>
        <w:suppressAutoHyphens/>
        <w:rPr>
          <w:sz w:val="24"/>
          <w:szCs w:val="24"/>
        </w:rPr>
      </w:pPr>
    </w:p>
    <w:p w:rsidRPr="006D5A1A" w:rsidR="00BD1F10" w:rsidP="00E47068" w:rsidRDefault="00BD1F10">
      <w:pPr>
        <w:pStyle w:val="BodyText2"/>
        <w:ind w:left="270"/>
        <w:rPr>
          <w:szCs w:val="24"/>
        </w:rPr>
      </w:pPr>
      <w:r w:rsidRPr="006D5A1A">
        <w:rPr>
          <w:szCs w:val="24"/>
        </w:rPr>
        <w:t xml:space="preserve">This consolidated form </w:t>
      </w:r>
      <w:r w:rsidRPr="006D5A1A" w:rsidR="0092543E">
        <w:rPr>
          <w:szCs w:val="24"/>
        </w:rPr>
        <w:t xml:space="preserve">was </w:t>
      </w:r>
      <w:r w:rsidRPr="006D5A1A">
        <w:rPr>
          <w:szCs w:val="24"/>
        </w:rPr>
        <w:t>create</w:t>
      </w:r>
      <w:r w:rsidRPr="006D5A1A" w:rsidR="0092543E">
        <w:rPr>
          <w:szCs w:val="24"/>
        </w:rPr>
        <w:t xml:space="preserve">d to have </w:t>
      </w:r>
      <w:r w:rsidRPr="006D5A1A" w:rsidR="00EA7472">
        <w:rPr>
          <w:szCs w:val="24"/>
        </w:rPr>
        <w:t xml:space="preserve">a </w:t>
      </w:r>
      <w:r w:rsidRPr="006D5A1A">
        <w:rPr>
          <w:szCs w:val="24"/>
        </w:rPr>
        <w:t>consistent "look and feel" that maximizes the collection of data and minimizes narrative</w:t>
      </w:r>
      <w:r w:rsidRPr="006D5A1A" w:rsidR="0092543E">
        <w:rPr>
          <w:szCs w:val="24"/>
        </w:rPr>
        <w:t xml:space="preserve"> </w:t>
      </w:r>
      <w:r w:rsidRPr="006D5A1A">
        <w:rPr>
          <w:szCs w:val="24"/>
        </w:rPr>
        <w:t>responses, free-form attachment, a</w:t>
      </w:r>
      <w:r w:rsidRPr="006D5A1A" w:rsidR="0092543E">
        <w:rPr>
          <w:szCs w:val="24"/>
        </w:rPr>
        <w:t>nd free-form letter requests.  The</w:t>
      </w:r>
      <w:r w:rsidRPr="006D5A1A">
        <w:rPr>
          <w:szCs w:val="24"/>
        </w:rPr>
        <w:t xml:space="preserve"> consolidated application form </w:t>
      </w:r>
      <w:r w:rsidRPr="006D5A1A" w:rsidR="0092543E">
        <w:rPr>
          <w:szCs w:val="24"/>
        </w:rPr>
        <w:t>permits</w:t>
      </w:r>
      <w:r w:rsidRPr="006D5A1A">
        <w:rPr>
          <w:szCs w:val="24"/>
        </w:rPr>
        <w:t xml:space="preserve"> common fields, questions and statements to reside in one place</w:t>
      </w:r>
      <w:r w:rsidRPr="006D5A1A" w:rsidR="00E47068">
        <w:rPr>
          <w:szCs w:val="24"/>
        </w:rPr>
        <w:t>.  T</w:t>
      </w:r>
      <w:r w:rsidRPr="006D5A1A">
        <w:rPr>
          <w:szCs w:val="24"/>
        </w:rPr>
        <w:t>echnical data</w:t>
      </w:r>
      <w:r w:rsidRPr="006D5A1A" w:rsidR="00E47068">
        <w:rPr>
          <w:szCs w:val="24"/>
        </w:rPr>
        <w:t>,</w:t>
      </w:r>
      <w:r w:rsidRPr="006D5A1A">
        <w:rPr>
          <w:szCs w:val="24"/>
        </w:rPr>
        <w:t xml:space="preserve"> specific to each service</w:t>
      </w:r>
      <w:r w:rsidRPr="006D5A1A" w:rsidR="00E47068">
        <w:rPr>
          <w:szCs w:val="24"/>
        </w:rPr>
        <w:t>, can</w:t>
      </w:r>
      <w:r w:rsidRPr="006D5A1A">
        <w:rPr>
          <w:szCs w:val="24"/>
        </w:rPr>
        <w:t xml:space="preserve"> be captured in </w:t>
      </w:r>
      <w:r w:rsidRPr="006D5A1A" w:rsidR="00E47068">
        <w:rPr>
          <w:szCs w:val="24"/>
        </w:rPr>
        <w:t>their</w:t>
      </w:r>
      <w:r w:rsidRPr="006D5A1A">
        <w:rPr>
          <w:szCs w:val="24"/>
        </w:rPr>
        <w:t xml:space="preserve"> own schedule.  FCC 605</w:t>
      </w:r>
      <w:r w:rsidRPr="006D5A1A" w:rsidR="00E47068">
        <w:rPr>
          <w:szCs w:val="24"/>
        </w:rPr>
        <w:t xml:space="preserve"> </w:t>
      </w:r>
      <w:r w:rsidRPr="006D5A1A">
        <w:rPr>
          <w:szCs w:val="24"/>
        </w:rPr>
        <w:t>accommodates applicants requesting a change which involve</w:t>
      </w:r>
      <w:r w:rsidRPr="006D5A1A" w:rsidR="00EA7472">
        <w:rPr>
          <w:szCs w:val="24"/>
        </w:rPr>
        <w:t>s</w:t>
      </w:r>
      <w:r w:rsidRPr="006D5A1A">
        <w:rPr>
          <w:szCs w:val="24"/>
        </w:rPr>
        <w:t xml:space="preserve"> multiple existing licenses (</w:t>
      </w:r>
      <w:r w:rsidRPr="006D5A1A" w:rsidR="00E47068">
        <w:rPr>
          <w:i/>
          <w:szCs w:val="24"/>
        </w:rPr>
        <w:t xml:space="preserve">i.e., </w:t>
      </w:r>
      <w:r w:rsidRPr="006D5A1A">
        <w:rPr>
          <w:szCs w:val="24"/>
        </w:rPr>
        <w:t>duplicate, change of mailing address, etc.).</w:t>
      </w:r>
    </w:p>
    <w:p w:rsidRPr="006D5A1A" w:rsidR="00BD1F10" w:rsidP="00E47068" w:rsidRDefault="00E47068">
      <w:pPr>
        <w:pStyle w:val="BodyText2"/>
        <w:tabs>
          <w:tab w:val="left" w:pos="270"/>
        </w:tabs>
        <w:ind w:firstLine="270"/>
        <w:rPr>
          <w:szCs w:val="24"/>
        </w:rPr>
      </w:pPr>
      <w:r w:rsidRPr="006D5A1A">
        <w:rPr>
          <w:szCs w:val="24"/>
        </w:rPr>
        <w:t xml:space="preserve">   </w:t>
      </w:r>
    </w:p>
    <w:p w:rsidRPr="006D5A1A" w:rsidR="00BD1F10" w:rsidP="00E47068" w:rsidRDefault="00FB4A6E">
      <w:pPr>
        <w:pStyle w:val="BodyText2"/>
        <w:ind w:left="270"/>
        <w:rPr>
          <w:szCs w:val="24"/>
        </w:rPr>
      </w:pPr>
      <w:r w:rsidRPr="006D5A1A">
        <w:rPr>
          <w:szCs w:val="24"/>
        </w:rPr>
        <w:t>Among t</w:t>
      </w:r>
      <w:r w:rsidRPr="006D5A1A" w:rsidR="00BD1F10">
        <w:rPr>
          <w:szCs w:val="24"/>
        </w:rPr>
        <w:t>he data collected on this form i</w:t>
      </w:r>
      <w:r w:rsidRPr="006D5A1A">
        <w:rPr>
          <w:szCs w:val="24"/>
        </w:rPr>
        <w:t>s</w:t>
      </w:r>
      <w:r w:rsidRPr="006D5A1A" w:rsidR="00BD1F10">
        <w:rPr>
          <w:szCs w:val="24"/>
        </w:rPr>
        <w:t xml:space="preserve"> the FCC Registration </w:t>
      </w:r>
      <w:r w:rsidRPr="006D5A1A" w:rsidR="0092543E">
        <w:rPr>
          <w:szCs w:val="24"/>
        </w:rPr>
        <w:t xml:space="preserve">Number (FRN). Use of </w:t>
      </w:r>
      <w:r w:rsidRPr="006D5A1A">
        <w:rPr>
          <w:szCs w:val="24"/>
        </w:rPr>
        <w:t>th</w:t>
      </w:r>
      <w:r w:rsidRPr="006D5A1A" w:rsidR="0092543E">
        <w:rPr>
          <w:szCs w:val="24"/>
        </w:rPr>
        <w:t>e F</w:t>
      </w:r>
      <w:r w:rsidRPr="006D5A1A" w:rsidR="00BD1F10">
        <w:rPr>
          <w:szCs w:val="24"/>
        </w:rPr>
        <w:t xml:space="preserve">RN in the </w:t>
      </w:r>
      <w:r w:rsidRPr="006D5A1A" w:rsidR="0092543E">
        <w:rPr>
          <w:szCs w:val="24"/>
        </w:rPr>
        <w:t>ULS creates</w:t>
      </w:r>
      <w:r w:rsidRPr="006D5A1A" w:rsidR="00BD1F10">
        <w:rPr>
          <w:szCs w:val="24"/>
        </w:rPr>
        <w:t xml:space="preserve"> a common link </w:t>
      </w:r>
      <w:r w:rsidRPr="006D5A1A" w:rsidR="0092543E">
        <w:rPr>
          <w:szCs w:val="24"/>
        </w:rPr>
        <w:t>among</w:t>
      </w:r>
      <w:r w:rsidRPr="006D5A1A" w:rsidR="00BD1F10">
        <w:rPr>
          <w:szCs w:val="24"/>
        </w:rPr>
        <w:t xml:space="preserve"> a singl</w:t>
      </w:r>
      <w:r w:rsidR="005D7F68">
        <w:rPr>
          <w:szCs w:val="24"/>
        </w:rPr>
        <w:t>e entity’s filings with the FCC</w:t>
      </w:r>
      <w:r w:rsidRPr="006D5A1A" w:rsidR="0092543E">
        <w:rPr>
          <w:szCs w:val="24"/>
        </w:rPr>
        <w:t xml:space="preserve"> </w:t>
      </w:r>
      <w:r w:rsidRPr="006D5A1A" w:rsidR="00BD1F10">
        <w:rPr>
          <w:szCs w:val="24"/>
        </w:rPr>
        <w:t>Effective December 3, 2001, collection of FRN is required to comply</w:t>
      </w:r>
      <w:r w:rsidRPr="006D5A1A" w:rsidR="0092543E">
        <w:rPr>
          <w:szCs w:val="24"/>
        </w:rPr>
        <w:t xml:space="preserve"> </w:t>
      </w:r>
      <w:r w:rsidRPr="006D5A1A" w:rsidR="00BD1F10">
        <w:rPr>
          <w:szCs w:val="24"/>
        </w:rPr>
        <w:t xml:space="preserve">with the Debt </w:t>
      </w:r>
      <w:r w:rsidRPr="006D5A1A" w:rsidR="00E47068">
        <w:rPr>
          <w:szCs w:val="24"/>
        </w:rPr>
        <w:t xml:space="preserve">    </w:t>
      </w:r>
      <w:r w:rsidRPr="006D5A1A" w:rsidR="00BD1F10">
        <w:rPr>
          <w:szCs w:val="24"/>
        </w:rPr>
        <w:t>Collection Improvement Act of 1996</w:t>
      </w:r>
      <w:r w:rsidRPr="006D5A1A" w:rsidR="000F2B12">
        <w:rPr>
          <w:szCs w:val="24"/>
        </w:rPr>
        <w:t xml:space="preserve"> (DCIA)</w:t>
      </w:r>
      <w:r w:rsidRPr="006D5A1A" w:rsidR="00BD1F10">
        <w:rPr>
          <w:szCs w:val="24"/>
        </w:rPr>
        <w:t>.</w:t>
      </w:r>
    </w:p>
    <w:p w:rsidRPr="006D5A1A" w:rsidR="00BD1F10" w:rsidP="0099546D" w:rsidRDefault="00BD1F10">
      <w:pPr>
        <w:pStyle w:val="BodyText2"/>
        <w:rPr>
          <w:szCs w:val="24"/>
        </w:rPr>
      </w:pPr>
      <w:r w:rsidRPr="006D5A1A">
        <w:rPr>
          <w:szCs w:val="24"/>
        </w:rPr>
        <w:t xml:space="preserve">     </w:t>
      </w:r>
    </w:p>
    <w:p w:rsidRPr="006D5A1A" w:rsidR="00BD1F10" w:rsidP="00E437A9" w:rsidRDefault="00BD1F10">
      <w:pPr>
        <w:pStyle w:val="BodyText2"/>
        <w:ind w:left="270"/>
        <w:rPr>
          <w:szCs w:val="24"/>
        </w:rPr>
      </w:pPr>
      <w:r w:rsidRPr="006D5A1A">
        <w:rPr>
          <w:szCs w:val="24"/>
        </w:rPr>
        <w:t>The radio services for which this collection of information i</w:t>
      </w:r>
      <w:r w:rsidRPr="006D5A1A" w:rsidR="00E437A9">
        <w:rPr>
          <w:szCs w:val="24"/>
        </w:rPr>
        <w:t xml:space="preserve">s required are governed by FCC </w:t>
      </w:r>
      <w:r w:rsidRPr="006D5A1A">
        <w:rPr>
          <w:szCs w:val="24"/>
        </w:rPr>
        <w:t xml:space="preserve">Rules, </w:t>
      </w:r>
      <w:r w:rsidRPr="006D5A1A" w:rsidR="00526159">
        <w:rPr>
          <w:szCs w:val="24"/>
        </w:rPr>
        <w:t xml:space="preserve">47 </w:t>
      </w:r>
      <w:r w:rsidRPr="006D5A1A">
        <w:rPr>
          <w:szCs w:val="24"/>
        </w:rPr>
        <w:t>CFR Parts 13, 80, 87, 95 and 97.</w:t>
      </w:r>
    </w:p>
    <w:p w:rsidRPr="006D5A1A" w:rsidR="003C1158" w:rsidP="00E437A9" w:rsidRDefault="003C1158">
      <w:pPr>
        <w:pStyle w:val="BodyText2"/>
        <w:ind w:left="270"/>
        <w:rPr>
          <w:szCs w:val="24"/>
        </w:rPr>
      </w:pPr>
    </w:p>
    <w:p w:rsidRPr="006D5A1A" w:rsidR="003C1158" w:rsidP="003C1158" w:rsidRDefault="003C1158">
      <w:pPr>
        <w:pStyle w:val="BodyText2"/>
        <w:ind w:left="270"/>
        <w:rPr>
          <w:bCs/>
          <w:iCs/>
          <w:szCs w:val="24"/>
        </w:rPr>
      </w:pPr>
      <w:r w:rsidRPr="006D5A1A">
        <w:rPr>
          <w:bCs/>
          <w:iCs/>
          <w:szCs w:val="24"/>
        </w:rPr>
        <w:t>Records may include information about individuals or households</w:t>
      </w:r>
      <w:r w:rsidRPr="006D5A1A">
        <w:rPr>
          <w:b/>
          <w:bCs/>
          <w:iCs/>
          <w:szCs w:val="24"/>
        </w:rPr>
        <w:t xml:space="preserve">, </w:t>
      </w:r>
      <w:r w:rsidRPr="006D5A1A">
        <w:rPr>
          <w:bCs/>
          <w:i/>
          <w:iCs/>
          <w:szCs w:val="24"/>
        </w:rPr>
        <w:t>e.g</w:t>
      </w:r>
      <w:r w:rsidRPr="006D5A1A">
        <w:rPr>
          <w:bCs/>
          <w:iCs/>
          <w:szCs w:val="24"/>
        </w:rPr>
        <w:t>., personally identifiable information or PII, and the use(s) and disclosure of this information is governed by the requirements of a system of records notice or ‘SORN’, FCC/WTB-1, "Wireless Services Licensing Records.”  There are no additional impacts under the Privacy Act.</w:t>
      </w:r>
    </w:p>
    <w:p w:rsidRPr="006D5A1A" w:rsidR="003D5C18" w:rsidP="003C1158" w:rsidRDefault="003D5C18">
      <w:pPr>
        <w:pStyle w:val="BodyText2"/>
        <w:ind w:left="270"/>
        <w:rPr>
          <w:bCs/>
          <w:iCs/>
          <w:szCs w:val="24"/>
        </w:rPr>
      </w:pPr>
    </w:p>
    <w:p w:rsidRPr="003F5A62" w:rsidR="003F5A62" w:rsidP="003F5A62" w:rsidRDefault="003F5A62">
      <w:pPr>
        <w:pStyle w:val="BodyText2"/>
        <w:ind w:left="270"/>
        <w:rPr>
          <w:b/>
          <w:bCs/>
          <w:iCs/>
          <w:szCs w:val="24"/>
        </w:rPr>
      </w:pPr>
      <w:r w:rsidRPr="003F5A62">
        <w:rPr>
          <w:b/>
          <w:bCs/>
          <w:iCs/>
          <w:szCs w:val="24"/>
        </w:rPr>
        <w:t>Revised Information Collection Requirements Which Require Approval from the Office of Management and Budget (OMB):</w:t>
      </w:r>
    </w:p>
    <w:p w:rsidR="003F5A62" w:rsidP="00D13AEF" w:rsidRDefault="003F5A62">
      <w:pPr>
        <w:pStyle w:val="BodyText2"/>
        <w:ind w:left="270"/>
        <w:rPr>
          <w:bCs/>
          <w:iCs/>
          <w:szCs w:val="24"/>
        </w:rPr>
      </w:pPr>
    </w:p>
    <w:p w:rsidRPr="00486193" w:rsidR="00CF4845" w:rsidP="00CF4845" w:rsidRDefault="00CF4845">
      <w:pPr>
        <w:pStyle w:val="BodyText2"/>
        <w:ind w:left="270"/>
        <w:rPr>
          <w:bCs/>
          <w:iCs/>
          <w:szCs w:val="24"/>
        </w:rPr>
      </w:pPr>
      <w:r w:rsidRPr="00F1545A">
        <w:rPr>
          <w:bCs/>
          <w:iCs/>
          <w:szCs w:val="24"/>
        </w:rPr>
        <w:t xml:space="preserve">The Commission is </w:t>
      </w:r>
      <w:r>
        <w:rPr>
          <w:bCs/>
          <w:iCs/>
          <w:szCs w:val="24"/>
        </w:rPr>
        <w:t>requesting OMB approval for an extension (no change in the reporting, recordkeeping and/or third</w:t>
      </w:r>
      <w:r w:rsidR="00635760">
        <w:rPr>
          <w:bCs/>
          <w:iCs/>
          <w:szCs w:val="24"/>
        </w:rPr>
        <w:t>-</w:t>
      </w:r>
      <w:r>
        <w:rPr>
          <w:bCs/>
          <w:iCs/>
          <w:szCs w:val="24"/>
        </w:rPr>
        <w:t>party disclosure requirements</w:t>
      </w:r>
      <w:r w:rsidRPr="00635760">
        <w:rPr>
          <w:bCs/>
          <w:iCs/>
          <w:szCs w:val="24"/>
        </w:rPr>
        <w:t>).  The Commission is making minor clarifications to the instructions on the main form, item 28, to include purpose Renewal Only</w:t>
      </w:r>
      <w:r w:rsidRPr="00635760" w:rsidR="00987FAA">
        <w:rPr>
          <w:bCs/>
          <w:iCs/>
          <w:szCs w:val="24"/>
        </w:rPr>
        <w:t>, we are also removing item 28 from the Administrative Update purpose.</w:t>
      </w:r>
    </w:p>
    <w:p w:rsidR="00CF4845" w:rsidP="00D13AEF" w:rsidRDefault="00CF4845">
      <w:pPr>
        <w:pStyle w:val="BodyText2"/>
        <w:ind w:left="270"/>
        <w:rPr>
          <w:bCs/>
          <w:iCs/>
          <w:szCs w:val="24"/>
        </w:rPr>
      </w:pPr>
    </w:p>
    <w:p w:rsidRPr="006D5A1A" w:rsidR="00BD1F10" w:rsidP="00C662EB" w:rsidRDefault="00BD1F10">
      <w:pPr>
        <w:suppressAutoHyphens/>
        <w:ind w:left="270"/>
        <w:jc w:val="both"/>
        <w:rPr>
          <w:sz w:val="24"/>
          <w:szCs w:val="24"/>
        </w:rPr>
      </w:pPr>
      <w:r w:rsidRPr="006D5A1A">
        <w:rPr>
          <w:sz w:val="24"/>
          <w:szCs w:val="24"/>
        </w:rPr>
        <w:t>Statutory authority for this collection of information is contained in 47 CFR §1.913(a)(4) of the FCC Rules.</w:t>
      </w:r>
    </w:p>
    <w:p w:rsidRPr="006D5A1A" w:rsidR="00BD1F10" w:rsidRDefault="00BD1F10">
      <w:pPr>
        <w:suppressAutoHyphens/>
        <w:rPr>
          <w:sz w:val="24"/>
          <w:szCs w:val="24"/>
        </w:rPr>
      </w:pPr>
    </w:p>
    <w:p w:rsidRPr="006D5A1A" w:rsidR="00BD1F10" w:rsidP="00C662EB" w:rsidRDefault="00BD1F10">
      <w:pPr>
        <w:pStyle w:val="BodyText2"/>
        <w:ind w:left="360" w:hanging="360"/>
        <w:rPr>
          <w:szCs w:val="24"/>
        </w:rPr>
      </w:pPr>
      <w:r w:rsidRPr="006D5A1A">
        <w:rPr>
          <w:szCs w:val="24"/>
        </w:rPr>
        <w:t>2.  The FCC uses the information in FCC Form 605 to determine whether the applicant is legally,</w:t>
      </w:r>
      <w:r w:rsidRPr="006D5A1A" w:rsidR="00C662EB">
        <w:rPr>
          <w:szCs w:val="24"/>
        </w:rPr>
        <w:t xml:space="preserve"> </w:t>
      </w:r>
      <w:r w:rsidRPr="006D5A1A" w:rsidR="008B4697">
        <w:rPr>
          <w:szCs w:val="24"/>
        </w:rPr>
        <w:t xml:space="preserve">technically, and financially qualified to obtain a license.  </w:t>
      </w:r>
      <w:r w:rsidRPr="006D5A1A">
        <w:rPr>
          <w:szCs w:val="24"/>
        </w:rPr>
        <w:t>Without such information, the</w:t>
      </w:r>
      <w:r w:rsidRPr="006D5A1A" w:rsidR="000F2B12">
        <w:rPr>
          <w:szCs w:val="24"/>
        </w:rPr>
        <w:t xml:space="preserve"> </w:t>
      </w:r>
      <w:r w:rsidRPr="006D5A1A" w:rsidR="00620B37">
        <w:rPr>
          <w:szCs w:val="24"/>
        </w:rPr>
        <w:t>Commission can</w:t>
      </w:r>
      <w:r w:rsidRPr="006D5A1A">
        <w:rPr>
          <w:szCs w:val="24"/>
        </w:rPr>
        <w:t>not determine whether to issue the licenses to the applicants that provide</w:t>
      </w:r>
      <w:r w:rsidRPr="006D5A1A" w:rsidR="000F2B12">
        <w:rPr>
          <w:szCs w:val="24"/>
        </w:rPr>
        <w:t xml:space="preserve"> </w:t>
      </w:r>
      <w:r w:rsidRPr="006D5A1A">
        <w:rPr>
          <w:szCs w:val="24"/>
        </w:rPr>
        <w:t xml:space="preserve">telecommunication services to the public, and therefore, to fulfill its statutory responsibilities in accordance with the Communications Act of 1934, as amended.  Information provided on this form will also be used to update the database and to provide for proper use of the frequency spectrum as well as enforcement purposes.  </w:t>
      </w:r>
    </w:p>
    <w:p w:rsidRPr="006D5A1A" w:rsidR="00694079" w:rsidP="000F2B12" w:rsidRDefault="00694079">
      <w:pPr>
        <w:ind w:left="302"/>
        <w:jc w:val="both"/>
        <w:rPr>
          <w:sz w:val="24"/>
          <w:szCs w:val="24"/>
        </w:rPr>
      </w:pPr>
    </w:p>
    <w:p w:rsidRPr="006D5A1A" w:rsidR="00694079" w:rsidP="000F2B12" w:rsidRDefault="00694079">
      <w:pPr>
        <w:ind w:left="302"/>
        <w:jc w:val="both"/>
        <w:rPr>
          <w:sz w:val="24"/>
          <w:szCs w:val="24"/>
        </w:rPr>
      </w:pPr>
      <w:r w:rsidRPr="006D5A1A">
        <w:rPr>
          <w:sz w:val="24"/>
          <w:szCs w:val="24"/>
        </w:rPr>
        <w:t xml:space="preserve">For </w:t>
      </w:r>
      <w:r w:rsidRPr="006D5A1A" w:rsidR="000C7C8D">
        <w:rPr>
          <w:sz w:val="24"/>
          <w:szCs w:val="24"/>
        </w:rPr>
        <w:t>T</w:t>
      </w:r>
      <w:r w:rsidRPr="006D5A1A">
        <w:rPr>
          <w:sz w:val="24"/>
          <w:szCs w:val="24"/>
        </w:rPr>
        <w:t xml:space="preserve">hird </w:t>
      </w:r>
      <w:r w:rsidRPr="006D5A1A" w:rsidR="000C7C8D">
        <w:rPr>
          <w:sz w:val="24"/>
          <w:szCs w:val="24"/>
        </w:rPr>
        <w:t>Party D</w:t>
      </w:r>
      <w:r w:rsidRPr="006D5A1A">
        <w:rPr>
          <w:sz w:val="24"/>
          <w:szCs w:val="24"/>
        </w:rPr>
        <w:t xml:space="preserve">isclosure requirements, </w:t>
      </w:r>
      <w:r w:rsidRPr="006D5A1A" w:rsidR="00EB5DC7">
        <w:rPr>
          <w:sz w:val="24"/>
          <w:szCs w:val="24"/>
        </w:rPr>
        <w:t xml:space="preserve">Amateur </w:t>
      </w:r>
      <w:r w:rsidRPr="006D5A1A" w:rsidR="006D6E99">
        <w:rPr>
          <w:sz w:val="24"/>
          <w:szCs w:val="24"/>
        </w:rPr>
        <w:t xml:space="preserve">and Commercial Radio </w:t>
      </w:r>
      <w:r w:rsidRPr="006D5A1A" w:rsidR="00EB5DC7">
        <w:rPr>
          <w:sz w:val="24"/>
          <w:szCs w:val="24"/>
        </w:rPr>
        <w:t>Service applicants for initial authorization (“new application”) or an upgrade of authorization (“modify application”) are required to provide a completed FCC Form 605 to a  Volunteer Exam</w:t>
      </w:r>
      <w:r w:rsidRPr="006D5A1A" w:rsidR="006D6E99">
        <w:rPr>
          <w:sz w:val="24"/>
          <w:szCs w:val="24"/>
        </w:rPr>
        <w:t>ination</w:t>
      </w:r>
      <w:r w:rsidRPr="006D5A1A" w:rsidR="00EB5DC7">
        <w:rPr>
          <w:sz w:val="24"/>
          <w:szCs w:val="24"/>
        </w:rPr>
        <w:t xml:space="preserve"> Coordinator</w:t>
      </w:r>
      <w:r w:rsidRPr="006D5A1A" w:rsidR="006D6E99">
        <w:rPr>
          <w:sz w:val="24"/>
          <w:szCs w:val="24"/>
        </w:rPr>
        <w:t xml:space="preserve"> (VEC)</w:t>
      </w:r>
      <w:r w:rsidRPr="006D5A1A" w:rsidR="00EB5DC7">
        <w:rPr>
          <w:sz w:val="24"/>
          <w:szCs w:val="24"/>
        </w:rPr>
        <w:t xml:space="preserve"> </w:t>
      </w:r>
      <w:r w:rsidRPr="006D5A1A" w:rsidR="006D6E99">
        <w:rPr>
          <w:sz w:val="24"/>
          <w:szCs w:val="24"/>
        </w:rPr>
        <w:t>or Commercial Radio Operator License Examination Manager (COLEM) prio</w:t>
      </w:r>
      <w:r w:rsidRPr="006D5A1A" w:rsidR="00EB5DC7">
        <w:rPr>
          <w:sz w:val="24"/>
          <w:szCs w:val="24"/>
        </w:rPr>
        <w:t xml:space="preserve">r to taking an exam. The VEC </w:t>
      </w:r>
      <w:r w:rsidRPr="006D5A1A" w:rsidR="005F28F1">
        <w:rPr>
          <w:sz w:val="24"/>
          <w:szCs w:val="24"/>
        </w:rPr>
        <w:t xml:space="preserve">or COLEM </w:t>
      </w:r>
      <w:r w:rsidRPr="006D5A1A" w:rsidR="00EB5DC7">
        <w:rPr>
          <w:sz w:val="24"/>
          <w:szCs w:val="24"/>
        </w:rPr>
        <w:t>certifies additional information as to the results of the exam and</w:t>
      </w:r>
      <w:r w:rsidRPr="006D5A1A" w:rsidR="005F28F1">
        <w:rPr>
          <w:sz w:val="24"/>
          <w:szCs w:val="24"/>
        </w:rPr>
        <w:t xml:space="preserve"> may</w:t>
      </w:r>
      <w:r w:rsidRPr="006D5A1A" w:rsidR="00EB5DC7">
        <w:rPr>
          <w:sz w:val="24"/>
          <w:szCs w:val="24"/>
        </w:rPr>
        <w:t xml:space="preserve"> </w:t>
      </w:r>
      <w:r w:rsidRPr="006D5A1A" w:rsidR="005F28F1">
        <w:rPr>
          <w:sz w:val="24"/>
          <w:szCs w:val="24"/>
        </w:rPr>
        <w:t>electronically forward</w:t>
      </w:r>
      <w:r w:rsidRPr="006D5A1A" w:rsidR="00EB5DC7">
        <w:rPr>
          <w:sz w:val="24"/>
          <w:szCs w:val="24"/>
        </w:rPr>
        <w:t xml:space="preserve"> the FCC Form 605 to the FCC</w:t>
      </w:r>
      <w:r w:rsidRPr="006D5A1A" w:rsidR="005F28F1">
        <w:rPr>
          <w:sz w:val="24"/>
          <w:szCs w:val="24"/>
        </w:rPr>
        <w:t xml:space="preserve">.  Approximately 64,000, or 49% of the respondents are filed electronically through these third parties.  </w:t>
      </w:r>
      <w:r w:rsidRPr="006D5A1A" w:rsidR="00EB5DC7">
        <w:rPr>
          <w:sz w:val="24"/>
          <w:szCs w:val="24"/>
        </w:rPr>
        <w:t xml:space="preserve"> There is no additional cost or time burden to the applicant for this </w:t>
      </w:r>
      <w:r w:rsidRPr="006D5A1A" w:rsidR="005F28F1">
        <w:rPr>
          <w:sz w:val="24"/>
          <w:szCs w:val="24"/>
        </w:rPr>
        <w:t>third</w:t>
      </w:r>
      <w:r w:rsidR="00635760">
        <w:rPr>
          <w:sz w:val="24"/>
          <w:szCs w:val="24"/>
        </w:rPr>
        <w:t>-</w:t>
      </w:r>
      <w:r w:rsidRPr="006D5A1A" w:rsidR="005F28F1">
        <w:rPr>
          <w:sz w:val="24"/>
          <w:szCs w:val="24"/>
        </w:rPr>
        <w:t>party filing</w:t>
      </w:r>
      <w:r w:rsidRPr="006D5A1A" w:rsidR="00EB5DC7">
        <w:rPr>
          <w:sz w:val="24"/>
          <w:szCs w:val="24"/>
        </w:rPr>
        <w:t xml:space="preserve">.  (Any additional respondent costs and burden are associated with </w:t>
      </w:r>
      <w:r w:rsidRPr="006D5A1A" w:rsidR="005F28F1">
        <w:rPr>
          <w:sz w:val="24"/>
          <w:szCs w:val="24"/>
        </w:rPr>
        <w:t xml:space="preserve">the </w:t>
      </w:r>
      <w:r w:rsidRPr="006D5A1A" w:rsidR="00EB5DC7">
        <w:rPr>
          <w:sz w:val="24"/>
          <w:szCs w:val="24"/>
        </w:rPr>
        <w:t>exam</w:t>
      </w:r>
      <w:r w:rsidRPr="006D5A1A" w:rsidR="005F28F1">
        <w:rPr>
          <w:sz w:val="24"/>
          <w:szCs w:val="24"/>
        </w:rPr>
        <w:t>ination</w:t>
      </w:r>
      <w:r w:rsidRPr="006D5A1A" w:rsidR="00EB5DC7">
        <w:rPr>
          <w:sz w:val="24"/>
          <w:szCs w:val="24"/>
        </w:rPr>
        <w:t xml:space="preserve"> procedures.)</w:t>
      </w:r>
      <w:r w:rsidRPr="006D5A1A">
        <w:rPr>
          <w:sz w:val="24"/>
          <w:szCs w:val="24"/>
        </w:rPr>
        <w:t xml:space="preserve">.  Again, information about individuals or households, and the use(s) and disclosure of this information is governed by the requirements of system of records, FCC/WTB-1.  All information is publicly available except the Date of Birth for Commercial </w:t>
      </w:r>
      <w:r w:rsidRPr="006D5A1A" w:rsidR="005F28F1">
        <w:rPr>
          <w:sz w:val="24"/>
          <w:szCs w:val="24"/>
        </w:rPr>
        <w:t xml:space="preserve">Radio </w:t>
      </w:r>
      <w:r w:rsidRPr="006D5A1A">
        <w:rPr>
          <w:sz w:val="24"/>
          <w:szCs w:val="24"/>
        </w:rPr>
        <w:t xml:space="preserve">Operator </w:t>
      </w:r>
      <w:r w:rsidRPr="006D5A1A" w:rsidR="005F28F1">
        <w:rPr>
          <w:sz w:val="24"/>
          <w:szCs w:val="24"/>
        </w:rPr>
        <w:t>applicants</w:t>
      </w:r>
      <w:r w:rsidRPr="006D5A1A" w:rsidR="00C061ED">
        <w:rPr>
          <w:sz w:val="24"/>
          <w:szCs w:val="24"/>
        </w:rPr>
        <w:t xml:space="preserve"> and applicant Telephone Numbers are</w:t>
      </w:r>
      <w:r w:rsidRPr="006D5A1A">
        <w:rPr>
          <w:sz w:val="24"/>
          <w:szCs w:val="24"/>
        </w:rPr>
        <w:t xml:space="preserve"> redacted.</w:t>
      </w:r>
    </w:p>
    <w:p w:rsidRPr="006D5A1A" w:rsidR="00BD1F10" w:rsidRDefault="00BD1F10">
      <w:pPr>
        <w:rPr>
          <w:sz w:val="24"/>
          <w:szCs w:val="24"/>
        </w:rPr>
      </w:pPr>
    </w:p>
    <w:p w:rsidRPr="006D5A1A" w:rsidR="00BD1F10" w:rsidRDefault="00BD1F10">
      <w:pPr>
        <w:pStyle w:val="BodyTextIndent"/>
        <w:numPr>
          <w:ilvl w:val="0"/>
          <w:numId w:val="5"/>
        </w:numPr>
        <w:jc w:val="both"/>
        <w:rPr>
          <w:szCs w:val="24"/>
        </w:rPr>
      </w:pPr>
      <w:r w:rsidRPr="006D5A1A">
        <w:rPr>
          <w:szCs w:val="24"/>
        </w:rPr>
        <w:t>T</w:t>
      </w:r>
      <w:r w:rsidRPr="006D5A1A" w:rsidR="00501AF8">
        <w:rPr>
          <w:szCs w:val="24"/>
        </w:rPr>
        <w:t>he Commission anticipates that 9</w:t>
      </w:r>
      <w:r w:rsidRPr="006D5A1A" w:rsidR="001A5099">
        <w:rPr>
          <w:szCs w:val="24"/>
        </w:rPr>
        <w:t>7</w:t>
      </w:r>
      <w:r w:rsidRPr="006D5A1A">
        <w:rPr>
          <w:szCs w:val="24"/>
        </w:rPr>
        <w:t xml:space="preserve">% of the </w:t>
      </w:r>
      <w:r w:rsidRPr="006D5A1A" w:rsidR="005F28F1">
        <w:rPr>
          <w:szCs w:val="24"/>
        </w:rPr>
        <w:t xml:space="preserve">respondents </w:t>
      </w:r>
      <w:r w:rsidRPr="006D5A1A">
        <w:rPr>
          <w:szCs w:val="24"/>
        </w:rPr>
        <w:t xml:space="preserve">will file FCC Form 605 electronically. </w:t>
      </w:r>
    </w:p>
    <w:p w:rsidRPr="006D5A1A" w:rsidR="00BD1F10" w:rsidRDefault="00BD1F10">
      <w:pPr>
        <w:pStyle w:val="BodyTextIndent"/>
        <w:rPr>
          <w:szCs w:val="24"/>
        </w:rPr>
      </w:pPr>
    </w:p>
    <w:p w:rsidRPr="006D5A1A" w:rsidR="00BD1F10" w:rsidRDefault="00BD1F10">
      <w:pPr>
        <w:pStyle w:val="BodyTextIndent"/>
        <w:jc w:val="both"/>
        <w:rPr>
          <w:szCs w:val="24"/>
        </w:rPr>
      </w:pPr>
      <w:r w:rsidRPr="006D5A1A">
        <w:rPr>
          <w:szCs w:val="24"/>
        </w:rPr>
        <w:t xml:space="preserve">4.  This agency does not impose a similar information collection on the respondents.  There </w:t>
      </w:r>
      <w:r w:rsidRPr="006D5A1A">
        <w:rPr>
          <w:szCs w:val="24"/>
        </w:rPr>
        <w:lastRenderedPageBreak/>
        <w:t xml:space="preserve">are no similar data available. </w:t>
      </w:r>
    </w:p>
    <w:p w:rsidRPr="006D5A1A" w:rsidR="00292CA1" w:rsidRDefault="00292CA1">
      <w:pPr>
        <w:pStyle w:val="BodyTextIndent"/>
        <w:jc w:val="both"/>
        <w:rPr>
          <w:szCs w:val="24"/>
        </w:rPr>
      </w:pPr>
    </w:p>
    <w:p w:rsidRPr="006D5A1A" w:rsidR="00BD1F10" w:rsidP="000F2B12" w:rsidRDefault="00BD1F10">
      <w:pPr>
        <w:numPr>
          <w:ilvl w:val="0"/>
          <w:numId w:val="4"/>
        </w:numPr>
        <w:jc w:val="both"/>
        <w:rPr>
          <w:sz w:val="24"/>
          <w:szCs w:val="24"/>
        </w:rPr>
      </w:pPr>
      <w:r w:rsidRPr="006D5A1A">
        <w:rPr>
          <w:sz w:val="24"/>
          <w:szCs w:val="24"/>
        </w:rPr>
        <w:t xml:space="preserve">In conformance with the Paperwork Reduction Act of 1995, the Commission is </w:t>
      </w:r>
      <w:proofErr w:type="gramStart"/>
      <w:r w:rsidRPr="006D5A1A">
        <w:rPr>
          <w:sz w:val="24"/>
          <w:szCs w:val="24"/>
        </w:rPr>
        <w:t>making an</w:t>
      </w:r>
      <w:r w:rsidRPr="006D5A1A" w:rsidR="00931D5F">
        <w:rPr>
          <w:sz w:val="24"/>
          <w:szCs w:val="24"/>
        </w:rPr>
        <w:t xml:space="preserve"> </w:t>
      </w:r>
      <w:r w:rsidRPr="006D5A1A">
        <w:rPr>
          <w:sz w:val="24"/>
          <w:szCs w:val="24"/>
        </w:rPr>
        <w:t>effort</w:t>
      </w:r>
      <w:proofErr w:type="gramEnd"/>
      <w:r w:rsidRPr="006D5A1A">
        <w:rPr>
          <w:sz w:val="24"/>
          <w:szCs w:val="24"/>
        </w:rPr>
        <w:t xml:space="preserve"> to minimize the burden on all respondents, regardless of size.  The Commission has limited the information collection requirements to those absolutely necessary for evaluating and processing each application and to deter against possible abuses of the processes.</w:t>
      </w:r>
    </w:p>
    <w:p w:rsidRPr="006D5A1A" w:rsidR="000F2B12" w:rsidP="000F2B12" w:rsidRDefault="000F2B12">
      <w:pPr>
        <w:jc w:val="both"/>
        <w:rPr>
          <w:sz w:val="24"/>
          <w:szCs w:val="24"/>
        </w:rPr>
      </w:pPr>
    </w:p>
    <w:p w:rsidRPr="006D5A1A" w:rsidR="00BD1F10" w:rsidP="001B1869" w:rsidRDefault="00BD1F10">
      <w:pPr>
        <w:pStyle w:val="BodyText"/>
        <w:numPr>
          <w:ilvl w:val="0"/>
          <w:numId w:val="4"/>
        </w:numPr>
        <w:jc w:val="both"/>
        <w:rPr>
          <w:rFonts w:ascii="Times New Roman" w:hAnsi="Times New Roman"/>
          <w:b w:val="0"/>
          <w:szCs w:val="24"/>
        </w:rPr>
      </w:pPr>
      <w:r w:rsidRPr="006D5A1A">
        <w:rPr>
          <w:rFonts w:ascii="Times New Roman" w:hAnsi="Times New Roman"/>
          <w:b w:val="0"/>
          <w:szCs w:val="24"/>
        </w:rPr>
        <w:t>Generally, the frequency of filing of FCC Form 605 is determined by t</w:t>
      </w:r>
      <w:r w:rsidRPr="006D5A1A" w:rsidR="00526159">
        <w:rPr>
          <w:rFonts w:ascii="Times New Roman" w:hAnsi="Times New Roman"/>
          <w:b w:val="0"/>
          <w:szCs w:val="24"/>
        </w:rPr>
        <w:t xml:space="preserve">he applicant and   licensee, </w:t>
      </w:r>
      <w:r w:rsidRPr="006D5A1A" w:rsidR="00526159">
        <w:rPr>
          <w:rFonts w:ascii="Times New Roman" w:hAnsi="Times New Roman"/>
          <w:b w:val="0"/>
          <w:i/>
          <w:szCs w:val="24"/>
        </w:rPr>
        <w:t xml:space="preserve">i.e. </w:t>
      </w:r>
      <w:r w:rsidRPr="006D5A1A" w:rsidR="00E608FC">
        <w:rPr>
          <w:rFonts w:ascii="Times New Roman" w:hAnsi="Times New Roman"/>
          <w:b w:val="0"/>
          <w:szCs w:val="24"/>
        </w:rPr>
        <w:t>licensee</w:t>
      </w:r>
      <w:r w:rsidRPr="006D5A1A">
        <w:rPr>
          <w:rFonts w:ascii="Times New Roman" w:hAnsi="Times New Roman"/>
          <w:b w:val="0"/>
          <w:szCs w:val="24"/>
        </w:rPr>
        <w:t>s are required to renew their authorizations at which time the       information is verified</w:t>
      </w:r>
      <w:r w:rsidRPr="006D5A1A" w:rsidR="00526159">
        <w:rPr>
          <w:rFonts w:ascii="Times New Roman" w:hAnsi="Times New Roman"/>
          <w:b w:val="0"/>
          <w:szCs w:val="24"/>
        </w:rPr>
        <w:t>: Commercial</w:t>
      </w:r>
      <w:r w:rsidRPr="006D5A1A" w:rsidR="00E608FC">
        <w:rPr>
          <w:rFonts w:ascii="Times New Roman" w:hAnsi="Times New Roman"/>
          <w:b w:val="0"/>
          <w:szCs w:val="24"/>
        </w:rPr>
        <w:t xml:space="preserve"> Radio </w:t>
      </w:r>
      <w:r w:rsidRPr="006D5A1A" w:rsidR="00526159">
        <w:rPr>
          <w:rFonts w:ascii="Times New Roman" w:hAnsi="Times New Roman"/>
          <w:b w:val="0"/>
          <w:szCs w:val="24"/>
        </w:rPr>
        <w:t xml:space="preserve">Operator and GMRS </w:t>
      </w:r>
      <w:r w:rsidRPr="006D5A1A" w:rsidR="00E608FC">
        <w:rPr>
          <w:rFonts w:ascii="Times New Roman" w:hAnsi="Times New Roman"/>
          <w:b w:val="0"/>
          <w:szCs w:val="24"/>
        </w:rPr>
        <w:t>licensee</w:t>
      </w:r>
      <w:r w:rsidRPr="006D5A1A" w:rsidR="00526159">
        <w:rPr>
          <w:rFonts w:ascii="Times New Roman" w:hAnsi="Times New Roman"/>
          <w:b w:val="0"/>
          <w:szCs w:val="24"/>
        </w:rPr>
        <w:t xml:space="preserve">s file every 5 years, </w:t>
      </w:r>
      <w:r w:rsidRPr="006D5A1A">
        <w:rPr>
          <w:rFonts w:ascii="Times New Roman" w:hAnsi="Times New Roman"/>
          <w:b w:val="0"/>
          <w:szCs w:val="24"/>
        </w:rPr>
        <w:t>Ship, Aircraft</w:t>
      </w:r>
      <w:r w:rsidRPr="006D5A1A" w:rsidR="00526159">
        <w:rPr>
          <w:rFonts w:ascii="Times New Roman" w:hAnsi="Times New Roman"/>
          <w:b w:val="0"/>
          <w:szCs w:val="24"/>
        </w:rPr>
        <w:t>,</w:t>
      </w:r>
      <w:r w:rsidRPr="006D5A1A">
        <w:rPr>
          <w:rFonts w:ascii="Times New Roman" w:hAnsi="Times New Roman"/>
          <w:b w:val="0"/>
          <w:szCs w:val="24"/>
        </w:rPr>
        <w:t xml:space="preserve"> and Amateur </w:t>
      </w:r>
      <w:r w:rsidRPr="006D5A1A" w:rsidR="00E608FC">
        <w:rPr>
          <w:rFonts w:ascii="Times New Roman" w:hAnsi="Times New Roman"/>
          <w:b w:val="0"/>
          <w:szCs w:val="24"/>
        </w:rPr>
        <w:t>licensees</w:t>
      </w:r>
      <w:r w:rsidRPr="006D5A1A" w:rsidR="00526159">
        <w:rPr>
          <w:rFonts w:ascii="Times New Roman" w:hAnsi="Times New Roman"/>
          <w:b w:val="0"/>
          <w:szCs w:val="24"/>
        </w:rPr>
        <w:t xml:space="preserve"> file </w:t>
      </w:r>
      <w:r w:rsidRPr="006D5A1A">
        <w:rPr>
          <w:rFonts w:ascii="Times New Roman" w:hAnsi="Times New Roman"/>
          <w:b w:val="0"/>
          <w:szCs w:val="24"/>
        </w:rPr>
        <w:t>every 10 years</w:t>
      </w:r>
      <w:r w:rsidRPr="006D5A1A" w:rsidR="00526159">
        <w:rPr>
          <w:rFonts w:ascii="Times New Roman" w:hAnsi="Times New Roman"/>
          <w:b w:val="0"/>
          <w:szCs w:val="24"/>
        </w:rPr>
        <w:t>, and</w:t>
      </w:r>
      <w:r w:rsidRPr="006D5A1A">
        <w:rPr>
          <w:rFonts w:ascii="Times New Roman" w:hAnsi="Times New Roman"/>
          <w:b w:val="0"/>
          <w:szCs w:val="24"/>
        </w:rPr>
        <w:t xml:space="preserve"> Restricted Radiotelephone Operator</w:t>
      </w:r>
      <w:r w:rsidRPr="006D5A1A" w:rsidR="00E608FC">
        <w:rPr>
          <w:rFonts w:ascii="Times New Roman" w:hAnsi="Times New Roman"/>
          <w:b w:val="0"/>
          <w:szCs w:val="24"/>
        </w:rPr>
        <w:t>s</w:t>
      </w:r>
      <w:r w:rsidRPr="006D5A1A">
        <w:rPr>
          <w:rFonts w:ascii="Times New Roman" w:hAnsi="Times New Roman"/>
          <w:b w:val="0"/>
          <w:szCs w:val="24"/>
        </w:rPr>
        <w:t xml:space="preserve"> </w:t>
      </w:r>
      <w:r w:rsidRPr="006D5A1A" w:rsidR="00AB567C">
        <w:rPr>
          <w:rFonts w:ascii="Times New Roman" w:hAnsi="Times New Roman"/>
          <w:b w:val="0"/>
          <w:szCs w:val="24"/>
        </w:rPr>
        <w:t xml:space="preserve">which </w:t>
      </w:r>
      <w:r w:rsidRPr="006D5A1A" w:rsidR="00E47068">
        <w:rPr>
          <w:rFonts w:ascii="Times New Roman" w:hAnsi="Times New Roman"/>
          <w:b w:val="0"/>
          <w:szCs w:val="24"/>
        </w:rPr>
        <w:t>have a “lifetime issue”</w:t>
      </w:r>
      <w:r w:rsidRPr="006D5A1A" w:rsidR="00AB567C">
        <w:rPr>
          <w:rFonts w:ascii="Times New Roman" w:hAnsi="Times New Roman"/>
          <w:b w:val="0"/>
          <w:szCs w:val="24"/>
        </w:rPr>
        <w:t>, file just once, except when there is a name change, an address change, a vessel name change, etc.  Thus, w</w:t>
      </w:r>
      <w:r w:rsidRPr="006D5A1A" w:rsidR="00E47068">
        <w:rPr>
          <w:rFonts w:ascii="Times New Roman" w:hAnsi="Times New Roman"/>
          <w:b w:val="0"/>
          <w:szCs w:val="24"/>
        </w:rPr>
        <w:t>e must</w:t>
      </w:r>
      <w:r w:rsidRPr="006D5A1A">
        <w:rPr>
          <w:rFonts w:ascii="Times New Roman" w:hAnsi="Times New Roman"/>
          <w:b w:val="0"/>
          <w:szCs w:val="24"/>
        </w:rPr>
        <w:t xml:space="preserve"> verify the information in our database </w:t>
      </w:r>
      <w:r w:rsidRPr="006D5A1A" w:rsidR="000F2B12">
        <w:rPr>
          <w:rFonts w:ascii="Times New Roman" w:hAnsi="Times New Roman"/>
          <w:b w:val="0"/>
          <w:szCs w:val="24"/>
        </w:rPr>
        <w:t>at these</w:t>
      </w:r>
      <w:r w:rsidRPr="006D5A1A">
        <w:rPr>
          <w:rFonts w:ascii="Times New Roman" w:hAnsi="Times New Roman"/>
          <w:b w:val="0"/>
          <w:szCs w:val="24"/>
        </w:rPr>
        <w:t xml:space="preserve"> time intervals </w:t>
      </w:r>
      <w:r w:rsidRPr="006D5A1A" w:rsidR="00AB567C">
        <w:rPr>
          <w:rFonts w:ascii="Times New Roman" w:hAnsi="Times New Roman"/>
          <w:b w:val="0"/>
          <w:szCs w:val="24"/>
        </w:rPr>
        <w:t xml:space="preserve">or when these various changes are made in order </w:t>
      </w:r>
      <w:r w:rsidRPr="006D5A1A">
        <w:rPr>
          <w:rFonts w:ascii="Times New Roman" w:hAnsi="Times New Roman"/>
          <w:b w:val="0"/>
          <w:szCs w:val="24"/>
        </w:rPr>
        <w:t xml:space="preserve">to maintain the integrity of </w:t>
      </w:r>
      <w:r w:rsidRPr="006D5A1A" w:rsidR="00E47068">
        <w:rPr>
          <w:rFonts w:ascii="Times New Roman" w:hAnsi="Times New Roman"/>
          <w:b w:val="0"/>
          <w:szCs w:val="24"/>
        </w:rPr>
        <w:t>the</w:t>
      </w:r>
      <w:r w:rsidRPr="006D5A1A">
        <w:rPr>
          <w:rFonts w:ascii="Times New Roman" w:hAnsi="Times New Roman"/>
          <w:b w:val="0"/>
          <w:szCs w:val="24"/>
        </w:rPr>
        <w:t xml:space="preserve"> </w:t>
      </w:r>
      <w:r w:rsidRPr="006D5A1A" w:rsidR="00E47068">
        <w:rPr>
          <w:rFonts w:ascii="Times New Roman" w:hAnsi="Times New Roman"/>
          <w:b w:val="0"/>
          <w:szCs w:val="24"/>
        </w:rPr>
        <w:t xml:space="preserve">database and to provide proper </w:t>
      </w:r>
      <w:r w:rsidRPr="006D5A1A">
        <w:rPr>
          <w:rFonts w:ascii="Times New Roman" w:hAnsi="Times New Roman"/>
          <w:b w:val="0"/>
          <w:szCs w:val="24"/>
        </w:rPr>
        <w:t>management of the frequency spectrum.</w:t>
      </w:r>
    </w:p>
    <w:p w:rsidRPr="006D5A1A" w:rsidR="00BD1F10" w:rsidRDefault="00BD1F10">
      <w:pPr>
        <w:pStyle w:val="EndnoteText"/>
        <w:rPr>
          <w:szCs w:val="24"/>
        </w:rPr>
      </w:pPr>
    </w:p>
    <w:p w:rsidRPr="006D5A1A" w:rsidR="00BD1F10" w:rsidRDefault="00BD1F10">
      <w:pPr>
        <w:pStyle w:val="BodyText"/>
        <w:jc w:val="both"/>
        <w:rPr>
          <w:rFonts w:ascii="Times New Roman" w:hAnsi="Times New Roman"/>
          <w:b w:val="0"/>
          <w:szCs w:val="24"/>
        </w:rPr>
      </w:pPr>
      <w:r w:rsidRPr="006D5A1A">
        <w:rPr>
          <w:rFonts w:ascii="Times New Roman" w:hAnsi="Times New Roman"/>
          <w:b w:val="0"/>
          <w:szCs w:val="24"/>
        </w:rPr>
        <w:t xml:space="preserve">7.  </w:t>
      </w:r>
      <w:r w:rsidRPr="006D5A1A" w:rsidR="001B1869">
        <w:rPr>
          <w:rFonts w:ascii="Times New Roman" w:hAnsi="Times New Roman"/>
          <w:b w:val="0"/>
          <w:szCs w:val="24"/>
        </w:rPr>
        <w:t xml:space="preserve"> </w:t>
      </w:r>
      <w:r w:rsidRPr="006D5A1A">
        <w:rPr>
          <w:rFonts w:ascii="Times New Roman" w:hAnsi="Times New Roman"/>
          <w:b w:val="0"/>
          <w:szCs w:val="24"/>
        </w:rPr>
        <w:t xml:space="preserve">This collection of information is consistent with the guidelines in 5 CFR § 1320.  </w:t>
      </w:r>
    </w:p>
    <w:p w:rsidRPr="006D5A1A" w:rsidR="00BD1F10" w:rsidRDefault="00BD1F10">
      <w:pPr>
        <w:rPr>
          <w:sz w:val="24"/>
          <w:szCs w:val="24"/>
        </w:rPr>
      </w:pPr>
    </w:p>
    <w:p w:rsidRPr="006D5A1A" w:rsidR="00BD1F10" w:rsidP="00E437A9" w:rsidRDefault="00BD1F10">
      <w:pPr>
        <w:tabs>
          <w:tab w:val="left" w:pos="0"/>
          <w:tab w:val="left" w:pos="270"/>
        </w:tabs>
        <w:suppressAutoHyphens/>
        <w:ind w:left="270" w:hanging="270"/>
        <w:jc w:val="both"/>
        <w:rPr>
          <w:sz w:val="24"/>
          <w:szCs w:val="24"/>
        </w:rPr>
      </w:pPr>
      <w:r w:rsidRPr="006D5A1A">
        <w:rPr>
          <w:sz w:val="24"/>
          <w:szCs w:val="24"/>
        </w:rPr>
        <w:t xml:space="preserve">8. </w:t>
      </w:r>
      <w:r w:rsidRPr="006D5A1A" w:rsidR="00870B28">
        <w:rPr>
          <w:sz w:val="24"/>
          <w:szCs w:val="24"/>
        </w:rPr>
        <w:t xml:space="preserve"> </w:t>
      </w:r>
      <w:r w:rsidRPr="006D5A1A" w:rsidR="00426BF9">
        <w:rPr>
          <w:sz w:val="24"/>
          <w:szCs w:val="24"/>
        </w:rPr>
        <w:t>The Commission</w:t>
      </w:r>
      <w:r w:rsidRPr="006D5A1A" w:rsidR="00DB4886">
        <w:rPr>
          <w:sz w:val="24"/>
          <w:szCs w:val="24"/>
        </w:rPr>
        <w:t xml:space="preserve"> published</w:t>
      </w:r>
      <w:r w:rsidRPr="006D5A1A" w:rsidR="00426BF9">
        <w:rPr>
          <w:sz w:val="24"/>
          <w:szCs w:val="24"/>
        </w:rPr>
        <w:t xml:space="preserve"> a 60-day</w:t>
      </w:r>
      <w:r w:rsidRPr="006D5A1A" w:rsidR="00DB4886">
        <w:rPr>
          <w:sz w:val="24"/>
          <w:szCs w:val="24"/>
        </w:rPr>
        <w:t xml:space="preserve"> notice soliciting</w:t>
      </w:r>
      <w:r w:rsidRPr="006D5A1A" w:rsidR="00426BF9">
        <w:rPr>
          <w:sz w:val="24"/>
          <w:szCs w:val="24"/>
        </w:rPr>
        <w:t xml:space="preserve"> public comment </w:t>
      </w:r>
      <w:r w:rsidRPr="006D5A1A" w:rsidR="00292CA1">
        <w:rPr>
          <w:sz w:val="24"/>
          <w:szCs w:val="24"/>
        </w:rPr>
        <w:t>on the information collection requirements that are contained in this collection.  The notice</w:t>
      </w:r>
      <w:r w:rsidRPr="006D5A1A" w:rsidR="00426BF9">
        <w:rPr>
          <w:sz w:val="24"/>
          <w:szCs w:val="24"/>
        </w:rPr>
        <w:t xml:space="preserve"> appeared in the </w:t>
      </w:r>
      <w:r w:rsidRPr="0056480A" w:rsidR="00DB4886">
        <w:rPr>
          <w:sz w:val="24"/>
          <w:szCs w:val="24"/>
        </w:rPr>
        <w:t>Federal Register</w:t>
      </w:r>
      <w:r w:rsidRPr="0056480A" w:rsidR="00426BF9">
        <w:rPr>
          <w:sz w:val="24"/>
          <w:szCs w:val="24"/>
        </w:rPr>
        <w:t xml:space="preserve"> on</w:t>
      </w:r>
      <w:r w:rsidRPr="0056480A" w:rsidR="005319BE">
        <w:rPr>
          <w:sz w:val="24"/>
          <w:szCs w:val="24"/>
        </w:rPr>
        <w:t xml:space="preserve"> </w:t>
      </w:r>
      <w:r w:rsidRPr="0056480A" w:rsidR="00CF4845">
        <w:rPr>
          <w:sz w:val="24"/>
          <w:szCs w:val="24"/>
        </w:rPr>
        <w:t>March</w:t>
      </w:r>
      <w:r w:rsidR="0056480A">
        <w:rPr>
          <w:sz w:val="24"/>
          <w:szCs w:val="24"/>
        </w:rPr>
        <w:t xml:space="preserve"> 11</w:t>
      </w:r>
      <w:r w:rsidRPr="0056480A" w:rsidR="00CF4845">
        <w:rPr>
          <w:sz w:val="24"/>
          <w:szCs w:val="24"/>
        </w:rPr>
        <w:t xml:space="preserve">, </w:t>
      </w:r>
      <w:r w:rsidR="0056480A">
        <w:rPr>
          <w:sz w:val="24"/>
          <w:szCs w:val="24"/>
        </w:rPr>
        <w:t>2020</w:t>
      </w:r>
      <w:r w:rsidRPr="0056480A" w:rsidR="005319BE">
        <w:rPr>
          <w:sz w:val="24"/>
          <w:szCs w:val="24"/>
        </w:rPr>
        <w:t xml:space="preserve"> (</w:t>
      </w:r>
      <w:r w:rsidR="0056480A">
        <w:rPr>
          <w:sz w:val="24"/>
          <w:szCs w:val="24"/>
        </w:rPr>
        <w:t>85</w:t>
      </w:r>
      <w:r w:rsidRPr="0056480A" w:rsidR="00B76D64">
        <w:rPr>
          <w:sz w:val="24"/>
          <w:szCs w:val="24"/>
        </w:rPr>
        <w:t xml:space="preserve"> FR </w:t>
      </w:r>
      <w:r w:rsidR="0056480A">
        <w:rPr>
          <w:sz w:val="24"/>
          <w:szCs w:val="24"/>
        </w:rPr>
        <w:t>14197</w:t>
      </w:r>
      <w:r w:rsidRPr="0056480A" w:rsidR="005319BE">
        <w:rPr>
          <w:sz w:val="24"/>
          <w:szCs w:val="24"/>
        </w:rPr>
        <w:t>)</w:t>
      </w:r>
      <w:r w:rsidRPr="0056480A" w:rsidR="00A95079">
        <w:rPr>
          <w:sz w:val="24"/>
          <w:szCs w:val="24"/>
        </w:rPr>
        <w:t>.</w:t>
      </w:r>
      <w:r w:rsidRPr="006D5A1A" w:rsidR="00DB4886">
        <w:rPr>
          <w:sz w:val="24"/>
          <w:szCs w:val="24"/>
        </w:rPr>
        <w:t xml:space="preserve">   No comments</w:t>
      </w:r>
      <w:r w:rsidRPr="006D5A1A" w:rsidR="00426BF9">
        <w:rPr>
          <w:sz w:val="24"/>
          <w:szCs w:val="24"/>
        </w:rPr>
        <w:t xml:space="preserve"> were received</w:t>
      </w:r>
      <w:r w:rsidR="002723B3">
        <w:rPr>
          <w:sz w:val="24"/>
          <w:szCs w:val="24"/>
        </w:rPr>
        <w:t xml:space="preserve"> </w:t>
      </w:r>
      <w:r w:rsidRPr="006D5A1A" w:rsidR="00426BF9">
        <w:rPr>
          <w:sz w:val="24"/>
          <w:szCs w:val="24"/>
        </w:rPr>
        <w:t xml:space="preserve">as a result of the notice.  </w:t>
      </w:r>
    </w:p>
    <w:p w:rsidRPr="006D5A1A" w:rsidR="008B4697" w:rsidP="00C800F0" w:rsidRDefault="008B4697">
      <w:pPr>
        <w:tabs>
          <w:tab w:val="left" w:pos="0"/>
          <w:tab w:val="left" w:pos="360"/>
          <w:tab w:val="left" w:pos="720"/>
        </w:tabs>
        <w:suppressAutoHyphens/>
        <w:ind w:left="360" w:hanging="360"/>
        <w:jc w:val="both"/>
        <w:rPr>
          <w:sz w:val="24"/>
          <w:szCs w:val="24"/>
        </w:rPr>
      </w:pPr>
    </w:p>
    <w:p w:rsidRPr="006D5A1A" w:rsidR="00BD1F10" w:rsidRDefault="00BD1F10">
      <w:pPr>
        <w:pStyle w:val="BodyText2"/>
        <w:suppressAutoHyphens w:val="0"/>
        <w:rPr>
          <w:szCs w:val="24"/>
        </w:rPr>
      </w:pPr>
      <w:r w:rsidRPr="006D5A1A">
        <w:rPr>
          <w:szCs w:val="24"/>
        </w:rPr>
        <w:t xml:space="preserve">9.  </w:t>
      </w:r>
      <w:r w:rsidRPr="006D5A1A" w:rsidR="000F2B12">
        <w:rPr>
          <w:szCs w:val="24"/>
        </w:rPr>
        <w:t xml:space="preserve"> </w:t>
      </w:r>
      <w:r w:rsidRPr="006D5A1A">
        <w:rPr>
          <w:szCs w:val="24"/>
        </w:rPr>
        <w:t>Respondents will not receive any payments.</w:t>
      </w:r>
    </w:p>
    <w:p w:rsidRPr="006D5A1A" w:rsidR="00BD1F10" w:rsidRDefault="00BD1F10">
      <w:pPr>
        <w:rPr>
          <w:sz w:val="24"/>
          <w:szCs w:val="24"/>
        </w:rPr>
      </w:pPr>
    </w:p>
    <w:p w:rsidRPr="006D5A1A" w:rsidR="00BD1F10" w:rsidP="001B1869" w:rsidRDefault="00BD1F10">
      <w:pPr>
        <w:tabs>
          <w:tab w:val="left" w:pos="540"/>
        </w:tabs>
        <w:suppressAutoHyphens/>
        <w:ind w:left="450" w:hanging="450"/>
        <w:jc w:val="both"/>
        <w:rPr>
          <w:sz w:val="24"/>
          <w:szCs w:val="24"/>
        </w:rPr>
      </w:pPr>
      <w:r w:rsidRPr="006D5A1A">
        <w:rPr>
          <w:sz w:val="24"/>
          <w:szCs w:val="24"/>
        </w:rPr>
        <w:t>10.</w:t>
      </w:r>
      <w:r w:rsidRPr="006D5A1A" w:rsidR="00E47068">
        <w:rPr>
          <w:sz w:val="24"/>
          <w:szCs w:val="24"/>
        </w:rPr>
        <w:t xml:space="preserve"> </w:t>
      </w:r>
      <w:r w:rsidRPr="006D5A1A" w:rsidR="00AB567C">
        <w:rPr>
          <w:sz w:val="24"/>
          <w:szCs w:val="24"/>
        </w:rPr>
        <w:t>To protect the privacy of its applicant</w:t>
      </w:r>
      <w:r w:rsidRPr="006D5A1A" w:rsidR="00C061ED">
        <w:rPr>
          <w:sz w:val="24"/>
          <w:szCs w:val="24"/>
        </w:rPr>
        <w:t>s</w:t>
      </w:r>
      <w:r w:rsidRPr="006D5A1A" w:rsidR="00AB567C">
        <w:rPr>
          <w:sz w:val="24"/>
          <w:szCs w:val="24"/>
        </w:rPr>
        <w:t>, t</w:t>
      </w:r>
      <w:r w:rsidRPr="006D5A1A">
        <w:rPr>
          <w:sz w:val="24"/>
          <w:szCs w:val="24"/>
        </w:rPr>
        <w:t>he FCC will redact th</w:t>
      </w:r>
      <w:r w:rsidRPr="006D5A1A" w:rsidR="00E47068">
        <w:rPr>
          <w:sz w:val="24"/>
          <w:szCs w:val="24"/>
        </w:rPr>
        <w:t xml:space="preserve">e telephone number(s) of applicants </w:t>
      </w:r>
      <w:r w:rsidRPr="006D5A1A" w:rsidR="006E6B99">
        <w:rPr>
          <w:sz w:val="24"/>
          <w:szCs w:val="24"/>
        </w:rPr>
        <w:t xml:space="preserve">and the </w:t>
      </w:r>
      <w:r w:rsidRPr="006D5A1A" w:rsidR="000D33DF">
        <w:rPr>
          <w:sz w:val="24"/>
          <w:szCs w:val="24"/>
        </w:rPr>
        <w:t>birth date</w:t>
      </w:r>
      <w:r w:rsidRPr="006D5A1A" w:rsidR="006E6B99">
        <w:rPr>
          <w:sz w:val="24"/>
          <w:szCs w:val="24"/>
        </w:rPr>
        <w:t xml:space="preserve"> </w:t>
      </w:r>
      <w:r w:rsidRPr="006D5A1A" w:rsidR="00C061ED">
        <w:rPr>
          <w:sz w:val="24"/>
          <w:szCs w:val="24"/>
        </w:rPr>
        <w:t>of</w:t>
      </w:r>
      <w:r w:rsidRPr="006D5A1A" w:rsidR="00E47068">
        <w:rPr>
          <w:sz w:val="24"/>
          <w:szCs w:val="24"/>
        </w:rPr>
        <w:t xml:space="preserve"> the Commercial </w:t>
      </w:r>
      <w:r w:rsidRPr="006D5A1A" w:rsidR="00C061ED">
        <w:rPr>
          <w:sz w:val="24"/>
          <w:szCs w:val="24"/>
        </w:rPr>
        <w:t xml:space="preserve">Radio </w:t>
      </w:r>
      <w:r w:rsidRPr="006D5A1A" w:rsidR="00E47068">
        <w:rPr>
          <w:sz w:val="24"/>
          <w:szCs w:val="24"/>
        </w:rPr>
        <w:t xml:space="preserve">Operator </w:t>
      </w:r>
      <w:r w:rsidRPr="006D5A1A" w:rsidR="006E6B99">
        <w:rPr>
          <w:sz w:val="24"/>
          <w:szCs w:val="24"/>
        </w:rPr>
        <w:t>applicants</w:t>
      </w:r>
      <w:r w:rsidRPr="006D5A1A" w:rsidR="00E47068">
        <w:rPr>
          <w:sz w:val="24"/>
          <w:szCs w:val="24"/>
        </w:rPr>
        <w:t>.</w:t>
      </w:r>
    </w:p>
    <w:p w:rsidRPr="006D5A1A" w:rsidR="006E6B99" w:rsidP="001B1869" w:rsidRDefault="006E6B99">
      <w:pPr>
        <w:tabs>
          <w:tab w:val="left" w:pos="540"/>
        </w:tabs>
        <w:suppressAutoHyphens/>
        <w:ind w:left="450" w:hanging="450"/>
        <w:jc w:val="both"/>
        <w:rPr>
          <w:sz w:val="24"/>
          <w:szCs w:val="24"/>
        </w:rPr>
      </w:pPr>
    </w:p>
    <w:p w:rsidRPr="006D5A1A" w:rsidR="00C51DAA" w:rsidP="00A61FC1" w:rsidRDefault="00C51DAA">
      <w:pPr>
        <w:widowControl/>
        <w:suppressAutoHyphens/>
        <w:ind w:left="360" w:right="810"/>
        <w:jc w:val="both"/>
        <w:rPr>
          <w:sz w:val="24"/>
          <w:szCs w:val="24"/>
          <w:shd w:val="clear" w:color="auto" w:fill="FFFFFF"/>
        </w:rPr>
      </w:pPr>
      <w:r w:rsidRPr="006D5A1A">
        <w:rPr>
          <w:sz w:val="24"/>
          <w:szCs w:val="24"/>
          <w:shd w:val="clear" w:color="auto" w:fill="FFFFFF"/>
        </w:rPr>
        <w:t xml:space="preserve">Information on the </w:t>
      </w:r>
      <w:r w:rsidRPr="006D5A1A">
        <w:rPr>
          <w:bCs/>
          <w:iCs/>
          <w:snapToGrid/>
          <w:sz w:val="24"/>
          <w:szCs w:val="24"/>
        </w:rPr>
        <w:t>FCC Form 605</w:t>
      </w:r>
      <w:r w:rsidRPr="006D5A1A">
        <w:rPr>
          <w:sz w:val="24"/>
          <w:szCs w:val="24"/>
          <w:shd w:val="clear" w:color="auto" w:fill="FFFFFF"/>
        </w:rPr>
        <w:t xml:space="preserve"> is maintained in the Commission’s system of records</w:t>
      </w:r>
      <w:r w:rsidRPr="006D5A1A" w:rsidR="00A61FC1">
        <w:rPr>
          <w:sz w:val="24"/>
          <w:szCs w:val="24"/>
          <w:shd w:val="clear" w:color="auto" w:fill="FFFFFF"/>
        </w:rPr>
        <w:t xml:space="preserve"> notice or ‘SORN’</w:t>
      </w:r>
      <w:r w:rsidRPr="006D5A1A">
        <w:rPr>
          <w:sz w:val="24"/>
          <w:szCs w:val="24"/>
          <w:shd w:val="clear" w:color="auto" w:fill="FFFFFF"/>
        </w:rPr>
        <w:t xml:space="preserve">, FCC/WTB-1, “Wireless Services Licensing Records.”  </w:t>
      </w:r>
      <w:r w:rsidRPr="006D5A1A">
        <w:rPr>
          <w:spacing w:val="-3"/>
          <w:sz w:val="24"/>
          <w:szCs w:val="24"/>
          <w:shd w:val="clear" w:color="auto" w:fill="FFFFFF"/>
        </w:rPr>
        <w:t>These</w:t>
      </w:r>
      <w:r w:rsidRPr="006D5A1A">
        <w:rPr>
          <w:spacing w:val="-3"/>
          <w:sz w:val="24"/>
          <w:szCs w:val="24"/>
        </w:rPr>
        <w:t xml:space="preserve"> licensee records are publicly available and routinely used in accordance with subsection b of the Privacy Act, 5 U.S.C. 552a(b), </w:t>
      </w:r>
      <w:r w:rsidRPr="006D5A1A">
        <w:rPr>
          <w:spacing w:val="-3"/>
          <w:sz w:val="24"/>
          <w:szCs w:val="24"/>
          <w:shd w:val="clear" w:color="auto" w:fill="FFFFFF"/>
        </w:rPr>
        <w:t>as amended</w:t>
      </w:r>
      <w:r w:rsidRPr="006D5A1A">
        <w:rPr>
          <w:sz w:val="24"/>
          <w:szCs w:val="24"/>
          <w:shd w:val="clear" w:color="auto" w:fill="FFFFFF"/>
        </w:rPr>
        <w:t>.</w:t>
      </w:r>
      <w:r w:rsidRPr="006D5A1A">
        <w:rPr>
          <w:spacing w:val="-3"/>
          <w:sz w:val="24"/>
          <w:szCs w:val="24"/>
          <w:shd w:val="clear" w:color="auto" w:fill="FFFFFF"/>
        </w:rPr>
        <w:t xml:space="preserve">  </w:t>
      </w:r>
      <w:r w:rsidRPr="006D5A1A" w:rsidR="00C061ED">
        <w:rPr>
          <w:spacing w:val="-3"/>
          <w:sz w:val="24"/>
          <w:szCs w:val="24"/>
          <w:shd w:val="clear" w:color="auto" w:fill="FFFFFF"/>
        </w:rPr>
        <w:t>Taxpayer Identification Numbers (</w:t>
      </w:r>
      <w:r w:rsidRPr="006D5A1A">
        <w:rPr>
          <w:spacing w:val="-3"/>
          <w:sz w:val="24"/>
          <w:szCs w:val="24"/>
          <w:shd w:val="clear" w:color="auto" w:fill="FFFFFF"/>
        </w:rPr>
        <w:t>TIN</w:t>
      </w:r>
      <w:r w:rsidRPr="006D5A1A" w:rsidR="00C061ED">
        <w:rPr>
          <w:spacing w:val="-3"/>
          <w:sz w:val="24"/>
          <w:szCs w:val="24"/>
          <w:shd w:val="clear" w:color="auto" w:fill="FFFFFF"/>
        </w:rPr>
        <w:t>)</w:t>
      </w:r>
      <w:r w:rsidRPr="006D5A1A">
        <w:rPr>
          <w:spacing w:val="-3"/>
          <w:sz w:val="24"/>
          <w:szCs w:val="24"/>
          <w:shd w:val="clear" w:color="auto" w:fill="FFFFFF"/>
        </w:rPr>
        <w:t xml:space="preserve"> and material that is afforded confidential treatment pursuant to a request made under</w:t>
      </w:r>
      <w:r w:rsidRPr="006D5A1A">
        <w:rPr>
          <w:spacing w:val="-3"/>
          <w:sz w:val="24"/>
          <w:szCs w:val="24"/>
        </w:rPr>
        <w:t xml:space="preserve"> 47 CFR §0.459 will not be available for public inspection.  </w:t>
      </w:r>
    </w:p>
    <w:p w:rsidRPr="006D5A1A" w:rsidR="00C51DAA" w:rsidP="00C51DAA" w:rsidRDefault="00C51DAA">
      <w:pPr>
        <w:widowControl/>
        <w:suppressAutoHyphens/>
        <w:ind w:left="360" w:right="810"/>
        <w:jc w:val="both"/>
        <w:rPr>
          <w:spacing w:val="-3"/>
          <w:sz w:val="24"/>
          <w:szCs w:val="24"/>
        </w:rPr>
      </w:pPr>
    </w:p>
    <w:p w:rsidRPr="006D5A1A" w:rsidR="00C51DAA" w:rsidP="00C51DAA" w:rsidRDefault="00C51DAA">
      <w:pPr>
        <w:widowControl/>
        <w:suppressAutoHyphens/>
        <w:ind w:left="360" w:right="810"/>
        <w:jc w:val="both"/>
        <w:rPr>
          <w:spacing w:val="-3"/>
          <w:sz w:val="24"/>
          <w:szCs w:val="24"/>
        </w:rPr>
      </w:pPr>
      <w:r w:rsidRPr="006D5A1A">
        <w:rPr>
          <w:spacing w:val="-3"/>
          <w:sz w:val="24"/>
          <w:szCs w:val="24"/>
        </w:rPr>
        <w:t xml:space="preserve">The Commission has in place the following policy and procedures for records retention and disposal:  Records will be actively maintained as long as the individual remains a licensee.  Paper records will be archived after being keyed or </w:t>
      </w:r>
      <w:r w:rsidRPr="006D5A1A">
        <w:rPr>
          <w:spacing w:val="-3"/>
          <w:sz w:val="24"/>
          <w:szCs w:val="24"/>
        </w:rPr>
        <w:lastRenderedPageBreak/>
        <w:t>scanned into the system.  Electronic records will be backed up on tape.  Electronic and paper records will be maintained for at least twelve years</w:t>
      </w:r>
      <w:r w:rsidRPr="006D5A1A" w:rsidR="005F636A">
        <w:rPr>
          <w:spacing w:val="-3"/>
          <w:sz w:val="24"/>
          <w:szCs w:val="24"/>
        </w:rPr>
        <w:t xml:space="preserve"> and three months</w:t>
      </w:r>
      <w:r w:rsidRPr="006D5A1A">
        <w:rPr>
          <w:spacing w:val="-3"/>
          <w:sz w:val="24"/>
          <w:szCs w:val="24"/>
        </w:rPr>
        <w:t>.</w:t>
      </w:r>
    </w:p>
    <w:p w:rsidRPr="006D5A1A" w:rsidR="00292CA1" w:rsidP="001B1869" w:rsidRDefault="00292CA1">
      <w:pPr>
        <w:tabs>
          <w:tab w:val="left" w:pos="540"/>
        </w:tabs>
        <w:suppressAutoHyphens/>
        <w:ind w:left="450" w:hanging="450"/>
        <w:jc w:val="both"/>
        <w:rPr>
          <w:sz w:val="24"/>
          <w:szCs w:val="24"/>
        </w:rPr>
      </w:pPr>
    </w:p>
    <w:p w:rsidRPr="006D5A1A" w:rsidR="006E6B99" w:rsidP="001B1869" w:rsidRDefault="006E6B99">
      <w:pPr>
        <w:tabs>
          <w:tab w:val="left" w:pos="540"/>
        </w:tabs>
        <w:suppressAutoHyphens/>
        <w:ind w:left="450" w:hanging="450"/>
        <w:jc w:val="both"/>
        <w:rPr>
          <w:sz w:val="24"/>
          <w:szCs w:val="24"/>
        </w:rPr>
      </w:pPr>
      <w:r w:rsidRPr="006D5A1A">
        <w:rPr>
          <w:sz w:val="24"/>
          <w:szCs w:val="24"/>
        </w:rPr>
        <w:t xml:space="preserve">11. </w:t>
      </w:r>
      <w:r w:rsidRPr="006D5A1A" w:rsidR="00A61FC1">
        <w:rPr>
          <w:sz w:val="24"/>
          <w:szCs w:val="24"/>
        </w:rPr>
        <w:t>This collection does not address private matters of a sensitive nature, and the PII is covered by the system of records notice or ‘SORN’, FCC/WTB-1, “Wireless Services Licensing Records”.</w:t>
      </w:r>
    </w:p>
    <w:p w:rsidRPr="006D5A1A" w:rsidR="00BD1F10" w:rsidRDefault="00BD1F10">
      <w:pPr>
        <w:rPr>
          <w:sz w:val="24"/>
          <w:szCs w:val="24"/>
        </w:rPr>
      </w:pPr>
    </w:p>
    <w:p w:rsidRPr="006D5A1A" w:rsidR="00BD1F10" w:rsidP="00C662EB" w:rsidRDefault="00BD1F10">
      <w:pPr>
        <w:pStyle w:val="BodyText2"/>
        <w:tabs>
          <w:tab w:val="left" w:pos="450"/>
        </w:tabs>
        <w:ind w:left="360" w:hanging="360"/>
        <w:rPr>
          <w:szCs w:val="24"/>
        </w:rPr>
      </w:pPr>
      <w:r w:rsidRPr="006D5A1A">
        <w:rPr>
          <w:szCs w:val="24"/>
        </w:rPr>
        <w:t xml:space="preserve">12. The Commission estimates </w:t>
      </w:r>
      <w:r w:rsidRPr="006D5A1A" w:rsidR="00CD391B">
        <w:rPr>
          <w:szCs w:val="24"/>
        </w:rPr>
        <w:t>130,000</w:t>
      </w:r>
      <w:r w:rsidRPr="006D5A1A">
        <w:rPr>
          <w:szCs w:val="24"/>
        </w:rPr>
        <w:t xml:space="preserve"> respondents (app</w:t>
      </w:r>
      <w:r w:rsidRPr="006D5A1A" w:rsidR="00884CB9">
        <w:rPr>
          <w:szCs w:val="24"/>
        </w:rPr>
        <w:t xml:space="preserve">licants/licensees) </w:t>
      </w:r>
      <w:r w:rsidRPr="006D5A1A">
        <w:rPr>
          <w:szCs w:val="24"/>
        </w:rPr>
        <w:t>annually and that applicants will complete the form on their own.  This collection is relatively simple, only requiring administrative data on the Main Form, and in most situations, requires minimal technical data specific to the radio service supplied by an attached schedule.</w:t>
      </w:r>
      <w:r w:rsidRPr="006D5A1A" w:rsidR="006E6B99">
        <w:rPr>
          <w:szCs w:val="24"/>
        </w:rPr>
        <w:t xml:space="preserve">  The </w:t>
      </w:r>
      <w:r w:rsidRPr="006D5A1A" w:rsidR="006E6B99">
        <w:rPr>
          <w:i/>
          <w:szCs w:val="24"/>
        </w:rPr>
        <w:t xml:space="preserve">average </w:t>
      </w:r>
      <w:r w:rsidRPr="006D5A1A" w:rsidR="006E6B99">
        <w:rPr>
          <w:szCs w:val="24"/>
        </w:rPr>
        <w:t>burden per respondent is estimated to be 26.4 minutes</w:t>
      </w:r>
      <w:r w:rsidRPr="00B51485" w:rsidR="00B51485">
        <w:rPr>
          <w:szCs w:val="24"/>
          <w:vertAlign w:val="superscript"/>
        </w:rPr>
        <w:footnoteReference w:id="1"/>
      </w:r>
      <w:r w:rsidRPr="006D5A1A" w:rsidR="006E6B99">
        <w:rPr>
          <w:szCs w:val="24"/>
        </w:rPr>
        <w:t xml:space="preserve"> (0.44</w:t>
      </w:r>
      <w:r w:rsidRPr="006D5A1A" w:rsidR="00C662EB">
        <w:rPr>
          <w:szCs w:val="24"/>
        </w:rPr>
        <w:t xml:space="preserve"> </w:t>
      </w:r>
      <w:r w:rsidRPr="006D5A1A" w:rsidR="006E6B99">
        <w:rPr>
          <w:szCs w:val="24"/>
        </w:rPr>
        <w:t>hours).  The</w:t>
      </w:r>
      <w:r w:rsidRPr="006D5A1A" w:rsidR="00AF3CA1">
        <w:rPr>
          <w:szCs w:val="24"/>
        </w:rPr>
        <w:t xml:space="preserve"> </w:t>
      </w:r>
      <w:r w:rsidRPr="006D5A1A" w:rsidR="006E6B99">
        <w:rPr>
          <w:szCs w:val="24"/>
        </w:rPr>
        <w:t>estimate is based on FCC staff’s knowledge and familiarity with the availability of the data required.</w:t>
      </w:r>
      <w:r w:rsidRPr="006D5A1A">
        <w:rPr>
          <w:szCs w:val="24"/>
        </w:rPr>
        <w:t xml:space="preserve"> </w:t>
      </w:r>
    </w:p>
    <w:p w:rsidRPr="006D5A1A" w:rsidR="00BD1F10" w:rsidRDefault="00BD1F10">
      <w:pPr>
        <w:rPr>
          <w:sz w:val="24"/>
          <w:szCs w:val="24"/>
        </w:rPr>
      </w:pPr>
    </w:p>
    <w:p w:rsidRPr="006D5A1A" w:rsidR="00BD1F10" w:rsidRDefault="00BD1F10">
      <w:pPr>
        <w:pStyle w:val="BodyTextIndent"/>
        <w:ind w:firstLine="0"/>
        <w:rPr>
          <w:szCs w:val="24"/>
        </w:rPr>
      </w:pPr>
      <w:r w:rsidRPr="006D5A1A">
        <w:rPr>
          <w:szCs w:val="24"/>
        </w:rPr>
        <w:t>F</w:t>
      </w:r>
      <w:r w:rsidRPr="006D5A1A" w:rsidR="00CD391B">
        <w:rPr>
          <w:szCs w:val="24"/>
        </w:rPr>
        <w:t>CC F</w:t>
      </w:r>
      <w:r w:rsidRPr="006D5A1A">
        <w:rPr>
          <w:szCs w:val="24"/>
        </w:rPr>
        <w:t>orm 605 Burden:</w:t>
      </w:r>
    </w:p>
    <w:p w:rsidRPr="006D5A1A" w:rsidR="00BD1F10" w:rsidRDefault="00BD1F10">
      <w:pPr>
        <w:pStyle w:val="EndnoteText"/>
        <w:rPr>
          <w:szCs w:val="24"/>
        </w:rPr>
      </w:pPr>
    </w:p>
    <w:p w:rsidR="00BD1F10" w:rsidP="000D33DF" w:rsidRDefault="000D33DF">
      <w:pPr>
        <w:ind w:left="360" w:hanging="360"/>
        <w:rPr>
          <w:sz w:val="24"/>
          <w:szCs w:val="24"/>
        </w:rPr>
      </w:pPr>
      <w:r w:rsidRPr="006D5A1A">
        <w:rPr>
          <w:sz w:val="24"/>
          <w:szCs w:val="24"/>
        </w:rPr>
        <w:t xml:space="preserve">                         </w:t>
      </w:r>
      <w:r w:rsidRPr="006D5A1A" w:rsidR="00BD1F10">
        <w:rPr>
          <w:sz w:val="24"/>
          <w:szCs w:val="24"/>
        </w:rPr>
        <w:t>1</w:t>
      </w:r>
      <w:r w:rsidRPr="006D5A1A" w:rsidR="00CD391B">
        <w:rPr>
          <w:sz w:val="24"/>
          <w:szCs w:val="24"/>
        </w:rPr>
        <w:t>30</w:t>
      </w:r>
      <w:r w:rsidRPr="006D5A1A" w:rsidR="00BD1F10">
        <w:rPr>
          <w:sz w:val="24"/>
          <w:szCs w:val="24"/>
        </w:rPr>
        <w:t>,</w:t>
      </w:r>
      <w:r w:rsidRPr="006D5A1A" w:rsidR="00884CB9">
        <w:rPr>
          <w:sz w:val="24"/>
          <w:szCs w:val="24"/>
        </w:rPr>
        <w:t>00</w:t>
      </w:r>
      <w:r w:rsidRPr="006D5A1A" w:rsidR="00BD1F10">
        <w:rPr>
          <w:sz w:val="24"/>
          <w:szCs w:val="24"/>
        </w:rPr>
        <w:t xml:space="preserve">0 applications X 0.44 hours </w:t>
      </w:r>
      <w:r w:rsidRPr="006D5A1A" w:rsidR="006E6B99">
        <w:rPr>
          <w:sz w:val="24"/>
          <w:szCs w:val="24"/>
        </w:rPr>
        <w:t xml:space="preserve">(26.4 minutes) </w:t>
      </w:r>
      <w:r w:rsidRPr="006D5A1A" w:rsidR="00BD1F10">
        <w:rPr>
          <w:sz w:val="24"/>
          <w:szCs w:val="24"/>
        </w:rPr>
        <w:t xml:space="preserve">= </w:t>
      </w:r>
      <w:r w:rsidRPr="003F5A62" w:rsidR="00CD391B">
        <w:rPr>
          <w:b/>
          <w:sz w:val="24"/>
          <w:szCs w:val="24"/>
        </w:rPr>
        <w:t>5</w:t>
      </w:r>
      <w:r w:rsidRPr="003F5A62" w:rsidR="00884CB9">
        <w:rPr>
          <w:b/>
          <w:sz w:val="24"/>
          <w:szCs w:val="24"/>
        </w:rPr>
        <w:t>7</w:t>
      </w:r>
      <w:r w:rsidRPr="003F5A62" w:rsidR="00BD1F10">
        <w:rPr>
          <w:b/>
          <w:sz w:val="24"/>
          <w:szCs w:val="24"/>
        </w:rPr>
        <w:t>,</w:t>
      </w:r>
      <w:r w:rsidRPr="003F5A62" w:rsidR="00CD391B">
        <w:rPr>
          <w:b/>
          <w:sz w:val="24"/>
          <w:szCs w:val="24"/>
        </w:rPr>
        <w:t>2</w:t>
      </w:r>
      <w:r w:rsidRPr="003F5A62" w:rsidR="00884CB9">
        <w:rPr>
          <w:b/>
          <w:sz w:val="24"/>
          <w:szCs w:val="24"/>
        </w:rPr>
        <w:t>0</w:t>
      </w:r>
      <w:r w:rsidRPr="003F5A62" w:rsidR="00BD1F10">
        <w:rPr>
          <w:b/>
          <w:sz w:val="24"/>
          <w:szCs w:val="24"/>
        </w:rPr>
        <w:t>0 hours</w:t>
      </w:r>
    </w:p>
    <w:p w:rsidR="005319BE" w:rsidP="000D33DF" w:rsidRDefault="005319BE">
      <w:pPr>
        <w:ind w:left="360" w:hanging="360"/>
        <w:rPr>
          <w:sz w:val="24"/>
          <w:szCs w:val="24"/>
        </w:rPr>
      </w:pPr>
    </w:p>
    <w:p w:rsidRPr="00DE0937" w:rsidR="005319BE" w:rsidP="000D33DF" w:rsidRDefault="005319BE">
      <w:pPr>
        <w:ind w:left="360" w:hanging="360"/>
        <w:rPr>
          <w:sz w:val="24"/>
          <w:szCs w:val="24"/>
        </w:rPr>
      </w:pPr>
      <w:r>
        <w:rPr>
          <w:sz w:val="24"/>
          <w:szCs w:val="24"/>
        </w:rPr>
        <w:t xml:space="preserve">     </w:t>
      </w:r>
      <w:r w:rsidRPr="00DE0937">
        <w:rPr>
          <w:sz w:val="24"/>
          <w:szCs w:val="24"/>
        </w:rPr>
        <w:t xml:space="preserve">We estimate 110 applicants will submit the explanation </w:t>
      </w:r>
      <w:r w:rsidRPr="00DE0937" w:rsidR="00EC48AB">
        <w:rPr>
          <w:sz w:val="24"/>
          <w:szCs w:val="24"/>
        </w:rPr>
        <w:t>of a felony conviction.  We estimate this will take about 10 minutes per respondent.</w:t>
      </w:r>
    </w:p>
    <w:p w:rsidRPr="00DE0937" w:rsidR="00EC48AB" w:rsidP="000D33DF" w:rsidRDefault="00EC48AB">
      <w:pPr>
        <w:ind w:left="360" w:hanging="360"/>
        <w:rPr>
          <w:sz w:val="24"/>
          <w:szCs w:val="24"/>
        </w:rPr>
      </w:pPr>
    </w:p>
    <w:p w:rsidRPr="006D5A1A" w:rsidR="00EC48AB" w:rsidP="000D33DF" w:rsidRDefault="00EC48AB">
      <w:pPr>
        <w:ind w:left="360" w:hanging="360"/>
        <w:rPr>
          <w:sz w:val="24"/>
          <w:szCs w:val="24"/>
        </w:rPr>
      </w:pPr>
      <w:r w:rsidRPr="00DE0937">
        <w:rPr>
          <w:sz w:val="24"/>
          <w:szCs w:val="24"/>
        </w:rPr>
        <w:tab/>
      </w:r>
      <w:r w:rsidRPr="00DE0937">
        <w:rPr>
          <w:sz w:val="24"/>
          <w:szCs w:val="24"/>
        </w:rPr>
        <w:tab/>
        <w:t xml:space="preserve">110 applications X 0.17 hours (10 minutes) = </w:t>
      </w:r>
      <w:r w:rsidRPr="003F5A62">
        <w:rPr>
          <w:b/>
          <w:sz w:val="24"/>
          <w:szCs w:val="24"/>
        </w:rPr>
        <w:t>18 hours</w:t>
      </w:r>
    </w:p>
    <w:p w:rsidRPr="006D5A1A" w:rsidR="00BD1F10" w:rsidRDefault="00BD1F10">
      <w:pPr>
        <w:rPr>
          <w:sz w:val="24"/>
          <w:szCs w:val="24"/>
        </w:rPr>
      </w:pPr>
      <w:r w:rsidRPr="006D5A1A">
        <w:rPr>
          <w:sz w:val="24"/>
          <w:szCs w:val="24"/>
        </w:rPr>
        <w:t xml:space="preserve"> </w:t>
      </w:r>
    </w:p>
    <w:p w:rsidRPr="00B51485" w:rsidR="00BD1F10" w:rsidRDefault="00BD1F10">
      <w:pPr>
        <w:pStyle w:val="Heading1"/>
        <w:rPr>
          <w:rFonts w:ascii="Times New Roman" w:hAnsi="Times New Roman"/>
          <w:i/>
          <w:szCs w:val="24"/>
        </w:rPr>
      </w:pPr>
      <w:r w:rsidRPr="006D5A1A">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Total Burden Hours: = </w:t>
      </w:r>
      <w:r w:rsidRPr="006D5A1A" w:rsidR="00CD391B">
        <w:rPr>
          <w:rFonts w:ascii="Times New Roman" w:hAnsi="Times New Roman"/>
          <w:szCs w:val="24"/>
        </w:rPr>
        <w:t>57,2</w:t>
      </w:r>
      <w:r w:rsidR="003F5A62">
        <w:rPr>
          <w:rFonts w:ascii="Times New Roman" w:hAnsi="Times New Roman"/>
          <w:szCs w:val="24"/>
        </w:rPr>
        <w:t>00 hours + 18 hours = 57,218</w:t>
      </w:r>
      <w:r w:rsidRPr="006D5A1A" w:rsidR="00DB4886">
        <w:rPr>
          <w:rFonts w:ascii="Times New Roman" w:hAnsi="Times New Roman"/>
          <w:szCs w:val="24"/>
        </w:rPr>
        <w:t xml:space="preserve"> hours</w:t>
      </w:r>
    </w:p>
    <w:p w:rsidRPr="006D5A1A" w:rsidR="00BD1F10" w:rsidRDefault="00BD1F10">
      <w:pPr>
        <w:pStyle w:val="EndnoteText"/>
        <w:rPr>
          <w:szCs w:val="24"/>
        </w:rPr>
      </w:pPr>
    </w:p>
    <w:p w:rsidRPr="006D5A1A" w:rsidR="00CD391B" w:rsidP="00CD391B" w:rsidRDefault="00BD1F10">
      <w:pPr>
        <w:ind w:left="302"/>
        <w:jc w:val="both"/>
        <w:rPr>
          <w:sz w:val="24"/>
          <w:szCs w:val="24"/>
        </w:rPr>
      </w:pPr>
      <w:r w:rsidRPr="006D5A1A">
        <w:rPr>
          <w:sz w:val="24"/>
          <w:szCs w:val="24"/>
        </w:rPr>
        <w:t xml:space="preserve">THIRD PARTY DISCLOSURES: </w:t>
      </w:r>
      <w:r w:rsidRPr="006D5A1A" w:rsidR="00CD391B">
        <w:rPr>
          <w:sz w:val="24"/>
          <w:szCs w:val="24"/>
        </w:rPr>
        <w:t>Amateur and Commercial Radio Service applicants for initial authorization (“new application”) or an upgrade of authorization (“modify application”) are required to provide a completed FCC Form 605 to a</w:t>
      </w:r>
      <w:r w:rsidR="00B76D64">
        <w:rPr>
          <w:sz w:val="24"/>
          <w:szCs w:val="24"/>
        </w:rPr>
        <w:t xml:space="preserve"> </w:t>
      </w:r>
      <w:r w:rsidRPr="006D5A1A" w:rsidR="00CD391B">
        <w:rPr>
          <w:sz w:val="24"/>
          <w:szCs w:val="24"/>
        </w:rPr>
        <w:t>Volunteer Examination Coordinator (VEC) or Commercial Radio Operator License Examination Manager (COLEM) prior to taking an exam. The VEC or COLEM certifies additional information as to the results of the exam and may electronically forward the FCC Form 605 to the FCC.  Approximately 6</w:t>
      </w:r>
      <w:r w:rsidRPr="006D5A1A" w:rsidR="00292CA1">
        <w:rPr>
          <w:sz w:val="24"/>
          <w:szCs w:val="24"/>
        </w:rPr>
        <w:t>3</w:t>
      </w:r>
      <w:r w:rsidRPr="006D5A1A" w:rsidR="00CD391B">
        <w:rPr>
          <w:sz w:val="24"/>
          <w:szCs w:val="24"/>
        </w:rPr>
        <w:t>,</w:t>
      </w:r>
      <w:r w:rsidRPr="006D5A1A" w:rsidR="00292CA1">
        <w:rPr>
          <w:sz w:val="24"/>
          <w:szCs w:val="24"/>
        </w:rPr>
        <w:t>7</w:t>
      </w:r>
      <w:r w:rsidRPr="006D5A1A" w:rsidR="00CD391B">
        <w:rPr>
          <w:sz w:val="24"/>
          <w:szCs w:val="24"/>
        </w:rPr>
        <w:t>00, or 49% of the respondents are filed electronically through these third parties.   There is no additional cost or time burden to the applicant for this third</w:t>
      </w:r>
      <w:r w:rsidR="00635760">
        <w:rPr>
          <w:sz w:val="24"/>
          <w:szCs w:val="24"/>
        </w:rPr>
        <w:t>-</w:t>
      </w:r>
      <w:r w:rsidRPr="006D5A1A" w:rsidR="00CD391B">
        <w:rPr>
          <w:sz w:val="24"/>
          <w:szCs w:val="24"/>
        </w:rPr>
        <w:t xml:space="preserve">party filing.  (Any additional respondent costs and burden are associated with the examination procedures.).  </w:t>
      </w:r>
    </w:p>
    <w:p w:rsidRPr="006D5A1A" w:rsidR="00292CA1" w:rsidP="00CD391B" w:rsidRDefault="00292CA1">
      <w:pPr>
        <w:ind w:left="302"/>
        <w:jc w:val="both"/>
        <w:rPr>
          <w:sz w:val="24"/>
          <w:szCs w:val="24"/>
        </w:rPr>
      </w:pPr>
    </w:p>
    <w:p w:rsidRPr="006D5A1A" w:rsidR="00292CA1" w:rsidP="00CD391B" w:rsidRDefault="00292CA1">
      <w:pPr>
        <w:ind w:left="302"/>
        <w:jc w:val="both"/>
        <w:rPr>
          <w:b/>
          <w:sz w:val="24"/>
          <w:szCs w:val="24"/>
        </w:rPr>
      </w:pPr>
      <w:r w:rsidRPr="006D5A1A">
        <w:rPr>
          <w:b/>
          <w:sz w:val="24"/>
          <w:szCs w:val="24"/>
        </w:rPr>
        <w:t>Total Number of Respondents</w:t>
      </w:r>
      <w:r w:rsidRPr="006D5A1A">
        <w:rPr>
          <w:sz w:val="24"/>
          <w:szCs w:val="24"/>
        </w:rPr>
        <w:t xml:space="preserve">:  </w:t>
      </w:r>
      <w:r w:rsidRPr="006D5A1A">
        <w:rPr>
          <w:b/>
          <w:sz w:val="24"/>
          <w:szCs w:val="24"/>
        </w:rPr>
        <w:t>130,000 applicants/licensees</w:t>
      </w:r>
    </w:p>
    <w:p w:rsidRPr="006D5A1A" w:rsidR="00292CA1" w:rsidP="00CD391B" w:rsidRDefault="00292CA1">
      <w:pPr>
        <w:ind w:left="302"/>
        <w:jc w:val="both"/>
        <w:rPr>
          <w:sz w:val="24"/>
          <w:szCs w:val="24"/>
        </w:rPr>
      </w:pPr>
    </w:p>
    <w:p w:rsidRPr="006D5A1A" w:rsidR="00292CA1" w:rsidP="00CD391B" w:rsidRDefault="00292CA1">
      <w:pPr>
        <w:ind w:left="302"/>
        <w:jc w:val="both"/>
        <w:rPr>
          <w:sz w:val="24"/>
          <w:szCs w:val="24"/>
        </w:rPr>
      </w:pPr>
      <w:r w:rsidRPr="006D5A1A">
        <w:rPr>
          <w:b/>
          <w:sz w:val="24"/>
          <w:szCs w:val="24"/>
        </w:rPr>
        <w:lastRenderedPageBreak/>
        <w:t>Total Number of Annual Responses</w:t>
      </w:r>
      <w:r w:rsidRPr="006D5A1A">
        <w:rPr>
          <w:sz w:val="24"/>
          <w:szCs w:val="24"/>
        </w:rPr>
        <w:t xml:space="preserve">:  </w:t>
      </w:r>
      <w:r w:rsidRPr="006D5A1A">
        <w:rPr>
          <w:b/>
          <w:sz w:val="24"/>
          <w:szCs w:val="24"/>
        </w:rPr>
        <w:t>130,000 FCC Form 605 applications</w:t>
      </w:r>
    </w:p>
    <w:p w:rsidRPr="006D5A1A" w:rsidR="00292CA1" w:rsidP="00CD391B" w:rsidRDefault="00292CA1">
      <w:pPr>
        <w:ind w:left="302"/>
        <w:jc w:val="both"/>
        <w:rPr>
          <w:sz w:val="24"/>
          <w:szCs w:val="24"/>
        </w:rPr>
      </w:pPr>
    </w:p>
    <w:p w:rsidRPr="006D5A1A" w:rsidR="00292CA1" w:rsidP="00CD391B" w:rsidRDefault="00292CA1">
      <w:pPr>
        <w:ind w:left="302"/>
        <w:jc w:val="both"/>
        <w:rPr>
          <w:sz w:val="24"/>
          <w:szCs w:val="24"/>
        </w:rPr>
      </w:pPr>
      <w:r w:rsidRPr="006D5A1A">
        <w:rPr>
          <w:sz w:val="24"/>
          <w:szCs w:val="24"/>
        </w:rPr>
        <w:t>There is no in-house cost associated with this information collection since applicants will complete the form on their own.</w:t>
      </w:r>
    </w:p>
    <w:p w:rsidRPr="006D5A1A" w:rsidR="00292CA1" w:rsidP="00CD391B" w:rsidRDefault="00292CA1">
      <w:pPr>
        <w:ind w:left="302"/>
        <w:jc w:val="both"/>
        <w:rPr>
          <w:sz w:val="24"/>
          <w:szCs w:val="24"/>
        </w:rPr>
      </w:pPr>
    </w:p>
    <w:p w:rsidRPr="006D5A1A" w:rsidR="00BD1F10" w:rsidRDefault="00BD1F10">
      <w:pPr>
        <w:numPr>
          <w:ilvl w:val="0"/>
          <w:numId w:val="10"/>
        </w:numPr>
        <w:tabs>
          <w:tab w:val="left" w:pos="0"/>
        </w:tabs>
        <w:suppressAutoHyphens/>
        <w:rPr>
          <w:sz w:val="24"/>
          <w:szCs w:val="24"/>
        </w:rPr>
      </w:pPr>
      <w:r w:rsidRPr="006D5A1A">
        <w:rPr>
          <w:sz w:val="24"/>
          <w:szCs w:val="24"/>
        </w:rPr>
        <w:t>Cost to the Respondent:</w:t>
      </w:r>
    </w:p>
    <w:p w:rsidRPr="006D5A1A" w:rsidR="00BD1F10" w:rsidRDefault="00BD1F10">
      <w:pPr>
        <w:tabs>
          <w:tab w:val="left" w:pos="0"/>
        </w:tabs>
        <w:suppressAutoHyphens/>
        <w:rPr>
          <w:sz w:val="24"/>
          <w:szCs w:val="24"/>
        </w:rPr>
      </w:pPr>
    </w:p>
    <w:p w:rsidRPr="006D5A1A" w:rsidR="00BD1F10" w:rsidRDefault="00BD1F10">
      <w:pPr>
        <w:tabs>
          <w:tab w:val="left" w:pos="0"/>
        </w:tabs>
        <w:suppressAutoHyphens/>
        <w:rPr>
          <w:sz w:val="24"/>
          <w:szCs w:val="24"/>
        </w:rPr>
      </w:pPr>
      <w:r w:rsidRPr="006D5A1A">
        <w:rPr>
          <w:sz w:val="24"/>
          <w:szCs w:val="24"/>
        </w:rPr>
        <w:t xml:space="preserve">      Total capital and start-up costs to prepare FCC Form 605:</w:t>
      </w:r>
    </w:p>
    <w:p w:rsidRPr="006D5A1A" w:rsidR="00BD1F10" w:rsidP="00CD391B" w:rsidRDefault="00BD1F10">
      <w:pPr>
        <w:tabs>
          <w:tab w:val="left" w:pos="360"/>
        </w:tabs>
        <w:suppressAutoHyphens/>
        <w:ind w:left="360"/>
        <w:jc w:val="both"/>
        <w:rPr>
          <w:sz w:val="24"/>
          <w:szCs w:val="24"/>
        </w:rPr>
      </w:pPr>
      <w:r w:rsidRPr="006D5A1A">
        <w:rPr>
          <w:sz w:val="24"/>
          <w:szCs w:val="24"/>
        </w:rPr>
        <w:t xml:space="preserve">There is no cost to file the application electronically with the FCC other than the cost of Internet access.  </w:t>
      </w:r>
    </w:p>
    <w:p w:rsidRPr="006D5A1A" w:rsidR="00CD391B" w:rsidP="00CD391B" w:rsidRDefault="00CD391B">
      <w:pPr>
        <w:tabs>
          <w:tab w:val="left" w:pos="360"/>
        </w:tabs>
        <w:suppressAutoHyphens/>
        <w:ind w:left="360"/>
        <w:jc w:val="both"/>
        <w:rPr>
          <w:sz w:val="24"/>
          <w:szCs w:val="24"/>
        </w:rPr>
      </w:pPr>
    </w:p>
    <w:p w:rsidRPr="006D5A1A" w:rsidR="00BD1F10" w:rsidP="00931D5F" w:rsidRDefault="00BD1F10">
      <w:pPr>
        <w:tabs>
          <w:tab w:val="left" w:pos="360"/>
        </w:tabs>
        <w:suppressAutoHyphens/>
        <w:ind w:left="360"/>
        <w:rPr>
          <w:sz w:val="24"/>
          <w:szCs w:val="24"/>
        </w:rPr>
      </w:pPr>
      <w:r w:rsidRPr="006D5A1A">
        <w:rPr>
          <w:sz w:val="24"/>
          <w:szCs w:val="24"/>
        </w:rPr>
        <w:t>We estimate that approximately 29% of the Form 605 applications filed will require a $</w:t>
      </w:r>
      <w:r w:rsidRPr="006D5A1A" w:rsidR="002352B5">
        <w:rPr>
          <w:sz w:val="24"/>
          <w:szCs w:val="24"/>
        </w:rPr>
        <w:t>7</w:t>
      </w:r>
      <w:r w:rsidRPr="006D5A1A" w:rsidR="00150AEF">
        <w:rPr>
          <w:sz w:val="24"/>
          <w:szCs w:val="24"/>
        </w:rPr>
        <w:t>1</w:t>
      </w:r>
      <w:r w:rsidRPr="006D5A1A">
        <w:rPr>
          <w:sz w:val="24"/>
          <w:szCs w:val="24"/>
        </w:rPr>
        <w:t xml:space="preserve"> filing fee.</w:t>
      </w:r>
      <w:r w:rsidRPr="006D5A1A" w:rsidR="006E6B99">
        <w:rPr>
          <w:sz w:val="24"/>
          <w:szCs w:val="24"/>
        </w:rPr>
        <w:t xml:space="preserve">  </w:t>
      </w:r>
    </w:p>
    <w:p w:rsidRPr="006D5A1A" w:rsidR="001D5498" w:rsidRDefault="001D5498">
      <w:pPr>
        <w:tabs>
          <w:tab w:val="left" w:pos="0"/>
        </w:tabs>
        <w:suppressAutoHyphens/>
        <w:rPr>
          <w:sz w:val="24"/>
          <w:szCs w:val="24"/>
        </w:rPr>
      </w:pPr>
    </w:p>
    <w:p w:rsidRPr="006D5A1A" w:rsidR="00BD1F10" w:rsidRDefault="00BD1F10">
      <w:pPr>
        <w:tabs>
          <w:tab w:val="left" w:pos="0"/>
        </w:tabs>
        <w:suppressAutoHyphens/>
        <w:rPr>
          <w:sz w:val="24"/>
          <w:szCs w:val="24"/>
        </w:rPr>
      </w:pPr>
      <w:r w:rsidRPr="006D5A1A">
        <w:rPr>
          <w:sz w:val="24"/>
          <w:szCs w:val="24"/>
        </w:rPr>
        <w:tab/>
      </w:r>
      <w:r w:rsidRPr="006D5A1A" w:rsidR="00150AEF">
        <w:rPr>
          <w:sz w:val="24"/>
          <w:szCs w:val="24"/>
        </w:rPr>
        <w:t>130,000</w:t>
      </w:r>
      <w:r w:rsidRPr="006D5A1A" w:rsidR="00884CB9">
        <w:rPr>
          <w:sz w:val="24"/>
          <w:szCs w:val="24"/>
        </w:rPr>
        <w:t xml:space="preserve"> respondents X 29% = </w:t>
      </w:r>
      <w:r w:rsidRPr="006D5A1A" w:rsidR="00150AEF">
        <w:rPr>
          <w:sz w:val="24"/>
          <w:szCs w:val="24"/>
        </w:rPr>
        <w:t>37,700</w:t>
      </w:r>
      <w:r w:rsidRPr="006D5A1A">
        <w:rPr>
          <w:sz w:val="24"/>
          <w:szCs w:val="24"/>
        </w:rPr>
        <w:t xml:space="preserve"> </w:t>
      </w:r>
      <w:proofErr w:type="spellStart"/>
      <w:r w:rsidRPr="006D5A1A">
        <w:rPr>
          <w:sz w:val="24"/>
          <w:szCs w:val="24"/>
        </w:rPr>
        <w:t>feeable</w:t>
      </w:r>
      <w:proofErr w:type="spellEnd"/>
      <w:r w:rsidRPr="006D5A1A">
        <w:rPr>
          <w:sz w:val="24"/>
          <w:szCs w:val="24"/>
        </w:rPr>
        <w:t xml:space="preserve"> applications</w:t>
      </w:r>
    </w:p>
    <w:p w:rsidRPr="006D5A1A" w:rsidR="00BD1F10" w:rsidRDefault="00BD1F10">
      <w:pPr>
        <w:tabs>
          <w:tab w:val="left" w:pos="0"/>
        </w:tabs>
        <w:suppressAutoHyphens/>
        <w:rPr>
          <w:sz w:val="24"/>
          <w:szCs w:val="24"/>
        </w:rPr>
      </w:pPr>
      <w:r w:rsidRPr="006D5A1A">
        <w:rPr>
          <w:sz w:val="24"/>
          <w:szCs w:val="24"/>
        </w:rPr>
        <w:tab/>
      </w:r>
      <w:r w:rsidRPr="006D5A1A" w:rsidR="00150AEF">
        <w:rPr>
          <w:sz w:val="24"/>
          <w:szCs w:val="24"/>
        </w:rPr>
        <w:t>37,700</w:t>
      </w:r>
      <w:r w:rsidRPr="006D5A1A">
        <w:rPr>
          <w:sz w:val="24"/>
          <w:szCs w:val="24"/>
        </w:rPr>
        <w:t xml:space="preserve"> </w:t>
      </w:r>
      <w:proofErr w:type="spellStart"/>
      <w:r w:rsidRPr="006D5A1A">
        <w:rPr>
          <w:sz w:val="24"/>
          <w:szCs w:val="24"/>
        </w:rPr>
        <w:t>feeable</w:t>
      </w:r>
      <w:proofErr w:type="spellEnd"/>
      <w:r w:rsidRPr="006D5A1A">
        <w:rPr>
          <w:sz w:val="24"/>
          <w:szCs w:val="24"/>
        </w:rPr>
        <w:t xml:space="preserve"> applications X $</w:t>
      </w:r>
      <w:r w:rsidRPr="006D5A1A" w:rsidR="002352B5">
        <w:rPr>
          <w:sz w:val="24"/>
          <w:szCs w:val="24"/>
        </w:rPr>
        <w:t>7</w:t>
      </w:r>
      <w:r w:rsidRPr="006D5A1A" w:rsidR="00150AEF">
        <w:rPr>
          <w:sz w:val="24"/>
          <w:szCs w:val="24"/>
        </w:rPr>
        <w:t>1</w:t>
      </w:r>
      <w:r w:rsidRPr="006D5A1A">
        <w:rPr>
          <w:sz w:val="24"/>
          <w:szCs w:val="24"/>
        </w:rPr>
        <w:t>= $</w:t>
      </w:r>
      <w:r w:rsidRPr="006D5A1A" w:rsidR="002352B5">
        <w:rPr>
          <w:sz w:val="24"/>
          <w:szCs w:val="24"/>
        </w:rPr>
        <w:t>2,676,700</w:t>
      </w:r>
    </w:p>
    <w:p w:rsidRPr="006D5A1A" w:rsidR="00BD1F10" w:rsidRDefault="00BD1F10">
      <w:pPr>
        <w:tabs>
          <w:tab w:val="left" w:pos="0"/>
        </w:tabs>
        <w:suppressAutoHyphens/>
        <w:rPr>
          <w:sz w:val="24"/>
          <w:szCs w:val="24"/>
        </w:rPr>
      </w:pPr>
    </w:p>
    <w:p w:rsidRPr="006D5A1A" w:rsidR="00DB4886" w:rsidRDefault="00BD1F10">
      <w:pPr>
        <w:tabs>
          <w:tab w:val="left" w:pos="0"/>
        </w:tabs>
        <w:suppressAutoHyphens/>
        <w:rPr>
          <w:b/>
          <w:sz w:val="24"/>
          <w:szCs w:val="24"/>
        </w:rPr>
      </w:pPr>
      <w:r w:rsidRPr="006D5A1A">
        <w:rPr>
          <w:sz w:val="24"/>
          <w:szCs w:val="24"/>
        </w:rPr>
        <w:t xml:space="preserve">            </w:t>
      </w:r>
      <w:r w:rsidRPr="006D5A1A">
        <w:rPr>
          <w:b/>
          <w:sz w:val="24"/>
          <w:szCs w:val="24"/>
        </w:rPr>
        <w:t>T</w:t>
      </w:r>
      <w:r w:rsidRPr="006D5A1A" w:rsidR="00884CB9">
        <w:rPr>
          <w:b/>
          <w:sz w:val="24"/>
          <w:szCs w:val="24"/>
        </w:rPr>
        <w:t>otal Estimated Annual Costs: $2,</w:t>
      </w:r>
      <w:r w:rsidRPr="006D5A1A" w:rsidR="002352B5">
        <w:rPr>
          <w:b/>
          <w:sz w:val="24"/>
          <w:szCs w:val="24"/>
        </w:rPr>
        <w:t>676,7</w:t>
      </w:r>
      <w:r w:rsidRPr="006D5A1A" w:rsidR="00884CB9">
        <w:rPr>
          <w:b/>
          <w:sz w:val="24"/>
          <w:szCs w:val="24"/>
        </w:rPr>
        <w:t>00</w:t>
      </w:r>
    </w:p>
    <w:p w:rsidRPr="006D5A1A" w:rsidR="00637EA0" w:rsidRDefault="00637EA0">
      <w:pPr>
        <w:tabs>
          <w:tab w:val="left" w:pos="0"/>
        </w:tabs>
        <w:suppressAutoHyphens/>
        <w:rPr>
          <w:sz w:val="24"/>
          <w:szCs w:val="24"/>
        </w:rPr>
      </w:pPr>
    </w:p>
    <w:p w:rsidRPr="006D5A1A" w:rsidR="00BD1F10" w:rsidP="00AB567C" w:rsidRDefault="00BD1F10">
      <w:pPr>
        <w:numPr>
          <w:ilvl w:val="0"/>
          <w:numId w:val="10"/>
        </w:numPr>
        <w:tabs>
          <w:tab w:val="left" w:pos="0"/>
        </w:tabs>
        <w:suppressAutoHyphens/>
        <w:rPr>
          <w:sz w:val="24"/>
          <w:szCs w:val="24"/>
        </w:rPr>
      </w:pPr>
      <w:r w:rsidRPr="006D5A1A">
        <w:rPr>
          <w:sz w:val="24"/>
          <w:szCs w:val="24"/>
        </w:rPr>
        <w:t>Cost to the Federal Government:</w:t>
      </w:r>
    </w:p>
    <w:p w:rsidRPr="006D5A1A" w:rsidR="00AB567C" w:rsidP="00AB567C" w:rsidRDefault="00AB567C">
      <w:pPr>
        <w:tabs>
          <w:tab w:val="left" w:pos="0"/>
        </w:tabs>
        <w:suppressAutoHyphens/>
        <w:rPr>
          <w:sz w:val="24"/>
          <w:szCs w:val="24"/>
        </w:rPr>
      </w:pPr>
    </w:p>
    <w:p w:rsidRPr="006D5A1A" w:rsidR="00BD1F10" w:rsidP="006E6B99" w:rsidRDefault="006E6B99">
      <w:pPr>
        <w:tabs>
          <w:tab w:val="left" w:pos="0"/>
        </w:tabs>
        <w:suppressAutoHyphens/>
        <w:jc w:val="both"/>
        <w:rPr>
          <w:sz w:val="24"/>
          <w:szCs w:val="24"/>
        </w:rPr>
      </w:pPr>
      <w:r w:rsidRPr="006D5A1A">
        <w:rPr>
          <w:sz w:val="24"/>
          <w:szCs w:val="24"/>
        </w:rPr>
        <w:t xml:space="preserve">      </w:t>
      </w:r>
      <w:r w:rsidRPr="006D5A1A" w:rsidR="00BD1F10">
        <w:rPr>
          <w:sz w:val="24"/>
          <w:szCs w:val="24"/>
        </w:rPr>
        <w:t>FCC 605 Applications estimated to be filed: 1</w:t>
      </w:r>
      <w:r w:rsidRPr="006D5A1A" w:rsidR="002352B5">
        <w:rPr>
          <w:sz w:val="24"/>
          <w:szCs w:val="24"/>
        </w:rPr>
        <w:t>30</w:t>
      </w:r>
      <w:r w:rsidRPr="006D5A1A" w:rsidR="00BD1F10">
        <w:rPr>
          <w:sz w:val="24"/>
          <w:szCs w:val="24"/>
        </w:rPr>
        <w:t>,</w:t>
      </w:r>
      <w:r w:rsidRPr="006D5A1A" w:rsidR="00884CB9">
        <w:rPr>
          <w:sz w:val="24"/>
          <w:szCs w:val="24"/>
        </w:rPr>
        <w:t>00</w:t>
      </w:r>
      <w:r w:rsidRPr="006D5A1A" w:rsidR="00BD1F10">
        <w:rPr>
          <w:sz w:val="24"/>
          <w:szCs w:val="24"/>
        </w:rPr>
        <w:t>0 (</w:t>
      </w:r>
      <w:r w:rsidRPr="006D5A1A" w:rsidR="00501AF8">
        <w:rPr>
          <w:sz w:val="24"/>
          <w:szCs w:val="24"/>
        </w:rPr>
        <w:t>9</w:t>
      </w:r>
      <w:r w:rsidRPr="006D5A1A" w:rsidR="00517D1E">
        <w:rPr>
          <w:sz w:val="24"/>
          <w:szCs w:val="24"/>
        </w:rPr>
        <w:t>7</w:t>
      </w:r>
      <w:r w:rsidRPr="006D5A1A" w:rsidR="00BD1F10">
        <w:rPr>
          <w:sz w:val="24"/>
          <w:szCs w:val="24"/>
        </w:rPr>
        <w:t>% of those electronically)</w:t>
      </w:r>
      <w:r w:rsidRPr="006D5A1A">
        <w:rPr>
          <w:sz w:val="24"/>
          <w:szCs w:val="24"/>
        </w:rPr>
        <w:t xml:space="preserve">.  </w:t>
      </w:r>
    </w:p>
    <w:p w:rsidRPr="006D5A1A" w:rsidR="00BD1F10" w:rsidRDefault="00BD1F10">
      <w:pPr>
        <w:tabs>
          <w:tab w:val="left" w:pos="0"/>
        </w:tabs>
        <w:suppressAutoHyphens/>
        <w:rPr>
          <w:sz w:val="24"/>
          <w:szCs w:val="24"/>
        </w:rPr>
      </w:pPr>
    </w:p>
    <w:p w:rsidRPr="006D5A1A" w:rsidR="00BD1F10" w:rsidRDefault="00BD1F10">
      <w:pPr>
        <w:tabs>
          <w:tab w:val="left" w:pos="0"/>
        </w:tabs>
        <w:suppressAutoHyphens/>
        <w:rPr>
          <w:sz w:val="24"/>
          <w:szCs w:val="24"/>
        </w:rPr>
      </w:pPr>
      <w:r w:rsidRPr="006D5A1A">
        <w:rPr>
          <w:sz w:val="24"/>
          <w:szCs w:val="24"/>
        </w:rPr>
        <w:tab/>
      </w:r>
      <w:r w:rsidRPr="006D5A1A">
        <w:rPr>
          <w:sz w:val="24"/>
          <w:szCs w:val="24"/>
        </w:rPr>
        <w:tab/>
      </w:r>
      <w:r w:rsidRPr="006D5A1A">
        <w:rPr>
          <w:sz w:val="24"/>
          <w:szCs w:val="24"/>
        </w:rPr>
        <w:tab/>
      </w:r>
      <w:r w:rsidRPr="006D5A1A">
        <w:rPr>
          <w:sz w:val="24"/>
          <w:szCs w:val="24"/>
        </w:rPr>
        <w:tab/>
      </w:r>
    </w:p>
    <w:p w:rsidRPr="006D5A1A" w:rsidR="00BD1F10" w:rsidRDefault="00BD1F10">
      <w:pPr>
        <w:tabs>
          <w:tab w:val="left" w:pos="0"/>
        </w:tabs>
        <w:suppressAutoHyphens/>
        <w:rPr>
          <w:sz w:val="24"/>
          <w:szCs w:val="24"/>
        </w:rPr>
      </w:pPr>
      <w:r w:rsidRPr="006D5A1A">
        <w:rPr>
          <w:sz w:val="24"/>
          <w:szCs w:val="24"/>
        </w:rPr>
        <w:tab/>
      </w:r>
      <w:r w:rsidRPr="006D5A1A" w:rsidR="006D5A1A">
        <w:rPr>
          <w:sz w:val="24"/>
          <w:szCs w:val="24"/>
        </w:rPr>
        <w:t>130,000</w:t>
      </w:r>
      <w:r w:rsidRPr="006D5A1A">
        <w:rPr>
          <w:sz w:val="24"/>
          <w:szCs w:val="24"/>
        </w:rPr>
        <w:t xml:space="preserve"> Applications</w:t>
      </w:r>
      <w:r w:rsidRPr="006D5A1A" w:rsidR="00884CB9">
        <w:rPr>
          <w:sz w:val="24"/>
          <w:szCs w:val="24"/>
        </w:rPr>
        <w:t xml:space="preserve"> </w:t>
      </w:r>
      <w:r w:rsidRPr="006D5A1A" w:rsidR="00AB567C">
        <w:rPr>
          <w:sz w:val="24"/>
          <w:szCs w:val="24"/>
        </w:rPr>
        <w:t>x</w:t>
      </w:r>
      <w:r w:rsidRPr="006D5A1A" w:rsidR="00884CB9">
        <w:rPr>
          <w:sz w:val="24"/>
          <w:szCs w:val="24"/>
        </w:rPr>
        <w:t xml:space="preserve"> .50 (30 min.)</w:t>
      </w:r>
      <w:r w:rsidRPr="006D5A1A" w:rsidR="00884CB9">
        <w:rPr>
          <w:sz w:val="24"/>
          <w:szCs w:val="24"/>
        </w:rPr>
        <w:tab/>
      </w:r>
      <w:r w:rsidRPr="006D5A1A" w:rsidR="00884CB9">
        <w:rPr>
          <w:sz w:val="24"/>
          <w:szCs w:val="24"/>
        </w:rPr>
        <w:tab/>
        <w:t>=          $</w:t>
      </w:r>
      <w:r w:rsidR="00CF4845">
        <w:rPr>
          <w:sz w:val="24"/>
          <w:szCs w:val="24"/>
        </w:rPr>
        <w:t>3</w:t>
      </w:r>
      <w:r w:rsidR="0086442C">
        <w:rPr>
          <w:sz w:val="24"/>
          <w:szCs w:val="24"/>
        </w:rPr>
        <w:t>,</w:t>
      </w:r>
      <w:r w:rsidR="00CF4845">
        <w:rPr>
          <w:sz w:val="24"/>
          <w:szCs w:val="24"/>
        </w:rPr>
        <w:t>047</w:t>
      </w:r>
      <w:r w:rsidR="0086442C">
        <w:rPr>
          <w:sz w:val="24"/>
          <w:szCs w:val="24"/>
        </w:rPr>
        <w:t>,</w:t>
      </w:r>
      <w:r w:rsidR="00CF4845">
        <w:rPr>
          <w:sz w:val="24"/>
          <w:szCs w:val="24"/>
        </w:rPr>
        <w:t>200</w:t>
      </w:r>
      <w:r w:rsidRPr="006D5A1A">
        <w:rPr>
          <w:sz w:val="24"/>
          <w:szCs w:val="24"/>
        </w:rPr>
        <w:t xml:space="preserve"> </w:t>
      </w:r>
    </w:p>
    <w:p w:rsidRPr="006D5A1A" w:rsidR="00BD1F10" w:rsidRDefault="00BD1F10">
      <w:pPr>
        <w:tabs>
          <w:tab w:val="left" w:pos="0"/>
        </w:tabs>
        <w:suppressAutoHyphens/>
        <w:rPr>
          <w:sz w:val="24"/>
          <w:szCs w:val="24"/>
        </w:rPr>
      </w:pPr>
      <w:r w:rsidRPr="006D5A1A">
        <w:rPr>
          <w:sz w:val="24"/>
          <w:szCs w:val="24"/>
        </w:rPr>
        <w:tab/>
      </w:r>
      <w:r w:rsidRPr="006D5A1A" w:rsidR="00AB567C">
        <w:rPr>
          <w:sz w:val="24"/>
          <w:szCs w:val="24"/>
        </w:rPr>
        <w:t>x</w:t>
      </w:r>
      <w:r w:rsidRPr="006D5A1A">
        <w:rPr>
          <w:sz w:val="24"/>
          <w:szCs w:val="24"/>
        </w:rPr>
        <w:t xml:space="preserve"> $</w:t>
      </w:r>
      <w:r w:rsidR="0086442C">
        <w:rPr>
          <w:sz w:val="24"/>
          <w:szCs w:val="24"/>
        </w:rPr>
        <w:t>4</w:t>
      </w:r>
      <w:r w:rsidR="00CF4845">
        <w:rPr>
          <w:sz w:val="24"/>
          <w:szCs w:val="24"/>
        </w:rPr>
        <w:t>6</w:t>
      </w:r>
      <w:r w:rsidR="0086442C">
        <w:rPr>
          <w:sz w:val="24"/>
          <w:szCs w:val="24"/>
        </w:rPr>
        <w:t>.</w:t>
      </w:r>
      <w:r w:rsidR="00CF4845">
        <w:rPr>
          <w:sz w:val="24"/>
          <w:szCs w:val="24"/>
        </w:rPr>
        <w:t>88</w:t>
      </w:r>
      <w:r w:rsidR="0086442C">
        <w:rPr>
          <w:sz w:val="24"/>
          <w:szCs w:val="24"/>
        </w:rPr>
        <w:t xml:space="preserve"> </w:t>
      </w:r>
      <w:r w:rsidRPr="006D5A1A">
        <w:rPr>
          <w:sz w:val="24"/>
          <w:szCs w:val="24"/>
        </w:rPr>
        <w:t>pe</w:t>
      </w:r>
      <w:r w:rsidRPr="006D5A1A" w:rsidR="00DB0769">
        <w:rPr>
          <w:sz w:val="24"/>
          <w:szCs w:val="24"/>
        </w:rPr>
        <w:t>r hour (GS-12</w:t>
      </w:r>
      <w:r w:rsidRPr="006D5A1A">
        <w:rPr>
          <w:sz w:val="24"/>
          <w:szCs w:val="24"/>
        </w:rPr>
        <w:t>, Step 5) for</w:t>
      </w:r>
    </w:p>
    <w:p w:rsidRPr="006D5A1A" w:rsidR="00BD1F10" w:rsidRDefault="00BD1F10">
      <w:pPr>
        <w:tabs>
          <w:tab w:val="left" w:pos="0"/>
        </w:tabs>
        <w:suppressAutoHyphens/>
        <w:rPr>
          <w:sz w:val="24"/>
          <w:szCs w:val="24"/>
        </w:rPr>
      </w:pPr>
      <w:r w:rsidRPr="006D5A1A">
        <w:rPr>
          <w:sz w:val="24"/>
          <w:szCs w:val="24"/>
        </w:rPr>
        <w:t xml:space="preserve">            an Application Examiner</w:t>
      </w:r>
      <w:r w:rsidRPr="006D5A1A">
        <w:rPr>
          <w:sz w:val="24"/>
          <w:szCs w:val="24"/>
        </w:rPr>
        <w:tab/>
      </w:r>
      <w:r w:rsidRPr="006D5A1A">
        <w:rPr>
          <w:sz w:val="24"/>
          <w:szCs w:val="24"/>
        </w:rPr>
        <w:tab/>
      </w:r>
      <w:r w:rsidRPr="006D5A1A">
        <w:rPr>
          <w:sz w:val="24"/>
          <w:szCs w:val="24"/>
        </w:rPr>
        <w:tab/>
        <w:t xml:space="preserve"> </w:t>
      </w:r>
    </w:p>
    <w:p w:rsidRPr="006D5A1A" w:rsidR="00BD1F10" w:rsidRDefault="00BD1F10">
      <w:pPr>
        <w:tabs>
          <w:tab w:val="left" w:pos="0"/>
        </w:tabs>
        <w:suppressAutoHyphens/>
        <w:rPr>
          <w:sz w:val="24"/>
          <w:szCs w:val="24"/>
        </w:rPr>
      </w:pPr>
    </w:p>
    <w:p w:rsidRPr="006D5A1A" w:rsidR="00380967" w:rsidRDefault="00884CB9">
      <w:pPr>
        <w:tabs>
          <w:tab w:val="left" w:pos="0"/>
        </w:tabs>
        <w:suppressAutoHyphens/>
        <w:rPr>
          <w:b/>
          <w:sz w:val="24"/>
          <w:szCs w:val="24"/>
        </w:rPr>
      </w:pPr>
      <w:r w:rsidRPr="006D5A1A">
        <w:rPr>
          <w:sz w:val="24"/>
          <w:szCs w:val="24"/>
        </w:rPr>
        <w:tab/>
      </w:r>
      <w:r w:rsidRPr="006D5A1A" w:rsidR="006D5A1A">
        <w:rPr>
          <w:b/>
          <w:sz w:val="24"/>
          <w:szCs w:val="24"/>
        </w:rPr>
        <w:t>Total Cost to the Federal Government:                 $</w:t>
      </w:r>
      <w:r w:rsidR="00CF4845">
        <w:rPr>
          <w:b/>
          <w:sz w:val="24"/>
          <w:szCs w:val="24"/>
        </w:rPr>
        <w:t>3</w:t>
      </w:r>
      <w:r w:rsidR="0086442C">
        <w:rPr>
          <w:b/>
          <w:sz w:val="24"/>
          <w:szCs w:val="24"/>
        </w:rPr>
        <w:t>,</w:t>
      </w:r>
      <w:r w:rsidR="00CF4845">
        <w:rPr>
          <w:b/>
          <w:sz w:val="24"/>
          <w:szCs w:val="24"/>
        </w:rPr>
        <w:t>047</w:t>
      </w:r>
      <w:r w:rsidR="0086442C">
        <w:rPr>
          <w:b/>
          <w:sz w:val="24"/>
          <w:szCs w:val="24"/>
        </w:rPr>
        <w:t>,</w:t>
      </w:r>
      <w:r w:rsidR="00CF4845">
        <w:rPr>
          <w:b/>
          <w:sz w:val="24"/>
          <w:szCs w:val="24"/>
        </w:rPr>
        <w:t>200</w:t>
      </w:r>
    </w:p>
    <w:p w:rsidRPr="006D5A1A" w:rsidR="00BD1F10" w:rsidP="006D5A1A" w:rsidRDefault="00380967">
      <w:pPr>
        <w:tabs>
          <w:tab w:val="left" w:pos="0"/>
        </w:tabs>
        <w:suppressAutoHyphens/>
        <w:rPr>
          <w:sz w:val="24"/>
          <w:szCs w:val="24"/>
        </w:rPr>
      </w:pPr>
      <w:r w:rsidRPr="006D5A1A">
        <w:rPr>
          <w:sz w:val="24"/>
          <w:szCs w:val="24"/>
        </w:rPr>
        <w:tab/>
      </w:r>
    </w:p>
    <w:p w:rsidRPr="00635760" w:rsidR="00635760" w:rsidP="00635760" w:rsidRDefault="00AB567C">
      <w:pPr>
        <w:numPr>
          <w:ilvl w:val="0"/>
          <w:numId w:val="10"/>
        </w:numPr>
        <w:tabs>
          <w:tab w:val="left" w:pos="450"/>
        </w:tabs>
        <w:suppressAutoHyphens/>
        <w:jc w:val="both"/>
        <w:rPr>
          <w:sz w:val="24"/>
          <w:szCs w:val="24"/>
        </w:rPr>
      </w:pPr>
      <w:r w:rsidRPr="00635760">
        <w:rPr>
          <w:sz w:val="24"/>
          <w:szCs w:val="24"/>
        </w:rPr>
        <w:t>The</w:t>
      </w:r>
      <w:r w:rsidRPr="00635760" w:rsidR="001D5498">
        <w:rPr>
          <w:sz w:val="24"/>
          <w:szCs w:val="24"/>
        </w:rPr>
        <w:t xml:space="preserve">re are </w:t>
      </w:r>
      <w:r w:rsidRPr="00635760" w:rsidR="00A44551">
        <w:rPr>
          <w:sz w:val="24"/>
          <w:szCs w:val="24"/>
        </w:rPr>
        <w:t xml:space="preserve">no </w:t>
      </w:r>
      <w:r w:rsidRPr="00635760">
        <w:rPr>
          <w:sz w:val="24"/>
          <w:szCs w:val="24"/>
        </w:rPr>
        <w:t>program changes</w:t>
      </w:r>
      <w:r w:rsidRPr="00635760" w:rsidR="00635760">
        <w:rPr>
          <w:sz w:val="24"/>
          <w:szCs w:val="24"/>
        </w:rPr>
        <w:t xml:space="preserve"> or adjustments to this collection</w:t>
      </w:r>
      <w:r w:rsidRPr="00635760" w:rsidR="002723B3">
        <w:rPr>
          <w:sz w:val="24"/>
          <w:szCs w:val="24"/>
        </w:rPr>
        <w:t xml:space="preserve">.  </w:t>
      </w:r>
    </w:p>
    <w:p w:rsidRPr="00635760" w:rsidR="00635760" w:rsidP="00635760" w:rsidRDefault="00635760">
      <w:pPr>
        <w:tabs>
          <w:tab w:val="left" w:pos="450"/>
        </w:tabs>
        <w:suppressAutoHyphens/>
        <w:ind w:left="360"/>
        <w:jc w:val="both"/>
        <w:rPr>
          <w:sz w:val="24"/>
          <w:szCs w:val="24"/>
        </w:rPr>
      </w:pPr>
      <w:bookmarkStart w:name="_GoBack" w:id="0"/>
      <w:bookmarkEnd w:id="0"/>
    </w:p>
    <w:p w:rsidRPr="00635760" w:rsidR="00BD1F10" w:rsidP="00635760" w:rsidRDefault="00BD1F10">
      <w:pPr>
        <w:numPr>
          <w:ilvl w:val="0"/>
          <w:numId w:val="10"/>
        </w:numPr>
        <w:tabs>
          <w:tab w:val="left" w:pos="450"/>
        </w:tabs>
        <w:suppressAutoHyphens/>
        <w:jc w:val="both"/>
        <w:rPr>
          <w:sz w:val="24"/>
          <w:szCs w:val="24"/>
        </w:rPr>
      </w:pPr>
      <w:r w:rsidRPr="00635760">
        <w:rPr>
          <w:sz w:val="24"/>
          <w:szCs w:val="24"/>
        </w:rPr>
        <w:t>The data will not be published for statistical use.</w:t>
      </w:r>
    </w:p>
    <w:p w:rsidRPr="00635760" w:rsidR="00BD1F10" w:rsidRDefault="00BD1F10">
      <w:pPr>
        <w:tabs>
          <w:tab w:val="left" w:pos="0"/>
        </w:tabs>
        <w:suppressAutoHyphens/>
        <w:rPr>
          <w:sz w:val="24"/>
          <w:szCs w:val="24"/>
        </w:rPr>
      </w:pPr>
    </w:p>
    <w:p w:rsidRPr="00635760" w:rsidR="00BD1F10" w:rsidRDefault="00BD1F10">
      <w:pPr>
        <w:numPr>
          <w:ilvl w:val="0"/>
          <w:numId w:val="7"/>
        </w:numPr>
        <w:tabs>
          <w:tab w:val="left" w:pos="0"/>
        </w:tabs>
        <w:suppressAutoHyphens/>
        <w:jc w:val="both"/>
        <w:rPr>
          <w:sz w:val="24"/>
          <w:szCs w:val="24"/>
        </w:rPr>
      </w:pPr>
      <w:r w:rsidRPr="00635760">
        <w:rPr>
          <w:sz w:val="24"/>
          <w:szCs w:val="24"/>
        </w:rPr>
        <w:t>The Commission is requesting a waiver from displaying the OMB expiration date on the FCC Form 605.  Granting this waiver will prevent the Commission from destroying stock</w:t>
      </w:r>
      <w:r w:rsidRPr="00635760" w:rsidR="000F2B12">
        <w:rPr>
          <w:sz w:val="24"/>
          <w:szCs w:val="24"/>
        </w:rPr>
        <w:t xml:space="preserve"> upon re</w:t>
      </w:r>
      <w:r w:rsidRPr="00635760" w:rsidR="00517D1E">
        <w:rPr>
          <w:sz w:val="24"/>
          <w:szCs w:val="24"/>
        </w:rPr>
        <w:t>-</w:t>
      </w:r>
      <w:r w:rsidRPr="00635760">
        <w:rPr>
          <w:sz w:val="24"/>
          <w:szCs w:val="24"/>
        </w:rPr>
        <w:t>approval of the form</w:t>
      </w:r>
      <w:r w:rsidRPr="00635760" w:rsidR="00DB4886">
        <w:rPr>
          <w:sz w:val="24"/>
          <w:szCs w:val="24"/>
        </w:rPr>
        <w:t xml:space="preserve"> or having to update the electronic versions each time this information collection is submitted to OMB</w:t>
      </w:r>
      <w:r w:rsidRPr="00635760">
        <w:rPr>
          <w:sz w:val="24"/>
          <w:szCs w:val="24"/>
        </w:rPr>
        <w:t>.</w:t>
      </w:r>
    </w:p>
    <w:p w:rsidRPr="00635760" w:rsidR="00BD1F10" w:rsidRDefault="00BD1F10">
      <w:pPr>
        <w:tabs>
          <w:tab w:val="left" w:pos="0"/>
        </w:tabs>
        <w:suppressAutoHyphens/>
        <w:rPr>
          <w:sz w:val="24"/>
          <w:szCs w:val="24"/>
        </w:rPr>
      </w:pPr>
    </w:p>
    <w:p w:rsidRPr="00635760" w:rsidR="00BD1F10" w:rsidP="001224B3" w:rsidRDefault="00DB4886">
      <w:pPr>
        <w:tabs>
          <w:tab w:val="left" w:pos="0"/>
        </w:tabs>
        <w:suppressAutoHyphens/>
        <w:rPr>
          <w:sz w:val="24"/>
          <w:szCs w:val="24"/>
        </w:rPr>
      </w:pPr>
      <w:r w:rsidRPr="00635760">
        <w:rPr>
          <w:sz w:val="24"/>
          <w:szCs w:val="24"/>
        </w:rPr>
        <w:t xml:space="preserve">18. There </w:t>
      </w:r>
      <w:r w:rsidRPr="00635760" w:rsidR="00F92CF5">
        <w:rPr>
          <w:sz w:val="24"/>
          <w:szCs w:val="24"/>
        </w:rPr>
        <w:t xml:space="preserve">is no </w:t>
      </w:r>
      <w:r w:rsidRPr="00635760" w:rsidR="00BD1F10">
        <w:rPr>
          <w:sz w:val="24"/>
          <w:szCs w:val="24"/>
        </w:rPr>
        <w:t>exception to the certification statement</w:t>
      </w:r>
      <w:r w:rsidRPr="00635760" w:rsidR="00F92CF5">
        <w:rPr>
          <w:sz w:val="24"/>
          <w:szCs w:val="24"/>
        </w:rPr>
        <w:t>.</w:t>
      </w:r>
    </w:p>
    <w:p w:rsidRPr="00635760" w:rsidR="00BD1F10" w:rsidRDefault="00BD1F10">
      <w:pPr>
        <w:tabs>
          <w:tab w:val="left" w:pos="0"/>
        </w:tabs>
        <w:suppressAutoHyphens/>
        <w:rPr>
          <w:sz w:val="24"/>
          <w:szCs w:val="24"/>
        </w:rPr>
      </w:pPr>
    </w:p>
    <w:p w:rsidRPr="00635760" w:rsidR="00BD1F10" w:rsidRDefault="00BD1F10">
      <w:pPr>
        <w:pStyle w:val="Heading1"/>
        <w:tabs>
          <w:tab w:val="left" w:pos="0"/>
        </w:tabs>
        <w:rPr>
          <w:rFonts w:ascii="Times New Roman" w:hAnsi="Times New Roman"/>
          <w:szCs w:val="24"/>
          <w:u w:val="single"/>
        </w:rPr>
      </w:pPr>
      <w:r w:rsidRPr="00635760">
        <w:rPr>
          <w:rFonts w:ascii="Times New Roman" w:hAnsi="Times New Roman"/>
          <w:szCs w:val="24"/>
          <w:u w:val="single"/>
        </w:rPr>
        <w:lastRenderedPageBreak/>
        <w:t>B.  Collections of Information Employing Statistical Methods:</w:t>
      </w:r>
    </w:p>
    <w:p w:rsidRPr="00635760" w:rsidR="00BD1F10" w:rsidRDefault="00BD1F10">
      <w:pPr>
        <w:tabs>
          <w:tab w:val="left" w:pos="0"/>
        </w:tabs>
        <w:suppressAutoHyphens/>
        <w:rPr>
          <w:sz w:val="24"/>
          <w:szCs w:val="24"/>
        </w:rPr>
      </w:pPr>
      <w:r w:rsidRPr="00635760">
        <w:rPr>
          <w:sz w:val="24"/>
          <w:szCs w:val="24"/>
        </w:rPr>
        <w:tab/>
      </w:r>
    </w:p>
    <w:p w:rsidRPr="006D5A1A" w:rsidR="00BD1F10" w:rsidRDefault="002C30F8">
      <w:pPr>
        <w:tabs>
          <w:tab w:val="left" w:pos="0"/>
        </w:tabs>
        <w:suppressAutoHyphens/>
        <w:rPr>
          <w:sz w:val="24"/>
          <w:szCs w:val="24"/>
        </w:rPr>
      </w:pPr>
      <w:r w:rsidRPr="006D5A1A">
        <w:rPr>
          <w:sz w:val="24"/>
          <w:szCs w:val="24"/>
        </w:rPr>
        <w:t xml:space="preserve">      </w:t>
      </w:r>
      <w:r w:rsidRPr="006D5A1A" w:rsidR="00BD1F10">
        <w:rPr>
          <w:sz w:val="24"/>
          <w:szCs w:val="24"/>
        </w:rPr>
        <w:t>No statistical methods are employed.</w:t>
      </w:r>
    </w:p>
    <w:sectPr w:rsidRPr="006D5A1A" w:rsidR="00BD1F10" w:rsidSect="00BF3255">
      <w:headerReference w:type="default" r:id="rId8"/>
      <w:footerReference w:type="even" r:id="rId9"/>
      <w:footerReference w:type="default" r:id="rId10"/>
      <w:endnotePr>
        <w:numFmt w:val="decimal"/>
      </w:endnotePr>
      <w:pgSz w:w="12240" w:h="15840"/>
      <w:pgMar w:top="1440" w:right="1440" w:bottom="1440" w:left="189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B7C" w:rsidRDefault="00531B7C">
      <w:pPr>
        <w:spacing w:line="20" w:lineRule="exact"/>
        <w:rPr>
          <w:sz w:val="24"/>
        </w:rPr>
      </w:pPr>
    </w:p>
  </w:endnote>
  <w:endnote w:type="continuationSeparator" w:id="0">
    <w:p w:rsidR="00531B7C" w:rsidRDefault="00531B7C">
      <w:r>
        <w:rPr>
          <w:sz w:val="24"/>
        </w:rPr>
        <w:t xml:space="preserve"> </w:t>
      </w:r>
    </w:p>
  </w:endnote>
  <w:endnote w:type="continuationNotice" w:id="1">
    <w:p w:rsidR="00531B7C" w:rsidRDefault="00531B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596" w:rsidRDefault="00766596" w:rsidP="005E7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6596" w:rsidRDefault="00766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596" w:rsidRDefault="00766596" w:rsidP="005E7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3B3">
      <w:rPr>
        <w:rStyle w:val="PageNumber"/>
        <w:noProof/>
      </w:rPr>
      <w:t>- 6 -</w:t>
    </w:r>
    <w:r>
      <w:rPr>
        <w:rStyle w:val="PageNumber"/>
      </w:rPr>
      <w:fldChar w:fldCharType="end"/>
    </w:r>
  </w:p>
  <w:p w:rsidR="00766596" w:rsidRDefault="00766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B7C" w:rsidRDefault="00531B7C">
      <w:r>
        <w:rPr>
          <w:sz w:val="24"/>
        </w:rPr>
        <w:separator/>
      </w:r>
    </w:p>
  </w:footnote>
  <w:footnote w:type="continuationSeparator" w:id="0">
    <w:p w:rsidR="00531B7C" w:rsidRDefault="00531B7C">
      <w:r>
        <w:continuationSeparator/>
      </w:r>
    </w:p>
  </w:footnote>
  <w:footnote w:id="1">
    <w:p w:rsidR="00B51485" w:rsidRPr="00242BE8" w:rsidRDefault="00B51485" w:rsidP="00B51485">
      <w:pPr>
        <w:pStyle w:val="FootnoteText"/>
        <w:rPr>
          <w:sz w:val="20"/>
        </w:rPr>
      </w:pPr>
      <w:r w:rsidRPr="00242BE8">
        <w:rPr>
          <w:rStyle w:val="FootnoteReference"/>
          <w:sz w:val="20"/>
        </w:rPr>
        <w:footnoteRef/>
      </w:r>
      <w:r w:rsidRPr="00242BE8">
        <w:rPr>
          <w:sz w:val="20"/>
        </w:rPr>
        <w:t xml:space="preserve"> This estimated burden also includes the time it would take respondents to keep copies of their records.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1C9" w:rsidRPr="00635760" w:rsidRDefault="001A41C9" w:rsidP="001A41C9">
    <w:pPr>
      <w:pStyle w:val="Header"/>
      <w:rPr>
        <w:b/>
      </w:rPr>
    </w:pPr>
    <w:r w:rsidRPr="00635760">
      <w:rPr>
        <w:b/>
      </w:rPr>
      <w:t>Quick-Form Application for Authorization</w:t>
    </w:r>
    <w:r w:rsidRPr="00635760">
      <w:rPr>
        <w:b/>
      </w:rPr>
      <w:tab/>
    </w:r>
    <w:r w:rsidRPr="00635760">
      <w:rPr>
        <w:b/>
      </w:rPr>
      <w:tab/>
      <w:t>3060-0850</w:t>
    </w:r>
  </w:p>
  <w:p w:rsidR="00B636CF" w:rsidRPr="00635760" w:rsidRDefault="001A41C9" w:rsidP="001A41C9">
    <w:pPr>
      <w:pStyle w:val="Header"/>
      <w:rPr>
        <w:b/>
      </w:rPr>
    </w:pPr>
    <w:r w:rsidRPr="00635760">
      <w:rPr>
        <w:b/>
      </w:rPr>
      <w:t xml:space="preserve">In the Ship, Aircraft, Amateur, Restricted and </w:t>
    </w:r>
    <w:r w:rsidRPr="00635760">
      <w:rPr>
        <w:b/>
      </w:rPr>
      <w:tab/>
    </w:r>
    <w:r w:rsidRPr="00635760">
      <w:rPr>
        <w:b/>
      </w:rPr>
      <w:tab/>
    </w:r>
    <w:r w:rsidR="00A95079" w:rsidRPr="00635760">
      <w:rPr>
        <w:b/>
      </w:rPr>
      <w:t>Ma</w:t>
    </w:r>
    <w:r w:rsidR="002A1BA7" w:rsidRPr="00635760">
      <w:rPr>
        <w:b/>
      </w:rPr>
      <w:t>y</w:t>
    </w:r>
    <w:r w:rsidRPr="00635760">
      <w:rPr>
        <w:b/>
      </w:rPr>
      <w:t xml:space="preserve"> </w:t>
    </w:r>
    <w:r w:rsidR="00B636CF" w:rsidRPr="00635760">
      <w:rPr>
        <w:b/>
      </w:rPr>
      <w:t>20</w:t>
    </w:r>
    <w:r w:rsidR="008B0A4D" w:rsidRPr="00635760">
      <w:rPr>
        <w:b/>
      </w:rPr>
      <w:t>20</w:t>
    </w:r>
  </w:p>
  <w:p w:rsidR="001A41C9" w:rsidRPr="00635760" w:rsidRDefault="001A41C9" w:rsidP="001A41C9">
    <w:pPr>
      <w:pStyle w:val="Header"/>
      <w:rPr>
        <w:b/>
      </w:rPr>
    </w:pPr>
    <w:r w:rsidRPr="00635760">
      <w:rPr>
        <w:b/>
      </w:rPr>
      <w:t>Commercial Operator, and General Mobile</w:t>
    </w:r>
  </w:p>
  <w:p w:rsidR="001A41C9" w:rsidRPr="00635760" w:rsidRDefault="001A41C9" w:rsidP="001A41C9">
    <w:pPr>
      <w:pStyle w:val="Header"/>
      <w:rPr>
        <w:b/>
      </w:rPr>
    </w:pPr>
    <w:r w:rsidRPr="00635760">
      <w:rPr>
        <w:b/>
      </w:rPr>
      <w:t>Radio Services, FCC Form 605</w:t>
    </w:r>
  </w:p>
  <w:p w:rsidR="00967C97" w:rsidRPr="00967C97" w:rsidRDefault="00967C97" w:rsidP="00967C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13A10CB"/>
    <w:multiLevelType w:val="singleLevel"/>
    <w:tmpl w:val="0409000F"/>
    <w:lvl w:ilvl="0">
      <w:start w:val="5"/>
      <w:numFmt w:val="decimal"/>
      <w:lvlText w:val="%1."/>
      <w:lvlJc w:val="left"/>
      <w:pPr>
        <w:tabs>
          <w:tab w:val="num" w:pos="360"/>
        </w:tabs>
        <w:ind w:left="360" w:hanging="360"/>
      </w:pPr>
      <w:rPr>
        <w:rFonts w:hint="default"/>
      </w:rPr>
    </w:lvl>
  </w:abstractNum>
  <w:abstractNum w:abstractNumId="2" w15:restartNumberingAfterBreak="0">
    <w:nsid w:val="13E325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C469EA"/>
    <w:multiLevelType w:val="singleLevel"/>
    <w:tmpl w:val="0409000F"/>
    <w:lvl w:ilvl="0">
      <w:start w:val="13"/>
      <w:numFmt w:val="decimal"/>
      <w:lvlText w:val="%1."/>
      <w:lvlJc w:val="left"/>
      <w:pPr>
        <w:tabs>
          <w:tab w:val="num" w:pos="360"/>
        </w:tabs>
        <w:ind w:left="360" w:hanging="360"/>
      </w:pPr>
      <w:rPr>
        <w:rFonts w:hint="default"/>
      </w:rPr>
    </w:lvl>
  </w:abstractNum>
  <w:abstractNum w:abstractNumId="4" w15:restartNumberingAfterBreak="0">
    <w:nsid w:val="26467886"/>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5" w15:restartNumberingAfterBreak="0">
    <w:nsid w:val="28337245"/>
    <w:multiLevelType w:val="hybridMultilevel"/>
    <w:tmpl w:val="FB1AC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7" w15:restartNumberingAfterBreak="0">
    <w:nsid w:val="3E476484"/>
    <w:multiLevelType w:val="singleLevel"/>
    <w:tmpl w:val="E7D44632"/>
    <w:lvl w:ilvl="0">
      <w:start w:val="17"/>
      <w:numFmt w:val="decimal"/>
      <w:lvlText w:val="%1."/>
      <w:lvlJc w:val="left"/>
      <w:pPr>
        <w:tabs>
          <w:tab w:val="num" w:pos="420"/>
        </w:tabs>
        <w:ind w:left="420" w:hanging="420"/>
      </w:pPr>
      <w:rPr>
        <w:rFonts w:hint="default"/>
      </w:rPr>
    </w:lvl>
  </w:abstractNum>
  <w:abstractNum w:abstractNumId="8"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00773"/>
    <w:multiLevelType w:val="singleLevel"/>
    <w:tmpl w:val="0409000F"/>
    <w:lvl w:ilvl="0">
      <w:start w:val="13"/>
      <w:numFmt w:val="decimal"/>
      <w:lvlText w:val="%1."/>
      <w:lvlJc w:val="left"/>
      <w:pPr>
        <w:tabs>
          <w:tab w:val="num" w:pos="360"/>
        </w:tabs>
        <w:ind w:left="360" w:hanging="360"/>
      </w:pPr>
      <w:rPr>
        <w:rFonts w:hint="default"/>
      </w:rPr>
    </w:lvl>
  </w:abstractNum>
  <w:abstractNum w:abstractNumId="10" w15:restartNumberingAfterBreak="0">
    <w:nsid w:val="533B3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E7234C"/>
    <w:multiLevelType w:val="singleLevel"/>
    <w:tmpl w:val="0409000F"/>
    <w:lvl w:ilvl="0">
      <w:start w:val="3"/>
      <w:numFmt w:val="decimal"/>
      <w:lvlText w:val="%1."/>
      <w:lvlJc w:val="left"/>
      <w:pPr>
        <w:tabs>
          <w:tab w:val="num" w:pos="360"/>
        </w:tabs>
        <w:ind w:left="360" w:hanging="360"/>
      </w:pPr>
      <w:rPr>
        <w:rFonts w:hint="default"/>
      </w:rPr>
    </w:lvl>
  </w:abstractNum>
  <w:abstractNum w:abstractNumId="12" w15:restartNumberingAfterBreak="0">
    <w:nsid w:val="609C1308"/>
    <w:multiLevelType w:val="singleLevel"/>
    <w:tmpl w:val="0409000F"/>
    <w:lvl w:ilvl="0">
      <w:start w:val="12"/>
      <w:numFmt w:val="decimal"/>
      <w:lvlText w:val="%1."/>
      <w:lvlJc w:val="left"/>
      <w:pPr>
        <w:tabs>
          <w:tab w:val="num" w:pos="360"/>
        </w:tabs>
        <w:ind w:left="360" w:hanging="360"/>
      </w:pPr>
      <w:rPr>
        <w:rFonts w:hint="default"/>
      </w:rPr>
    </w:lvl>
  </w:abstractNum>
  <w:abstractNum w:abstractNumId="13" w15:restartNumberingAfterBreak="0">
    <w:nsid w:val="63F044E8"/>
    <w:multiLevelType w:val="hybridMultilevel"/>
    <w:tmpl w:val="BA66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E26AA7"/>
    <w:multiLevelType w:val="hybridMultilevel"/>
    <w:tmpl w:val="578C1672"/>
    <w:lvl w:ilvl="0" w:tplc="D61EDD08">
      <w:start w:val="1"/>
      <w:numFmt w:val="decimal"/>
      <w:lvlText w:val="(%1)"/>
      <w:lvlJc w:val="left"/>
      <w:pPr>
        <w:tabs>
          <w:tab w:val="num" w:pos="720"/>
        </w:tabs>
        <w:ind w:left="720" w:hanging="360"/>
      </w:pPr>
      <w:rPr>
        <w:rFonts w:hint="default"/>
      </w:rPr>
    </w:lvl>
    <w:lvl w:ilvl="1" w:tplc="671617E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491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2A3DD2"/>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num w:numId="1">
    <w:abstractNumId w:val="15"/>
  </w:num>
  <w:num w:numId="2">
    <w:abstractNumId w:val="2"/>
  </w:num>
  <w:num w:numId="3">
    <w:abstractNumId w:val="10"/>
  </w:num>
  <w:num w:numId="4">
    <w:abstractNumId w:val="1"/>
  </w:num>
  <w:num w:numId="5">
    <w:abstractNumId w:val="11"/>
  </w:num>
  <w:num w:numId="6">
    <w:abstractNumId w:val="12"/>
  </w:num>
  <w:num w:numId="7">
    <w:abstractNumId w:val="7"/>
  </w:num>
  <w:num w:numId="8">
    <w:abstractNumId w:val="3"/>
  </w:num>
  <w:num w:numId="9">
    <w:abstractNumId w:val="16"/>
  </w:num>
  <w:num w:numId="10">
    <w:abstractNumId w:val="9"/>
  </w:num>
  <w:num w:numId="11">
    <w:abstractNumId w:val="4"/>
  </w:num>
  <w:num w:numId="12">
    <w:abstractNumId w:val="13"/>
  </w:num>
  <w:num w:numId="13">
    <w:abstractNumId w:val="14"/>
  </w:num>
  <w:num w:numId="14">
    <w:abstractNumId w:val="6"/>
  </w:num>
  <w:num w:numId="15">
    <w:abstractNumId w:val="0"/>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CB9"/>
    <w:rsid w:val="0003207E"/>
    <w:rsid w:val="00053C80"/>
    <w:rsid w:val="00056D9D"/>
    <w:rsid w:val="0007763B"/>
    <w:rsid w:val="00082389"/>
    <w:rsid w:val="0008735B"/>
    <w:rsid w:val="00091955"/>
    <w:rsid w:val="000925FC"/>
    <w:rsid w:val="000B4FCD"/>
    <w:rsid w:val="000C63DF"/>
    <w:rsid w:val="000C7C8D"/>
    <w:rsid w:val="000D33DF"/>
    <w:rsid w:val="000F2B12"/>
    <w:rsid w:val="001224B3"/>
    <w:rsid w:val="001443CC"/>
    <w:rsid w:val="00150AEF"/>
    <w:rsid w:val="0017344F"/>
    <w:rsid w:val="001A41C9"/>
    <w:rsid w:val="001A5099"/>
    <w:rsid w:val="001B1869"/>
    <w:rsid w:val="001C070D"/>
    <w:rsid w:val="001D5498"/>
    <w:rsid w:val="002027DA"/>
    <w:rsid w:val="00205B91"/>
    <w:rsid w:val="002352B5"/>
    <w:rsid w:val="00242BE8"/>
    <w:rsid w:val="00246EC0"/>
    <w:rsid w:val="00262E48"/>
    <w:rsid w:val="002723B3"/>
    <w:rsid w:val="0028153F"/>
    <w:rsid w:val="00287C20"/>
    <w:rsid w:val="00292CA1"/>
    <w:rsid w:val="002A1BA7"/>
    <w:rsid w:val="002A4563"/>
    <w:rsid w:val="002C30F8"/>
    <w:rsid w:val="002F70E9"/>
    <w:rsid w:val="00316CE4"/>
    <w:rsid w:val="0034525C"/>
    <w:rsid w:val="003534AC"/>
    <w:rsid w:val="00380967"/>
    <w:rsid w:val="00386659"/>
    <w:rsid w:val="003869CC"/>
    <w:rsid w:val="003C1158"/>
    <w:rsid w:val="003C2216"/>
    <w:rsid w:val="003C285A"/>
    <w:rsid w:val="003D5C18"/>
    <w:rsid w:val="003F287B"/>
    <w:rsid w:val="003F5A62"/>
    <w:rsid w:val="00421341"/>
    <w:rsid w:val="00426BF9"/>
    <w:rsid w:val="00441414"/>
    <w:rsid w:val="00443BFB"/>
    <w:rsid w:val="004600AA"/>
    <w:rsid w:val="00486193"/>
    <w:rsid w:val="0049131E"/>
    <w:rsid w:val="004C4538"/>
    <w:rsid w:val="00501AF8"/>
    <w:rsid w:val="00512671"/>
    <w:rsid w:val="00517D1E"/>
    <w:rsid w:val="00526159"/>
    <w:rsid w:val="005319BE"/>
    <w:rsid w:val="00531B7C"/>
    <w:rsid w:val="005334B1"/>
    <w:rsid w:val="005529B3"/>
    <w:rsid w:val="0056480A"/>
    <w:rsid w:val="005777B1"/>
    <w:rsid w:val="00577B55"/>
    <w:rsid w:val="00591B84"/>
    <w:rsid w:val="005972BB"/>
    <w:rsid w:val="005A5AD8"/>
    <w:rsid w:val="005B4FDC"/>
    <w:rsid w:val="005C619A"/>
    <w:rsid w:val="005C62E4"/>
    <w:rsid w:val="005D2477"/>
    <w:rsid w:val="005D7F68"/>
    <w:rsid w:val="005E415A"/>
    <w:rsid w:val="005E758E"/>
    <w:rsid w:val="005F28F1"/>
    <w:rsid w:val="005F636A"/>
    <w:rsid w:val="006127BF"/>
    <w:rsid w:val="00620B37"/>
    <w:rsid w:val="006248C4"/>
    <w:rsid w:val="00635760"/>
    <w:rsid w:val="00637EA0"/>
    <w:rsid w:val="00694079"/>
    <w:rsid w:val="006B2746"/>
    <w:rsid w:val="006D5A1A"/>
    <w:rsid w:val="006D6E99"/>
    <w:rsid w:val="006E6037"/>
    <w:rsid w:val="006E6B99"/>
    <w:rsid w:val="007036AE"/>
    <w:rsid w:val="00732171"/>
    <w:rsid w:val="007359B3"/>
    <w:rsid w:val="00766596"/>
    <w:rsid w:val="007A218E"/>
    <w:rsid w:val="007C4814"/>
    <w:rsid w:val="007E4910"/>
    <w:rsid w:val="0085167B"/>
    <w:rsid w:val="0085173D"/>
    <w:rsid w:val="00855849"/>
    <w:rsid w:val="0086442C"/>
    <w:rsid w:val="00870B28"/>
    <w:rsid w:val="00874495"/>
    <w:rsid w:val="00875005"/>
    <w:rsid w:val="00884CB9"/>
    <w:rsid w:val="008A4533"/>
    <w:rsid w:val="008B0A4D"/>
    <w:rsid w:val="008B4697"/>
    <w:rsid w:val="00907460"/>
    <w:rsid w:val="0092175D"/>
    <w:rsid w:val="0092543E"/>
    <w:rsid w:val="00931D5F"/>
    <w:rsid w:val="0094154B"/>
    <w:rsid w:val="0095069F"/>
    <w:rsid w:val="00967C97"/>
    <w:rsid w:val="00987FAA"/>
    <w:rsid w:val="0099546D"/>
    <w:rsid w:val="009B461A"/>
    <w:rsid w:val="009D63C6"/>
    <w:rsid w:val="00A44551"/>
    <w:rsid w:val="00A61FC1"/>
    <w:rsid w:val="00A80EF2"/>
    <w:rsid w:val="00A9191F"/>
    <w:rsid w:val="00A95079"/>
    <w:rsid w:val="00AB222B"/>
    <w:rsid w:val="00AB567C"/>
    <w:rsid w:val="00AC5B25"/>
    <w:rsid w:val="00AD1E3F"/>
    <w:rsid w:val="00AE28CE"/>
    <w:rsid w:val="00AF3CA1"/>
    <w:rsid w:val="00B1070A"/>
    <w:rsid w:val="00B14B73"/>
    <w:rsid w:val="00B51485"/>
    <w:rsid w:val="00B636CF"/>
    <w:rsid w:val="00B76D64"/>
    <w:rsid w:val="00BA6021"/>
    <w:rsid w:val="00BD1F10"/>
    <w:rsid w:val="00BD4532"/>
    <w:rsid w:val="00BF3255"/>
    <w:rsid w:val="00C01E81"/>
    <w:rsid w:val="00C03AAF"/>
    <w:rsid w:val="00C061ED"/>
    <w:rsid w:val="00C06841"/>
    <w:rsid w:val="00C2365F"/>
    <w:rsid w:val="00C34236"/>
    <w:rsid w:val="00C51DAA"/>
    <w:rsid w:val="00C60E13"/>
    <w:rsid w:val="00C662EB"/>
    <w:rsid w:val="00C800F0"/>
    <w:rsid w:val="00C90555"/>
    <w:rsid w:val="00CC0E05"/>
    <w:rsid w:val="00CD10BA"/>
    <w:rsid w:val="00CD391B"/>
    <w:rsid w:val="00CE6D2F"/>
    <w:rsid w:val="00CE7C82"/>
    <w:rsid w:val="00CF1F12"/>
    <w:rsid w:val="00CF4845"/>
    <w:rsid w:val="00D10D0D"/>
    <w:rsid w:val="00D13AEF"/>
    <w:rsid w:val="00D31892"/>
    <w:rsid w:val="00D64332"/>
    <w:rsid w:val="00D643FE"/>
    <w:rsid w:val="00D67825"/>
    <w:rsid w:val="00D80F87"/>
    <w:rsid w:val="00D8519B"/>
    <w:rsid w:val="00DB0769"/>
    <w:rsid w:val="00DB4886"/>
    <w:rsid w:val="00DC3462"/>
    <w:rsid w:val="00DE0937"/>
    <w:rsid w:val="00DE0A2B"/>
    <w:rsid w:val="00DE396E"/>
    <w:rsid w:val="00E1159A"/>
    <w:rsid w:val="00E437A9"/>
    <w:rsid w:val="00E44E03"/>
    <w:rsid w:val="00E47068"/>
    <w:rsid w:val="00E54E2A"/>
    <w:rsid w:val="00E608FC"/>
    <w:rsid w:val="00EA67C0"/>
    <w:rsid w:val="00EA7472"/>
    <w:rsid w:val="00EB5DC7"/>
    <w:rsid w:val="00EC48AB"/>
    <w:rsid w:val="00ED42A8"/>
    <w:rsid w:val="00F05C9D"/>
    <w:rsid w:val="00F1545A"/>
    <w:rsid w:val="00F52739"/>
    <w:rsid w:val="00F5376E"/>
    <w:rsid w:val="00F92CF5"/>
    <w:rsid w:val="00FB4A6E"/>
    <w:rsid w:val="00FF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644708"/>
  <w15:chartTrackingRefBased/>
  <w15:docId w15:val="{7CE376AC-EC1B-4F90-BBD7-9B769A28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pPr>
    <w:rPr>
      <w:rFonts w:ascii="CG Times" w:hAnsi="CG Times"/>
      <w:b/>
      <w:sz w:val="24"/>
    </w:rPr>
  </w:style>
  <w:style w:type="paragraph" w:styleId="BodyTextIndent">
    <w:name w:val="Body Text Indent"/>
    <w:basedOn w:val="Normal"/>
    <w:pPr>
      <w:ind w:left="360" w:hanging="360"/>
    </w:pPr>
    <w:rPr>
      <w:sz w:val="24"/>
    </w:rPr>
  </w:style>
  <w:style w:type="paragraph" w:styleId="BodyTextIndent2">
    <w:name w:val="Body Text Indent 2"/>
    <w:basedOn w:val="Normal"/>
    <w:pPr>
      <w:widowControl/>
      <w:ind w:left="302"/>
      <w:jc w:val="both"/>
    </w:pPr>
    <w:rPr>
      <w:snapToGrid/>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link w:val="BodyText2Char"/>
    <w:pPr>
      <w:suppressAutoHyphens/>
      <w:jc w:val="both"/>
    </w:pPr>
    <w:rPr>
      <w:sz w:val="24"/>
    </w:rPr>
  </w:style>
  <w:style w:type="character" w:styleId="PageNumber">
    <w:name w:val="page number"/>
    <w:basedOn w:val="DefaultParagraphFont"/>
    <w:rsid w:val="000F2B12"/>
  </w:style>
  <w:style w:type="paragraph" w:styleId="BalloonText">
    <w:name w:val="Balloon Text"/>
    <w:basedOn w:val="Normal"/>
    <w:semiHidden/>
    <w:rsid w:val="0092543E"/>
    <w:rPr>
      <w:rFonts w:ascii="Tahoma" w:hAnsi="Tahoma" w:cs="Tahoma"/>
      <w:sz w:val="16"/>
      <w:szCs w:val="16"/>
    </w:rPr>
  </w:style>
  <w:style w:type="paragraph" w:customStyle="1" w:styleId="ReferenceLine">
    <w:name w:val="Reference Line"/>
    <w:basedOn w:val="BodyText"/>
    <w:rsid w:val="00BF3255"/>
    <w:pPr>
      <w:widowControl/>
      <w:suppressAutoHyphens w:val="0"/>
    </w:pPr>
    <w:rPr>
      <w:rFonts w:ascii="Verdana" w:hAnsi="Verdana"/>
      <w:b w:val="0"/>
      <w:snapToGrid/>
    </w:rPr>
  </w:style>
  <w:style w:type="paragraph" w:styleId="List">
    <w:name w:val="List"/>
    <w:basedOn w:val="Normal"/>
    <w:rsid w:val="00BF3255"/>
    <w:pPr>
      <w:widowControl/>
      <w:ind w:left="360" w:hanging="360"/>
    </w:pPr>
    <w:rPr>
      <w:snapToGrid/>
      <w:sz w:val="22"/>
    </w:rPr>
  </w:style>
  <w:style w:type="character" w:customStyle="1" w:styleId="BodyText2Char">
    <w:name w:val="Body Text 2 Char"/>
    <w:link w:val="BodyText2"/>
    <w:rsid w:val="003F5A6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1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2EBA-B640-4EF2-9C86-E979BDA5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subject/>
  <dc:creator>Laurel L Wilkinson</dc:creator>
  <cp:keywords/>
  <cp:lastModifiedBy>Cathy Williams</cp:lastModifiedBy>
  <cp:revision>2</cp:revision>
  <cp:lastPrinted>2017-03-07T14:34:00Z</cp:lastPrinted>
  <dcterms:created xsi:type="dcterms:W3CDTF">2020-05-20T22:34:00Z</dcterms:created>
  <dcterms:modified xsi:type="dcterms:W3CDTF">2020-05-20T22:34:00Z</dcterms:modified>
</cp:coreProperties>
</file>