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B64" w:rsidP="00D0574D" w:rsidRDefault="00297B64" w14:paraId="0F8A71CD" w14:textId="68A59211">
      <w:pPr>
        <w:pStyle w:val="Heading1"/>
        <w:jc w:val="left"/>
        <w:rPr>
          <w:b w:val="0"/>
          <w:shd w:val="clear" w:color="auto" w:fill="FFFFFF"/>
        </w:rPr>
      </w:pPr>
    </w:p>
    <w:p w:rsidRPr="00B37701" w:rsidR="0012538C" w:rsidRDefault="0012538C" w14:paraId="20845196" w14:textId="0710188C">
      <w:pPr>
        <w:pStyle w:val="Heading1"/>
        <w:rPr>
          <w:b w:val="0"/>
          <w:shd w:val="clear" w:color="auto" w:fill="FFFFFF"/>
        </w:rPr>
      </w:pPr>
      <w:r w:rsidRPr="00B37701">
        <w:rPr>
          <w:b w:val="0"/>
          <w:shd w:val="clear" w:color="auto" w:fill="FFFFFF"/>
        </w:rPr>
        <w:t>S</w:t>
      </w:r>
      <w:r w:rsidRPr="00B37701" w:rsidR="003F6EE7">
        <w:rPr>
          <w:b w:val="0"/>
          <w:shd w:val="clear" w:color="auto" w:fill="FFFFFF"/>
        </w:rPr>
        <w:t xml:space="preserve">UPPORTING </w:t>
      </w:r>
      <w:r w:rsidRPr="00B37701">
        <w:rPr>
          <w:b w:val="0"/>
          <w:shd w:val="clear" w:color="auto" w:fill="FFFFFF"/>
        </w:rPr>
        <w:t>S</w:t>
      </w:r>
      <w:r w:rsidRPr="00B37701" w:rsidR="003F6EE7">
        <w:rPr>
          <w:b w:val="0"/>
          <w:shd w:val="clear" w:color="auto" w:fill="FFFFFF"/>
        </w:rPr>
        <w:t>TATEMENT</w:t>
      </w:r>
      <w:r w:rsidRPr="00B37701">
        <w:rPr>
          <w:b w:val="0"/>
          <w:shd w:val="clear" w:color="auto" w:fill="FFFFFF"/>
        </w:rPr>
        <w:t xml:space="preserve"> </w:t>
      </w:r>
    </w:p>
    <w:p w:rsidRPr="00B37701" w:rsidR="0012538C" w:rsidRDefault="0012538C" w14:paraId="0F3A9A5F" w14:textId="77777777">
      <w:pPr>
        <w:suppressAutoHyphens/>
        <w:rPr>
          <w:rFonts w:ascii="Times New Roman" w:hAnsi="Times New Roman"/>
          <w:sz w:val="22"/>
          <w:shd w:val="clear" w:color="auto" w:fill="FFFFFF"/>
        </w:rPr>
      </w:pPr>
    </w:p>
    <w:p w:rsidRPr="00B37701" w:rsidR="0012538C" w:rsidRDefault="0012538C" w14:paraId="5640EECD" w14:textId="77777777">
      <w:pPr>
        <w:suppressAutoHyphens/>
        <w:outlineLvl w:val="0"/>
        <w:rPr>
          <w:rFonts w:ascii="Times New Roman" w:hAnsi="Times New Roman"/>
          <w:sz w:val="22"/>
          <w:u w:val="single"/>
          <w:shd w:val="clear" w:color="auto" w:fill="FFFFFF"/>
        </w:rPr>
      </w:pPr>
      <w:r w:rsidRPr="00B37701">
        <w:rPr>
          <w:rFonts w:ascii="Times New Roman" w:hAnsi="Times New Roman"/>
          <w:b/>
          <w:sz w:val="22"/>
          <w:u w:val="single"/>
          <w:shd w:val="clear" w:color="auto" w:fill="FFFFFF"/>
        </w:rPr>
        <w:t>A.  Justification</w:t>
      </w:r>
      <w:r w:rsidRPr="00B37701" w:rsidR="00DD3FF7">
        <w:rPr>
          <w:rFonts w:ascii="Times New Roman" w:hAnsi="Times New Roman"/>
          <w:b/>
          <w:sz w:val="22"/>
          <w:u w:val="single"/>
          <w:shd w:val="clear" w:color="auto" w:fill="FFFFFF"/>
        </w:rPr>
        <w:t>:</w:t>
      </w:r>
    </w:p>
    <w:p w:rsidRPr="00B37701" w:rsidR="0012538C" w:rsidRDefault="0012538C" w14:paraId="14160278" w14:textId="77777777">
      <w:pPr>
        <w:suppressAutoHyphens/>
        <w:rPr>
          <w:rFonts w:ascii="Times New Roman" w:hAnsi="Times New Roman"/>
          <w:sz w:val="22"/>
          <w:shd w:val="clear" w:color="auto" w:fill="FFFFFF"/>
        </w:rPr>
      </w:pPr>
    </w:p>
    <w:p w:rsidRPr="00B37701" w:rsidR="003B6ADD" w:rsidRDefault="003B6ADD" w14:paraId="2B6980D3" w14:textId="77777777">
      <w:pPr>
        <w:suppressAutoHyphens/>
        <w:rPr>
          <w:rFonts w:ascii="Times New Roman" w:hAnsi="Times New Roman"/>
          <w:b/>
          <w:i/>
          <w:sz w:val="22"/>
          <w:shd w:val="clear" w:color="auto" w:fill="FFFFFF"/>
        </w:rPr>
      </w:pPr>
      <w:r w:rsidRPr="00B37701">
        <w:rPr>
          <w:rFonts w:ascii="Times New Roman" w:hAnsi="Times New Roman"/>
          <w:b/>
          <w:i/>
          <w:sz w:val="22"/>
          <w:shd w:val="clear" w:color="auto" w:fill="FFFFFF"/>
        </w:rPr>
        <w:t>Information Collection Requirements:</w:t>
      </w:r>
    </w:p>
    <w:p w:rsidR="003B6ADD" w:rsidRDefault="003B6ADD" w14:paraId="097FE038" w14:textId="15BC5F9D">
      <w:pPr>
        <w:suppressAutoHyphens/>
        <w:rPr>
          <w:rFonts w:ascii="Times New Roman" w:hAnsi="Times New Roman"/>
          <w:sz w:val="22"/>
          <w:shd w:val="clear" w:color="auto" w:fill="FFFFFF"/>
        </w:rPr>
      </w:pPr>
    </w:p>
    <w:p w:rsidRPr="00D0574D" w:rsidR="00273B01" w:rsidP="00273B01" w:rsidRDefault="00273B01" w14:paraId="51A3FB11" w14:textId="39B2AF0A">
      <w:pPr>
        <w:rPr>
          <w:rFonts w:ascii="Times New Roman" w:hAnsi="Times New Roman"/>
          <w:sz w:val="22"/>
          <w:szCs w:val="22"/>
        </w:rPr>
      </w:pPr>
      <w:r w:rsidRPr="00D0574D">
        <w:rPr>
          <w:rFonts w:ascii="Times New Roman" w:hAnsi="Times New Roman"/>
          <w:sz w:val="22"/>
          <w:szCs w:val="22"/>
        </w:rPr>
        <w:t xml:space="preserve">The Commission is seeking a revision of the </w:t>
      </w:r>
      <w:r w:rsidRPr="00D0574D" w:rsidR="0041619D">
        <w:rPr>
          <w:rFonts w:ascii="Times New Roman" w:hAnsi="Times New Roman"/>
          <w:sz w:val="22"/>
          <w:szCs w:val="22"/>
        </w:rPr>
        <w:t xml:space="preserve">Equipment Authorization </w:t>
      </w:r>
      <w:r w:rsidRPr="00D0574D">
        <w:rPr>
          <w:rFonts w:ascii="Times New Roman" w:hAnsi="Times New Roman"/>
          <w:sz w:val="22"/>
          <w:szCs w:val="22"/>
        </w:rPr>
        <w:t xml:space="preserve">information collection in order to obtain the full three-year clearance from the Office of Management and Budget (OMB).    </w:t>
      </w:r>
    </w:p>
    <w:p w:rsidRPr="00D0574D" w:rsidR="00273B01" w:rsidP="00273B01" w:rsidRDefault="00273B01" w14:paraId="1AE3947E" w14:textId="77777777">
      <w:pPr>
        <w:rPr>
          <w:rFonts w:ascii="Times New Roman" w:hAnsi="Times New Roman"/>
          <w:sz w:val="22"/>
          <w:szCs w:val="22"/>
          <w:highlight w:val="yellow"/>
        </w:rPr>
      </w:pPr>
    </w:p>
    <w:p w:rsidRPr="00D0574D" w:rsidR="00141574" w:rsidP="00141574" w:rsidRDefault="00141574" w14:paraId="4B268F47" w14:textId="761F7177">
      <w:pPr>
        <w:rPr>
          <w:rFonts w:ascii="Times New Roman" w:hAnsi="Times New Roman"/>
          <w:kern w:val="28"/>
          <w:sz w:val="22"/>
          <w:szCs w:val="22"/>
        </w:rPr>
      </w:pPr>
      <w:r w:rsidRPr="00D0574D">
        <w:rPr>
          <w:rFonts w:ascii="Times New Roman" w:hAnsi="Times New Roman"/>
          <w:kern w:val="28"/>
          <w:sz w:val="22"/>
          <w:szCs w:val="22"/>
        </w:rPr>
        <w:t xml:space="preserve">On March 15, 2019, the Commission adopted a First Report and Order, in ET Docket No. 18-2; FCC 19-19, which </w:t>
      </w:r>
      <w:r w:rsidRPr="00D0574D" w:rsidR="00297B64">
        <w:rPr>
          <w:rFonts w:ascii="Times New Roman" w:hAnsi="Times New Roman"/>
          <w:kern w:val="28"/>
          <w:sz w:val="22"/>
          <w:szCs w:val="22"/>
        </w:rPr>
        <w:t xml:space="preserve">involves </w:t>
      </w:r>
      <w:r w:rsidRPr="00D0574D">
        <w:rPr>
          <w:rFonts w:ascii="Times New Roman" w:hAnsi="Times New Roman"/>
          <w:kern w:val="28"/>
          <w:sz w:val="22"/>
          <w:szCs w:val="22"/>
        </w:rPr>
        <w:t xml:space="preserve">updates </w:t>
      </w:r>
      <w:r w:rsidRPr="00D0574D" w:rsidR="00297B64">
        <w:rPr>
          <w:rFonts w:ascii="Times New Roman" w:hAnsi="Times New Roman"/>
          <w:kern w:val="28"/>
          <w:sz w:val="22"/>
          <w:szCs w:val="22"/>
        </w:rPr>
        <w:t xml:space="preserve">to </w:t>
      </w:r>
      <w:r w:rsidRPr="00D0574D">
        <w:rPr>
          <w:rFonts w:ascii="Times New Roman" w:hAnsi="Times New Roman"/>
          <w:kern w:val="28"/>
          <w:sz w:val="22"/>
          <w:szCs w:val="22"/>
        </w:rPr>
        <w:t>47 CFR Part 15, - “Radio Frequency Devices,” to provide permit certain operations above 95 GHz.</w:t>
      </w:r>
      <w:r w:rsidRPr="00D0574D">
        <w:rPr>
          <w:rFonts w:ascii="Times New Roman" w:hAnsi="Times New Roman"/>
          <w:kern w:val="28"/>
          <w:sz w:val="22"/>
          <w:szCs w:val="22"/>
          <w:vertAlign w:val="superscript"/>
        </w:rPr>
        <w:footnoteReference w:id="1"/>
      </w:r>
      <w:r w:rsidRPr="00D0574D">
        <w:rPr>
          <w:rFonts w:ascii="Times New Roman" w:hAnsi="Times New Roman"/>
          <w:kern w:val="28"/>
          <w:sz w:val="22"/>
          <w:szCs w:val="22"/>
        </w:rPr>
        <w:t xml:space="preserve">  Among other things, the </w:t>
      </w:r>
      <w:r w:rsidRPr="00D0574D">
        <w:rPr>
          <w:rFonts w:ascii="Times New Roman" w:hAnsi="Times New Roman"/>
          <w:i/>
          <w:iCs/>
          <w:kern w:val="28"/>
          <w:sz w:val="22"/>
          <w:szCs w:val="22"/>
        </w:rPr>
        <w:t>Spectrum Horizons Order</w:t>
      </w:r>
      <w:r w:rsidRPr="00D0574D">
        <w:rPr>
          <w:rFonts w:ascii="Times New Roman" w:hAnsi="Times New Roman"/>
          <w:kern w:val="28"/>
          <w:sz w:val="22"/>
          <w:szCs w:val="22"/>
        </w:rPr>
        <w:t xml:space="preserve"> made specific frequencies above 95 GHz available for the operation of radiofrequency devices without a license.  Such devices are subject to the certification process of the Commission’s equipment authorization program.  Accordingly, 47 CFR was amended to include a new Section 15.258 as follows:</w:t>
      </w:r>
    </w:p>
    <w:p w:rsidRPr="009443D3" w:rsidR="0029756F" w:rsidRDefault="0029756F" w14:paraId="76ACB724" w14:textId="77777777">
      <w:pPr>
        <w:suppressAutoHyphens/>
        <w:rPr>
          <w:rFonts w:ascii="Times New Roman" w:hAnsi="Times New Roman"/>
          <w:sz w:val="22"/>
          <w:highlight w:val="yellow"/>
          <w:shd w:val="clear" w:color="auto" w:fill="FFFFFF"/>
        </w:rPr>
      </w:pPr>
    </w:p>
    <w:p w:rsidRPr="00361F4C" w:rsidR="00030A60" w:rsidP="00030A60" w:rsidRDefault="00030A60" w14:paraId="732EB755" w14:textId="77777777">
      <w:pPr>
        <w:widowControl/>
        <w:spacing w:after="120"/>
        <w:rPr>
          <w:rFonts w:ascii="Times New Roman" w:hAnsi="Times New Roman"/>
          <w:b/>
          <w:sz w:val="22"/>
          <w:szCs w:val="22"/>
          <w:u w:val="single"/>
        </w:rPr>
      </w:pPr>
      <w:bookmarkStart w:name="_Hlk524888742" w:id="0"/>
      <w:r w:rsidRPr="00361F4C">
        <w:rPr>
          <w:rFonts w:ascii="Times New Roman" w:hAnsi="Times New Roman"/>
          <w:b/>
          <w:sz w:val="22"/>
          <w:szCs w:val="22"/>
          <w:u w:val="single"/>
        </w:rPr>
        <w:t>§ 15.258  Operation in the bands 116-123 GHz, 174.8-182 GHz, 185-190 GHz and 244-246 GHz.</w:t>
      </w:r>
    </w:p>
    <w:p w:rsidRPr="00361F4C" w:rsidR="00030A60" w:rsidP="00030A60" w:rsidRDefault="00030A60" w14:paraId="623C3994"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(a) Operation on board an aircraft or a satellite is prohibited.</w:t>
      </w:r>
    </w:p>
    <w:p w:rsidRPr="00361F4C" w:rsidR="00030A60" w:rsidP="00030A60" w:rsidRDefault="00030A60" w14:paraId="3B79CCCA"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 xml:space="preserve">(b) Emission levels within the </w:t>
      </w:r>
      <w:r w:rsidRPr="00361F4C">
        <w:rPr>
          <w:rFonts w:ascii="Times New Roman" w:hAnsi="Times New Roman"/>
          <w:sz w:val="22"/>
          <w:szCs w:val="22"/>
        </w:rPr>
        <w:t>116-123 GHz, 174.8-182 GHz, 185-190 GHz and 244-246 GHz</w:t>
      </w:r>
      <w:r w:rsidRPr="00361F4C">
        <w:rPr>
          <w:rFonts w:ascii="Times New Roman" w:hAnsi="Times New Roman"/>
          <w:snapToGrid/>
          <w:color w:val="000000"/>
          <w:sz w:val="22"/>
          <w:szCs w:val="22"/>
        </w:rPr>
        <w:t xml:space="preserve"> bands shall not exceed the following equivalent isotropically radiated power (EIRP) limits as measured during the transmit interval:</w:t>
      </w:r>
    </w:p>
    <w:p w:rsidRPr="00361F4C" w:rsidR="00030A60" w:rsidP="00030A60" w:rsidRDefault="00030A60" w14:paraId="4AB23C0C"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(1) The average power of any emission shall not exceed 40 dBm and the peak power of any emission shall not exceed 43 dBm; or</w:t>
      </w:r>
    </w:p>
    <w:p w:rsidRPr="00361F4C" w:rsidR="00030A60" w:rsidP="00030A60" w:rsidRDefault="00030A60" w14:paraId="32B669F5"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(2) For fixed point-to-point transmitters located outdoors, the average power of any emission shall not exceed 82 dBm and shall be reduced by 2 dB for every dB that the antenna gain is less than 51 dBi. The peak power of any emission shall not exceed 85 dBm and shall be reduced by 2 dB for every dB that the antenna gain is less than 51 dBi.  The provisions in this paragraph for reducing transmit power based on antenna gain shall not require that the power levels be reduced below the limits specified in paragraph (b)(1) of this section.</w:t>
      </w:r>
    </w:p>
    <w:p w:rsidRPr="00361F4C" w:rsidR="00297B64" w:rsidP="00030A60" w:rsidRDefault="00030A60" w14:paraId="7B5F2C5D" w14:textId="0D35D750">
      <w:pPr>
        <w:widowControl/>
        <w:shd w:val="clear" w:color="auto" w:fill="FFFFFF"/>
        <w:spacing w:before="100" w:beforeAutospacing="1" w:after="100" w:afterAutospacing="1"/>
        <w:rPr>
          <w:rFonts w:ascii="Times New Roman" w:hAnsi="Times New Roman"/>
          <w:color w:val="000000"/>
          <w:sz w:val="22"/>
          <w:szCs w:val="22"/>
        </w:rPr>
      </w:pPr>
      <w:r w:rsidRPr="00361F4C">
        <w:rPr>
          <w:rFonts w:ascii="Times New Roman" w:hAnsi="Times New Roman"/>
          <w:snapToGrid/>
          <w:color w:val="000000"/>
          <w:sz w:val="22"/>
          <w:szCs w:val="22"/>
        </w:rPr>
        <w:t xml:space="preserve">(3) </w:t>
      </w:r>
      <w:r w:rsidRPr="00361F4C">
        <w:rPr>
          <w:rFonts w:ascii="Times New Roman" w:hAnsi="Times New Roman"/>
          <w:color w:val="000000"/>
          <w:sz w:val="22"/>
          <w:szCs w:val="22"/>
        </w:rPr>
        <w:t xml:space="preserve">The peak power shall be measured with a detection bandwidth that encompasses the </w:t>
      </w:r>
      <w:r w:rsidRPr="00361F4C">
        <w:rPr>
          <w:rFonts w:ascii="Times New Roman" w:hAnsi="Times New Roman"/>
          <w:sz w:val="22"/>
          <w:szCs w:val="22"/>
        </w:rPr>
        <w:t xml:space="preserve">entire occupied bandwidth within the intended </w:t>
      </w:r>
      <w:r w:rsidRPr="00361F4C">
        <w:rPr>
          <w:rFonts w:ascii="Times New Roman" w:hAnsi="Times New Roman"/>
          <w:color w:val="000000"/>
          <w:sz w:val="22"/>
          <w:szCs w:val="22"/>
        </w:rPr>
        <w:t xml:space="preserve">band of operation, e.g., 116-123 GHz, 174.8-182 GHz, 185-190 GHz or </w:t>
      </w:r>
    </w:p>
    <w:p w:rsidRPr="00361F4C" w:rsidR="00297B64" w:rsidP="00030A60" w:rsidRDefault="00030A60" w14:paraId="215CFAD9" w14:textId="16EEFF0D">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color w:val="000000"/>
          <w:sz w:val="22"/>
          <w:szCs w:val="22"/>
        </w:rPr>
        <w:t>244-246 GHz.  The average emission levels shall be measured over the actual time period during which transmission occurs.</w:t>
      </w:r>
    </w:p>
    <w:p w:rsidRPr="00361F4C" w:rsidR="00297B64" w:rsidP="00030A60" w:rsidRDefault="00030A60" w14:paraId="4CEBEF6B"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 xml:space="preserve">(4) Transmitters with an emission bandwidth of less than 100 MHz must limit their peak radiated power to the product of the maximum permissible radiated power (in milliwatts) times their emission bandwidth divided by 100 MHz. For the purposes of this paragraph, emission bandwidth is defined as the instantaneous frequency range occupied by a steady state radiated signal with modulation, outside which the radiated power spectral density never exceeds 6 dB below the maximum radiated power spectral </w:t>
      </w:r>
    </w:p>
    <w:p w:rsidR="00297B64" w:rsidP="00030A60" w:rsidRDefault="00297B64" w14:paraId="24DDED8A" w14:textId="77777777">
      <w:pPr>
        <w:widowControl/>
        <w:shd w:val="clear" w:color="auto" w:fill="FFFFFF"/>
        <w:spacing w:before="100" w:beforeAutospacing="1" w:after="100" w:afterAutospacing="1"/>
        <w:rPr>
          <w:rFonts w:ascii="Times New Roman" w:hAnsi="Times New Roman"/>
          <w:snapToGrid/>
          <w:color w:val="000000"/>
          <w:sz w:val="22"/>
          <w:szCs w:val="22"/>
          <w:highlight w:val="yellow"/>
        </w:rPr>
      </w:pPr>
    </w:p>
    <w:p w:rsidRPr="00361F4C" w:rsidR="00030A60" w:rsidP="00030A60" w:rsidRDefault="00030A60" w14:paraId="2A2F5DF2" w14:textId="124CBC3B">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density in the band, as measured with a 100 kHz resolution bandwidth spectrum analyzer. The center frequency must be stationary during the measurement interval, even if not stationary during normal operation (e.g., for frequency hopping devices).</w:t>
      </w:r>
    </w:p>
    <w:p w:rsidRPr="00361F4C" w:rsidR="00030A60" w:rsidP="00030A60" w:rsidRDefault="00030A60" w14:paraId="7633D84A"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(c) Limits on spurious emissions:</w:t>
      </w:r>
    </w:p>
    <w:p w:rsidRPr="00361F4C" w:rsidR="00030A60" w:rsidP="00030A60" w:rsidRDefault="00030A60" w14:paraId="3DFD84BF"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(1) The power density of any emissions outside the band of operation, e.g., 116-123 GHz, 174.8-182 GHz, 185-190 GHz or 244-246 GHz, shall consist solely of spurious emissions.</w:t>
      </w:r>
    </w:p>
    <w:p w:rsidRPr="00361F4C" w:rsidR="00030A60" w:rsidP="00030A60" w:rsidRDefault="00030A60" w14:paraId="41DA6296"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(2) Radiated emissions below 40 GHz shall not exceed the general limits in §15.209.</w:t>
      </w:r>
    </w:p>
    <w:p w:rsidRPr="00361F4C" w:rsidR="00030A60" w:rsidP="00030A60" w:rsidRDefault="00030A60" w14:paraId="7204EE1B"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(3) Between 40 GHz and the highest frequency specified in § 15.33</w:t>
      </w:r>
      <w:r w:rsidRPr="00361F4C">
        <w:rPr>
          <w:rFonts w:ascii="Times New Roman" w:hAnsi="Times New Roman"/>
          <w:sz w:val="22"/>
          <w:szCs w:val="22"/>
        </w:rPr>
        <w:t>,</w:t>
      </w:r>
      <w:r w:rsidRPr="00361F4C">
        <w:rPr>
          <w:rFonts w:ascii="Times New Roman" w:hAnsi="Times New Roman"/>
          <w:snapToGrid/>
          <w:color w:val="000000"/>
          <w:sz w:val="22"/>
          <w:szCs w:val="22"/>
        </w:rPr>
        <w:t xml:space="preserve"> the level of these emissions shall not exceed 90 pW/cm</w:t>
      </w:r>
      <w:r w:rsidRPr="00361F4C">
        <w:rPr>
          <w:rFonts w:ascii="Times New Roman" w:hAnsi="Times New Roman"/>
          <w:snapToGrid/>
          <w:color w:val="000000"/>
          <w:sz w:val="22"/>
          <w:szCs w:val="22"/>
          <w:vertAlign w:val="superscript"/>
        </w:rPr>
        <w:t>2</w:t>
      </w:r>
      <w:r w:rsidRPr="00361F4C">
        <w:rPr>
          <w:rFonts w:ascii="Times New Roman" w:hAnsi="Times New Roman"/>
          <w:snapToGrid/>
          <w:color w:val="000000"/>
          <w:sz w:val="22"/>
          <w:szCs w:val="22"/>
        </w:rPr>
        <w:t> at a distance of 3 meters.</w:t>
      </w:r>
    </w:p>
    <w:p w:rsidRPr="00361F4C" w:rsidR="00030A60" w:rsidP="00030A60" w:rsidRDefault="00030A60" w14:paraId="422F64F0"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(4) The levels of the spurious emissions shall not exceed the level of the fundamental emission.</w:t>
      </w:r>
    </w:p>
    <w:p w:rsidRPr="00361F4C" w:rsidR="00030A60" w:rsidP="00030A60" w:rsidRDefault="00030A60" w14:paraId="2F403104"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(d) </w:t>
      </w:r>
      <w:r w:rsidRPr="00361F4C">
        <w:rPr>
          <w:rFonts w:ascii="Times New Roman" w:hAnsi="Times New Roman"/>
          <w:i/>
          <w:snapToGrid/>
          <w:color w:val="000000"/>
          <w:sz w:val="22"/>
          <w:szCs w:val="22"/>
        </w:rPr>
        <w:t>Frequency stability.</w:t>
      </w:r>
      <w:r w:rsidRPr="00361F4C">
        <w:rPr>
          <w:rFonts w:ascii="Times New Roman" w:hAnsi="Times New Roman"/>
          <w:snapToGrid/>
          <w:color w:val="000000"/>
          <w:sz w:val="22"/>
          <w:szCs w:val="22"/>
        </w:rPr>
        <w:t xml:space="preserve">  Fundamental emissions must be contained within the frequency bands specified in this section during all conditions of operation. Equipment is presumed to operate over the temperature range −20 to + 50 degrees Celsius with an input voltage variation of 85% to 115% of rated input voltage, unless justification is presented to demonstrate otherwise.</w:t>
      </w:r>
    </w:p>
    <w:p w:rsidRPr="00361F4C" w:rsidR="00030A60" w:rsidP="00030A60" w:rsidRDefault="00030A60" w14:paraId="4CA53A86"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(e) Regardless of the power density levels permitted under this section, devices operating under the provisions of this section are subject to the radiofrequency radiation exposure requirements specified in §§1.1307(b), 2.1091 and 2.1093 of this chapter, as appropriate. Applications for equipment authorization of devices operating under this section must contain a statement confirming compliance with these requirements for both fundamental emissions and unwanted emissions. Technical information showing the basis for this statement must be submitted to the Commission upon request.</w:t>
      </w:r>
    </w:p>
    <w:p w:rsidRPr="00361F4C" w:rsidR="00030A60" w:rsidP="00030A60" w:rsidRDefault="00030A60" w14:paraId="79C2F8DF" w14:textId="77777777">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(f) Any transmitter that has received the necessary FCC equipment authorization under the rules of this chapter may be mounted in a group installation for simultaneous operation with one or more other transmitter(s) that have received the necessary FCC equipment authorization, without any additional equipment authorization. However, no transmitter operating under the provisions of this section may be equipped with external phase-locking inputs that permit beam-forming arrays to be realized.</w:t>
      </w:r>
    </w:p>
    <w:p w:rsidRPr="00030A60" w:rsidR="00030A60" w:rsidP="00030A60" w:rsidRDefault="00030A60" w14:paraId="47D28D2E" w14:textId="69BB58DB">
      <w:pPr>
        <w:widowControl/>
        <w:shd w:val="clear" w:color="auto" w:fill="FFFFFF"/>
        <w:spacing w:before="100" w:beforeAutospacing="1" w:after="100" w:afterAutospacing="1"/>
        <w:rPr>
          <w:rFonts w:ascii="Times New Roman" w:hAnsi="Times New Roman"/>
          <w:snapToGrid/>
          <w:color w:val="000000"/>
          <w:sz w:val="22"/>
          <w:szCs w:val="22"/>
        </w:rPr>
      </w:pPr>
      <w:r w:rsidRPr="00361F4C">
        <w:rPr>
          <w:rFonts w:ascii="Times New Roman" w:hAnsi="Times New Roman"/>
          <w:snapToGrid/>
          <w:color w:val="000000"/>
          <w:sz w:val="22"/>
          <w:szCs w:val="22"/>
        </w:rPr>
        <w:t>(g) Measurement procedures that have been found to be acceptable to the Commission in accordance with §2.947 of this chapter may be used to demonstrate compliance</w:t>
      </w:r>
      <w:r w:rsidR="00920A3D">
        <w:rPr>
          <w:rFonts w:ascii="Times New Roman" w:hAnsi="Times New Roman"/>
          <w:snapToGrid/>
          <w:color w:val="000000"/>
          <w:sz w:val="22"/>
          <w:szCs w:val="22"/>
        </w:rPr>
        <w:t>.</w:t>
      </w:r>
    </w:p>
    <w:p w:rsidRPr="00030A60" w:rsidR="00030A60" w:rsidP="00030A60" w:rsidRDefault="00030A60" w14:paraId="13444CFF" w14:textId="77777777">
      <w:pPr>
        <w:suppressAutoHyphens/>
        <w:rPr>
          <w:rFonts w:ascii="Times New Roman" w:hAnsi="Times New Roman"/>
          <w:sz w:val="22"/>
          <w:szCs w:val="22"/>
          <w:shd w:val="clear" w:color="auto" w:fill="FFFFFF"/>
        </w:rPr>
      </w:pPr>
    </w:p>
    <w:p w:rsidR="00030A60" w:rsidP="007D4E11" w:rsidRDefault="00030A60" w14:paraId="4914FE5F" w14:textId="77777777">
      <w:pPr>
        <w:tabs>
          <w:tab w:val="left" w:pos="360"/>
        </w:tabs>
        <w:suppressAutoHyphens/>
        <w:rPr>
          <w:rFonts w:ascii="Times New Roman" w:hAnsi="Times New Roman"/>
          <w:sz w:val="22"/>
          <w:szCs w:val="22"/>
          <w:shd w:val="clear" w:color="auto" w:fill="FFFFFF"/>
        </w:rPr>
      </w:pPr>
    </w:p>
    <w:p w:rsidRPr="00030A60" w:rsidR="00030A60" w:rsidP="007D4E11" w:rsidRDefault="009C16C3" w14:paraId="14F4B30F" w14:textId="6FC59BB8">
      <w:pPr>
        <w:tabs>
          <w:tab w:val="left" w:pos="360"/>
        </w:tabs>
        <w:suppressAutoHyphens/>
        <w:rPr>
          <w:rFonts w:ascii="Times New Roman" w:hAnsi="Times New Roman"/>
          <w:b/>
          <w:sz w:val="22"/>
          <w:szCs w:val="22"/>
          <w:u w:val="single"/>
          <w:shd w:val="clear" w:color="auto" w:fill="FFFFFF"/>
        </w:rPr>
      </w:pPr>
      <w:r>
        <w:rPr>
          <w:rFonts w:ascii="Times New Roman" w:hAnsi="Times New Roman"/>
          <w:b/>
          <w:sz w:val="22"/>
          <w:szCs w:val="22"/>
          <w:u w:val="single"/>
          <w:shd w:val="clear" w:color="auto" w:fill="FFFFFF"/>
        </w:rPr>
        <w:t>Information Collection Requirements which have already received OMB Approval:</w:t>
      </w:r>
    </w:p>
    <w:p w:rsidR="00297B64" w:rsidP="007D4E11" w:rsidRDefault="00882363" w14:paraId="23E02343" w14:textId="3DDE6A75">
      <w:pPr>
        <w:tabs>
          <w:tab w:val="left" w:pos="360"/>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w:t>
      </w:r>
      <w:r w:rsidR="00297B64">
        <w:rPr>
          <w:rFonts w:ascii="Times New Roman" w:hAnsi="Times New Roman"/>
          <w:sz w:val="22"/>
          <w:szCs w:val="22"/>
          <w:shd w:val="clear" w:color="auto" w:fill="FFFFFF"/>
        </w:rPr>
        <w:t xml:space="preserve">sought </w:t>
      </w:r>
      <w:r w:rsidR="00D76D96">
        <w:rPr>
          <w:rFonts w:ascii="Times New Roman" w:hAnsi="Times New Roman"/>
          <w:sz w:val="22"/>
          <w:szCs w:val="22"/>
          <w:shd w:val="clear" w:color="auto" w:fill="FFFFFF"/>
        </w:rPr>
        <w:t xml:space="preserve">revision of the Equipment Authorization information collection </w:t>
      </w:r>
      <w:r w:rsidR="001D6184">
        <w:rPr>
          <w:rFonts w:ascii="Times New Roman" w:hAnsi="Times New Roman"/>
          <w:sz w:val="22"/>
          <w:szCs w:val="22"/>
          <w:shd w:val="clear" w:color="auto" w:fill="FFFFFF"/>
        </w:rPr>
        <w:t>because of</w:t>
      </w:r>
      <w:r w:rsidR="00CC3165">
        <w:rPr>
          <w:rFonts w:ascii="Times New Roman" w:hAnsi="Times New Roman"/>
          <w:sz w:val="22"/>
          <w:szCs w:val="22"/>
          <w:shd w:val="clear" w:color="auto" w:fill="FFFFFF"/>
        </w:rPr>
        <w:t xml:space="preserve"> a</w:t>
      </w:r>
      <w:r w:rsidR="00D76D96">
        <w:rPr>
          <w:rFonts w:ascii="Times New Roman" w:hAnsi="Times New Roman"/>
          <w:sz w:val="22"/>
          <w:szCs w:val="22"/>
          <w:shd w:val="clear" w:color="auto" w:fill="FFFFFF"/>
        </w:rPr>
        <w:t xml:space="preserve"> redesign </w:t>
      </w:r>
      <w:r w:rsidR="00CC3165">
        <w:rPr>
          <w:rFonts w:ascii="Times New Roman" w:hAnsi="Times New Roman"/>
          <w:sz w:val="22"/>
          <w:szCs w:val="22"/>
          <w:shd w:val="clear" w:color="auto" w:fill="FFFFFF"/>
        </w:rPr>
        <w:t xml:space="preserve">of </w:t>
      </w:r>
      <w:r w:rsidR="00D76D96">
        <w:rPr>
          <w:rFonts w:ascii="Times New Roman" w:hAnsi="Times New Roman"/>
          <w:sz w:val="22"/>
          <w:szCs w:val="22"/>
          <w:shd w:val="clear" w:color="auto" w:fill="FFFFFF"/>
        </w:rPr>
        <w:t xml:space="preserve">the electronic system </w:t>
      </w:r>
      <w:r w:rsidR="009D16A9">
        <w:rPr>
          <w:rFonts w:ascii="Times New Roman" w:hAnsi="Times New Roman"/>
          <w:sz w:val="22"/>
          <w:szCs w:val="22"/>
          <w:shd w:val="clear" w:color="auto" w:fill="FFFFFF"/>
        </w:rPr>
        <w:t>that collects the information (</w:t>
      </w:r>
      <w:r w:rsidRPr="008B7980" w:rsidR="009D16A9">
        <w:rPr>
          <w:rFonts w:ascii="Times New Roman" w:hAnsi="Times New Roman"/>
          <w:sz w:val="22"/>
          <w:szCs w:val="22"/>
          <w:shd w:val="clear" w:color="auto" w:fill="FFFFFF"/>
        </w:rPr>
        <w:t>Equipment Authorization System</w:t>
      </w:r>
      <w:r w:rsidR="009D16A9">
        <w:rPr>
          <w:rFonts w:ascii="Times New Roman" w:hAnsi="Times New Roman"/>
          <w:sz w:val="22"/>
          <w:szCs w:val="22"/>
          <w:shd w:val="clear" w:color="auto" w:fill="FFFFFF"/>
        </w:rPr>
        <w:t>) t</w:t>
      </w:r>
      <w:r w:rsidR="00BE77D4">
        <w:rPr>
          <w:rFonts w:ascii="Times New Roman" w:hAnsi="Times New Roman"/>
          <w:sz w:val="22"/>
          <w:szCs w:val="22"/>
          <w:shd w:val="clear" w:color="auto" w:fill="FFFFFF"/>
        </w:rPr>
        <w:t>hat</w:t>
      </w:r>
      <w:r w:rsidR="009D16A9">
        <w:rPr>
          <w:rFonts w:ascii="Times New Roman" w:hAnsi="Times New Roman"/>
          <w:sz w:val="22"/>
          <w:szCs w:val="22"/>
          <w:shd w:val="clear" w:color="auto" w:fill="FFFFFF"/>
        </w:rPr>
        <w:t xml:space="preserve"> </w:t>
      </w:r>
      <w:r w:rsidR="00D76D96">
        <w:rPr>
          <w:rFonts w:ascii="Times New Roman" w:hAnsi="Times New Roman"/>
          <w:sz w:val="22"/>
          <w:szCs w:val="22"/>
          <w:shd w:val="clear" w:color="auto" w:fill="FFFFFF"/>
        </w:rPr>
        <w:t>streamlin</w:t>
      </w:r>
      <w:r w:rsidR="009D16A9">
        <w:rPr>
          <w:rFonts w:ascii="Times New Roman" w:hAnsi="Times New Roman"/>
          <w:sz w:val="22"/>
          <w:szCs w:val="22"/>
          <w:shd w:val="clear" w:color="auto" w:fill="FFFFFF"/>
        </w:rPr>
        <w:t>e</w:t>
      </w:r>
      <w:r w:rsidR="00BE77D4">
        <w:rPr>
          <w:rFonts w:ascii="Times New Roman" w:hAnsi="Times New Roman"/>
          <w:sz w:val="22"/>
          <w:szCs w:val="22"/>
          <w:shd w:val="clear" w:color="auto" w:fill="FFFFFF"/>
        </w:rPr>
        <w:t>s</w:t>
      </w:r>
      <w:r w:rsidR="009D16A9">
        <w:rPr>
          <w:rFonts w:ascii="Times New Roman" w:hAnsi="Times New Roman"/>
          <w:sz w:val="22"/>
          <w:szCs w:val="22"/>
          <w:shd w:val="clear" w:color="auto" w:fill="FFFFFF"/>
        </w:rPr>
        <w:t xml:space="preserve"> the </w:t>
      </w:r>
      <w:r w:rsidR="00D76D96">
        <w:rPr>
          <w:rFonts w:ascii="Times New Roman" w:hAnsi="Times New Roman"/>
          <w:sz w:val="22"/>
          <w:szCs w:val="22"/>
          <w:shd w:val="clear" w:color="auto" w:fill="FFFFFF"/>
        </w:rPr>
        <w:t>processes for filing the information associated with applications for</w:t>
      </w:r>
      <w:r w:rsidR="00297B64">
        <w:rPr>
          <w:rFonts w:ascii="Times New Roman" w:hAnsi="Times New Roman"/>
          <w:sz w:val="22"/>
          <w:szCs w:val="22"/>
          <w:shd w:val="clear" w:color="auto" w:fill="FFFFFF"/>
        </w:rPr>
        <w:t xml:space="preserve"> </w:t>
      </w:r>
      <w:r w:rsidR="00D76D96">
        <w:rPr>
          <w:rFonts w:ascii="Times New Roman" w:hAnsi="Times New Roman"/>
          <w:sz w:val="22"/>
          <w:szCs w:val="22"/>
          <w:shd w:val="clear" w:color="auto" w:fill="FFFFFF"/>
        </w:rPr>
        <w:t xml:space="preserve">equipment </w:t>
      </w:r>
      <w:r w:rsidR="0030327A">
        <w:rPr>
          <w:rFonts w:ascii="Times New Roman" w:hAnsi="Times New Roman"/>
          <w:sz w:val="22"/>
          <w:szCs w:val="22"/>
          <w:shd w:val="clear" w:color="auto" w:fill="FFFFFF"/>
        </w:rPr>
        <w:t>C</w:t>
      </w:r>
      <w:r w:rsidR="00D76D96">
        <w:rPr>
          <w:rFonts w:ascii="Times New Roman" w:hAnsi="Times New Roman"/>
          <w:sz w:val="22"/>
          <w:szCs w:val="22"/>
          <w:shd w:val="clear" w:color="auto" w:fill="FFFFFF"/>
        </w:rPr>
        <w:t>ertification pursuant to subpart J of part 2 of the Commission rules.</w:t>
      </w:r>
      <w:r w:rsidR="0022709B">
        <w:rPr>
          <w:rFonts w:ascii="Times New Roman" w:hAnsi="Times New Roman"/>
          <w:sz w:val="22"/>
          <w:szCs w:val="22"/>
          <w:shd w:val="clear" w:color="auto" w:fill="FFFFFF"/>
        </w:rPr>
        <w:t xml:space="preserve">  The new electronic system also allows </w:t>
      </w:r>
      <w:r w:rsidR="00CC3165">
        <w:rPr>
          <w:rFonts w:ascii="Times New Roman" w:hAnsi="Times New Roman"/>
          <w:sz w:val="22"/>
          <w:szCs w:val="22"/>
          <w:shd w:val="clear" w:color="auto" w:fill="FFFFFF"/>
        </w:rPr>
        <w:t xml:space="preserve">the Commission </w:t>
      </w:r>
      <w:r w:rsidR="0022709B">
        <w:rPr>
          <w:rFonts w:ascii="Times New Roman" w:hAnsi="Times New Roman"/>
          <w:sz w:val="22"/>
          <w:szCs w:val="22"/>
          <w:shd w:val="clear" w:color="auto" w:fill="FFFFFF"/>
        </w:rPr>
        <w:t xml:space="preserve">to consolidate and </w:t>
      </w:r>
      <w:r w:rsidR="001D6184">
        <w:rPr>
          <w:rFonts w:ascii="Times New Roman" w:hAnsi="Times New Roman"/>
          <w:sz w:val="22"/>
          <w:szCs w:val="22"/>
          <w:shd w:val="clear" w:color="auto" w:fill="FFFFFF"/>
        </w:rPr>
        <w:t xml:space="preserve">combine </w:t>
      </w:r>
      <w:r w:rsidR="0022709B">
        <w:rPr>
          <w:rFonts w:ascii="Times New Roman" w:hAnsi="Times New Roman"/>
          <w:sz w:val="22"/>
          <w:szCs w:val="22"/>
          <w:shd w:val="clear" w:color="auto" w:fill="FFFFFF"/>
        </w:rPr>
        <w:t>information that is currently authorized separately.</w:t>
      </w:r>
      <w:r w:rsidR="0022709B">
        <w:rPr>
          <w:rStyle w:val="FootnoteReference"/>
          <w:rFonts w:ascii="Times New Roman" w:hAnsi="Times New Roman"/>
          <w:sz w:val="22"/>
          <w:szCs w:val="22"/>
          <w:shd w:val="clear" w:color="auto" w:fill="FFFFFF"/>
        </w:rPr>
        <w:footnoteReference w:id="2"/>
      </w:r>
      <w:r w:rsidR="009D16A9">
        <w:rPr>
          <w:rFonts w:ascii="Times New Roman" w:hAnsi="Times New Roman"/>
          <w:sz w:val="22"/>
          <w:szCs w:val="22"/>
          <w:shd w:val="clear" w:color="auto" w:fill="FFFFFF"/>
        </w:rPr>
        <w:t xml:space="preserve">  </w:t>
      </w:r>
    </w:p>
    <w:p w:rsidR="00297B64" w:rsidP="007D4E11" w:rsidRDefault="00297B64" w14:paraId="14692670" w14:textId="77777777">
      <w:pPr>
        <w:tabs>
          <w:tab w:val="left" w:pos="360"/>
        </w:tabs>
        <w:suppressAutoHyphens/>
        <w:rPr>
          <w:rFonts w:ascii="Times New Roman" w:hAnsi="Times New Roman"/>
          <w:sz w:val="22"/>
          <w:szCs w:val="22"/>
          <w:shd w:val="clear" w:color="auto" w:fill="FFFFFF"/>
        </w:rPr>
      </w:pPr>
    </w:p>
    <w:p w:rsidR="00882363" w:rsidP="007D4E11" w:rsidRDefault="00CC3165" w14:paraId="01591BFC" w14:textId="68B5757D">
      <w:pPr>
        <w:tabs>
          <w:tab w:val="left" w:pos="360"/>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w:t>
      </w:r>
      <w:r w:rsidR="009D16A9">
        <w:rPr>
          <w:rFonts w:ascii="Times New Roman" w:hAnsi="Times New Roman"/>
          <w:sz w:val="22"/>
          <w:szCs w:val="22"/>
          <w:shd w:val="clear" w:color="auto" w:fill="FFFFFF"/>
        </w:rPr>
        <w:t xml:space="preserve">he system </w:t>
      </w:r>
      <w:r>
        <w:rPr>
          <w:rFonts w:ascii="Times New Roman" w:hAnsi="Times New Roman"/>
          <w:sz w:val="22"/>
          <w:szCs w:val="22"/>
          <w:shd w:val="clear" w:color="auto" w:fill="FFFFFF"/>
        </w:rPr>
        <w:t xml:space="preserve">is </w:t>
      </w:r>
      <w:r w:rsidR="009D16A9">
        <w:rPr>
          <w:rFonts w:ascii="Times New Roman" w:hAnsi="Times New Roman"/>
          <w:sz w:val="22"/>
          <w:szCs w:val="22"/>
          <w:shd w:val="clear" w:color="auto" w:fill="FFFFFF"/>
        </w:rPr>
        <w:t>designed to process all data collection electronically</w:t>
      </w:r>
      <w:r>
        <w:rPr>
          <w:rFonts w:ascii="Times New Roman" w:hAnsi="Times New Roman"/>
          <w:sz w:val="22"/>
          <w:szCs w:val="22"/>
          <w:shd w:val="clear" w:color="auto" w:fill="FFFFFF"/>
        </w:rPr>
        <w:t xml:space="preserve"> and will eliminate repetitive</w:t>
      </w:r>
      <w:r w:rsidR="009D16A9">
        <w:rPr>
          <w:rFonts w:ascii="Times New Roman" w:hAnsi="Times New Roman"/>
          <w:sz w:val="22"/>
          <w:szCs w:val="22"/>
          <w:shd w:val="clear" w:color="auto" w:fill="FFFFFF"/>
        </w:rPr>
        <w:t xml:space="preserve"> information </w:t>
      </w:r>
      <w:r>
        <w:rPr>
          <w:rFonts w:ascii="Times New Roman" w:hAnsi="Times New Roman"/>
          <w:sz w:val="22"/>
          <w:szCs w:val="22"/>
          <w:shd w:val="clear" w:color="auto" w:fill="FFFFFF"/>
        </w:rPr>
        <w:t xml:space="preserve">collection within </w:t>
      </w:r>
      <w:r w:rsidR="009D16A9">
        <w:rPr>
          <w:rFonts w:ascii="Times New Roman" w:hAnsi="Times New Roman"/>
          <w:sz w:val="22"/>
          <w:szCs w:val="22"/>
          <w:shd w:val="clear" w:color="auto" w:fill="FFFFFF"/>
        </w:rPr>
        <w:t>application</w:t>
      </w:r>
      <w:r>
        <w:rPr>
          <w:rFonts w:ascii="Times New Roman" w:hAnsi="Times New Roman"/>
          <w:sz w:val="22"/>
          <w:szCs w:val="22"/>
          <w:shd w:val="clear" w:color="auto" w:fill="FFFFFF"/>
        </w:rPr>
        <w:t>s</w:t>
      </w:r>
      <w:r w:rsidR="00BE121C">
        <w:rPr>
          <w:rFonts w:ascii="Times New Roman" w:hAnsi="Times New Roman"/>
          <w:sz w:val="22"/>
          <w:szCs w:val="22"/>
          <w:shd w:val="clear" w:color="auto" w:fill="FFFFFF"/>
        </w:rPr>
        <w:t xml:space="preserve"> and </w:t>
      </w:r>
      <w:r>
        <w:rPr>
          <w:rFonts w:ascii="Times New Roman" w:hAnsi="Times New Roman"/>
          <w:sz w:val="22"/>
          <w:szCs w:val="22"/>
          <w:shd w:val="clear" w:color="auto" w:fill="FFFFFF"/>
        </w:rPr>
        <w:t>will permit</w:t>
      </w:r>
      <w:r w:rsidR="009D16A9">
        <w:rPr>
          <w:rFonts w:ascii="Times New Roman" w:hAnsi="Times New Roman"/>
          <w:sz w:val="22"/>
          <w:szCs w:val="22"/>
          <w:shd w:val="clear" w:color="auto" w:fill="FFFFFF"/>
        </w:rPr>
        <w:t xml:space="preserve"> parties to reference previously submitted information at the time of </w:t>
      </w:r>
      <w:r w:rsidR="00B862E0">
        <w:rPr>
          <w:rFonts w:ascii="Times New Roman" w:hAnsi="Times New Roman"/>
          <w:sz w:val="22"/>
          <w:szCs w:val="22"/>
          <w:shd w:val="clear" w:color="auto" w:fill="FFFFFF"/>
        </w:rPr>
        <w:t xml:space="preserve">equipment authorization </w:t>
      </w:r>
      <w:r w:rsidR="009D16A9">
        <w:rPr>
          <w:rFonts w:ascii="Times New Roman" w:hAnsi="Times New Roman"/>
          <w:sz w:val="22"/>
          <w:szCs w:val="22"/>
          <w:shd w:val="clear" w:color="auto" w:fill="FFFFFF"/>
        </w:rPr>
        <w:t xml:space="preserve">application.  The </w:t>
      </w:r>
      <w:r w:rsidR="001E75EA">
        <w:rPr>
          <w:rFonts w:ascii="Times New Roman" w:hAnsi="Times New Roman"/>
          <w:sz w:val="22"/>
          <w:szCs w:val="22"/>
          <w:shd w:val="clear" w:color="auto" w:fill="FFFFFF"/>
        </w:rPr>
        <w:t>justification</w:t>
      </w:r>
      <w:r w:rsidR="009D16A9">
        <w:rPr>
          <w:rFonts w:ascii="Times New Roman" w:hAnsi="Times New Roman"/>
          <w:sz w:val="22"/>
          <w:szCs w:val="22"/>
          <w:shd w:val="clear" w:color="auto" w:fill="FFFFFF"/>
        </w:rPr>
        <w:t xml:space="preserve"> has been revised to </w:t>
      </w:r>
      <w:r w:rsidR="001E75EA">
        <w:rPr>
          <w:rFonts w:ascii="Times New Roman" w:hAnsi="Times New Roman"/>
          <w:sz w:val="22"/>
          <w:szCs w:val="22"/>
          <w:shd w:val="clear" w:color="auto" w:fill="FFFFFF"/>
        </w:rPr>
        <w:t xml:space="preserve">represent the updated </w:t>
      </w:r>
      <w:r w:rsidR="009D16A9">
        <w:rPr>
          <w:rFonts w:ascii="Times New Roman" w:hAnsi="Times New Roman"/>
          <w:sz w:val="22"/>
          <w:szCs w:val="22"/>
          <w:shd w:val="clear" w:color="auto" w:fill="FFFFFF"/>
        </w:rPr>
        <w:t xml:space="preserve">information </w:t>
      </w:r>
      <w:r w:rsidR="001E75EA">
        <w:rPr>
          <w:rFonts w:ascii="Times New Roman" w:hAnsi="Times New Roman"/>
          <w:sz w:val="22"/>
          <w:szCs w:val="22"/>
          <w:shd w:val="clear" w:color="auto" w:fill="FFFFFF"/>
        </w:rPr>
        <w:t xml:space="preserve">collected from </w:t>
      </w:r>
      <w:r w:rsidR="009D16A9">
        <w:rPr>
          <w:rFonts w:ascii="Times New Roman" w:hAnsi="Times New Roman"/>
          <w:sz w:val="22"/>
          <w:szCs w:val="22"/>
          <w:shd w:val="clear" w:color="auto" w:fill="FFFFFF"/>
        </w:rPr>
        <w:t>different parties</w:t>
      </w:r>
      <w:r w:rsidR="001E75EA">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to note that previously submitted </w:t>
      </w:r>
      <w:r w:rsidR="001E75EA">
        <w:rPr>
          <w:rFonts w:ascii="Times New Roman" w:hAnsi="Times New Roman"/>
          <w:sz w:val="22"/>
          <w:szCs w:val="22"/>
          <w:shd w:val="clear" w:color="auto" w:fill="FFFFFF"/>
        </w:rPr>
        <w:t xml:space="preserve">information </w:t>
      </w:r>
      <w:r w:rsidR="009D16A9">
        <w:rPr>
          <w:rFonts w:ascii="Times New Roman" w:hAnsi="Times New Roman"/>
          <w:sz w:val="22"/>
          <w:szCs w:val="22"/>
          <w:shd w:val="clear" w:color="auto" w:fill="FFFFFF"/>
        </w:rPr>
        <w:t>can be referenced in individual applications</w:t>
      </w:r>
      <w:r w:rsidR="001E75EA">
        <w:rPr>
          <w:rFonts w:ascii="Times New Roman" w:hAnsi="Times New Roman"/>
          <w:sz w:val="22"/>
          <w:szCs w:val="22"/>
          <w:shd w:val="clear" w:color="auto" w:fill="FFFFFF"/>
        </w:rPr>
        <w:t xml:space="preserve"> and </w:t>
      </w:r>
      <w:r w:rsidR="000F5646">
        <w:rPr>
          <w:rFonts w:ascii="Times New Roman" w:hAnsi="Times New Roman"/>
          <w:sz w:val="22"/>
          <w:szCs w:val="22"/>
          <w:shd w:val="clear" w:color="auto" w:fill="FFFFFF"/>
        </w:rPr>
        <w:t xml:space="preserve">to </w:t>
      </w:r>
      <w:r w:rsidR="001E75EA">
        <w:rPr>
          <w:rFonts w:ascii="Times New Roman" w:hAnsi="Times New Roman"/>
          <w:sz w:val="22"/>
          <w:szCs w:val="22"/>
          <w:shd w:val="clear" w:color="auto" w:fill="FFFFFF"/>
        </w:rPr>
        <w:t xml:space="preserve">project the updated costs associated with testing </w:t>
      </w:r>
      <w:r w:rsidR="000F5646">
        <w:rPr>
          <w:rFonts w:ascii="Times New Roman" w:hAnsi="Times New Roman"/>
          <w:sz w:val="22"/>
          <w:szCs w:val="22"/>
          <w:shd w:val="clear" w:color="auto" w:fill="FFFFFF"/>
        </w:rPr>
        <w:t xml:space="preserve">the </w:t>
      </w:r>
      <w:r w:rsidR="001E75EA">
        <w:rPr>
          <w:rFonts w:ascii="Times New Roman" w:hAnsi="Times New Roman"/>
          <w:sz w:val="22"/>
          <w:szCs w:val="22"/>
          <w:shd w:val="clear" w:color="auto" w:fill="FFFFFF"/>
        </w:rPr>
        <w:t xml:space="preserve">more complex devices </w:t>
      </w:r>
      <w:r w:rsidR="000F5646">
        <w:rPr>
          <w:rFonts w:ascii="Times New Roman" w:hAnsi="Times New Roman"/>
          <w:sz w:val="22"/>
          <w:szCs w:val="22"/>
          <w:shd w:val="clear" w:color="auto" w:fill="FFFFFF"/>
        </w:rPr>
        <w:t>that predominate the current environment</w:t>
      </w:r>
      <w:r w:rsidR="009D16A9">
        <w:rPr>
          <w:rFonts w:ascii="Times New Roman" w:hAnsi="Times New Roman"/>
          <w:sz w:val="22"/>
          <w:szCs w:val="22"/>
          <w:shd w:val="clear" w:color="auto" w:fill="FFFFFF"/>
        </w:rPr>
        <w:t>.</w:t>
      </w:r>
      <w:r w:rsidR="001D6184">
        <w:rPr>
          <w:rFonts w:ascii="Times New Roman" w:hAnsi="Times New Roman"/>
          <w:sz w:val="22"/>
          <w:szCs w:val="22"/>
          <w:shd w:val="clear" w:color="auto" w:fill="FFFFFF"/>
        </w:rPr>
        <w:t xml:space="preserve"> </w:t>
      </w:r>
    </w:p>
    <w:p w:rsidR="009D16A9" w:rsidP="007D4E11" w:rsidRDefault="009D16A9" w14:paraId="0D3A3B68" w14:textId="77777777">
      <w:pPr>
        <w:tabs>
          <w:tab w:val="left" w:pos="360"/>
        </w:tabs>
        <w:suppressAutoHyphens/>
        <w:rPr>
          <w:rFonts w:ascii="Times New Roman" w:hAnsi="Times New Roman"/>
          <w:sz w:val="22"/>
          <w:szCs w:val="22"/>
          <w:shd w:val="clear" w:color="auto" w:fill="FFFFFF"/>
        </w:rPr>
      </w:pPr>
    </w:p>
    <w:p w:rsidRPr="00B37701" w:rsidR="007D4E11" w:rsidP="00DE46A3" w:rsidRDefault="00EE545A" w14:paraId="12976630" w14:textId="191684D9">
      <w:pPr>
        <w:tabs>
          <w:tab w:val="left" w:pos="360"/>
        </w:tabs>
        <w:suppressAutoHyphens/>
        <w:rPr>
          <w:rFonts w:ascii="Times New Roman" w:hAnsi="Times New Roman"/>
          <w:sz w:val="22"/>
          <w:shd w:val="clear" w:color="auto" w:fill="FFFFFF"/>
        </w:rPr>
      </w:pPr>
      <w:r>
        <w:rPr>
          <w:rFonts w:ascii="Times New Roman" w:hAnsi="Times New Roman"/>
          <w:sz w:val="22"/>
          <w:szCs w:val="22"/>
          <w:shd w:val="clear" w:color="auto" w:fill="FFFFFF"/>
        </w:rPr>
        <w:t xml:space="preserve">The </w:t>
      </w:r>
      <w:r w:rsidRPr="00A03E03" w:rsidR="007D4E11">
        <w:rPr>
          <w:rFonts w:ascii="Times New Roman" w:hAnsi="Times New Roman"/>
          <w:sz w:val="22"/>
          <w:szCs w:val="22"/>
          <w:shd w:val="clear" w:color="auto" w:fill="FFFFFF"/>
        </w:rPr>
        <w:t>Commission rules require manufacturers of certain radio frequency (</w:t>
      </w:r>
      <w:r w:rsidRPr="00B37701" w:rsidR="007D4E11">
        <w:rPr>
          <w:rFonts w:ascii="Times New Roman" w:hAnsi="Times New Roman"/>
          <w:sz w:val="22"/>
          <w:shd w:val="clear" w:color="auto" w:fill="FFFFFF"/>
        </w:rPr>
        <w:t>RF) equipment</w:t>
      </w:r>
      <w:r w:rsidRPr="00B37701" w:rsidR="007D4E11">
        <w:rPr>
          <w:rStyle w:val="FootnoteReference"/>
          <w:rFonts w:ascii="Times New Roman" w:hAnsi="Times New Roman"/>
          <w:sz w:val="22"/>
          <w:shd w:val="clear" w:color="auto" w:fill="FFFFFF"/>
        </w:rPr>
        <w:footnoteReference w:id="3"/>
      </w:r>
      <w:r w:rsidRPr="00B37701" w:rsidR="007D4E11">
        <w:rPr>
          <w:rFonts w:ascii="Times New Roman" w:hAnsi="Times New Roman"/>
          <w:sz w:val="22"/>
          <w:shd w:val="clear" w:color="auto" w:fill="FFFFFF"/>
        </w:rPr>
        <w:t xml:space="preserve"> </w:t>
      </w:r>
      <w:r>
        <w:rPr>
          <w:rFonts w:ascii="Times New Roman" w:hAnsi="Times New Roman"/>
          <w:sz w:val="22"/>
          <w:shd w:val="clear" w:color="auto" w:fill="FFFFFF"/>
        </w:rPr>
        <w:t xml:space="preserve">to </w:t>
      </w:r>
      <w:r w:rsidR="009D16A9">
        <w:rPr>
          <w:rFonts w:ascii="Times New Roman" w:hAnsi="Times New Roman"/>
          <w:sz w:val="22"/>
          <w:shd w:val="clear" w:color="auto" w:fill="FFFFFF"/>
        </w:rPr>
        <w:t xml:space="preserve">obtain equipment authorization </w:t>
      </w:r>
      <w:r w:rsidRPr="00B37701" w:rsidR="007D4E11">
        <w:rPr>
          <w:rFonts w:ascii="Times New Roman" w:hAnsi="Times New Roman"/>
          <w:sz w:val="22"/>
          <w:shd w:val="clear" w:color="auto" w:fill="FFFFFF"/>
        </w:rPr>
        <w:t>approval prior to marketing their equipment. Manufacturers may then market their RF equipment based on a showing of compliance with</w:t>
      </w:r>
      <w:r w:rsidR="001D6184">
        <w:rPr>
          <w:rFonts w:ascii="Times New Roman" w:hAnsi="Times New Roman"/>
          <w:sz w:val="22"/>
          <w:shd w:val="clear" w:color="auto" w:fill="FFFFFF"/>
        </w:rPr>
        <w:t xml:space="preserve"> the</w:t>
      </w:r>
      <w:r>
        <w:rPr>
          <w:rFonts w:ascii="Times New Roman" w:hAnsi="Times New Roman"/>
          <w:sz w:val="22"/>
          <w:shd w:val="clear" w:color="auto" w:fill="FFFFFF"/>
        </w:rPr>
        <w:t xml:space="preserve"> applicable</w:t>
      </w:r>
      <w:r w:rsidRPr="00B37701" w:rsidR="007D4E11">
        <w:rPr>
          <w:rFonts w:ascii="Times New Roman" w:hAnsi="Times New Roman"/>
          <w:sz w:val="22"/>
          <w:shd w:val="clear" w:color="auto" w:fill="FFFFFF"/>
        </w:rPr>
        <w:t xml:space="preserve"> technical standards.</w:t>
      </w:r>
      <w:r w:rsidR="009D16A9">
        <w:rPr>
          <w:rFonts w:ascii="Times New Roman" w:hAnsi="Times New Roman"/>
          <w:sz w:val="22"/>
          <w:shd w:val="clear" w:color="auto" w:fill="FFFFFF"/>
        </w:rPr>
        <w:t xml:space="preserve"> </w:t>
      </w:r>
      <w:r>
        <w:rPr>
          <w:rFonts w:ascii="Times New Roman" w:hAnsi="Times New Roman"/>
          <w:sz w:val="22"/>
          <w:szCs w:val="22"/>
          <w:shd w:val="clear" w:color="auto" w:fill="FFFFFF"/>
        </w:rPr>
        <w:t>The Commission typically adopts or modifies its technical standards in</w:t>
      </w:r>
      <w:r w:rsidRPr="003E29CE">
        <w:rPr>
          <w:rFonts w:ascii="Times New Roman" w:hAnsi="Times New Roman"/>
          <w:sz w:val="22"/>
          <w:szCs w:val="22"/>
          <w:shd w:val="clear" w:color="auto" w:fill="FFFFFF"/>
        </w:rPr>
        <w:t xml:space="preserve"> </w:t>
      </w:r>
      <w:r w:rsidRPr="00982B2D">
        <w:rPr>
          <w:rFonts w:ascii="Times New Roman" w:hAnsi="Times New Roman"/>
          <w:sz w:val="22"/>
          <w:szCs w:val="22"/>
          <w:shd w:val="clear" w:color="auto" w:fill="FFFFFF"/>
        </w:rPr>
        <w:t xml:space="preserve">response to new technologies and in </w:t>
      </w:r>
      <w:r>
        <w:rPr>
          <w:rFonts w:ascii="Times New Roman" w:hAnsi="Times New Roman"/>
          <w:sz w:val="22"/>
          <w:szCs w:val="22"/>
          <w:shd w:val="clear" w:color="auto" w:fill="FFFFFF"/>
        </w:rPr>
        <w:t>conjunction with changes to</w:t>
      </w:r>
      <w:r w:rsidRPr="00982B2D">
        <w:rPr>
          <w:rFonts w:ascii="Times New Roman" w:hAnsi="Times New Roman"/>
          <w:sz w:val="22"/>
          <w:szCs w:val="22"/>
          <w:shd w:val="clear" w:color="auto" w:fill="FFFFFF"/>
        </w:rPr>
        <w:t xml:space="preserve"> spectrum</w:t>
      </w:r>
      <w:r>
        <w:rPr>
          <w:rFonts w:ascii="Times New Roman" w:hAnsi="Times New Roman"/>
          <w:sz w:val="22"/>
          <w:szCs w:val="22"/>
          <w:shd w:val="clear" w:color="auto" w:fill="FFFFFF"/>
        </w:rPr>
        <w:t xml:space="preserve"> allocations.  Under the equipment authorization rules </w:t>
      </w:r>
      <w:r>
        <w:rPr>
          <w:rFonts w:ascii="Times New Roman" w:hAnsi="Times New Roman"/>
          <w:sz w:val="22"/>
          <w:shd w:val="clear" w:color="auto" w:fill="FFFFFF"/>
        </w:rPr>
        <w:t>t</w:t>
      </w:r>
      <w:r w:rsidR="009D16A9">
        <w:rPr>
          <w:rFonts w:ascii="Times New Roman" w:hAnsi="Times New Roman"/>
          <w:sz w:val="22"/>
          <w:shd w:val="clear" w:color="auto" w:fill="FFFFFF"/>
        </w:rPr>
        <w:t>here are two types of authorization processes: Certification and Suppliers Declaration of Conformity.</w:t>
      </w:r>
      <w:r w:rsidRPr="00B37701" w:rsidR="007D4E11">
        <w:rPr>
          <w:rFonts w:ascii="Times New Roman" w:hAnsi="Times New Roman"/>
          <w:sz w:val="22"/>
          <w:shd w:val="clear" w:color="auto" w:fill="FFFFFF"/>
        </w:rPr>
        <w:t xml:space="preserve"> </w:t>
      </w:r>
      <w:r w:rsidR="00DE46A3">
        <w:rPr>
          <w:rFonts w:ascii="Times New Roman" w:hAnsi="Times New Roman"/>
          <w:sz w:val="22"/>
          <w:shd w:val="clear" w:color="auto" w:fill="FFFFFF"/>
        </w:rPr>
        <w:t xml:space="preserve">The </w:t>
      </w:r>
      <w:r w:rsidR="001D6184">
        <w:rPr>
          <w:rFonts w:ascii="Times New Roman" w:hAnsi="Times New Roman"/>
          <w:sz w:val="22"/>
          <w:shd w:val="clear" w:color="auto" w:fill="FFFFFF"/>
        </w:rPr>
        <w:t>technical r</w:t>
      </w:r>
      <w:r w:rsidR="00DE46A3">
        <w:rPr>
          <w:rFonts w:ascii="Times New Roman" w:hAnsi="Times New Roman"/>
          <w:sz w:val="22"/>
          <w:shd w:val="clear" w:color="auto" w:fill="FFFFFF"/>
        </w:rPr>
        <w:t xml:space="preserve">ules for </w:t>
      </w:r>
      <w:r>
        <w:rPr>
          <w:rFonts w:ascii="Times New Roman" w:hAnsi="Times New Roman"/>
          <w:sz w:val="22"/>
          <w:shd w:val="clear" w:color="auto" w:fill="FFFFFF"/>
        </w:rPr>
        <w:t xml:space="preserve">the </w:t>
      </w:r>
      <w:r w:rsidR="00DE46A3">
        <w:rPr>
          <w:rFonts w:ascii="Times New Roman" w:hAnsi="Times New Roman"/>
          <w:sz w:val="22"/>
          <w:shd w:val="clear" w:color="auto" w:fill="FFFFFF"/>
        </w:rPr>
        <w:t xml:space="preserve">services in which the equipment is proposed to operate </w:t>
      </w:r>
      <w:r>
        <w:rPr>
          <w:rFonts w:ascii="Times New Roman" w:hAnsi="Times New Roman"/>
          <w:sz w:val="22"/>
          <w:shd w:val="clear" w:color="auto" w:fill="FFFFFF"/>
        </w:rPr>
        <w:t xml:space="preserve">will </w:t>
      </w:r>
      <w:r w:rsidR="00DE46A3">
        <w:rPr>
          <w:rFonts w:ascii="Times New Roman" w:hAnsi="Times New Roman"/>
          <w:sz w:val="22"/>
          <w:shd w:val="clear" w:color="auto" w:fill="FFFFFF"/>
        </w:rPr>
        <w:t xml:space="preserve">specify </w:t>
      </w:r>
      <w:r>
        <w:rPr>
          <w:rFonts w:ascii="Times New Roman" w:hAnsi="Times New Roman"/>
          <w:sz w:val="22"/>
          <w:shd w:val="clear" w:color="auto" w:fill="FFFFFF"/>
        </w:rPr>
        <w:t xml:space="preserve">which </w:t>
      </w:r>
      <w:r w:rsidR="00DE46A3">
        <w:rPr>
          <w:rFonts w:ascii="Times New Roman" w:hAnsi="Times New Roman"/>
          <w:sz w:val="22"/>
          <w:shd w:val="clear" w:color="auto" w:fill="FFFFFF"/>
        </w:rPr>
        <w:t>type of</w:t>
      </w:r>
      <w:r>
        <w:rPr>
          <w:rFonts w:ascii="Times New Roman" w:hAnsi="Times New Roman"/>
          <w:sz w:val="22"/>
          <w:shd w:val="clear" w:color="auto" w:fill="FFFFFF"/>
        </w:rPr>
        <w:t xml:space="preserve"> equipment</w:t>
      </w:r>
      <w:r w:rsidR="00DE46A3">
        <w:rPr>
          <w:rFonts w:ascii="Times New Roman" w:hAnsi="Times New Roman"/>
          <w:sz w:val="22"/>
          <w:shd w:val="clear" w:color="auto" w:fill="FFFFFF"/>
        </w:rPr>
        <w:t xml:space="preserve"> authorization </w:t>
      </w:r>
      <w:r>
        <w:rPr>
          <w:rFonts w:ascii="Times New Roman" w:hAnsi="Times New Roman"/>
          <w:sz w:val="22"/>
          <w:shd w:val="clear" w:color="auto" w:fill="FFFFFF"/>
        </w:rPr>
        <w:t>must be</w:t>
      </w:r>
      <w:r w:rsidR="00DE46A3">
        <w:rPr>
          <w:rFonts w:ascii="Times New Roman" w:hAnsi="Times New Roman"/>
          <w:sz w:val="22"/>
          <w:shd w:val="clear" w:color="auto" w:fill="FFFFFF"/>
        </w:rPr>
        <w:t xml:space="preserve"> obtain</w:t>
      </w:r>
      <w:r>
        <w:rPr>
          <w:rFonts w:ascii="Times New Roman" w:hAnsi="Times New Roman"/>
          <w:sz w:val="22"/>
          <w:shd w:val="clear" w:color="auto" w:fill="FFFFFF"/>
        </w:rPr>
        <w:t>ed before the equipment can be marketed</w:t>
      </w:r>
      <w:r w:rsidR="00DE46A3">
        <w:rPr>
          <w:rFonts w:ascii="Times New Roman" w:hAnsi="Times New Roman"/>
          <w:sz w:val="22"/>
          <w:shd w:val="clear" w:color="auto" w:fill="FFFFFF"/>
        </w:rPr>
        <w:t xml:space="preserve">.  </w:t>
      </w:r>
      <w:r w:rsidR="001D6184">
        <w:rPr>
          <w:rFonts w:ascii="Times New Roman" w:hAnsi="Times New Roman"/>
          <w:sz w:val="22"/>
          <w:shd w:val="clear" w:color="auto" w:fill="FFFFFF"/>
        </w:rPr>
        <w:t xml:space="preserve">This information collection is specific for equipment subject to </w:t>
      </w:r>
      <w:r>
        <w:rPr>
          <w:rFonts w:ascii="Times New Roman" w:hAnsi="Times New Roman"/>
          <w:sz w:val="22"/>
          <w:shd w:val="clear" w:color="auto" w:fill="FFFFFF"/>
        </w:rPr>
        <w:t>C</w:t>
      </w:r>
      <w:r w:rsidR="001D6184">
        <w:rPr>
          <w:rFonts w:ascii="Times New Roman" w:hAnsi="Times New Roman"/>
          <w:sz w:val="22"/>
          <w:shd w:val="clear" w:color="auto" w:fill="FFFFFF"/>
        </w:rPr>
        <w:t xml:space="preserve">ertification. </w:t>
      </w:r>
      <w:r w:rsidR="00DE46A3">
        <w:rPr>
          <w:rFonts w:ascii="Times New Roman" w:hAnsi="Times New Roman"/>
          <w:sz w:val="22"/>
          <w:shd w:val="clear" w:color="auto" w:fill="FFFFFF"/>
        </w:rPr>
        <w:t xml:space="preserve">Appendix A of this statement provides the current list of rules that require </w:t>
      </w:r>
      <w:r w:rsidR="004C0396">
        <w:rPr>
          <w:rFonts w:ascii="Times New Roman" w:hAnsi="Times New Roman"/>
          <w:sz w:val="22"/>
          <w:shd w:val="clear" w:color="auto" w:fill="FFFFFF"/>
        </w:rPr>
        <w:t>C</w:t>
      </w:r>
      <w:r w:rsidR="00DE46A3">
        <w:rPr>
          <w:rFonts w:ascii="Times New Roman" w:hAnsi="Times New Roman"/>
          <w:sz w:val="22"/>
          <w:shd w:val="clear" w:color="auto" w:fill="FFFFFF"/>
        </w:rPr>
        <w:t>ertification.</w:t>
      </w:r>
      <w:r w:rsidR="009D16A9">
        <w:rPr>
          <w:rFonts w:ascii="Times New Roman" w:hAnsi="Times New Roman"/>
          <w:sz w:val="22"/>
          <w:shd w:val="clear" w:color="auto" w:fill="FFFFFF"/>
        </w:rPr>
        <w:t xml:space="preserve">  Applications for </w:t>
      </w:r>
      <w:r>
        <w:rPr>
          <w:rFonts w:ascii="Times New Roman" w:hAnsi="Times New Roman"/>
          <w:sz w:val="22"/>
          <w:shd w:val="clear" w:color="auto" w:fill="FFFFFF"/>
        </w:rPr>
        <w:t>C</w:t>
      </w:r>
      <w:r w:rsidR="009D16A9">
        <w:rPr>
          <w:rFonts w:ascii="Times New Roman" w:hAnsi="Times New Roman"/>
          <w:sz w:val="22"/>
          <w:shd w:val="clear" w:color="auto" w:fill="FFFFFF"/>
        </w:rPr>
        <w:t xml:space="preserve">ertification are submitted on </w:t>
      </w:r>
      <w:r w:rsidR="004C0396">
        <w:rPr>
          <w:rFonts w:ascii="Times New Roman" w:hAnsi="Times New Roman"/>
          <w:sz w:val="22"/>
          <w:shd w:val="clear" w:color="auto" w:fill="FFFFFF"/>
        </w:rPr>
        <w:t xml:space="preserve">FCC </w:t>
      </w:r>
      <w:r w:rsidR="009D16A9">
        <w:rPr>
          <w:rFonts w:ascii="Times New Roman" w:hAnsi="Times New Roman"/>
          <w:sz w:val="22"/>
          <w:shd w:val="clear" w:color="auto" w:fill="FFFFFF"/>
        </w:rPr>
        <w:t>Form 731.</w:t>
      </w:r>
      <w:r w:rsidR="002B1ACF">
        <w:rPr>
          <w:rStyle w:val="FootnoteReference"/>
          <w:rFonts w:ascii="Times New Roman" w:hAnsi="Times New Roman"/>
          <w:sz w:val="22"/>
          <w:shd w:val="clear" w:color="auto" w:fill="FFFFFF"/>
        </w:rPr>
        <w:footnoteReference w:id="4"/>
      </w:r>
    </w:p>
    <w:p w:rsidRPr="00B37701" w:rsidR="00B41054" w:rsidP="00C60E5B" w:rsidRDefault="00B41054" w14:paraId="4A2A5A44" w14:textId="77777777">
      <w:pPr>
        <w:suppressAutoHyphens/>
        <w:ind w:left="720" w:hanging="360"/>
        <w:rPr>
          <w:rFonts w:ascii="Times New Roman" w:hAnsi="Times New Roman"/>
          <w:sz w:val="22"/>
          <w:shd w:val="clear" w:color="auto" w:fill="FFFFFF"/>
        </w:rPr>
      </w:pPr>
    </w:p>
    <w:p w:rsidRPr="00B37701" w:rsidR="00B41054" w:rsidP="00B41054" w:rsidRDefault="003E65B2" w14:paraId="55D5C442" w14:textId="0FF325F1">
      <w:pPr>
        <w:suppressAutoHyphens/>
        <w:rPr>
          <w:rFonts w:ascii="Times New Roman" w:hAnsi="Times New Roman"/>
          <w:sz w:val="22"/>
          <w:shd w:val="clear" w:color="auto" w:fill="FFFFFF"/>
        </w:rPr>
      </w:pPr>
      <w:r>
        <w:rPr>
          <w:rFonts w:ascii="Times New Roman" w:hAnsi="Times New Roman"/>
          <w:sz w:val="22"/>
          <w:shd w:val="clear" w:color="auto" w:fill="FFFFFF"/>
        </w:rPr>
        <w:t>Accordingly</w:t>
      </w:r>
      <w:r w:rsidRPr="00B37701" w:rsidR="00B41054">
        <w:rPr>
          <w:rFonts w:ascii="Times New Roman" w:hAnsi="Times New Roman"/>
          <w:sz w:val="22"/>
          <w:shd w:val="clear" w:color="auto" w:fill="FFFFFF"/>
        </w:rPr>
        <w:t>, this information collection applies to RF equipment</w:t>
      </w:r>
      <w:r>
        <w:rPr>
          <w:rFonts w:ascii="Times New Roman" w:hAnsi="Times New Roman"/>
          <w:sz w:val="22"/>
          <w:shd w:val="clear" w:color="auto" w:fill="FFFFFF"/>
        </w:rPr>
        <w:t xml:space="preserve"> that</w:t>
      </w:r>
      <w:r w:rsidRPr="00B37701" w:rsidR="00B41054">
        <w:rPr>
          <w:rFonts w:ascii="Times New Roman" w:hAnsi="Times New Roman"/>
          <w:sz w:val="22"/>
          <w:shd w:val="clear" w:color="auto" w:fill="FFFFFF"/>
        </w:rPr>
        <w:t xml:space="preserve">: </w:t>
      </w:r>
    </w:p>
    <w:p w:rsidRPr="00B37701" w:rsidR="00B41054" w:rsidP="00B41054" w:rsidRDefault="00B41054" w14:paraId="04D704DA" w14:textId="77777777">
      <w:pPr>
        <w:suppressAutoHyphens/>
        <w:rPr>
          <w:rFonts w:ascii="Times New Roman" w:hAnsi="Times New Roman"/>
          <w:sz w:val="22"/>
          <w:shd w:val="clear" w:color="auto" w:fill="FFFFFF"/>
        </w:rPr>
      </w:pPr>
    </w:p>
    <w:p w:rsidRPr="00B37701" w:rsidR="00B41054" w:rsidP="00B41054" w:rsidRDefault="00B41054" w14:paraId="47E1CFC0" w14:textId="2F384753">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is currently manufactured, </w:t>
      </w:r>
      <w:r w:rsidR="003E65B2">
        <w:rPr>
          <w:rFonts w:ascii="Times New Roman" w:hAnsi="Times New Roman"/>
          <w:sz w:val="22"/>
          <w:shd w:val="clear" w:color="auto" w:fill="FFFFFF"/>
        </w:rPr>
        <w:t xml:space="preserve">or </w:t>
      </w:r>
      <w:r w:rsidRPr="00B37701" w:rsidR="003E65B2">
        <w:rPr>
          <w:rFonts w:ascii="Times New Roman" w:hAnsi="Times New Roman"/>
          <w:sz w:val="22"/>
          <w:shd w:val="clear" w:color="auto" w:fill="FFFFFF"/>
        </w:rPr>
        <w:t>may be manufactured in the future</w:t>
      </w:r>
      <w:r w:rsidR="005D325F">
        <w:rPr>
          <w:rFonts w:ascii="Times New Roman" w:hAnsi="Times New Roman"/>
          <w:sz w:val="22"/>
          <w:shd w:val="clear" w:color="auto" w:fill="FFFFFF"/>
        </w:rPr>
        <w:t>, and</w:t>
      </w:r>
    </w:p>
    <w:p w:rsidRPr="00B37701" w:rsidR="00B41054" w:rsidP="00B41054" w:rsidRDefault="00B41054" w14:paraId="3CEBC733" w14:textId="77777777">
      <w:pPr>
        <w:pStyle w:val="ListParagraph"/>
        <w:suppressAutoHyphens/>
        <w:rPr>
          <w:rFonts w:ascii="Times New Roman" w:hAnsi="Times New Roman"/>
          <w:sz w:val="22"/>
          <w:shd w:val="clear" w:color="auto" w:fill="FFFFFF"/>
        </w:rPr>
      </w:pPr>
    </w:p>
    <w:p w:rsidR="00B41054" w:rsidP="00B41054" w:rsidRDefault="003E65B2" w14:paraId="3C45D02F" w14:textId="277E7571">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operates under varying technical standards.   </w:t>
      </w:r>
    </w:p>
    <w:p w:rsidRPr="005F0ECD" w:rsidR="005F0ECD" w:rsidP="005F0ECD" w:rsidRDefault="005F0ECD" w14:paraId="09B1E922" w14:textId="77777777">
      <w:pPr>
        <w:pStyle w:val="ListParagraph"/>
        <w:rPr>
          <w:rFonts w:ascii="Times New Roman" w:hAnsi="Times New Roman"/>
          <w:sz w:val="22"/>
          <w:shd w:val="clear" w:color="auto" w:fill="FFFFFF"/>
        </w:rPr>
      </w:pPr>
    </w:p>
    <w:p w:rsidRPr="00B37701" w:rsidR="005F0ECD" w:rsidP="005F0ECD" w:rsidRDefault="005F0ECD" w14:paraId="396C4578" w14:textId="77777777">
      <w:pPr>
        <w:pStyle w:val="ListParagraph"/>
        <w:suppressAutoHyphens/>
        <w:rPr>
          <w:rFonts w:ascii="Times New Roman" w:hAnsi="Times New Roman"/>
          <w:sz w:val="22"/>
          <w:shd w:val="clear" w:color="auto" w:fill="FFFFFF"/>
        </w:rPr>
      </w:pPr>
    </w:p>
    <w:p w:rsidR="00B41054" w:rsidP="00520E98" w:rsidRDefault="00F1079C" w14:paraId="695B029F" w14:textId="05D8D955">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 party (e.g. an </w:t>
      </w:r>
      <w:r w:rsidRPr="00B37701" w:rsidR="007D4E11">
        <w:rPr>
          <w:rFonts w:ascii="Times New Roman" w:hAnsi="Times New Roman"/>
          <w:sz w:val="22"/>
          <w:shd w:val="clear" w:color="auto" w:fill="FFFFFF"/>
        </w:rPr>
        <w:t>RF equipment manufacturer</w:t>
      </w:r>
      <w:r w:rsidR="00D6767D">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seeking </w:t>
      </w:r>
      <w:r>
        <w:rPr>
          <w:rFonts w:ascii="Times New Roman" w:hAnsi="Times New Roman"/>
          <w:sz w:val="22"/>
          <w:shd w:val="clear" w:color="auto" w:fill="FFFFFF"/>
        </w:rPr>
        <w:t>device C</w:t>
      </w:r>
      <w:r w:rsidR="00B41054">
        <w:rPr>
          <w:rFonts w:ascii="Times New Roman" w:hAnsi="Times New Roman"/>
          <w:sz w:val="22"/>
          <w:shd w:val="clear" w:color="auto" w:fill="FFFFFF"/>
        </w:rPr>
        <w:t xml:space="preserve">ertification </w:t>
      </w:r>
      <w:r w:rsidRPr="005B7EEE" w:rsidR="00BE77D4">
        <w:rPr>
          <w:rFonts w:ascii="Times New Roman" w:hAnsi="Times New Roman"/>
          <w:sz w:val="22"/>
          <w:szCs w:val="22"/>
          <w:shd w:val="clear" w:color="auto" w:fill="FFFFFF"/>
        </w:rPr>
        <w:t xml:space="preserve">pursuant to § 2.911 </w:t>
      </w:r>
      <w:r w:rsidR="00B41054">
        <w:rPr>
          <w:rFonts w:ascii="Times New Roman" w:hAnsi="Times New Roman"/>
          <w:sz w:val="22"/>
          <w:shd w:val="clear" w:color="auto" w:fill="FFFFFF"/>
        </w:rPr>
        <w:t>must first obtain a grantee code.</w:t>
      </w:r>
      <w:r>
        <w:rPr>
          <w:rFonts w:ascii="Times New Roman" w:hAnsi="Times New Roman"/>
          <w:sz w:val="22"/>
          <w:shd w:val="clear" w:color="auto" w:fill="FFFFFF"/>
        </w:rPr>
        <w:t xml:space="preserve">  This is a one-time application, as the party may use the same grantee code in all of its subsequent equipment authorization applications.</w:t>
      </w:r>
      <w:r w:rsidR="001D6184">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The </w:t>
      </w:r>
      <w:r>
        <w:rPr>
          <w:rFonts w:ascii="Times New Roman" w:hAnsi="Times New Roman"/>
          <w:sz w:val="22"/>
          <w:shd w:val="clear" w:color="auto" w:fill="FFFFFF"/>
        </w:rPr>
        <w:t xml:space="preserve">party </w:t>
      </w:r>
      <w:r w:rsidR="00B41054">
        <w:rPr>
          <w:rFonts w:ascii="Times New Roman" w:hAnsi="Times New Roman"/>
          <w:sz w:val="22"/>
          <w:shd w:val="clear" w:color="auto" w:fill="FFFFFF"/>
        </w:rPr>
        <w:t xml:space="preserve">provides </w:t>
      </w:r>
      <w:r>
        <w:rPr>
          <w:rFonts w:ascii="Times New Roman" w:hAnsi="Times New Roman"/>
          <w:sz w:val="22"/>
          <w:shd w:val="clear" w:color="auto" w:fill="FFFFFF"/>
        </w:rPr>
        <w:t>its</w:t>
      </w:r>
      <w:r w:rsidR="00B41054">
        <w:rPr>
          <w:rFonts w:ascii="Times New Roman" w:hAnsi="Times New Roman"/>
          <w:sz w:val="22"/>
          <w:shd w:val="clear" w:color="auto" w:fill="FFFFFF"/>
        </w:rPr>
        <w:t xml:space="preserve"> contact information and the FCC Registration Number (FRN) to obtain the grantee code on the </w:t>
      </w:r>
      <w:r w:rsidRPr="00120272" w:rsidR="00B41054">
        <w:rPr>
          <w:rFonts w:ascii="Times New Roman" w:hAnsi="Times New Roman"/>
          <w:sz w:val="22"/>
          <w:shd w:val="clear" w:color="auto" w:fill="FFFFFF"/>
        </w:rPr>
        <w:t>Grantee Code Application</w:t>
      </w:r>
      <w:r w:rsidR="00B41054">
        <w:rPr>
          <w:rFonts w:ascii="Times New Roman" w:hAnsi="Times New Roman"/>
          <w:sz w:val="22"/>
          <w:shd w:val="clear" w:color="auto" w:fill="FFFFFF"/>
        </w:rPr>
        <w:t xml:space="preserve"> webpage</w:t>
      </w:r>
      <w:r w:rsidR="005F0ECD">
        <w:rPr>
          <w:rFonts w:ascii="Times New Roman" w:hAnsi="Times New Roman"/>
          <w:sz w:val="22"/>
          <w:shd w:val="clear" w:color="auto" w:fill="FFFFFF"/>
        </w:rPr>
        <w:t xml:space="preserve"> of FCC Form 731</w:t>
      </w:r>
      <w:r w:rsidR="00B41054">
        <w:rPr>
          <w:rFonts w:ascii="Times New Roman" w:hAnsi="Times New Roman"/>
          <w:sz w:val="22"/>
          <w:shd w:val="clear" w:color="auto" w:fill="FFFFFF"/>
        </w:rPr>
        <w:t>.</w:t>
      </w:r>
      <w:r w:rsidR="002B1ACF">
        <w:rPr>
          <w:rStyle w:val="FootnoteReference"/>
          <w:rFonts w:ascii="Times New Roman" w:hAnsi="Times New Roman"/>
          <w:sz w:val="22"/>
          <w:shd w:val="clear" w:color="auto" w:fill="FFFFFF"/>
        </w:rPr>
        <w:footnoteReference w:id="5"/>
      </w:r>
      <w:r w:rsidR="00B41054">
        <w:rPr>
          <w:rFonts w:ascii="Times New Roman" w:hAnsi="Times New Roman"/>
          <w:sz w:val="22"/>
          <w:shd w:val="clear" w:color="auto" w:fill="FFFFFF"/>
        </w:rPr>
        <w:t xml:space="preserve">  A grantee code is assigned pursuant to </w:t>
      </w:r>
      <w:r w:rsidRPr="00C137AD" w:rsidR="00CB7787">
        <w:rPr>
          <w:rFonts w:ascii="Times New Roman" w:hAnsi="Times New Roman"/>
          <w:sz w:val="22"/>
          <w:shd w:val="clear" w:color="auto" w:fill="FFFFFF"/>
        </w:rPr>
        <w:t>§</w:t>
      </w:r>
      <w:r w:rsidR="00B41054">
        <w:rPr>
          <w:rFonts w:ascii="Times New Roman" w:hAnsi="Times New Roman"/>
          <w:sz w:val="22"/>
          <w:shd w:val="clear" w:color="auto" w:fill="FFFFFF"/>
        </w:rPr>
        <w:t xml:space="preserve"> 2.926(c)</w:t>
      </w:r>
      <w:r w:rsidR="00D6767D">
        <w:rPr>
          <w:rFonts w:ascii="Times New Roman" w:hAnsi="Times New Roman"/>
          <w:sz w:val="22"/>
          <w:shd w:val="clear" w:color="auto" w:fill="FFFFFF"/>
        </w:rPr>
        <w:t xml:space="preserve"> of the Commission rules</w:t>
      </w:r>
      <w:r w:rsidR="002D18F3">
        <w:rPr>
          <w:rFonts w:ascii="Times New Roman" w:hAnsi="Times New Roman"/>
          <w:sz w:val="22"/>
          <w:shd w:val="clear" w:color="auto" w:fill="FFFFFF"/>
        </w:rPr>
        <w:t>, and</w:t>
      </w:r>
      <w:r w:rsidR="00367E93">
        <w:rPr>
          <w:rFonts w:ascii="Times New Roman" w:hAnsi="Times New Roman"/>
          <w:sz w:val="22"/>
          <w:shd w:val="clear" w:color="auto" w:fill="FFFFFF"/>
        </w:rPr>
        <w:t xml:space="preserve"> </w:t>
      </w:r>
      <w:r w:rsidR="002D18F3">
        <w:rPr>
          <w:rFonts w:ascii="Times New Roman" w:hAnsi="Times New Roman"/>
          <w:sz w:val="22"/>
          <w:shd w:val="clear" w:color="auto" w:fill="FFFFFF"/>
        </w:rPr>
        <w:t>a</w:t>
      </w:r>
      <w:r w:rsidR="00D6767D">
        <w:rPr>
          <w:rFonts w:ascii="Times New Roman" w:hAnsi="Times New Roman"/>
          <w:sz w:val="22"/>
          <w:shd w:val="clear" w:color="auto" w:fill="FFFFFF"/>
        </w:rPr>
        <w:t xml:space="preserve">ny information </w:t>
      </w:r>
      <w:r w:rsidR="002D18F3">
        <w:rPr>
          <w:rFonts w:ascii="Times New Roman" w:hAnsi="Times New Roman"/>
          <w:sz w:val="22"/>
          <w:shd w:val="clear" w:color="auto" w:fill="FFFFFF"/>
        </w:rPr>
        <w:t xml:space="preserve">changes (as described in </w:t>
      </w:r>
      <w:r w:rsidRPr="00C137AD" w:rsidR="00CB7787">
        <w:rPr>
          <w:rFonts w:ascii="Times New Roman" w:hAnsi="Times New Roman"/>
          <w:sz w:val="22"/>
          <w:shd w:val="clear" w:color="auto" w:fill="FFFFFF"/>
        </w:rPr>
        <w:t>§</w:t>
      </w:r>
      <w:r w:rsidR="00CB7787">
        <w:rPr>
          <w:rFonts w:ascii="Times New Roman" w:hAnsi="Times New Roman"/>
          <w:sz w:val="22"/>
          <w:shd w:val="clear" w:color="auto" w:fill="FFFFFF"/>
        </w:rPr>
        <w:t xml:space="preserve"> </w:t>
      </w:r>
      <w:r w:rsidR="00D6767D">
        <w:rPr>
          <w:rFonts w:ascii="Times New Roman" w:hAnsi="Times New Roman"/>
          <w:sz w:val="22"/>
          <w:shd w:val="clear" w:color="auto" w:fill="FFFFFF"/>
        </w:rPr>
        <w:t>2.929</w:t>
      </w:r>
      <w:r w:rsidR="00367E93">
        <w:rPr>
          <w:rFonts w:ascii="Times New Roman" w:hAnsi="Times New Roman"/>
          <w:sz w:val="22"/>
          <w:shd w:val="clear" w:color="auto" w:fill="FFFFFF"/>
        </w:rPr>
        <w:t>)</w:t>
      </w:r>
      <w:r w:rsidR="00D6767D">
        <w:rPr>
          <w:rFonts w:ascii="Times New Roman" w:hAnsi="Times New Roman"/>
          <w:sz w:val="22"/>
          <w:shd w:val="clear" w:color="auto" w:fill="FFFFFF"/>
        </w:rPr>
        <w:t xml:space="preserve"> must be updated on the electronic system. </w:t>
      </w:r>
    </w:p>
    <w:p w:rsidR="00D6767D" w:rsidP="00520E98" w:rsidRDefault="00D6767D" w14:paraId="49F4D3D1" w14:textId="77777777">
      <w:pPr>
        <w:tabs>
          <w:tab w:val="left" w:pos="360"/>
        </w:tabs>
        <w:suppressAutoHyphens/>
        <w:rPr>
          <w:rFonts w:ascii="Times New Roman" w:hAnsi="Times New Roman"/>
          <w:sz w:val="22"/>
          <w:shd w:val="clear" w:color="auto" w:fill="FFFFFF"/>
        </w:rPr>
      </w:pPr>
    </w:p>
    <w:p w:rsidR="000A4C6F" w:rsidP="00520E98" w:rsidRDefault="00226E62" w14:paraId="0136C80E" w14:textId="77777777">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A party</w:t>
      </w:r>
      <w:r w:rsidR="00D6767D">
        <w:rPr>
          <w:rFonts w:ascii="Times New Roman" w:hAnsi="Times New Roman"/>
          <w:sz w:val="22"/>
          <w:shd w:val="clear" w:color="auto" w:fill="FFFFFF"/>
        </w:rPr>
        <w:t xml:space="preserve"> seeking </w:t>
      </w:r>
      <w:r w:rsidR="00BE77D4">
        <w:rPr>
          <w:rFonts w:ascii="Times New Roman" w:hAnsi="Times New Roman"/>
          <w:sz w:val="22"/>
          <w:shd w:val="clear" w:color="auto" w:fill="FFFFFF"/>
        </w:rPr>
        <w:t xml:space="preserve">device Certification </w:t>
      </w:r>
      <w:r w:rsidR="00D6767D">
        <w:rPr>
          <w:rFonts w:ascii="Times New Roman" w:hAnsi="Times New Roman"/>
          <w:sz w:val="22"/>
          <w:shd w:val="clear" w:color="auto" w:fill="FFFFFF"/>
        </w:rPr>
        <w:t>is required to submit</w:t>
      </w:r>
      <w:r>
        <w:rPr>
          <w:rFonts w:ascii="Times New Roman" w:hAnsi="Times New Roman"/>
          <w:sz w:val="22"/>
          <w:shd w:val="clear" w:color="auto" w:fill="FFFFFF"/>
        </w:rPr>
        <w:t xml:space="preserve"> its</w:t>
      </w:r>
      <w:r w:rsidR="00D6767D">
        <w:rPr>
          <w:rFonts w:ascii="Times New Roman" w:hAnsi="Times New Roman"/>
          <w:sz w:val="22"/>
          <w:shd w:val="clear" w:color="auto" w:fill="FFFFFF"/>
        </w:rPr>
        <w:t xml:space="preserve"> application to an FCC recognized Telecommunications Certification Body (TCB).  The FCC recognizes TCBs pursuant to </w:t>
      </w:r>
      <w:r w:rsidRPr="00C137AD">
        <w:rPr>
          <w:rFonts w:ascii="Times New Roman" w:hAnsi="Times New Roman"/>
          <w:sz w:val="22"/>
          <w:shd w:val="clear" w:color="auto" w:fill="FFFFFF"/>
        </w:rPr>
        <w:t>§§</w:t>
      </w:r>
      <w:r>
        <w:rPr>
          <w:rFonts w:ascii="Times New Roman" w:hAnsi="Times New Roman"/>
          <w:sz w:val="22"/>
          <w:shd w:val="clear" w:color="auto" w:fill="FFFFFF"/>
        </w:rPr>
        <w:t xml:space="preserve"> </w:t>
      </w:r>
      <w:r w:rsidR="00D6767D">
        <w:rPr>
          <w:rFonts w:ascii="Times New Roman" w:hAnsi="Times New Roman"/>
          <w:sz w:val="22"/>
          <w:shd w:val="clear" w:color="auto" w:fill="FFFFFF"/>
        </w:rPr>
        <w:t xml:space="preserve">2.960 and 2.962. TCBs </w:t>
      </w:r>
      <w:r w:rsidR="00535533">
        <w:rPr>
          <w:rFonts w:ascii="Times New Roman" w:hAnsi="Times New Roman"/>
          <w:sz w:val="22"/>
          <w:shd w:val="clear" w:color="auto" w:fill="FFFFFF"/>
        </w:rPr>
        <w:t>must be designated by appropriate designating authorities in the U</w:t>
      </w:r>
      <w:r w:rsidR="00222CCA">
        <w:rPr>
          <w:rFonts w:ascii="Times New Roman" w:hAnsi="Times New Roman"/>
          <w:sz w:val="22"/>
          <w:shd w:val="clear" w:color="auto" w:fill="FFFFFF"/>
        </w:rPr>
        <w:t>nited States</w:t>
      </w:r>
      <w:r w:rsidR="00535533">
        <w:rPr>
          <w:rFonts w:ascii="Times New Roman" w:hAnsi="Times New Roman"/>
          <w:sz w:val="22"/>
          <w:shd w:val="clear" w:color="auto" w:fill="FFFFFF"/>
        </w:rPr>
        <w:t xml:space="preserve"> or through a mutual recognition agreement (MRA)</w:t>
      </w:r>
      <w:r w:rsidR="00222CCA">
        <w:rPr>
          <w:rFonts w:ascii="Times New Roman" w:hAnsi="Times New Roman"/>
          <w:sz w:val="22"/>
          <w:shd w:val="clear" w:color="auto" w:fill="FFFFFF"/>
        </w:rPr>
        <w:t xml:space="preserve"> for foreign countries where an MRA is in place, pursuant to </w:t>
      </w:r>
      <w:r w:rsidRPr="00C137AD" w:rsidR="00222CCA">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sidR="00222CCA">
        <w:rPr>
          <w:rFonts w:ascii="Times New Roman" w:hAnsi="Times New Roman"/>
          <w:sz w:val="22"/>
          <w:shd w:val="clear" w:color="auto" w:fill="FFFFFF"/>
        </w:rPr>
        <w:lastRenderedPageBreak/>
        <w:t>2.960</w:t>
      </w:r>
      <w:r w:rsidR="00535533">
        <w:rPr>
          <w:rFonts w:ascii="Times New Roman" w:hAnsi="Times New Roman"/>
          <w:sz w:val="22"/>
          <w:shd w:val="clear" w:color="auto" w:fill="FFFFFF"/>
        </w:rPr>
        <w:t xml:space="preserve">.  </w:t>
      </w:r>
      <w:r w:rsidR="00222CCA">
        <w:rPr>
          <w:rFonts w:ascii="Times New Roman" w:hAnsi="Times New Roman"/>
          <w:sz w:val="22"/>
          <w:shd w:val="clear" w:color="auto" w:fill="FFFFFF"/>
        </w:rPr>
        <w:t>A</w:t>
      </w:r>
      <w:r w:rsidR="00B862E0">
        <w:rPr>
          <w:rFonts w:ascii="Times New Roman" w:hAnsi="Times New Roman"/>
          <w:sz w:val="22"/>
          <w:shd w:val="clear" w:color="auto" w:fill="FFFFFF"/>
        </w:rPr>
        <w:t xml:space="preserve"> </w:t>
      </w:r>
      <w:r w:rsidR="00535533">
        <w:rPr>
          <w:rFonts w:ascii="Times New Roman" w:hAnsi="Times New Roman"/>
          <w:sz w:val="22"/>
          <w:shd w:val="clear" w:color="auto" w:fill="FFFFFF"/>
        </w:rPr>
        <w:t xml:space="preserve">TCB’s designation is only recognized </w:t>
      </w:r>
      <w:r w:rsidR="0003695E">
        <w:rPr>
          <w:rFonts w:ascii="Times New Roman" w:hAnsi="Times New Roman"/>
          <w:sz w:val="22"/>
          <w:shd w:val="clear" w:color="auto" w:fill="FFFFFF"/>
        </w:rPr>
        <w:t xml:space="preserve">when </w:t>
      </w:r>
      <w:r w:rsidR="00535533">
        <w:rPr>
          <w:rFonts w:ascii="Times New Roman" w:hAnsi="Times New Roman"/>
          <w:sz w:val="22"/>
          <w:shd w:val="clear" w:color="auto" w:fill="FFFFFF"/>
        </w:rPr>
        <w:t xml:space="preserve">it is supported by an accrediting organization </w:t>
      </w:r>
    </w:p>
    <w:p w:rsidR="000A4C6F" w:rsidP="00520E98" w:rsidRDefault="000A4C6F" w14:paraId="40755E7A" w14:textId="77777777">
      <w:pPr>
        <w:tabs>
          <w:tab w:val="left" w:pos="360"/>
        </w:tabs>
        <w:suppressAutoHyphens/>
        <w:rPr>
          <w:rFonts w:ascii="Times New Roman" w:hAnsi="Times New Roman"/>
          <w:sz w:val="22"/>
          <w:shd w:val="clear" w:color="auto" w:fill="FFFFFF"/>
        </w:rPr>
      </w:pPr>
    </w:p>
    <w:p w:rsidR="00D6767D" w:rsidP="00520E98" w:rsidRDefault="00535533" w14:paraId="4692BB22" w14:textId="2DA57B3B">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meeting the requirements specified in </w:t>
      </w:r>
      <w:r w:rsidRPr="00C137AD" w:rsidR="00222CCA">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Pr>
          <w:rFonts w:ascii="Times New Roman" w:hAnsi="Times New Roman"/>
          <w:sz w:val="22"/>
          <w:shd w:val="clear" w:color="auto" w:fill="FFFFFF"/>
        </w:rPr>
        <w:t xml:space="preserve">2.960(c).  </w:t>
      </w:r>
      <w:r w:rsidRPr="005F0ECD" w:rsidR="00222CCA">
        <w:rPr>
          <w:rFonts w:ascii="Times New Roman" w:hAnsi="Times New Roman"/>
          <w:sz w:val="22"/>
          <w:shd w:val="clear" w:color="auto" w:fill="FFFFFF"/>
        </w:rPr>
        <w:t>I</w:t>
      </w:r>
      <w:r w:rsidRPr="005F0ECD">
        <w:rPr>
          <w:rFonts w:ascii="Times New Roman" w:hAnsi="Times New Roman"/>
          <w:sz w:val="22"/>
          <w:shd w:val="clear" w:color="auto" w:fill="FFFFFF"/>
        </w:rPr>
        <w:t xml:space="preserve">nformation about the TCBs including their scope of responsibilities pursuant to </w:t>
      </w:r>
      <w:r w:rsidRPr="005F0ECD" w:rsidR="00222CCA">
        <w:rPr>
          <w:rFonts w:ascii="Times New Roman" w:hAnsi="Times New Roman"/>
          <w:sz w:val="22"/>
          <w:shd w:val="clear" w:color="auto" w:fill="FFFFFF"/>
        </w:rPr>
        <w:t xml:space="preserve">§ </w:t>
      </w:r>
      <w:r w:rsidRPr="005F0ECD">
        <w:rPr>
          <w:rFonts w:ascii="Times New Roman" w:hAnsi="Times New Roman"/>
          <w:sz w:val="22"/>
          <w:shd w:val="clear" w:color="auto" w:fill="FFFFFF"/>
        </w:rPr>
        <w:t xml:space="preserve">2.962, the TCB accrediting body </w:t>
      </w:r>
      <w:r w:rsidRPr="005F0ECD" w:rsidR="0003695E">
        <w:rPr>
          <w:rFonts w:ascii="Times New Roman" w:hAnsi="Times New Roman"/>
          <w:sz w:val="22"/>
          <w:shd w:val="clear" w:color="auto" w:fill="FFFFFF"/>
        </w:rPr>
        <w:t xml:space="preserve">(TCBA) </w:t>
      </w:r>
      <w:r w:rsidRPr="005F0ECD">
        <w:rPr>
          <w:rFonts w:ascii="Times New Roman" w:hAnsi="Times New Roman"/>
          <w:sz w:val="22"/>
          <w:shd w:val="clear" w:color="auto" w:fill="FFFFFF"/>
        </w:rPr>
        <w:t xml:space="preserve">and the TCB designating authority </w:t>
      </w:r>
      <w:r w:rsidRPr="005F0ECD" w:rsidR="0003695E">
        <w:rPr>
          <w:rFonts w:ascii="Times New Roman" w:hAnsi="Times New Roman"/>
          <w:sz w:val="22"/>
          <w:shd w:val="clear" w:color="auto" w:fill="FFFFFF"/>
        </w:rPr>
        <w:t xml:space="preserve">(TDA) </w:t>
      </w:r>
      <w:r w:rsidRPr="005F0ECD">
        <w:rPr>
          <w:rFonts w:ascii="Times New Roman" w:hAnsi="Times New Roman"/>
          <w:sz w:val="22"/>
          <w:shd w:val="clear" w:color="auto" w:fill="FFFFFF"/>
        </w:rPr>
        <w:t xml:space="preserve">is </w:t>
      </w:r>
      <w:r w:rsidR="005F0ECD">
        <w:rPr>
          <w:rFonts w:ascii="Times New Roman" w:hAnsi="Times New Roman"/>
          <w:sz w:val="22"/>
          <w:shd w:val="clear" w:color="auto" w:fill="FFFFFF"/>
        </w:rPr>
        <w:t>submitted by the parties on the specific webpages of FCC Form 731</w:t>
      </w:r>
      <w:r w:rsidR="00BE121C">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sidR="0003695E">
        <w:rPr>
          <w:rFonts w:ascii="Times New Roman" w:hAnsi="Times New Roman"/>
          <w:sz w:val="22"/>
          <w:shd w:val="clear" w:color="auto" w:fill="FFFFFF"/>
        </w:rPr>
        <w:t xml:space="preserve">The information </w:t>
      </w:r>
      <w:r w:rsidR="00FE1443">
        <w:rPr>
          <w:rFonts w:ascii="Times New Roman" w:hAnsi="Times New Roman"/>
          <w:sz w:val="22"/>
          <w:shd w:val="clear" w:color="auto" w:fill="FFFFFF"/>
        </w:rPr>
        <w:t xml:space="preserve">about a TCB, TCBA or TDA </w:t>
      </w:r>
      <w:r w:rsidR="0003695E">
        <w:rPr>
          <w:rFonts w:ascii="Times New Roman" w:hAnsi="Times New Roman"/>
          <w:sz w:val="22"/>
          <w:shd w:val="clear" w:color="auto" w:fill="FFFFFF"/>
        </w:rPr>
        <w:t xml:space="preserve">is only collected when a new entity is added or there is change in the scope of </w:t>
      </w:r>
      <w:r w:rsidR="00FE1443">
        <w:rPr>
          <w:rFonts w:ascii="Times New Roman" w:hAnsi="Times New Roman"/>
          <w:sz w:val="22"/>
          <w:shd w:val="clear" w:color="auto" w:fill="FFFFFF"/>
        </w:rPr>
        <w:t xml:space="preserve">the </w:t>
      </w:r>
      <w:r w:rsidR="0003695E">
        <w:rPr>
          <w:rFonts w:ascii="Times New Roman" w:hAnsi="Times New Roman"/>
          <w:sz w:val="22"/>
          <w:shd w:val="clear" w:color="auto" w:fill="FFFFFF"/>
        </w:rPr>
        <w:t>entity responsibilities.</w:t>
      </w:r>
      <w:r w:rsidR="00222CCA">
        <w:rPr>
          <w:rFonts w:ascii="Times New Roman" w:hAnsi="Times New Roman"/>
          <w:sz w:val="22"/>
          <w:shd w:val="clear" w:color="auto" w:fill="FFFFFF"/>
        </w:rPr>
        <w:t xml:space="preserve">  The information is used for verification and validation when a TCB submits information indicating approval of the application for grant of Certification.</w:t>
      </w:r>
    </w:p>
    <w:p w:rsidR="00535533" w:rsidP="00520E98" w:rsidRDefault="00535533" w14:paraId="470C2485" w14:textId="77777777">
      <w:pPr>
        <w:tabs>
          <w:tab w:val="left" w:pos="360"/>
        </w:tabs>
        <w:suppressAutoHyphens/>
        <w:rPr>
          <w:rFonts w:ascii="Times New Roman" w:hAnsi="Times New Roman"/>
          <w:sz w:val="22"/>
          <w:shd w:val="clear" w:color="auto" w:fill="FFFFFF"/>
        </w:rPr>
      </w:pPr>
    </w:p>
    <w:p w:rsidRPr="00B37701" w:rsidR="007D4E11" w:rsidP="00FE1443" w:rsidRDefault="007D4E11" w14:paraId="31C717B5" w14:textId="43375401">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TCBs have flexibility in the format they </w:t>
      </w:r>
      <w:r w:rsidR="005F62FD">
        <w:rPr>
          <w:rFonts w:ascii="Times New Roman" w:hAnsi="Times New Roman"/>
          <w:sz w:val="22"/>
          <w:shd w:val="clear" w:color="auto" w:fill="FFFFFF"/>
        </w:rPr>
        <w:t xml:space="preserve">use to </w:t>
      </w:r>
      <w:r w:rsidRPr="00B37701">
        <w:rPr>
          <w:rFonts w:ascii="Times New Roman" w:hAnsi="Times New Roman"/>
          <w:sz w:val="22"/>
          <w:shd w:val="clear" w:color="auto" w:fill="FFFFFF"/>
        </w:rPr>
        <w:t xml:space="preserve">collect </w:t>
      </w:r>
      <w:r w:rsidR="00FE1443">
        <w:rPr>
          <w:rFonts w:ascii="Times New Roman" w:hAnsi="Times New Roman"/>
          <w:sz w:val="22"/>
          <w:shd w:val="clear" w:color="auto" w:fill="FFFFFF"/>
        </w:rPr>
        <w:t>information</w:t>
      </w:r>
      <w:r w:rsidR="008B59BB">
        <w:rPr>
          <w:rFonts w:ascii="Times New Roman" w:hAnsi="Times New Roman"/>
          <w:sz w:val="22"/>
          <w:shd w:val="clear" w:color="auto" w:fill="FFFFFF"/>
        </w:rPr>
        <w:t xml:space="preserve"> </w:t>
      </w:r>
      <w:r w:rsidR="005F0ECD">
        <w:rPr>
          <w:rFonts w:ascii="Times New Roman" w:hAnsi="Times New Roman"/>
          <w:sz w:val="22"/>
          <w:shd w:val="clear" w:color="auto" w:fill="FFFFFF"/>
        </w:rPr>
        <w:t xml:space="preserve">for application for equipment </w:t>
      </w:r>
      <w:r w:rsidR="00D5611E">
        <w:rPr>
          <w:rFonts w:ascii="Times New Roman" w:hAnsi="Times New Roman"/>
          <w:sz w:val="22"/>
          <w:shd w:val="clear" w:color="auto" w:fill="FFFFFF"/>
        </w:rPr>
        <w:t>C</w:t>
      </w:r>
      <w:r w:rsidR="005F0ECD">
        <w:rPr>
          <w:rFonts w:ascii="Times New Roman" w:hAnsi="Times New Roman"/>
          <w:sz w:val="22"/>
          <w:shd w:val="clear" w:color="auto" w:fill="FFFFFF"/>
        </w:rPr>
        <w:t xml:space="preserve">ertification </w:t>
      </w:r>
      <w:r w:rsidR="008B59BB">
        <w:rPr>
          <w:rFonts w:ascii="Times New Roman" w:hAnsi="Times New Roman"/>
          <w:sz w:val="22"/>
          <w:shd w:val="clear" w:color="auto" w:fill="FFFFFF"/>
        </w:rPr>
        <w:t>– e.g. they</w:t>
      </w:r>
      <w:r w:rsidRPr="00B37701">
        <w:rPr>
          <w:rFonts w:ascii="Times New Roman" w:hAnsi="Times New Roman"/>
          <w:sz w:val="22"/>
          <w:shd w:val="clear" w:color="auto" w:fill="FFFFFF"/>
        </w:rPr>
        <w:t xml:space="preserve"> may require applicants to submit the required information in</w:t>
      </w:r>
      <w:r w:rsidR="008B59BB">
        <w:rPr>
          <w:rFonts w:ascii="Times New Roman" w:hAnsi="Times New Roman"/>
          <w:sz w:val="22"/>
          <w:shd w:val="clear" w:color="auto" w:fill="FFFFFF"/>
        </w:rPr>
        <w:t xml:space="preserve"> a format that mirrors</w:t>
      </w:r>
      <w:r w:rsidRPr="00B37701">
        <w:rPr>
          <w:rFonts w:ascii="Times New Roman" w:hAnsi="Times New Roman"/>
          <w:sz w:val="22"/>
          <w:shd w:val="clear" w:color="auto" w:fill="FFFFFF"/>
        </w:rPr>
        <w:t xml:space="preserve"> FCC Form</w:t>
      </w:r>
      <w:r w:rsidR="00D5611E">
        <w:rPr>
          <w:rFonts w:ascii="Times New Roman" w:hAnsi="Times New Roman"/>
          <w:sz w:val="22"/>
          <w:shd w:val="clear" w:color="auto" w:fill="FFFFFF"/>
        </w:rPr>
        <w:t xml:space="preserve"> </w:t>
      </w:r>
      <w:r w:rsidRPr="00B37701" w:rsidR="00D5611E">
        <w:rPr>
          <w:rFonts w:ascii="Times New Roman" w:hAnsi="Times New Roman"/>
          <w:sz w:val="22"/>
          <w:shd w:val="clear" w:color="auto" w:fill="FFFFFF"/>
        </w:rPr>
        <w:t>731,</w:t>
      </w:r>
      <w:r w:rsidRPr="00B37701">
        <w:rPr>
          <w:rFonts w:ascii="Times New Roman" w:hAnsi="Times New Roman"/>
          <w:sz w:val="22"/>
          <w:shd w:val="clear" w:color="auto" w:fill="FFFFFF"/>
        </w:rPr>
        <w:t xml:space="preserve"> or</w:t>
      </w:r>
      <w:r w:rsidR="008B59BB">
        <w:rPr>
          <w:rFonts w:ascii="Times New Roman" w:hAnsi="Times New Roman"/>
          <w:sz w:val="22"/>
          <w:shd w:val="clear" w:color="auto" w:fill="FFFFFF"/>
        </w:rPr>
        <w:t xml:space="preserve"> they may opt to use a customized</w:t>
      </w:r>
      <w:r w:rsidR="00690AE2">
        <w:rPr>
          <w:rFonts w:ascii="Times New Roman" w:hAnsi="Times New Roman"/>
          <w:sz w:val="22"/>
          <w:shd w:val="clear" w:color="auto" w:fill="FFFFFF"/>
        </w:rPr>
        <w:t xml:space="preserve"> format.</w:t>
      </w:r>
      <w:r w:rsidRPr="00B37701">
        <w:rPr>
          <w:rFonts w:ascii="Times New Roman" w:hAnsi="Times New Roman"/>
          <w:sz w:val="22"/>
          <w:shd w:val="clear" w:color="auto" w:fill="FFFFFF"/>
        </w:rPr>
        <w:t xml:space="preserve"> </w:t>
      </w:r>
      <w:r w:rsidR="008B59BB">
        <w:rPr>
          <w:rFonts w:ascii="Times New Roman" w:hAnsi="Times New Roman"/>
          <w:sz w:val="22"/>
          <w:shd w:val="clear" w:color="auto" w:fill="FFFFFF"/>
        </w:rPr>
        <w:t xml:space="preserve">In all cases, </w:t>
      </w:r>
      <w:r w:rsidRPr="00B37701">
        <w:rPr>
          <w:rFonts w:ascii="Times New Roman" w:hAnsi="Times New Roman"/>
          <w:sz w:val="22"/>
          <w:shd w:val="clear" w:color="auto" w:fill="FFFFFF"/>
        </w:rPr>
        <w:t xml:space="preserve">the information required is governed by the procedural rules in </w:t>
      </w:r>
      <w:r w:rsidR="008B59BB">
        <w:rPr>
          <w:rFonts w:ascii="Times New Roman" w:hAnsi="Times New Roman"/>
          <w:sz w:val="22"/>
          <w:shd w:val="clear" w:color="auto" w:fill="FFFFFF"/>
        </w:rPr>
        <w:t>P</w:t>
      </w:r>
      <w:r w:rsidRPr="00B37701">
        <w:rPr>
          <w:rFonts w:ascii="Times New Roman" w:hAnsi="Times New Roman"/>
          <w:sz w:val="22"/>
          <w:shd w:val="clear" w:color="auto" w:fill="FFFFFF"/>
        </w:rPr>
        <w:t>art 2 and a showing of compliance with the FCC technical standards for the specific type of equipment</w:t>
      </w:r>
      <w:r w:rsidR="00166C1A">
        <w:rPr>
          <w:rFonts w:ascii="Times New Roman" w:hAnsi="Times New Roman"/>
          <w:sz w:val="22"/>
          <w:shd w:val="clear" w:color="auto" w:fill="FFFFFF"/>
        </w:rPr>
        <w:t xml:space="preserve"> </w:t>
      </w:r>
      <w:r w:rsidR="00166C1A">
        <w:rPr>
          <w:rFonts w:ascii="Times New Roman" w:hAnsi="Times New Roman"/>
          <w:sz w:val="22"/>
          <w:szCs w:val="22"/>
          <w:shd w:val="clear" w:color="auto" w:fill="FFFFFF"/>
        </w:rPr>
        <w:t>that is the subject of the application</w:t>
      </w:r>
      <w:r w:rsidRPr="00B37701">
        <w:rPr>
          <w:rFonts w:ascii="Times New Roman" w:hAnsi="Times New Roman"/>
          <w:sz w:val="22"/>
          <w:shd w:val="clear" w:color="auto" w:fill="FFFFFF"/>
        </w:rPr>
        <w:t xml:space="preserve">.  </w:t>
      </w:r>
    </w:p>
    <w:p w:rsidRPr="00B37701" w:rsidR="007D4E11" w:rsidP="007D4E11" w:rsidRDefault="007D4E11" w14:paraId="3DE537D2" w14:textId="77777777">
      <w:pPr>
        <w:tabs>
          <w:tab w:val="left" w:pos="360"/>
        </w:tabs>
        <w:suppressAutoHyphens/>
        <w:ind w:left="360"/>
        <w:rPr>
          <w:rFonts w:ascii="Times New Roman" w:hAnsi="Times New Roman"/>
          <w:sz w:val="22"/>
          <w:shd w:val="clear" w:color="auto" w:fill="FFFFFF"/>
        </w:rPr>
      </w:pPr>
    </w:p>
    <w:p w:rsidRPr="00B37701" w:rsidR="007D4E11" w:rsidP="00FE1443" w:rsidRDefault="007D4E11" w14:paraId="1D9B4E8E" w14:textId="4BF63147">
      <w:pPr>
        <w:tabs>
          <w:tab w:val="left" w:pos="720"/>
        </w:tabs>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TCB</w:t>
      </w:r>
      <w:r w:rsidR="00284D80">
        <w:rPr>
          <w:rFonts w:ascii="Times New Roman" w:hAnsi="Times New Roman"/>
          <w:sz w:val="22"/>
          <w:shd w:val="clear" w:color="auto" w:fill="FFFFFF"/>
        </w:rPr>
        <w:t>s</w:t>
      </w:r>
      <w:r w:rsidRPr="00B37701">
        <w:rPr>
          <w:rFonts w:ascii="Times New Roman" w:hAnsi="Times New Roman"/>
          <w:sz w:val="22"/>
          <w:shd w:val="clear" w:color="auto" w:fill="FFFFFF"/>
        </w:rPr>
        <w:t xml:space="preserve"> process application as follows:</w:t>
      </w:r>
    </w:p>
    <w:p w:rsidRPr="00B37701" w:rsidR="007D4E11" w:rsidP="00FE1443" w:rsidRDefault="007D4E11" w14:paraId="6A215A33" w14:textId="77777777">
      <w:pPr>
        <w:tabs>
          <w:tab w:val="left" w:pos="360"/>
        </w:tabs>
        <w:suppressAutoHyphens/>
        <w:rPr>
          <w:rFonts w:ascii="Times New Roman" w:hAnsi="Times New Roman"/>
          <w:sz w:val="22"/>
          <w:shd w:val="clear" w:color="auto" w:fill="FFFFFF"/>
        </w:rPr>
      </w:pPr>
    </w:p>
    <w:p w:rsidRPr="00B37701" w:rsidR="007D4E11" w:rsidP="00FE1443" w:rsidRDefault="007D4E11" w14:paraId="1C8E54B6" w14:textId="67F974E3">
      <w:pPr>
        <w:numPr>
          <w:ilvl w:val="0"/>
          <w:numId w:val="25"/>
        </w:num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receives and reviews the information </w:t>
      </w:r>
      <w:r w:rsidR="00284D80">
        <w:rPr>
          <w:rFonts w:ascii="Times New Roman" w:hAnsi="Times New Roman"/>
          <w:sz w:val="22"/>
          <w:shd w:val="clear" w:color="auto" w:fill="FFFFFF"/>
        </w:rPr>
        <w:t>submitted by the party seeking Certification of an RF device</w:t>
      </w:r>
      <w:r w:rsidRPr="00B37701">
        <w:rPr>
          <w:rFonts w:ascii="Times New Roman" w:hAnsi="Times New Roman"/>
          <w:sz w:val="22"/>
          <w:shd w:val="clear" w:color="auto" w:fill="FFFFFF"/>
        </w:rPr>
        <w:t>.</w:t>
      </w:r>
    </w:p>
    <w:p w:rsidRPr="00B37701" w:rsidR="007D4E11" w:rsidP="00FE1443" w:rsidRDefault="007D4E11" w14:paraId="1B54791A" w14:textId="77777777">
      <w:pPr>
        <w:tabs>
          <w:tab w:val="left" w:pos="360"/>
        </w:tabs>
        <w:suppressAutoHyphens/>
        <w:ind w:left="720" w:firstLine="60"/>
        <w:rPr>
          <w:rFonts w:ascii="Times New Roman" w:hAnsi="Times New Roman"/>
          <w:sz w:val="22"/>
          <w:shd w:val="clear" w:color="auto" w:fill="FFFFFF"/>
        </w:rPr>
      </w:pPr>
    </w:p>
    <w:p w:rsidRPr="00B37701" w:rsidR="007D4E11" w:rsidP="00FE1443" w:rsidRDefault="007D4E11" w14:paraId="12B689A7" w14:textId="3C6A1C81">
      <w:pPr>
        <w:numPr>
          <w:ilvl w:val="0"/>
          <w:numId w:val="25"/>
        </w:numPr>
        <w:tabs>
          <w:tab w:val="clear" w:pos="720"/>
          <w:tab w:val="num" w:pos="0"/>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enters the information </w:t>
      </w:r>
      <w:r w:rsidR="00D5611E">
        <w:rPr>
          <w:rFonts w:ascii="Times New Roman" w:hAnsi="Times New Roman"/>
          <w:sz w:val="22"/>
          <w:shd w:val="clear" w:color="auto" w:fill="FFFFFF"/>
        </w:rPr>
        <w:t>on the appropriate FCC Form 731 webpage</w:t>
      </w:r>
      <w:r w:rsidRPr="00B37701">
        <w:rPr>
          <w:rFonts w:ascii="Times New Roman" w:hAnsi="Times New Roman"/>
          <w:sz w:val="22"/>
          <w:shd w:val="clear" w:color="auto" w:fill="FFFFFF"/>
        </w:rPr>
        <w:t xml:space="preserve">. </w:t>
      </w:r>
      <w:r w:rsidR="00D5611E">
        <w:rPr>
          <w:rFonts w:ascii="Times New Roman" w:hAnsi="Times New Roman"/>
          <w:sz w:val="22"/>
          <w:shd w:val="clear" w:color="auto" w:fill="FFFFFF"/>
        </w:rPr>
        <w:t xml:space="preserve"> The TCB submits the final recommendation on the disposal of the application.  If the recommendation is to authorize the grant, a grant of certification is published through the system.  If the recommendation is not to approve, this decision is noted in the system.</w:t>
      </w:r>
      <w:r w:rsidRPr="00B37701">
        <w:rPr>
          <w:rFonts w:ascii="Times New Roman" w:hAnsi="Times New Roman"/>
          <w:sz w:val="22"/>
          <w:shd w:val="clear" w:color="auto" w:fill="FFFFFF"/>
        </w:rPr>
        <w:t xml:space="preserve"> </w:t>
      </w:r>
    </w:p>
    <w:p w:rsidR="007D4E11" w:rsidP="007D4E11" w:rsidRDefault="007D4E11" w14:paraId="7FCB8FC6" w14:textId="77777777">
      <w:pPr>
        <w:tabs>
          <w:tab w:val="left" w:pos="360"/>
        </w:tabs>
        <w:suppressAutoHyphens/>
        <w:rPr>
          <w:rFonts w:ascii="Times New Roman" w:hAnsi="Times New Roman"/>
          <w:sz w:val="22"/>
          <w:shd w:val="clear" w:color="auto" w:fill="FFFFFF"/>
        </w:rPr>
      </w:pPr>
    </w:p>
    <w:p w:rsidRPr="00B37701" w:rsidR="000B10E2" w:rsidP="007D4E11" w:rsidRDefault="000B10E2" w14:paraId="4FD1DA89" w14:textId="5D53BA14">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All applications for </w:t>
      </w:r>
      <w:r w:rsidR="00284D80">
        <w:rPr>
          <w:rFonts w:ascii="Times New Roman" w:hAnsi="Times New Roman"/>
          <w:sz w:val="22"/>
          <w:shd w:val="clear" w:color="auto" w:fill="FFFFFF"/>
        </w:rPr>
        <w:t>C</w:t>
      </w:r>
      <w:r>
        <w:rPr>
          <w:rFonts w:ascii="Times New Roman" w:hAnsi="Times New Roman"/>
          <w:sz w:val="22"/>
          <w:shd w:val="clear" w:color="auto" w:fill="FFFFFF"/>
        </w:rPr>
        <w:t xml:space="preserve">ertification require the product </w:t>
      </w:r>
      <w:r w:rsidR="00284D80">
        <w:rPr>
          <w:rFonts w:ascii="Times New Roman" w:hAnsi="Times New Roman"/>
          <w:sz w:val="22"/>
          <w:shd w:val="clear" w:color="auto" w:fill="FFFFFF"/>
        </w:rPr>
        <w:t>to be</w:t>
      </w:r>
      <w:r>
        <w:rPr>
          <w:rFonts w:ascii="Times New Roman" w:hAnsi="Times New Roman"/>
          <w:sz w:val="22"/>
          <w:shd w:val="clear" w:color="auto" w:fill="FFFFFF"/>
        </w:rPr>
        <w:t xml:space="preserve"> tested for </w:t>
      </w:r>
      <w:r w:rsidR="00284D80">
        <w:rPr>
          <w:rFonts w:ascii="Times New Roman" w:hAnsi="Times New Roman"/>
          <w:sz w:val="22"/>
          <w:shd w:val="clear" w:color="auto" w:fill="FFFFFF"/>
        </w:rPr>
        <w:t xml:space="preserve">rules </w:t>
      </w:r>
      <w:r>
        <w:rPr>
          <w:rFonts w:ascii="Times New Roman" w:hAnsi="Times New Roman"/>
          <w:sz w:val="22"/>
          <w:shd w:val="clear" w:color="auto" w:fill="FFFFFF"/>
        </w:rPr>
        <w:t>compliance</w:t>
      </w:r>
      <w:r w:rsidR="002B1ACF">
        <w:rPr>
          <w:rFonts w:ascii="Times New Roman" w:hAnsi="Times New Roman"/>
          <w:sz w:val="22"/>
          <w:shd w:val="clear" w:color="auto" w:fill="FFFFFF"/>
        </w:rPr>
        <w:t xml:space="preserve"> by </w:t>
      </w:r>
      <w:r>
        <w:rPr>
          <w:rFonts w:ascii="Times New Roman" w:hAnsi="Times New Roman"/>
          <w:sz w:val="22"/>
          <w:shd w:val="clear" w:color="auto" w:fill="FFFFFF"/>
        </w:rPr>
        <w:t xml:space="preserve">measurement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firms </w:t>
      </w:r>
      <w:r w:rsidR="0003695E">
        <w:rPr>
          <w:rFonts w:ascii="Times New Roman" w:hAnsi="Times New Roman"/>
          <w:sz w:val="22"/>
          <w:shd w:val="clear" w:color="auto" w:fill="FFFFFF"/>
        </w:rPr>
        <w:t xml:space="preserve">(TF) </w:t>
      </w:r>
      <w:r>
        <w:rPr>
          <w:rFonts w:ascii="Times New Roman" w:hAnsi="Times New Roman"/>
          <w:sz w:val="22"/>
          <w:shd w:val="clear" w:color="auto" w:fill="FFFFFF"/>
        </w:rPr>
        <w:t xml:space="preserve">accredited by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 </w:t>
      </w:r>
      <w:r>
        <w:rPr>
          <w:rFonts w:ascii="Times New Roman" w:hAnsi="Times New Roman"/>
          <w:sz w:val="22"/>
          <w:shd w:val="clear" w:color="auto" w:fill="FFFFFF"/>
        </w:rPr>
        <w:t xml:space="preserve">accreditation bodies </w:t>
      </w:r>
      <w:r w:rsidR="0003695E">
        <w:rPr>
          <w:rFonts w:ascii="Times New Roman" w:hAnsi="Times New Roman"/>
          <w:sz w:val="22"/>
          <w:shd w:val="clear" w:color="auto" w:fill="FFFFFF"/>
        </w:rPr>
        <w:t>(TFAB)</w:t>
      </w:r>
      <w:r w:rsidR="00284D80">
        <w:rPr>
          <w:rFonts w:ascii="Times New Roman" w:hAnsi="Times New Roman"/>
          <w:sz w:val="22"/>
          <w:shd w:val="clear" w:color="auto" w:fill="FFFFFF"/>
        </w:rPr>
        <w:t xml:space="preserve"> that have been</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recognized by the FCC </w:t>
      </w:r>
      <w:r w:rsidR="00284D80">
        <w:rPr>
          <w:rFonts w:ascii="Times New Roman" w:hAnsi="Times New Roman"/>
          <w:sz w:val="22"/>
          <w:shd w:val="clear" w:color="auto" w:fill="FFFFFF"/>
        </w:rPr>
        <w:t xml:space="preserve">(see </w:t>
      </w:r>
      <w:r w:rsidRPr="00C137AD" w:rsidR="00284D80">
        <w:rPr>
          <w:rFonts w:ascii="Times New Roman" w:hAnsi="Times New Roman"/>
          <w:sz w:val="22"/>
          <w:shd w:val="clear" w:color="auto" w:fill="FFFFFF"/>
        </w:rPr>
        <w:t>§§</w:t>
      </w:r>
      <w:r w:rsidR="00284D80">
        <w:rPr>
          <w:rFonts w:ascii="Times New Roman" w:hAnsi="Times New Roman"/>
          <w:sz w:val="22"/>
          <w:shd w:val="clear" w:color="auto" w:fill="FFFFFF"/>
        </w:rPr>
        <w:t xml:space="preserve"> 2.948 and</w:t>
      </w:r>
      <w:r>
        <w:rPr>
          <w:rFonts w:ascii="Times New Roman" w:hAnsi="Times New Roman"/>
          <w:sz w:val="22"/>
          <w:shd w:val="clear" w:color="auto" w:fill="FFFFFF"/>
        </w:rPr>
        <w:t xml:space="preserve"> 2.949</w:t>
      </w:r>
      <w:r w:rsidR="00284D80">
        <w:rPr>
          <w:rFonts w:ascii="Times New Roman" w:hAnsi="Times New Roman"/>
          <w:sz w:val="22"/>
          <w:shd w:val="clear" w:color="auto" w:fill="FFFFFF"/>
        </w:rPr>
        <w:t>, respectively)</w:t>
      </w:r>
      <w:r>
        <w:rPr>
          <w:rFonts w:ascii="Times New Roman" w:hAnsi="Times New Roman"/>
          <w:sz w:val="22"/>
          <w:shd w:val="clear" w:color="auto" w:fill="FFFFFF"/>
        </w:rPr>
        <w:t xml:space="preserve">.  </w:t>
      </w:r>
      <w:r w:rsidR="00284D80">
        <w:rPr>
          <w:rFonts w:ascii="Times New Roman" w:hAnsi="Times New Roman"/>
          <w:sz w:val="22"/>
          <w:shd w:val="clear" w:color="auto" w:fill="FFFFFF"/>
        </w:rPr>
        <w:t xml:space="preserve">TF and TFAB </w:t>
      </w:r>
      <w:r>
        <w:rPr>
          <w:rFonts w:ascii="Times New Roman" w:hAnsi="Times New Roman"/>
          <w:sz w:val="22"/>
          <w:shd w:val="clear" w:color="auto" w:fill="FFFFFF"/>
        </w:rPr>
        <w:t xml:space="preserve">information is </w:t>
      </w:r>
      <w:r w:rsidR="00D5611E">
        <w:rPr>
          <w:rFonts w:ascii="Times New Roman" w:hAnsi="Times New Roman"/>
          <w:sz w:val="22"/>
          <w:shd w:val="clear" w:color="auto" w:fill="FFFFFF"/>
        </w:rPr>
        <w:t xml:space="preserve">submitted through FCC Form 731 webpages for such information </w:t>
      </w:r>
      <w:r>
        <w:rPr>
          <w:rFonts w:ascii="Times New Roman" w:hAnsi="Times New Roman"/>
          <w:sz w:val="22"/>
          <w:shd w:val="clear" w:color="auto" w:fill="FFFFFF"/>
        </w:rPr>
        <w:t>for verification and validation when the TCB reviews the application.</w:t>
      </w:r>
      <w:r w:rsidR="00EB1960">
        <w:rPr>
          <w:rFonts w:ascii="Times New Roman" w:hAnsi="Times New Roman"/>
          <w:sz w:val="22"/>
          <w:shd w:val="clear" w:color="auto" w:fill="FFFFFF"/>
        </w:rPr>
        <w:t xml:space="preserve">  Th</w:t>
      </w:r>
      <w:r w:rsidR="00D5611E">
        <w:rPr>
          <w:rFonts w:ascii="Times New Roman" w:hAnsi="Times New Roman"/>
          <w:sz w:val="22"/>
          <w:shd w:val="clear" w:color="auto" w:fill="FFFFFF"/>
        </w:rPr>
        <w:t>e</w:t>
      </w:r>
      <w:r w:rsidR="00EB1960">
        <w:rPr>
          <w:rFonts w:ascii="Times New Roman" w:hAnsi="Times New Roman"/>
          <w:sz w:val="22"/>
          <w:shd w:val="clear" w:color="auto" w:fill="FFFFFF"/>
        </w:rPr>
        <w:t xml:space="preserve"> information collection </w:t>
      </w:r>
      <w:r w:rsidR="00D5611E">
        <w:rPr>
          <w:rFonts w:ascii="Times New Roman" w:hAnsi="Times New Roman"/>
          <w:sz w:val="22"/>
          <w:shd w:val="clear" w:color="auto" w:fill="FFFFFF"/>
        </w:rPr>
        <w:t xml:space="preserve">for TF and TFAB </w:t>
      </w:r>
      <w:r w:rsidR="00EB1960">
        <w:rPr>
          <w:rFonts w:ascii="Times New Roman" w:hAnsi="Times New Roman"/>
          <w:sz w:val="22"/>
          <w:shd w:val="clear" w:color="auto" w:fill="FFFFFF"/>
        </w:rPr>
        <w:t xml:space="preserve">is </w:t>
      </w:r>
      <w:r w:rsidR="00D5611E">
        <w:rPr>
          <w:rFonts w:ascii="Times New Roman" w:hAnsi="Times New Roman"/>
          <w:sz w:val="22"/>
          <w:shd w:val="clear" w:color="auto" w:fill="FFFFFF"/>
        </w:rPr>
        <w:t>currently</w:t>
      </w:r>
      <w:r w:rsidR="00EB1960">
        <w:rPr>
          <w:rFonts w:ascii="Times New Roman" w:hAnsi="Times New Roman"/>
          <w:sz w:val="22"/>
          <w:shd w:val="clear" w:color="auto" w:fill="FFFFFF"/>
        </w:rPr>
        <w:t xml:space="preserve"> approved under OMB </w:t>
      </w:r>
      <w:r w:rsidR="0019457E">
        <w:rPr>
          <w:rFonts w:ascii="Times New Roman" w:hAnsi="Times New Roman"/>
          <w:sz w:val="22"/>
          <w:shd w:val="clear" w:color="auto" w:fill="FFFFFF"/>
        </w:rPr>
        <w:t xml:space="preserve">Control Number </w:t>
      </w:r>
      <w:r w:rsidR="00EB1960">
        <w:rPr>
          <w:rFonts w:ascii="Times New Roman" w:hAnsi="Times New Roman"/>
          <w:sz w:val="22"/>
          <w:shd w:val="clear" w:color="auto" w:fill="FFFFFF"/>
        </w:rPr>
        <w:t>3060-0</w:t>
      </w:r>
      <w:r w:rsidR="002B1ACF">
        <w:rPr>
          <w:rFonts w:ascii="Times New Roman" w:hAnsi="Times New Roman"/>
          <w:sz w:val="22"/>
          <w:shd w:val="clear" w:color="auto" w:fill="FFFFFF"/>
        </w:rPr>
        <w:t>3</w:t>
      </w:r>
      <w:r w:rsidR="00EB1960">
        <w:rPr>
          <w:rFonts w:ascii="Times New Roman" w:hAnsi="Times New Roman"/>
          <w:sz w:val="22"/>
          <w:shd w:val="clear" w:color="auto" w:fill="FFFFFF"/>
        </w:rPr>
        <w:t>98, but is being included in this revision.</w:t>
      </w:r>
    </w:p>
    <w:p w:rsidR="000B10E2" w:rsidP="007D4E11" w:rsidRDefault="000B10E2" w14:paraId="7EE26F39" w14:textId="77777777">
      <w:pPr>
        <w:tabs>
          <w:tab w:val="left" w:pos="360"/>
        </w:tabs>
        <w:suppressAutoHyphens/>
        <w:rPr>
          <w:rFonts w:ascii="Times New Roman" w:hAnsi="Times New Roman"/>
          <w:sz w:val="22"/>
          <w:shd w:val="clear" w:color="auto" w:fill="FFFFFF"/>
        </w:rPr>
      </w:pPr>
    </w:p>
    <w:p w:rsidRPr="00B37701" w:rsidR="007D4E11" w:rsidP="007D4E11" w:rsidRDefault="005A514F" w14:paraId="3F57A367" w14:textId="1B3049A1">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An </w:t>
      </w:r>
      <w:r w:rsidR="00535533">
        <w:rPr>
          <w:rFonts w:ascii="Times New Roman" w:hAnsi="Times New Roman"/>
          <w:sz w:val="22"/>
          <w:shd w:val="clear" w:color="auto" w:fill="FFFFFF"/>
        </w:rPr>
        <w:t xml:space="preserve">application for </w:t>
      </w:r>
      <w:r>
        <w:rPr>
          <w:rFonts w:ascii="Times New Roman" w:hAnsi="Times New Roman"/>
          <w:sz w:val="22"/>
          <w:shd w:val="clear" w:color="auto" w:fill="FFFFFF"/>
        </w:rPr>
        <w:t>C</w:t>
      </w:r>
      <w:r w:rsidR="00535533">
        <w:rPr>
          <w:rFonts w:ascii="Times New Roman" w:hAnsi="Times New Roman"/>
          <w:sz w:val="22"/>
          <w:shd w:val="clear" w:color="auto" w:fill="FFFFFF"/>
        </w:rPr>
        <w:t xml:space="preserve">ertification </w:t>
      </w:r>
      <w:r>
        <w:rPr>
          <w:rFonts w:ascii="Times New Roman" w:hAnsi="Times New Roman"/>
          <w:sz w:val="22"/>
          <w:shd w:val="clear" w:color="auto" w:fill="FFFFFF"/>
        </w:rPr>
        <w:t xml:space="preserve">must contain the following data, as </w:t>
      </w:r>
      <w:r w:rsidR="00535533">
        <w:rPr>
          <w:rFonts w:ascii="Times New Roman" w:hAnsi="Times New Roman"/>
          <w:sz w:val="22"/>
          <w:shd w:val="clear" w:color="auto" w:fill="FFFFFF"/>
        </w:rPr>
        <w:t xml:space="preserve">is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535533">
        <w:rPr>
          <w:rFonts w:ascii="Times New Roman" w:hAnsi="Times New Roman"/>
          <w:sz w:val="22"/>
          <w:shd w:val="clear" w:color="auto" w:fill="FFFFFF"/>
        </w:rPr>
        <w:t>2.1033</w:t>
      </w:r>
      <w:r w:rsidRPr="00B37701" w:rsidR="007D4E11">
        <w:rPr>
          <w:rFonts w:ascii="Times New Roman" w:hAnsi="Times New Roman"/>
          <w:sz w:val="22"/>
          <w:shd w:val="clear" w:color="auto" w:fill="FFFFFF"/>
        </w:rPr>
        <w:t>:</w:t>
      </w:r>
    </w:p>
    <w:p w:rsidRPr="00B37701" w:rsidR="007D4E11" w:rsidP="007D4E11" w:rsidRDefault="007D4E11" w14:paraId="202485A7" w14:textId="77777777">
      <w:pPr>
        <w:tabs>
          <w:tab w:val="left" w:pos="360"/>
        </w:tabs>
        <w:suppressAutoHyphens/>
        <w:rPr>
          <w:rFonts w:ascii="Times New Roman" w:hAnsi="Times New Roman"/>
          <w:sz w:val="22"/>
          <w:shd w:val="clear" w:color="auto" w:fill="FFFFFF"/>
        </w:rPr>
      </w:pPr>
    </w:p>
    <w:p w:rsidRPr="00B37701" w:rsidR="007D4E11" w:rsidP="00FE1443" w:rsidRDefault="001B7908" w14:paraId="34282C57" w14:textId="3F7DAF7C">
      <w:pPr>
        <w:numPr>
          <w:ilvl w:val="0"/>
          <w:numId w:val="13"/>
        </w:num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Information about the Grantee or their agents submitting the application on the Grantee’s behalf. </w:t>
      </w:r>
    </w:p>
    <w:p w:rsidRPr="00B37701" w:rsidR="007D4E11" w:rsidP="00FE1443" w:rsidRDefault="007D4E11" w14:paraId="0439C2D3" w14:textId="62A1268E">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Information specific to the equipment including FCC Identifier, equipment class, technical specifications, etc.</w:t>
      </w:r>
      <w:r w:rsidR="0003695E">
        <w:rPr>
          <w:rFonts w:ascii="Times New Roman" w:hAnsi="Times New Roman"/>
          <w:sz w:val="22"/>
          <w:shd w:val="clear" w:color="auto" w:fill="FFFFFF"/>
        </w:rPr>
        <w:t xml:space="preserve">  </w:t>
      </w:r>
    </w:p>
    <w:p w:rsidRPr="00B37701" w:rsidR="007D4E11" w:rsidP="00FE1443" w:rsidRDefault="007D4E11" w14:paraId="36F3DB7D" w14:textId="64F20A8E">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Attachments that demonstrate compliance with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 xml:space="preserve">ules may include any combination of the following based on the applicable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ule parts for the equipment for which authorization is requested:</w:t>
      </w:r>
    </w:p>
    <w:p w:rsidRPr="00B37701" w:rsidR="007D4E11" w:rsidP="00FE1443" w:rsidRDefault="007D4E11" w14:paraId="44382526" w14:textId="77777777">
      <w:pPr>
        <w:tabs>
          <w:tab w:val="left" w:pos="360"/>
        </w:tabs>
        <w:suppressAutoHyphens/>
        <w:ind w:left="360"/>
        <w:rPr>
          <w:rFonts w:ascii="Times New Roman" w:hAnsi="Times New Roman"/>
          <w:sz w:val="22"/>
          <w:shd w:val="clear" w:color="auto" w:fill="FFFFFF"/>
        </w:rPr>
      </w:pPr>
    </w:p>
    <w:p w:rsidRPr="00B37701" w:rsidR="007D4E11" w:rsidP="00FE1443" w:rsidRDefault="007D4E11" w14:paraId="38F5FB5F" w14:textId="5672E041">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Identification of equipment </w:t>
      </w:r>
      <w:r w:rsidR="00814817">
        <w:rPr>
          <w:rFonts w:ascii="Times New Roman" w:hAnsi="Times New Roman"/>
          <w:sz w:val="22"/>
          <w:shd w:val="clear" w:color="auto" w:fill="FFFFFF"/>
        </w:rPr>
        <w:t>(</w:t>
      </w:r>
      <w:r w:rsidRPr="00B37701">
        <w:rPr>
          <w:rFonts w:ascii="Times New Roman" w:hAnsi="Times New Roman"/>
          <w:sz w:val="22"/>
          <w:shd w:val="clear" w:color="auto" w:fill="FFFFFF"/>
        </w:rPr>
        <w:t>§ 2.925);</w:t>
      </w:r>
    </w:p>
    <w:p w:rsidRPr="00B37701" w:rsidR="007D4E11" w:rsidP="00FE1443" w:rsidRDefault="007D4E11" w14:paraId="4FB939D0" w14:textId="1BE2442F">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Attestation statements that may be required for specific equipment;</w:t>
      </w:r>
    </w:p>
    <w:p w:rsidRPr="00B37701" w:rsidR="007D4E11" w:rsidP="00FE1443" w:rsidRDefault="007D4E11" w14:paraId="0FEBB349" w14:textId="348BDB6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External photos;</w:t>
      </w:r>
    </w:p>
    <w:p w:rsidRPr="00B37701" w:rsidR="007D4E11" w:rsidP="00FE1443" w:rsidRDefault="007D4E11" w14:paraId="6049BF60"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Block diagram of the device;</w:t>
      </w:r>
    </w:p>
    <w:p w:rsidRPr="00B37701" w:rsidR="007D4E11" w:rsidP="00FE1443" w:rsidRDefault="007D4E11" w14:paraId="083FA723"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Schematics;</w:t>
      </w:r>
    </w:p>
    <w:p w:rsidRPr="00B37701" w:rsidR="007D4E11" w:rsidP="00FE1443" w:rsidRDefault="007D4E11" w14:paraId="0CFB945A"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lastRenderedPageBreak/>
        <w:t>Test Report;</w:t>
      </w:r>
    </w:p>
    <w:p w:rsidR="000A4C6F" w:rsidP="00361F4C" w:rsidRDefault="000A4C6F" w14:paraId="776A2091" w14:textId="77777777">
      <w:pPr>
        <w:tabs>
          <w:tab w:val="left" w:pos="360"/>
        </w:tabs>
        <w:suppressAutoHyphens/>
        <w:ind w:left="1440"/>
        <w:rPr>
          <w:rFonts w:ascii="Times New Roman" w:hAnsi="Times New Roman"/>
          <w:sz w:val="22"/>
          <w:shd w:val="clear" w:color="auto" w:fill="FFFFFF"/>
        </w:rPr>
      </w:pPr>
    </w:p>
    <w:p w:rsidRPr="00B37701" w:rsidR="007D4E11" w:rsidP="00FE1443" w:rsidRDefault="007D4E11" w14:paraId="2A7701BC" w14:textId="71B63DB4">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Test Setup Photos;</w:t>
      </w:r>
    </w:p>
    <w:p w:rsidRPr="00B37701" w:rsidR="007D4E11" w:rsidP="00FE1443" w:rsidRDefault="007D4E11" w14:paraId="328A5640" w14:textId="2EAE0D92">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User</w:t>
      </w:r>
      <w:r w:rsidR="001B7908">
        <w:rPr>
          <w:rFonts w:ascii="Times New Roman" w:hAnsi="Times New Roman"/>
          <w:sz w:val="22"/>
          <w:shd w:val="clear" w:color="auto" w:fill="FFFFFF"/>
        </w:rPr>
        <w:t>’</w:t>
      </w:r>
      <w:r w:rsidRPr="00B37701">
        <w:rPr>
          <w:rFonts w:ascii="Times New Roman" w:hAnsi="Times New Roman"/>
          <w:sz w:val="22"/>
          <w:shd w:val="clear" w:color="auto" w:fill="FFFFFF"/>
        </w:rPr>
        <w:t>s Manual;</w:t>
      </w:r>
    </w:p>
    <w:p w:rsidRPr="00B37701" w:rsidR="007D4E11" w:rsidP="00FE1443" w:rsidRDefault="007D4E11" w14:paraId="001B9DA3"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Internal Photos;</w:t>
      </w:r>
    </w:p>
    <w:p w:rsidRPr="00B37701" w:rsidR="007D4E11" w:rsidP="00FE1443" w:rsidRDefault="007D4E11" w14:paraId="3E7B1529"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Parts List / Tune Up Information;</w:t>
      </w:r>
    </w:p>
    <w:p w:rsidRPr="00B37701" w:rsidR="007D4E11" w:rsidP="00FE1443" w:rsidRDefault="007D4E11" w14:paraId="12E7A06A"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RF Exposure Information;</w:t>
      </w:r>
    </w:p>
    <w:p w:rsidRPr="00B37701" w:rsidR="007D4E11" w:rsidP="00FE1443" w:rsidRDefault="007D4E11" w14:paraId="5B01AE31"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Operational Description;</w:t>
      </w:r>
    </w:p>
    <w:p w:rsidRPr="00B37701" w:rsidR="007D4E11" w:rsidP="00FE1443" w:rsidRDefault="007D4E11" w14:paraId="6A8463AB"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Cover Letters;</w:t>
      </w:r>
    </w:p>
    <w:p w:rsidR="007D4E11" w:rsidP="00FE1443" w:rsidRDefault="007D4E11" w14:paraId="73F0771A" w14:textId="680A93A6">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Software Defined Radio / Cognitive Radio Files</w:t>
      </w:r>
      <w:r w:rsidR="00BE77D4">
        <w:rPr>
          <w:rFonts w:ascii="Times New Roman" w:hAnsi="Times New Roman"/>
          <w:sz w:val="22"/>
          <w:shd w:val="clear" w:color="auto" w:fill="FFFFFF"/>
        </w:rPr>
        <w:t>;</w:t>
      </w:r>
    </w:p>
    <w:p w:rsidR="00F8567B" w:rsidP="00FE1443" w:rsidRDefault="00F8567B" w14:paraId="454E37E6" w14:textId="3B65BFC6">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guidance correspondence with TCB</w:t>
      </w:r>
      <w:r w:rsidR="00BE77D4">
        <w:rPr>
          <w:rFonts w:ascii="Times New Roman" w:hAnsi="Times New Roman"/>
          <w:sz w:val="22"/>
          <w:shd w:val="clear" w:color="auto" w:fill="FFFFFF"/>
        </w:rPr>
        <w:t>; and</w:t>
      </w:r>
    </w:p>
    <w:p w:rsidRPr="00B37701" w:rsidR="00F8567B" w:rsidP="00FE1443" w:rsidRDefault="00F8567B" w14:paraId="64C33C6F" w14:textId="2ACF1E8F">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inquiry correspondence with applicant</w:t>
      </w:r>
    </w:p>
    <w:p w:rsidRPr="00B37701" w:rsidR="007D4E11" w:rsidP="007D4E11" w:rsidRDefault="007D4E11" w14:paraId="6B16146F" w14:textId="77777777">
      <w:pPr>
        <w:tabs>
          <w:tab w:val="left" w:pos="360"/>
        </w:tabs>
        <w:suppressAutoHyphens/>
        <w:rPr>
          <w:rFonts w:ascii="Times New Roman" w:hAnsi="Times New Roman"/>
          <w:sz w:val="22"/>
          <w:shd w:val="clear" w:color="auto" w:fill="FFFFFF"/>
        </w:rPr>
      </w:pPr>
    </w:p>
    <w:p w:rsidR="0003695E" w:rsidP="000B10E2" w:rsidRDefault="00A26F6D" w14:paraId="7A52FD79" w14:textId="10120325">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 for d</w:t>
      </w:r>
      <w:r w:rsidR="0003695E">
        <w:rPr>
          <w:rFonts w:ascii="Times New Roman" w:hAnsi="Times New Roman"/>
          <w:sz w:val="22"/>
          <w:shd w:val="clear" w:color="auto" w:fill="FFFFFF"/>
        </w:rPr>
        <w:t>evices subject to multiple rule parts or</w:t>
      </w:r>
      <w:r w:rsidR="005A514F">
        <w:rPr>
          <w:rFonts w:ascii="Times New Roman" w:hAnsi="Times New Roman"/>
          <w:sz w:val="22"/>
          <w:shd w:val="clear" w:color="auto" w:fill="FFFFFF"/>
        </w:rPr>
        <w:t xml:space="preserve"> to</w:t>
      </w:r>
      <w:r w:rsidR="0003695E">
        <w:rPr>
          <w:rFonts w:ascii="Times New Roman" w:hAnsi="Times New Roman"/>
          <w:sz w:val="22"/>
          <w:shd w:val="clear" w:color="auto" w:fill="FFFFFF"/>
        </w:rPr>
        <w:t xml:space="preserve"> different requirements within the same rule</w:t>
      </w:r>
      <w:r w:rsidR="00E0087F">
        <w:rPr>
          <w:rFonts w:ascii="Times New Roman" w:hAnsi="Times New Roman"/>
          <w:sz w:val="22"/>
          <w:shd w:val="clear" w:color="auto" w:fill="FFFFFF"/>
        </w:rPr>
        <w:t xml:space="preserve"> part</w:t>
      </w:r>
      <w:r w:rsidR="0003695E">
        <w:rPr>
          <w:rFonts w:ascii="Times New Roman" w:hAnsi="Times New Roman"/>
          <w:sz w:val="22"/>
          <w:shd w:val="clear" w:color="auto" w:fill="FFFFFF"/>
        </w:rPr>
        <w:t xml:space="preserve"> can be included in a single submission </w:t>
      </w:r>
      <w:r>
        <w:rPr>
          <w:rFonts w:ascii="Times New Roman" w:hAnsi="Times New Roman"/>
          <w:sz w:val="22"/>
          <w:shd w:val="clear" w:color="auto" w:fill="FFFFFF"/>
        </w:rPr>
        <w:t xml:space="preserve">that </w:t>
      </w:r>
      <w:r w:rsidR="0003695E">
        <w:rPr>
          <w:rFonts w:ascii="Times New Roman" w:hAnsi="Times New Roman"/>
          <w:sz w:val="22"/>
          <w:shd w:val="clear" w:color="auto" w:fill="FFFFFF"/>
        </w:rPr>
        <w:t>provid</w:t>
      </w:r>
      <w:r>
        <w:rPr>
          <w:rFonts w:ascii="Times New Roman" w:hAnsi="Times New Roman"/>
          <w:sz w:val="22"/>
          <w:shd w:val="clear" w:color="auto" w:fill="FFFFFF"/>
        </w:rPr>
        <w:t>es</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whatever </w:t>
      </w:r>
      <w:r w:rsidR="0003695E">
        <w:rPr>
          <w:rFonts w:ascii="Times New Roman" w:hAnsi="Times New Roman"/>
          <w:sz w:val="22"/>
          <w:shd w:val="clear" w:color="auto" w:fill="FFFFFF"/>
        </w:rPr>
        <w:t xml:space="preserve">additional relevant information </w:t>
      </w:r>
      <w:r>
        <w:rPr>
          <w:rFonts w:ascii="Times New Roman" w:hAnsi="Times New Roman"/>
          <w:sz w:val="22"/>
          <w:shd w:val="clear" w:color="auto" w:fill="FFFFFF"/>
        </w:rPr>
        <w:t>is necessary to show</w:t>
      </w:r>
      <w:r w:rsidR="0003695E">
        <w:rPr>
          <w:rFonts w:ascii="Times New Roman" w:hAnsi="Times New Roman"/>
          <w:sz w:val="22"/>
          <w:shd w:val="clear" w:color="auto" w:fill="FFFFFF"/>
        </w:rPr>
        <w:t xml:space="preserve"> </w:t>
      </w:r>
      <w:r w:rsidR="00E0087F">
        <w:rPr>
          <w:rFonts w:ascii="Times New Roman" w:hAnsi="Times New Roman"/>
          <w:sz w:val="22"/>
          <w:shd w:val="clear" w:color="auto" w:fill="FFFFFF"/>
        </w:rPr>
        <w:t>compliance with additional requirements</w:t>
      </w:r>
      <w:r w:rsidR="00337882">
        <w:rPr>
          <w:rFonts w:ascii="Times New Roman" w:hAnsi="Times New Roman"/>
          <w:sz w:val="22"/>
          <w:shd w:val="clear" w:color="auto" w:fill="FFFFFF"/>
        </w:rPr>
        <w:t>.</w:t>
      </w:r>
      <w:r w:rsidRPr="001B7908" w:rsidR="001B7908">
        <w:rPr>
          <w:rFonts w:ascii="Times New Roman" w:hAnsi="Times New Roman"/>
          <w:sz w:val="22"/>
          <w:shd w:val="clear" w:color="auto" w:fill="FFFFFF"/>
        </w:rPr>
        <w:t xml:space="preserve"> </w:t>
      </w:r>
      <w:r w:rsidR="001B7908">
        <w:rPr>
          <w:rFonts w:ascii="Times New Roman" w:hAnsi="Times New Roman"/>
          <w:sz w:val="22"/>
          <w:shd w:val="clear" w:color="auto" w:fill="FFFFFF"/>
        </w:rPr>
        <w:t>Applications subject to pre-approval guidance pursuant to §</w:t>
      </w:r>
      <w:r w:rsidR="00790120">
        <w:rPr>
          <w:rFonts w:ascii="Times New Roman" w:hAnsi="Times New Roman"/>
          <w:sz w:val="22"/>
          <w:shd w:val="clear" w:color="auto" w:fill="FFFFFF"/>
        </w:rPr>
        <w:t xml:space="preserve"> 2.964 must include </w:t>
      </w:r>
      <w:r w:rsidR="00BE121C">
        <w:rPr>
          <w:rFonts w:ascii="Times New Roman" w:hAnsi="Times New Roman"/>
          <w:sz w:val="22"/>
          <w:shd w:val="clear" w:color="auto" w:fill="FFFFFF"/>
        </w:rPr>
        <w:t>the guidance correspondence</w:t>
      </w:r>
      <w:r w:rsidR="00790120">
        <w:rPr>
          <w:rFonts w:ascii="Times New Roman" w:hAnsi="Times New Roman"/>
          <w:sz w:val="22"/>
          <w:shd w:val="clear" w:color="auto" w:fill="FFFFFF"/>
        </w:rPr>
        <w:t xml:space="preserve">. </w:t>
      </w:r>
    </w:p>
    <w:p w:rsidR="0003695E" w:rsidP="000B10E2" w:rsidRDefault="0003695E" w14:paraId="28122DA0" w14:textId="77777777">
      <w:pPr>
        <w:tabs>
          <w:tab w:val="left" w:pos="90"/>
        </w:tabs>
        <w:suppressAutoHyphens/>
        <w:rPr>
          <w:rFonts w:ascii="Times New Roman" w:hAnsi="Times New Roman"/>
          <w:sz w:val="22"/>
          <w:shd w:val="clear" w:color="auto" w:fill="FFFFFF"/>
        </w:rPr>
      </w:pPr>
    </w:p>
    <w:p w:rsidR="007D4E11" w:rsidP="000B10E2" w:rsidRDefault="00E25ED6" w14:paraId="01D5CD24" w14:textId="7FB21108">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w:t>
      </w:r>
      <w:r w:rsidRPr="00B37701">
        <w:rPr>
          <w:rFonts w:ascii="Times New Roman" w:hAnsi="Times New Roman"/>
          <w:sz w:val="22"/>
          <w:shd w:val="clear" w:color="auto" w:fill="FFFFFF"/>
        </w:rPr>
        <w:t xml:space="preserve"> </w:t>
      </w:r>
      <w:r w:rsidR="000B10E2">
        <w:rPr>
          <w:rFonts w:ascii="Times New Roman" w:hAnsi="Times New Roman"/>
          <w:sz w:val="22"/>
          <w:shd w:val="clear" w:color="auto" w:fill="FFFFFF"/>
        </w:rPr>
        <w:t xml:space="preserve">for devices operating under certain service rules </w:t>
      </w:r>
      <w:r>
        <w:rPr>
          <w:rFonts w:ascii="Times New Roman" w:hAnsi="Times New Roman"/>
          <w:sz w:val="22"/>
          <w:shd w:val="clear" w:color="auto" w:fill="FFFFFF"/>
        </w:rPr>
        <w:t>(as specified in</w:t>
      </w:r>
      <w:r w:rsidR="002C2AD0">
        <w:rPr>
          <w:rFonts w:ascii="Times New Roman" w:hAnsi="Times New Roman"/>
          <w:sz w:val="22"/>
          <w:shd w:val="clear" w:color="auto" w:fill="FFFFFF"/>
        </w:rPr>
        <w:t xml:space="preserve"> </w:t>
      </w:r>
      <w:r w:rsidRPr="00FE54FA" w:rsidR="002C2AD0">
        <w:rPr>
          <w:rFonts w:ascii="Times New Roman" w:hAnsi="Times New Roman"/>
          <w:sz w:val="22"/>
          <w:shd w:val="clear" w:color="auto" w:fill="FFFFFF"/>
        </w:rPr>
        <w:t>§</w:t>
      </w:r>
      <w:r>
        <w:rPr>
          <w:rFonts w:ascii="Times New Roman" w:hAnsi="Times New Roman"/>
          <w:sz w:val="22"/>
          <w:shd w:val="clear" w:color="auto" w:fill="FFFFFF"/>
        </w:rPr>
        <w:t xml:space="preserve"> 2.1033) </w:t>
      </w:r>
      <w:r w:rsidR="000B10E2">
        <w:rPr>
          <w:rFonts w:ascii="Times New Roman" w:hAnsi="Times New Roman"/>
          <w:sz w:val="22"/>
          <w:shd w:val="clear" w:color="auto" w:fill="FFFFFF"/>
        </w:rPr>
        <w:t xml:space="preserve">must </w:t>
      </w:r>
      <w:r w:rsidR="002C2AD0">
        <w:rPr>
          <w:rFonts w:ascii="Times New Roman" w:hAnsi="Times New Roman"/>
          <w:sz w:val="22"/>
          <w:shd w:val="clear" w:color="auto" w:fill="FFFFFF"/>
        </w:rPr>
        <w:t xml:space="preserve">also </w:t>
      </w:r>
      <w:r w:rsidR="000B10E2">
        <w:rPr>
          <w:rFonts w:ascii="Times New Roman" w:hAnsi="Times New Roman"/>
          <w:sz w:val="22"/>
          <w:shd w:val="clear" w:color="auto" w:fill="FFFFFF"/>
        </w:rPr>
        <w:t>include information specified in the rule parts.</w:t>
      </w:r>
      <w:r w:rsidR="000B10E2">
        <w:rPr>
          <w:rStyle w:val="FootnoteReference"/>
          <w:rFonts w:ascii="Times New Roman" w:hAnsi="Times New Roman"/>
          <w:sz w:val="22"/>
          <w:shd w:val="clear" w:color="auto" w:fill="FFFFFF"/>
        </w:rPr>
        <w:footnoteReference w:id="6"/>
      </w:r>
      <w:r w:rsidR="000B10E2">
        <w:rPr>
          <w:rFonts w:ascii="Times New Roman" w:hAnsi="Times New Roman"/>
          <w:sz w:val="22"/>
          <w:shd w:val="clear" w:color="auto" w:fill="FFFFFF"/>
        </w:rPr>
        <w:t xml:space="preserve"> </w:t>
      </w:r>
      <w:r w:rsidR="002C4B26">
        <w:rPr>
          <w:rFonts w:ascii="Times New Roman" w:hAnsi="Times New Roman"/>
          <w:sz w:val="22"/>
          <w:shd w:val="clear" w:color="auto" w:fill="FFFFFF"/>
        </w:rPr>
        <w:t>This</w:t>
      </w:r>
      <w:r w:rsidRPr="00B37701" w:rsidR="007D4E11">
        <w:rPr>
          <w:rFonts w:ascii="Times New Roman" w:hAnsi="Times New Roman"/>
          <w:sz w:val="22"/>
          <w:shd w:val="clear" w:color="auto" w:fill="FFFFFF"/>
        </w:rPr>
        <w:t xml:space="preserve"> documentation</w:t>
      </w:r>
      <w:r w:rsidR="002C4B26">
        <w:rPr>
          <w:rFonts w:ascii="Times New Roman" w:hAnsi="Times New Roman"/>
          <w:sz w:val="22"/>
          <w:shd w:val="clear" w:color="auto" w:fill="FFFFFF"/>
        </w:rPr>
        <w:t>, as well as any</w:t>
      </w:r>
      <w:r w:rsidRPr="00B37701" w:rsidR="007D4E11">
        <w:rPr>
          <w:rFonts w:ascii="Times New Roman" w:hAnsi="Times New Roman"/>
          <w:sz w:val="22"/>
          <w:shd w:val="clear" w:color="auto" w:fill="FFFFFF"/>
        </w:rPr>
        <w:t xml:space="preserve"> other information</w:t>
      </w:r>
      <w:r w:rsidR="002C4B26">
        <w:rPr>
          <w:rFonts w:ascii="Times New Roman" w:hAnsi="Times New Roman"/>
          <w:sz w:val="22"/>
          <w:shd w:val="clear" w:color="auto" w:fill="FFFFFF"/>
        </w:rPr>
        <w:t xml:space="preserve"> that</w:t>
      </w:r>
      <w:r w:rsidRPr="00B37701" w:rsidR="007D4E11">
        <w:rPr>
          <w:rFonts w:ascii="Times New Roman" w:hAnsi="Times New Roman"/>
          <w:sz w:val="22"/>
          <w:shd w:val="clear" w:color="auto" w:fill="FFFFFF"/>
        </w:rPr>
        <w:t xml:space="preserve"> demonstrat</w:t>
      </w:r>
      <w:r w:rsidR="002C4B26">
        <w:rPr>
          <w:rFonts w:ascii="Times New Roman" w:hAnsi="Times New Roman"/>
          <w:sz w:val="22"/>
          <w:shd w:val="clear" w:color="auto" w:fill="FFFFFF"/>
        </w:rPr>
        <w:t>es</w:t>
      </w:r>
      <w:r w:rsidRPr="00B37701" w:rsidR="007D4E11">
        <w:rPr>
          <w:rFonts w:ascii="Times New Roman" w:hAnsi="Times New Roman"/>
          <w:sz w:val="22"/>
          <w:shd w:val="clear" w:color="auto" w:fill="FFFFFF"/>
        </w:rPr>
        <w:t xml:space="preserve"> conformance with FCC Rules, may range from 100 </w:t>
      </w:r>
      <w:r w:rsidR="002C4B26">
        <w:rPr>
          <w:rFonts w:ascii="Times New Roman" w:hAnsi="Times New Roman"/>
          <w:sz w:val="22"/>
          <w:shd w:val="clear" w:color="auto" w:fill="FFFFFF"/>
        </w:rPr>
        <w:t>to</w:t>
      </w:r>
      <w:r w:rsidRPr="00B37701" w:rsidR="007D4E11">
        <w:rPr>
          <w:rFonts w:ascii="Times New Roman" w:hAnsi="Times New Roman"/>
          <w:sz w:val="22"/>
          <w:shd w:val="clear" w:color="auto" w:fill="FFFFFF"/>
        </w:rPr>
        <w:t xml:space="preserve"> 1</w:t>
      </w:r>
      <w:r w:rsidR="00F56FEC">
        <w:rPr>
          <w:rFonts w:ascii="Times New Roman" w:hAnsi="Times New Roman"/>
          <w:sz w:val="22"/>
          <w:shd w:val="clear" w:color="auto" w:fill="FFFFFF"/>
        </w:rPr>
        <w:t>,</w:t>
      </w:r>
      <w:r w:rsidRPr="00B37701" w:rsidR="007D4E11">
        <w:rPr>
          <w:rFonts w:ascii="Times New Roman" w:hAnsi="Times New Roman"/>
          <w:sz w:val="22"/>
          <w:shd w:val="clear" w:color="auto" w:fill="FFFFFF"/>
        </w:rPr>
        <w:t>000 pages</w:t>
      </w:r>
      <w:r w:rsidR="002C4B26">
        <w:rPr>
          <w:rFonts w:ascii="Times New Roman" w:hAnsi="Times New Roman"/>
          <w:sz w:val="22"/>
          <w:shd w:val="clear" w:color="auto" w:fill="FFFFFF"/>
        </w:rPr>
        <w:t xml:space="preserve">, and </w:t>
      </w:r>
      <w:r w:rsidRPr="00B37701" w:rsidR="007D4E11">
        <w:rPr>
          <w:rFonts w:ascii="Times New Roman" w:hAnsi="Times New Roman"/>
          <w:sz w:val="22"/>
          <w:shd w:val="clear" w:color="auto" w:fill="FFFFFF"/>
        </w:rPr>
        <w:t>is essential to control potential interference to radio communications</w:t>
      </w:r>
      <w:r w:rsidR="00CE7833">
        <w:rPr>
          <w:rFonts w:ascii="Times New Roman" w:hAnsi="Times New Roman"/>
          <w:sz w:val="22"/>
          <w:shd w:val="clear" w:color="auto" w:fill="FFFFFF"/>
        </w:rPr>
        <w:t>.  The</w:t>
      </w:r>
      <w:r w:rsidRPr="00B37701" w:rsidR="007D4E11">
        <w:rPr>
          <w:rFonts w:ascii="Times New Roman" w:hAnsi="Times New Roman"/>
          <w:sz w:val="22"/>
          <w:shd w:val="clear" w:color="auto" w:fill="FFFFFF"/>
        </w:rPr>
        <w:t xml:space="preserve"> FCC may use</w:t>
      </w:r>
      <w:r w:rsidR="00CE7833">
        <w:rPr>
          <w:rFonts w:ascii="Times New Roman" w:hAnsi="Times New Roman"/>
          <w:sz w:val="22"/>
          <w:shd w:val="clear" w:color="auto" w:fill="FFFFFF"/>
        </w:rPr>
        <w:t xml:space="preserve"> this information</w:t>
      </w:r>
      <w:r w:rsidRPr="00B37701" w:rsidR="007D4E11">
        <w:rPr>
          <w:rFonts w:ascii="Times New Roman" w:hAnsi="Times New Roman"/>
          <w:sz w:val="22"/>
          <w:shd w:val="clear" w:color="auto" w:fill="FFFFFF"/>
        </w:rPr>
        <w:t xml:space="preserve"> to investigate complaints of harmful interference. </w:t>
      </w:r>
    </w:p>
    <w:p w:rsidR="00F8567B" w:rsidP="000B10E2" w:rsidRDefault="00F8567B" w14:paraId="0C23C37F" w14:textId="77777777">
      <w:pPr>
        <w:tabs>
          <w:tab w:val="left" w:pos="90"/>
        </w:tabs>
        <w:suppressAutoHyphens/>
        <w:rPr>
          <w:rFonts w:ascii="Times New Roman" w:hAnsi="Times New Roman"/>
          <w:sz w:val="22"/>
          <w:shd w:val="clear" w:color="auto" w:fill="FFFFFF"/>
        </w:rPr>
      </w:pPr>
    </w:p>
    <w:p w:rsidRPr="00B37701" w:rsidR="004965FB" w:rsidP="000B10E2" w:rsidRDefault="004965FB" w14:paraId="4FF428FF" w14:textId="5B00CD3F">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 xml:space="preserve">The decision on the grant of application is made on the Equipment Authorization System electronically pursuant to </w:t>
      </w:r>
      <w:r w:rsidRPr="00FE54FA" w:rsidR="00A227E3">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2.915, 2.917 or 2.919.</w:t>
      </w:r>
      <w:r w:rsidR="008321BE">
        <w:rPr>
          <w:rFonts w:ascii="Times New Roman" w:hAnsi="Times New Roman"/>
          <w:sz w:val="22"/>
          <w:shd w:val="clear" w:color="auto" w:fill="FFFFFF"/>
        </w:rPr>
        <w:t xml:space="preserve"> </w:t>
      </w:r>
      <w:r>
        <w:rPr>
          <w:rFonts w:ascii="Times New Roman" w:hAnsi="Times New Roman"/>
          <w:sz w:val="22"/>
          <w:shd w:val="clear" w:color="auto" w:fill="FFFFFF"/>
        </w:rPr>
        <w:t xml:space="preserve"> </w:t>
      </w:r>
      <w:r w:rsidR="00E11980">
        <w:rPr>
          <w:rFonts w:ascii="Times New Roman" w:hAnsi="Times New Roman"/>
          <w:sz w:val="22"/>
          <w:shd w:val="clear" w:color="auto" w:fill="FFFFFF"/>
        </w:rPr>
        <w:t>A Certification</w:t>
      </w:r>
      <w:r w:rsidR="00A227E3">
        <w:rPr>
          <w:rFonts w:ascii="Times New Roman" w:hAnsi="Times New Roman"/>
          <w:sz w:val="22"/>
          <w:shd w:val="clear" w:color="auto" w:fill="FFFFFF"/>
        </w:rPr>
        <w:t xml:space="preserve"> is subject to the limitations under</w:t>
      </w:r>
      <w:r>
        <w:rPr>
          <w:rFonts w:ascii="Times New Roman" w:hAnsi="Times New Roman"/>
          <w:sz w:val="22"/>
          <w:shd w:val="clear" w:color="auto" w:fill="FFFFFF"/>
        </w:rPr>
        <w:t xml:space="preserve"> </w:t>
      </w:r>
      <w:r w:rsidRPr="00FE54FA" w:rsidR="00A227E3">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 xml:space="preserve">2.927 and </w:t>
      </w:r>
      <w:r w:rsidR="00A227E3">
        <w:rPr>
          <w:rFonts w:ascii="Times New Roman" w:hAnsi="Times New Roman"/>
          <w:sz w:val="22"/>
          <w:shd w:val="clear" w:color="auto" w:fill="FFFFFF"/>
        </w:rPr>
        <w:t xml:space="preserve">the grantee is </w:t>
      </w:r>
      <w:r>
        <w:rPr>
          <w:rFonts w:ascii="Times New Roman" w:hAnsi="Times New Roman"/>
          <w:sz w:val="22"/>
          <w:shd w:val="clear" w:color="auto" w:fill="FFFFFF"/>
        </w:rPr>
        <w:t>responsib</w:t>
      </w:r>
      <w:r w:rsidR="00A227E3">
        <w:rPr>
          <w:rFonts w:ascii="Times New Roman" w:hAnsi="Times New Roman"/>
          <w:sz w:val="22"/>
          <w:shd w:val="clear" w:color="auto" w:fill="FFFFFF"/>
        </w:rPr>
        <w:t>le</w:t>
      </w:r>
      <w:r>
        <w:rPr>
          <w:rFonts w:ascii="Times New Roman" w:hAnsi="Times New Roman"/>
          <w:sz w:val="22"/>
          <w:shd w:val="clear" w:color="auto" w:fill="FFFFFF"/>
        </w:rPr>
        <w:t xml:space="preserve"> for ongoing compliance including record retention pursuant to </w:t>
      </w:r>
      <w:r w:rsidRPr="00FE54FA" w:rsidR="00A227E3">
        <w:rPr>
          <w:rFonts w:ascii="Times New Roman" w:hAnsi="Times New Roman"/>
          <w:sz w:val="22"/>
          <w:shd w:val="clear" w:color="auto" w:fill="FFFFFF"/>
        </w:rPr>
        <w:t>§§</w:t>
      </w:r>
      <w:r>
        <w:rPr>
          <w:rFonts w:ascii="Times New Roman" w:hAnsi="Times New Roman"/>
          <w:sz w:val="22"/>
          <w:shd w:val="clear" w:color="auto" w:fill="FFFFFF"/>
        </w:rPr>
        <w:t xml:space="preserve"> 2.931, 2.937 and 2.938.  </w:t>
      </w:r>
    </w:p>
    <w:p w:rsidR="007D4E11" w:rsidP="007D4E11" w:rsidRDefault="007D4E11" w14:paraId="022B96A7" w14:textId="77777777">
      <w:pPr>
        <w:suppressAutoHyphens/>
        <w:rPr>
          <w:rFonts w:ascii="Times New Roman" w:hAnsi="Times New Roman"/>
          <w:sz w:val="22"/>
          <w:shd w:val="clear" w:color="auto" w:fill="FFFFFF"/>
        </w:rPr>
      </w:pPr>
    </w:p>
    <w:p w:rsidR="00B643C2" w:rsidP="007D4E11" w:rsidRDefault="00DE20E4" w14:paraId="2B685D52" w14:textId="0E47E3C0">
      <w:pPr>
        <w:suppressAutoHyphens/>
        <w:rPr>
          <w:rFonts w:ascii="Times New Roman" w:hAnsi="Times New Roman"/>
          <w:sz w:val="22"/>
          <w:shd w:val="clear" w:color="auto" w:fill="FFFFFF"/>
        </w:rPr>
      </w:pPr>
      <w:r>
        <w:rPr>
          <w:rFonts w:ascii="Times New Roman" w:hAnsi="Times New Roman"/>
          <w:sz w:val="22"/>
          <w:shd w:val="clear" w:color="auto" w:fill="FFFFFF"/>
        </w:rPr>
        <w:t>T</w:t>
      </w:r>
      <w:r w:rsidR="00B643C2">
        <w:rPr>
          <w:rFonts w:ascii="Times New Roman" w:hAnsi="Times New Roman"/>
          <w:sz w:val="22"/>
          <w:shd w:val="clear" w:color="auto" w:fill="FFFFFF"/>
        </w:rPr>
        <w:t xml:space="preserve">he grantee is responsible to ensure that the device continues to comply with the rules.  </w:t>
      </w:r>
      <w:r>
        <w:rPr>
          <w:rFonts w:ascii="Times New Roman" w:hAnsi="Times New Roman"/>
          <w:sz w:val="22"/>
          <w:shd w:val="clear" w:color="auto" w:fill="FFFFFF"/>
        </w:rPr>
        <w:t xml:space="preserve">Device changes will require a </w:t>
      </w:r>
      <w:r w:rsidR="00B643C2">
        <w:rPr>
          <w:rFonts w:ascii="Times New Roman" w:hAnsi="Times New Roman"/>
          <w:sz w:val="22"/>
          <w:shd w:val="clear" w:color="auto" w:fill="FFFFFF"/>
        </w:rPr>
        <w:t xml:space="preserve">new application for </w:t>
      </w:r>
      <w:r>
        <w:rPr>
          <w:rFonts w:ascii="Times New Roman" w:hAnsi="Times New Roman"/>
          <w:sz w:val="22"/>
          <w:shd w:val="clear" w:color="auto" w:fill="FFFFFF"/>
        </w:rPr>
        <w:t>C</w:t>
      </w:r>
      <w:r w:rsidR="00B643C2">
        <w:rPr>
          <w:rFonts w:ascii="Times New Roman" w:hAnsi="Times New Roman"/>
          <w:sz w:val="22"/>
          <w:shd w:val="clear" w:color="auto" w:fill="FFFFFF"/>
        </w:rPr>
        <w:t xml:space="preserve">ertification pursuant to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B643C2">
        <w:rPr>
          <w:rFonts w:ascii="Times New Roman" w:hAnsi="Times New Roman"/>
          <w:sz w:val="22"/>
          <w:shd w:val="clear" w:color="auto" w:fill="FFFFFF"/>
        </w:rPr>
        <w:t>2.932 and 2.933</w:t>
      </w:r>
      <w:r>
        <w:rPr>
          <w:rFonts w:ascii="Times New Roman" w:hAnsi="Times New Roman"/>
          <w:sz w:val="22"/>
          <w:shd w:val="clear" w:color="auto" w:fill="FFFFFF"/>
        </w:rPr>
        <w:t>, unless they can be classified as permissive changes under the rules</w:t>
      </w:r>
      <w:r w:rsidR="00F81869">
        <w:rPr>
          <w:rFonts w:ascii="Times New Roman" w:hAnsi="Times New Roman"/>
          <w:sz w:val="22"/>
          <w:shd w:val="clear" w:color="auto" w:fill="FFFFFF"/>
        </w:rPr>
        <w:t xml:space="preserve"> f</w:t>
      </w:r>
      <w:r>
        <w:rPr>
          <w:rFonts w:ascii="Times New Roman" w:hAnsi="Times New Roman"/>
          <w:sz w:val="22"/>
          <w:shd w:val="clear" w:color="auto" w:fill="FFFFFF"/>
        </w:rPr>
        <w:t>or</w:t>
      </w:r>
      <w:r w:rsidR="00B643C2">
        <w:rPr>
          <w:rFonts w:ascii="Times New Roman" w:hAnsi="Times New Roman"/>
          <w:sz w:val="22"/>
          <w:shd w:val="clear" w:color="auto" w:fill="FFFFFF"/>
        </w:rPr>
        <w:t xml:space="preserve"> Class II or III permissive changes,</w:t>
      </w:r>
      <w:r>
        <w:rPr>
          <w:rFonts w:ascii="Times New Roman" w:hAnsi="Times New Roman"/>
          <w:sz w:val="22"/>
          <w:shd w:val="clear" w:color="auto" w:fill="FFFFFF"/>
        </w:rPr>
        <w:t xml:space="preserve"> as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2.1043(b)</w:t>
      </w:r>
      <w:r w:rsidR="00BE77D4">
        <w:rPr>
          <w:rFonts w:ascii="Times New Roman" w:hAnsi="Times New Roman"/>
          <w:sz w:val="22"/>
          <w:shd w:val="clear" w:color="auto" w:fill="FFFFFF"/>
        </w:rPr>
        <w:t>.</w:t>
      </w:r>
      <w:r>
        <w:rPr>
          <w:rFonts w:ascii="Times New Roman" w:hAnsi="Times New Roman"/>
          <w:sz w:val="22"/>
          <w:shd w:val="clear" w:color="auto" w:fill="FFFFFF"/>
        </w:rPr>
        <w:t xml:space="preserve"> </w:t>
      </w:r>
      <w:r w:rsidR="00BE77D4">
        <w:rPr>
          <w:rFonts w:ascii="Times New Roman" w:hAnsi="Times New Roman"/>
          <w:sz w:val="22"/>
          <w:shd w:val="clear" w:color="auto" w:fill="FFFFFF"/>
        </w:rPr>
        <w:t xml:space="preserve"> For a permissive change, </w:t>
      </w:r>
      <w:r w:rsidR="00B643C2">
        <w:rPr>
          <w:rFonts w:ascii="Times New Roman" w:hAnsi="Times New Roman"/>
          <w:sz w:val="22"/>
          <w:shd w:val="clear" w:color="auto" w:fill="FFFFFF"/>
        </w:rPr>
        <w:t xml:space="preserve">the grantee is required to file supplementary information explaining the changes and </w:t>
      </w:r>
      <w:r>
        <w:rPr>
          <w:rFonts w:ascii="Times New Roman" w:hAnsi="Times New Roman"/>
          <w:sz w:val="22"/>
          <w:shd w:val="clear" w:color="auto" w:fill="FFFFFF"/>
        </w:rPr>
        <w:t xml:space="preserve">must </w:t>
      </w:r>
      <w:r w:rsidR="00B643C2">
        <w:rPr>
          <w:rFonts w:ascii="Times New Roman" w:hAnsi="Times New Roman"/>
          <w:sz w:val="22"/>
          <w:shd w:val="clear" w:color="auto" w:fill="FFFFFF"/>
        </w:rPr>
        <w:t>provid</w:t>
      </w:r>
      <w:r>
        <w:rPr>
          <w:rFonts w:ascii="Times New Roman" w:hAnsi="Times New Roman"/>
          <w:sz w:val="22"/>
          <w:shd w:val="clear" w:color="auto" w:fill="FFFFFF"/>
        </w:rPr>
        <w:t>e</w:t>
      </w:r>
      <w:r w:rsidR="00B643C2">
        <w:rPr>
          <w:rFonts w:ascii="Times New Roman" w:hAnsi="Times New Roman"/>
          <w:sz w:val="22"/>
          <w:shd w:val="clear" w:color="auto" w:fill="FFFFFF"/>
        </w:rPr>
        <w:t xml:space="preserve"> updated test information to a TCB for review.  The TCB will </w:t>
      </w:r>
      <w:r>
        <w:rPr>
          <w:rFonts w:ascii="Times New Roman" w:hAnsi="Times New Roman"/>
          <w:sz w:val="22"/>
          <w:shd w:val="clear" w:color="auto" w:fill="FFFFFF"/>
        </w:rPr>
        <w:t xml:space="preserve">then </w:t>
      </w:r>
      <w:r w:rsidR="00B643C2">
        <w:rPr>
          <w:rFonts w:ascii="Times New Roman" w:hAnsi="Times New Roman"/>
          <w:sz w:val="22"/>
          <w:shd w:val="clear" w:color="auto" w:fill="FFFFFF"/>
        </w:rPr>
        <w:t xml:space="preserve">submit the data on the </w:t>
      </w:r>
      <w:r w:rsidR="00D5611E">
        <w:rPr>
          <w:rFonts w:ascii="Times New Roman" w:hAnsi="Times New Roman"/>
          <w:sz w:val="22"/>
          <w:shd w:val="clear" w:color="auto" w:fill="FFFFFF"/>
        </w:rPr>
        <w:t>FCC</w:t>
      </w:r>
      <w:r w:rsidRPr="00D5611E" w:rsidR="00B643C2">
        <w:rPr>
          <w:rFonts w:ascii="Times New Roman" w:hAnsi="Times New Roman"/>
          <w:sz w:val="22"/>
          <w:shd w:val="clear" w:color="auto" w:fill="FFFFFF"/>
        </w:rPr>
        <w:t xml:space="preserve"> Form 731 </w:t>
      </w:r>
      <w:r w:rsidR="00D5611E">
        <w:rPr>
          <w:rFonts w:ascii="Times New Roman" w:hAnsi="Times New Roman"/>
          <w:sz w:val="22"/>
          <w:shd w:val="clear" w:color="auto" w:fill="FFFFFF"/>
        </w:rPr>
        <w:t xml:space="preserve">webpages </w:t>
      </w:r>
      <w:r w:rsidRPr="00D5611E" w:rsidR="00B643C2">
        <w:rPr>
          <w:rFonts w:ascii="Times New Roman" w:hAnsi="Times New Roman"/>
          <w:sz w:val="22"/>
          <w:shd w:val="clear" w:color="auto" w:fill="FFFFFF"/>
        </w:rPr>
        <w:t>for permissive changes</w:t>
      </w:r>
      <w:r w:rsidR="00F81869">
        <w:rPr>
          <w:rFonts w:ascii="Times New Roman" w:hAnsi="Times New Roman"/>
          <w:sz w:val="22"/>
          <w:shd w:val="clear" w:color="auto" w:fill="FFFFFF"/>
        </w:rPr>
        <w:t>.</w:t>
      </w:r>
      <w:r>
        <w:rPr>
          <w:rFonts w:ascii="Times New Roman" w:hAnsi="Times New Roman"/>
          <w:sz w:val="22"/>
          <w:shd w:val="clear" w:color="auto" w:fill="FFFFFF"/>
        </w:rPr>
        <w:t xml:space="preserve"> </w:t>
      </w:r>
      <w:r w:rsidR="00763E88">
        <w:rPr>
          <w:rFonts w:ascii="Times New Roman" w:hAnsi="Times New Roman"/>
          <w:sz w:val="22"/>
          <w:shd w:val="clear" w:color="auto" w:fill="FFFFFF"/>
        </w:rPr>
        <w:t xml:space="preserve"> </w:t>
      </w:r>
      <w:r>
        <w:rPr>
          <w:rFonts w:ascii="Times New Roman" w:hAnsi="Times New Roman"/>
          <w:sz w:val="22"/>
          <w:shd w:val="clear" w:color="auto" w:fill="FFFFFF"/>
        </w:rPr>
        <w:t>The only</w:t>
      </w:r>
      <w:r w:rsidR="00337882">
        <w:rPr>
          <w:rFonts w:ascii="Times New Roman" w:hAnsi="Times New Roman"/>
          <w:sz w:val="22"/>
          <w:shd w:val="clear" w:color="auto" w:fill="FFFFFF"/>
        </w:rPr>
        <w:t xml:space="preserve"> data </w:t>
      </w:r>
      <w:r w:rsidR="00763E88">
        <w:rPr>
          <w:rFonts w:ascii="Times New Roman" w:hAnsi="Times New Roman"/>
          <w:sz w:val="22"/>
          <w:shd w:val="clear" w:color="auto" w:fill="FFFFFF"/>
        </w:rPr>
        <w:t xml:space="preserve">required is that which </w:t>
      </w:r>
      <w:r w:rsidR="00337882">
        <w:rPr>
          <w:rFonts w:ascii="Times New Roman" w:hAnsi="Times New Roman"/>
          <w:sz w:val="22"/>
          <w:shd w:val="clear" w:color="auto" w:fill="FFFFFF"/>
        </w:rPr>
        <w:t>support</w:t>
      </w:r>
      <w:r w:rsidR="00763E88">
        <w:rPr>
          <w:rFonts w:ascii="Times New Roman" w:hAnsi="Times New Roman"/>
          <w:sz w:val="22"/>
          <w:shd w:val="clear" w:color="auto" w:fill="FFFFFF"/>
        </w:rPr>
        <w:t>s</w:t>
      </w:r>
      <w:r w:rsidR="00337882">
        <w:rPr>
          <w:rFonts w:ascii="Times New Roman" w:hAnsi="Times New Roman"/>
          <w:sz w:val="22"/>
          <w:shd w:val="clear" w:color="auto" w:fill="FFFFFF"/>
        </w:rPr>
        <w:t xml:space="preserve"> the compliance of the changed functions. </w:t>
      </w:r>
      <w:r w:rsidR="00B643C2">
        <w:rPr>
          <w:rFonts w:ascii="Times New Roman" w:hAnsi="Times New Roman"/>
          <w:sz w:val="22"/>
          <w:shd w:val="clear" w:color="auto" w:fill="FFFFFF"/>
        </w:rPr>
        <w:t xml:space="preserve">For changes which are considered Class I under </w:t>
      </w:r>
      <w:r w:rsidRPr="00FE54FA" w:rsidR="00763E88">
        <w:rPr>
          <w:rFonts w:ascii="Times New Roman" w:hAnsi="Times New Roman"/>
          <w:sz w:val="22"/>
          <w:shd w:val="clear" w:color="auto" w:fill="FFFFFF"/>
        </w:rPr>
        <w:t>§§</w:t>
      </w:r>
      <w:r w:rsidR="00763E88">
        <w:rPr>
          <w:rFonts w:ascii="Times New Roman" w:hAnsi="Times New Roman"/>
          <w:sz w:val="22"/>
          <w:shd w:val="clear" w:color="auto" w:fill="FFFFFF"/>
        </w:rPr>
        <w:t xml:space="preserve"> </w:t>
      </w:r>
      <w:r w:rsidR="00B643C2">
        <w:rPr>
          <w:rFonts w:ascii="Times New Roman" w:hAnsi="Times New Roman"/>
          <w:sz w:val="22"/>
          <w:shd w:val="clear" w:color="auto" w:fill="FFFFFF"/>
        </w:rPr>
        <w:t xml:space="preserve">2.1043(b) or </w:t>
      </w:r>
      <w:r w:rsidR="00947B30">
        <w:rPr>
          <w:rFonts w:ascii="Times New Roman" w:hAnsi="Times New Roman"/>
          <w:sz w:val="22"/>
          <w:shd w:val="clear" w:color="auto" w:fill="FFFFFF"/>
        </w:rPr>
        <w:t>2.924</w:t>
      </w:r>
      <w:r w:rsidR="00337882">
        <w:rPr>
          <w:rFonts w:ascii="Times New Roman" w:hAnsi="Times New Roman"/>
          <w:sz w:val="22"/>
          <w:shd w:val="clear" w:color="auto" w:fill="FFFFFF"/>
        </w:rPr>
        <w:t xml:space="preserve"> no further submissions are necessary</w:t>
      </w:r>
      <w:r w:rsidR="006B3253">
        <w:rPr>
          <w:rFonts w:ascii="Times New Roman" w:hAnsi="Times New Roman"/>
          <w:sz w:val="22"/>
          <w:shd w:val="clear" w:color="auto" w:fill="FFFFFF"/>
        </w:rPr>
        <w:t xml:space="preserve"> </w:t>
      </w:r>
      <w:r w:rsidR="00763E88">
        <w:rPr>
          <w:rFonts w:ascii="Times New Roman" w:hAnsi="Times New Roman"/>
          <w:sz w:val="22"/>
          <w:shd w:val="clear" w:color="auto" w:fill="FFFFFF"/>
        </w:rPr>
        <w:t>although</w:t>
      </w:r>
      <w:r w:rsidR="00337882">
        <w:rPr>
          <w:rFonts w:ascii="Times New Roman" w:hAnsi="Times New Roman"/>
          <w:sz w:val="22"/>
          <w:shd w:val="clear" w:color="auto" w:fill="FFFFFF"/>
        </w:rPr>
        <w:t xml:space="preserve"> the applicant is responsible for keeping records of the changes.</w:t>
      </w:r>
    </w:p>
    <w:p w:rsidR="00947B30" w:rsidP="007D4E11" w:rsidRDefault="00947B30" w14:paraId="6DBB3B03" w14:textId="77777777">
      <w:pPr>
        <w:suppressAutoHyphens/>
        <w:rPr>
          <w:rFonts w:ascii="Times New Roman" w:hAnsi="Times New Roman"/>
          <w:sz w:val="22"/>
          <w:shd w:val="clear" w:color="auto" w:fill="FFFFFF"/>
        </w:rPr>
      </w:pPr>
    </w:p>
    <w:bookmarkEnd w:id="0"/>
    <w:p w:rsidRPr="00CE080D" w:rsidR="007D4E11" w:rsidP="007D4E11" w:rsidRDefault="007D4E11" w14:paraId="75766024" w14:textId="625CD149">
      <w:pPr>
        <w:suppressAutoHyphens/>
        <w:rPr>
          <w:rFonts w:ascii="Times New Roman" w:hAnsi="Times New Roman"/>
          <w:sz w:val="22"/>
          <w:szCs w:val="22"/>
          <w:shd w:val="clear" w:color="auto" w:fill="FFFFFF"/>
        </w:rPr>
      </w:pPr>
      <w:r w:rsidRPr="00CE080D">
        <w:rPr>
          <w:rFonts w:ascii="Times New Roman" w:hAnsi="Times New Roman"/>
          <w:sz w:val="22"/>
          <w:szCs w:val="22"/>
          <w:shd w:val="clear" w:color="auto" w:fill="FFFFFF"/>
        </w:rPr>
        <w:t xml:space="preserve">Information on the procedures for equipment authorization applications can be obtained from the Internet at: </w:t>
      </w:r>
      <w:hyperlink w:history="1" r:id="rId8">
        <w:r w:rsidRPr="00D35C7E" w:rsidR="00D35C7E">
          <w:rPr>
            <w:rStyle w:val="Hyperlink"/>
            <w:rFonts w:ascii="Times New Roman" w:hAnsi="Times New Roman"/>
            <w:sz w:val="22"/>
            <w:szCs w:val="22"/>
            <w:shd w:val="clear" w:color="auto" w:fill="FFFFFF"/>
          </w:rPr>
          <w:t>https://www.fcc.gov/engineering-technology/laboratory-division/general/equipment-authorization</w:t>
        </w:r>
      </w:hyperlink>
      <w:r w:rsidRPr="00C60E5B">
        <w:rPr>
          <w:rFonts w:ascii="Times New Roman" w:hAnsi="Times New Roman"/>
          <w:sz w:val="22"/>
          <w:szCs w:val="22"/>
          <w:shd w:val="clear" w:color="auto" w:fill="FFFFFF"/>
        </w:rPr>
        <w:t>.</w:t>
      </w:r>
      <w:r w:rsidRPr="00CE080D">
        <w:rPr>
          <w:rFonts w:ascii="Times New Roman" w:hAnsi="Times New Roman"/>
          <w:sz w:val="22"/>
          <w:szCs w:val="22"/>
          <w:shd w:val="clear" w:color="auto" w:fill="FFFFFF"/>
        </w:rPr>
        <w:t xml:space="preserve"> </w:t>
      </w:r>
    </w:p>
    <w:p w:rsidR="006F7869" w:rsidP="00032460" w:rsidRDefault="00730B65" w14:paraId="59534042" w14:textId="77777777">
      <w:pPr>
        <w:suppressAutoHyphens/>
        <w:rPr>
          <w:rFonts w:ascii="Times New Roman" w:hAnsi="Times New Roman"/>
          <w:shd w:val="clear" w:color="auto" w:fill="FFFFFF"/>
        </w:rPr>
      </w:pPr>
      <w:r w:rsidRPr="00CE080D">
        <w:rPr>
          <w:rFonts w:ascii="Times New Roman" w:hAnsi="Times New Roman"/>
          <w:shd w:val="clear" w:color="auto" w:fill="FFFFFF"/>
        </w:rPr>
        <w:t xml:space="preserve">  </w:t>
      </w:r>
    </w:p>
    <w:p w:rsidRPr="00CE080D" w:rsidR="00E51DBC" w:rsidP="00E51DBC" w:rsidRDefault="0019457E" w14:paraId="13A0BDA4" w14:textId="74BCD62A">
      <w:pPr>
        <w:suppressAutoHyphens/>
        <w:rPr>
          <w:rFonts w:ascii="Times New Roman" w:hAnsi="Times New Roman"/>
          <w:sz w:val="22"/>
          <w:shd w:val="clear" w:color="auto" w:fill="FFFFFF"/>
        </w:rPr>
      </w:pPr>
      <w:r>
        <w:rPr>
          <w:rFonts w:ascii="Times New Roman" w:hAnsi="Times New Roman"/>
          <w:sz w:val="22"/>
          <w:shd w:val="clear" w:color="auto" w:fill="FFFFFF"/>
        </w:rPr>
        <w:t>The statutory authority for  t</w:t>
      </w:r>
      <w:r w:rsidRPr="00CE080D" w:rsidR="00E51DBC">
        <w:rPr>
          <w:rFonts w:ascii="Times New Roman" w:hAnsi="Times New Roman"/>
          <w:sz w:val="22"/>
          <w:shd w:val="clear" w:color="auto" w:fill="FFFFFF"/>
        </w:rPr>
        <w:t xml:space="preserve">his collection of information is authorized under Sections 4(i), 301, 302, 303(e), 303(f), and 303(r) of the Communications Act of 1934, as amended, 47 U.S.C. Sections 154(i), </w:t>
      </w:r>
      <w:r w:rsidRPr="00CE080D" w:rsidR="00E51DBC">
        <w:rPr>
          <w:rFonts w:ascii="Times New Roman" w:hAnsi="Times New Roman"/>
          <w:sz w:val="22"/>
          <w:shd w:val="clear" w:color="auto" w:fill="FFFFFF"/>
        </w:rPr>
        <w:lastRenderedPageBreak/>
        <w:t>301, 302, 303(e), 303(f), and 303(r).</w:t>
      </w:r>
    </w:p>
    <w:p w:rsidRPr="00CE080D" w:rsidR="00E51DBC" w:rsidP="00E51DBC" w:rsidRDefault="00E51DBC" w14:paraId="1897F9F2" w14:textId="77777777">
      <w:pPr>
        <w:suppressAutoHyphens/>
        <w:rPr>
          <w:rFonts w:ascii="Times New Roman" w:hAnsi="Times New Roman"/>
          <w:sz w:val="22"/>
          <w:shd w:val="clear" w:color="auto" w:fill="FFFFFF"/>
        </w:rPr>
      </w:pPr>
    </w:p>
    <w:p w:rsidRPr="00CE080D" w:rsidR="00E51DBC" w:rsidP="00E51DBC" w:rsidRDefault="000013F6" w14:paraId="195C89B0" w14:textId="3ADCC5B4">
      <w:pPr>
        <w:suppressAutoHyphens/>
        <w:rPr>
          <w:rFonts w:ascii="Times New Roman" w:hAnsi="Times New Roman"/>
          <w:b/>
          <w:sz w:val="22"/>
          <w:shd w:val="clear" w:color="auto" w:fill="FFFFFF"/>
        </w:rPr>
      </w:pPr>
      <w:r w:rsidRPr="000013F6">
        <w:rPr>
          <w:rFonts w:ascii="Times New Roman" w:hAnsi="Times New Roman"/>
          <w:sz w:val="22"/>
          <w:shd w:val="clear" w:color="auto" w:fill="FFFFFF"/>
        </w:rPr>
        <w:t>Most of</w:t>
      </w:r>
      <w:r w:rsidRPr="000013F6" w:rsidR="00783230">
        <w:rPr>
          <w:rFonts w:ascii="Times New Roman" w:hAnsi="Times New Roman"/>
          <w:sz w:val="22"/>
          <w:shd w:val="clear" w:color="auto" w:fill="FFFFFF"/>
        </w:rPr>
        <w:t xml:space="preserve"> the information collected in this collection will come from companies planning to commercialize the RF devices subject to the Commission rules.  However, it is possible that a very small number of individuals may also submit information. T</w:t>
      </w:r>
      <w:r w:rsidRPr="000013F6" w:rsidR="00E51DBC">
        <w:rPr>
          <w:rFonts w:ascii="Times New Roman" w:hAnsi="Times New Roman"/>
          <w:sz w:val="22"/>
          <w:shd w:val="clear" w:color="auto" w:fill="FFFFFF"/>
        </w:rPr>
        <w:t xml:space="preserve">hus, </w:t>
      </w:r>
      <w:r>
        <w:rPr>
          <w:rFonts w:ascii="Times New Roman" w:hAnsi="Times New Roman"/>
          <w:sz w:val="22"/>
          <w:shd w:val="clear" w:color="auto" w:fill="FFFFFF"/>
        </w:rPr>
        <w:t xml:space="preserve">the </w:t>
      </w:r>
      <w:r w:rsidRPr="000013F6" w:rsidR="00783230">
        <w:rPr>
          <w:rFonts w:ascii="Times New Roman" w:hAnsi="Times New Roman"/>
          <w:sz w:val="22"/>
          <w:shd w:val="clear" w:color="auto" w:fill="FFFFFF"/>
        </w:rPr>
        <w:t xml:space="preserve">Commission has prepared </w:t>
      </w:r>
      <w:r w:rsidRPr="000013F6" w:rsidR="00E51DBC">
        <w:rPr>
          <w:rFonts w:ascii="Times New Roman" w:hAnsi="Times New Roman"/>
          <w:sz w:val="22"/>
          <w:shd w:val="clear" w:color="auto" w:fill="FFFFFF"/>
        </w:rPr>
        <w:t xml:space="preserve">a Privacy Impact Assessment </w:t>
      </w:r>
      <w:r w:rsidRPr="000013F6" w:rsidR="00783230">
        <w:rPr>
          <w:rFonts w:ascii="Times New Roman" w:hAnsi="Times New Roman"/>
          <w:sz w:val="22"/>
          <w:shd w:val="clear" w:color="auto" w:fill="FFFFFF"/>
        </w:rPr>
        <w:t xml:space="preserve">statement published at </w:t>
      </w:r>
      <w:hyperlink w:history="1" r:id="rId9">
        <w:r w:rsidRPr="006A1CEF">
          <w:rPr>
            <w:rStyle w:val="Hyperlink"/>
            <w:rFonts w:ascii="Times New Roman" w:hAnsi="Times New Roman"/>
            <w:sz w:val="22"/>
            <w:shd w:val="clear" w:color="auto" w:fill="FFFFFF"/>
          </w:rPr>
          <w:t>https://www.fcc.gov/general/privacy-act-information</w:t>
        </w:r>
      </w:hyperlink>
      <w:r w:rsidRPr="000013F6" w:rsidR="00E51DBC">
        <w:rPr>
          <w:rFonts w:ascii="Times New Roman" w:hAnsi="Times New Roman"/>
          <w:sz w:val="22"/>
          <w:shd w:val="clear" w:color="auto" w:fill="FFFFFF"/>
        </w:rPr>
        <w:t>.</w:t>
      </w:r>
      <w:r w:rsidRPr="00CE080D" w:rsidR="00E51DBC">
        <w:rPr>
          <w:rFonts w:ascii="Times New Roman" w:hAnsi="Times New Roman"/>
          <w:b/>
          <w:sz w:val="22"/>
          <w:shd w:val="clear" w:color="auto" w:fill="FFFFFF"/>
        </w:rPr>
        <w:t xml:space="preserve"> </w:t>
      </w:r>
    </w:p>
    <w:p w:rsidRPr="00CE080D" w:rsidR="00E51DBC" w:rsidP="00032460" w:rsidRDefault="00E51DBC" w14:paraId="4F002035" w14:textId="77777777">
      <w:pPr>
        <w:suppressAutoHyphens/>
        <w:rPr>
          <w:rFonts w:ascii="Times New Roman" w:hAnsi="Times New Roman"/>
          <w:sz w:val="22"/>
          <w:shd w:val="clear" w:color="auto" w:fill="FFFFFF"/>
        </w:rPr>
      </w:pPr>
    </w:p>
    <w:p w:rsidRPr="00CE080D" w:rsidR="007D4E11" w:rsidP="007D4E11" w:rsidRDefault="007D4E11" w14:paraId="69D5157E" w14:textId="563E4C34">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2.  The Commission will use the information gathered on the FCC Form 731 to determine compliance of the proposed equipment with the Commission's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Following authorization of the equipment for marketing, the information may also be used to determine: </w:t>
      </w:r>
    </w:p>
    <w:p w:rsidRPr="00CE080D" w:rsidR="007D4E11" w:rsidP="007D4E11" w:rsidRDefault="007D4E11" w14:paraId="2EA663BB" w14:textId="77777777">
      <w:pPr>
        <w:suppressAutoHyphens/>
        <w:rPr>
          <w:rFonts w:ascii="Times New Roman" w:hAnsi="Times New Roman"/>
          <w:sz w:val="22"/>
          <w:shd w:val="clear" w:color="auto" w:fill="FFFFFF"/>
        </w:rPr>
      </w:pPr>
    </w:p>
    <w:p w:rsidRPr="00CE080D" w:rsidR="007D4E11" w:rsidP="007D4E11" w:rsidRDefault="007D4E11" w14:paraId="404CD86C" w14:textId="6EDA4B81">
      <w:pPr>
        <w:suppressAutoHyphens/>
        <w:ind w:left="720" w:hanging="360"/>
        <w:rPr>
          <w:rFonts w:ascii="Times New Roman" w:hAnsi="Times New Roman"/>
          <w:sz w:val="22"/>
          <w:shd w:val="clear" w:color="auto" w:fill="FFFFFF"/>
        </w:rPr>
      </w:pPr>
      <w:r w:rsidRPr="00CE080D">
        <w:rPr>
          <w:rFonts w:ascii="Times New Roman" w:hAnsi="Times New Roman"/>
          <w:sz w:val="22"/>
          <w:shd w:val="clear" w:color="auto" w:fill="FFFFFF"/>
        </w:rPr>
        <w:t>(a) Whether the operation of the equipment is consistent with the information supplied at the time of authorization</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p>
    <w:p w:rsidRPr="00CE080D" w:rsidR="007D4E11" w:rsidP="007D4E11" w:rsidRDefault="007D4E11" w14:paraId="5F1778C1" w14:textId="77777777">
      <w:pPr>
        <w:suppressAutoHyphens/>
        <w:ind w:left="720" w:hanging="360"/>
        <w:rPr>
          <w:rFonts w:ascii="Times New Roman" w:hAnsi="Times New Roman"/>
          <w:sz w:val="22"/>
          <w:shd w:val="clear" w:color="auto" w:fill="FFFFFF"/>
        </w:rPr>
      </w:pPr>
    </w:p>
    <w:p w:rsidR="007D4E11" w:rsidP="00947C08" w:rsidRDefault="007D4E11" w14:paraId="228075EE" w14:textId="478F7B6A">
      <w:pPr>
        <w:pStyle w:val="ListParagraph"/>
        <w:numPr>
          <w:ilvl w:val="0"/>
          <w:numId w:val="33"/>
        </w:numPr>
        <w:suppressAutoHyphens/>
        <w:rPr>
          <w:rFonts w:ascii="Times New Roman" w:hAnsi="Times New Roman"/>
          <w:sz w:val="22"/>
          <w:shd w:val="clear" w:color="auto" w:fill="FFFFFF"/>
        </w:rPr>
      </w:pPr>
      <w:r w:rsidRPr="00947C08">
        <w:rPr>
          <w:rFonts w:ascii="Times New Roman" w:hAnsi="Times New Roman"/>
          <w:sz w:val="22"/>
          <w:shd w:val="clear" w:color="auto" w:fill="FFFFFF"/>
        </w:rPr>
        <w:t>Whether the equipment marketed complies with the terms of the equipment authorization</w:t>
      </w:r>
      <w:r w:rsidR="005D1F77">
        <w:rPr>
          <w:rFonts w:ascii="Times New Roman" w:hAnsi="Times New Roman"/>
          <w:sz w:val="22"/>
          <w:shd w:val="clear" w:color="auto" w:fill="FFFFFF"/>
        </w:rPr>
        <w:t>;</w:t>
      </w:r>
      <w:r w:rsidRPr="00947C08">
        <w:rPr>
          <w:rFonts w:ascii="Times New Roman" w:hAnsi="Times New Roman"/>
          <w:sz w:val="22"/>
          <w:shd w:val="clear" w:color="auto" w:fill="FFFFFF"/>
        </w:rPr>
        <w:t xml:space="preserve">  </w:t>
      </w:r>
    </w:p>
    <w:p w:rsidRPr="00947C08" w:rsidR="00947C08" w:rsidP="00947C08" w:rsidRDefault="00947C08" w14:paraId="2F93812F" w14:textId="77777777">
      <w:pPr>
        <w:pStyle w:val="ListParagraph"/>
        <w:suppressAutoHyphens/>
        <w:rPr>
          <w:rFonts w:ascii="Times New Roman" w:hAnsi="Times New Roman"/>
          <w:sz w:val="22"/>
          <w:shd w:val="clear" w:color="auto" w:fill="FFFFFF"/>
        </w:rPr>
      </w:pPr>
    </w:p>
    <w:p w:rsidR="00947C08" w:rsidP="00947C08" w:rsidRDefault="00947C08" w14:paraId="20EF73F7" w14:textId="1B1704F0">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test data prepared by the </w:t>
      </w:r>
      <w:r w:rsidR="005D1F77">
        <w:rPr>
          <w:rFonts w:ascii="Times New Roman" w:hAnsi="Times New Roman"/>
          <w:sz w:val="22"/>
          <w:shd w:val="clear" w:color="auto" w:fill="FFFFFF"/>
        </w:rPr>
        <w:t>TF</w:t>
      </w:r>
      <w:r>
        <w:rPr>
          <w:rFonts w:ascii="Times New Roman" w:hAnsi="Times New Roman"/>
          <w:sz w:val="22"/>
          <w:shd w:val="clear" w:color="auto" w:fill="FFFFFF"/>
        </w:rPr>
        <w:t xml:space="preserve"> complies with the technical requirements</w:t>
      </w:r>
      <w:r w:rsidR="005D1F77">
        <w:rPr>
          <w:rFonts w:ascii="Times New Roman" w:hAnsi="Times New Roman"/>
          <w:sz w:val="22"/>
          <w:shd w:val="clear" w:color="auto" w:fill="FFFFFF"/>
        </w:rPr>
        <w:t>;</w:t>
      </w:r>
    </w:p>
    <w:p w:rsidRPr="00947C08" w:rsidR="00947C08" w:rsidP="00947C08" w:rsidRDefault="00947C08" w14:paraId="47295B63" w14:textId="77777777">
      <w:pPr>
        <w:pStyle w:val="ListParagraph"/>
        <w:rPr>
          <w:rFonts w:ascii="Times New Roman" w:hAnsi="Times New Roman"/>
          <w:sz w:val="22"/>
          <w:shd w:val="clear" w:color="auto" w:fill="FFFFFF"/>
        </w:rPr>
      </w:pPr>
    </w:p>
    <w:p w:rsidR="00947C08" w:rsidP="00947C08" w:rsidRDefault="00947C08" w14:paraId="39387D3D" w14:textId="04683744">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TCB has reviewed the data properly prior to </w:t>
      </w:r>
      <w:r w:rsidR="00790120">
        <w:rPr>
          <w:rFonts w:ascii="Times New Roman" w:hAnsi="Times New Roman"/>
          <w:sz w:val="22"/>
          <w:shd w:val="clear" w:color="auto" w:fill="FFFFFF"/>
        </w:rPr>
        <w:t>submitting the information</w:t>
      </w:r>
      <w:r>
        <w:rPr>
          <w:rFonts w:ascii="Times New Roman" w:hAnsi="Times New Roman"/>
          <w:sz w:val="22"/>
          <w:shd w:val="clear" w:color="auto" w:fill="FFFFFF"/>
        </w:rPr>
        <w:t xml:space="preserve"> </w:t>
      </w:r>
      <w:r w:rsidR="00790120">
        <w:rPr>
          <w:rFonts w:ascii="Times New Roman" w:hAnsi="Times New Roman"/>
          <w:sz w:val="22"/>
          <w:shd w:val="clear" w:color="auto" w:fill="FFFFFF"/>
        </w:rPr>
        <w:t xml:space="preserve">for </w:t>
      </w:r>
      <w:r w:rsidR="005D1F77">
        <w:rPr>
          <w:rFonts w:ascii="Times New Roman" w:hAnsi="Times New Roman"/>
          <w:sz w:val="22"/>
          <w:shd w:val="clear" w:color="auto" w:fill="FFFFFF"/>
        </w:rPr>
        <w:t>C</w:t>
      </w:r>
      <w:r>
        <w:rPr>
          <w:rFonts w:ascii="Times New Roman" w:hAnsi="Times New Roman"/>
          <w:sz w:val="22"/>
          <w:shd w:val="clear" w:color="auto" w:fill="FFFFFF"/>
        </w:rPr>
        <w:t>ertification</w:t>
      </w:r>
      <w:r w:rsidR="005D1F77">
        <w:rPr>
          <w:rFonts w:ascii="Times New Roman" w:hAnsi="Times New Roman"/>
          <w:sz w:val="22"/>
          <w:shd w:val="clear" w:color="auto" w:fill="FFFFFF"/>
        </w:rPr>
        <w:t>; and</w:t>
      </w:r>
    </w:p>
    <w:p w:rsidRPr="00947C08" w:rsidR="00947C08" w:rsidP="00947C08" w:rsidRDefault="00947C08" w14:paraId="0400E844" w14:textId="77777777">
      <w:pPr>
        <w:pStyle w:val="ListParagraph"/>
        <w:rPr>
          <w:rFonts w:ascii="Times New Roman" w:hAnsi="Times New Roman"/>
          <w:sz w:val="22"/>
          <w:shd w:val="clear" w:color="auto" w:fill="FFFFFF"/>
        </w:rPr>
      </w:pPr>
    </w:p>
    <w:p w:rsidRPr="00947C08" w:rsidR="00947C08" w:rsidP="00947C08" w:rsidRDefault="00947C08" w14:paraId="7B86F8BA" w14:textId="2DD23799">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TF, TCB, </w:t>
      </w:r>
      <w:r w:rsidR="005D1F77">
        <w:rPr>
          <w:rFonts w:ascii="Times New Roman" w:hAnsi="Times New Roman"/>
          <w:sz w:val="22"/>
          <w:shd w:val="clear" w:color="auto" w:fill="FFFFFF"/>
        </w:rPr>
        <w:t>TFAB</w:t>
      </w:r>
      <w:r>
        <w:rPr>
          <w:rFonts w:ascii="Times New Roman" w:hAnsi="Times New Roman"/>
          <w:sz w:val="22"/>
          <w:shd w:val="clear" w:color="auto" w:fill="FFFFFF"/>
        </w:rPr>
        <w:t>, T</w:t>
      </w:r>
      <w:r w:rsidR="005D1F77">
        <w:rPr>
          <w:rFonts w:ascii="Times New Roman" w:hAnsi="Times New Roman"/>
          <w:sz w:val="22"/>
          <w:shd w:val="clear" w:color="auto" w:fill="FFFFFF"/>
        </w:rPr>
        <w:t>CBA</w:t>
      </w:r>
      <w:r>
        <w:rPr>
          <w:rFonts w:ascii="Times New Roman" w:hAnsi="Times New Roman"/>
          <w:sz w:val="22"/>
          <w:shd w:val="clear" w:color="auto" w:fill="FFFFFF"/>
        </w:rPr>
        <w:t>, or TDA continue to meet the quality and standards set forth in the FCC rules.</w:t>
      </w:r>
    </w:p>
    <w:p w:rsidRPr="00CE080D" w:rsidR="00947B30" w:rsidP="007D4E11" w:rsidRDefault="00947B30" w14:paraId="37F282EB" w14:textId="77777777">
      <w:pPr>
        <w:suppressAutoHyphens/>
        <w:ind w:firstLine="360"/>
        <w:rPr>
          <w:rFonts w:ascii="Times New Roman" w:hAnsi="Times New Roman"/>
          <w:sz w:val="22"/>
          <w:shd w:val="clear" w:color="auto" w:fill="FFFFFF"/>
        </w:rPr>
      </w:pPr>
    </w:p>
    <w:p w:rsidRPr="00947B30" w:rsidR="00A133C0" w:rsidP="007D4E11" w:rsidRDefault="00947B30" w14:paraId="62DDC1F4" w14:textId="304BD805">
      <w:pPr>
        <w:suppressAutoHyphens/>
        <w:rPr>
          <w:rFonts w:ascii="Times New Roman" w:hAnsi="Times New Roman"/>
          <w:sz w:val="22"/>
          <w:shd w:val="clear" w:color="auto" w:fill="FFFFFF"/>
        </w:rPr>
      </w:pPr>
      <w:r>
        <w:rPr>
          <w:rFonts w:ascii="Times New Roman" w:hAnsi="Times New Roman"/>
          <w:sz w:val="22"/>
          <w:shd w:val="clear" w:color="auto" w:fill="FFFFFF"/>
        </w:rPr>
        <w:t xml:space="preserve">A TCB or the FCC may conduct post-market surveillance by requesting test samples from the applicant for further testing.  Pursuant to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Pr>
          <w:rFonts w:ascii="Times New Roman" w:hAnsi="Times New Roman"/>
          <w:sz w:val="22"/>
          <w:shd w:val="clear" w:color="auto" w:fill="FFFFFF"/>
        </w:rPr>
        <w:t xml:space="preserve">2.945 the FCC may request a sample or a voucher for the equipment to be obtained from the marketplace to determine the extent to which production of such equipment continues to comply with the data </w:t>
      </w:r>
      <w:r w:rsidR="005B36FE">
        <w:rPr>
          <w:rFonts w:ascii="Times New Roman" w:hAnsi="Times New Roman"/>
          <w:sz w:val="22"/>
          <w:shd w:val="clear" w:color="auto" w:fill="FFFFFF"/>
        </w:rPr>
        <w:t xml:space="preserve">provided </w:t>
      </w:r>
      <w:r>
        <w:rPr>
          <w:rFonts w:ascii="Times New Roman" w:hAnsi="Times New Roman"/>
          <w:sz w:val="22"/>
          <w:shd w:val="clear" w:color="auto" w:fill="FFFFFF"/>
        </w:rPr>
        <w:t>by the applicant</w:t>
      </w:r>
      <w:r w:rsidR="004929E3">
        <w:rPr>
          <w:rFonts w:ascii="Times New Roman" w:hAnsi="Times New Roman"/>
          <w:sz w:val="22"/>
          <w:shd w:val="clear" w:color="auto" w:fill="FFFFFF"/>
        </w:rPr>
        <w:t xml:space="preserve"> and TCB</w:t>
      </w:r>
      <w:r>
        <w:rPr>
          <w:rFonts w:ascii="Times New Roman" w:hAnsi="Times New Roman"/>
          <w:sz w:val="22"/>
          <w:shd w:val="clear" w:color="auto" w:fill="FFFFFF"/>
        </w:rPr>
        <w:t xml:space="preserve">. </w:t>
      </w:r>
    </w:p>
    <w:p w:rsidRPr="00CE080D" w:rsidR="00947B30" w:rsidP="007D4E11" w:rsidRDefault="00947B30" w14:paraId="71C89B16" w14:textId="77777777">
      <w:pPr>
        <w:suppressAutoHyphens/>
        <w:rPr>
          <w:rFonts w:ascii="Times New Roman" w:hAnsi="Times New Roman"/>
          <w:b/>
          <w:sz w:val="22"/>
          <w:shd w:val="clear" w:color="auto" w:fill="FFFFFF"/>
        </w:rPr>
      </w:pPr>
    </w:p>
    <w:p w:rsidRPr="00CE080D" w:rsidR="00814817" w:rsidP="00814817" w:rsidRDefault="007D4E11" w14:paraId="368D9AFF" w14:textId="109E8902">
      <w:pPr>
        <w:suppressAutoHyphens/>
        <w:rPr>
          <w:rFonts w:ascii="Times New Roman" w:hAnsi="Times New Roman"/>
          <w:sz w:val="22"/>
          <w:shd w:val="clear" w:color="auto" w:fill="FFFFFF"/>
        </w:rPr>
      </w:pPr>
      <w:r w:rsidRPr="00CE080D">
        <w:rPr>
          <w:rFonts w:ascii="Times New Roman" w:hAnsi="Times New Roman"/>
          <w:sz w:val="22"/>
          <w:shd w:val="clear" w:color="auto" w:fill="FFFFFF"/>
        </w:rPr>
        <w:t>3.   Since April 1998, the Commission has offered electronic submittal to the Commission of the FCC Form 731 and attachments</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sidR="005D1F77">
        <w:rPr>
          <w:rFonts w:ascii="Times New Roman" w:hAnsi="Times New Roman"/>
          <w:sz w:val="22"/>
          <w:shd w:val="clear" w:color="auto" w:fill="FFFFFF"/>
        </w:rPr>
        <w:t>B</w:t>
      </w:r>
      <w:r w:rsidRPr="00CE080D">
        <w:rPr>
          <w:rFonts w:ascii="Times New Roman" w:hAnsi="Times New Roman"/>
          <w:sz w:val="22"/>
          <w:shd w:val="clear" w:color="auto" w:fill="FFFFFF"/>
        </w:rPr>
        <w:t xml:space="preserve">y rulemaking on July 8, 2004, the Commission </w:t>
      </w:r>
      <w:r w:rsidR="00C87038">
        <w:rPr>
          <w:rFonts w:ascii="Times New Roman" w:hAnsi="Times New Roman"/>
          <w:sz w:val="22"/>
          <w:shd w:val="clear" w:color="auto" w:fill="FFFFFF"/>
        </w:rPr>
        <w:t>started</w:t>
      </w:r>
      <w:r w:rsidRPr="00CE080D" w:rsidR="00C87038">
        <w:rPr>
          <w:rFonts w:ascii="Times New Roman" w:hAnsi="Times New Roman"/>
          <w:sz w:val="22"/>
          <w:shd w:val="clear" w:color="auto" w:fill="FFFFFF"/>
        </w:rPr>
        <w:t xml:space="preserve"> </w:t>
      </w:r>
      <w:r w:rsidRPr="00CE080D">
        <w:rPr>
          <w:rFonts w:ascii="Times New Roman" w:hAnsi="Times New Roman"/>
          <w:sz w:val="22"/>
          <w:shd w:val="clear" w:color="auto" w:fill="FFFFFF"/>
        </w:rPr>
        <w:t>requir</w:t>
      </w:r>
      <w:r w:rsidR="00C87038">
        <w:rPr>
          <w:rFonts w:ascii="Times New Roman" w:hAnsi="Times New Roman"/>
          <w:sz w:val="22"/>
          <w:shd w:val="clear" w:color="auto" w:fill="FFFFFF"/>
        </w:rPr>
        <w:t>ing</w:t>
      </w:r>
      <w:r w:rsidRPr="00CE080D">
        <w:rPr>
          <w:rFonts w:ascii="Times New Roman" w:hAnsi="Times New Roman"/>
          <w:sz w:val="22"/>
          <w:shd w:val="clear" w:color="auto" w:fill="FFFFFF"/>
        </w:rPr>
        <w:t xml:space="preserve"> electronic filing of </w:t>
      </w:r>
      <w:r w:rsidR="005D1F77">
        <w:rPr>
          <w:rFonts w:ascii="Times New Roman" w:hAnsi="Times New Roman"/>
          <w:sz w:val="22"/>
          <w:shd w:val="clear" w:color="auto" w:fill="FFFFFF"/>
        </w:rPr>
        <w:t>this</w:t>
      </w:r>
      <w:r w:rsidRPr="00CE080D">
        <w:rPr>
          <w:rFonts w:ascii="Times New Roman" w:hAnsi="Times New Roman"/>
          <w:sz w:val="22"/>
          <w:shd w:val="clear" w:color="auto" w:fill="FFFFFF"/>
        </w:rPr>
        <w:t xml:space="preserve"> information.</w:t>
      </w:r>
      <w:r w:rsidRPr="00CE080D" w:rsidR="005D1F77">
        <w:rPr>
          <w:rStyle w:val="FootnoteReference"/>
          <w:rFonts w:ascii="Times New Roman" w:hAnsi="Times New Roman"/>
          <w:sz w:val="22"/>
          <w:shd w:val="clear" w:color="auto" w:fill="FFFFFF"/>
        </w:rPr>
        <w:footnoteReference w:id="7"/>
      </w:r>
      <w:r w:rsidRPr="00CE080D" w:rsidR="005D1F77">
        <w:rPr>
          <w:rFonts w:ascii="Times New Roman" w:hAnsi="Times New Roman"/>
          <w:sz w:val="22"/>
          <w:shd w:val="clear" w:color="auto" w:fill="FFFFFF"/>
        </w:rPr>
        <w:t xml:space="preserve"> </w:t>
      </w:r>
      <w:r w:rsidRPr="00CE080D">
        <w:rPr>
          <w:rFonts w:ascii="Times New Roman" w:hAnsi="Times New Roman"/>
          <w:sz w:val="22"/>
          <w:shd w:val="clear" w:color="auto" w:fill="FFFFFF"/>
        </w:rPr>
        <w:t xml:space="preserve">  The FCC has determined that electronic submission of applications is the most efficient means of facilitating application entry, corresponding with an applicant, providing information on application status, and providing information on authorized equipment to the </w:t>
      </w:r>
      <w:r w:rsidRPr="00CE080D" w:rsidR="000013F6">
        <w:rPr>
          <w:rFonts w:ascii="Times New Roman" w:hAnsi="Times New Roman"/>
          <w:sz w:val="22"/>
          <w:shd w:val="clear" w:color="auto" w:fill="FFFFFF"/>
        </w:rPr>
        <w:t>public</w:t>
      </w:r>
      <w:r w:rsidRPr="00CE080D">
        <w:rPr>
          <w:rFonts w:ascii="Times New Roman" w:hAnsi="Times New Roman"/>
          <w:sz w:val="22"/>
          <w:shd w:val="clear" w:color="auto" w:fill="FFFFFF"/>
        </w:rPr>
        <w:t xml:space="preserve">.  </w:t>
      </w:r>
      <w:r w:rsidRPr="008B7980" w:rsidR="00814817">
        <w:rPr>
          <w:rFonts w:ascii="Times New Roman" w:hAnsi="Times New Roman"/>
          <w:sz w:val="22"/>
          <w:shd w:val="clear" w:color="auto" w:fill="FFFFFF"/>
        </w:rPr>
        <w:t xml:space="preserve">All the information required in this collection is filed on FCC Form 731 at </w:t>
      </w:r>
      <w:hyperlink w:history="1" r:id="rId10">
        <w:r w:rsidRPr="008B7980" w:rsidR="00814817">
          <w:rPr>
            <w:rStyle w:val="Hyperlink"/>
            <w:rFonts w:ascii="Times New Roman" w:hAnsi="Times New Roman"/>
            <w:color w:val="auto"/>
            <w:sz w:val="22"/>
            <w:shd w:val="clear" w:color="auto" w:fill="FFFFFF"/>
          </w:rPr>
          <w:t>https://apps.fcc.gov/eas</w:t>
        </w:r>
      </w:hyperlink>
      <w:r w:rsidRPr="008B7980" w:rsidR="00814817">
        <w:rPr>
          <w:rFonts w:ascii="Times New Roman" w:hAnsi="Times New Roman"/>
          <w:sz w:val="22"/>
          <w:shd w:val="clear" w:color="auto" w:fill="FFFFFF"/>
        </w:rPr>
        <w:t>.</w:t>
      </w:r>
      <w:r w:rsidRPr="00CE080D" w:rsidR="00814817">
        <w:rPr>
          <w:rFonts w:ascii="Times New Roman" w:hAnsi="Times New Roman"/>
          <w:sz w:val="22"/>
          <w:shd w:val="clear" w:color="auto" w:fill="FFFFFF"/>
        </w:rPr>
        <w:t xml:space="preserve">  </w:t>
      </w:r>
    </w:p>
    <w:p w:rsidRPr="00CE080D" w:rsidR="007D4E11" w:rsidP="007D4E11" w:rsidRDefault="007D4E11" w14:paraId="7066A67F" w14:textId="1A371BF0">
      <w:pPr>
        <w:shd w:val="clear" w:color="auto" w:fill="FFFFFF"/>
        <w:tabs>
          <w:tab w:val="left" w:pos="360"/>
        </w:tabs>
        <w:suppressAutoHyphens/>
        <w:rPr>
          <w:rFonts w:ascii="Times New Roman" w:hAnsi="Times New Roman"/>
          <w:b/>
          <w:sz w:val="22"/>
          <w:shd w:val="clear" w:color="auto" w:fill="FFFFFF"/>
        </w:rPr>
      </w:pPr>
    </w:p>
    <w:p w:rsidRPr="00CE080D" w:rsidR="007D4E11" w:rsidP="007D4E11" w:rsidRDefault="007D4E11" w14:paraId="19FEFA2F" w14:textId="1357124D">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The Commission believes that because </w:t>
      </w:r>
      <w:r w:rsidR="00120272">
        <w:rPr>
          <w:rFonts w:ascii="Times New Roman" w:hAnsi="Times New Roman"/>
          <w:sz w:val="22"/>
          <w:shd w:val="clear" w:color="auto" w:fill="FFFFFF"/>
        </w:rPr>
        <w:t>e</w:t>
      </w:r>
      <w:r w:rsidRPr="00CE080D">
        <w:rPr>
          <w:rFonts w:ascii="Times New Roman" w:hAnsi="Times New Roman"/>
          <w:sz w:val="22"/>
          <w:shd w:val="clear" w:color="auto" w:fill="FFFFFF"/>
        </w:rPr>
        <w:t xml:space="preserve">quipment authorization </w:t>
      </w:r>
      <w:r w:rsidR="00814817">
        <w:rPr>
          <w:rFonts w:ascii="Times New Roman" w:hAnsi="Times New Roman"/>
          <w:sz w:val="22"/>
          <w:shd w:val="clear" w:color="auto" w:fill="FFFFFF"/>
        </w:rPr>
        <w:t>applications are submitted by TCBs</w:t>
      </w:r>
      <w:r w:rsidR="00E55374">
        <w:rPr>
          <w:rFonts w:ascii="Times New Roman" w:hAnsi="Times New Roman"/>
          <w:sz w:val="22"/>
          <w:shd w:val="clear" w:color="auto" w:fill="FFFFFF"/>
        </w:rPr>
        <w:t>, who must be</w:t>
      </w:r>
      <w:r w:rsidRPr="00CE080D">
        <w:rPr>
          <w:rFonts w:ascii="Times New Roman" w:hAnsi="Times New Roman"/>
          <w:sz w:val="22"/>
          <w:shd w:val="clear" w:color="auto" w:fill="FFFFFF"/>
        </w:rPr>
        <w:t xml:space="preserve"> on the cutting edge of technology</w:t>
      </w:r>
      <w:r w:rsidR="00E55374">
        <w:rPr>
          <w:rFonts w:ascii="Times New Roman" w:hAnsi="Times New Roman"/>
          <w:sz w:val="22"/>
          <w:shd w:val="clear" w:color="auto" w:fill="FFFFFF"/>
        </w:rPr>
        <w:t xml:space="preserve"> to perform their work</w:t>
      </w:r>
      <w:r w:rsidR="00814817">
        <w:rPr>
          <w:rFonts w:ascii="Times New Roman" w:hAnsi="Times New Roman"/>
          <w:sz w:val="22"/>
          <w:shd w:val="clear" w:color="auto" w:fill="FFFFFF"/>
        </w:rPr>
        <w:t xml:space="preserve">. </w:t>
      </w:r>
      <w:r w:rsidR="00E55374">
        <w:rPr>
          <w:rFonts w:ascii="Times New Roman" w:hAnsi="Times New Roman"/>
          <w:sz w:val="22"/>
          <w:shd w:val="clear" w:color="auto" w:fill="FFFFFF"/>
        </w:rPr>
        <w:t>The Commission believes that t</w:t>
      </w:r>
      <w:r w:rsidR="00814817">
        <w:rPr>
          <w:rFonts w:ascii="Times New Roman" w:hAnsi="Times New Roman"/>
          <w:sz w:val="22"/>
          <w:shd w:val="clear" w:color="auto" w:fill="FFFFFF"/>
        </w:rPr>
        <w:t>hey</w:t>
      </w:r>
      <w:r w:rsidRPr="00CE080D">
        <w:rPr>
          <w:rFonts w:ascii="Times New Roman" w:hAnsi="Times New Roman"/>
          <w:sz w:val="22"/>
          <w:shd w:val="clear" w:color="auto" w:fill="FFFFFF"/>
        </w:rPr>
        <w:t xml:space="preserve"> are </w:t>
      </w:r>
      <w:r w:rsidR="00E55374">
        <w:rPr>
          <w:rFonts w:ascii="Times New Roman" w:hAnsi="Times New Roman"/>
          <w:sz w:val="22"/>
          <w:shd w:val="clear" w:color="auto" w:fill="FFFFFF"/>
        </w:rPr>
        <w:t xml:space="preserve">therefore </w:t>
      </w:r>
      <w:r w:rsidRPr="00CE080D">
        <w:rPr>
          <w:rFonts w:ascii="Times New Roman" w:hAnsi="Times New Roman"/>
          <w:sz w:val="22"/>
          <w:shd w:val="clear" w:color="auto" w:fill="FFFFFF"/>
        </w:rPr>
        <w:t xml:space="preserve">well equipped to make maximum use of electronic media and the Internet to file an application with the Commission.  Thus, we believe that electronic filing does not impose an undue burden on such applicants.    </w:t>
      </w:r>
    </w:p>
    <w:p w:rsidRPr="00CE080D" w:rsidR="007D4E11" w:rsidP="007D4E11" w:rsidRDefault="007D4E11" w14:paraId="65D0ACF2" w14:textId="77777777">
      <w:pPr>
        <w:suppressAutoHyphens/>
        <w:rPr>
          <w:rFonts w:ascii="Times New Roman" w:hAnsi="Times New Roman"/>
          <w:sz w:val="22"/>
          <w:shd w:val="clear" w:color="auto" w:fill="FFFFFF"/>
        </w:rPr>
      </w:pPr>
    </w:p>
    <w:p w:rsidRPr="00CE080D" w:rsidR="007D4E11" w:rsidP="007D4E11" w:rsidRDefault="007D4E11" w14:paraId="665FF333" w14:textId="77777777">
      <w:pPr>
        <w:tabs>
          <w:tab w:val="left" w:pos="360"/>
        </w:tabs>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4.   No other entity is believed to require or to possess the subject information.</w:t>
      </w:r>
    </w:p>
    <w:p w:rsidRPr="00CE080D" w:rsidR="007D4E11" w:rsidP="007D4E11" w:rsidRDefault="007D4E11" w14:paraId="0A01E5AA" w14:textId="77777777">
      <w:pPr>
        <w:tabs>
          <w:tab w:val="left" w:pos="360"/>
        </w:tabs>
        <w:suppressAutoHyphens/>
        <w:outlineLvl w:val="0"/>
        <w:rPr>
          <w:rFonts w:ascii="Times New Roman" w:hAnsi="Times New Roman"/>
          <w:sz w:val="22"/>
          <w:shd w:val="clear" w:color="auto" w:fill="FFFFFF"/>
        </w:rPr>
      </w:pPr>
    </w:p>
    <w:p w:rsidRPr="00CE080D" w:rsidR="007D4E11" w:rsidP="007D4E11" w:rsidRDefault="007D4E11" w14:paraId="05D46116" w14:textId="7638A631">
      <w:pPr>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 xml:space="preserve">5.   Small businesses that become involved in the manufacture of radio communications devices generally request authorization for marketing devices regulated under Part 15 of the FCC’s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Many devices regulated under Part 15 are subject </w:t>
      </w:r>
      <w:r w:rsidR="00E55374">
        <w:rPr>
          <w:rFonts w:ascii="Times New Roman" w:hAnsi="Times New Roman"/>
          <w:sz w:val="22"/>
          <w:shd w:val="clear" w:color="auto" w:fill="FFFFFF"/>
        </w:rPr>
        <w:t xml:space="preserve">to </w:t>
      </w:r>
      <w:r w:rsidR="00947B30">
        <w:rPr>
          <w:rFonts w:ascii="Times New Roman" w:hAnsi="Times New Roman"/>
          <w:sz w:val="22"/>
          <w:shd w:val="clear" w:color="auto" w:fill="FFFFFF"/>
        </w:rPr>
        <w:t>Supplier’s Declaration of Conformity</w:t>
      </w:r>
      <w:r w:rsidR="005D1F77">
        <w:rPr>
          <w:rFonts w:ascii="Times New Roman" w:hAnsi="Times New Roman"/>
          <w:sz w:val="22"/>
          <w:shd w:val="clear" w:color="auto" w:fill="FFFFFF"/>
        </w:rPr>
        <w:t>.</w:t>
      </w:r>
      <w:r w:rsidR="00947B30">
        <w:rPr>
          <w:rStyle w:val="FootnoteReference"/>
          <w:rFonts w:ascii="Times New Roman" w:hAnsi="Times New Roman"/>
          <w:sz w:val="22"/>
          <w:shd w:val="clear" w:color="auto" w:fill="FFFFFF"/>
        </w:rPr>
        <w:footnoteReference w:id="8"/>
      </w:r>
      <w:r w:rsidRPr="00CE080D">
        <w:rPr>
          <w:rFonts w:ascii="Times New Roman" w:hAnsi="Times New Roman"/>
          <w:sz w:val="22"/>
          <w:shd w:val="clear" w:color="auto" w:fill="FFFFFF"/>
        </w:rPr>
        <w:t xml:space="preserve">  These equipment authorizations are the least burdensome of all of the equipment authorization procedures</w:t>
      </w:r>
      <w:r w:rsidR="005D1F77">
        <w:rPr>
          <w:rFonts w:ascii="Times New Roman" w:hAnsi="Times New Roman"/>
          <w:sz w:val="22"/>
          <w:shd w:val="clear" w:color="auto" w:fill="FFFFFF"/>
        </w:rPr>
        <w:t xml:space="preserve">; </w:t>
      </w:r>
      <w:r w:rsidR="004B7F8E">
        <w:rPr>
          <w:rFonts w:ascii="Times New Roman" w:hAnsi="Times New Roman"/>
          <w:sz w:val="22"/>
          <w:shd w:val="clear" w:color="auto" w:fill="FFFFFF"/>
        </w:rPr>
        <w:t xml:space="preserve">for example, authorizations </w:t>
      </w:r>
      <w:r w:rsidR="005D1F77">
        <w:rPr>
          <w:rFonts w:ascii="Times New Roman" w:hAnsi="Times New Roman"/>
          <w:sz w:val="22"/>
          <w:shd w:val="clear" w:color="auto" w:fill="FFFFFF"/>
        </w:rPr>
        <w:t>for such devices</w:t>
      </w:r>
      <w:r w:rsidRPr="00CE080D" w:rsidR="005D1F77">
        <w:rPr>
          <w:rFonts w:ascii="Times New Roman" w:hAnsi="Times New Roman"/>
          <w:sz w:val="22"/>
          <w:shd w:val="clear" w:color="auto" w:fill="FFFFFF"/>
        </w:rPr>
        <w:t xml:space="preserve"> are not required to </w:t>
      </w:r>
      <w:r w:rsidR="005D1F77">
        <w:rPr>
          <w:rFonts w:ascii="Times New Roman" w:hAnsi="Times New Roman"/>
          <w:sz w:val="22"/>
          <w:shd w:val="clear" w:color="auto" w:fill="FFFFFF"/>
        </w:rPr>
        <w:t>be submitted</w:t>
      </w:r>
      <w:r w:rsidRPr="00CE080D" w:rsidR="005D1F77">
        <w:rPr>
          <w:rFonts w:ascii="Times New Roman" w:hAnsi="Times New Roman"/>
          <w:sz w:val="22"/>
          <w:shd w:val="clear" w:color="auto" w:fill="FFFFFF"/>
        </w:rPr>
        <w:t xml:space="preserve"> on </w:t>
      </w:r>
      <w:r w:rsidR="00587AF9">
        <w:rPr>
          <w:rFonts w:ascii="Times New Roman" w:hAnsi="Times New Roman"/>
          <w:sz w:val="22"/>
          <w:shd w:val="clear" w:color="auto" w:fill="FFFFFF"/>
        </w:rPr>
        <w:t xml:space="preserve">FCC </w:t>
      </w:r>
      <w:r w:rsidRPr="00CE080D" w:rsidR="005D1F77">
        <w:rPr>
          <w:rFonts w:ascii="Times New Roman" w:hAnsi="Times New Roman"/>
          <w:sz w:val="22"/>
          <w:shd w:val="clear" w:color="auto" w:fill="FFFFFF"/>
        </w:rPr>
        <w:t>Form 731</w:t>
      </w:r>
      <w:r w:rsidRPr="00CE080D">
        <w:rPr>
          <w:rFonts w:ascii="Times New Roman" w:hAnsi="Times New Roman"/>
          <w:sz w:val="22"/>
          <w:shd w:val="clear" w:color="auto" w:fill="FFFFFF"/>
        </w:rPr>
        <w:t>.  Th</w:t>
      </w:r>
      <w:r w:rsidR="004B7F8E">
        <w:rPr>
          <w:rFonts w:ascii="Times New Roman" w:hAnsi="Times New Roman"/>
          <w:sz w:val="22"/>
          <w:shd w:val="clear" w:color="auto" w:fill="FFFFFF"/>
        </w:rPr>
        <w:t xml:space="preserve">is minimizes the </w:t>
      </w:r>
      <w:r w:rsidRPr="00CE080D">
        <w:rPr>
          <w:rFonts w:ascii="Times New Roman" w:hAnsi="Times New Roman"/>
          <w:sz w:val="22"/>
          <w:shd w:val="clear" w:color="auto" w:fill="FFFFFF"/>
        </w:rPr>
        <w:t>burden on small businesses.</w:t>
      </w:r>
      <w:r w:rsidR="00947C08">
        <w:rPr>
          <w:rFonts w:ascii="Times New Roman" w:hAnsi="Times New Roman"/>
          <w:sz w:val="22"/>
          <w:shd w:val="clear" w:color="auto" w:fill="FFFFFF"/>
        </w:rPr>
        <w:t xml:space="preserve">  Further, the measurement techniques and standards </w:t>
      </w:r>
      <w:r w:rsidR="004B7F8E">
        <w:rPr>
          <w:rFonts w:ascii="Times New Roman" w:hAnsi="Times New Roman"/>
          <w:sz w:val="22"/>
          <w:shd w:val="clear" w:color="auto" w:fill="FFFFFF"/>
        </w:rPr>
        <w:t>associated with our</w:t>
      </w:r>
      <w:r w:rsidR="00947C08">
        <w:rPr>
          <w:rFonts w:ascii="Times New Roman" w:hAnsi="Times New Roman"/>
          <w:sz w:val="22"/>
          <w:shd w:val="clear" w:color="auto" w:fill="FFFFFF"/>
        </w:rPr>
        <w:t xml:space="preserve"> data collection </w:t>
      </w:r>
      <w:r w:rsidR="004B7F8E">
        <w:rPr>
          <w:rFonts w:ascii="Times New Roman" w:hAnsi="Times New Roman"/>
          <w:sz w:val="22"/>
          <w:shd w:val="clear" w:color="auto" w:fill="FFFFFF"/>
        </w:rPr>
        <w:t xml:space="preserve">requirements </w:t>
      </w:r>
      <w:r w:rsidR="00947C08">
        <w:rPr>
          <w:rFonts w:ascii="Times New Roman" w:hAnsi="Times New Roman"/>
          <w:sz w:val="22"/>
          <w:shd w:val="clear" w:color="auto" w:fill="FFFFFF"/>
        </w:rPr>
        <w:t xml:space="preserve">are consistent with </w:t>
      </w:r>
      <w:r w:rsidR="004B7F8E">
        <w:rPr>
          <w:rFonts w:ascii="Times New Roman" w:hAnsi="Times New Roman"/>
          <w:sz w:val="22"/>
          <w:shd w:val="clear" w:color="auto" w:fill="FFFFFF"/>
        </w:rPr>
        <w:t xml:space="preserve">the </w:t>
      </w:r>
      <w:r w:rsidR="00947C08">
        <w:rPr>
          <w:rFonts w:ascii="Times New Roman" w:hAnsi="Times New Roman"/>
          <w:sz w:val="22"/>
          <w:shd w:val="clear" w:color="auto" w:fill="FFFFFF"/>
        </w:rPr>
        <w:t>good engineering practices</w:t>
      </w:r>
      <w:r w:rsidR="004B7F8E">
        <w:rPr>
          <w:rFonts w:ascii="Times New Roman" w:hAnsi="Times New Roman"/>
          <w:sz w:val="22"/>
          <w:shd w:val="clear" w:color="auto" w:fill="FFFFFF"/>
        </w:rPr>
        <w:t xml:space="preserve"> that we would expect of all applicants</w:t>
      </w:r>
      <w:r w:rsidR="00947C08">
        <w:rPr>
          <w:rFonts w:ascii="Times New Roman" w:hAnsi="Times New Roman"/>
          <w:sz w:val="22"/>
          <w:shd w:val="clear" w:color="auto" w:fill="FFFFFF"/>
        </w:rPr>
        <w:t xml:space="preserve">. </w:t>
      </w:r>
    </w:p>
    <w:p w:rsidRPr="00CE080D" w:rsidR="007D4E11" w:rsidP="007D4E11" w:rsidRDefault="007D4E11" w14:paraId="3F9D308E" w14:textId="77777777">
      <w:pPr>
        <w:suppressAutoHyphens/>
        <w:outlineLvl w:val="0"/>
        <w:rPr>
          <w:rFonts w:ascii="Times New Roman" w:hAnsi="Times New Roman"/>
          <w:sz w:val="22"/>
          <w:shd w:val="clear" w:color="auto" w:fill="FFFFFF"/>
        </w:rPr>
      </w:pPr>
    </w:p>
    <w:p w:rsidR="007D4E11" w:rsidP="007D4E11" w:rsidRDefault="007D4E11" w14:paraId="55FF59B4" w14:textId="317BD50C">
      <w:pPr>
        <w:suppressAutoHyphens/>
        <w:rPr>
          <w:rFonts w:ascii="Times New Roman" w:hAnsi="Times New Roman"/>
          <w:sz w:val="22"/>
          <w:shd w:val="clear" w:color="auto" w:fill="FFFFFF"/>
        </w:rPr>
      </w:pPr>
      <w:r w:rsidRPr="00CE080D">
        <w:rPr>
          <w:rFonts w:ascii="Times New Roman" w:hAnsi="Times New Roman"/>
          <w:sz w:val="22"/>
          <w:shd w:val="clear" w:color="auto" w:fill="FFFFFF"/>
        </w:rPr>
        <w:t>6.   The information collected is necessary to determine the interference potential of equipment prior to marketing.  By minimizing the detrimental effects of interfering devices on the radio spectrum, use of the radio spectrum can be maximized.</w:t>
      </w:r>
    </w:p>
    <w:p w:rsidR="00947C08" w:rsidP="007D4E11" w:rsidRDefault="00947C08" w14:paraId="217F8232" w14:textId="33B28903">
      <w:pPr>
        <w:suppressAutoHyphens/>
        <w:rPr>
          <w:rFonts w:ascii="Times New Roman" w:hAnsi="Times New Roman"/>
          <w:sz w:val="22"/>
          <w:shd w:val="clear" w:color="auto" w:fill="FFFFFF"/>
        </w:rPr>
      </w:pPr>
    </w:p>
    <w:p w:rsidR="00896531" w:rsidP="00C60E5B" w:rsidRDefault="00896531" w14:paraId="64EF99A4" w14:textId="4B831EEC">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Applicants </w:t>
      </w:r>
      <w:r>
        <w:rPr>
          <w:rFonts w:ascii="Times New Roman" w:hAnsi="Times New Roman"/>
          <w:sz w:val="22"/>
          <w:shd w:val="clear" w:color="auto" w:fill="FFFFFF"/>
        </w:rPr>
        <w:t xml:space="preserve">for Certification </w:t>
      </w:r>
      <w:r w:rsidRPr="00CE080D">
        <w:rPr>
          <w:rFonts w:ascii="Times New Roman" w:hAnsi="Times New Roman"/>
          <w:sz w:val="22"/>
          <w:shd w:val="clear" w:color="auto" w:fill="FFFFFF"/>
        </w:rPr>
        <w:t xml:space="preserve">must </w:t>
      </w:r>
      <w:r>
        <w:rPr>
          <w:rFonts w:ascii="Times New Roman" w:hAnsi="Times New Roman"/>
          <w:sz w:val="22"/>
          <w:shd w:val="clear" w:color="auto" w:fill="FFFFFF"/>
        </w:rPr>
        <w:t xml:space="preserve">submit application information to a TCB who will review and file the application information with the FCC for final disposition of the application.  For the applicant, this represents </w:t>
      </w:r>
      <w:r w:rsidRPr="00CE080D">
        <w:rPr>
          <w:rFonts w:ascii="Times New Roman" w:hAnsi="Times New Roman"/>
          <w:sz w:val="22"/>
          <w:shd w:val="clear" w:color="auto" w:fill="FFFFFF"/>
        </w:rPr>
        <w:t>a “one</w:t>
      </w:r>
      <w:r>
        <w:rPr>
          <w:rFonts w:ascii="Times New Roman" w:hAnsi="Times New Roman"/>
          <w:sz w:val="22"/>
          <w:shd w:val="clear" w:color="auto" w:fill="FFFFFF"/>
        </w:rPr>
        <w:t>-</w:t>
      </w:r>
      <w:r w:rsidRPr="00CE080D">
        <w:rPr>
          <w:rFonts w:ascii="Times New Roman" w:hAnsi="Times New Roman"/>
          <w:sz w:val="22"/>
          <w:shd w:val="clear" w:color="auto" w:fill="FFFFFF"/>
        </w:rPr>
        <w:t>time filing requirement</w:t>
      </w:r>
      <w:r w:rsidR="00E55374">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Pr>
          <w:rFonts w:ascii="Times New Roman" w:hAnsi="Times New Roman"/>
          <w:sz w:val="22"/>
          <w:shd w:val="clear" w:color="auto" w:fill="FFFFFF"/>
        </w:rPr>
        <w:t xml:space="preserve"> The applicants are required to</w:t>
      </w:r>
      <w:r w:rsidR="00E0087F">
        <w:rPr>
          <w:rFonts w:ascii="Times New Roman" w:hAnsi="Times New Roman"/>
          <w:sz w:val="22"/>
          <w:shd w:val="clear" w:color="auto" w:fill="FFFFFF"/>
        </w:rPr>
        <w:t xml:space="preserve"> obtain a grantee code prior to any </w:t>
      </w:r>
      <w:r w:rsidR="00691196">
        <w:rPr>
          <w:rFonts w:ascii="Times New Roman" w:hAnsi="Times New Roman"/>
          <w:sz w:val="22"/>
          <w:shd w:val="clear" w:color="auto" w:fill="FFFFFF"/>
        </w:rPr>
        <w:t xml:space="preserve">equipment authorization </w:t>
      </w:r>
      <w:r w:rsidR="00E0087F">
        <w:rPr>
          <w:rFonts w:ascii="Times New Roman" w:hAnsi="Times New Roman"/>
          <w:sz w:val="22"/>
          <w:shd w:val="clear" w:color="auto" w:fill="FFFFFF"/>
        </w:rPr>
        <w:t>application</w:t>
      </w:r>
      <w:r>
        <w:rPr>
          <w:rFonts w:ascii="Times New Roman" w:hAnsi="Times New Roman"/>
          <w:sz w:val="22"/>
          <w:shd w:val="clear" w:color="auto" w:fill="FFFFFF"/>
        </w:rPr>
        <w:t xml:space="preserve"> only once for all their devices.  They are required to retain the test results and supporting data for as long as the products are marketed.</w:t>
      </w:r>
    </w:p>
    <w:p w:rsidR="00896531" w:rsidP="00C60E5B" w:rsidRDefault="00896531" w14:paraId="561EF92E" w14:textId="77777777">
      <w:pPr>
        <w:suppressAutoHyphens/>
        <w:rPr>
          <w:rFonts w:ascii="Times New Roman" w:hAnsi="Times New Roman"/>
          <w:sz w:val="22"/>
          <w:shd w:val="clear" w:color="auto" w:fill="FFFFFF"/>
        </w:rPr>
      </w:pPr>
    </w:p>
    <w:p w:rsidR="007D4E11" w:rsidP="000834BE" w:rsidRDefault="00896531" w14:paraId="402130FF" w14:textId="20AE9D49">
      <w:pPr>
        <w:suppressAutoHyphens/>
        <w:rPr>
          <w:rFonts w:ascii="Times New Roman" w:hAnsi="Times New Roman"/>
          <w:sz w:val="22"/>
          <w:shd w:val="clear" w:color="auto" w:fill="FFFFFF"/>
        </w:rPr>
      </w:pPr>
      <w:r>
        <w:rPr>
          <w:rFonts w:ascii="Times New Roman" w:hAnsi="Times New Roman"/>
          <w:sz w:val="22"/>
          <w:shd w:val="clear" w:color="auto" w:fill="FFFFFF"/>
        </w:rPr>
        <w:t xml:space="preserve">In addition, the </w:t>
      </w:r>
      <w:r w:rsidR="00C87038">
        <w:rPr>
          <w:rFonts w:ascii="Times New Roman" w:hAnsi="Times New Roman"/>
          <w:sz w:val="22"/>
          <w:shd w:val="clear" w:color="auto" w:fill="FFFFFF"/>
        </w:rPr>
        <w:t>TFAB</w:t>
      </w:r>
      <w:r w:rsidRPr="00231F34" w:rsidR="00231F34">
        <w:rPr>
          <w:rFonts w:ascii="Times New Roman" w:hAnsi="Times New Roman"/>
          <w:sz w:val="22"/>
          <w:shd w:val="clear" w:color="auto" w:fill="FFFFFF"/>
        </w:rPr>
        <w:t xml:space="preserve"> </w:t>
      </w:r>
      <w:r w:rsidR="00231F34">
        <w:rPr>
          <w:rFonts w:ascii="Times New Roman" w:hAnsi="Times New Roman"/>
          <w:sz w:val="22"/>
          <w:shd w:val="clear" w:color="auto" w:fill="FFFFFF"/>
        </w:rPr>
        <w:t>and TCB</w:t>
      </w:r>
      <w:r w:rsidR="00C87038">
        <w:rPr>
          <w:rFonts w:ascii="Times New Roman" w:hAnsi="Times New Roman"/>
          <w:sz w:val="22"/>
          <w:shd w:val="clear" w:color="auto" w:fill="FFFFFF"/>
        </w:rPr>
        <w:t>A</w:t>
      </w:r>
      <w:r w:rsidR="00231F34">
        <w:rPr>
          <w:rFonts w:ascii="Times New Roman" w:hAnsi="Times New Roman"/>
          <w:sz w:val="22"/>
          <w:shd w:val="clear" w:color="auto" w:fill="FFFFFF"/>
        </w:rPr>
        <w:t xml:space="preserve"> </w:t>
      </w:r>
      <w:r>
        <w:rPr>
          <w:rFonts w:ascii="Times New Roman" w:hAnsi="Times New Roman"/>
          <w:sz w:val="22"/>
          <w:shd w:val="clear" w:color="auto" w:fill="FFFFFF"/>
        </w:rPr>
        <w:t xml:space="preserve">are required </w:t>
      </w:r>
      <w:r w:rsidR="00231F34">
        <w:rPr>
          <w:rFonts w:ascii="Times New Roman" w:hAnsi="Times New Roman"/>
          <w:sz w:val="22"/>
          <w:shd w:val="clear" w:color="auto" w:fill="FFFFFF"/>
        </w:rPr>
        <w:t xml:space="preserve">to </w:t>
      </w:r>
      <w:r w:rsidRPr="00231F34" w:rsidR="00231F34">
        <w:rPr>
          <w:rFonts w:ascii="Times New Roman" w:hAnsi="Times New Roman"/>
          <w:sz w:val="22"/>
          <w:shd w:val="clear" w:color="auto" w:fill="FFFFFF"/>
        </w:rPr>
        <w:t>submit their qualification information once, when they apply to receive recognition from OET as an accreditation body.</w:t>
      </w:r>
      <w:r w:rsidR="00231F34">
        <w:rPr>
          <w:rFonts w:ascii="Times New Roman" w:hAnsi="Times New Roman"/>
          <w:sz w:val="22"/>
          <w:shd w:val="clear" w:color="auto" w:fill="FFFFFF"/>
        </w:rPr>
        <w:t xml:space="preserve"> The T</w:t>
      </w:r>
      <w:r w:rsidR="00C87038">
        <w:rPr>
          <w:rFonts w:ascii="Times New Roman" w:hAnsi="Times New Roman"/>
          <w:sz w:val="22"/>
          <w:shd w:val="clear" w:color="auto" w:fill="FFFFFF"/>
        </w:rPr>
        <w:t>Fs</w:t>
      </w:r>
      <w:r w:rsidR="00231F34">
        <w:rPr>
          <w:rFonts w:ascii="Times New Roman" w:hAnsi="Times New Roman"/>
          <w:sz w:val="22"/>
          <w:shd w:val="clear" w:color="auto" w:fill="FFFFFF"/>
        </w:rPr>
        <w:t xml:space="preserve"> and TCBs are required to submit for accreditation to the appropriate accreditation bodies to demonstrate competency.  The</w:t>
      </w:r>
      <w:r w:rsidR="00E0087F">
        <w:rPr>
          <w:rFonts w:ascii="Times New Roman" w:hAnsi="Times New Roman"/>
          <w:sz w:val="22"/>
          <w:shd w:val="clear" w:color="auto" w:fill="FFFFFF"/>
        </w:rPr>
        <w:t xml:space="preserve"> T</w:t>
      </w:r>
      <w:r w:rsidR="00C87038">
        <w:rPr>
          <w:rFonts w:ascii="Times New Roman" w:hAnsi="Times New Roman"/>
          <w:sz w:val="22"/>
          <w:shd w:val="clear" w:color="auto" w:fill="FFFFFF"/>
        </w:rPr>
        <w:t>Fs</w:t>
      </w:r>
      <w:r w:rsidR="00E0087F">
        <w:rPr>
          <w:rFonts w:ascii="Times New Roman" w:hAnsi="Times New Roman"/>
          <w:sz w:val="22"/>
          <w:shd w:val="clear" w:color="auto" w:fill="FFFFFF"/>
        </w:rPr>
        <w:t xml:space="preserve"> and TCBs </w:t>
      </w:r>
      <w:r w:rsidR="00231F34">
        <w:rPr>
          <w:rFonts w:ascii="Times New Roman" w:hAnsi="Times New Roman"/>
          <w:sz w:val="22"/>
          <w:shd w:val="clear" w:color="auto" w:fill="FFFFFF"/>
        </w:rPr>
        <w:t xml:space="preserve">are required to submit information </w:t>
      </w:r>
      <w:r w:rsidR="00E0087F">
        <w:rPr>
          <w:rFonts w:ascii="Times New Roman" w:hAnsi="Times New Roman"/>
          <w:sz w:val="22"/>
          <w:shd w:val="clear" w:color="auto" w:fill="FFFFFF"/>
        </w:rPr>
        <w:t xml:space="preserve">to their respective accreditation bodies </w:t>
      </w:r>
      <w:r w:rsidR="00231F34">
        <w:rPr>
          <w:rFonts w:ascii="Times New Roman" w:hAnsi="Times New Roman"/>
          <w:sz w:val="22"/>
          <w:shd w:val="clear" w:color="auto" w:fill="FFFFFF"/>
        </w:rPr>
        <w:t>about the test sites and support facilities</w:t>
      </w:r>
      <w:r w:rsidR="00E0087F">
        <w:rPr>
          <w:rFonts w:ascii="Times New Roman" w:hAnsi="Times New Roman"/>
          <w:sz w:val="22"/>
          <w:shd w:val="clear" w:color="auto" w:fill="FFFFFF"/>
        </w:rPr>
        <w:t xml:space="preserve"> that they use for compliance or surveillance testing to ensure that they meet the Commission standards</w:t>
      </w:r>
      <w:r w:rsidR="00231F34">
        <w:rPr>
          <w:rFonts w:ascii="Times New Roman" w:hAnsi="Times New Roman"/>
          <w:sz w:val="22"/>
          <w:shd w:val="clear" w:color="auto" w:fill="FFFFFF"/>
        </w:rPr>
        <w:t>.</w:t>
      </w:r>
      <w:r>
        <w:rPr>
          <w:rFonts w:ascii="Times New Roman" w:hAnsi="Times New Roman"/>
          <w:sz w:val="22"/>
          <w:shd w:val="clear" w:color="auto" w:fill="FFFFFF"/>
        </w:rPr>
        <w:t xml:space="preserve"> Further, </w:t>
      </w:r>
      <w:r w:rsidR="009F423B">
        <w:rPr>
          <w:rFonts w:ascii="Times New Roman" w:hAnsi="Times New Roman"/>
          <w:sz w:val="22"/>
          <w:shd w:val="clear" w:color="auto" w:fill="FFFFFF"/>
        </w:rPr>
        <w:t xml:space="preserve">the rules </w:t>
      </w:r>
      <w:r w:rsidRPr="00231F34">
        <w:rPr>
          <w:rFonts w:ascii="Times New Roman" w:hAnsi="Times New Roman"/>
          <w:sz w:val="22"/>
          <w:shd w:val="clear" w:color="auto" w:fill="FFFFFF"/>
        </w:rPr>
        <w:t xml:space="preserve">require </w:t>
      </w:r>
      <w:r>
        <w:rPr>
          <w:rFonts w:ascii="Times New Roman" w:hAnsi="Times New Roman"/>
          <w:sz w:val="22"/>
          <w:shd w:val="clear" w:color="auto" w:fill="FFFFFF"/>
        </w:rPr>
        <w:t xml:space="preserve">TFs and </w:t>
      </w:r>
      <w:r w:rsidRPr="00C60E5B">
        <w:rPr>
          <w:rFonts w:ascii="Times New Roman" w:hAnsi="Times New Roman"/>
          <w:sz w:val="22"/>
          <w:shd w:val="clear" w:color="auto" w:fill="FFFFFF"/>
        </w:rPr>
        <w:t xml:space="preserve">TCBs </w:t>
      </w:r>
      <w:r w:rsidR="009F423B">
        <w:rPr>
          <w:rFonts w:ascii="Times New Roman" w:hAnsi="Times New Roman"/>
          <w:sz w:val="22"/>
          <w:shd w:val="clear" w:color="auto" w:fill="FFFFFF"/>
        </w:rPr>
        <w:t>should be reassessed by</w:t>
      </w:r>
      <w:r w:rsidRPr="00231F34">
        <w:rPr>
          <w:rFonts w:ascii="Times New Roman" w:hAnsi="Times New Roman"/>
          <w:sz w:val="22"/>
          <w:shd w:val="clear" w:color="auto" w:fill="FFFFFF"/>
        </w:rPr>
        <w:t xml:space="preserve"> the accreditation body at least every two years </w:t>
      </w:r>
      <w:r w:rsidR="0026515E">
        <w:rPr>
          <w:rFonts w:ascii="Times New Roman" w:hAnsi="Times New Roman"/>
          <w:sz w:val="22"/>
          <w:shd w:val="clear" w:color="auto" w:fill="FFFFFF"/>
        </w:rPr>
        <w:t xml:space="preserve">to verify </w:t>
      </w:r>
      <w:r w:rsidRPr="00231F34">
        <w:rPr>
          <w:rFonts w:ascii="Times New Roman" w:hAnsi="Times New Roman"/>
          <w:sz w:val="22"/>
          <w:shd w:val="clear" w:color="auto" w:fill="FFFFFF"/>
        </w:rPr>
        <w:t xml:space="preserve">that the testing facility’s equipment and test set-up have not changed.  Accreditation bodies must provide the Commission any updates to this information. </w:t>
      </w:r>
      <w:r>
        <w:rPr>
          <w:rFonts w:ascii="Times New Roman" w:hAnsi="Times New Roman"/>
          <w:sz w:val="22"/>
          <w:shd w:val="clear" w:color="auto" w:fill="FFFFFF"/>
        </w:rPr>
        <w:t xml:space="preserve"> </w:t>
      </w:r>
    </w:p>
    <w:p w:rsidRPr="00CE080D" w:rsidR="00896531" w:rsidRDefault="00896531" w14:paraId="06A4C78B" w14:textId="77777777">
      <w:pPr>
        <w:suppressAutoHyphens/>
        <w:rPr>
          <w:rFonts w:ascii="Times New Roman" w:hAnsi="Times New Roman"/>
          <w:sz w:val="22"/>
          <w:shd w:val="clear" w:color="auto" w:fill="FFFFFF"/>
        </w:rPr>
      </w:pPr>
    </w:p>
    <w:p w:rsidRPr="00CE080D" w:rsidR="007D4E11" w:rsidP="007D4E11" w:rsidRDefault="007D4E11" w14:paraId="546181F9" w14:textId="77777777">
      <w:pPr>
        <w:suppressAutoHyphens/>
        <w:rPr>
          <w:rFonts w:ascii="Times New Roman" w:hAnsi="Times New Roman"/>
          <w:sz w:val="22"/>
          <w:shd w:val="clear" w:color="auto" w:fill="FFFFFF"/>
        </w:rPr>
      </w:pPr>
      <w:r w:rsidRPr="00CE080D">
        <w:rPr>
          <w:rFonts w:ascii="Times New Roman" w:hAnsi="Times New Roman"/>
          <w:sz w:val="22"/>
          <w:shd w:val="clear" w:color="auto" w:fill="FFFFFF"/>
        </w:rPr>
        <w:t>7.    No special circumstances exist.</w:t>
      </w:r>
    </w:p>
    <w:p w:rsidRPr="00CE080D" w:rsidR="0012538C" w:rsidRDefault="0012538C" w14:paraId="3BC41768" w14:textId="77777777">
      <w:pPr>
        <w:suppressAutoHyphens/>
        <w:rPr>
          <w:rFonts w:ascii="Times New Roman" w:hAnsi="Times New Roman"/>
          <w:sz w:val="22"/>
          <w:shd w:val="clear" w:color="auto" w:fill="FFFFFF"/>
        </w:rPr>
      </w:pPr>
    </w:p>
    <w:p w:rsidRPr="00CE080D" w:rsidR="009E739B" w:rsidP="000013F6" w:rsidRDefault="009E739B" w14:paraId="6CC2C479" w14:textId="58FD4C3D">
      <w:pPr>
        <w:tabs>
          <w:tab w:val="left" w:pos="360"/>
        </w:tabs>
        <w:rPr>
          <w:rFonts w:ascii="Times New Roman" w:hAnsi="Times New Roman"/>
          <w:sz w:val="22"/>
          <w:shd w:val="clear" w:color="auto" w:fill="FFFFFF"/>
        </w:rPr>
      </w:pPr>
      <w:r w:rsidRPr="00CE080D">
        <w:rPr>
          <w:rFonts w:ascii="Times New Roman" w:hAnsi="Times New Roman"/>
          <w:sz w:val="22"/>
          <w:shd w:val="clear" w:color="auto" w:fill="FFFFFF"/>
        </w:rPr>
        <w:t>8.</w:t>
      </w:r>
      <w:r w:rsidRPr="00CE080D">
        <w:rPr>
          <w:rFonts w:ascii="Times New Roman" w:hAnsi="Times New Roman"/>
          <w:sz w:val="22"/>
          <w:shd w:val="clear" w:color="auto" w:fill="FFFFFF"/>
        </w:rPr>
        <w:tab/>
      </w:r>
      <w:r w:rsidRPr="00CE080D" w:rsidR="0012538C">
        <w:rPr>
          <w:rFonts w:ascii="Times New Roman" w:hAnsi="Times New Roman"/>
          <w:sz w:val="22"/>
          <w:shd w:val="clear" w:color="auto" w:fill="FFFFFF"/>
        </w:rPr>
        <w:t xml:space="preserve">The </w:t>
      </w:r>
      <w:r w:rsidRPr="00CE080D">
        <w:rPr>
          <w:rFonts w:ascii="Times New Roman" w:hAnsi="Times New Roman"/>
          <w:sz w:val="22"/>
          <w:shd w:val="clear" w:color="auto" w:fill="FFFFFF"/>
        </w:rPr>
        <w:t xml:space="preserve">FCC published </w:t>
      </w:r>
      <w:r w:rsidRPr="00CE080D" w:rsidR="0012538C">
        <w:rPr>
          <w:rFonts w:ascii="Times New Roman" w:hAnsi="Times New Roman"/>
          <w:sz w:val="22"/>
          <w:shd w:val="clear" w:color="auto" w:fill="FFFFFF"/>
        </w:rPr>
        <w:t>a 60</w:t>
      </w:r>
      <w:r w:rsidR="00185F46">
        <w:rPr>
          <w:rFonts w:ascii="Times New Roman" w:hAnsi="Times New Roman"/>
          <w:sz w:val="22"/>
          <w:shd w:val="clear" w:color="auto" w:fill="FFFFFF"/>
        </w:rPr>
        <w:t>-</w:t>
      </w:r>
      <w:r w:rsidRPr="00CE080D" w:rsidR="0012538C">
        <w:rPr>
          <w:rFonts w:ascii="Times New Roman" w:hAnsi="Times New Roman"/>
          <w:sz w:val="22"/>
          <w:shd w:val="clear" w:color="auto" w:fill="FFFFFF"/>
        </w:rPr>
        <w:t xml:space="preserve">day </w:t>
      </w:r>
      <w:r w:rsidRPr="00D61658" w:rsidR="0012538C">
        <w:rPr>
          <w:rFonts w:ascii="Times New Roman" w:hAnsi="Times New Roman"/>
          <w:i/>
          <w:sz w:val="22"/>
          <w:shd w:val="clear" w:color="auto" w:fill="FFFFFF"/>
        </w:rPr>
        <w:t>Federal Register</w:t>
      </w:r>
      <w:r w:rsidRPr="00D61658" w:rsidR="0012538C">
        <w:rPr>
          <w:rFonts w:ascii="Times New Roman" w:hAnsi="Times New Roman"/>
          <w:sz w:val="22"/>
          <w:shd w:val="clear" w:color="auto" w:fill="FFFFFF"/>
        </w:rPr>
        <w:t xml:space="preserve"> Notice </w:t>
      </w:r>
      <w:r w:rsidRPr="00D61658">
        <w:rPr>
          <w:rFonts w:ascii="Times New Roman" w:hAnsi="Times New Roman"/>
          <w:sz w:val="22"/>
          <w:shd w:val="clear" w:color="auto" w:fill="FFFFFF"/>
        </w:rPr>
        <w:t xml:space="preserve">on </w:t>
      </w:r>
      <w:r w:rsidR="00603B8A">
        <w:rPr>
          <w:rFonts w:ascii="Times New Roman" w:hAnsi="Times New Roman"/>
          <w:sz w:val="22"/>
          <w:shd w:val="clear" w:color="auto" w:fill="FFFFFF"/>
        </w:rPr>
        <w:t>March</w:t>
      </w:r>
      <w:r w:rsidRPr="00603B8A" w:rsidR="00030A60">
        <w:rPr>
          <w:rFonts w:ascii="Times New Roman" w:hAnsi="Times New Roman"/>
          <w:sz w:val="22"/>
          <w:shd w:val="clear" w:color="auto" w:fill="FFFFFF"/>
        </w:rPr>
        <w:t xml:space="preserve"> </w:t>
      </w:r>
      <w:r w:rsidR="00603B8A">
        <w:rPr>
          <w:rFonts w:ascii="Times New Roman" w:hAnsi="Times New Roman"/>
          <w:sz w:val="22"/>
          <w:shd w:val="clear" w:color="auto" w:fill="FFFFFF"/>
        </w:rPr>
        <w:t>31</w:t>
      </w:r>
      <w:r w:rsidRPr="00603B8A" w:rsidR="00D61658">
        <w:rPr>
          <w:rFonts w:ascii="Times New Roman" w:hAnsi="Times New Roman"/>
          <w:sz w:val="22"/>
          <w:shd w:val="clear" w:color="auto" w:fill="FFFFFF"/>
        </w:rPr>
        <w:t>, 20</w:t>
      </w:r>
      <w:r w:rsidRPr="00603B8A" w:rsidR="00030A60">
        <w:rPr>
          <w:rFonts w:ascii="Times New Roman" w:hAnsi="Times New Roman"/>
          <w:sz w:val="22"/>
          <w:shd w:val="clear" w:color="auto" w:fill="FFFFFF"/>
        </w:rPr>
        <w:t>20</w:t>
      </w:r>
      <w:r w:rsidRPr="00603B8A" w:rsidR="00D61658">
        <w:rPr>
          <w:rFonts w:ascii="Times New Roman" w:hAnsi="Times New Roman"/>
          <w:sz w:val="22"/>
          <w:shd w:val="clear" w:color="auto" w:fill="FFFFFF"/>
        </w:rPr>
        <w:t xml:space="preserve"> (</w:t>
      </w:r>
      <w:r w:rsidR="00603B8A">
        <w:rPr>
          <w:rFonts w:ascii="Times New Roman" w:hAnsi="Times New Roman"/>
          <w:sz w:val="22"/>
          <w:shd w:val="clear" w:color="auto" w:fill="FFFFFF"/>
        </w:rPr>
        <w:t>85</w:t>
      </w:r>
      <w:r w:rsidRPr="00603B8A" w:rsidR="00D61658">
        <w:rPr>
          <w:rFonts w:ascii="Times New Roman" w:hAnsi="Times New Roman"/>
          <w:sz w:val="22"/>
          <w:shd w:val="clear" w:color="auto" w:fill="FFFFFF"/>
        </w:rPr>
        <w:t xml:space="preserve"> FR </w:t>
      </w:r>
      <w:r w:rsidR="00603B8A">
        <w:rPr>
          <w:rFonts w:ascii="Times New Roman" w:hAnsi="Times New Roman"/>
          <w:sz w:val="22"/>
          <w:shd w:val="clear" w:color="auto" w:fill="FFFFFF"/>
        </w:rPr>
        <w:t>17879</w:t>
      </w:r>
      <w:r w:rsidRPr="00603B8A" w:rsidR="00D61658">
        <w:rPr>
          <w:rFonts w:ascii="Times New Roman" w:hAnsi="Times New Roman"/>
          <w:sz w:val="22"/>
          <w:shd w:val="clear" w:color="auto" w:fill="FFFFFF"/>
        </w:rPr>
        <w:t>)</w:t>
      </w:r>
      <w:r w:rsidRPr="00603B8A">
        <w:rPr>
          <w:rFonts w:ascii="Times New Roman" w:hAnsi="Times New Roman"/>
          <w:sz w:val="22"/>
          <w:shd w:val="clear" w:color="auto" w:fill="FFFFFF"/>
        </w:rPr>
        <w:t xml:space="preserve"> </w:t>
      </w:r>
      <w:r w:rsidRPr="00603B8A" w:rsidR="0012538C">
        <w:rPr>
          <w:rFonts w:ascii="Times New Roman" w:hAnsi="Times New Roman"/>
          <w:sz w:val="22"/>
          <w:shd w:val="clear" w:color="auto" w:fill="FFFFFF"/>
        </w:rPr>
        <w:t>to</w:t>
      </w:r>
      <w:r w:rsidRPr="00CE080D" w:rsidR="0012538C">
        <w:rPr>
          <w:rFonts w:ascii="Times New Roman" w:hAnsi="Times New Roman"/>
          <w:sz w:val="22"/>
          <w:shd w:val="clear" w:color="auto" w:fill="FFFFFF"/>
        </w:rPr>
        <w:t xml:space="preserve"> solicit public comment on this information collection.  A copy is included with this submission.  The Notice generated no public comment</w:t>
      </w:r>
      <w:r w:rsidRPr="00CE080D" w:rsidR="00DD3FF7">
        <w:rPr>
          <w:rFonts w:ascii="Times New Roman" w:hAnsi="Times New Roman"/>
          <w:sz w:val="22"/>
          <w:shd w:val="clear" w:color="auto" w:fill="FFFFFF"/>
        </w:rPr>
        <w:t>s</w:t>
      </w:r>
      <w:r w:rsidRPr="00CE080D" w:rsidR="0012538C">
        <w:rPr>
          <w:rFonts w:ascii="Times New Roman" w:hAnsi="Times New Roman"/>
          <w:sz w:val="22"/>
          <w:shd w:val="clear" w:color="auto" w:fill="FFFFFF"/>
        </w:rPr>
        <w:t xml:space="preserve">.   </w:t>
      </w:r>
    </w:p>
    <w:p w:rsidRPr="00CE080D" w:rsidR="009E739B" w:rsidP="009E739B" w:rsidRDefault="009E739B" w14:paraId="06F8520B" w14:textId="77777777">
      <w:pPr>
        <w:rPr>
          <w:rFonts w:ascii="Times New Roman" w:hAnsi="Times New Roman"/>
          <w:sz w:val="22"/>
          <w:shd w:val="clear" w:color="auto" w:fill="FFFFFF"/>
        </w:rPr>
      </w:pPr>
    </w:p>
    <w:p w:rsidRPr="00B37701" w:rsidR="0012538C" w:rsidP="000013F6" w:rsidRDefault="0012538C" w14:paraId="7F701BAD" w14:textId="77777777">
      <w:pPr>
        <w:rPr>
          <w:rFonts w:ascii="Times New Roman" w:hAnsi="Times New Roman"/>
          <w:sz w:val="22"/>
          <w:shd w:val="clear" w:color="auto" w:fill="FFFFFF"/>
        </w:rPr>
      </w:pPr>
      <w:r w:rsidRPr="00CE080D">
        <w:rPr>
          <w:rFonts w:ascii="Times New Roman" w:hAnsi="Times New Roman"/>
          <w:sz w:val="22"/>
          <w:shd w:val="clear" w:color="auto" w:fill="FFFFFF"/>
        </w:rPr>
        <w:t>In addition, the Commission maintains dialogue with manufacturers and other members of the telecommunications industry</w:t>
      </w:r>
      <w:r w:rsidRPr="00CE080D" w:rsidR="00A7700B">
        <w:rPr>
          <w:rFonts w:ascii="Times New Roman" w:hAnsi="Times New Roman"/>
          <w:sz w:val="22"/>
          <w:shd w:val="clear" w:color="auto" w:fill="FFFFFF"/>
        </w:rPr>
        <w:t>, including N</w:t>
      </w:r>
      <w:r w:rsidRPr="00CE080D" w:rsidR="0056619A">
        <w:rPr>
          <w:rFonts w:ascii="Times New Roman" w:hAnsi="Times New Roman"/>
          <w:sz w:val="22"/>
          <w:shd w:val="clear" w:color="auto" w:fill="FFFFFF"/>
        </w:rPr>
        <w:t>IST</w:t>
      </w:r>
      <w:r w:rsidRPr="00CE080D" w:rsidR="00A7700B">
        <w:rPr>
          <w:rFonts w:ascii="Times New Roman" w:hAnsi="Times New Roman"/>
          <w:sz w:val="22"/>
          <w:shd w:val="clear" w:color="auto" w:fill="FFFFFF"/>
        </w:rPr>
        <w:t xml:space="preserve"> and other Federal agencies that oversee technological issues </w:t>
      </w:r>
      <w:r w:rsidRPr="00CE080D">
        <w:rPr>
          <w:rFonts w:ascii="Times New Roman" w:hAnsi="Times New Roman"/>
          <w:sz w:val="22"/>
          <w:shd w:val="clear" w:color="auto" w:fill="FFFFFF"/>
        </w:rPr>
        <w:t>to ensure that the Commission staff</w:t>
      </w:r>
      <w:r w:rsidRPr="00B37701">
        <w:rPr>
          <w:rFonts w:ascii="Times New Roman" w:hAnsi="Times New Roman"/>
          <w:sz w:val="22"/>
          <w:shd w:val="clear" w:color="auto" w:fill="FFFFFF"/>
        </w:rPr>
        <w:t xml:space="preserve"> remains abreast of new technologies and practices that might affect this information collection.</w:t>
      </w:r>
    </w:p>
    <w:p w:rsidRPr="00B37701" w:rsidR="0012538C" w:rsidRDefault="0012538C" w14:paraId="0AE2B815" w14:textId="77777777">
      <w:pPr>
        <w:suppressAutoHyphens/>
        <w:rPr>
          <w:rFonts w:ascii="Times New Roman" w:hAnsi="Times New Roman"/>
          <w:sz w:val="22"/>
          <w:shd w:val="clear" w:color="auto" w:fill="FFFFFF"/>
        </w:rPr>
      </w:pPr>
    </w:p>
    <w:p w:rsidRPr="00B37701" w:rsidR="0012538C" w:rsidP="000013F6" w:rsidRDefault="000013F6" w14:paraId="36BCB766" w14:textId="1A0F6F18">
      <w:pPr>
        <w:suppressAutoHyphens/>
        <w:rPr>
          <w:rFonts w:ascii="Times New Roman" w:hAnsi="Times New Roman"/>
          <w:sz w:val="22"/>
          <w:shd w:val="clear" w:color="auto" w:fill="FFFFFF"/>
        </w:rPr>
      </w:pPr>
      <w:r>
        <w:rPr>
          <w:rFonts w:ascii="Times New Roman" w:hAnsi="Times New Roman"/>
          <w:sz w:val="22"/>
          <w:shd w:val="clear" w:color="auto" w:fill="FFFFFF"/>
        </w:rPr>
        <w:t xml:space="preserve">9.   </w:t>
      </w:r>
      <w:r w:rsidRPr="00B37701" w:rsidR="0012538C">
        <w:rPr>
          <w:rFonts w:ascii="Times New Roman" w:hAnsi="Times New Roman"/>
          <w:sz w:val="22"/>
          <w:shd w:val="clear" w:color="auto" w:fill="FFFFFF"/>
        </w:rPr>
        <w:t xml:space="preserve">No payments or gifts are given to respondents.  </w:t>
      </w:r>
    </w:p>
    <w:p w:rsidRPr="00B37701" w:rsidR="00D95DD3" w:rsidP="00D95DD3" w:rsidRDefault="00D95DD3" w14:paraId="00D49F9F" w14:textId="77777777">
      <w:pPr>
        <w:suppressAutoHyphens/>
        <w:rPr>
          <w:rFonts w:ascii="Times New Roman" w:hAnsi="Times New Roman"/>
          <w:sz w:val="22"/>
          <w:shd w:val="clear" w:color="auto" w:fill="FFFFFF"/>
        </w:rPr>
      </w:pPr>
    </w:p>
    <w:p w:rsidR="00603B8A" w:rsidP="00D95DD3" w:rsidRDefault="00603B8A" w14:paraId="73C9A3FC" w14:textId="77777777">
      <w:pPr>
        <w:suppressAutoHyphens/>
        <w:rPr>
          <w:rFonts w:ascii="Times New Roman" w:hAnsi="Times New Roman"/>
          <w:sz w:val="22"/>
          <w:shd w:val="clear" w:color="auto" w:fill="FFFFFF"/>
        </w:rPr>
      </w:pPr>
    </w:p>
    <w:p w:rsidR="00603B8A" w:rsidP="00D95DD3" w:rsidRDefault="00603B8A" w14:paraId="65ED0F42" w14:textId="77777777">
      <w:pPr>
        <w:suppressAutoHyphens/>
        <w:rPr>
          <w:rFonts w:ascii="Times New Roman" w:hAnsi="Times New Roman"/>
          <w:sz w:val="22"/>
          <w:shd w:val="clear" w:color="auto" w:fill="FFFFFF"/>
        </w:rPr>
      </w:pPr>
    </w:p>
    <w:p w:rsidR="00603B8A" w:rsidP="00D95DD3" w:rsidRDefault="00603B8A" w14:paraId="11C71009" w14:textId="77777777">
      <w:pPr>
        <w:suppressAutoHyphens/>
        <w:rPr>
          <w:rFonts w:ascii="Times New Roman" w:hAnsi="Times New Roman"/>
          <w:sz w:val="22"/>
          <w:shd w:val="clear" w:color="auto" w:fill="FFFFFF"/>
        </w:rPr>
      </w:pPr>
    </w:p>
    <w:p w:rsidRPr="00B37701" w:rsidR="00D95DD3" w:rsidP="00D95DD3" w:rsidRDefault="00D95DD3" w14:paraId="77FC48E3" w14:textId="526F456C">
      <w:p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10.  Minimal exemption from the Freedom of Information Act (5 U.S.C. 552(b)(4) and FCC Rules under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B37701">
        <w:rPr>
          <w:rFonts w:ascii="Times New Roman" w:hAnsi="Times New Roman"/>
          <w:sz w:val="22"/>
          <w:shd w:val="clear" w:color="auto" w:fill="FFFFFF"/>
        </w:rPr>
        <w:t>0.457(d)) is granted for trade secrets which may be submitted as attachments to the application Form 731.  No other assurances of confidentiality are provided to respondents.</w:t>
      </w:r>
    </w:p>
    <w:p w:rsidRPr="00B37701" w:rsidR="00D95DD3" w:rsidP="00D95DD3" w:rsidRDefault="00D95DD3" w14:paraId="24851A2A" w14:textId="77777777">
      <w:pPr>
        <w:suppressAutoHyphens/>
        <w:rPr>
          <w:rFonts w:ascii="Times New Roman" w:hAnsi="Times New Roman"/>
          <w:sz w:val="22"/>
          <w:shd w:val="clear" w:color="auto" w:fill="FFFFFF"/>
        </w:rPr>
      </w:pPr>
    </w:p>
    <w:p w:rsidRPr="00B37701" w:rsidR="00D95DD3" w:rsidP="00D95DD3" w:rsidRDefault="00D95DD3" w14:paraId="21497947" w14:textId="77777777">
      <w:pPr>
        <w:suppressAutoHyphens/>
        <w:rPr>
          <w:rFonts w:ascii="Times New Roman" w:hAnsi="Times New Roman"/>
          <w:sz w:val="22"/>
          <w:shd w:val="clear" w:color="auto" w:fill="FFFFFF"/>
        </w:rPr>
      </w:pPr>
      <w:r w:rsidRPr="00B37701">
        <w:rPr>
          <w:rFonts w:ascii="Times New Roman" w:hAnsi="Times New Roman"/>
          <w:sz w:val="22"/>
          <w:shd w:val="clear" w:color="auto" w:fill="FFFFFF"/>
        </w:rPr>
        <w:t>11.  No questions of a sensitive nature are included on the Form 731.</w:t>
      </w:r>
    </w:p>
    <w:p w:rsidRPr="00B37701" w:rsidR="00D95DD3" w:rsidP="00D95DD3" w:rsidRDefault="00D95DD3" w14:paraId="1ABE5F3A" w14:textId="77777777">
      <w:pPr>
        <w:suppressAutoHyphens/>
        <w:rPr>
          <w:rFonts w:ascii="Times New Roman" w:hAnsi="Times New Roman"/>
          <w:sz w:val="22"/>
          <w:shd w:val="clear" w:color="auto" w:fill="FFFFFF"/>
        </w:rPr>
      </w:pPr>
    </w:p>
    <w:p w:rsidRPr="001E75EA" w:rsidR="00D95DD3" w:rsidP="0065586B" w:rsidRDefault="00D95DD3" w14:paraId="14580406" w14:textId="3882ADF4">
      <w:pPr>
        <w:pStyle w:val="BodyTextIndent"/>
        <w:ind w:left="0" w:firstLine="0"/>
        <w:rPr>
          <w:shd w:val="clear" w:color="auto" w:fill="FFFFFF"/>
        </w:rPr>
      </w:pPr>
      <w:r w:rsidRPr="00B37701">
        <w:rPr>
          <w:shd w:val="clear" w:color="auto" w:fill="FFFFFF"/>
        </w:rPr>
        <w:t xml:space="preserve">12. </w:t>
      </w:r>
      <w:r w:rsidRPr="00B37701">
        <w:rPr>
          <w:shd w:val="clear" w:color="auto" w:fill="FFFFFF"/>
        </w:rPr>
        <w:tab/>
      </w:r>
      <w:r w:rsidRPr="001E75EA">
        <w:rPr>
          <w:shd w:val="clear" w:color="auto" w:fill="FFFFFF"/>
        </w:rPr>
        <w:t xml:space="preserve">The Commission has calculated the estimated burden for </w:t>
      </w:r>
      <w:r w:rsidR="00FF4D72">
        <w:rPr>
          <w:shd w:val="clear" w:color="auto" w:fill="FFFFFF"/>
        </w:rPr>
        <w:t>24,8</w:t>
      </w:r>
      <w:r w:rsidR="0019457E">
        <w:rPr>
          <w:shd w:val="clear" w:color="auto" w:fill="FFFFFF"/>
        </w:rPr>
        <w:t>73</w:t>
      </w:r>
      <w:r w:rsidRPr="001E75EA">
        <w:rPr>
          <w:shd w:val="clear" w:color="auto" w:fill="FFFFFF"/>
        </w:rPr>
        <w:t xml:space="preserve"> responses from </w:t>
      </w:r>
      <w:r w:rsidR="00301AF1">
        <w:rPr>
          <w:shd w:val="clear" w:color="auto" w:fill="FFFFFF"/>
        </w:rPr>
        <w:t>11,</w:t>
      </w:r>
      <w:r w:rsidR="0019457E">
        <w:rPr>
          <w:shd w:val="clear" w:color="auto" w:fill="FFFFFF"/>
        </w:rPr>
        <w:t>305</w:t>
      </w:r>
      <w:r w:rsidRPr="001E75EA">
        <w:rPr>
          <w:shd w:val="clear" w:color="auto" w:fill="FFFFFF"/>
        </w:rPr>
        <w:t xml:space="preserve"> respondents annually as follows:</w:t>
      </w:r>
    </w:p>
    <w:p w:rsidRPr="001E75EA" w:rsidR="00D95DD3" w:rsidP="00D95DD3" w:rsidRDefault="00D95DD3" w14:paraId="0F9F0664" w14:textId="77777777">
      <w:pPr>
        <w:pStyle w:val="BodyTextIndent"/>
        <w:rPr>
          <w:shd w:val="clear" w:color="auto" w:fill="FFFFFF"/>
        </w:rPr>
      </w:pPr>
    </w:p>
    <w:p w:rsidRPr="001E75EA" w:rsidR="00D95DD3" w:rsidP="00A15381" w:rsidRDefault="001E75EA" w14:paraId="62C4E43F" w14:textId="0B42372A">
      <w:pPr>
        <w:pStyle w:val="BodyTextIndent"/>
        <w:numPr>
          <w:ilvl w:val="0"/>
          <w:numId w:val="21"/>
        </w:numPr>
        <w:tabs>
          <w:tab w:val="clear" w:pos="360"/>
        </w:tabs>
        <w:rPr>
          <w:shd w:val="clear" w:color="auto" w:fill="FFFFFF"/>
        </w:rPr>
      </w:pPr>
      <w:r>
        <w:rPr>
          <w:shd w:val="clear" w:color="auto" w:fill="FFFFFF"/>
        </w:rPr>
        <w:t>3</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who </w:t>
      </w:r>
      <w:r w:rsidR="0042569B">
        <w:rPr>
          <w:shd w:val="clear" w:color="auto" w:fill="FFFFFF"/>
        </w:rPr>
        <w:t xml:space="preserve">obtain a new grantee code </w:t>
      </w:r>
      <w:r w:rsidR="0065586B">
        <w:rPr>
          <w:shd w:val="clear" w:color="auto" w:fill="FFFFFF"/>
        </w:rPr>
        <w:t>to</w:t>
      </w:r>
      <w:r w:rsidR="0042569B">
        <w:rPr>
          <w:shd w:val="clear" w:color="auto" w:fill="FFFFFF"/>
        </w:rPr>
        <w:t xml:space="preserve"> </w:t>
      </w:r>
      <w:r>
        <w:rPr>
          <w:shd w:val="clear" w:color="auto" w:fill="FFFFFF"/>
        </w:rPr>
        <w:t>fil</w:t>
      </w:r>
      <w:r w:rsidR="0042569B">
        <w:rPr>
          <w:shd w:val="clear" w:color="auto" w:fill="FFFFFF"/>
        </w:rPr>
        <w:t>e</w:t>
      </w:r>
      <w:r>
        <w:rPr>
          <w:shd w:val="clear" w:color="auto" w:fill="FFFFFF"/>
        </w:rPr>
        <w:t xml:space="preserve"> new applications for </w:t>
      </w:r>
      <w:r w:rsidR="005D1F77">
        <w:rPr>
          <w:shd w:val="clear" w:color="auto" w:fill="FFFFFF"/>
        </w:rPr>
        <w:t>C</w:t>
      </w:r>
      <w:r>
        <w:rPr>
          <w:shd w:val="clear" w:color="auto" w:fill="FFFFFF"/>
        </w:rPr>
        <w:t>ertification in the future.</w:t>
      </w:r>
    </w:p>
    <w:p w:rsidRPr="001E75EA" w:rsidR="00D95DD3" w:rsidP="00D95DD3" w:rsidRDefault="00D95DD3" w14:paraId="36752E63" w14:textId="77777777">
      <w:pPr>
        <w:pStyle w:val="BodyTextIndent"/>
        <w:tabs>
          <w:tab w:val="clear" w:pos="360"/>
        </w:tabs>
        <w:ind w:left="720" w:firstLine="0"/>
        <w:rPr>
          <w:shd w:val="clear" w:color="auto" w:fill="FFFFFF"/>
        </w:rPr>
      </w:pPr>
    </w:p>
    <w:p w:rsidR="00D95DD3" w:rsidP="00A15381" w:rsidRDefault="00D95DD3" w14:paraId="48815C36" w14:textId="351817C0">
      <w:pPr>
        <w:pStyle w:val="BodyTextIndent"/>
        <w:numPr>
          <w:ilvl w:val="0"/>
          <w:numId w:val="21"/>
        </w:numPr>
        <w:tabs>
          <w:tab w:val="clear" w:pos="360"/>
        </w:tabs>
        <w:rPr>
          <w:shd w:val="clear" w:color="auto" w:fill="FFFFFF"/>
        </w:rPr>
      </w:pPr>
      <w:r w:rsidRPr="001E75EA">
        <w:rPr>
          <w:shd w:val="clear" w:color="auto" w:fill="FFFFFF"/>
        </w:rPr>
        <w:t>40 TCBs to review the RF equipment authorization requests on behalf of the FCC</w:t>
      </w:r>
      <w:r w:rsidR="001E75EA">
        <w:rPr>
          <w:shd w:val="clear" w:color="auto" w:fill="FFFFFF"/>
        </w:rPr>
        <w:t>.</w:t>
      </w:r>
    </w:p>
    <w:p w:rsidR="001E75EA" w:rsidP="001E75EA" w:rsidRDefault="001E75EA" w14:paraId="48EF4275" w14:textId="77777777">
      <w:pPr>
        <w:pStyle w:val="ListParagraph"/>
        <w:rPr>
          <w:shd w:val="clear" w:color="auto" w:fill="FFFFFF"/>
        </w:rPr>
      </w:pPr>
    </w:p>
    <w:p w:rsidR="001E75EA" w:rsidP="00A15381" w:rsidRDefault="001E75EA" w14:paraId="7853FBC9" w14:textId="2F650110">
      <w:pPr>
        <w:pStyle w:val="BodyTextIndent"/>
        <w:numPr>
          <w:ilvl w:val="0"/>
          <w:numId w:val="21"/>
        </w:numPr>
        <w:tabs>
          <w:tab w:val="clear" w:pos="360"/>
        </w:tabs>
        <w:rPr>
          <w:shd w:val="clear" w:color="auto" w:fill="FFFFFF"/>
        </w:rPr>
      </w:pPr>
      <w:r>
        <w:rPr>
          <w:shd w:val="clear" w:color="auto" w:fill="FFFFFF"/>
        </w:rPr>
        <w:t xml:space="preserve">One </w:t>
      </w:r>
      <w:r w:rsidR="00131E67">
        <w:rPr>
          <w:shd w:val="clear" w:color="auto" w:fill="FFFFFF"/>
        </w:rPr>
        <w:t>TF</w:t>
      </w:r>
      <w:r>
        <w:rPr>
          <w:shd w:val="clear" w:color="auto" w:fill="FFFFFF"/>
        </w:rPr>
        <w:t xml:space="preserve"> </w:t>
      </w:r>
      <w:r w:rsidR="00B6592F">
        <w:rPr>
          <w:shd w:val="clear" w:color="auto" w:fill="FFFFFF"/>
        </w:rPr>
        <w:t xml:space="preserve">Accreditation Body </w:t>
      </w:r>
      <w:r w:rsidR="00301AF1">
        <w:rPr>
          <w:shd w:val="clear" w:color="auto" w:fill="FFFFFF"/>
        </w:rPr>
        <w:t xml:space="preserve">or TCB </w:t>
      </w:r>
      <w:r>
        <w:rPr>
          <w:shd w:val="clear" w:color="auto" w:fill="FFFFFF"/>
        </w:rPr>
        <w:t>Accreditation Body updating their information.</w:t>
      </w:r>
    </w:p>
    <w:p w:rsidR="001E75EA" w:rsidP="001E75EA" w:rsidRDefault="001E75EA" w14:paraId="0025D356" w14:textId="77777777">
      <w:pPr>
        <w:pStyle w:val="ListParagraph"/>
        <w:rPr>
          <w:shd w:val="clear" w:color="auto" w:fill="FFFFFF"/>
        </w:rPr>
      </w:pPr>
    </w:p>
    <w:p w:rsidR="001E75EA" w:rsidP="00A15381" w:rsidRDefault="001E75EA" w14:paraId="5715F35B" w14:textId="098D13D3">
      <w:pPr>
        <w:pStyle w:val="BodyTextIndent"/>
        <w:numPr>
          <w:ilvl w:val="0"/>
          <w:numId w:val="21"/>
        </w:numPr>
        <w:tabs>
          <w:tab w:val="clear" w:pos="360"/>
        </w:tabs>
        <w:rPr>
          <w:shd w:val="clear" w:color="auto" w:fill="FFFFFF"/>
        </w:rPr>
      </w:pPr>
      <w:r>
        <w:rPr>
          <w:shd w:val="clear" w:color="auto" w:fill="FFFFFF"/>
        </w:rPr>
        <w:t xml:space="preserve">50 new </w:t>
      </w:r>
      <w:r w:rsidR="00131E67">
        <w:rPr>
          <w:shd w:val="clear" w:color="auto" w:fill="FFFFFF"/>
        </w:rPr>
        <w:t>TFs</w:t>
      </w:r>
      <w:r>
        <w:rPr>
          <w:shd w:val="clear" w:color="auto" w:fill="FFFFFF"/>
        </w:rPr>
        <w:t xml:space="preserve"> requesting </w:t>
      </w:r>
      <w:r w:rsidR="00301AF1">
        <w:rPr>
          <w:shd w:val="clear" w:color="auto" w:fill="FFFFFF"/>
        </w:rPr>
        <w:t>recognition.</w:t>
      </w:r>
    </w:p>
    <w:p w:rsidR="00301AF1" w:rsidP="00301AF1" w:rsidRDefault="00301AF1" w14:paraId="4045A297" w14:textId="77777777">
      <w:pPr>
        <w:pStyle w:val="ListParagraph"/>
        <w:rPr>
          <w:shd w:val="clear" w:color="auto" w:fill="FFFFFF"/>
        </w:rPr>
      </w:pPr>
    </w:p>
    <w:p w:rsidRPr="001E75EA" w:rsidR="00301AF1" w:rsidP="00A15381" w:rsidRDefault="00301AF1" w14:paraId="447E6716" w14:textId="337DD9F2">
      <w:pPr>
        <w:pStyle w:val="BodyTextIndent"/>
        <w:numPr>
          <w:ilvl w:val="0"/>
          <w:numId w:val="21"/>
        </w:numPr>
        <w:tabs>
          <w:tab w:val="clear" w:pos="360"/>
        </w:tabs>
        <w:rPr>
          <w:shd w:val="clear" w:color="auto" w:fill="FFFFFF"/>
        </w:rPr>
      </w:pPr>
      <w:r>
        <w:rPr>
          <w:shd w:val="clear" w:color="auto" w:fill="FFFFFF"/>
        </w:rPr>
        <w:t xml:space="preserve">200 </w:t>
      </w:r>
      <w:r w:rsidR="00131E67">
        <w:rPr>
          <w:shd w:val="clear" w:color="auto" w:fill="FFFFFF"/>
        </w:rPr>
        <w:t>TFs</w:t>
      </w:r>
      <w:r>
        <w:rPr>
          <w:shd w:val="clear" w:color="auto" w:fill="FFFFFF"/>
        </w:rPr>
        <w:t xml:space="preserve"> updating their information.</w:t>
      </w:r>
    </w:p>
    <w:p w:rsidRPr="001E75EA" w:rsidR="00D95DD3" w:rsidP="00D95DD3" w:rsidRDefault="00D95DD3" w14:paraId="25BB7210" w14:textId="77777777">
      <w:pPr>
        <w:pStyle w:val="ListParagraph"/>
        <w:rPr>
          <w:shd w:val="clear" w:color="auto" w:fill="FFFFFF"/>
        </w:rPr>
      </w:pPr>
    </w:p>
    <w:p w:rsidR="00D95DD3" w:rsidP="00A15381" w:rsidRDefault="00CE2833" w14:paraId="23139F9D" w14:textId="064B044D">
      <w:pPr>
        <w:pStyle w:val="BodyTextIndent"/>
        <w:numPr>
          <w:ilvl w:val="0"/>
          <w:numId w:val="21"/>
        </w:numPr>
        <w:tabs>
          <w:tab w:val="clear" w:pos="360"/>
        </w:tabs>
        <w:rPr>
          <w:shd w:val="clear" w:color="auto" w:fill="FFFFFF"/>
        </w:rPr>
      </w:pPr>
      <w:r>
        <w:rPr>
          <w:shd w:val="clear" w:color="auto" w:fill="FFFFFF"/>
        </w:rPr>
        <w:t>7,0</w:t>
      </w:r>
      <w:r w:rsidR="000A4C6F">
        <w:rPr>
          <w:shd w:val="clear" w:color="auto" w:fill="FFFFFF"/>
        </w:rPr>
        <w:t>10</w:t>
      </w:r>
      <w:r w:rsidRPr="001E75EA" w:rsidR="00D95DD3">
        <w:rPr>
          <w:shd w:val="clear" w:color="auto" w:fill="FFFFFF"/>
        </w:rPr>
        <w:t xml:space="preserve"> RF equipment and device manufacturers or importer who submit applications only to the TCBs for review and approval</w:t>
      </w:r>
      <w:r w:rsidR="00301AF1">
        <w:rPr>
          <w:shd w:val="clear" w:color="auto" w:fill="FFFFFF"/>
        </w:rPr>
        <w:t>.</w:t>
      </w:r>
    </w:p>
    <w:p w:rsidR="00301AF1" w:rsidP="00301AF1" w:rsidRDefault="00301AF1" w14:paraId="79ABA37A" w14:textId="77777777">
      <w:pPr>
        <w:pStyle w:val="ListParagraph"/>
        <w:rPr>
          <w:shd w:val="clear" w:color="auto" w:fill="FFFFFF"/>
        </w:rPr>
      </w:pPr>
    </w:p>
    <w:p w:rsidRPr="001E75EA" w:rsidR="00301AF1" w:rsidP="00A15381" w:rsidRDefault="00301AF1" w14:paraId="58FCEA0C" w14:textId="06F0C0BD">
      <w:pPr>
        <w:pStyle w:val="BodyTextIndent"/>
        <w:numPr>
          <w:ilvl w:val="0"/>
          <w:numId w:val="21"/>
        </w:numPr>
        <w:tabs>
          <w:tab w:val="clear" w:pos="360"/>
        </w:tabs>
        <w:rPr>
          <w:shd w:val="clear" w:color="auto" w:fill="FFFFFF"/>
        </w:rPr>
      </w:pPr>
      <w:r>
        <w:rPr>
          <w:shd w:val="clear" w:color="auto" w:fill="FFFFFF"/>
        </w:rPr>
        <w:t>1</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submitting inquiries for guidance on</w:t>
      </w:r>
      <w:r w:rsidR="005D1F77">
        <w:rPr>
          <w:shd w:val="clear" w:color="auto" w:fill="FFFFFF"/>
        </w:rPr>
        <w:t xml:space="preserve"> the</w:t>
      </w:r>
      <w:r>
        <w:rPr>
          <w:shd w:val="clear" w:color="auto" w:fill="FFFFFF"/>
        </w:rPr>
        <w:t xml:space="preserve"> equipment authorization</w:t>
      </w:r>
      <w:r w:rsidR="005D1F77">
        <w:rPr>
          <w:shd w:val="clear" w:color="auto" w:fill="FFFFFF"/>
        </w:rPr>
        <w:t xml:space="preserve"> requirements</w:t>
      </w:r>
      <w:r>
        <w:rPr>
          <w:shd w:val="clear" w:color="auto" w:fill="FFFFFF"/>
        </w:rPr>
        <w:t xml:space="preserve"> </w:t>
      </w:r>
      <w:r w:rsidR="005D1F77">
        <w:rPr>
          <w:shd w:val="clear" w:color="auto" w:fill="FFFFFF"/>
        </w:rPr>
        <w:t>(including</w:t>
      </w:r>
      <w:r>
        <w:rPr>
          <w:shd w:val="clear" w:color="auto" w:fill="FFFFFF"/>
        </w:rPr>
        <w:t xml:space="preserve"> </w:t>
      </w:r>
      <w:r w:rsidR="005D1F77">
        <w:rPr>
          <w:shd w:val="clear" w:color="auto" w:fill="FFFFFF"/>
        </w:rPr>
        <w:t>C</w:t>
      </w:r>
      <w:r>
        <w:rPr>
          <w:shd w:val="clear" w:color="auto" w:fill="FFFFFF"/>
        </w:rPr>
        <w:t>ertification</w:t>
      </w:r>
      <w:r w:rsidR="005D1F77">
        <w:rPr>
          <w:shd w:val="clear" w:color="auto" w:fill="FFFFFF"/>
        </w:rPr>
        <w:t>)</w:t>
      </w:r>
      <w:r>
        <w:rPr>
          <w:shd w:val="clear" w:color="auto" w:fill="FFFFFF"/>
        </w:rPr>
        <w:t xml:space="preserve"> or request for help with applications for </w:t>
      </w:r>
      <w:r w:rsidR="005D1F77">
        <w:rPr>
          <w:shd w:val="clear" w:color="auto" w:fill="FFFFFF"/>
        </w:rPr>
        <w:t>C</w:t>
      </w:r>
      <w:r>
        <w:rPr>
          <w:shd w:val="clear" w:color="auto" w:fill="FFFFFF"/>
        </w:rPr>
        <w:t>ertification.</w:t>
      </w:r>
    </w:p>
    <w:p w:rsidRPr="001E75EA" w:rsidR="00D95DD3" w:rsidP="00D95DD3" w:rsidRDefault="00D95DD3" w14:paraId="42DF0EAB" w14:textId="77777777">
      <w:pPr>
        <w:pStyle w:val="BodyTextIndent"/>
        <w:rPr>
          <w:shd w:val="clear" w:color="auto" w:fill="FFFFFF"/>
        </w:rPr>
      </w:pPr>
    </w:p>
    <w:p w:rsidRPr="001E75EA" w:rsidR="00D95DD3" w:rsidP="00D95DD3" w:rsidRDefault="00D95DD3" w14:paraId="02429EA6" w14:textId="08582BA8">
      <w:pPr>
        <w:pStyle w:val="BodyTextIndent"/>
        <w:tabs>
          <w:tab w:val="clear" w:pos="360"/>
          <w:tab w:val="left" w:pos="3960"/>
        </w:tabs>
        <w:ind w:left="3780" w:hanging="3420"/>
        <w:rPr>
          <w:b/>
          <w:shd w:val="clear" w:color="auto" w:fill="FFFFFF"/>
        </w:rPr>
      </w:pPr>
      <w:r w:rsidRPr="001E75EA">
        <w:rPr>
          <w:b/>
          <w:shd w:val="clear" w:color="auto" w:fill="FFFFFF"/>
        </w:rPr>
        <w:t xml:space="preserve">Total Number of Respondents: </w:t>
      </w:r>
      <w:r w:rsidR="00301AF1">
        <w:rPr>
          <w:b/>
          <w:shd w:val="clear" w:color="auto" w:fill="FFFFFF"/>
        </w:rPr>
        <w:t>3</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+ 40 + 1 + 50 + 200 + 7</w:t>
      </w:r>
      <w:r w:rsidR="00FF4D72">
        <w:rPr>
          <w:b/>
          <w:shd w:val="clear" w:color="auto" w:fill="FFFFFF"/>
        </w:rPr>
        <w:t>,</w:t>
      </w:r>
      <w:r w:rsidR="00301AF1">
        <w:rPr>
          <w:b/>
          <w:shd w:val="clear" w:color="auto" w:fill="FFFFFF"/>
        </w:rPr>
        <w:t>0</w:t>
      </w:r>
      <w:r w:rsidR="000A4C6F">
        <w:rPr>
          <w:b/>
          <w:shd w:val="clear" w:color="auto" w:fill="FFFFFF"/>
        </w:rPr>
        <w:t>10</w:t>
      </w:r>
      <w:r w:rsidRPr="001E75EA">
        <w:rPr>
          <w:b/>
          <w:shd w:val="clear" w:color="auto" w:fill="FFFFFF"/>
        </w:rPr>
        <w:t xml:space="preserve"> </w:t>
      </w:r>
      <w:r w:rsidR="00301AF1">
        <w:rPr>
          <w:b/>
          <w:shd w:val="clear" w:color="auto" w:fill="FFFFFF"/>
        </w:rPr>
        <w:t>+ 1</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xml:space="preserve"> </w:t>
      </w:r>
      <w:r w:rsidRPr="001E75EA">
        <w:rPr>
          <w:b/>
          <w:shd w:val="clear" w:color="auto" w:fill="FFFFFF"/>
        </w:rPr>
        <w:t xml:space="preserve">= </w:t>
      </w:r>
      <w:r w:rsidR="00301AF1">
        <w:rPr>
          <w:b/>
          <w:shd w:val="clear" w:color="auto" w:fill="FFFFFF"/>
        </w:rPr>
        <w:t>11</w:t>
      </w:r>
      <w:r w:rsidR="00FF4D72">
        <w:rPr>
          <w:b/>
          <w:shd w:val="clear" w:color="auto" w:fill="FFFFFF"/>
        </w:rPr>
        <w:t>,</w:t>
      </w:r>
      <w:r w:rsidRPr="001E75EA" w:rsidDel="0019457E" w:rsidR="0019457E">
        <w:rPr>
          <w:shd w:val="clear" w:color="auto" w:fill="FFFFFF"/>
        </w:rPr>
        <w:t xml:space="preserve"> </w:t>
      </w:r>
      <w:r w:rsidRPr="00361F4C" w:rsidR="0074282A">
        <w:rPr>
          <w:b/>
          <w:bCs/>
          <w:shd w:val="clear" w:color="auto" w:fill="FFFFFF"/>
        </w:rPr>
        <w:t>305</w:t>
      </w:r>
    </w:p>
    <w:p w:rsidRPr="001E75EA" w:rsidR="00D95DD3" w:rsidP="00D95DD3" w:rsidRDefault="00D95DD3" w14:paraId="50CD08B1" w14:textId="77777777">
      <w:pPr>
        <w:pStyle w:val="BodyTextIndent"/>
        <w:rPr>
          <w:b/>
          <w:shd w:val="clear" w:color="auto" w:fill="FFFFFF"/>
        </w:rPr>
      </w:pPr>
    </w:p>
    <w:p w:rsidRPr="001E75EA" w:rsidR="00D95DD3" w:rsidP="0065586B" w:rsidRDefault="00301AF1" w14:paraId="64D34598" w14:textId="29A8F028">
      <w:pPr>
        <w:pStyle w:val="BodyTextIndent"/>
        <w:tabs>
          <w:tab w:val="left" w:pos="3600"/>
        </w:tabs>
        <w:ind w:left="3330" w:hanging="3330"/>
        <w:rPr>
          <w:shd w:val="clear" w:color="auto" w:fill="FFFFFF"/>
        </w:rPr>
      </w:pPr>
      <w:r>
        <w:rPr>
          <w:shd w:val="clear" w:color="auto" w:fill="FFFFFF"/>
        </w:rPr>
        <w:t xml:space="preserve">The respondents file several responses and applications for </w:t>
      </w:r>
      <w:r w:rsidR="005D1F77">
        <w:rPr>
          <w:shd w:val="clear" w:color="auto" w:fill="FFFFFF"/>
        </w:rPr>
        <w:t>C</w:t>
      </w:r>
      <w:r>
        <w:rPr>
          <w:shd w:val="clear" w:color="auto" w:fill="FFFFFF"/>
        </w:rPr>
        <w:t>ertification.</w:t>
      </w:r>
    </w:p>
    <w:p w:rsidRPr="001E75EA" w:rsidR="00D95DD3" w:rsidP="00D95DD3" w:rsidRDefault="00D95DD3" w14:paraId="1821BA27" w14:textId="77777777">
      <w:pPr>
        <w:pStyle w:val="BodyTextIndent"/>
        <w:tabs>
          <w:tab w:val="left" w:pos="3600"/>
        </w:tabs>
        <w:ind w:left="3690" w:hanging="3330"/>
        <w:rPr>
          <w:shd w:val="clear" w:color="auto" w:fill="FFFFFF"/>
        </w:rPr>
      </w:pPr>
    </w:p>
    <w:p w:rsidR="00301AF1" w:rsidP="00D95DD3" w:rsidRDefault="00301AF1" w14:paraId="39FC82BA" w14:textId="0D280163">
      <w:pPr>
        <w:pStyle w:val="BodyTextIndent"/>
        <w:numPr>
          <w:ilvl w:val="0"/>
          <w:numId w:val="30"/>
        </w:numPr>
        <w:tabs>
          <w:tab w:val="left" w:pos="3600"/>
        </w:tabs>
        <w:rPr>
          <w:shd w:val="clear" w:color="auto" w:fill="FFFFFF"/>
        </w:rPr>
      </w:pPr>
      <w:r>
        <w:rPr>
          <w:shd w:val="clear" w:color="auto" w:fill="FFFFFF"/>
        </w:rPr>
        <w:t>3,00</w:t>
      </w:r>
      <w:r w:rsidR="00575506">
        <w:rPr>
          <w:shd w:val="clear" w:color="auto" w:fill="FFFFFF"/>
        </w:rPr>
        <w:t>2</w:t>
      </w:r>
      <w:r>
        <w:rPr>
          <w:shd w:val="clear" w:color="auto" w:fill="FFFFFF"/>
        </w:rPr>
        <w:t xml:space="preserve"> </w:t>
      </w:r>
      <w:r w:rsidR="0065586B">
        <w:rPr>
          <w:shd w:val="clear" w:color="auto" w:fill="FFFFFF"/>
        </w:rPr>
        <w:t xml:space="preserve">new </w:t>
      </w:r>
      <w:r>
        <w:rPr>
          <w:shd w:val="clear" w:color="auto" w:fill="FFFFFF"/>
        </w:rPr>
        <w:t>grantee code filings.</w:t>
      </w:r>
    </w:p>
    <w:p w:rsidR="00301AF1" w:rsidP="00301AF1" w:rsidRDefault="00301AF1" w14:paraId="0D61E066" w14:textId="77777777">
      <w:pPr>
        <w:pStyle w:val="BodyTextIndent"/>
        <w:tabs>
          <w:tab w:val="left" w:pos="3600"/>
        </w:tabs>
        <w:ind w:left="720" w:firstLine="0"/>
        <w:rPr>
          <w:shd w:val="clear" w:color="auto" w:fill="FFFFFF"/>
        </w:rPr>
      </w:pPr>
    </w:p>
    <w:p w:rsidR="00301AF1" w:rsidP="00D95DD3" w:rsidRDefault="00301AF1" w14:paraId="01063888" w14:textId="52C9EBFC">
      <w:pPr>
        <w:pStyle w:val="BodyTextIndent"/>
        <w:numPr>
          <w:ilvl w:val="0"/>
          <w:numId w:val="30"/>
        </w:numPr>
        <w:tabs>
          <w:tab w:val="left" w:pos="3600"/>
        </w:tabs>
        <w:rPr>
          <w:shd w:val="clear" w:color="auto" w:fill="FFFFFF"/>
        </w:rPr>
      </w:pPr>
      <w:r>
        <w:rPr>
          <w:shd w:val="clear" w:color="auto" w:fill="FFFFFF"/>
        </w:rPr>
        <w:t>16,5</w:t>
      </w:r>
      <w:r w:rsidR="00575506">
        <w:rPr>
          <w:shd w:val="clear" w:color="auto" w:fill="FFFFFF"/>
        </w:rPr>
        <w:t>15</w:t>
      </w:r>
      <w:r>
        <w:rPr>
          <w:shd w:val="clear" w:color="auto" w:fill="FFFFFF"/>
        </w:rPr>
        <w:t xml:space="preserve"> applications for </w:t>
      </w:r>
      <w:r w:rsidR="005D1F77">
        <w:rPr>
          <w:shd w:val="clear" w:color="auto" w:fill="FFFFFF"/>
        </w:rPr>
        <w:t>C</w:t>
      </w:r>
      <w:r>
        <w:rPr>
          <w:shd w:val="clear" w:color="auto" w:fill="FFFFFF"/>
        </w:rPr>
        <w:t>ertification filed by TCBs on behalf of grantees and reviewed by the TCBs for determination.</w:t>
      </w:r>
    </w:p>
    <w:p w:rsidR="00301AF1" w:rsidP="00301AF1" w:rsidRDefault="00301AF1" w14:paraId="3A8F170D" w14:textId="1E74301B">
      <w:pPr>
        <w:pStyle w:val="BodyTextIndent"/>
        <w:tabs>
          <w:tab w:val="left" w:pos="3600"/>
        </w:tabs>
        <w:ind w:left="720" w:firstLine="0"/>
        <w:rPr>
          <w:shd w:val="clear" w:color="auto" w:fill="FFFFFF"/>
        </w:rPr>
      </w:pPr>
    </w:p>
    <w:p w:rsidR="00D95DD3" w:rsidP="00D95DD3" w:rsidRDefault="00301AF1" w14:paraId="7C8043CA" w14:textId="46F2D78B">
      <w:pPr>
        <w:pStyle w:val="BodyTextIndent"/>
        <w:numPr>
          <w:ilvl w:val="0"/>
          <w:numId w:val="30"/>
        </w:numPr>
        <w:tabs>
          <w:tab w:val="left" w:pos="3600"/>
        </w:tabs>
        <w:rPr>
          <w:shd w:val="clear" w:color="auto" w:fill="FFFFFF"/>
        </w:rPr>
      </w:pPr>
      <w:r>
        <w:rPr>
          <w:shd w:val="clear" w:color="auto" w:fill="FFFFFF"/>
        </w:rPr>
        <w:t xml:space="preserve">250 applications from </w:t>
      </w:r>
      <w:r w:rsidR="0065586B">
        <w:rPr>
          <w:shd w:val="clear" w:color="auto" w:fill="FFFFFF"/>
        </w:rPr>
        <w:t>TFs</w:t>
      </w:r>
      <w:r>
        <w:rPr>
          <w:shd w:val="clear" w:color="auto" w:fill="FFFFFF"/>
        </w:rPr>
        <w:t xml:space="preserve"> for renewal or new applications.</w:t>
      </w:r>
    </w:p>
    <w:p w:rsidR="00301AF1" w:rsidP="00301AF1" w:rsidRDefault="00301AF1" w14:paraId="5C41C004" w14:textId="77777777">
      <w:pPr>
        <w:pStyle w:val="ListParagraph"/>
        <w:rPr>
          <w:shd w:val="clear" w:color="auto" w:fill="FFFFFF"/>
        </w:rPr>
      </w:pPr>
    </w:p>
    <w:p w:rsidR="00301AF1" w:rsidP="00D95DD3" w:rsidRDefault="00FF4D72" w14:paraId="4E06218B" w14:textId="7E1EF05A">
      <w:pPr>
        <w:pStyle w:val="BodyTextIndent"/>
        <w:numPr>
          <w:ilvl w:val="0"/>
          <w:numId w:val="30"/>
        </w:numPr>
        <w:tabs>
          <w:tab w:val="left" w:pos="3600"/>
        </w:tabs>
        <w:rPr>
          <w:shd w:val="clear" w:color="auto" w:fill="FFFFFF"/>
        </w:rPr>
      </w:pPr>
      <w:r>
        <w:rPr>
          <w:shd w:val="clear" w:color="auto" w:fill="FFFFFF"/>
        </w:rPr>
        <w:t xml:space="preserve">1,000 </w:t>
      </w:r>
      <w:r w:rsidR="005D1F77">
        <w:rPr>
          <w:shd w:val="clear" w:color="auto" w:fill="FFFFFF"/>
        </w:rPr>
        <w:t>s</w:t>
      </w:r>
      <w:r>
        <w:rPr>
          <w:shd w:val="clear" w:color="auto" w:fill="FFFFFF"/>
        </w:rPr>
        <w:t>urveillance reviews and reports maintained by TCBs.</w:t>
      </w:r>
    </w:p>
    <w:p w:rsidR="00131E67" w:rsidP="00131E67" w:rsidRDefault="00131E67" w14:paraId="4F8B670F" w14:textId="77777777">
      <w:pPr>
        <w:pStyle w:val="ListParagraph"/>
        <w:rPr>
          <w:shd w:val="clear" w:color="auto" w:fill="FFFFFF"/>
        </w:rPr>
      </w:pPr>
    </w:p>
    <w:p w:rsidR="00131E67" w:rsidP="00D95DD3" w:rsidRDefault="00131E67" w14:paraId="03F7ABED" w14:textId="770340B2">
      <w:pPr>
        <w:pStyle w:val="BodyTextIndent"/>
        <w:numPr>
          <w:ilvl w:val="0"/>
          <w:numId w:val="30"/>
        </w:numPr>
        <w:tabs>
          <w:tab w:val="left" w:pos="3600"/>
        </w:tabs>
        <w:rPr>
          <w:shd w:val="clear" w:color="auto" w:fill="FFFFFF"/>
        </w:rPr>
      </w:pPr>
      <w:r>
        <w:rPr>
          <w:shd w:val="clear" w:color="auto" w:fill="FFFFFF"/>
        </w:rPr>
        <w:t>1 TF Accreditation Body or TCB Accreditation Body</w:t>
      </w:r>
    </w:p>
    <w:p w:rsidR="00FF4D72" w:rsidP="00FF4D72" w:rsidRDefault="00FF4D72" w14:paraId="1F5DE62C" w14:textId="77777777">
      <w:pPr>
        <w:pStyle w:val="ListParagraph"/>
        <w:rPr>
          <w:shd w:val="clear" w:color="auto" w:fill="FFFFFF"/>
        </w:rPr>
      </w:pPr>
    </w:p>
    <w:p w:rsidR="00FF4D72" w:rsidP="00D95DD3" w:rsidRDefault="00FF4D72" w14:paraId="4271B5F2" w14:textId="019CE8E9">
      <w:pPr>
        <w:pStyle w:val="BodyTextIndent"/>
        <w:numPr>
          <w:ilvl w:val="0"/>
          <w:numId w:val="30"/>
        </w:numPr>
        <w:tabs>
          <w:tab w:val="left" w:pos="3600"/>
        </w:tabs>
        <w:rPr>
          <w:shd w:val="clear" w:color="auto" w:fill="FFFFFF"/>
        </w:rPr>
      </w:pPr>
      <w:r>
        <w:rPr>
          <w:shd w:val="clear" w:color="auto" w:fill="FFFFFF"/>
        </w:rPr>
        <w:t>100 market surveillance requests by the FCC.</w:t>
      </w:r>
    </w:p>
    <w:p w:rsidR="00FF4D72" w:rsidP="00FF4D72" w:rsidRDefault="00FF4D72" w14:paraId="3D38685F" w14:textId="77777777">
      <w:pPr>
        <w:pStyle w:val="ListParagraph"/>
        <w:rPr>
          <w:shd w:val="clear" w:color="auto" w:fill="FFFFFF"/>
        </w:rPr>
      </w:pPr>
    </w:p>
    <w:p w:rsidRPr="001E75EA" w:rsidR="00FF4D72" w:rsidP="00D95DD3" w:rsidRDefault="00FF4D72" w14:paraId="7B9FD196" w14:textId="276F0528">
      <w:pPr>
        <w:pStyle w:val="BodyTextIndent"/>
        <w:numPr>
          <w:ilvl w:val="0"/>
          <w:numId w:val="30"/>
        </w:numPr>
        <w:tabs>
          <w:tab w:val="left" w:pos="3600"/>
        </w:tabs>
        <w:rPr>
          <w:shd w:val="clear" w:color="auto" w:fill="FFFFFF"/>
        </w:rPr>
      </w:pPr>
      <w:r>
        <w:rPr>
          <w:shd w:val="clear" w:color="auto" w:fill="FFFFFF"/>
        </w:rPr>
        <w:t>4,00</w:t>
      </w:r>
      <w:r w:rsidR="00575506">
        <w:rPr>
          <w:shd w:val="clear" w:color="auto" w:fill="FFFFFF"/>
        </w:rPr>
        <w:t>5</w:t>
      </w:r>
      <w:r>
        <w:rPr>
          <w:shd w:val="clear" w:color="auto" w:fill="FFFFFF"/>
        </w:rPr>
        <w:t xml:space="preserve"> inquiries submitted by parties seeking guidance on measurement procedures.</w:t>
      </w:r>
    </w:p>
    <w:p w:rsidRPr="001E75EA" w:rsidR="00D95DD3" w:rsidP="00D95DD3" w:rsidRDefault="00D95DD3" w14:paraId="5FB591CB" w14:textId="77777777">
      <w:pPr>
        <w:pStyle w:val="BodyTextIndent"/>
        <w:tabs>
          <w:tab w:val="left" w:pos="3600"/>
        </w:tabs>
        <w:ind w:left="720" w:firstLine="0"/>
        <w:rPr>
          <w:shd w:val="clear" w:color="auto" w:fill="FFFFFF"/>
        </w:rPr>
      </w:pPr>
    </w:p>
    <w:p w:rsidRPr="001E75EA" w:rsidR="00D95DD3" w:rsidP="00D95DD3" w:rsidRDefault="00D95DD3" w14:paraId="53A70ADC" w14:textId="77777777">
      <w:pPr>
        <w:pStyle w:val="BodyTextIndent"/>
        <w:tabs>
          <w:tab w:val="left" w:pos="3600"/>
        </w:tabs>
        <w:ind w:left="3690" w:hanging="3330"/>
        <w:rPr>
          <w:b/>
          <w:shd w:val="clear" w:color="auto" w:fill="FFFFFF"/>
        </w:rPr>
      </w:pPr>
    </w:p>
    <w:p w:rsidRPr="001E75EA" w:rsidR="00D95DD3" w:rsidP="00D95DD3" w:rsidRDefault="00584159" w14:paraId="4A588C43" w14:textId="76A4EFFB">
      <w:pPr>
        <w:pStyle w:val="BodyTextIndent"/>
        <w:tabs>
          <w:tab w:val="left" w:pos="3600"/>
        </w:tabs>
        <w:ind w:left="3690" w:hanging="3330"/>
        <w:rPr>
          <w:b/>
          <w:shd w:val="clear" w:color="auto" w:fill="FFFFFF"/>
        </w:rPr>
      </w:pPr>
      <w:r w:rsidRPr="001E75EA">
        <w:rPr>
          <w:b/>
          <w:shd w:val="clear" w:color="auto" w:fill="FFFFFF"/>
        </w:rPr>
        <w:lastRenderedPageBreak/>
        <w:t xml:space="preserve">Total Number of Responses: </w:t>
      </w:r>
      <w:r w:rsidR="00FF4D72">
        <w:rPr>
          <w:b/>
          <w:shd w:val="clear" w:color="auto" w:fill="FFFFFF"/>
        </w:rPr>
        <w:t>3,00</w:t>
      </w:r>
      <w:r w:rsidR="0047348F">
        <w:rPr>
          <w:b/>
          <w:shd w:val="clear" w:color="auto" w:fill="FFFFFF"/>
        </w:rPr>
        <w:t>2</w:t>
      </w:r>
      <w:r w:rsidR="00FF4D72">
        <w:rPr>
          <w:b/>
          <w:shd w:val="clear" w:color="auto" w:fill="FFFFFF"/>
        </w:rPr>
        <w:t xml:space="preserve"> + 16,5</w:t>
      </w:r>
      <w:r w:rsidR="0047348F">
        <w:rPr>
          <w:b/>
          <w:shd w:val="clear" w:color="auto" w:fill="FFFFFF"/>
        </w:rPr>
        <w:t>15</w:t>
      </w:r>
      <w:r w:rsidR="00FF4D72">
        <w:rPr>
          <w:b/>
          <w:shd w:val="clear" w:color="auto" w:fill="FFFFFF"/>
        </w:rPr>
        <w:t xml:space="preserve"> + 250 + 1,000 + </w:t>
      </w:r>
      <w:r w:rsidR="00131E67">
        <w:rPr>
          <w:b/>
          <w:shd w:val="clear" w:color="auto" w:fill="FFFFFF"/>
        </w:rPr>
        <w:t xml:space="preserve">1 + </w:t>
      </w:r>
      <w:r w:rsidR="00FF4D72">
        <w:rPr>
          <w:b/>
          <w:shd w:val="clear" w:color="auto" w:fill="FFFFFF"/>
        </w:rPr>
        <w:t>100 + 4,00</w:t>
      </w:r>
      <w:r w:rsidR="0047348F">
        <w:rPr>
          <w:b/>
          <w:shd w:val="clear" w:color="auto" w:fill="FFFFFF"/>
        </w:rPr>
        <w:t>5</w:t>
      </w:r>
      <w:r w:rsidR="00FF4D72">
        <w:rPr>
          <w:b/>
          <w:shd w:val="clear" w:color="auto" w:fill="FFFFFF"/>
        </w:rPr>
        <w:t xml:space="preserve"> = 24,</w:t>
      </w:r>
      <w:r w:rsidR="0047348F">
        <w:rPr>
          <w:b/>
          <w:shd w:val="clear" w:color="auto" w:fill="FFFFFF"/>
        </w:rPr>
        <w:t>873</w:t>
      </w:r>
    </w:p>
    <w:p w:rsidRPr="001E75EA" w:rsidR="00D95DD3" w:rsidP="00D95DD3" w:rsidRDefault="00D95DD3" w14:paraId="4209C739" w14:textId="77777777">
      <w:pPr>
        <w:pStyle w:val="BodyTextIndent"/>
        <w:tabs>
          <w:tab w:val="left" w:pos="3600"/>
        </w:tabs>
        <w:ind w:left="3690" w:hanging="3330"/>
        <w:rPr>
          <w:b/>
          <w:shd w:val="clear" w:color="auto" w:fill="FFFFFF"/>
        </w:rPr>
      </w:pPr>
    </w:p>
    <w:p w:rsidR="0047348F" w:rsidP="0065586B" w:rsidRDefault="00D95DD3" w14:paraId="0D4CA9BD" w14:textId="77777777">
      <w:pPr>
        <w:pStyle w:val="BodyTextIndent"/>
        <w:ind w:left="0" w:firstLine="0"/>
        <w:rPr>
          <w:shd w:val="clear" w:color="auto" w:fill="FFFFFF"/>
        </w:rPr>
      </w:pPr>
      <w:r w:rsidRPr="001E75EA">
        <w:rPr>
          <w:shd w:val="clear" w:color="auto" w:fill="FFFFFF"/>
        </w:rPr>
        <w:t>The Commission estimates the total a</w:t>
      </w:r>
      <w:r w:rsidR="00FF4D72">
        <w:rPr>
          <w:shd w:val="clear" w:color="auto" w:fill="FFFFFF"/>
        </w:rPr>
        <w:t xml:space="preserve">nnual hourly burden ranges from </w:t>
      </w:r>
      <w:r w:rsidR="00F56FEC">
        <w:rPr>
          <w:shd w:val="clear" w:color="auto" w:fill="FFFFFF"/>
        </w:rPr>
        <w:t xml:space="preserve">a </w:t>
      </w:r>
      <w:r w:rsidR="00FF4D72">
        <w:rPr>
          <w:shd w:val="clear" w:color="auto" w:fill="FFFFFF"/>
        </w:rPr>
        <w:t xml:space="preserve">few minutes for application for grantee codes </w:t>
      </w:r>
      <w:r w:rsidRPr="001E75EA">
        <w:rPr>
          <w:shd w:val="clear" w:color="auto" w:fill="FFFFFF"/>
        </w:rPr>
        <w:t xml:space="preserve">to </w:t>
      </w:r>
      <w:r w:rsidR="00FF4D72">
        <w:rPr>
          <w:shd w:val="clear" w:color="auto" w:fill="FFFFFF"/>
        </w:rPr>
        <w:t xml:space="preserve">more than </w:t>
      </w:r>
      <w:r w:rsidRPr="001E75EA">
        <w:rPr>
          <w:shd w:val="clear" w:color="auto" w:fill="FFFFFF"/>
        </w:rPr>
        <w:t>100 hours</w:t>
      </w:r>
      <w:r w:rsidR="00FF4D72">
        <w:rPr>
          <w:shd w:val="clear" w:color="auto" w:fill="FFFFFF"/>
        </w:rPr>
        <w:t xml:space="preserve"> for testing a complex device subject to multiple rule parts</w:t>
      </w:r>
      <w:r w:rsidRPr="001E75EA">
        <w:rPr>
          <w:shd w:val="clear" w:color="auto" w:fill="FFFFFF"/>
        </w:rPr>
        <w:t xml:space="preserve"> due to the </w:t>
      </w:r>
    </w:p>
    <w:p w:rsidR="0047348F" w:rsidP="0065586B" w:rsidRDefault="0047348F" w14:paraId="305D14B1" w14:textId="77777777">
      <w:pPr>
        <w:pStyle w:val="BodyTextIndent"/>
        <w:ind w:left="0" w:firstLine="0"/>
        <w:rPr>
          <w:shd w:val="clear" w:color="auto" w:fill="FFFFFF"/>
        </w:rPr>
      </w:pPr>
    </w:p>
    <w:p w:rsidR="00FF4D72" w:rsidP="0065586B" w:rsidRDefault="00D95DD3" w14:paraId="39AD7F9F" w14:textId="51186810">
      <w:pPr>
        <w:pStyle w:val="BodyTextIndent"/>
        <w:ind w:left="0" w:firstLine="0"/>
        <w:rPr>
          <w:shd w:val="clear" w:color="auto" w:fill="FFFFFF"/>
        </w:rPr>
      </w:pPr>
      <w:r w:rsidRPr="001E75EA">
        <w:rPr>
          <w:shd w:val="clear" w:color="auto" w:fill="FFFFFF"/>
        </w:rPr>
        <w:t>range of complexity of the required measurement test reports</w:t>
      </w:r>
      <w:r w:rsidR="00FF4D72">
        <w:rPr>
          <w:shd w:val="clear" w:color="auto" w:fill="FFFFFF"/>
        </w:rPr>
        <w:t xml:space="preserve">. </w:t>
      </w:r>
    </w:p>
    <w:p w:rsidRPr="001E75EA" w:rsidR="00D95DD3" w:rsidP="00D95DD3" w:rsidRDefault="00D95DD3" w14:paraId="0C2CAA3B" w14:textId="6F58B891">
      <w:pPr>
        <w:pStyle w:val="BodyTextIndent"/>
        <w:ind w:firstLine="0"/>
        <w:rPr>
          <w:shd w:val="clear" w:color="auto" w:fill="FFFFFF"/>
        </w:rPr>
      </w:pPr>
      <w:r w:rsidRPr="001E75EA">
        <w:rPr>
          <w:shd w:val="clear" w:color="auto" w:fill="FFFFFF"/>
        </w:rPr>
        <w:t xml:space="preserve">  </w:t>
      </w:r>
    </w:p>
    <w:p w:rsidRPr="001E75EA" w:rsidR="00D95DD3" w:rsidP="0065586B" w:rsidRDefault="00D95DD3" w14:paraId="288B48B7" w14:textId="76B48A31">
      <w:pPr>
        <w:pStyle w:val="BodyTextIndent"/>
        <w:ind w:left="0" w:firstLine="0"/>
        <w:rPr>
          <w:shd w:val="clear" w:color="auto" w:fill="FFFFFF"/>
        </w:rPr>
      </w:pPr>
      <w:r w:rsidRPr="001E75EA">
        <w:rPr>
          <w:shd w:val="clear" w:color="auto" w:fill="FFFFFF"/>
        </w:rPr>
        <w:t>The Commission estimate</w:t>
      </w:r>
      <w:r w:rsidR="0065586B">
        <w:rPr>
          <w:shd w:val="clear" w:color="auto" w:fill="FFFFFF"/>
        </w:rPr>
        <w:t>s</w:t>
      </w:r>
      <w:r w:rsidRPr="001E75EA">
        <w:rPr>
          <w:shd w:val="clear" w:color="auto" w:fill="FFFFFF"/>
        </w:rPr>
        <w:t xml:space="preserve"> </w:t>
      </w:r>
      <w:r w:rsidR="00FF4D72">
        <w:rPr>
          <w:shd w:val="clear" w:color="auto" w:fill="FFFFFF"/>
        </w:rPr>
        <w:t>the following burden based on the type of information collected</w:t>
      </w:r>
      <w:r w:rsidRPr="001E75EA">
        <w:rPr>
          <w:shd w:val="clear" w:color="auto" w:fill="FFFFFF"/>
        </w:rPr>
        <w:t xml:space="preserve">:  </w:t>
      </w:r>
    </w:p>
    <w:p w:rsidRPr="001E75EA" w:rsidR="00D95DD3" w:rsidP="00D95DD3" w:rsidRDefault="00D95DD3" w14:paraId="02715F90" w14:textId="77777777">
      <w:pPr>
        <w:pStyle w:val="BodyTextIndent"/>
        <w:ind w:firstLine="0"/>
        <w:rPr>
          <w:shd w:val="clear" w:color="auto" w:fill="FFFFFF"/>
        </w:rPr>
      </w:pPr>
      <w:r w:rsidRPr="001E75EA">
        <w:rPr>
          <w:shd w:val="clear" w:color="auto" w:fill="FFFFFF"/>
        </w:rPr>
        <w:t xml:space="preserve"> </w:t>
      </w:r>
    </w:p>
    <w:p w:rsidR="00FF4D72" w:rsidP="00D95DD3" w:rsidRDefault="00FF4D72" w14:paraId="0AC16E61" w14:textId="30977688">
      <w:pPr>
        <w:pStyle w:val="BodyTextIndent"/>
        <w:numPr>
          <w:ilvl w:val="0"/>
          <w:numId w:val="20"/>
        </w:numPr>
        <w:tabs>
          <w:tab w:val="clear" w:pos="360"/>
        </w:tabs>
        <w:rPr>
          <w:shd w:val="clear" w:color="auto" w:fill="FFFFFF"/>
        </w:rPr>
      </w:pPr>
      <w:r>
        <w:rPr>
          <w:shd w:val="clear" w:color="auto" w:fill="FFFFFF"/>
        </w:rPr>
        <w:t>The amount of time a grantee is required for initially registering with the Commission for</w:t>
      </w:r>
      <w:r w:rsidR="009870E3">
        <w:rPr>
          <w:shd w:val="clear" w:color="auto" w:fill="FFFFFF"/>
        </w:rPr>
        <w:t xml:space="preserve"> a grantee code as 0.1 hours resulting in a total time of 300 hours of annual burden for 3</w:t>
      </w:r>
      <w:r w:rsidR="00F56FEC">
        <w:rPr>
          <w:shd w:val="clear" w:color="auto" w:fill="FFFFFF"/>
        </w:rPr>
        <w:t>,</w:t>
      </w:r>
      <w:r w:rsidR="009870E3">
        <w:rPr>
          <w:shd w:val="clear" w:color="auto" w:fill="FFFFFF"/>
        </w:rPr>
        <w:t>00</w:t>
      </w:r>
      <w:r w:rsidR="0047348F">
        <w:rPr>
          <w:shd w:val="clear" w:color="auto" w:fill="FFFFFF"/>
        </w:rPr>
        <w:t>2</w:t>
      </w:r>
      <w:r w:rsidR="009870E3">
        <w:rPr>
          <w:shd w:val="clear" w:color="auto" w:fill="FFFFFF"/>
        </w:rPr>
        <w:t xml:space="preserve"> new applicants;</w:t>
      </w:r>
    </w:p>
    <w:p w:rsidR="00FF4D72" w:rsidP="00FF4D72" w:rsidRDefault="00FF4D72" w14:paraId="16A259F7" w14:textId="77777777">
      <w:pPr>
        <w:pStyle w:val="BodyTextIndent"/>
        <w:tabs>
          <w:tab w:val="clear" w:pos="360"/>
        </w:tabs>
        <w:ind w:left="720" w:firstLine="0"/>
        <w:rPr>
          <w:shd w:val="clear" w:color="auto" w:fill="FFFFFF"/>
        </w:rPr>
      </w:pPr>
    </w:p>
    <w:p w:rsidRPr="001E75EA" w:rsidR="00D95DD3" w:rsidP="00166471" w:rsidRDefault="00D95DD3" w14:paraId="42DECEC9" w14:textId="398F807B">
      <w:pPr>
        <w:pStyle w:val="BodyTextIndent"/>
        <w:numPr>
          <w:ilvl w:val="0"/>
          <w:numId w:val="20"/>
        </w:numPr>
        <w:tabs>
          <w:tab w:val="clear" w:pos="360"/>
        </w:tabs>
        <w:rPr>
          <w:shd w:val="clear" w:color="auto" w:fill="FFFFFF"/>
        </w:rPr>
      </w:pPr>
      <w:r w:rsidRPr="001E75EA">
        <w:rPr>
          <w:shd w:val="clear" w:color="auto" w:fill="FFFFFF"/>
        </w:rPr>
        <w:t xml:space="preserve">The amount of time that the RF equipment manufacturers </w:t>
      </w:r>
      <w:r w:rsidR="004A5F6A">
        <w:rPr>
          <w:shd w:val="clear" w:color="auto" w:fill="FFFFFF"/>
        </w:rPr>
        <w:t xml:space="preserve">will </w:t>
      </w:r>
      <w:r w:rsidRPr="001E75EA">
        <w:rPr>
          <w:shd w:val="clear" w:color="auto" w:fill="FFFFFF"/>
        </w:rPr>
        <w:t xml:space="preserve">require </w:t>
      </w:r>
      <w:r w:rsidR="00166471">
        <w:rPr>
          <w:shd w:val="clear" w:color="auto" w:fill="FFFFFF"/>
        </w:rPr>
        <w:t xml:space="preserve">to complete an application </w:t>
      </w:r>
      <w:r w:rsidR="0065586B">
        <w:rPr>
          <w:shd w:val="clear" w:color="auto" w:fill="FFFFFF"/>
        </w:rPr>
        <w:t xml:space="preserve">including testing </w:t>
      </w:r>
      <w:r w:rsidR="004A5F6A">
        <w:rPr>
          <w:shd w:val="clear" w:color="auto" w:fill="FFFFFF"/>
        </w:rPr>
        <w:t>is estimated to be</w:t>
      </w:r>
      <w:r w:rsidR="00166471">
        <w:rPr>
          <w:shd w:val="clear" w:color="auto" w:fill="FFFFFF"/>
        </w:rPr>
        <w:t xml:space="preserve"> </w:t>
      </w:r>
      <w:r w:rsidR="0015468E">
        <w:rPr>
          <w:shd w:val="clear" w:color="auto" w:fill="FFFFFF"/>
        </w:rPr>
        <w:t>1</w:t>
      </w:r>
      <w:r w:rsidR="00166471">
        <w:rPr>
          <w:shd w:val="clear" w:color="auto" w:fill="FFFFFF"/>
        </w:rPr>
        <w:t>0 hours average</w:t>
      </w:r>
      <w:r w:rsidR="004A5F6A">
        <w:rPr>
          <w:shd w:val="clear" w:color="auto" w:fill="FFFFFF"/>
        </w:rPr>
        <w:t>d</w:t>
      </w:r>
      <w:r w:rsidR="009870E3">
        <w:rPr>
          <w:shd w:val="clear" w:color="auto" w:fill="FFFFFF"/>
        </w:rPr>
        <w:t xml:space="preserve"> over all types of applications resulting in annual burden of </w:t>
      </w:r>
      <w:r w:rsidR="0015468E">
        <w:rPr>
          <w:shd w:val="clear" w:color="auto" w:fill="FFFFFF"/>
        </w:rPr>
        <w:t>165,</w:t>
      </w:r>
      <w:r w:rsidDel="0019457E" w:rsidR="0019457E">
        <w:rPr>
          <w:shd w:val="clear" w:color="auto" w:fill="FFFFFF"/>
        </w:rPr>
        <w:t xml:space="preserve"> </w:t>
      </w:r>
      <w:r w:rsidR="001264C1">
        <w:rPr>
          <w:shd w:val="clear" w:color="auto" w:fill="FFFFFF"/>
        </w:rPr>
        <w:t>15</w:t>
      </w:r>
      <w:r w:rsidR="0015468E">
        <w:rPr>
          <w:shd w:val="clear" w:color="auto" w:fill="FFFFFF"/>
        </w:rPr>
        <w:t>0</w:t>
      </w:r>
      <w:r w:rsidR="009870E3">
        <w:rPr>
          <w:shd w:val="clear" w:color="auto" w:fill="FFFFFF"/>
        </w:rPr>
        <w:t xml:space="preserve"> hours for 16,5</w:t>
      </w:r>
      <w:r w:rsidR="0047348F">
        <w:rPr>
          <w:shd w:val="clear" w:color="auto" w:fill="FFFFFF"/>
        </w:rPr>
        <w:t>15</w:t>
      </w:r>
      <w:r w:rsidR="009870E3">
        <w:rPr>
          <w:shd w:val="clear" w:color="auto" w:fill="FFFFFF"/>
        </w:rPr>
        <w:t xml:space="preserve"> applications;</w:t>
      </w:r>
    </w:p>
    <w:p w:rsidRPr="001E75EA" w:rsidR="00D95DD3" w:rsidP="00D95DD3" w:rsidRDefault="00D95DD3" w14:paraId="78AFBE12" w14:textId="77777777">
      <w:pPr>
        <w:pStyle w:val="BodyTextIndent"/>
        <w:tabs>
          <w:tab w:val="clear" w:pos="360"/>
          <w:tab w:val="left" w:pos="720"/>
        </w:tabs>
        <w:rPr>
          <w:shd w:val="clear" w:color="auto" w:fill="FFFFFF"/>
        </w:rPr>
      </w:pPr>
      <w:r w:rsidRPr="001E75EA">
        <w:rPr>
          <w:shd w:val="clear" w:color="auto" w:fill="FFFFFF"/>
        </w:rPr>
        <w:t xml:space="preserve">  </w:t>
      </w:r>
    </w:p>
    <w:p w:rsidR="00166471" w:rsidP="00D95DD3" w:rsidRDefault="00131E67" w14:paraId="3892C58B" w14:textId="22AA131C">
      <w:pPr>
        <w:pStyle w:val="BodyTextIndent"/>
        <w:numPr>
          <w:ilvl w:val="0"/>
          <w:numId w:val="20"/>
        </w:numPr>
        <w:tabs>
          <w:tab w:val="clear" w:pos="360"/>
        </w:tabs>
        <w:rPr>
          <w:shd w:val="clear" w:color="auto" w:fill="FFFFFF"/>
        </w:rPr>
      </w:pPr>
      <w:r>
        <w:rPr>
          <w:shd w:val="clear" w:color="auto" w:fill="FFFFFF"/>
        </w:rPr>
        <w:t>The TFs and TCBs charge for their services to equipment manufacturers for testing the devices and reviewing the applications.  The TFs and TCBs have to maintain their records for accreditation purposes.  The Commission estimates that this record keeping will result in average burden of 40 hours for 250 TFs, 40 TCBs and 1 TF Accreditation Body or TCB Accreditation Body for a total of 11,640 hours</w:t>
      </w:r>
      <w:r w:rsidR="009870E3">
        <w:rPr>
          <w:shd w:val="clear" w:color="auto" w:fill="FFFFFF"/>
        </w:rPr>
        <w:t>;</w:t>
      </w:r>
    </w:p>
    <w:p w:rsidR="00166471" w:rsidP="00166471" w:rsidRDefault="00166471" w14:paraId="71B12675" w14:textId="77777777">
      <w:pPr>
        <w:pStyle w:val="ListParagraph"/>
        <w:rPr>
          <w:shd w:val="clear" w:color="auto" w:fill="FFFFFF"/>
        </w:rPr>
      </w:pPr>
    </w:p>
    <w:p w:rsidR="00166471" w:rsidP="00D95DD3" w:rsidRDefault="00166471" w14:paraId="6DAB457B" w14:textId="62E030FB">
      <w:pPr>
        <w:pStyle w:val="BodyTextIndent"/>
        <w:numPr>
          <w:ilvl w:val="0"/>
          <w:numId w:val="20"/>
        </w:numPr>
        <w:tabs>
          <w:tab w:val="clear" w:pos="360"/>
        </w:tabs>
        <w:rPr>
          <w:shd w:val="clear" w:color="auto" w:fill="FFFFFF"/>
        </w:rPr>
      </w:pPr>
      <w:r>
        <w:rPr>
          <w:shd w:val="clear" w:color="auto" w:fill="FFFFFF"/>
        </w:rPr>
        <w:t xml:space="preserve">The amount of time to submit an inquiry to the </w:t>
      </w:r>
      <w:r w:rsidR="00F56FEC">
        <w:rPr>
          <w:shd w:val="clear" w:color="auto" w:fill="FFFFFF"/>
        </w:rPr>
        <w:t>C</w:t>
      </w:r>
      <w:r>
        <w:rPr>
          <w:shd w:val="clear" w:color="auto" w:fill="FFFFFF"/>
        </w:rPr>
        <w:t>ommission and respondin</w:t>
      </w:r>
      <w:r w:rsidR="009870E3">
        <w:rPr>
          <w:shd w:val="clear" w:color="auto" w:fill="FFFFFF"/>
        </w:rPr>
        <w:t>g to any follow-up</w:t>
      </w:r>
      <w:r w:rsidR="004A5F6A">
        <w:rPr>
          <w:shd w:val="clear" w:color="auto" w:fill="FFFFFF"/>
        </w:rPr>
        <w:t xml:space="preserve"> is estimated</w:t>
      </w:r>
      <w:r w:rsidR="009870E3">
        <w:rPr>
          <w:shd w:val="clear" w:color="auto" w:fill="FFFFFF"/>
        </w:rPr>
        <w:t xml:space="preserve"> as 0.5 hours for a total of 2,00</w:t>
      </w:r>
      <w:r w:rsidR="00A57C83">
        <w:rPr>
          <w:shd w:val="clear" w:color="auto" w:fill="FFFFFF"/>
        </w:rPr>
        <w:t>2.5</w:t>
      </w:r>
      <w:r w:rsidR="009870E3">
        <w:rPr>
          <w:shd w:val="clear" w:color="auto" w:fill="FFFFFF"/>
        </w:rPr>
        <w:t xml:space="preserve"> hours of annual burden </w:t>
      </w:r>
      <w:r w:rsidR="004A5F6A">
        <w:rPr>
          <w:shd w:val="clear" w:color="auto" w:fill="FFFFFF"/>
        </w:rPr>
        <w:t>for the 4,00</w:t>
      </w:r>
      <w:r w:rsidR="0047348F">
        <w:rPr>
          <w:shd w:val="clear" w:color="auto" w:fill="FFFFFF"/>
        </w:rPr>
        <w:t>5</w:t>
      </w:r>
      <w:r w:rsidR="009870E3">
        <w:rPr>
          <w:shd w:val="clear" w:color="auto" w:fill="FFFFFF"/>
        </w:rPr>
        <w:t xml:space="preserve"> inquirers; </w:t>
      </w:r>
    </w:p>
    <w:p w:rsidR="00166471" w:rsidP="00166471" w:rsidRDefault="00166471" w14:paraId="5E9583EE" w14:textId="77777777">
      <w:pPr>
        <w:pStyle w:val="ListParagraph"/>
        <w:rPr>
          <w:shd w:val="clear" w:color="auto" w:fill="FFFFFF"/>
        </w:rPr>
      </w:pPr>
    </w:p>
    <w:p w:rsidR="00166471" w:rsidP="00D95DD3" w:rsidRDefault="00166471" w14:paraId="0EE1D782" w14:textId="5140CE37">
      <w:pPr>
        <w:pStyle w:val="BodyTextIndent"/>
        <w:numPr>
          <w:ilvl w:val="0"/>
          <w:numId w:val="20"/>
        </w:numPr>
        <w:tabs>
          <w:tab w:val="clear" w:pos="360"/>
        </w:tabs>
        <w:rPr>
          <w:shd w:val="clear" w:color="auto" w:fill="FFFFFF"/>
        </w:rPr>
      </w:pPr>
      <w:r>
        <w:rPr>
          <w:shd w:val="clear" w:color="auto" w:fill="FFFFFF"/>
        </w:rPr>
        <w:t xml:space="preserve">The time spent by TCB to perform </w:t>
      </w:r>
      <w:r w:rsidR="009870E3">
        <w:rPr>
          <w:shd w:val="clear" w:color="auto" w:fill="FFFFFF"/>
        </w:rPr>
        <w:t xml:space="preserve">market surveillance </w:t>
      </w:r>
      <w:r w:rsidR="004A5F6A">
        <w:rPr>
          <w:shd w:val="clear" w:color="auto" w:fill="FFFFFF"/>
        </w:rPr>
        <w:t xml:space="preserve">is estimated </w:t>
      </w:r>
      <w:r w:rsidR="009870E3">
        <w:rPr>
          <w:shd w:val="clear" w:color="auto" w:fill="FFFFFF"/>
        </w:rPr>
        <w:t xml:space="preserve">as 20 hours </w:t>
      </w:r>
      <w:r w:rsidR="004A5F6A">
        <w:rPr>
          <w:shd w:val="clear" w:color="auto" w:fill="FFFFFF"/>
        </w:rPr>
        <w:t xml:space="preserve">on average for a device </w:t>
      </w:r>
      <w:r w:rsidR="009870E3">
        <w:rPr>
          <w:shd w:val="clear" w:color="auto" w:fill="FFFFFF"/>
        </w:rPr>
        <w:t xml:space="preserve">resulting </w:t>
      </w:r>
      <w:r w:rsidR="004A5F6A">
        <w:rPr>
          <w:shd w:val="clear" w:color="auto" w:fill="FFFFFF"/>
        </w:rPr>
        <w:t xml:space="preserve">in </w:t>
      </w:r>
      <w:r w:rsidR="009870E3">
        <w:rPr>
          <w:shd w:val="clear" w:color="auto" w:fill="FFFFFF"/>
        </w:rPr>
        <w:t xml:space="preserve">an annual burden of 20,000 hours for 1,000surveillance </w:t>
      </w:r>
      <w:r w:rsidR="00DD265B">
        <w:rPr>
          <w:shd w:val="clear" w:color="auto" w:fill="FFFFFF"/>
        </w:rPr>
        <w:t>reviews and reports</w:t>
      </w:r>
      <w:r w:rsidR="009870E3">
        <w:rPr>
          <w:shd w:val="clear" w:color="auto" w:fill="FFFFFF"/>
        </w:rPr>
        <w:t>; and,</w:t>
      </w:r>
    </w:p>
    <w:p w:rsidR="00166471" w:rsidP="00166471" w:rsidRDefault="00166471" w14:paraId="09154E20" w14:textId="77777777">
      <w:pPr>
        <w:pStyle w:val="ListParagraph"/>
        <w:rPr>
          <w:shd w:val="clear" w:color="auto" w:fill="FFFFFF"/>
        </w:rPr>
      </w:pPr>
    </w:p>
    <w:p w:rsidRPr="001E75EA" w:rsidR="00D95DD3" w:rsidP="00D95DD3" w:rsidRDefault="00166471" w14:paraId="091BBC91" w14:textId="1AD7DCF8">
      <w:pPr>
        <w:pStyle w:val="BodyTextIndent"/>
        <w:numPr>
          <w:ilvl w:val="0"/>
          <w:numId w:val="20"/>
        </w:numPr>
        <w:tabs>
          <w:tab w:val="clear" w:pos="360"/>
        </w:tabs>
        <w:rPr>
          <w:shd w:val="clear" w:color="auto" w:fill="FFFFFF"/>
        </w:rPr>
      </w:pPr>
      <w:r>
        <w:rPr>
          <w:shd w:val="clear" w:color="auto" w:fill="FFFFFF"/>
        </w:rPr>
        <w:t xml:space="preserve">The time spent by TCBs and Test Firms to maintain and update </w:t>
      </w:r>
      <w:r w:rsidR="009870E3">
        <w:rPr>
          <w:shd w:val="clear" w:color="auto" w:fill="FFFFFF"/>
        </w:rPr>
        <w:t>their accreditation</w:t>
      </w:r>
      <w:r w:rsidR="004A5F6A">
        <w:rPr>
          <w:shd w:val="clear" w:color="auto" w:fill="FFFFFF"/>
        </w:rPr>
        <w:t xml:space="preserve"> is estimated</w:t>
      </w:r>
      <w:r w:rsidR="009870E3">
        <w:rPr>
          <w:shd w:val="clear" w:color="auto" w:fill="FFFFFF"/>
        </w:rPr>
        <w:t xml:space="preserve"> as 10 hours </w:t>
      </w:r>
      <w:r w:rsidR="004A5F6A">
        <w:rPr>
          <w:shd w:val="clear" w:color="auto" w:fill="FFFFFF"/>
        </w:rPr>
        <w:t xml:space="preserve">per renewal </w:t>
      </w:r>
      <w:r w:rsidR="009870E3">
        <w:rPr>
          <w:shd w:val="clear" w:color="auto" w:fill="FFFFFF"/>
        </w:rPr>
        <w:t>for a total burden of 2,5</w:t>
      </w:r>
      <w:r w:rsidR="004A5F6A">
        <w:rPr>
          <w:shd w:val="clear" w:color="auto" w:fill="FFFFFF"/>
        </w:rPr>
        <w:t>1</w:t>
      </w:r>
      <w:r w:rsidR="009870E3">
        <w:rPr>
          <w:shd w:val="clear" w:color="auto" w:fill="FFFFFF"/>
        </w:rPr>
        <w:t>0 hours for 25</w:t>
      </w:r>
      <w:r w:rsidR="004A5F6A">
        <w:rPr>
          <w:shd w:val="clear" w:color="auto" w:fill="FFFFFF"/>
        </w:rPr>
        <w:t>1</w:t>
      </w:r>
      <w:r w:rsidR="009870E3">
        <w:rPr>
          <w:shd w:val="clear" w:color="auto" w:fill="FFFFFF"/>
        </w:rPr>
        <w:t xml:space="preserve"> entities.</w:t>
      </w:r>
    </w:p>
    <w:p w:rsidRPr="001E75EA" w:rsidR="00D95DD3" w:rsidP="00D95DD3" w:rsidRDefault="00D95DD3" w14:paraId="081DBC41" w14:textId="77777777">
      <w:pPr>
        <w:pStyle w:val="BodyTextIndent"/>
        <w:ind w:left="0" w:firstLine="0"/>
        <w:rPr>
          <w:shd w:val="clear" w:color="auto" w:fill="FFFFFF"/>
        </w:rPr>
      </w:pPr>
    </w:p>
    <w:p w:rsidRPr="001E75EA" w:rsidR="00D95DD3" w:rsidP="00D95DD3" w:rsidRDefault="00D95DD3" w14:paraId="19974805" w14:textId="6C58431B">
      <w:pPr>
        <w:suppressAutoHyphens/>
        <w:ind w:left="360"/>
        <w:rPr>
          <w:rFonts w:ascii="Times New Roman" w:hAnsi="Times New Roman"/>
          <w:b/>
          <w:sz w:val="22"/>
          <w:shd w:val="clear" w:color="auto" w:fill="FFFFFF"/>
        </w:rPr>
      </w:pPr>
      <w:r w:rsidRPr="001E75EA">
        <w:rPr>
          <w:rFonts w:ascii="Times New Roman" w:hAnsi="Times New Roman"/>
          <w:b/>
          <w:sz w:val="22"/>
          <w:shd w:val="clear" w:color="auto" w:fill="FFFFFF"/>
        </w:rPr>
        <w:t>Total Annual Hour Burden:</w:t>
      </w:r>
      <w:r w:rsidRPr="001E75EA">
        <w:rPr>
          <w:rFonts w:ascii="Times New Roman" w:hAnsi="Times New Roman"/>
          <w:sz w:val="22"/>
          <w:shd w:val="clear" w:color="auto" w:fill="FFFFFF"/>
        </w:rPr>
        <w:t xml:space="preserve"> </w:t>
      </w:r>
      <w:r w:rsidR="009870E3">
        <w:rPr>
          <w:rFonts w:ascii="Times New Roman" w:hAnsi="Times New Roman"/>
          <w:b/>
          <w:sz w:val="22"/>
          <w:shd w:val="clear" w:color="auto" w:fill="FFFFFF"/>
        </w:rPr>
        <w:t>30</w:t>
      </w:r>
      <w:r w:rsidR="00A57C83">
        <w:rPr>
          <w:rFonts w:ascii="Times New Roman" w:hAnsi="Times New Roman"/>
          <w:b/>
          <w:sz w:val="22"/>
          <w:shd w:val="clear" w:color="auto" w:fill="FFFFFF"/>
        </w:rPr>
        <w:t>0</w:t>
      </w:r>
      <w:r w:rsidR="001264C1">
        <w:rPr>
          <w:rFonts w:ascii="Times New Roman" w:hAnsi="Times New Roman"/>
          <w:b/>
          <w:sz w:val="22"/>
          <w:shd w:val="clear" w:color="auto" w:fill="FFFFFF"/>
        </w:rPr>
        <w:t>.2</w:t>
      </w:r>
      <w:r w:rsidR="009870E3">
        <w:rPr>
          <w:rFonts w:ascii="Times New Roman" w:hAnsi="Times New Roman"/>
          <w:b/>
          <w:sz w:val="22"/>
          <w:shd w:val="clear" w:color="auto" w:fill="FFFFFF"/>
        </w:rPr>
        <w:t xml:space="preserve"> + </w:t>
      </w:r>
      <w:r w:rsidR="00131E67">
        <w:rPr>
          <w:rFonts w:ascii="Times New Roman" w:hAnsi="Times New Roman"/>
          <w:b/>
          <w:sz w:val="22"/>
          <w:shd w:val="clear" w:color="auto" w:fill="FFFFFF"/>
        </w:rPr>
        <w:t>165</w:t>
      </w:r>
      <w:r w:rsidR="009870E3">
        <w:rPr>
          <w:rFonts w:ascii="Times New Roman" w:hAnsi="Times New Roman"/>
          <w:b/>
          <w:sz w:val="22"/>
          <w:shd w:val="clear" w:color="auto" w:fill="FFFFFF"/>
        </w:rPr>
        <w:t>,</w:t>
      </w:r>
      <w:r w:rsidR="001264C1">
        <w:rPr>
          <w:rFonts w:ascii="Times New Roman" w:hAnsi="Times New Roman"/>
          <w:b/>
          <w:sz w:val="22"/>
          <w:shd w:val="clear" w:color="auto" w:fill="FFFFFF"/>
        </w:rPr>
        <w:t>150</w:t>
      </w:r>
      <w:r w:rsidR="009870E3">
        <w:rPr>
          <w:rFonts w:ascii="Times New Roman" w:hAnsi="Times New Roman"/>
          <w:b/>
          <w:sz w:val="22"/>
          <w:shd w:val="clear" w:color="auto" w:fill="FFFFFF"/>
        </w:rPr>
        <w:t xml:space="preserve"> + </w:t>
      </w:r>
      <w:r w:rsidR="00131E67">
        <w:rPr>
          <w:rFonts w:ascii="Times New Roman" w:hAnsi="Times New Roman"/>
          <w:b/>
          <w:sz w:val="22"/>
          <w:shd w:val="clear" w:color="auto" w:fill="FFFFFF"/>
        </w:rPr>
        <w:t>11,640</w:t>
      </w:r>
      <w:r w:rsidR="009870E3">
        <w:rPr>
          <w:rFonts w:ascii="Times New Roman" w:hAnsi="Times New Roman"/>
          <w:b/>
          <w:sz w:val="22"/>
          <w:shd w:val="clear" w:color="auto" w:fill="FFFFFF"/>
        </w:rPr>
        <w:t xml:space="preserve"> + 2,00</w:t>
      </w:r>
      <w:r w:rsidR="00A57C83">
        <w:rPr>
          <w:rFonts w:ascii="Times New Roman" w:hAnsi="Times New Roman"/>
          <w:b/>
          <w:sz w:val="22"/>
          <w:shd w:val="clear" w:color="auto" w:fill="FFFFFF"/>
        </w:rPr>
        <w:t>2.5</w:t>
      </w:r>
      <w:r w:rsidR="009870E3">
        <w:rPr>
          <w:rFonts w:ascii="Times New Roman" w:hAnsi="Times New Roman"/>
          <w:b/>
          <w:sz w:val="22"/>
          <w:shd w:val="clear" w:color="auto" w:fill="FFFFFF"/>
        </w:rPr>
        <w:t xml:space="preserve"> + 20,000 + 2,5</w:t>
      </w:r>
      <w:r w:rsidR="004A5F6A">
        <w:rPr>
          <w:rFonts w:ascii="Times New Roman" w:hAnsi="Times New Roman"/>
          <w:b/>
          <w:sz w:val="22"/>
          <w:shd w:val="clear" w:color="auto" w:fill="FFFFFF"/>
        </w:rPr>
        <w:t>1</w:t>
      </w:r>
      <w:r w:rsidR="009870E3">
        <w:rPr>
          <w:rFonts w:ascii="Times New Roman" w:hAnsi="Times New Roman"/>
          <w:b/>
          <w:sz w:val="22"/>
          <w:shd w:val="clear" w:color="auto" w:fill="FFFFFF"/>
        </w:rPr>
        <w:t xml:space="preserve">0 = </w:t>
      </w:r>
      <w:r w:rsidR="00131E67">
        <w:rPr>
          <w:rFonts w:ascii="Times New Roman" w:hAnsi="Times New Roman"/>
          <w:b/>
          <w:sz w:val="22"/>
          <w:shd w:val="clear" w:color="auto" w:fill="FFFFFF"/>
        </w:rPr>
        <w:t>201,</w:t>
      </w:r>
      <w:r w:rsidR="00A57C83">
        <w:rPr>
          <w:rFonts w:ascii="Times New Roman" w:hAnsi="Times New Roman"/>
          <w:b/>
          <w:sz w:val="22"/>
          <w:shd w:val="clear" w:color="auto" w:fill="FFFFFF"/>
        </w:rPr>
        <w:t>603</w:t>
      </w:r>
      <w:r w:rsidR="00131E67">
        <w:rPr>
          <w:rFonts w:ascii="Times New Roman" w:hAnsi="Times New Roman"/>
          <w:b/>
          <w:sz w:val="22"/>
          <w:shd w:val="clear" w:color="auto" w:fill="FFFFFF"/>
        </w:rPr>
        <w:t xml:space="preserve"> </w:t>
      </w:r>
      <w:r w:rsidRPr="001E75EA" w:rsidR="00584159">
        <w:rPr>
          <w:rFonts w:ascii="Times New Roman" w:hAnsi="Times New Roman"/>
          <w:b/>
          <w:sz w:val="22"/>
          <w:shd w:val="clear" w:color="auto" w:fill="FFFFFF"/>
        </w:rPr>
        <w:t>hours</w:t>
      </w:r>
    </w:p>
    <w:p w:rsidRPr="001E75EA" w:rsidR="00D95DD3" w:rsidP="00D95DD3" w:rsidRDefault="00D95DD3" w14:paraId="5BB2BA29" w14:textId="77777777">
      <w:pPr>
        <w:suppressAutoHyphens/>
        <w:ind w:left="360"/>
        <w:rPr>
          <w:rFonts w:ascii="Times New Roman" w:hAnsi="Times New Roman"/>
          <w:sz w:val="22"/>
          <w:shd w:val="clear" w:color="auto" w:fill="FFFFFF"/>
        </w:rPr>
      </w:pPr>
    </w:p>
    <w:p w:rsidR="004B3768" w:rsidP="004B3768" w:rsidRDefault="00D95DD3" w14:paraId="750E0F50" w14:textId="35CFC694">
      <w:pPr>
        <w:pStyle w:val="BodyTextIndent"/>
        <w:tabs>
          <w:tab w:val="clear" w:pos="360"/>
        </w:tabs>
        <w:ind w:left="0" w:firstLine="0"/>
        <w:rPr>
          <w:shd w:val="clear" w:color="auto" w:fill="FFFFFF"/>
        </w:rPr>
      </w:pPr>
      <w:r w:rsidRPr="001E75EA">
        <w:rPr>
          <w:shd w:val="clear" w:color="auto" w:fill="FFFFFF"/>
        </w:rPr>
        <w:t xml:space="preserve">13. </w:t>
      </w:r>
      <w:r w:rsidR="004B3768">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rsidR="004B3768" w:rsidP="00D95DD3" w:rsidRDefault="004B3768" w14:paraId="1FC7D5A1" w14:textId="77777777">
      <w:pPr>
        <w:pStyle w:val="BodyTextIndent"/>
        <w:tabs>
          <w:tab w:val="clear" w:pos="360"/>
        </w:tabs>
        <w:ind w:left="630" w:hanging="630"/>
        <w:rPr>
          <w:shd w:val="clear" w:color="auto" w:fill="FFFFFF"/>
        </w:rPr>
      </w:pPr>
    </w:p>
    <w:p w:rsidR="00D95DD3" w:rsidP="004B3768" w:rsidRDefault="00D95DD3" w14:paraId="7B9EEFAD" w14:textId="4A1B2E04">
      <w:pPr>
        <w:pStyle w:val="BodyTextIndent"/>
        <w:numPr>
          <w:ilvl w:val="0"/>
          <w:numId w:val="41"/>
        </w:numPr>
        <w:tabs>
          <w:tab w:val="clear" w:pos="360"/>
        </w:tabs>
        <w:rPr>
          <w:shd w:val="clear" w:color="auto" w:fill="FFFFFF"/>
        </w:rPr>
      </w:pPr>
      <w:r w:rsidRPr="001E75EA">
        <w:rPr>
          <w:shd w:val="clear" w:color="auto" w:fill="FFFFFF"/>
        </w:rPr>
        <w:t>Capital and start-up costs include the cost for hardware and software for providing the information to the Commission</w:t>
      </w:r>
      <w:r w:rsidR="004A5F6A">
        <w:rPr>
          <w:shd w:val="clear" w:color="auto" w:fill="FFFFFF"/>
        </w:rPr>
        <w:t>.</w:t>
      </w:r>
      <w:r w:rsidR="00132B6A">
        <w:rPr>
          <w:shd w:val="clear" w:color="auto" w:fill="FFFFFF"/>
        </w:rPr>
        <w:t xml:space="preserve"> The Commission </w:t>
      </w:r>
      <w:r w:rsidR="00AE3E8D">
        <w:rPr>
          <w:shd w:val="clear" w:color="auto" w:fill="FFFFFF"/>
        </w:rPr>
        <w:t>estimates that all the entities in their routine business operation maintain systems that will support the information collection.  The TFs and TCBs are expected to be in the business of</w:t>
      </w:r>
      <w:r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rsidR="00FC0B44" w:rsidP="00D95DD3" w:rsidRDefault="00FC0B44" w14:paraId="3E0D37AD" w14:textId="0EDF5FD6">
      <w:pPr>
        <w:pStyle w:val="BodyTextIndent"/>
        <w:tabs>
          <w:tab w:val="clear" w:pos="360"/>
        </w:tabs>
        <w:ind w:left="630" w:hanging="630"/>
        <w:rPr>
          <w:shd w:val="clear" w:color="auto" w:fill="FFFFFF"/>
        </w:rPr>
      </w:pPr>
    </w:p>
    <w:p w:rsidR="00D95DD3" w:rsidP="00C60E5B" w:rsidRDefault="00FC0B44" w14:paraId="1B5DBFE7" w14:textId="20B52B2C">
      <w:pPr>
        <w:pStyle w:val="BodyTextIndent"/>
        <w:tabs>
          <w:tab w:val="clear" w:pos="360"/>
        </w:tabs>
        <w:ind w:left="634" w:firstLine="0"/>
        <w:rPr>
          <w:shd w:val="clear" w:color="auto" w:fill="FFFFFF"/>
        </w:rPr>
      </w:pPr>
      <w:r>
        <w:rPr>
          <w:shd w:val="clear" w:color="auto" w:fill="FFFFFF"/>
        </w:rPr>
        <w:t xml:space="preserve">The TCBs are required to collect the information specifically required by this information collection may collect </w:t>
      </w:r>
      <w:r w:rsidR="00F56FEC">
        <w:rPr>
          <w:shd w:val="clear" w:color="auto" w:fill="FFFFFF"/>
        </w:rPr>
        <w:t xml:space="preserve">the information </w:t>
      </w:r>
      <w:r>
        <w:rPr>
          <w:shd w:val="clear" w:color="auto" w:fill="FFFFFF"/>
        </w:rPr>
        <w:t xml:space="preserve">in any form they choose.  However, it is expected that they will likely invest in systems to make their process efficient.  The Commission expects that the average cost attributable to information collection to be about $ </w:t>
      </w:r>
      <w:r w:rsidR="000834BE">
        <w:rPr>
          <w:shd w:val="clear" w:color="auto" w:fill="FFFFFF"/>
        </w:rPr>
        <w:t>10</w:t>
      </w:r>
      <w:r>
        <w:rPr>
          <w:shd w:val="clear" w:color="auto" w:fill="FFFFFF"/>
        </w:rPr>
        <w:t xml:space="preserve">,000 per TCB for a total cost of $ </w:t>
      </w:r>
      <w:r w:rsidR="000834BE">
        <w:rPr>
          <w:shd w:val="clear" w:color="auto" w:fill="FFFFFF"/>
        </w:rPr>
        <w:t>4</w:t>
      </w:r>
      <w:r>
        <w:rPr>
          <w:shd w:val="clear" w:color="auto" w:fill="FFFFFF"/>
        </w:rPr>
        <w:t>00,000 for 40 TCBs.</w:t>
      </w:r>
    </w:p>
    <w:p w:rsidR="004B3768" w:rsidP="00C60E5B" w:rsidRDefault="004B3768" w14:paraId="4CE38A9C" w14:textId="50496FD7">
      <w:pPr>
        <w:pStyle w:val="BodyTextIndent"/>
        <w:tabs>
          <w:tab w:val="clear" w:pos="360"/>
        </w:tabs>
        <w:ind w:left="634" w:firstLine="0"/>
        <w:rPr>
          <w:shd w:val="clear" w:color="auto" w:fill="FFFFFF"/>
        </w:rPr>
      </w:pPr>
    </w:p>
    <w:p w:rsidRPr="004B3768" w:rsidR="00D95DD3" w:rsidP="004B3768" w:rsidRDefault="00D95DD3" w14:paraId="02324089" w14:textId="3B16D511">
      <w:pPr>
        <w:pStyle w:val="BodyTextIndent"/>
        <w:numPr>
          <w:ilvl w:val="0"/>
          <w:numId w:val="41"/>
        </w:numPr>
        <w:tabs>
          <w:tab w:val="clear" w:pos="360"/>
        </w:tabs>
        <w:rPr>
          <w:shd w:val="clear" w:color="auto" w:fill="FFFFFF"/>
        </w:rPr>
      </w:pPr>
      <w:r w:rsidRPr="004B3768">
        <w:rPr>
          <w:shd w:val="clear" w:color="auto" w:fill="FFFFFF"/>
        </w:rPr>
        <w:t xml:space="preserve">Overhead and maintenance costs include the cost for preparation of a test report demonstrating compliance of equipment proposed for marketing with the Commission's technical standards:  </w:t>
      </w:r>
    </w:p>
    <w:p w:rsidRPr="001E75EA" w:rsidR="00D95DD3" w:rsidP="00D95DD3" w:rsidRDefault="00D95DD3" w14:paraId="5CE27327" w14:textId="77777777">
      <w:pPr>
        <w:pStyle w:val="BodyTextIndent"/>
        <w:tabs>
          <w:tab w:val="clear" w:pos="360"/>
        </w:tabs>
        <w:ind w:left="720"/>
        <w:rPr>
          <w:shd w:val="clear" w:color="auto" w:fill="FFFFFF"/>
        </w:rPr>
      </w:pPr>
    </w:p>
    <w:p w:rsidR="00216AA1" w:rsidP="00C60E5B" w:rsidRDefault="00216AA1" w14:paraId="0CAE39A0" w14:textId="111341AC">
      <w:pPr>
        <w:pStyle w:val="BodyTextIndent"/>
        <w:numPr>
          <w:ilvl w:val="0"/>
          <w:numId w:val="37"/>
        </w:numPr>
        <w:tabs>
          <w:tab w:val="clear" w:pos="360"/>
        </w:tabs>
        <w:rPr>
          <w:shd w:val="clear" w:color="auto" w:fill="FFFFFF"/>
        </w:rPr>
      </w:pPr>
      <w:r>
        <w:rPr>
          <w:shd w:val="clear" w:color="auto" w:fill="FFFFFF"/>
        </w:rPr>
        <w:t>A new grantee is required to pay $ 70 fee to obtain a new grantee code.  The Commission estimates 300</w:t>
      </w:r>
      <w:r w:rsidR="00C151A9">
        <w:rPr>
          <w:shd w:val="clear" w:color="auto" w:fill="FFFFFF"/>
        </w:rPr>
        <w:t>2</w:t>
      </w:r>
      <w:r>
        <w:rPr>
          <w:shd w:val="clear" w:color="auto" w:fill="FFFFFF"/>
        </w:rPr>
        <w:t xml:space="preserve"> new applicants annually.  This fee is only required the first time an applicant requests a grantee code.  The cost for grantees is:</w:t>
      </w:r>
    </w:p>
    <w:p w:rsidR="00216AA1" w:rsidP="00C60E5B" w:rsidRDefault="00216AA1" w14:paraId="0737E646" w14:textId="77777777">
      <w:pPr>
        <w:pStyle w:val="BodyTextIndent"/>
        <w:tabs>
          <w:tab w:val="clear" w:pos="360"/>
        </w:tabs>
        <w:rPr>
          <w:shd w:val="clear" w:color="auto" w:fill="FFFFFF"/>
        </w:rPr>
      </w:pPr>
    </w:p>
    <w:p w:rsidRPr="00C60E5B" w:rsidR="00216AA1" w:rsidP="00C60E5B" w:rsidRDefault="00216AA1" w14:paraId="45E97585" w14:textId="4C032FA0">
      <w:pPr>
        <w:pStyle w:val="BodyTextIndent"/>
        <w:tabs>
          <w:tab w:val="clear" w:pos="360"/>
        </w:tabs>
        <w:ind w:left="1800"/>
        <w:rPr>
          <w:b/>
          <w:shd w:val="clear" w:color="auto" w:fill="FFFFFF"/>
        </w:rPr>
      </w:pPr>
      <w:r w:rsidRPr="00C60E5B">
        <w:rPr>
          <w:b/>
          <w:shd w:val="clear" w:color="auto" w:fill="FFFFFF"/>
        </w:rPr>
        <w:t>3,00</w:t>
      </w:r>
      <w:r w:rsidR="00C151A9">
        <w:rPr>
          <w:b/>
          <w:shd w:val="clear" w:color="auto" w:fill="FFFFFF"/>
        </w:rPr>
        <w:t>2</w:t>
      </w:r>
      <w:r w:rsidRPr="00C60E5B">
        <w:rPr>
          <w:b/>
          <w:shd w:val="clear" w:color="auto" w:fill="FFFFFF"/>
        </w:rPr>
        <w:t xml:space="preserve"> applications x $ 70 per application = $ 210,</w:t>
      </w:r>
      <w:r w:rsidR="00C151A9">
        <w:rPr>
          <w:b/>
          <w:shd w:val="clear" w:color="auto" w:fill="FFFFFF"/>
        </w:rPr>
        <w:t>140</w:t>
      </w:r>
    </w:p>
    <w:p w:rsidR="00216AA1" w:rsidP="00C60E5B" w:rsidRDefault="00216AA1" w14:paraId="28F4B36B" w14:textId="6ABF0EC2">
      <w:pPr>
        <w:pStyle w:val="BodyTextIndent"/>
        <w:tabs>
          <w:tab w:val="clear" w:pos="360"/>
        </w:tabs>
        <w:ind w:left="1800"/>
        <w:rPr>
          <w:shd w:val="clear" w:color="auto" w:fill="FFFFFF"/>
        </w:rPr>
      </w:pPr>
    </w:p>
    <w:p w:rsidR="00EB6E48" w:rsidP="00EB6E48" w:rsidRDefault="004B3768" w14:paraId="61B8443E" w14:textId="6555C832">
      <w:pPr>
        <w:pStyle w:val="BodyTextIndent"/>
        <w:numPr>
          <w:ilvl w:val="0"/>
          <w:numId w:val="37"/>
        </w:numPr>
        <w:rPr>
          <w:shd w:val="clear" w:color="auto" w:fill="FFFFFF"/>
        </w:rPr>
      </w:pPr>
      <w:r>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w:t>
      </w:r>
      <w:r w:rsidRPr="001E75EA" w:rsidR="00EB6E48">
        <w:rPr>
          <w:shd w:val="clear" w:color="auto" w:fill="FFFFFF"/>
        </w:rPr>
        <w:t xml:space="preserve">he Commission estimates that </w:t>
      </w:r>
      <w:r w:rsidR="00EB6E48">
        <w:rPr>
          <w:shd w:val="clear" w:color="auto" w:fill="FFFFFF"/>
        </w:rPr>
        <w:t xml:space="preserve">on average </w:t>
      </w:r>
      <w:r>
        <w:rPr>
          <w:shd w:val="clear" w:color="auto" w:fill="FFFFFF"/>
        </w:rPr>
        <w:t xml:space="preserve">TFs will charge </w:t>
      </w:r>
      <w:r w:rsidR="00EB6E48">
        <w:rPr>
          <w:shd w:val="clear" w:color="auto" w:fill="FFFFFF"/>
        </w:rPr>
        <w:t>$ 2,</w:t>
      </w:r>
      <w:r w:rsidR="00B516C8">
        <w:rPr>
          <w:shd w:val="clear" w:color="auto" w:fill="FFFFFF"/>
        </w:rPr>
        <w:t>0</w:t>
      </w:r>
      <w:r w:rsidR="00EB6E48">
        <w:rPr>
          <w:shd w:val="clear" w:color="auto" w:fill="FFFFFF"/>
        </w:rPr>
        <w:t>00 per certification application for testing for compliance related to information collection for certification.  Therefore, the total annual cost for applicants for testing is</w:t>
      </w:r>
      <w:r w:rsidR="002F5CD1">
        <w:rPr>
          <w:shd w:val="clear" w:color="auto" w:fill="FFFFFF"/>
        </w:rPr>
        <w:t xml:space="preserve"> estimated to be</w:t>
      </w:r>
      <w:r w:rsidR="00EB6E48">
        <w:rPr>
          <w:shd w:val="clear" w:color="auto" w:fill="FFFFFF"/>
        </w:rPr>
        <w:t>:</w:t>
      </w:r>
    </w:p>
    <w:p w:rsidR="00EB6E48" w:rsidP="00C60E5B" w:rsidRDefault="00EB6E48" w14:paraId="604D1D7B" w14:textId="77777777">
      <w:pPr>
        <w:pStyle w:val="ListParagraph"/>
        <w:rPr>
          <w:shd w:val="clear" w:color="auto" w:fill="FFFFFF"/>
        </w:rPr>
      </w:pPr>
    </w:p>
    <w:p w:rsidRPr="002345AF" w:rsidR="00EB6E48" w:rsidP="00C60E5B" w:rsidRDefault="00EB6E48" w14:paraId="222C1C17" w14:textId="08E09A5A">
      <w:pPr>
        <w:pStyle w:val="BodyTextIndent"/>
        <w:ind w:left="1800"/>
        <w:rPr>
          <w:b/>
          <w:shd w:val="clear" w:color="auto" w:fill="FFFFFF"/>
        </w:rPr>
      </w:pPr>
      <w:r w:rsidRPr="002345AF">
        <w:rPr>
          <w:b/>
          <w:shd w:val="clear" w:color="auto" w:fill="FFFFFF"/>
        </w:rPr>
        <w:t>16,5</w:t>
      </w:r>
      <w:r w:rsidR="00C151A9">
        <w:rPr>
          <w:b/>
          <w:shd w:val="clear" w:color="auto" w:fill="FFFFFF"/>
        </w:rPr>
        <w:t>15</w:t>
      </w:r>
      <w:r w:rsidRPr="002345AF">
        <w:rPr>
          <w:b/>
          <w:shd w:val="clear" w:color="auto" w:fill="FFFFFF"/>
        </w:rPr>
        <w:t xml:space="preserve"> applications x $ </w:t>
      </w:r>
      <w:r>
        <w:rPr>
          <w:b/>
          <w:shd w:val="clear" w:color="auto" w:fill="FFFFFF"/>
        </w:rPr>
        <w:t>2,</w:t>
      </w:r>
      <w:r w:rsidR="00B516C8">
        <w:rPr>
          <w:b/>
          <w:shd w:val="clear" w:color="auto" w:fill="FFFFFF"/>
        </w:rPr>
        <w:t>0</w:t>
      </w:r>
      <w:r>
        <w:rPr>
          <w:b/>
          <w:shd w:val="clear" w:color="auto" w:fill="FFFFFF"/>
        </w:rPr>
        <w:t>00</w:t>
      </w:r>
      <w:r w:rsidRPr="002345AF">
        <w:rPr>
          <w:b/>
          <w:shd w:val="clear" w:color="auto" w:fill="FFFFFF"/>
        </w:rPr>
        <w:t xml:space="preserve">/per </w:t>
      </w:r>
      <w:r>
        <w:rPr>
          <w:b/>
          <w:shd w:val="clear" w:color="auto" w:fill="FFFFFF"/>
        </w:rPr>
        <w:t>application</w:t>
      </w:r>
      <w:r w:rsidRPr="002345AF">
        <w:rPr>
          <w:b/>
          <w:shd w:val="clear" w:color="auto" w:fill="FFFFFF"/>
        </w:rPr>
        <w:t xml:space="preserve"> = $ </w:t>
      </w:r>
      <w:r w:rsidR="00B516C8">
        <w:rPr>
          <w:b/>
          <w:shd w:val="clear" w:color="auto" w:fill="FFFFFF"/>
        </w:rPr>
        <w:t>33,0</w:t>
      </w:r>
      <w:r w:rsidR="00C151A9">
        <w:rPr>
          <w:b/>
          <w:shd w:val="clear" w:color="auto" w:fill="FFFFFF"/>
        </w:rPr>
        <w:t>3</w:t>
      </w:r>
      <w:r w:rsidR="00B516C8">
        <w:rPr>
          <w:b/>
          <w:shd w:val="clear" w:color="auto" w:fill="FFFFFF"/>
        </w:rPr>
        <w:t>0</w:t>
      </w:r>
      <w:r w:rsidRPr="002345AF">
        <w:rPr>
          <w:b/>
          <w:shd w:val="clear" w:color="auto" w:fill="FFFFFF"/>
        </w:rPr>
        <w:t xml:space="preserve">,000 </w:t>
      </w:r>
    </w:p>
    <w:p w:rsidR="00EB6E48" w:rsidP="00C60E5B" w:rsidRDefault="00EB6E48" w14:paraId="1500F1E8" w14:textId="77777777">
      <w:pPr>
        <w:pStyle w:val="BodyTextIndent"/>
        <w:ind w:left="1080" w:firstLine="0"/>
        <w:rPr>
          <w:shd w:val="clear" w:color="auto" w:fill="FFFFFF"/>
        </w:rPr>
      </w:pPr>
    </w:p>
    <w:p w:rsidRPr="00EB6E48" w:rsidR="00EB6E48" w:rsidP="00EB6E48" w:rsidRDefault="00EB6E48" w14:paraId="2BD8917A" w14:textId="6145F446">
      <w:pPr>
        <w:pStyle w:val="ListParagraph"/>
        <w:numPr>
          <w:ilvl w:val="0"/>
          <w:numId w:val="37"/>
        </w:numPr>
        <w:suppressAutoHyphens/>
        <w:rPr>
          <w:rFonts w:ascii="Times New Roman" w:hAnsi="Times New Roman"/>
          <w:sz w:val="22"/>
          <w:shd w:val="clear" w:color="auto" w:fill="FFFFFF"/>
        </w:rPr>
      </w:pPr>
      <w:r w:rsidRPr="00EB6E48">
        <w:rPr>
          <w:rFonts w:ascii="Times New Roman" w:hAnsi="Times New Roman"/>
          <w:sz w:val="22"/>
          <w:shd w:val="clear" w:color="auto" w:fill="FFFFFF"/>
        </w:rPr>
        <w:t>Additional cost to an applicant include the cost of filing with a TCB</w:t>
      </w:r>
      <w:r w:rsidR="002F5CD1">
        <w:rPr>
          <w:rFonts w:ascii="Times New Roman" w:hAnsi="Times New Roman"/>
          <w:sz w:val="22"/>
          <w:shd w:val="clear" w:color="auto" w:fill="FFFFFF"/>
        </w:rPr>
        <w:t>.  The cost for a TCB review can vary based on the device complexity.  The Commission estimates the a</w:t>
      </w:r>
      <w:r w:rsidRPr="00EB6E48">
        <w:rPr>
          <w:rFonts w:ascii="Times New Roman" w:hAnsi="Times New Roman"/>
          <w:sz w:val="22"/>
          <w:shd w:val="clear" w:color="auto" w:fill="FFFFFF"/>
        </w:rPr>
        <w:t>verage</w:t>
      </w:r>
      <w:r w:rsidR="002F5CD1">
        <w:rPr>
          <w:rFonts w:ascii="Times New Roman" w:hAnsi="Times New Roman"/>
          <w:sz w:val="22"/>
          <w:shd w:val="clear" w:color="auto" w:fill="FFFFFF"/>
        </w:rPr>
        <w:t xml:space="preserve"> cost per application as</w:t>
      </w:r>
      <w:r w:rsidRPr="00EB6E48">
        <w:rPr>
          <w:rFonts w:ascii="Times New Roman" w:hAnsi="Times New Roman"/>
          <w:sz w:val="22"/>
          <w:shd w:val="clear" w:color="auto" w:fill="FFFFFF"/>
        </w:rPr>
        <w:t xml:space="preserve"> $ </w:t>
      </w:r>
      <w:r w:rsidR="00B516C8">
        <w:rPr>
          <w:rFonts w:ascii="Times New Roman" w:hAnsi="Times New Roman"/>
          <w:sz w:val="22"/>
          <w:shd w:val="clear" w:color="auto" w:fill="FFFFFF"/>
        </w:rPr>
        <w:t>1</w:t>
      </w:r>
      <w:r w:rsidR="00F56FEC">
        <w:rPr>
          <w:rFonts w:ascii="Times New Roman" w:hAnsi="Times New Roman"/>
          <w:sz w:val="22"/>
          <w:shd w:val="clear" w:color="auto" w:fill="FFFFFF"/>
        </w:rPr>
        <w:t>,</w:t>
      </w:r>
      <w:r w:rsidR="00B516C8">
        <w:rPr>
          <w:rFonts w:ascii="Times New Roman" w:hAnsi="Times New Roman"/>
          <w:sz w:val="22"/>
          <w:shd w:val="clear" w:color="auto" w:fill="FFFFFF"/>
        </w:rPr>
        <w:t>0</w:t>
      </w:r>
      <w:r w:rsidRPr="00EB6E48">
        <w:rPr>
          <w:rFonts w:ascii="Times New Roman" w:hAnsi="Times New Roman"/>
          <w:sz w:val="22"/>
          <w:shd w:val="clear" w:color="auto" w:fill="FFFFFF"/>
        </w:rPr>
        <w:t>00:</w:t>
      </w:r>
    </w:p>
    <w:p w:rsidRPr="00EB6E48" w:rsidR="00EB6E48" w:rsidP="00C60E5B" w:rsidRDefault="00EB6E48" w14:paraId="2E51C0ED" w14:textId="227A6B7F">
      <w:pPr>
        <w:pStyle w:val="ListParagraph"/>
        <w:suppressAutoHyphens/>
        <w:ind w:left="1080"/>
        <w:rPr>
          <w:rFonts w:ascii="Times New Roman" w:hAnsi="Times New Roman"/>
          <w:sz w:val="22"/>
          <w:shd w:val="clear" w:color="auto" w:fill="FFFFFF"/>
        </w:rPr>
      </w:pPr>
    </w:p>
    <w:p w:rsidRPr="00C60E5B" w:rsidR="00EB6E48" w:rsidP="00C60E5B" w:rsidRDefault="00EB6E48" w14:paraId="0783AE09" w14:textId="347F232E">
      <w:pPr>
        <w:pStyle w:val="ListParagraph"/>
        <w:suppressAutoHyphens/>
        <w:ind w:left="1080" w:firstLine="360"/>
        <w:rPr>
          <w:b/>
          <w:shd w:val="clear" w:color="auto" w:fill="FFFFFF"/>
        </w:rPr>
      </w:pPr>
      <w:r w:rsidRPr="00EB6E48">
        <w:rPr>
          <w:rFonts w:ascii="Times New Roman" w:hAnsi="Times New Roman"/>
          <w:b/>
          <w:sz w:val="22"/>
          <w:shd w:val="clear" w:color="auto" w:fill="FFFFFF"/>
        </w:rPr>
        <w:t>16,5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 xml:space="preserve"> applications x $ </w:t>
      </w:r>
      <w:r w:rsidR="00B516C8">
        <w:rPr>
          <w:rFonts w:ascii="Times New Roman" w:hAnsi="Times New Roman"/>
          <w:b/>
          <w:sz w:val="22"/>
          <w:shd w:val="clear" w:color="auto" w:fill="FFFFFF"/>
        </w:rPr>
        <w:t>1</w:t>
      </w:r>
      <w:r w:rsidR="00F56FEC">
        <w:rPr>
          <w:rFonts w:ascii="Times New Roman" w:hAnsi="Times New Roman"/>
          <w:b/>
          <w:sz w:val="22"/>
          <w:shd w:val="clear" w:color="auto" w:fill="FFFFFF"/>
        </w:rPr>
        <w:t>,</w:t>
      </w:r>
      <w:r w:rsidR="00B516C8">
        <w:rPr>
          <w:rFonts w:ascii="Times New Roman" w:hAnsi="Times New Roman"/>
          <w:b/>
          <w:sz w:val="22"/>
          <w:shd w:val="clear" w:color="auto" w:fill="FFFFFF"/>
        </w:rPr>
        <w:t>0</w:t>
      </w:r>
      <w:r w:rsidRPr="00EB6E48">
        <w:rPr>
          <w:rFonts w:ascii="Times New Roman" w:hAnsi="Times New Roman"/>
          <w:b/>
          <w:sz w:val="22"/>
          <w:shd w:val="clear" w:color="auto" w:fill="FFFFFF"/>
        </w:rPr>
        <w:t xml:space="preserve">00/per application = $ </w:t>
      </w:r>
      <w:r w:rsidR="00B516C8">
        <w:rPr>
          <w:rFonts w:ascii="Times New Roman" w:hAnsi="Times New Roman"/>
          <w:b/>
          <w:sz w:val="22"/>
          <w:shd w:val="clear" w:color="auto" w:fill="FFFFFF"/>
        </w:rPr>
        <w:t>16,</w:t>
      </w:r>
      <w:r w:rsidRPr="00EB6E48">
        <w:rPr>
          <w:rFonts w:ascii="Times New Roman" w:hAnsi="Times New Roman"/>
          <w:b/>
          <w:sz w:val="22"/>
          <w:shd w:val="clear" w:color="auto" w:fill="FFFFFF"/>
        </w:rPr>
        <w:t>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,000</w:t>
      </w:r>
    </w:p>
    <w:p w:rsidRPr="00216AA1" w:rsidR="00D95DD3" w:rsidP="00C60E5B" w:rsidRDefault="00D95DD3" w14:paraId="21F13F27" w14:textId="2825DCE1">
      <w:pPr>
        <w:pStyle w:val="BodyTextIndent"/>
        <w:tabs>
          <w:tab w:val="clear" w:pos="360"/>
        </w:tabs>
        <w:ind w:left="1080" w:firstLine="0"/>
        <w:rPr>
          <w:shd w:val="clear" w:color="auto" w:fill="FFFFFF"/>
        </w:rPr>
      </w:pPr>
    </w:p>
    <w:p w:rsidRPr="001E75EA" w:rsidR="00D95DD3" w:rsidP="00C60E5B" w:rsidRDefault="00D95DD3" w14:paraId="3308805A" w14:textId="0FFBB2F7">
      <w:pPr>
        <w:pStyle w:val="BodyTextIndent"/>
        <w:rPr>
          <w:b/>
          <w:shd w:val="clear" w:color="auto" w:fill="FFFFFF"/>
        </w:rPr>
      </w:pPr>
    </w:p>
    <w:p w:rsidR="00EB6E48" w:rsidP="00D95DD3" w:rsidRDefault="00D95DD3" w14:paraId="5CA80D65" w14:textId="09150E6A">
      <w:pPr>
        <w:suppressAutoHyphens/>
        <w:ind w:firstLine="720"/>
        <w:rPr>
          <w:rFonts w:ascii="Times New Roman" w:hAnsi="Times New Roman"/>
          <w:sz w:val="22"/>
          <w:shd w:val="clear" w:color="auto" w:fill="FFFFFF"/>
        </w:rPr>
      </w:pPr>
      <w:r w:rsidRPr="001E75EA">
        <w:rPr>
          <w:rFonts w:ascii="Times New Roman" w:hAnsi="Times New Roman"/>
          <w:sz w:val="22"/>
          <w:shd w:val="clear" w:color="auto" w:fill="FFFFFF"/>
        </w:rPr>
        <w:t xml:space="preserve">Total </w:t>
      </w:r>
      <w:r w:rsidR="0055771B">
        <w:rPr>
          <w:rFonts w:ascii="Times New Roman" w:hAnsi="Times New Roman"/>
          <w:sz w:val="22"/>
          <w:shd w:val="clear" w:color="auto" w:fill="FFFFFF"/>
        </w:rPr>
        <w:t xml:space="preserve">Annual </w:t>
      </w:r>
      <w:r w:rsidRPr="001E75EA">
        <w:rPr>
          <w:rFonts w:ascii="Times New Roman" w:hAnsi="Times New Roman"/>
          <w:sz w:val="22"/>
          <w:shd w:val="clear" w:color="auto" w:fill="FFFFFF"/>
        </w:rPr>
        <w:t>costs</w:t>
      </w:r>
      <w:r w:rsidR="0055771B">
        <w:rPr>
          <w:rFonts w:ascii="Times New Roman" w:hAnsi="Times New Roman"/>
          <w:sz w:val="22"/>
          <w:shd w:val="clear" w:color="auto" w:fill="FFFFFF"/>
        </w:rPr>
        <w:t xml:space="preserve"> for </w:t>
      </w:r>
      <w:r w:rsidR="00EB6E48">
        <w:rPr>
          <w:rFonts w:ascii="Times New Roman" w:hAnsi="Times New Roman"/>
          <w:sz w:val="22"/>
          <w:shd w:val="clear" w:color="auto" w:fill="FFFFFF"/>
        </w:rPr>
        <w:t xml:space="preserve">grantee code and </w:t>
      </w:r>
      <w:r w:rsidR="0055771B">
        <w:rPr>
          <w:rFonts w:ascii="Times New Roman" w:hAnsi="Times New Roman"/>
          <w:sz w:val="22"/>
          <w:shd w:val="clear" w:color="auto" w:fill="FFFFFF"/>
        </w:rPr>
        <w:t>certification applications</w:t>
      </w:r>
      <w:r w:rsidRPr="001E75EA">
        <w:rPr>
          <w:rFonts w:ascii="Times New Roman" w:hAnsi="Times New Roman"/>
          <w:sz w:val="22"/>
          <w:shd w:val="clear" w:color="auto" w:fill="FFFFFF"/>
        </w:rPr>
        <w:t xml:space="preserve">: </w:t>
      </w:r>
    </w:p>
    <w:p w:rsidR="00EB6E48" w:rsidP="00C60E5B" w:rsidRDefault="00EB6E48" w14:paraId="23D10AF4" w14:textId="77777777">
      <w:pPr>
        <w:suppressAutoHyphens/>
        <w:ind w:left="720" w:firstLine="720"/>
        <w:rPr>
          <w:rFonts w:ascii="Times New Roman" w:hAnsi="Times New Roman"/>
          <w:sz w:val="22"/>
          <w:shd w:val="clear" w:color="auto" w:fill="FFFFFF"/>
        </w:rPr>
      </w:pPr>
    </w:p>
    <w:p w:rsidRPr="001E75EA" w:rsidR="00D95DD3" w:rsidP="00C60E5B" w:rsidRDefault="00EB6E48" w14:paraId="6830BA36" w14:textId="4BA6D193">
      <w:pPr>
        <w:suppressAutoHyphens/>
        <w:ind w:left="720" w:firstLine="720"/>
        <w:rPr>
          <w:rFonts w:ascii="Times New Roman" w:hAnsi="Times New Roman"/>
          <w:b/>
          <w:sz w:val="22"/>
          <w:shd w:val="clear" w:color="auto" w:fill="FFFFFF"/>
        </w:rPr>
      </w:pPr>
      <w:r>
        <w:rPr>
          <w:rFonts w:ascii="Times New Roman" w:hAnsi="Times New Roman"/>
          <w:b/>
          <w:sz w:val="22"/>
          <w:shd w:val="clear" w:color="auto" w:fill="FFFFFF"/>
        </w:rPr>
        <w:t>$ 210,</w:t>
      </w:r>
      <w:r w:rsidR="00C151A9">
        <w:rPr>
          <w:rFonts w:ascii="Times New Roman" w:hAnsi="Times New Roman"/>
          <w:b/>
          <w:sz w:val="22"/>
          <w:shd w:val="clear" w:color="auto" w:fill="FFFFFF"/>
        </w:rPr>
        <w:t>14</w:t>
      </w:r>
      <w:r>
        <w:rPr>
          <w:rFonts w:ascii="Times New Roman" w:hAnsi="Times New Roman"/>
          <w:b/>
          <w:sz w:val="22"/>
          <w:shd w:val="clear" w:color="auto" w:fill="FFFFFF"/>
        </w:rPr>
        <w:t xml:space="preserve">0 + </w:t>
      </w:r>
      <w:r w:rsidR="00B516C8">
        <w:rPr>
          <w:rFonts w:ascii="Times New Roman" w:hAnsi="Times New Roman"/>
          <w:b/>
          <w:sz w:val="22"/>
          <w:shd w:val="clear" w:color="auto" w:fill="FFFFFF"/>
        </w:rPr>
        <w:t>33,0</w:t>
      </w:r>
      <w:r w:rsidR="00C151A9">
        <w:rPr>
          <w:rFonts w:ascii="Times New Roman" w:hAnsi="Times New Roman"/>
          <w:b/>
          <w:sz w:val="22"/>
          <w:shd w:val="clear" w:color="auto" w:fill="FFFFFF"/>
        </w:rPr>
        <w:t>3</w:t>
      </w:r>
      <w:r w:rsidR="0055771B">
        <w:rPr>
          <w:rFonts w:ascii="Times New Roman" w:hAnsi="Times New Roman"/>
          <w:b/>
          <w:sz w:val="22"/>
          <w:shd w:val="clear" w:color="auto" w:fill="FFFFFF"/>
        </w:rPr>
        <w:t>0,00</w:t>
      </w:r>
      <w:r w:rsidR="00285D1E">
        <w:rPr>
          <w:rFonts w:ascii="Times New Roman" w:hAnsi="Times New Roman"/>
          <w:b/>
          <w:sz w:val="22"/>
          <w:shd w:val="clear" w:color="auto" w:fill="FFFFFF"/>
        </w:rPr>
        <w:t xml:space="preserve">0 + $ </w:t>
      </w:r>
      <w:r w:rsidR="00B516C8">
        <w:rPr>
          <w:rFonts w:ascii="Times New Roman" w:hAnsi="Times New Roman"/>
          <w:b/>
          <w:sz w:val="22"/>
          <w:shd w:val="clear" w:color="auto" w:fill="FFFFFF"/>
        </w:rPr>
        <w:t>16,5</w:t>
      </w:r>
      <w:r w:rsidR="00C151A9">
        <w:rPr>
          <w:rFonts w:ascii="Times New Roman" w:hAnsi="Times New Roman"/>
          <w:b/>
          <w:sz w:val="22"/>
          <w:shd w:val="clear" w:color="auto" w:fill="FFFFFF"/>
        </w:rPr>
        <w:t>15</w:t>
      </w:r>
      <w:r w:rsidR="00285D1E">
        <w:rPr>
          <w:rFonts w:ascii="Times New Roman" w:hAnsi="Times New Roman"/>
          <w:b/>
          <w:sz w:val="22"/>
          <w:shd w:val="clear" w:color="auto" w:fill="FFFFFF"/>
        </w:rPr>
        <w:t>,00</w:t>
      </w:r>
      <w:r w:rsidR="00727755">
        <w:rPr>
          <w:rFonts w:ascii="Times New Roman" w:hAnsi="Times New Roman"/>
          <w:b/>
          <w:sz w:val="22"/>
          <w:shd w:val="clear" w:color="auto" w:fill="FFFFFF"/>
        </w:rPr>
        <w:t>0</w:t>
      </w:r>
      <w:r w:rsidR="00285D1E">
        <w:rPr>
          <w:rFonts w:ascii="Times New Roman" w:hAnsi="Times New Roman"/>
          <w:b/>
          <w:sz w:val="22"/>
          <w:shd w:val="clear" w:color="auto" w:fill="FFFFFF"/>
        </w:rPr>
        <w:t xml:space="preserve"> = $ </w:t>
      </w:r>
      <w:r w:rsidR="0055771B">
        <w:rPr>
          <w:rFonts w:ascii="Times New Roman" w:hAnsi="Times New Roman"/>
          <w:b/>
          <w:sz w:val="22"/>
          <w:shd w:val="clear" w:color="auto" w:fill="FFFFFF"/>
        </w:rPr>
        <w:t>49,</w:t>
      </w:r>
      <w:r w:rsidR="0064032B">
        <w:rPr>
          <w:rFonts w:ascii="Times New Roman" w:hAnsi="Times New Roman"/>
          <w:b/>
          <w:sz w:val="22"/>
          <w:shd w:val="clear" w:color="auto" w:fill="FFFFFF"/>
        </w:rPr>
        <w:t>755,14</w:t>
      </w:r>
      <w:r w:rsidR="0055771B">
        <w:rPr>
          <w:rFonts w:ascii="Times New Roman" w:hAnsi="Times New Roman"/>
          <w:b/>
          <w:sz w:val="22"/>
          <w:shd w:val="clear" w:color="auto" w:fill="FFFFFF"/>
        </w:rPr>
        <w:t>0</w:t>
      </w:r>
    </w:p>
    <w:p w:rsidRPr="001E75EA" w:rsidR="00D95DD3" w:rsidP="00D95DD3" w:rsidRDefault="00D95DD3" w14:paraId="30648854" w14:textId="77777777">
      <w:pPr>
        <w:suppressAutoHyphens/>
        <w:ind w:firstLine="720"/>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p>
    <w:p w:rsidRPr="001E75EA" w:rsidR="00D95DD3" w:rsidP="00D95DD3" w:rsidRDefault="00D95DD3" w14:paraId="1BCEC8C6" w14:textId="350C6365">
      <w:pPr>
        <w:suppressAutoHyphens/>
        <w:ind w:firstLine="360"/>
        <w:rPr>
          <w:rFonts w:ascii="Times New Roman" w:hAnsi="Times New Roman"/>
          <w:b/>
          <w:sz w:val="22"/>
          <w:shd w:val="clear" w:color="auto" w:fill="FFFFFF"/>
        </w:rPr>
      </w:pPr>
      <w:r w:rsidRPr="001E75EA">
        <w:rPr>
          <w:rFonts w:ascii="Times New Roman" w:hAnsi="Times New Roman"/>
          <w:sz w:val="22"/>
          <w:shd w:val="clear" w:color="auto" w:fill="FFFFFF"/>
        </w:rPr>
        <w:t>(c)</w:t>
      </w:r>
      <w:r w:rsidRPr="001E75EA">
        <w:rPr>
          <w:rFonts w:ascii="Times New Roman" w:hAnsi="Times New Roman"/>
          <w:sz w:val="22"/>
          <w:shd w:val="clear" w:color="auto" w:fill="FFFFFF"/>
        </w:rPr>
        <w:tab/>
      </w:r>
      <w:r w:rsidRPr="001E75EA">
        <w:rPr>
          <w:rFonts w:ascii="Times New Roman" w:hAnsi="Times New Roman"/>
          <w:b/>
          <w:sz w:val="22"/>
          <w:shd w:val="clear" w:color="auto" w:fill="FFFFFF"/>
        </w:rPr>
        <w:t xml:space="preserve">Total </w:t>
      </w:r>
      <w:r w:rsidR="0055771B">
        <w:rPr>
          <w:rFonts w:ascii="Times New Roman" w:hAnsi="Times New Roman"/>
          <w:b/>
          <w:sz w:val="22"/>
          <w:shd w:val="clear" w:color="auto" w:fill="FFFFFF"/>
        </w:rPr>
        <w:t xml:space="preserve">Annual and overhead </w:t>
      </w:r>
      <w:r w:rsidRPr="001E75EA">
        <w:rPr>
          <w:rFonts w:ascii="Times New Roman" w:hAnsi="Times New Roman"/>
          <w:b/>
          <w:sz w:val="22"/>
          <w:shd w:val="clear" w:color="auto" w:fill="FFFFFF"/>
        </w:rPr>
        <w:t>Cost</w:t>
      </w:r>
      <w:r w:rsidR="0055771B">
        <w:rPr>
          <w:rFonts w:ascii="Times New Roman" w:hAnsi="Times New Roman"/>
          <w:b/>
          <w:sz w:val="22"/>
          <w:shd w:val="clear" w:color="auto" w:fill="FFFFFF"/>
        </w:rPr>
        <w:t>s</w:t>
      </w:r>
      <w:r w:rsidRPr="001E75EA">
        <w:rPr>
          <w:rFonts w:ascii="Times New Roman" w:hAnsi="Times New Roman"/>
          <w:b/>
          <w:sz w:val="22"/>
          <w:shd w:val="clear" w:color="auto" w:fill="FFFFFF"/>
        </w:rPr>
        <w:t>:</w:t>
      </w:r>
      <w:r w:rsidRPr="001E75EA">
        <w:rPr>
          <w:rFonts w:ascii="Times New Roman" w:hAnsi="Times New Roman"/>
          <w:sz w:val="22"/>
          <w:shd w:val="clear" w:color="auto" w:fill="FFFFFF"/>
        </w:rPr>
        <w:t xml:space="preserve"> </w:t>
      </w:r>
      <w:r w:rsidRPr="001E75EA">
        <w:rPr>
          <w:rFonts w:ascii="Times New Roman" w:hAnsi="Times New Roman"/>
          <w:sz w:val="22"/>
          <w:szCs w:val="22"/>
          <w:shd w:val="clear" w:color="auto" w:fill="FFFFFF"/>
        </w:rPr>
        <w:t xml:space="preserve">$ </w:t>
      </w:r>
      <w:r w:rsidR="0055771B">
        <w:rPr>
          <w:rFonts w:ascii="Times New Roman" w:hAnsi="Times New Roman"/>
          <w:sz w:val="22"/>
          <w:szCs w:val="22"/>
          <w:shd w:val="clear" w:color="auto" w:fill="FFFFFF"/>
        </w:rPr>
        <w:t>4</w:t>
      </w:r>
      <w:r w:rsidRPr="001E75EA">
        <w:rPr>
          <w:rFonts w:ascii="Times New Roman" w:hAnsi="Times New Roman"/>
          <w:sz w:val="22"/>
          <w:szCs w:val="22"/>
          <w:shd w:val="clear" w:color="auto" w:fill="FFFFFF"/>
        </w:rPr>
        <w:t xml:space="preserve">00,000 + $ </w:t>
      </w:r>
      <w:r w:rsidR="0055771B">
        <w:rPr>
          <w:rFonts w:ascii="Times New Roman" w:hAnsi="Times New Roman"/>
          <w:sz w:val="22"/>
          <w:szCs w:val="22"/>
          <w:shd w:val="clear" w:color="auto" w:fill="FFFFFF"/>
        </w:rPr>
        <w:t>49,</w:t>
      </w:r>
      <w:r w:rsidR="00EB6E48">
        <w:rPr>
          <w:rFonts w:ascii="Times New Roman" w:hAnsi="Times New Roman"/>
          <w:sz w:val="22"/>
          <w:szCs w:val="22"/>
          <w:shd w:val="clear" w:color="auto" w:fill="FFFFFF"/>
        </w:rPr>
        <w:t>7</w:t>
      </w:r>
      <w:r w:rsidR="00F011E4">
        <w:rPr>
          <w:rFonts w:ascii="Times New Roman" w:hAnsi="Times New Roman"/>
          <w:sz w:val="22"/>
          <w:szCs w:val="22"/>
          <w:shd w:val="clear" w:color="auto" w:fill="FFFFFF"/>
        </w:rPr>
        <w:t>55</w:t>
      </w:r>
      <w:r w:rsidRPr="001E75EA">
        <w:rPr>
          <w:rFonts w:ascii="Times New Roman" w:hAnsi="Times New Roman"/>
          <w:sz w:val="22"/>
          <w:szCs w:val="22"/>
          <w:shd w:val="clear" w:color="auto" w:fill="FFFFFF"/>
        </w:rPr>
        <w:t>,</w:t>
      </w:r>
      <w:r w:rsidR="00F011E4">
        <w:rPr>
          <w:rFonts w:ascii="Times New Roman" w:hAnsi="Times New Roman"/>
          <w:sz w:val="22"/>
          <w:szCs w:val="22"/>
          <w:shd w:val="clear" w:color="auto" w:fill="FFFFFF"/>
        </w:rPr>
        <w:t>14</w:t>
      </w:r>
      <w:r w:rsidRPr="001E75EA">
        <w:rPr>
          <w:rFonts w:ascii="Times New Roman" w:hAnsi="Times New Roman"/>
          <w:sz w:val="22"/>
          <w:szCs w:val="22"/>
          <w:shd w:val="clear" w:color="auto" w:fill="FFFFFF"/>
        </w:rPr>
        <w:t xml:space="preserve">0 = </w:t>
      </w:r>
      <w:r w:rsidRPr="001E75EA">
        <w:rPr>
          <w:rFonts w:ascii="Times New Roman" w:hAnsi="Times New Roman"/>
          <w:b/>
          <w:sz w:val="22"/>
          <w:szCs w:val="22"/>
          <w:shd w:val="clear" w:color="auto" w:fill="FFFFFF"/>
        </w:rPr>
        <w:t xml:space="preserve">$ </w:t>
      </w:r>
      <w:r w:rsidR="00EB6E48">
        <w:rPr>
          <w:rFonts w:ascii="Times New Roman" w:hAnsi="Times New Roman"/>
          <w:b/>
          <w:sz w:val="22"/>
          <w:szCs w:val="22"/>
          <w:shd w:val="clear" w:color="auto" w:fill="FFFFFF"/>
        </w:rPr>
        <w:t>50</w:t>
      </w:r>
      <w:r w:rsidR="0055771B">
        <w:rPr>
          <w:rFonts w:ascii="Times New Roman" w:hAnsi="Times New Roman"/>
          <w:b/>
          <w:sz w:val="22"/>
          <w:szCs w:val="22"/>
          <w:shd w:val="clear" w:color="auto" w:fill="FFFFFF"/>
        </w:rPr>
        <w:t>,</w:t>
      </w:r>
      <w:r w:rsidR="00EB6E48">
        <w:rPr>
          <w:rFonts w:ascii="Times New Roman" w:hAnsi="Times New Roman"/>
          <w:b/>
          <w:sz w:val="22"/>
          <w:szCs w:val="22"/>
          <w:shd w:val="clear" w:color="auto" w:fill="FFFFFF"/>
        </w:rPr>
        <w:t>1</w:t>
      </w:r>
      <w:r w:rsidR="00F011E4">
        <w:rPr>
          <w:rFonts w:ascii="Times New Roman" w:hAnsi="Times New Roman"/>
          <w:b/>
          <w:sz w:val="22"/>
          <w:szCs w:val="22"/>
          <w:shd w:val="clear" w:color="auto" w:fill="FFFFFF"/>
        </w:rPr>
        <w:t>55,140</w:t>
      </w:r>
    </w:p>
    <w:p w:rsidRPr="001E75EA" w:rsidR="00D95DD3" w:rsidP="00D95DD3" w:rsidRDefault="00D95DD3" w14:paraId="66F907A1" w14:textId="77777777">
      <w:pPr>
        <w:suppressAutoHyphens/>
        <w:rPr>
          <w:rFonts w:ascii="Times New Roman" w:hAnsi="Times New Roman"/>
          <w:sz w:val="22"/>
          <w:shd w:val="clear" w:color="auto" w:fill="FFFFFF"/>
        </w:rPr>
      </w:pPr>
    </w:p>
    <w:p w:rsidRPr="001E75EA" w:rsidR="00D95DD3" w:rsidP="00D95DD3" w:rsidRDefault="00D95DD3" w14:paraId="7AA69210" w14:textId="3E340486">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14.  The Commission expects that of the </w:t>
      </w:r>
      <w:r w:rsidR="00C010D3">
        <w:rPr>
          <w:rFonts w:ascii="Times New Roman" w:hAnsi="Times New Roman"/>
          <w:sz w:val="22"/>
          <w:shd w:val="clear" w:color="auto" w:fill="FFFFFF"/>
        </w:rPr>
        <w:t>24,8</w:t>
      </w:r>
      <w:r w:rsidR="0019457E">
        <w:rPr>
          <w:rFonts w:ascii="Times New Roman" w:hAnsi="Times New Roman"/>
          <w:sz w:val="22"/>
          <w:shd w:val="clear" w:color="auto" w:fill="FFFFFF"/>
        </w:rPr>
        <w:t>73</w:t>
      </w:r>
      <w:r w:rsidR="00C010D3">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filed: </w:t>
      </w:r>
    </w:p>
    <w:p w:rsidRPr="001E75EA" w:rsidR="00D95DD3" w:rsidP="00D95DD3" w:rsidRDefault="00D95DD3" w14:paraId="633E6333" w14:textId="77777777">
      <w:pPr>
        <w:suppressAutoHyphens/>
        <w:ind w:left="360"/>
        <w:rPr>
          <w:rFonts w:ascii="Times New Roman" w:hAnsi="Times New Roman"/>
          <w:sz w:val="22"/>
          <w:shd w:val="clear" w:color="auto" w:fill="FFFFFF"/>
        </w:rPr>
      </w:pPr>
    </w:p>
    <w:p w:rsidRPr="001E75EA" w:rsidR="00D95DD3" w:rsidP="002F5CD1" w:rsidRDefault="00D95DD3" w14:paraId="6B70913D" w14:textId="6C9E5BC6">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(a) Approximately </w:t>
      </w:r>
      <w:r w:rsidR="00C010D3">
        <w:rPr>
          <w:rFonts w:ascii="Times New Roman" w:hAnsi="Times New Roman"/>
          <w:sz w:val="22"/>
          <w:shd w:val="clear" w:color="auto" w:fill="FFFFFF"/>
        </w:rPr>
        <w:t>7,35</w:t>
      </w:r>
      <w:r w:rsidR="0019457E">
        <w:rPr>
          <w:rFonts w:ascii="Times New Roman" w:hAnsi="Times New Roman"/>
          <w:sz w:val="22"/>
          <w:shd w:val="clear" w:color="auto" w:fill="FFFFFF"/>
        </w:rPr>
        <w:t>7</w:t>
      </w:r>
      <w:r w:rsidR="00C010D3">
        <w:rPr>
          <w:rFonts w:ascii="Times New Roman" w:hAnsi="Times New Roman"/>
          <w:sz w:val="22"/>
          <w:shd w:val="clear" w:color="auto" w:fill="FFFFFF"/>
        </w:rPr>
        <w:t xml:space="preserve"> </w:t>
      </w:r>
      <w:r w:rsidRPr="001E75EA">
        <w:rPr>
          <w:rFonts w:ascii="Times New Roman" w:hAnsi="Times New Roman"/>
          <w:sz w:val="22"/>
          <w:shd w:val="clear" w:color="auto" w:fill="FFFFFF"/>
        </w:rPr>
        <w:t>applications will be filed with the Commission</w:t>
      </w:r>
      <w:r w:rsidR="002F5CD1">
        <w:rPr>
          <w:rFonts w:ascii="Times New Roman" w:hAnsi="Times New Roman"/>
          <w:sz w:val="22"/>
          <w:shd w:val="clear" w:color="auto" w:fill="FFFFFF"/>
        </w:rPr>
        <w:t xml:space="preserve"> consisting of 3</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2</w:t>
      </w:r>
      <w:r w:rsidR="002F5CD1">
        <w:rPr>
          <w:rFonts w:ascii="Times New Roman" w:hAnsi="Times New Roman"/>
          <w:sz w:val="22"/>
          <w:shd w:val="clear" w:color="auto" w:fill="FFFFFF"/>
        </w:rPr>
        <w:t xml:space="preserve"> new grantee applications, 250 TF related applications, 4</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5</w:t>
      </w:r>
      <w:r w:rsidR="002F5CD1">
        <w:rPr>
          <w:rFonts w:ascii="Times New Roman" w:hAnsi="Times New Roman"/>
          <w:sz w:val="22"/>
          <w:shd w:val="clear" w:color="auto" w:fill="FFFFFF"/>
        </w:rPr>
        <w:t xml:space="preserve"> inquiries and 100 surveillance related applications</w:t>
      </w:r>
      <w:r w:rsidR="006C1872">
        <w:rPr>
          <w:rFonts w:ascii="Times New Roman" w:hAnsi="Times New Roman"/>
          <w:sz w:val="22"/>
          <w:shd w:val="clear" w:color="auto" w:fill="FFFFFF"/>
        </w:rPr>
        <w:t>.</w:t>
      </w:r>
      <w:r w:rsidRPr="001E75EA">
        <w:rPr>
          <w:rFonts w:ascii="Times New Roman" w:hAnsi="Times New Roman"/>
          <w:sz w:val="22"/>
          <w:shd w:val="clear" w:color="auto" w:fill="FFFFFF"/>
        </w:rPr>
        <w:t xml:space="preserve"> </w:t>
      </w:r>
    </w:p>
    <w:p w:rsidRPr="001E75EA" w:rsidR="00D95DD3" w:rsidP="00D95DD3" w:rsidRDefault="00D95DD3" w14:paraId="3A75419B" w14:textId="77777777">
      <w:pPr>
        <w:suppressAutoHyphens/>
        <w:ind w:left="360"/>
        <w:rPr>
          <w:rFonts w:ascii="Times New Roman" w:hAnsi="Times New Roman"/>
          <w:sz w:val="22"/>
          <w:shd w:val="clear" w:color="auto" w:fill="FFFFFF"/>
        </w:rPr>
      </w:pPr>
    </w:p>
    <w:p w:rsidRPr="001E75EA" w:rsidR="00D95DD3" w:rsidP="00D95DD3" w:rsidRDefault="00D95DD3" w14:paraId="3F62BB7D" w14:textId="5243004F">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The Commission estimates that two groups of Commission staff will </w:t>
      </w:r>
      <w:r w:rsidR="00E85090">
        <w:rPr>
          <w:rFonts w:ascii="Times New Roman" w:hAnsi="Times New Roman"/>
          <w:sz w:val="22"/>
          <w:shd w:val="clear" w:color="auto" w:fill="FFFFFF"/>
        </w:rPr>
        <w:t xml:space="preserve">be involved in processing or review of parts of the application or surveillance. </w:t>
      </w:r>
      <w:r w:rsidRPr="001E75EA">
        <w:rPr>
          <w:rFonts w:ascii="Times New Roman" w:hAnsi="Times New Roman"/>
          <w:sz w:val="22"/>
          <w:shd w:val="clear" w:color="auto" w:fill="FFFFFF"/>
        </w:rPr>
        <w:t xml:space="preserve"> </w:t>
      </w:r>
    </w:p>
    <w:p w:rsidRPr="001E75EA" w:rsidR="00D95DD3" w:rsidP="00D95DD3" w:rsidRDefault="00D95DD3" w14:paraId="49BF7EA1" w14:textId="77777777">
      <w:pPr>
        <w:suppressAutoHyphens/>
        <w:ind w:left="360"/>
        <w:rPr>
          <w:rFonts w:ascii="Times New Roman" w:hAnsi="Times New Roman"/>
          <w:sz w:val="22"/>
          <w:shd w:val="clear" w:color="auto" w:fill="FFFFFF"/>
        </w:rPr>
      </w:pPr>
    </w:p>
    <w:p w:rsidRPr="001E75EA" w:rsidR="00D95DD3" w:rsidP="00C60E5B" w:rsidRDefault="00D95DD3" w14:paraId="5269C69F" w14:textId="1233A5A1">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w:t>
      </w:r>
      <w:r w:rsidRPr="001E75EA">
        <w:rPr>
          <w:rFonts w:ascii="Times New Roman" w:hAnsi="Times New Roman"/>
          <w:sz w:val="22"/>
          <w:shd w:val="clear" w:color="auto" w:fill="FFFFFF"/>
        </w:rPr>
        <w:t>) GS-7, Step 8 - Applications Examiners, who earn</w:t>
      </w:r>
      <w:r w:rsidRPr="001E75EA" w:rsidR="00E46A3E">
        <w:rPr>
          <w:rFonts w:ascii="Times New Roman" w:hAnsi="Times New Roman"/>
          <w:sz w:val="22"/>
          <w:shd w:val="clear" w:color="auto" w:fill="FFFFFF"/>
        </w:rPr>
        <w:t xml:space="preserve"> $</w:t>
      </w:r>
      <w:r w:rsidR="009C16C3">
        <w:rPr>
          <w:rFonts w:ascii="Times New Roman" w:hAnsi="Times New Roman"/>
          <w:sz w:val="22"/>
          <w:shd w:val="clear" w:color="auto" w:fill="FFFFFF"/>
        </w:rPr>
        <w:t xml:space="preserve"> </w:t>
      </w:r>
      <w:r w:rsidR="0019457E">
        <w:rPr>
          <w:rFonts w:ascii="Times New Roman" w:hAnsi="Times New Roman"/>
          <w:sz w:val="22"/>
          <w:shd w:val="clear" w:color="auto" w:fill="FFFFFF"/>
        </w:rPr>
        <w:t>28.76</w:t>
      </w:r>
      <w:r w:rsidR="0061256E">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per hour, and </w:t>
      </w:r>
    </w:p>
    <w:p w:rsidRPr="001E75EA" w:rsidR="00D95DD3" w:rsidP="00D95DD3" w:rsidRDefault="00D95DD3" w14:paraId="3EF59D53" w14:textId="77777777">
      <w:pPr>
        <w:suppressAutoHyphens/>
        <w:ind w:left="360"/>
        <w:rPr>
          <w:rFonts w:ascii="Times New Roman" w:hAnsi="Times New Roman"/>
          <w:sz w:val="22"/>
          <w:shd w:val="clear" w:color="auto" w:fill="FFFFFF"/>
        </w:rPr>
      </w:pPr>
    </w:p>
    <w:p w:rsidRPr="001E75EA" w:rsidR="00D95DD3" w:rsidP="00C60E5B" w:rsidRDefault="00D95DD3" w14:paraId="6FA151A4" w14:textId="7907DDF2">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ii</w:t>
      </w:r>
      <w:r w:rsidRPr="001E75EA">
        <w:rPr>
          <w:rFonts w:ascii="Times New Roman" w:hAnsi="Times New Roman"/>
          <w:sz w:val="22"/>
          <w:shd w:val="clear" w:color="auto" w:fill="FFFFFF"/>
        </w:rPr>
        <w:t>) GS-14, Step 7 - Electronics Engineer, who earn $</w:t>
      </w:r>
      <w:r w:rsidR="009C16C3">
        <w:rPr>
          <w:rFonts w:ascii="Times New Roman" w:hAnsi="Times New Roman"/>
          <w:sz w:val="22"/>
          <w:shd w:val="clear" w:color="auto" w:fill="FFFFFF"/>
        </w:rPr>
        <w:t xml:space="preserve"> </w:t>
      </w:r>
      <w:r w:rsidR="0019457E">
        <w:rPr>
          <w:rFonts w:ascii="Times New Roman" w:hAnsi="Times New Roman"/>
          <w:sz w:val="22"/>
          <w:shd w:val="clear" w:color="auto" w:fill="FFFFFF"/>
        </w:rPr>
        <w:t>69.75</w:t>
      </w:r>
      <w:r w:rsidRPr="001E75EA">
        <w:rPr>
          <w:rFonts w:ascii="Times New Roman" w:hAnsi="Times New Roman"/>
          <w:sz w:val="22"/>
          <w:shd w:val="clear" w:color="auto" w:fill="FFFFFF"/>
        </w:rPr>
        <w:t xml:space="preserve"> per hour. </w:t>
      </w:r>
    </w:p>
    <w:p w:rsidRPr="001E75EA" w:rsidR="00D95DD3" w:rsidP="00D95DD3" w:rsidRDefault="00D95DD3" w14:paraId="1AC5EE47" w14:textId="77777777">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 </w:t>
      </w:r>
    </w:p>
    <w:p w:rsidR="000E50DE" w:rsidP="00D95DD3" w:rsidRDefault="00B05729" w14:paraId="57750DFF" w14:textId="02BA4FD2">
      <w:pPr>
        <w:suppressAutoHyphens/>
        <w:ind w:left="360"/>
        <w:rPr>
          <w:rFonts w:ascii="Times New Roman" w:hAnsi="Times New Roman"/>
          <w:sz w:val="22"/>
          <w:shd w:val="clear" w:color="auto" w:fill="FFFFFF"/>
        </w:rPr>
      </w:pPr>
      <w:r>
        <w:rPr>
          <w:rFonts w:ascii="Times New Roman" w:hAnsi="Times New Roman"/>
          <w:sz w:val="22"/>
          <w:shd w:val="clear" w:color="auto" w:fill="FFFFFF"/>
        </w:rPr>
        <w:t>Of the 7,35</w:t>
      </w:r>
      <w:r w:rsidR="009448F6">
        <w:rPr>
          <w:rFonts w:ascii="Times New Roman" w:hAnsi="Times New Roman"/>
          <w:sz w:val="22"/>
          <w:shd w:val="clear" w:color="auto" w:fill="FFFFFF"/>
        </w:rPr>
        <w:t>7</w:t>
      </w:r>
      <w:r>
        <w:rPr>
          <w:rFonts w:ascii="Times New Roman" w:hAnsi="Times New Roman"/>
          <w:sz w:val="22"/>
          <w:shd w:val="clear" w:color="auto" w:fill="FFFFFF"/>
        </w:rPr>
        <w:t xml:space="preserve"> applications filed with the Commission, 3,00</w:t>
      </w:r>
      <w:r w:rsidR="009448F6">
        <w:rPr>
          <w:rFonts w:ascii="Times New Roman" w:hAnsi="Times New Roman"/>
          <w:sz w:val="22"/>
          <w:shd w:val="clear" w:color="auto" w:fill="FFFFFF"/>
        </w:rPr>
        <w:t>2</w:t>
      </w:r>
      <w:r>
        <w:rPr>
          <w:rFonts w:ascii="Times New Roman" w:hAnsi="Times New Roman"/>
          <w:sz w:val="22"/>
          <w:shd w:val="clear" w:color="auto" w:fill="FFFFFF"/>
        </w:rPr>
        <w:t xml:space="preserve"> applications for grantee code applications </w:t>
      </w:r>
      <w:r w:rsidR="000E50DE">
        <w:rPr>
          <w:rFonts w:ascii="Times New Roman" w:hAnsi="Times New Roman"/>
          <w:sz w:val="22"/>
          <w:shd w:val="clear" w:color="auto" w:fill="FFFFFF"/>
        </w:rPr>
        <w:t xml:space="preserve">will be processed by the electronic system and will not require any staff processing time.  </w:t>
      </w:r>
    </w:p>
    <w:p w:rsidR="000E50DE" w:rsidP="00D95DD3" w:rsidRDefault="000E50DE" w14:paraId="58C5C7EA" w14:textId="77777777">
      <w:pPr>
        <w:suppressAutoHyphens/>
        <w:ind w:left="360"/>
        <w:rPr>
          <w:rFonts w:ascii="Times New Roman" w:hAnsi="Times New Roman"/>
          <w:sz w:val="22"/>
          <w:shd w:val="clear" w:color="auto" w:fill="FFFFFF"/>
        </w:rPr>
      </w:pPr>
    </w:p>
    <w:p w:rsidR="000E50DE" w:rsidP="00D95DD3" w:rsidRDefault="000E50DE" w14:paraId="15DB35D6" w14:textId="7F4F09CA">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250 applications filed by the TFs will require an administrative review by GS-7 staff. It is estimated that each </w:t>
      </w:r>
      <w:r w:rsidR="000E1875">
        <w:rPr>
          <w:rFonts w:ascii="Times New Roman" w:hAnsi="Times New Roman"/>
          <w:sz w:val="22"/>
          <w:shd w:val="clear" w:color="auto" w:fill="FFFFFF"/>
        </w:rPr>
        <w:t>submission</w:t>
      </w:r>
      <w:r>
        <w:rPr>
          <w:rFonts w:ascii="Times New Roman" w:hAnsi="Times New Roman"/>
          <w:sz w:val="22"/>
          <w:shd w:val="clear" w:color="auto" w:fill="FFFFFF"/>
        </w:rPr>
        <w:t xml:space="preserve"> will require on average one hour per application review for a total of 250 hours of review.  The total cost for staff review of TFs is expected to be:</w:t>
      </w:r>
    </w:p>
    <w:p w:rsidR="000E50DE" w:rsidP="00D95DD3" w:rsidRDefault="000E50DE" w14:paraId="2E29F219" w14:textId="77777777">
      <w:pPr>
        <w:suppressAutoHyphens/>
        <w:ind w:left="360"/>
        <w:rPr>
          <w:rFonts w:ascii="Times New Roman" w:hAnsi="Times New Roman"/>
          <w:sz w:val="22"/>
          <w:shd w:val="clear" w:color="auto" w:fill="FFFFFF"/>
        </w:rPr>
      </w:pPr>
    </w:p>
    <w:p w:rsidRPr="00C60E5B" w:rsidR="00E51DBC" w:rsidP="002F5CD1" w:rsidRDefault="000E50DE" w14:paraId="0E1AF770" w14:textId="03C950A2">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 xml:space="preserve">250 applications x one hour per application x $ </w:t>
      </w:r>
      <w:r w:rsidR="009C16C3">
        <w:rPr>
          <w:rFonts w:ascii="Times New Roman" w:hAnsi="Times New Roman"/>
          <w:b/>
          <w:sz w:val="22"/>
          <w:shd w:val="clear" w:color="auto" w:fill="FFFFFF"/>
        </w:rPr>
        <w:t>28.76</w:t>
      </w:r>
      <w:r w:rsidRPr="00C60E5B">
        <w:rPr>
          <w:rFonts w:ascii="Times New Roman" w:hAnsi="Times New Roman"/>
          <w:b/>
          <w:sz w:val="22"/>
          <w:shd w:val="clear" w:color="auto" w:fill="FFFFFF"/>
        </w:rPr>
        <w:t xml:space="preserve"> per hour = $</w:t>
      </w:r>
      <w:r w:rsidR="009C16C3">
        <w:rPr>
          <w:rFonts w:ascii="Times New Roman" w:hAnsi="Times New Roman"/>
          <w:b/>
          <w:sz w:val="22"/>
          <w:shd w:val="clear" w:color="auto" w:fill="FFFFFF"/>
        </w:rPr>
        <w:t>7,190</w:t>
      </w:r>
      <w:r w:rsidRPr="00C60E5B">
        <w:rPr>
          <w:rFonts w:ascii="Times New Roman" w:hAnsi="Times New Roman"/>
          <w:b/>
          <w:sz w:val="22"/>
          <w:shd w:val="clear" w:color="auto" w:fill="FFFFFF"/>
        </w:rPr>
        <w:t xml:space="preserve"> </w:t>
      </w:r>
    </w:p>
    <w:p w:rsidRPr="001E75EA" w:rsidR="00E51DBC" w:rsidP="00D95DD3" w:rsidRDefault="00E51DBC" w14:paraId="3B9336A4" w14:textId="77777777">
      <w:pPr>
        <w:suppressAutoHyphens/>
        <w:ind w:left="360"/>
        <w:rPr>
          <w:rFonts w:ascii="Times New Roman" w:hAnsi="Times New Roman"/>
          <w:sz w:val="22"/>
          <w:shd w:val="clear" w:color="auto" w:fill="FFFFFF"/>
        </w:rPr>
      </w:pPr>
    </w:p>
    <w:p w:rsidR="00D95DD3" w:rsidP="00D95DD3" w:rsidRDefault="000E50DE" w14:paraId="38F8B430" w14:textId="4094EFEC">
      <w:pPr>
        <w:suppressAutoHyphens/>
        <w:ind w:left="360"/>
        <w:rPr>
          <w:rFonts w:ascii="Times New Roman" w:hAnsi="Times New Roman"/>
          <w:sz w:val="22"/>
          <w:shd w:val="clear" w:color="auto" w:fill="FFFFFF"/>
        </w:rPr>
      </w:pPr>
      <w:r>
        <w:rPr>
          <w:rFonts w:ascii="Times New Roman" w:hAnsi="Times New Roman"/>
          <w:sz w:val="22"/>
          <w:shd w:val="clear" w:color="auto" w:fill="FFFFFF"/>
        </w:rPr>
        <w:t>The remaining 4,10</w:t>
      </w:r>
      <w:r w:rsidR="009448F6">
        <w:rPr>
          <w:rFonts w:ascii="Times New Roman" w:hAnsi="Times New Roman"/>
          <w:sz w:val="22"/>
          <w:shd w:val="clear" w:color="auto" w:fill="FFFFFF"/>
        </w:rPr>
        <w:t>5</w:t>
      </w:r>
      <w:r>
        <w:rPr>
          <w:rFonts w:ascii="Times New Roman" w:hAnsi="Times New Roman"/>
          <w:sz w:val="22"/>
          <w:shd w:val="clear" w:color="auto" w:fill="FFFFFF"/>
        </w:rPr>
        <w:t xml:space="preserve"> applications and reviews will be processed by GS-14 staff.  It is expected that on average this review will require on average 3 hours per application for a total of 12,300 hours of review.</w:t>
      </w:r>
      <w:r w:rsidR="007F13BA">
        <w:rPr>
          <w:rFonts w:ascii="Times New Roman" w:hAnsi="Times New Roman"/>
          <w:sz w:val="22"/>
          <w:shd w:val="clear" w:color="auto" w:fill="FFFFFF"/>
        </w:rPr>
        <w:t xml:space="preserve">  The total cost for processing the application is expected to be:</w:t>
      </w:r>
    </w:p>
    <w:p w:rsidR="007F13BA" w:rsidP="00D95DD3" w:rsidRDefault="007F13BA" w14:paraId="610F9A82" w14:textId="2EA75BAC">
      <w:pPr>
        <w:suppressAutoHyphens/>
        <w:ind w:left="360"/>
        <w:rPr>
          <w:rFonts w:ascii="Times New Roman" w:hAnsi="Times New Roman"/>
          <w:sz w:val="22"/>
          <w:shd w:val="clear" w:color="auto" w:fill="FFFFFF"/>
        </w:rPr>
      </w:pPr>
    </w:p>
    <w:p w:rsidRPr="00C60E5B" w:rsidR="007F13BA" w:rsidP="00D95DD3" w:rsidRDefault="007F13BA" w14:paraId="6574A548" w14:textId="2EA77878">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4,10</w:t>
      </w:r>
      <w:r w:rsidR="009448F6">
        <w:rPr>
          <w:rFonts w:ascii="Times New Roman" w:hAnsi="Times New Roman"/>
          <w:b/>
          <w:sz w:val="22"/>
          <w:shd w:val="clear" w:color="auto" w:fill="FFFFFF"/>
        </w:rPr>
        <w:t>5</w:t>
      </w:r>
      <w:r w:rsidRPr="00C60E5B">
        <w:rPr>
          <w:rFonts w:ascii="Times New Roman" w:hAnsi="Times New Roman"/>
          <w:b/>
          <w:sz w:val="22"/>
          <w:shd w:val="clear" w:color="auto" w:fill="FFFFFF"/>
        </w:rPr>
        <w:t xml:space="preserve"> applications x 3 hours/review x $ </w:t>
      </w:r>
      <w:r w:rsidR="009C16C3">
        <w:rPr>
          <w:rFonts w:ascii="Times New Roman" w:hAnsi="Times New Roman"/>
          <w:b/>
          <w:sz w:val="22"/>
          <w:shd w:val="clear" w:color="auto" w:fill="FFFFFF"/>
        </w:rPr>
        <w:t>69.75</w:t>
      </w:r>
      <w:r w:rsidRPr="00C60E5B">
        <w:rPr>
          <w:rFonts w:ascii="Times New Roman" w:hAnsi="Times New Roman"/>
          <w:b/>
          <w:sz w:val="22"/>
          <w:shd w:val="clear" w:color="auto" w:fill="FFFFFF"/>
        </w:rPr>
        <w:t xml:space="preserve"> per hour = $ </w:t>
      </w:r>
      <w:r w:rsidR="009C16C3">
        <w:rPr>
          <w:rFonts w:ascii="Times New Roman" w:hAnsi="Times New Roman"/>
          <w:b/>
          <w:sz w:val="22"/>
          <w:shd w:val="clear" w:color="auto" w:fill="FFFFFF"/>
        </w:rPr>
        <w:t>858,971</w:t>
      </w:r>
    </w:p>
    <w:p w:rsidR="007F13BA" w:rsidP="00D95DD3" w:rsidRDefault="007F13BA" w14:paraId="60AC2788" w14:textId="4775693E">
      <w:pPr>
        <w:suppressAutoHyphens/>
        <w:ind w:left="360"/>
        <w:rPr>
          <w:rFonts w:ascii="Times New Roman" w:hAnsi="Times New Roman"/>
          <w:sz w:val="22"/>
          <w:shd w:val="clear" w:color="auto" w:fill="FFFFFF"/>
        </w:rPr>
      </w:pPr>
    </w:p>
    <w:p w:rsidRPr="001E75EA" w:rsidR="007F13BA" w:rsidP="002F5CD1" w:rsidRDefault="007F13BA" w14:paraId="7E534B62" w14:textId="230B4490">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cost to Federal Government for staff time: </w:t>
      </w:r>
      <w:r w:rsidRPr="00C60E5B">
        <w:rPr>
          <w:rFonts w:ascii="Times New Roman" w:hAnsi="Times New Roman"/>
          <w:b/>
          <w:sz w:val="22"/>
          <w:shd w:val="clear" w:color="auto" w:fill="FFFFFF"/>
        </w:rPr>
        <w:t xml:space="preserve">$ </w:t>
      </w:r>
      <w:r w:rsidR="009C16C3">
        <w:rPr>
          <w:rFonts w:ascii="Times New Roman" w:hAnsi="Times New Roman"/>
          <w:b/>
          <w:sz w:val="22"/>
          <w:shd w:val="clear" w:color="auto" w:fill="FFFFFF"/>
        </w:rPr>
        <w:t>7,190</w:t>
      </w:r>
      <w:r w:rsidRPr="00C60E5B">
        <w:rPr>
          <w:rFonts w:ascii="Times New Roman" w:hAnsi="Times New Roman"/>
          <w:b/>
          <w:sz w:val="22"/>
          <w:shd w:val="clear" w:color="auto" w:fill="FFFFFF"/>
        </w:rPr>
        <w:t xml:space="preserve"> + $ </w:t>
      </w:r>
      <w:r w:rsidR="009C16C3">
        <w:rPr>
          <w:rFonts w:ascii="Times New Roman" w:hAnsi="Times New Roman"/>
          <w:b/>
          <w:sz w:val="22"/>
          <w:shd w:val="clear" w:color="auto" w:fill="FFFFFF"/>
        </w:rPr>
        <w:t>858,971</w:t>
      </w:r>
      <w:r w:rsidRPr="00C60E5B">
        <w:rPr>
          <w:rFonts w:ascii="Times New Roman" w:hAnsi="Times New Roman"/>
          <w:b/>
          <w:sz w:val="22"/>
          <w:shd w:val="clear" w:color="auto" w:fill="FFFFFF"/>
        </w:rPr>
        <w:t xml:space="preserve"> = </w:t>
      </w:r>
      <w:r w:rsidRPr="00C60E5B" w:rsidR="006C1872">
        <w:rPr>
          <w:rFonts w:ascii="Times New Roman" w:hAnsi="Times New Roman"/>
          <w:b/>
          <w:sz w:val="22"/>
          <w:shd w:val="clear" w:color="auto" w:fill="FFFFFF"/>
        </w:rPr>
        <w:t xml:space="preserve">$ </w:t>
      </w:r>
      <w:r w:rsidR="009C16C3">
        <w:rPr>
          <w:rFonts w:ascii="Times New Roman" w:hAnsi="Times New Roman"/>
          <w:b/>
          <w:sz w:val="22"/>
          <w:shd w:val="clear" w:color="auto" w:fill="FFFFFF"/>
        </w:rPr>
        <w:t>866,161</w:t>
      </w:r>
    </w:p>
    <w:p w:rsidR="007F13BA" w:rsidP="007F13BA" w:rsidRDefault="007F13BA" w14:paraId="1271638C" w14:textId="77777777">
      <w:pPr>
        <w:suppressAutoHyphens/>
        <w:ind w:left="720" w:hanging="360"/>
        <w:rPr>
          <w:rFonts w:ascii="Times New Roman" w:hAnsi="Times New Roman"/>
          <w:sz w:val="22"/>
          <w:shd w:val="clear" w:color="auto" w:fill="FFFFFF"/>
        </w:rPr>
      </w:pPr>
    </w:p>
    <w:p w:rsidRPr="001E75EA" w:rsidR="00D95DD3" w:rsidP="007F13BA" w:rsidRDefault="007F13BA" w14:paraId="38257712" w14:textId="548CDB27">
      <w:pPr>
        <w:suppressAutoHyphens/>
        <w:ind w:left="72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(b) Approximately </w:t>
      </w:r>
      <w:r>
        <w:rPr>
          <w:rFonts w:ascii="Times New Roman" w:hAnsi="Times New Roman"/>
          <w:sz w:val="22"/>
          <w:shd w:val="clear" w:color="auto" w:fill="FFFFFF"/>
        </w:rPr>
        <w:t>17,5</w:t>
      </w:r>
      <w:r w:rsidR="009448F6">
        <w:rPr>
          <w:rFonts w:ascii="Times New Roman" w:hAnsi="Times New Roman"/>
          <w:sz w:val="22"/>
          <w:shd w:val="clear" w:color="auto" w:fill="FFFFFF"/>
        </w:rPr>
        <w:t>15</w:t>
      </w:r>
      <w:r>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applications </w:t>
      </w:r>
      <w:r w:rsidR="002F5CD1">
        <w:rPr>
          <w:rFonts w:ascii="Times New Roman" w:hAnsi="Times New Roman"/>
          <w:sz w:val="22"/>
          <w:shd w:val="clear" w:color="auto" w:fill="FFFFFF"/>
        </w:rPr>
        <w:t>consisting of 16,5</w:t>
      </w:r>
      <w:r w:rsidR="009448F6">
        <w:rPr>
          <w:rFonts w:ascii="Times New Roman" w:hAnsi="Times New Roman"/>
          <w:sz w:val="22"/>
          <w:shd w:val="clear" w:color="auto" w:fill="FFFFFF"/>
        </w:rPr>
        <w:t>15</w:t>
      </w:r>
      <w:r w:rsidR="002F5CD1">
        <w:rPr>
          <w:rFonts w:ascii="Times New Roman" w:hAnsi="Times New Roman"/>
          <w:sz w:val="22"/>
          <w:shd w:val="clear" w:color="auto" w:fill="FFFFFF"/>
        </w:rPr>
        <w:t xml:space="preserve"> applications for certification and 1,000 surveillance </w:t>
      </w:r>
      <w:r w:rsidR="009F7BDB">
        <w:rPr>
          <w:rFonts w:ascii="Times New Roman" w:hAnsi="Times New Roman"/>
          <w:sz w:val="22"/>
          <w:shd w:val="clear" w:color="auto" w:fill="FFFFFF"/>
        </w:rPr>
        <w:t>requests</w:t>
      </w:r>
      <w:r w:rsidR="002F5CD1">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will be filed with the 40 TCBs, acting on behalf of the Commission.  </w:t>
      </w:r>
      <w:r w:rsidR="006C1872">
        <w:rPr>
          <w:rFonts w:ascii="Times New Roman" w:hAnsi="Times New Roman"/>
          <w:sz w:val="22"/>
          <w:shd w:val="clear" w:color="auto" w:fill="FFFFFF"/>
        </w:rPr>
        <w:t xml:space="preserve">These applications will be processed by the electronic system.  </w:t>
      </w:r>
      <w:r w:rsidRPr="001E75EA" w:rsidR="00D95DD3">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rsidRPr="001E75EA" w:rsidR="00D95DD3" w:rsidP="00D95DD3" w:rsidRDefault="00D95DD3" w14:paraId="1055BB05" w14:textId="77777777">
      <w:pPr>
        <w:suppressAutoHyphens/>
        <w:ind w:left="360"/>
        <w:rPr>
          <w:rFonts w:ascii="Times New Roman" w:hAnsi="Times New Roman"/>
          <w:sz w:val="22"/>
          <w:shd w:val="clear" w:color="auto" w:fill="FFFFFF"/>
        </w:rPr>
      </w:pPr>
    </w:p>
    <w:p w:rsidRPr="001E75EA" w:rsidR="00D95DD3" w:rsidP="00C60E5B" w:rsidRDefault="00D95DD3" w14:paraId="68894C01" w14:textId="51DCE791">
      <w:pPr>
        <w:tabs>
          <w:tab w:val="left" w:pos="360"/>
        </w:tabs>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ab/>
      </w:r>
      <w:r w:rsidR="006C1872">
        <w:rPr>
          <w:rFonts w:ascii="Times New Roman" w:hAnsi="Times New Roman"/>
          <w:sz w:val="22"/>
          <w:shd w:val="clear" w:color="auto" w:fill="FFFFFF"/>
        </w:rPr>
        <w:t xml:space="preserve">The system cost to the Federal Government: </w:t>
      </w:r>
      <w:r w:rsidRPr="00C60E5B" w:rsidR="006C1872">
        <w:rPr>
          <w:rFonts w:ascii="Times New Roman" w:hAnsi="Times New Roman"/>
          <w:b/>
          <w:sz w:val="22"/>
          <w:shd w:val="clear" w:color="auto" w:fill="FFFFFF"/>
        </w:rPr>
        <w:t>17,5</w:t>
      </w:r>
      <w:r w:rsidR="009448F6">
        <w:rPr>
          <w:rFonts w:ascii="Times New Roman" w:hAnsi="Times New Roman"/>
          <w:b/>
          <w:sz w:val="22"/>
          <w:shd w:val="clear" w:color="auto" w:fill="FFFFFF"/>
        </w:rPr>
        <w:t>15</w:t>
      </w:r>
      <w:r w:rsidRPr="00C60E5B" w:rsidR="006C1872">
        <w:rPr>
          <w:rFonts w:ascii="Times New Roman" w:hAnsi="Times New Roman"/>
          <w:b/>
          <w:sz w:val="22"/>
          <w:shd w:val="clear" w:color="auto" w:fill="FFFFFF"/>
        </w:rPr>
        <w:t xml:space="preserve"> applications x $ 100 = $ 1,75</w:t>
      </w:r>
      <w:r w:rsidR="009448F6">
        <w:rPr>
          <w:rFonts w:ascii="Times New Roman" w:hAnsi="Times New Roman"/>
          <w:b/>
          <w:sz w:val="22"/>
          <w:shd w:val="clear" w:color="auto" w:fill="FFFFFF"/>
        </w:rPr>
        <w:t>1</w:t>
      </w:r>
      <w:r w:rsidRPr="00C60E5B" w:rsidR="006C1872">
        <w:rPr>
          <w:rFonts w:ascii="Times New Roman" w:hAnsi="Times New Roman"/>
          <w:b/>
          <w:sz w:val="22"/>
          <w:shd w:val="clear" w:color="auto" w:fill="FFFFFF"/>
        </w:rPr>
        <w:t>,</w:t>
      </w:r>
      <w:r w:rsidR="009448F6">
        <w:rPr>
          <w:rFonts w:ascii="Times New Roman" w:hAnsi="Times New Roman"/>
          <w:b/>
          <w:sz w:val="22"/>
          <w:shd w:val="clear" w:color="auto" w:fill="FFFFFF"/>
        </w:rPr>
        <w:t>5</w:t>
      </w:r>
      <w:r w:rsidRPr="00C60E5B" w:rsidR="006C1872">
        <w:rPr>
          <w:rFonts w:ascii="Times New Roman" w:hAnsi="Times New Roman"/>
          <w:b/>
          <w:sz w:val="22"/>
          <w:shd w:val="clear" w:color="auto" w:fill="FFFFFF"/>
        </w:rPr>
        <w:t>00</w:t>
      </w:r>
    </w:p>
    <w:p w:rsidRPr="001E75EA" w:rsidR="00D95DD3" w:rsidP="00D95DD3" w:rsidRDefault="00D95DD3" w14:paraId="7635A664" w14:textId="77777777">
      <w:pPr>
        <w:tabs>
          <w:tab w:val="left" w:pos="0"/>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t xml:space="preserve"> </w:t>
      </w:r>
    </w:p>
    <w:p w:rsidRPr="001E75EA" w:rsidR="00D95DD3" w:rsidP="00D95DD3" w:rsidRDefault="00D95DD3" w14:paraId="033D36FA" w14:textId="74FBDBFB">
      <w:pPr>
        <w:tabs>
          <w:tab w:val="left" w:pos="0"/>
          <w:tab w:val="left" w:pos="360"/>
        </w:tabs>
        <w:suppressAutoHyphens/>
        <w:rPr>
          <w:rFonts w:ascii="Times New Roman" w:hAnsi="Times New Roman"/>
          <w:sz w:val="22"/>
          <w:shd w:val="clear" w:color="auto" w:fill="FFFFFF"/>
        </w:rPr>
      </w:pPr>
      <w:r w:rsidRPr="001E75EA">
        <w:rPr>
          <w:rFonts w:ascii="Times New Roman" w:hAnsi="Times New Roman"/>
          <w:b/>
          <w:sz w:val="22"/>
          <w:shd w:val="clear" w:color="auto" w:fill="FFFFFF"/>
        </w:rPr>
        <w:tab/>
      </w:r>
    </w:p>
    <w:p w:rsidRPr="001E75EA" w:rsidR="00D95DD3" w:rsidP="00D95DD3" w:rsidRDefault="00D95DD3" w14:paraId="1671161F" w14:textId="4043A9F4">
      <w:pPr>
        <w:tabs>
          <w:tab w:val="left" w:pos="0"/>
          <w:tab w:val="left" w:pos="360"/>
        </w:tabs>
        <w:suppressAutoHyphens/>
        <w:rPr>
          <w:rFonts w:ascii="Times New Roman" w:hAnsi="Times New Roman"/>
          <w:sz w:val="22"/>
          <w:shd w:val="clear" w:color="auto" w:fill="FFFFFF"/>
        </w:rPr>
      </w:pPr>
      <w:r w:rsidRPr="001E75EA">
        <w:rPr>
          <w:rFonts w:ascii="Times New Roman" w:hAnsi="Times New Roman"/>
          <w:sz w:val="22"/>
          <w:shd w:val="clear" w:color="auto" w:fill="FFFFFF"/>
        </w:rPr>
        <w:tab/>
      </w:r>
      <w:r w:rsidRPr="001E75EA">
        <w:rPr>
          <w:rFonts w:ascii="Times New Roman" w:hAnsi="Times New Roman"/>
          <w:sz w:val="22"/>
          <w:shd w:val="clear" w:color="auto" w:fill="FFFFFF"/>
        </w:rPr>
        <w:tab/>
      </w:r>
      <w:r w:rsidRPr="001E75EA">
        <w:rPr>
          <w:rFonts w:ascii="Times New Roman" w:hAnsi="Times New Roman"/>
          <w:b/>
          <w:sz w:val="22"/>
          <w:shd w:val="clear" w:color="auto" w:fill="FFFFFF"/>
        </w:rPr>
        <w:t>Total Cost t</w:t>
      </w:r>
      <w:r w:rsidRPr="001E75EA" w:rsidR="00892E87">
        <w:rPr>
          <w:rFonts w:ascii="Times New Roman" w:hAnsi="Times New Roman"/>
          <w:b/>
          <w:sz w:val="22"/>
          <w:shd w:val="clear" w:color="auto" w:fill="FFFFFF"/>
        </w:rPr>
        <w:t xml:space="preserve">o Federal Government:      </w:t>
      </w:r>
      <w:r w:rsidR="006C1872">
        <w:rPr>
          <w:rFonts w:ascii="Times New Roman" w:hAnsi="Times New Roman"/>
          <w:b/>
          <w:sz w:val="22"/>
          <w:shd w:val="clear" w:color="auto" w:fill="FFFFFF"/>
        </w:rPr>
        <w:t xml:space="preserve">$ </w:t>
      </w:r>
      <w:r w:rsidR="009C16C3">
        <w:rPr>
          <w:rFonts w:ascii="Times New Roman" w:hAnsi="Times New Roman"/>
          <w:b/>
          <w:sz w:val="22"/>
          <w:shd w:val="clear" w:color="auto" w:fill="FFFFFF"/>
        </w:rPr>
        <w:t>866,161</w:t>
      </w:r>
      <w:r w:rsidR="006C1872">
        <w:rPr>
          <w:rFonts w:ascii="Times New Roman" w:hAnsi="Times New Roman"/>
          <w:b/>
          <w:sz w:val="22"/>
          <w:shd w:val="clear" w:color="auto" w:fill="FFFFFF"/>
        </w:rPr>
        <w:t xml:space="preserve"> + $ 1,75</w:t>
      </w:r>
      <w:r w:rsidR="009448F6">
        <w:rPr>
          <w:rFonts w:ascii="Times New Roman" w:hAnsi="Times New Roman"/>
          <w:b/>
          <w:sz w:val="22"/>
          <w:shd w:val="clear" w:color="auto" w:fill="FFFFFF"/>
        </w:rPr>
        <w:t>1,5</w:t>
      </w:r>
      <w:r w:rsidR="006C1872">
        <w:rPr>
          <w:rFonts w:ascii="Times New Roman" w:hAnsi="Times New Roman"/>
          <w:b/>
          <w:sz w:val="22"/>
          <w:shd w:val="clear" w:color="auto" w:fill="FFFFFF"/>
        </w:rPr>
        <w:t xml:space="preserve">00 = $ </w:t>
      </w:r>
      <w:r w:rsidR="009C16C3">
        <w:rPr>
          <w:rFonts w:ascii="Times New Roman" w:hAnsi="Times New Roman"/>
          <w:b/>
          <w:sz w:val="22"/>
          <w:shd w:val="clear" w:color="auto" w:fill="FFFFFF"/>
        </w:rPr>
        <w:t>2,617,661</w:t>
      </w:r>
    </w:p>
    <w:p w:rsidRPr="001E75EA" w:rsidR="00D5673B" w:rsidRDefault="00D95DD3" w14:paraId="0B6A6521" w14:textId="77777777">
      <w:pPr>
        <w:tabs>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t xml:space="preserve">     </w:t>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sidR="00D5673B">
        <w:rPr>
          <w:rFonts w:ascii="Times New Roman" w:hAnsi="Times New Roman"/>
          <w:b/>
          <w:sz w:val="22"/>
          <w:shd w:val="clear" w:color="auto" w:fill="FFFFFF"/>
        </w:rPr>
        <w:tab/>
      </w:r>
      <w:r w:rsidRPr="001E75EA" w:rsidR="00E4114E">
        <w:rPr>
          <w:rFonts w:ascii="Times New Roman" w:hAnsi="Times New Roman"/>
          <w:b/>
          <w:sz w:val="22"/>
          <w:shd w:val="clear" w:color="auto" w:fill="FFFFFF"/>
        </w:rPr>
        <w:tab/>
      </w:r>
      <w:r w:rsidRPr="001E75EA" w:rsidR="00E4114E">
        <w:rPr>
          <w:rFonts w:ascii="Times New Roman" w:hAnsi="Times New Roman"/>
          <w:b/>
          <w:sz w:val="22"/>
          <w:shd w:val="clear" w:color="auto" w:fill="FFFFFF"/>
        </w:rPr>
        <w:tab/>
        <w:t xml:space="preserve">     </w:t>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p>
    <w:p w:rsidR="00965918" w:rsidP="002F5CD1" w:rsidRDefault="00A44D72" w14:paraId="65D979CA" w14:textId="3FA85F6B">
      <w:pPr>
        <w:suppressAutoHyphens/>
        <w:rPr>
          <w:rFonts w:ascii="Times New Roman" w:hAnsi="Times New Roman"/>
          <w:sz w:val="22"/>
          <w:shd w:val="clear" w:color="auto" w:fill="FFFFFF"/>
        </w:rPr>
      </w:pPr>
      <w:r w:rsidRPr="001E75EA">
        <w:rPr>
          <w:rFonts w:ascii="Times New Roman" w:hAnsi="Times New Roman"/>
          <w:sz w:val="22"/>
          <w:shd w:val="clear" w:color="auto" w:fill="FFFFFF"/>
        </w:rPr>
        <w:t xml:space="preserve">15. </w:t>
      </w:r>
      <w:r w:rsidR="00965918">
        <w:rPr>
          <w:rFonts w:ascii="Times New Roman" w:hAnsi="Times New Roman"/>
          <w:sz w:val="22"/>
          <w:shd w:val="clear" w:color="auto" w:fill="FFFFFF"/>
        </w:rPr>
        <w:t>The Commission is reporting program change increases to this information collection.</w:t>
      </w:r>
    </w:p>
    <w:p w:rsidR="00965918" w:rsidP="002F5CD1" w:rsidRDefault="0041475F" w14:paraId="585A657C" w14:textId="7F5ADA57">
      <w:pPr>
        <w:suppressAutoHyphens/>
        <w:rPr>
          <w:rFonts w:ascii="Times New Roman" w:hAnsi="Times New Roman"/>
          <w:sz w:val="22"/>
          <w:shd w:val="clear" w:color="auto" w:fill="FFFFFF"/>
        </w:rPr>
      </w:pPr>
      <w:r w:rsidRPr="001E75EA">
        <w:rPr>
          <w:rFonts w:ascii="Times New Roman" w:hAnsi="Times New Roman"/>
          <w:sz w:val="22"/>
          <w:shd w:val="clear" w:color="auto" w:fill="FFFFFF"/>
        </w:rPr>
        <w:t xml:space="preserve">As the Commission notes above, </w:t>
      </w:r>
      <w:r w:rsidR="007849AD">
        <w:rPr>
          <w:rFonts w:ascii="Times New Roman" w:hAnsi="Times New Roman"/>
          <w:sz w:val="22"/>
          <w:shd w:val="clear" w:color="auto" w:fill="FFFFFF"/>
        </w:rPr>
        <w:t xml:space="preserve">FCC </w:t>
      </w:r>
      <w:r w:rsidRPr="001E75EA" w:rsidR="00D525AC">
        <w:rPr>
          <w:rFonts w:ascii="Times New Roman" w:hAnsi="Times New Roman"/>
          <w:sz w:val="22"/>
          <w:shd w:val="clear" w:color="auto" w:fill="FFFFFF"/>
        </w:rPr>
        <w:t>Form 731</w:t>
      </w:r>
      <w:r w:rsidR="006C1872">
        <w:rPr>
          <w:rFonts w:ascii="Times New Roman" w:hAnsi="Times New Roman"/>
          <w:sz w:val="22"/>
          <w:shd w:val="clear" w:color="auto" w:fill="FFFFFF"/>
        </w:rPr>
        <w:t xml:space="preserve"> and related webpages</w:t>
      </w:r>
      <w:r w:rsidRPr="001E75EA" w:rsidR="00D525AC">
        <w:rPr>
          <w:rFonts w:ascii="Times New Roman" w:hAnsi="Times New Roman"/>
          <w:sz w:val="22"/>
          <w:shd w:val="clear" w:color="auto" w:fill="FFFFFF"/>
        </w:rPr>
        <w:t xml:space="preserve">, </w:t>
      </w:r>
      <w:r w:rsidRPr="001E75EA">
        <w:rPr>
          <w:rFonts w:ascii="Times New Roman" w:hAnsi="Times New Roman"/>
          <w:sz w:val="22"/>
          <w:shd w:val="clear" w:color="auto" w:fill="FFFFFF"/>
        </w:rPr>
        <w:t>t</w:t>
      </w:r>
      <w:r w:rsidRPr="001E75EA" w:rsidR="0012538C">
        <w:rPr>
          <w:rFonts w:ascii="Times New Roman" w:hAnsi="Times New Roman"/>
          <w:sz w:val="22"/>
          <w:shd w:val="clear" w:color="auto" w:fill="FFFFFF"/>
        </w:rPr>
        <w:t>he</w:t>
      </w:r>
      <w:r w:rsidRPr="001E75EA" w:rsidR="008D3901">
        <w:rPr>
          <w:rFonts w:ascii="Times New Roman" w:hAnsi="Times New Roman"/>
          <w:sz w:val="22"/>
          <w:shd w:val="clear" w:color="auto" w:fill="FFFFFF"/>
        </w:rPr>
        <w:t xml:space="preserve"> </w:t>
      </w:r>
      <w:r w:rsidRPr="001E75EA" w:rsidR="000B124A">
        <w:rPr>
          <w:rFonts w:ascii="Times New Roman" w:hAnsi="Times New Roman"/>
          <w:sz w:val="22"/>
          <w:shd w:val="clear" w:color="auto" w:fill="FFFFFF"/>
        </w:rPr>
        <w:t xml:space="preserve">total </w:t>
      </w:r>
      <w:r w:rsidRPr="001E75EA" w:rsidR="00C50E49">
        <w:rPr>
          <w:rFonts w:ascii="Times New Roman" w:hAnsi="Times New Roman"/>
          <w:sz w:val="22"/>
          <w:shd w:val="clear" w:color="auto" w:fill="FFFFFF"/>
        </w:rPr>
        <w:t xml:space="preserve">number of respondents, total number of responses annually, the total </w:t>
      </w:r>
      <w:r w:rsidRPr="001E75EA" w:rsidR="000B124A">
        <w:rPr>
          <w:rFonts w:ascii="Times New Roman" w:hAnsi="Times New Roman"/>
          <w:sz w:val="22"/>
          <w:shd w:val="clear" w:color="auto" w:fill="FFFFFF"/>
        </w:rPr>
        <w:t xml:space="preserve">annual hourly </w:t>
      </w:r>
      <w:r w:rsidRPr="001E75EA" w:rsidR="00D5673B">
        <w:rPr>
          <w:rFonts w:ascii="Times New Roman" w:hAnsi="Times New Roman"/>
          <w:sz w:val="22"/>
          <w:shd w:val="clear" w:color="auto" w:fill="FFFFFF"/>
        </w:rPr>
        <w:t>burden</w:t>
      </w:r>
      <w:r w:rsidRPr="001E75EA" w:rsidR="00C50E49">
        <w:rPr>
          <w:rFonts w:ascii="Times New Roman" w:hAnsi="Times New Roman"/>
          <w:sz w:val="22"/>
          <w:shd w:val="clear" w:color="auto" w:fill="FFFFFF"/>
        </w:rPr>
        <w:t>,</w:t>
      </w:r>
      <w:r w:rsidRPr="001E75EA" w:rsidR="000B124A">
        <w:rPr>
          <w:rFonts w:ascii="Times New Roman" w:hAnsi="Times New Roman"/>
          <w:sz w:val="22"/>
          <w:shd w:val="clear" w:color="auto" w:fill="FFFFFF"/>
        </w:rPr>
        <w:t xml:space="preserve"> and the total annual costs</w:t>
      </w:r>
      <w:r w:rsidRPr="001E75EA" w:rsidR="00D5673B">
        <w:rPr>
          <w:rFonts w:ascii="Times New Roman" w:hAnsi="Times New Roman"/>
          <w:sz w:val="22"/>
          <w:shd w:val="clear" w:color="auto" w:fill="FFFFFF"/>
        </w:rPr>
        <w:t xml:space="preserve"> </w:t>
      </w:r>
      <w:bookmarkStart w:name="_Hlk525918373" w:id="2"/>
      <w:r w:rsidRPr="001E75EA" w:rsidR="00D5673B">
        <w:rPr>
          <w:rFonts w:ascii="Times New Roman" w:hAnsi="Times New Roman"/>
          <w:sz w:val="22"/>
          <w:shd w:val="clear" w:color="auto" w:fill="FFFFFF"/>
        </w:rPr>
        <w:t>ha</w:t>
      </w:r>
      <w:r w:rsidRPr="001E75EA" w:rsidR="008D3901">
        <w:rPr>
          <w:rFonts w:ascii="Times New Roman" w:hAnsi="Times New Roman"/>
          <w:sz w:val="22"/>
          <w:shd w:val="clear" w:color="auto" w:fill="FFFFFF"/>
        </w:rPr>
        <w:t>ve</w:t>
      </w:r>
      <w:r w:rsidRPr="001E75EA" w:rsidR="00D5673B">
        <w:rPr>
          <w:rFonts w:ascii="Times New Roman" w:hAnsi="Times New Roman"/>
          <w:sz w:val="22"/>
          <w:shd w:val="clear" w:color="auto" w:fill="FFFFFF"/>
        </w:rPr>
        <w:t xml:space="preserve"> been </w:t>
      </w:r>
      <w:r w:rsidRPr="001E75EA" w:rsidR="00A15381">
        <w:rPr>
          <w:rFonts w:ascii="Times New Roman" w:hAnsi="Times New Roman"/>
          <w:sz w:val="22"/>
          <w:shd w:val="clear" w:color="auto" w:fill="FFFFFF"/>
        </w:rPr>
        <w:t>updated</w:t>
      </w:r>
      <w:r w:rsidRPr="001E75EA" w:rsidR="00915B54">
        <w:rPr>
          <w:rFonts w:ascii="Times New Roman" w:hAnsi="Times New Roman"/>
          <w:sz w:val="22"/>
          <w:shd w:val="clear" w:color="auto" w:fill="FFFFFF"/>
        </w:rPr>
        <w:t xml:space="preserve"> </w:t>
      </w:r>
      <w:r w:rsidRPr="001E75EA" w:rsidR="00856994">
        <w:rPr>
          <w:rFonts w:ascii="Times New Roman" w:hAnsi="Times New Roman"/>
          <w:sz w:val="22"/>
          <w:shd w:val="clear" w:color="auto" w:fill="FFFFFF"/>
        </w:rPr>
        <w:t>because of the</w:t>
      </w:r>
      <w:r w:rsidRPr="001E75EA" w:rsidR="00915B54">
        <w:rPr>
          <w:rFonts w:ascii="Times New Roman" w:hAnsi="Times New Roman"/>
          <w:sz w:val="22"/>
          <w:shd w:val="clear" w:color="auto" w:fill="FFFFFF"/>
        </w:rPr>
        <w:t xml:space="preserve"> </w:t>
      </w:r>
      <w:r w:rsidRPr="001E75EA" w:rsidR="006B30C8">
        <w:rPr>
          <w:rFonts w:ascii="Times New Roman" w:hAnsi="Times New Roman"/>
          <w:sz w:val="22"/>
          <w:shd w:val="clear" w:color="auto" w:fill="FFFFFF"/>
        </w:rPr>
        <w:t xml:space="preserve">continuing growth in applications for </w:t>
      </w:r>
      <w:r w:rsidR="005D1F77">
        <w:rPr>
          <w:rFonts w:ascii="Times New Roman" w:hAnsi="Times New Roman"/>
          <w:sz w:val="22"/>
          <w:shd w:val="clear" w:color="auto" w:fill="FFFFFF"/>
        </w:rPr>
        <w:t>C</w:t>
      </w:r>
      <w:r w:rsidRPr="001E75EA" w:rsidR="006B30C8">
        <w:rPr>
          <w:rFonts w:ascii="Times New Roman" w:hAnsi="Times New Roman"/>
          <w:sz w:val="22"/>
          <w:shd w:val="clear" w:color="auto" w:fill="FFFFFF"/>
        </w:rPr>
        <w:t>ertification, streamlining of the application information and combining of different information collection requests</w:t>
      </w:r>
      <w:bookmarkEnd w:id="2"/>
      <w:r w:rsidRPr="001E75EA" w:rsidR="006B30C8">
        <w:rPr>
          <w:rFonts w:ascii="Times New Roman" w:hAnsi="Times New Roman"/>
          <w:sz w:val="22"/>
          <w:shd w:val="clear" w:color="auto" w:fill="FFFFFF"/>
        </w:rPr>
        <w:t>.</w:t>
      </w:r>
      <w:r w:rsidR="002F5CD1">
        <w:rPr>
          <w:rFonts w:ascii="Times New Roman" w:hAnsi="Times New Roman"/>
          <w:sz w:val="22"/>
          <w:shd w:val="clear" w:color="auto" w:fill="FFFFFF"/>
        </w:rPr>
        <w:t xml:space="preserve">  </w:t>
      </w:r>
      <w:r w:rsidR="00BD44EA">
        <w:rPr>
          <w:rFonts w:ascii="Times New Roman" w:hAnsi="Times New Roman"/>
          <w:sz w:val="22"/>
          <w:shd w:val="clear" w:color="auto" w:fill="FFFFFF"/>
        </w:rPr>
        <w:t>With operations in the new frequencies formed under Section 15.258</w:t>
      </w:r>
      <w:r w:rsidR="00CF381D">
        <w:rPr>
          <w:rFonts w:ascii="Times New Roman" w:hAnsi="Times New Roman"/>
          <w:sz w:val="22"/>
          <w:shd w:val="clear" w:color="auto" w:fill="FFFFFF"/>
        </w:rPr>
        <w:t>,</w:t>
      </w:r>
      <w:r w:rsidR="00BD44EA">
        <w:rPr>
          <w:rFonts w:ascii="Times New Roman" w:hAnsi="Times New Roman"/>
          <w:sz w:val="22"/>
          <w:shd w:val="clear" w:color="auto" w:fill="FFFFFF"/>
        </w:rPr>
        <w:t xml:space="preserve"> </w:t>
      </w:r>
      <w:r w:rsidR="002F5CD1">
        <w:rPr>
          <w:rFonts w:ascii="Times New Roman" w:hAnsi="Times New Roman"/>
          <w:sz w:val="22"/>
          <w:shd w:val="clear" w:color="auto" w:fill="FFFFFF"/>
        </w:rPr>
        <w:t xml:space="preserve">the </w:t>
      </w:r>
      <w:r w:rsidR="0015564F">
        <w:rPr>
          <w:rFonts w:ascii="Times New Roman" w:hAnsi="Times New Roman"/>
          <w:sz w:val="22"/>
          <w:shd w:val="clear" w:color="auto" w:fill="FFFFFF"/>
        </w:rPr>
        <w:t>total respondents increased to 11,305 from 11</w:t>
      </w:r>
      <w:r w:rsidR="00CF381D">
        <w:rPr>
          <w:rFonts w:ascii="Times New Roman" w:hAnsi="Times New Roman"/>
          <w:sz w:val="22"/>
          <w:shd w:val="clear" w:color="auto" w:fill="FFFFFF"/>
        </w:rPr>
        <w:t xml:space="preserve">,291, the total annual responses increased to 24,873 from 24,851 and the total annual </w:t>
      </w:r>
      <w:r w:rsidR="002F5CD1">
        <w:rPr>
          <w:rFonts w:ascii="Times New Roman" w:hAnsi="Times New Roman"/>
          <w:sz w:val="22"/>
          <w:shd w:val="clear" w:color="auto" w:fill="FFFFFF"/>
        </w:rPr>
        <w:t xml:space="preserve">burden hours for the applicants </w:t>
      </w:r>
      <w:r w:rsidR="00965918">
        <w:rPr>
          <w:rFonts w:ascii="Times New Roman" w:hAnsi="Times New Roman"/>
          <w:sz w:val="22"/>
          <w:shd w:val="clear" w:color="auto" w:fill="FFFFFF"/>
        </w:rPr>
        <w:t xml:space="preserve">have </w:t>
      </w:r>
      <w:r w:rsidR="00BD44EA">
        <w:rPr>
          <w:rFonts w:ascii="Times New Roman" w:hAnsi="Times New Roman"/>
          <w:sz w:val="22"/>
          <w:shd w:val="clear" w:color="auto" w:fill="FFFFFF"/>
        </w:rPr>
        <w:t>increased</w:t>
      </w:r>
      <w:r w:rsidR="00965918">
        <w:rPr>
          <w:rFonts w:ascii="Times New Roman" w:hAnsi="Times New Roman"/>
          <w:sz w:val="22"/>
          <w:shd w:val="clear" w:color="auto" w:fill="FFFFFF"/>
        </w:rPr>
        <w:t xml:space="preserve"> </w:t>
      </w:r>
      <w:r w:rsidR="000F6136">
        <w:rPr>
          <w:rFonts w:ascii="Times New Roman" w:hAnsi="Times New Roman"/>
          <w:sz w:val="22"/>
          <w:shd w:val="clear" w:color="auto" w:fill="FFFFFF"/>
        </w:rPr>
        <w:t>to 201,603</w:t>
      </w:r>
      <w:r w:rsidR="000F6136">
        <w:rPr>
          <w:rFonts w:ascii="Times New Roman" w:hAnsi="Times New Roman"/>
          <w:sz w:val="22"/>
          <w:shd w:val="clear" w:color="auto" w:fill="FFFFFF"/>
        </w:rPr>
        <w:t xml:space="preserve"> </w:t>
      </w:r>
      <w:bookmarkStart w:name="_GoBack" w:id="3"/>
      <w:bookmarkEnd w:id="3"/>
      <w:r w:rsidR="002F5CD1">
        <w:rPr>
          <w:rFonts w:ascii="Times New Roman" w:hAnsi="Times New Roman"/>
          <w:sz w:val="22"/>
          <w:shd w:val="clear" w:color="auto" w:fill="FFFFFF"/>
        </w:rPr>
        <w:t xml:space="preserve">from </w:t>
      </w:r>
      <w:r w:rsidR="00B516C8">
        <w:rPr>
          <w:rFonts w:ascii="Times New Roman" w:hAnsi="Times New Roman"/>
          <w:sz w:val="22"/>
          <w:shd w:val="clear" w:color="auto" w:fill="FFFFFF"/>
        </w:rPr>
        <w:t>201,450 hours.</w:t>
      </w:r>
      <w:r w:rsidR="00BD44EA">
        <w:rPr>
          <w:rFonts w:ascii="Times New Roman" w:hAnsi="Times New Roman"/>
          <w:sz w:val="22"/>
          <w:shd w:val="clear" w:color="auto" w:fill="FFFFFF"/>
        </w:rPr>
        <w:t xml:space="preserve"> </w:t>
      </w:r>
      <w:r w:rsidR="00730501">
        <w:rPr>
          <w:rFonts w:ascii="Times New Roman" w:hAnsi="Times New Roman"/>
          <w:sz w:val="22"/>
          <w:shd w:val="clear" w:color="auto" w:fill="FFFFFF"/>
        </w:rPr>
        <w:t>However, t</w:t>
      </w:r>
      <w:r w:rsidR="009448F6">
        <w:rPr>
          <w:rFonts w:ascii="Times New Roman" w:hAnsi="Times New Roman"/>
          <w:sz w:val="22"/>
          <w:shd w:val="clear" w:color="auto" w:fill="FFFFFF"/>
        </w:rPr>
        <w:t>he additional Applications that will be filed per the frequencies</w:t>
      </w:r>
      <w:r w:rsidR="00BD44EA">
        <w:rPr>
          <w:rFonts w:ascii="Times New Roman" w:hAnsi="Times New Roman"/>
          <w:sz w:val="22"/>
          <w:shd w:val="clear" w:color="auto" w:fill="FFFFFF"/>
        </w:rPr>
        <w:t xml:space="preserve"> </w:t>
      </w:r>
      <w:r w:rsidR="00F011E4">
        <w:rPr>
          <w:rFonts w:ascii="Times New Roman" w:hAnsi="Times New Roman"/>
          <w:sz w:val="22"/>
          <w:shd w:val="clear" w:color="auto" w:fill="FFFFFF"/>
        </w:rPr>
        <w:t xml:space="preserve">will </w:t>
      </w:r>
      <w:r w:rsidR="00CF381D">
        <w:rPr>
          <w:rFonts w:ascii="Times New Roman" w:hAnsi="Times New Roman"/>
          <w:sz w:val="22"/>
          <w:shd w:val="clear" w:color="auto" w:fill="FFFFFF"/>
        </w:rPr>
        <w:t xml:space="preserve">increase the total annual costs </w:t>
      </w:r>
      <w:r w:rsidR="00F011E4">
        <w:rPr>
          <w:rFonts w:ascii="Times New Roman" w:hAnsi="Times New Roman"/>
          <w:sz w:val="22"/>
          <w:shd w:val="clear" w:color="auto" w:fill="FFFFFF"/>
        </w:rPr>
        <w:t xml:space="preserve">for applicants to </w:t>
      </w:r>
      <w:r w:rsidRPr="00361F4C" w:rsidR="00F011E4">
        <w:rPr>
          <w:rFonts w:ascii="Times New Roman" w:hAnsi="Times New Roman"/>
          <w:bCs/>
          <w:sz w:val="22"/>
          <w:szCs w:val="22"/>
          <w:shd w:val="clear" w:color="auto" w:fill="FFFFFF"/>
        </w:rPr>
        <w:t>$ 50,155,140</w:t>
      </w:r>
      <w:r w:rsidR="00F011E4">
        <w:rPr>
          <w:rFonts w:ascii="Times New Roman" w:hAnsi="Times New Roman"/>
          <w:bCs/>
          <w:sz w:val="22"/>
          <w:szCs w:val="22"/>
          <w:shd w:val="clear" w:color="auto" w:fill="FFFFFF"/>
        </w:rPr>
        <w:t xml:space="preserve"> from $ 50,110,000.</w:t>
      </w:r>
    </w:p>
    <w:p w:rsidRPr="001E75EA" w:rsidR="008D3901" w:rsidP="00361F4C" w:rsidRDefault="008D3901" w14:paraId="21CCB0D9" w14:textId="77777777">
      <w:pPr>
        <w:suppressAutoHyphens/>
        <w:ind w:left="450"/>
        <w:rPr>
          <w:rFonts w:ascii="Times New Roman" w:hAnsi="Times New Roman"/>
          <w:sz w:val="22"/>
          <w:shd w:val="clear" w:color="auto" w:fill="FFFFFF"/>
        </w:rPr>
      </w:pPr>
    </w:p>
    <w:p w:rsidRPr="001E75EA" w:rsidR="00D95DD3" w:rsidP="00D95DD3" w:rsidRDefault="00D95DD3" w14:paraId="44A93C17" w14:textId="77777777">
      <w:pPr>
        <w:pStyle w:val="BodyTextIndent"/>
        <w:tabs>
          <w:tab w:val="clear" w:pos="360"/>
        </w:tabs>
        <w:rPr>
          <w:shd w:val="clear" w:color="auto" w:fill="FFFFFF"/>
        </w:rPr>
      </w:pPr>
      <w:r w:rsidRPr="001E75EA">
        <w:rPr>
          <w:shd w:val="clear" w:color="auto" w:fill="FFFFFF"/>
        </w:rPr>
        <w:t xml:space="preserve">16.  The information that is submitted on FCC Form 731 is used to determine the compliance of equipment with applicable Commission technical standards and rules.  </w:t>
      </w:r>
    </w:p>
    <w:p w:rsidRPr="001E75EA" w:rsidR="00D95DD3" w:rsidP="00D95DD3" w:rsidRDefault="00D95DD3" w14:paraId="2B730E3B" w14:textId="77777777">
      <w:pPr>
        <w:pStyle w:val="BodyTextIndent"/>
        <w:tabs>
          <w:tab w:val="clear" w:pos="360"/>
        </w:tabs>
        <w:rPr>
          <w:shd w:val="clear" w:color="auto" w:fill="FFFFFF"/>
        </w:rPr>
      </w:pPr>
    </w:p>
    <w:p w:rsidRPr="001E75EA" w:rsidR="00D95DD3" w:rsidP="00D95DD3" w:rsidRDefault="00D95DD3" w14:paraId="77F5B908" w14:textId="77777777">
      <w:pPr>
        <w:pStyle w:val="BodyTextIndent"/>
        <w:numPr>
          <w:ilvl w:val="0"/>
          <w:numId w:val="31"/>
        </w:numPr>
        <w:tabs>
          <w:tab w:val="clear" w:pos="360"/>
        </w:tabs>
        <w:rPr>
          <w:shd w:val="clear" w:color="auto" w:fill="FFFFFF"/>
        </w:rPr>
      </w:pPr>
      <w:r w:rsidRPr="001E75EA">
        <w:rPr>
          <w:shd w:val="clear" w:color="auto" w:fill="FFFFFF"/>
        </w:rPr>
        <w:lastRenderedPageBreak/>
        <w:t xml:space="preserve">Some of the information submitted in the filings is held confidential and not published.  </w:t>
      </w:r>
    </w:p>
    <w:p w:rsidRPr="001E75EA" w:rsidR="00D95DD3" w:rsidP="00D95DD3" w:rsidRDefault="00D95DD3" w14:paraId="28C872AD" w14:textId="77777777">
      <w:pPr>
        <w:pStyle w:val="BodyTextIndent"/>
        <w:tabs>
          <w:tab w:val="clear" w:pos="360"/>
        </w:tabs>
        <w:ind w:left="720" w:firstLine="0"/>
        <w:rPr>
          <w:shd w:val="clear" w:color="auto" w:fill="FFFFFF"/>
        </w:rPr>
      </w:pPr>
    </w:p>
    <w:p w:rsidRPr="001E75EA" w:rsidR="00D95DD3" w:rsidP="00D95DD3" w:rsidRDefault="00D95DD3" w14:paraId="2CE4199C" w14:textId="6C566807">
      <w:pPr>
        <w:pStyle w:val="BodyTextIndent"/>
        <w:numPr>
          <w:ilvl w:val="0"/>
          <w:numId w:val="31"/>
        </w:numPr>
        <w:tabs>
          <w:tab w:val="clear" w:pos="360"/>
        </w:tabs>
        <w:rPr>
          <w:shd w:val="clear" w:color="auto" w:fill="FFFFFF"/>
        </w:rPr>
      </w:pPr>
      <w:r w:rsidRPr="001E75EA">
        <w:rPr>
          <w:shd w:val="clear" w:color="auto" w:fill="FFFFFF"/>
        </w:rPr>
        <w:t xml:space="preserve">The </w:t>
      </w:r>
      <w:r w:rsidR="00E93566">
        <w:rPr>
          <w:shd w:val="clear" w:color="auto" w:fill="FFFFFF"/>
        </w:rPr>
        <w:t xml:space="preserve">non-confidential </w:t>
      </w:r>
      <w:r w:rsidRPr="001E75EA">
        <w:rPr>
          <w:shd w:val="clear" w:color="auto" w:fill="FFFFFF"/>
        </w:rPr>
        <w:t xml:space="preserve">application information is available on the FCC website through various search mechanisms.  </w:t>
      </w:r>
    </w:p>
    <w:p w:rsidRPr="001E75EA" w:rsidR="00D95DD3" w:rsidP="00D95DD3" w:rsidRDefault="00D95DD3" w14:paraId="45B74971" w14:textId="77777777">
      <w:pPr>
        <w:pStyle w:val="BodyTextIndent"/>
        <w:tabs>
          <w:tab w:val="clear" w:pos="360"/>
        </w:tabs>
        <w:ind w:left="0" w:firstLine="0"/>
        <w:rPr>
          <w:shd w:val="clear" w:color="auto" w:fill="FFFFFF"/>
        </w:rPr>
      </w:pPr>
    </w:p>
    <w:p w:rsidRPr="001E75EA" w:rsidR="00D95DD3" w:rsidP="00D95DD3" w:rsidRDefault="00D95DD3" w14:paraId="238950BD" w14:textId="77777777">
      <w:pPr>
        <w:pStyle w:val="BodyTextIndent"/>
        <w:tabs>
          <w:tab w:val="clear" w:pos="360"/>
        </w:tabs>
        <w:ind w:left="720"/>
        <w:rPr>
          <w:shd w:val="clear" w:color="auto" w:fill="FFFFFF"/>
        </w:rPr>
      </w:pPr>
      <w:r w:rsidRPr="001E75EA">
        <w:rPr>
          <w:shd w:val="clear" w:color="auto" w:fill="FFFFFF"/>
        </w:rPr>
        <w:t xml:space="preserve">(c) The searches may be viewed by accessing </w:t>
      </w:r>
      <w:r w:rsidRPr="008B7980">
        <w:rPr>
          <w:shd w:val="clear" w:color="auto" w:fill="FFFFFF"/>
        </w:rPr>
        <w:t>https://apps.fcc.gov/eas</w:t>
      </w:r>
      <w:r w:rsidRPr="001E75EA">
        <w:rPr>
          <w:shd w:val="clear" w:color="auto" w:fill="FFFFFF"/>
        </w:rPr>
        <w:t>.</w:t>
      </w:r>
    </w:p>
    <w:p w:rsidRPr="001E75EA" w:rsidR="00D95DD3" w:rsidP="00D95DD3" w:rsidRDefault="00D95DD3" w14:paraId="65EB3095" w14:textId="77777777">
      <w:pPr>
        <w:suppressAutoHyphens/>
        <w:ind w:hanging="360"/>
        <w:rPr>
          <w:rFonts w:ascii="Times New Roman" w:hAnsi="Times New Roman"/>
          <w:sz w:val="22"/>
          <w:shd w:val="clear" w:color="auto" w:fill="FFFFFF"/>
        </w:rPr>
      </w:pPr>
    </w:p>
    <w:p w:rsidRPr="00B37701" w:rsidR="00D95DD3" w:rsidP="00D95DD3" w:rsidRDefault="00D95DD3" w14:paraId="0AB3C0BD" w14:textId="49E1D545">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17. The Commission is requesting continued OMB approval to waive the requirement that we display the OMB expiration date on FCC Form 731</w:t>
      </w:r>
      <w:r w:rsidR="006C1872">
        <w:rPr>
          <w:rFonts w:ascii="Times New Roman" w:hAnsi="Times New Roman"/>
          <w:sz w:val="22"/>
          <w:shd w:val="clear" w:color="auto" w:fill="FFFFFF"/>
        </w:rPr>
        <w:t xml:space="preserve"> and related webpages</w:t>
      </w:r>
      <w:r w:rsidRPr="001E75EA">
        <w:rPr>
          <w:rFonts w:ascii="Times New Roman" w:hAnsi="Times New Roman"/>
          <w:sz w:val="22"/>
          <w:shd w:val="clear" w:color="auto" w:fill="FFFFFF"/>
        </w:rPr>
        <w:t>. Granting this waiver will allow the Commission to continue using the electronic version of the form</w:t>
      </w:r>
      <w:r w:rsidR="006C1872">
        <w:rPr>
          <w:rFonts w:ascii="Times New Roman" w:hAnsi="Times New Roman"/>
          <w:sz w:val="22"/>
          <w:shd w:val="clear" w:color="auto" w:fill="FFFFFF"/>
        </w:rPr>
        <w:t xml:space="preserve"> and webpages</w:t>
      </w:r>
      <w:r w:rsidRPr="001E75EA">
        <w:rPr>
          <w:rFonts w:ascii="Times New Roman" w:hAnsi="Times New Roman"/>
          <w:sz w:val="22"/>
          <w:shd w:val="clear" w:color="auto" w:fill="FFFFFF"/>
        </w:rPr>
        <w:t xml:space="preserve"> without update, upon re-approval of the form.  An edition date will be used in lieu of the OMB expiration date.   Finally, the Commission publishes a list of all OMB-approved information collections in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1E75EA">
        <w:rPr>
          <w:rFonts w:ascii="Times New Roman" w:hAnsi="Times New Roman"/>
          <w:sz w:val="22"/>
          <w:shd w:val="clear" w:color="auto" w:fill="FFFFFF"/>
        </w:rPr>
        <w:t>0.408 of the Commission’s rules.</w:t>
      </w:r>
    </w:p>
    <w:p w:rsidRPr="00B37701" w:rsidR="00D95DD3" w:rsidP="00D95DD3" w:rsidRDefault="00D95DD3" w14:paraId="2CF5C8C3" w14:textId="77777777">
      <w:pPr>
        <w:suppressAutoHyphens/>
        <w:ind w:left="360" w:hanging="360"/>
        <w:rPr>
          <w:rFonts w:ascii="Times New Roman" w:hAnsi="Times New Roman"/>
          <w:sz w:val="22"/>
          <w:u w:val="single"/>
          <w:shd w:val="clear" w:color="auto" w:fill="FFFFFF"/>
        </w:rPr>
      </w:pPr>
    </w:p>
    <w:p w:rsidRPr="00B37701" w:rsidR="00D95DD3" w:rsidP="00D95DD3" w:rsidRDefault="00D95DD3" w14:paraId="6C2399DC" w14:textId="7F113B4D">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18.  There are no exceptions to the Certification Statement.</w:t>
      </w:r>
    </w:p>
    <w:p w:rsidRPr="00B37701" w:rsidR="00D95DD3" w:rsidP="00D95DD3" w:rsidRDefault="00D95DD3" w14:paraId="2CD26F87" w14:textId="77777777">
      <w:pPr>
        <w:suppressAutoHyphens/>
        <w:ind w:left="360" w:hanging="360"/>
        <w:rPr>
          <w:rFonts w:ascii="Times New Roman" w:hAnsi="Times New Roman"/>
          <w:sz w:val="22"/>
          <w:shd w:val="clear" w:color="auto" w:fill="FFFFFF"/>
        </w:rPr>
      </w:pPr>
    </w:p>
    <w:p w:rsidRPr="00B37701" w:rsidR="00D95DD3" w:rsidP="00D95DD3" w:rsidRDefault="00D95DD3" w14:paraId="200D6962" w14:textId="77777777">
      <w:pPr>
        <w:suppressAutoHyphens/>
        <w:ind w:left="360" w:hanging="360"/>
        <w:rPr>
          <w:rFonts w:ascii="Times New Roman" w:hAnsi="Times New Roman"/>
          <w:sz w:val="22"/>
          <w:shd w:val="clear" w:color="auto" w:fill="FFFFFF"/>
        </w:rPr>
      </w:pPr>
      <w:r w:rsidRPr="00B37701">
        <w:rPr>
          <w:rFonts w:ascii="Times New Roman" w:hAnsi="Times New Roman"/>
          <w:b/>
          <w:sz w:val="22"/>
          <w:shd w:val="clear" w:color="auto" w:fill="FFFFFF"/>
        </w:rPr>
        <w:t>B.  Collections of Information Employing Statistical Methods.</w:t>
      </w:r>
    </w:p>
    <w:p w:rsidRPr="00B37701" w:rsidR="00D95DD3" w:rsidP="00D95DD3" w:rsidRDefault="00D95DD3" w14:paraId="3D909830" w14:textId="77777777">
      <w:pPr>
        <w:suppressAutoHyphens/>
        <w:ind w:left="360" w:hanging="360"/>
        <w:rPr>
          <w:rFonts w:ascii="Times New Roman" w:hAnsi="Times New Roman"/>
          <w:sz w:val="22"/>
          <w:shd w:val="clear" w:color="auto" w:fill="FFFFFF"/>
        </w:rPr>
      </w:pPr>
    </w:p>
    <w:p w:rsidRPr="00EA2CAB" w:rsidR="00D95DD3" w:rsidP="00D95DD3" w:rsidRDefault="00D95DD3" w14:paraId="6F2B3D21" w14:textId="77777777">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This information collection does not employ statistical methods.</w:t>
      </w:r>
    </w:p>
    <w:p w:rsidR="005C503E" w:rsidRDefault="005C503E" w14:paraId="68D51711" w14:textId="5D762421">
      <w:pPr>
        <w:widowControl/>
        <w:rPr>
          <w:rFonts w:ascii="Times New Roman" w:hAnsi="Times New Roman"/>
          <w:sz w:val="22"/>
          <w:shd w:val="clear" w:color="auto" w:fill="FFFFFF"/>
        </w:rPr>
      </w:pPr>
      <w:r>
        <w:rPr>
          <w:shd w:val="clear" w:color="auto" w:fill="FFFFFF"/>
        </w:rPr>
        <w:br w:type="page"/>
      </w:r>
    </w:p>
    <w:p w:rsidRPr="005C503E" w:rsidR="0012538C" w:rsidP="005C503E" w:rsidRDefault="00B409AD" w14:paraId="1854E0E1" w14:textId="0BA93ED1">
      <w:pPr>
        <w:pStyle w:val="BodyTextIndent"/>
        <w:tabs>
          <w:tab w:val="clear" w:pos="360"/>
        </w:tabs>
        <w:jc w:val="center"/>
        <w:rPr>
          <w:b/>
          <w:sz w:val="28"/>
          <w:szCs w:val="28"/>
          <w:shd w:val="clear" w:color="auto" w:fill="FFFFFF"/>
        </w:rPr>
      </w:pPr>
      <w:r w:rsidRPr="005C503E">
        <w:rPr>
          <w:b/>
          <w:sz w:val="28"/>
          <w:szCs w:val="28"/>
          <w:shd w:val="clear" w:color="auto" w:fill="FFFFFF"/>
        </w:rPr>
        <w:lastRenderedPageBreak/>
        <w:t>A</w:t>
      </w:r>
      <w:r>
        <w:rPr>
          <w:b/>
          <w:sz w:val="28"/>
          <w:szCs w:val="28"/>
          <w:shd w:val="clear" w:color="auto" w:fill="FFFFFF"/>
        </w:rPr>
        <w:t>ppendix A</w:t>
      </w:r>
      <w:r w:rsidRPr="005C503E">
        <w:rPr>
          <w:b/>
          <w:sz w:val="28"/>
          <w:szCs w:val="28"/>
          <w:shd w:val="clear" w:color="auto" w:fill="FFFFFF"/>
        </w:rPr>
        <w:t xml:space="preserve"> </w:t>
      </w:r>
    </w:p>
    <w:p w:rsidR="005C503E" w:rsidP="00D95DD3" w:rsidRDefault="005C503E" w14:paraId="61594AC7" w14:textId="3996AC8E">
      <w:pPr>
        <w:pStyle w:val="BodyTextIndent"/>
        <w:tabs>
          <w:tab w:val="clear" w:pos="360"/>
        </w:tabs>
        <w:rPr>
          <w:shd w:val="clear" w:color="auto" w:fill="FFFFFF"/>
        </w:rPr>
      </w:pPr>
    </w:p>
    <w:p w:rsidRPr="00DE46A3" w:rsidR="00DE46A3" w:rsidP="00DE46A3" w:rsidRDefault="00DE46A3" w14:paraId="22C32EE6" w14:textId="795D4602">
      <w:pPr>
        <w:widowControl/>
        <w:rPr>
          <w:rFonts w:ascii="Times New Roman" w:hAnsi="Times New Roman"/>
          <w:b/>
          <w:sz w:val="22"/>
          <w:szCs w:val="22"/>
          <w:shd w:val="clear" w:color="auto" w:fill="FFFFFF"/>
        </w:rPr>
      </w:pPr>
      <w:r w:rsidRPr="00DE46A3">
        <w:rPr>
          <w:rFonts w:ascii="Times New Roman" w:hAnsi="Times New Roman"/>
          <w:b/>
          <w:sz w:val="22"/>
          <w:szCs w:val="22"/>
          <w:shd w:val="clear" w:color="auto" w:fill="FFFFFF"/>
        </w:rPr>
        <w:t xml:space="preserve">Rule Parts Referencing Equipment </w:t>
      </w:r>
      <w:r>
        <w:rPr>
          <w:rFonts w:ascii="Times New Roman" w:hAnsi="Times New Roman"/>
          <w:b/>
          <w:sz w:val="22"/>
          <w:szCs w:val="22"/>
          <w:shd w:val="clear" w:color="auto" w:fill="FFFFFF"/>
        </w:rPr>
        <w:t>Certification</w:t>
      </w:r>
    </w:p>
    <w:p w:rsidRPr="00DE46A3" w:rsidR="00DE46A3" w:rsidP="00DE46A3" w:rsidRDefault="00DE46A3" w14:paraId="34EAFAA8" w14:textId="77777777">
      <w:pPr>
        <w:widowControl/>
        <w:rPr>
          <w:rFonts w:ascii="Times New Roman" w:hAnsi="Times New Roman"/>
          <w:b/>
          <w:sz w:val="22"/>
          <w:szCs w:val="22"/>
          <w:shd w:val="clear" w:color="auto" w:fill="FFFFFF"/>
        </w:rPr>
      </w:pPr>
    </w:p>
    <w:tbl>
      <w:tblPr>
        <w:tblW w:w="9600" w:type="dxa"/>
        <w:tblLook w:val="04A0" w:firstRow="1" w:lastRow="0" w:firstColumn="1" w:lastColumn="0" w:noHBand="0" w:noVBand="1"/>
      </w:tblPr>
      <w:tblGrid>
        <w:gridCol w:w="1335"/>
        <w:gridCol w:w="8265"/>
      </w:tblGrid>
      <w:tr w:rsidRPr="00DE46A3" w:rsidR="00DE46A3" w:rsidTr="004B7F8E" w14:paraId="201D061B" w14:textId="77777777">
        <w:trPr>
          <w:trHeight w:val="315"/>
        </w:trPr>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59ED559" w14:textId="2CFC1D85">
            <w:pPr>
              <w:widowControl/>
              <w:rPr>
                <w:rFonts w:ascii="Times New Roman" w:hAnsi="Times New Roman"/>
                <w:b/>
                <w:bCs/>
                <w:sz w:val="22"/>
                <w:szCs w:val="22"/>
                <w:shd w:val="clear" w:color="auto" w:fill="FFFFFF"/>
              </w:rPr>
            </w:pPr>
            <w:bookmarkStart w:name="_Hlk525287719" w:id="4"/>
            <w:r w:rsidRPr="00DE46A3">
              <w:rPr>
                <w:rFonts w:ascii="Times New Roman" w:hAnsi="Times New Roman"/>
                <w:b/>
                <w:bCs/>
                <w:sz w:val="22"/>
                <w:szCs w:val="22"/>
                <w:shd w:val="clear" w:color="auto" w:fill="FFFFFF"/>
              </w:rPr>
              <w:t>Rule</w:t>
            </w:r>
            <w:r>
              <w:rPr>
                <w:rFonts w:ascii="Times New Roman" w:hAnsi="Times New Roman"/>
                <w:b/>
                <w:bCs/>
                <w:sz w:val="22"/>
                <w:szCs w:val="22"/>
                <w:shd w:val="clear" w:color="auto" w:fill="FFFFFF"/>
              </w:rPr>
              <w:t xml:space="preserve"> Sections (47 CFR)</w:t>
            </w:r>
          </w:p>
        </w:tc>
        <w:tc>
          <w:tcPr>
            <w:tcW w:w="8280" w:type="dxa"/>
            <w:tcBorders>
              <w:top w:val="single" w:color="auto" w:sz="4" w:space="0"/>
              <w:left w:val="nil"/>
              <w:bottom w:val="single" w:color="auto" w:sz="4" w:space="0"/>
              <w:right w:val="single" w:color="auto" w:sz="4" w:space="0"/>
            </w:tcBorders>
            <w:shd w:val="clear" w:color="auto" w:fill="auto"/>
            <w:vAlign w:val="bottom"/>
            <w:hideMark/>
          </w:tcPr>
          <w:p w:rsidRPr="00DE46A3" w:rsidR="00DE46A3" w:rsidP="00DE46A3" w:rsidRDefault="00DE46A3" w14:paraId="296B9AC3" w14:textId="77777777">
            <w:pPr>
              <w:widowControl/>
              <w:rPr>
                <w:rFonts w:ascii="Times New Roman" w:hAnsi="Times New Roman"/>
                <w:b/>
                <w:bCs/>
                <w:sz w:val="22"/>
                <w:szCs w:val="22"/>
                <w:shd w:val="clear" w:color="auto" w:fill="FFFFFF"/>
              </w:rPr>
            </w:pPr>
            <w:r w:rsidRPr="00DE46A3">
              <w:rPr>
                <w:rFonts w:ascii="Times New Roman" w:hAnsi="Times New Roman"/>
                <w:b/>
                <w:bCs/>
                <w:sz w:val="22"/>
                <w:szCs w:val="22"/>
                <w:shd w:val="clear" w:color="auto" w:fill="FFFFFF"/>
              </w:rPr>
              <w:t>Reference</w:t>
            </w:r>
          </w:p>
        </w:tc>
      </w:tr>
      <w:tr w:rsidRPr="00DE46A3" w:rsidR="00DE46A3" w:rsidTr="004B7F8E" w14:paraId="1B66202D" w14:textId="77777777">
        <w:trPr>
          <w:trHeight w:val="6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F971EC4" w14:textId="7E5FDABB">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2.911, 2.1033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840951" w14:textId="31879A4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Applications</w:t>
            </w:r>
          </w:p>
        </w:tc>
      </w:tr>
      <w:tr w:rsidRPr="00DE46A3" w:rsidR="00DE46A3" w:rsidTr="004B7F8E" w14:paraId="173577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4EA411F" w14:textId="6CF2411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11.34</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9D122EB" w14:textId="5037A89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EAS Equipment acceptability for filing</w:t>
            </w:r>
          </w:p>
        </w:tc>
      </w:tr>
      <w:tr w:rsidRPr="00DE46A3" w:rsidR="00DE46A3" w:rsidTr="004B7F8E" w14:paraId="78A260B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49EB96E" w14:textId="37477B6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15.201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83C9EBB" w14:textId="2BB7179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Requirements</w:t>
            </w:r>
          </w:p>
        </w:tc>
      </w:tr>
      <w:tr w:rsidRPr="00DE46A3" w:rsidR="00361F4C" w:rsidTr="004B7F8E" w14:paraId="3C72F2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tcPr>
          <w:p w:rsidRPr="00DE46A3" w:rsidR="00361F4C" w:rsidP="00DE46A3" w:rsidRDefault="00361F4C" w14:paraId="4BFE6B9F" w14:textId="30B831CC">
            <w:pPr>
              <w:widowControl/>
              <w:rPr>
                <w:rFonts w:ascii="Times New Roman" w:hAnsi="Times New Roman"/>
                <w:sz w:val="22"/>
                <w:szCs w:val="22"/>
                <w:shd w:val="clear" w:color="auto" w:fill="FFFFFF"/>
              </w:rPr>
            </w:pPr>
            <w:r>
              <w:rPr>
                <w:rFonts w:ascii="Times New Roman" w:hAnsi="Times New Roman"/>
                <w:sz w:val="22"/>
                <w:szCs w:val="22"/>
                <w:shd w:val="clear" w:color="auto" w:fill="FFFFFF"/>
              </w:rPr>
              <w:t>15.258(new)</w:t>
            </w:r>
          </w:p>
        </w:tc>
        <w:tc>
          <w:tcPr>
            <w:tcW w:w="8280" w:type="dxa"/>
            <w:tcBorders>
              <w:top w:val="nil"/>
              <w:left w:val="nil"/>
              <w:bottom w:val="single" w:color="auto" w:sz="4" w:space="0"/>
              <w:right w:val="single" w:color="auto" w:sz="4" w:space="0"/>
            </w:tcBorders>
            <w:shd w:val="clear" w:color="auto" w:fill="auto"/>
            <w:vAlign w:val="bottom"/>
          </w:tcPr>
          <w:p w:rsidRPr="00361F4C" w:rsidR="00361F4C" w:rsidP="00DE46A3" w:rsidRDefault="00361F4C" w14:paraId="7A7382EF" w14:textId="1F5E370A">
            <w:pPr>
              <w:widowControl/>
              <w:rPr>
                <w:rFonts w:ascii="Times New Roman" w:hAnsi="Times New Roman"/>
                <w:bCs/>
                <w:sz w:val="22"/>
                <w:szCs w:val="22"/>
                <w:shd w:val="clear" w:color="auto" w:fill="FFFFFF"/>
              </w:rPr>
            </w:pPr>
            <w:r w:rsidRPr="00361F4C">
              <w:rPr>
                <w:rFonts w:ascii="Times New Roman" w:hAnsi="Times New Roman"/>
                <w:bCs/>
                <w:sz w:val="22"/>
                <w:szCs w:val="22"/>
              </w:rPr>
              <w:t>Operation in the bands 116-123 GHz, 174.8-182 GHz, 185-190 GHz and 244-246 GHz</w:t>
            </w:r>
          </w:p>
        </w:tc>
      </w:tr>
      <w:tr w:rsidRPr="00DE46A3" w:rsidR="00DE46A3" w:rsidTr="004B7F8E" w14:paraId="6563D134"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866600C" w14:textId="068F247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18.203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A7F6C1F" w14:textId="3739CC4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w:t>
            </w:r>
          </w:p>
        </w:tc>
      </w:tr>
      <w:tr w:rsidRPr="00DE46A3" w:rsidR="00DE46A3" w:rsidTr="004B7F8E" w14:paraId="76AA9EE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15D9FF7" w14:textId="19F0D4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20.19(b)</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CEAC09" w14:textId="5FCCA3B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HAC Requirements</w:t>
            </w:r>
          </w:p>
        </w:tc>
      </w:tr>
      <w:tr w:rsidRPr="00DE46A3" w:rsidR="00DE46A3" w:rsidTr="004B7F8E" w14:paraId="5C069B1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A9FB2C8" w14:textId="501AEEF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20.21(e)(2)</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B9A5DA0" w14:textId="41DF350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Signal Boosters</w:t>
            </w:r>
          </w:p>
        </w:tc>
      </w:tr>
      <w:tr w:rsidRPr="00DE46A3" w:rsidR="00DE46A3" w:rsidTr="004B7F8E" w14:paraId="6E106F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478A4A4" w14:textId="1D9F492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22.377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50CE8B" w14:textId="5A97527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transmitters</w:t>
            </w:r>
          </w:p>
        </w:tc>
      </w:tr>
      <w:tr w:rsidRPr="00DE46A3" w:rsidR="00DE46A3" w:rsidTr="004B7F8E" w14:paraId="6353083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78CCD21" w14:textId="2CAADB8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A62129" w14:textId="2021AF9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24.52 RF Hazards)</w:t>
            </w:r>
          </w:p>
        </w:tc>
      </w:tr>
      <w:tr w:rsidRPr="00DE46A3" w:rsidR="00DE46A3" w:rsidTr="004B7F8E" w14:paraId="0E33582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3703760" w14:textId="5A5AEF9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25.129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309133A" w14:textId="3C1D33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for portable earth-station transceivers</w:t>
            </w:r>
          </w:p>
        </w:tc>
      </w:tr>
      <w:tr w:rsidRPr="00DE46A3" w:rsidR="00DE46A3" w:rsidTr="004B7F8E" w14:paraId="321E2FB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2C8F5CE" w14:textId="0B4C0B8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27.51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8ACE6E" w14:textId="3133A8E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27.52 RF Safety)</w:t>
            </w:r>
          </w:p>
        </w:tc>
      </w:tr>
      <w:tr w:rsidRPr="00DE46A3" w:rsidR="00DE46A3" w:rsidTr="004B7F8E" w14:paraId="4473892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B18A26B" w14:textId="47AE684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30.201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B1BCC26" w14:textId="08A154D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(30.201(c) refers to verification)</w:t>
            </w:r>
          </w:p>
        </w:tc>
      </w:tr>
      <w:tr w:rsidRPr="00DE46A3" w:rsidR="00DE46A3" w:rsidTr="004B7F8E" w14:paraId="38EC55A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5093D72" w14:textId="526BA4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E86EAD9" w14:textId="4BB3B1F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equipment - remote pickup</w:t>
            </w:r>
          </w:p>
        </w:tc>
      </w:tr>
      <w:tr w:rsidRPr="00DE46A3" w:rsidR="00DE46A3" w:rsidTr="004B7F8E" w14:paraId="21AFF8D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F2BC3C4" w14:textId="0E032B9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74.750</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D020615" w14:textId="787EAF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Low Power TV (type notified)</w:t>
            </w:r>
          </w:p>
        </w:tc>
      </w:tr>
      <w:tr w:rsidRPr="00DE46A3" w:rsidR="00DE46A3" w:rsidTr="004B7F8E" w14:paraId="30C7F0A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6EB410D" w14:textId="58767D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74.851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A2B78D9" w14:textId="4D83781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Certification of equipment </w:t>
            </w:r>
            <w:r w:rsidR="00603B8A">
              <w:rPr>
                <w:rFonts w:ascii="Times New Roman" w:hAnsi="Times New Roman"/>
                <w:sz w:val="22"/>
                <w:szCs w:val="22"/>
                <w:shd w:val="clear" w:color="auto" w:fill="FFFFFF"/>
              </w:rPr>
              <w:t>–</w:t>
            </w:r>
            <w:r w:rsidRPr="00DE46A3">
              <w:rPr>
                <w:rFonts w:ascii="Times New Roman" w:hAnsi="Times New Roman"/>
                <w:sz w:val="22"/>
                <w:szCs w:val="22"/>
                <w:shd w:val="clear" w:color="auto" w:fill="FFFFFF"/>
              </w:rPr>
              <w:t xml:space="preserve"> LPAS</w:t>
            </w:r>
          </w:p>
        </w:tc>
      </w:tr>
      <w:tr w:rsidRPr="00DE46A3" w:rsidR="00DE46A3" w:rsidTr="004B7F8E" w14:paraId="588D8A8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DF5BFBC" w14:textId="43B3950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7C98204" w14:textId="592CEEF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Authorization of transmitters - maritime services (special manual or other type approval requirements)</w:t>
            </w:r>
          </w:p>
        </w:tc>
      </w:tr>
      <w:tr w:rsidRPr="00DE46A3" w:rsidR="00DE46A3" w:rsidTr="004B7F8E" w14:paraId="1ED3D7F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90823ED" w14:textId="25C2D17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87.147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8570E7E" w14:textId="3F1AFA6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Authorization of equipment - Aviation </w:t>
            </w:r>
          </w:p>
        </w:tc>
      </w:tr>
      <w:tr w:rsidRPr="00DE46A3" w:rsidR="00DE46A3" w:rsidTr="004B7F8E" w14:paraId="24D09CE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119AB7" w14:textId="4ACD452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E6932D9" w14:textId="236451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required - Private land mobile radio</w:t>
            </w:r>
          </w:p>
        </w:tc>
      </w:tr>
      <w:tr w:rsidRPr="00DE46A3" w:rsidR="00DE46A3" w:rsidTr="004B7F8E" w14:paraId="178D479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201D4F" w14:textId="4616F16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5116645" w14:textId="5DA1F1C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Operation of non-certified transmitters prohibited - Personal Radio Service</w:t>
            </w:r>
          </w:p>
        </w:tc>
      </w:tr>
      <w:tr w:rsidRPr="00DE46A3" w:rsidR="00DE46A3" w:rsidTr="004B7F8E" w14:paraId="5CE10DA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22008CF4" w14:textId="13D970D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A2C345A" w14:textId="3F0D97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Transmitter Certification - Personal Radio Service</w:t>
            </w:r>
          </w:p>
        </w:tc>
      </w:tr>
      <w:tr w:rsidRPr="00DE46A3" w:rsidR="00DE46A3" w:rsidTr="006B30C8" w14:paraId="0FA9BED2" w14:textId="77777777">
        <w:trPr>
          <w:trHeight w:val="332"/>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6B30C8" w:rsidRDefault="00DE46A3" w14:paraId="40D598E8" w14:textId="35A029D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95.561</w:t>
            </w:r>
          </w:p>
        </w:tc>
        <w:tc>
          <w:tcPr>
            <w:tcW w:w="8280" w:type="dxa"/>
            <w:tcBorders>
              <w:top w:val="nil"/>
              <w:left w:val="nil"/>
              <w:bottom w:val="single" w:color="auto" w:sz="4" w:space="0"/>
              <w:right w:val="single" w:color="auto" w:sz="4" w:space="0"/>
            </w:tcBorders>
            <w:shd w:val="clear" w:color="auto" w:fill="auto"/>
            <w:vAlign w:val="center"/>
            <w:hideMark/>
          </w:tcPr>
          <w:p w:rsidRPr="00DE46A3" w:rsidR="00DE46A3" w:rsidP="006B30C8" w:rsidRDefault="00DE46A3" w14:paraId="5D57E2EE" w14:textId="35CF000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FRS transmitter certification</w:t>
            </w:r>
          </w:p>
        </w:tc>
      </w:tr>
      <w:tr w:rsidRPr="00DE46A3" w:rsidR="00DE46A3" w:rsidTr="004B7F8E" w14:paraId="5500732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E0A4983" w14:textId="31AB20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BB334E0" w14:textId="749CCA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RCRS transmitter certification</w:t>
            </w:r>
          </w:p>
        </w:tc>
      </w:tr>
      <w:tr w:rsidRPr="00DE46A3" w:rsidR="00DE46A3" w:rsidTr="004B7F8E" w14:paraId="38C38AE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D4F84A7" w14:textId="151A687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EA0C572" w14:textId="3649654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CBRS transmitter certification</w:t>
            </w:r>
          </w:p>
        </w:tc>
      </w:tr>
      <w:tr w:rsidRPr="00DE46A3" w:rsidR="00DE46A3" w:rsidTr="004B7F8E" w14:paraId="441901A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B43CEC" w14:textId="7AE50E2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D91F962" w14:textId="4E55DD9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GMRS transmitter certification</w:t>
            </w:r>
          </w:p>
        </w:tc>
      </w:tr>
      <w:tr w:rsidRPr="00DE46A3" w:rsidR="00DE46A3" w:rsidTr="004B7F8E" w14:paraId="4266F48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E61A12A" w14:textId="07214E2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95.1951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7089E5" w14:textId="15C70B8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- 200 MHz</w:t>
            </w:r>
          </w:p>
        </w:tc>
      </w:tr>
      <w:tr w:rsidRPr="00DE46A3" w:rsidR="00DE46A3" w:rsidTr="004B7F8E" w14:paraId="0A30F7E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2BFACD3" w14:textId="0E47097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E55BC99" w14:textId="44BBD4B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LPRS transmitter certification</w:t>
            </w:r>
          </w:p>
        </w:tc>
      </w:tr>
      <w:tr w:rsidRPr="00DE46A3" w:rsidR="00DE46A3" w:rsidTr="004B7F8E" w14:paraId="765CFEB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3A40E60" w14:textId="379696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7C83319" w14:textId="3FD2111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WMTS transmitter certification</w:t>
            </w:r>
          </w:p>
        </w:tc>
      </w:tr>
      <w:tr w:rsidRPr="00DE46A3" w:rsidR="00DE46A3" w:rsidTr="004B7F8E" w14:paraId="11675142"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8A50BB2" w14:textId="2E9E67C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95.2561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1EBE9BAF" w14:textId="1C15F81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MedRadio transmitter certification</w:t>
            </w:r>
          </w:p>
        </w:tc>
      </w:tr>
      <w:tr w:rsidRPr="00DE46A3" w:rsidR="00DE46A3" w:rsidTr="004B7F8E" w14:paraId="142F393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3A50BCC" w14:textId="4CFE329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DC25B24" w14:textId="1EE3F73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MURS transmitter certification</w:t>
            </w:r>
          </w:p>
        </w:tc>
      </w:tr>
      <w:tr w:rsidRPr="00DE46A3" w:rsidR="00DE46A3" w:rsidTr="004B7F8E" w14:paraId="5E63E1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B3A5BC" w14:textId="639024EB">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0EA0F8F" w14:textId="122A4AC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PLB and MSLD transmitter certification</w:t>
            </w:r>
          </w:p>
        </w:tc>
      </w:tr>
      <w:tr w:rsidRPr="00DE46A3" w:rsidR="00DE46A3" w:rsidTr="004B7F8E" w14:paraId="120B23A9"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8C726A8" w14:textId="7600BDF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lastRenderedPageBreak/>
              <w:t>95.3161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4B22D326" w14:textId="38766CD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OBU transmitter certification</w:t>
            </w:r>
          </w:p>
        </w:tc>
      </w:tr>
      <w:tr w:rsidRPr="00DE46A3" w:rsidR="00DE46A3" w:rsidTr="004B7F8E" w14:paraId="5656784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063CF7A" w14:textId="08D75D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01B674B" w14:textId="089440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- 76-81GHz Radar service</w:t>
            </w:r>
          </w:p>
        </w:tc>
      </w:tr>
      <w:tr w:rsidRPr="00DE46A3" w:rsidR="00DE46A3" w:rsidTr="004B7F8E" w14:paraId="2B93EB7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E50C89B" w14:textId="6D85B46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96.49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C2CBE79" w14:textId="092AC70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CBRS</w:t>
            </w:r>
          </w:p>
        </w:tc>
      </w:tr>
      <w:tr w:rsidRPr="00DE46A3" w:rsidR="00DE46A3" w:rsidTr="004B7F8E" w14:paraId="05C7482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4BD2752" w14:textId="5719E1E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97.315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479A4EA1" w14:textId="67A0BA3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external RF power amp</w:t>
            </w:r>
            <w:r w:rsidR="006B30C8">
              <w:rPr>
                <w:rFonts w:ascii="Times New Roman" w:hAnsi="Times New Roman"/>
                <w:sz w:val="22"/>
                <w:szCs w:val="22"/>
                <w:shd w:val="clear" w:color="auto" w:fill="FFFFFF"/>
              </w:rPr>
              <w:t>l</w:t>
            </w:r>
            <w:r w:rsidRPr="00DE46A3">
              <w:rPr>
                <w:rFonts w:ascii="Times New Roman" w:hAnsi="Times New Roman"/>
                <w:sz w:val="22"/>
                <w:szCs w:val="22"/>
                <w:shd w:val="clear" w:color="auto" w:fill="FFFFFF"/>
              </w:rPr>
              <w:t>ifiers - Amateur Radio</w:t>
            </w:r>
          </w:p>
        </w:tc>
      </w:tr>
      <w:bookmarkEnd w:id="4"/>
    </w:tbl>
    <w:p w:rsidRPr="00DE46A3" w:rsidR="00DE46A3" w:rsidP="00DE46A3" w:rsidRDefault="00DE46A3" w14:paraId="3BB0A553" w14:textId="77777777">
      <w:pPr>
        <w:widowControl/>
        <w:rPr>
          <w:rFonts w:ascii="Times New Roman" w:hAnsi="Times New Roman"/>
          <w:b/>
          <w:sz w:val="22"/>
          <w:szCs w:val="22"/>
          <w:shd w:val="clear" w:color="auto" w:fill="FFFFFF"/>
        </w:rPr>
      </w:pPr>
    </w:p>
    <w:p w:rsidRPr="00CE080D" w:rsidR="005C503E" w:rsidP="006B30C8" w:rsidRDefault="005C503E" w14:paraId="43E9B49A" w14:textId="495939BA">
      <w:pPr>
        <w:widowControl/>
        <w:rPr>
          <w:szCs w:val="22"/>
        </w:rPr>
      </w:pPr>
      <w:r w:rsidRPr="00CE080D">
        <w:rPr>
          <w:szCs w:val="22"/>
        </w:rPr>
        <w:t xml:space="preserve"> </w:t>
      </w:r>
    </w:p>
    <w:p w:rsidRPr="00050B32" w:rsidR="005C503E" w:rsidP="00D95DD3" w:rsidRDefault="005C503E" w14:paraId="64668B84" w14:textId="77777777">
      <w:pPr>
        <w:pStyle w:val="BodyTextIndent"/>
        <w:tabs>
          <w:tab w:val="clear" w:pos="360"/>
        </w:tabs>
        <w:rPr>
          <w:shd w:val="clear" w:color="auto" w:fill="FFFFFF"/>
        </w:rPr>
      </w:pPr>
    </w:p>
    <w:sectPr w:rsidRPr="00050B32" w:rsidR="005C503E" w:rsidSect="00361F4C">
      <w:headerReference w:type="default" r:id="rId11"/>
      <w:footerReference w:type="default" r:id="rId12"/>
      <w:headerReference w:type="first" r:id="rId13"/>
      <w:endnotePr>
        <w:numFmt w:val="decimal"/>
      </w:endnotePr>
      <w:pgSz w:w="12240" w:h="15840"/>
      <w:pgMar w:top="1440" w:right="1440" w:bottom="1008" w:left="1440" w:header="1440" w:footer="187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98B9" w14:textId="77777777" w:rsidR="00F631DE" w:rsidRDefault="00F631DE">
      <w:pPr>
        <w:spacing w:line="20" w:lineRule="exact"/>
        <w:rPr>
          <w:sz w:val="24"/>
        </w:rPr>
      </w:pPr>
    </w:p>
  </w:endnote>
  <w:endnote w:type="continuationSeparator" w:id="0">
    <w:p w14:paraId="30E8654F" w14:textId="77777777" w:rsidR="00F631DE" w:rsidRDefault="00F631DE">
      <w:r>
        <w:rPr>
          <w:sz w:val="24"/>
        </w:rPr>
        <w:t xml:space="preserve"> </w:t>
      </w:r>
    </w:p>
  </w:endnote>
  <w:endnote w:type="continuationNotice" w:id="1">
    <w:p w14:paraId="707885DB" w14:textId="77777777" w:rsidR="00F631DE" w:rsidRDefault="00F631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A92E" w14:textId="14331D47" w:rsidR="00C60E5B" w:rsidRDefault="00C60E5B">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22BDD">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059D6" w14:textId="77777777" w:rsidR="00F631DE" w:rsidRDefault="00F631DE">
      <w:r>
        <w:rPr>
          <w:sz w:val="24"/>
        </w:rPr>
        <w:separator/>
      </w:r>
    </w:p>
  </w:footnote>
  <w:footnote w:type="continuationSeparator" w:id="0">
    <w:p w14:paraId="250DEE99" w14:textId="77777777" w:rsidR="00F631DE" w:rsidRDefault="00F631DE">
      <w:r>
        <w:continuationSeparator/>
      </w:r>
    </w:p>
  </w:footnote>
  <w:footnote w:id="1">
    <w:p w14:paraId="215371E8" w14:textId="77777777" w:rsidR="00141574" w:rsidRPr="00CA496F" w:rsidRDefault="00141574" w:rsidP="00141574">
      <w:pPr>
        <w:pStyle w:val="FootnoteText"/>
      </w:pPr>
      <w:r>
        <w:rPr>
          <w:rStyle w:val="FootnoteReference"/>
        </w:rPr>
        <w:footnoteRef/>
      </w:r>
      <w:r>
        <w:t xml:space="preserve"> </w:t>
      </w:r>
      <w:r w:rsidRPr="00361F4C">
        <w:rPr>
          <w:rFonts w:ascii="Times New Roman" w:hAnsi="Times New Roman"/>
          <w:i/>
          <w:iCs/>
          <w:sz w:val="20"/>
        </w:rPr>
        <w:t>Spectrum Horizons</w:t>
      </w:r>
      <w:r w:rsidRPr="00361F4C">
        <w:rPr>
          <w:rFonts w:ascii="Times New Roman" w:hAnsi="Times New Roman"/>
          <w:sz w:val="20"/>
        </w:rPr>
        <w:t>, First Report and Order, 34 FCC Rcd 1605(2) (2019)(</w:t>
      </w:r>
      <w:r w:rsidRPr="00361F4C">
        <w:rPr>
          <w:rFonts w:ascii="Times New Roman" w:hAnsi="Times New Roman"/>
          <w:i/>
          <w:iCs/>
          <w:sz w:val="20"/>
        </w:rPr>
        <w:t>Spectrum Horizons Order)</w:t>
      </w:r>
      <w:r w:rsidRPr="00361F4C">
        <w:rPr>
          <w:rFonts w:ascii="Times New Roman" w:hAnsi="Times New Roman"/>
          <w:sz w:val="20"/>
        </w:rPr>
        <w:t>.</w:t>
      </w:r>
    </w:p>
  </w:footnote>
  <w:footnote w:id="2">
    <w:p w14:paraId="6B052526" w14:textId="36EDAC9E" w:rsidR="00C60E5B" w:rsidRPr="0022709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revised collection will include the information collection previously authorized under OMB </w:t>
      </w:r>
      <w:r w:rsidR="0019457E">
        <w:rPr>
          <w:rFonts w:ascii="Times New Roman" w:hAnsi="Times New Roman"/>
          <w:sz w:val="20"/>
        </w:rPr>
        <w:t xml:space="preserve">Control Number </w:t>
      </w:r>
      <w:r>
        <w:rPr>
          <w:rFonts w:ascii="Times New Roman" w:hAnsi="Times New Roman"/>
          <w:sz w:val="20"/>
        </w:rPr>
        <w:t>3060-0398 (</w:t>
      </w:r>
      <w:r w:rsidR="009F7BDB">
        <w:rPr>
          <w:rFonts w:ascii="Times New Roman" w:hAnsi="Times New Roman"/>
          <w:sz w:val="20"/>
        </w:rPr>
        <w:t>§§</w:t>
      </w:r>
      <w:r>
        <w:rPr>
          <w:rFonts w:ascii="Times New Roman" w:hAnsi="Times New Roman"/>
          <w:sz w:val="20"/>
        </w:rPr>
        <w:t xml:space="preserve">. 2.948, 2.949 except for </w:t>
      </w:r>
      <w:r w:rsidR="009F7BDB">
        <w:rPr>
          <w:rFonts w:ascii="Times New Roman" w:hAnsi="Times New Roman"/>
          <w:sz w:val="20"/>
        </w:rPr>
        <w:t>§</w:t>
      </w:r>
      <w:r>
        <w:rPr>
          <w:rFonts w:ascii="Times New Roman" w:hAnsi="Times New Roman"/>
          <w:sz w:val="20"/>
        </w:rPr>
        <w:t>15.117(g)(2</w:t>
      </w:r>
      <w:r w:rsidR="009F7BDB">
        <w:rPr>
          <w:rFonts w:ascii="Times New Roman" w:hAnsi="Times New Roman"/>
          <w:sz w:val="20"/>
        </w:rPr>
        <w:t>))</w:t>
      </w:r>
      <w:r w:rsidRPr="00120272">
        <w:rPr>
          <w:rFonts w:ascii="Times New Roman" w:hAnsi="Times New Roman"/>
          <w:sz w:val="20"/>
        </w:rPr>
        <w:t>.</w:t>
      </w:r>
    </w:p>
  </w:footnote>
  <w:footnote w:id="3">
    <w:p w14:paraId="1A99BA97" w14:textId="7292DE0E" w:rsidR="00C60E5B" w:rsidRPr="00AD7ACF" w:rsidRDefault="00C60E5B" w:rsidP="00CE080D">
      <w:pPr>
        <w:pStyle w:val="FootnoteText"/>
        <w:widowControl/>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w:t>
      </w:r>
      <w:r>
        <w:rPr>
          <w:rFonts w:ascii="Times New Roman" w:hAnsi="Times New Roman"/>
          <w:i/>
          <w:sz w:val="20"/>
          <w:shd w:val="clear" w:color="auto" w:fill="FFFFFF"/>
        </w:rPr>
        <w:t xml:space="preserve">  </w:t>
      </w:r>
      <w:r w:rsidRPr="0075381C">
        <w:rPr>
          <w:rFonts w:ascii="Times New Roman" w:hAnsi="Times New Roman"/>
          <w:i/>
          <w:sz w:val="20"/>
          <w:shd w:val="clear" w:color="auto" w:fill="FFFFFF"/>
        </w:rPr>
        <w:t xml:space="preserve">See </w:t>
      </w:r>
      <w:r w:rsidRPr="008B7980">
        <w:rPr>
          <w:rFonts w:ascii="Times New Roman" w:hAnsi="Times New Roman"/>
          <w:sz w:val="20"/>
          <w:shd w:val="clear" w:color="auto" w:fill="FFFFFF"/>
        </w:rPr>
        <w:t xml:space="preserve">Section 2.803 (47 CFR </w:t>
      </w:r>
      <w:bookmarkStart w:id="1" w:name="_Hlk525230710"/>
      <w:r w:rsidR="00BE77D4" w:rsidRPr="00BE77D4">
        <w:rPr>
          <w:rFonts w:ascii="Times New Roman" w:hAnsi="Times New Roman"/>
          <w:sz w:val="20"/>
          <w:shd w:val="clear" w:color="auto" w:fill="FFFFFF"/>
        </w:rPr>
        <w:t>§</w:t>
      </w:r>
      <w:bookmarkEnd w:id="1"/>
      <w:r w:rsidR="00BE77D4" w:rsidRPr="00BE77D4">
        <w:rPr>
          <w:rFonts w:ascii="Times New Roman" w:hAnsi="Times New Roman"/>
          <w:sz w:val="20"/>
          <w:shd w:val="clear" w:color="auto" w:fill="FFFFFF"/>
        </w:rPr>
        <w:t xml:space="preserve"> </w:t>
      </w:r>
      <w:r w:rsidRPr="008B7980">
        <w:rPr>
          <w:rFonts w:ascii="Times New Roman" w:hAnsi="Times New Roman"/>
          <w:sz w:val="20"/>
          <w:shd w:val="clear" w:color="auto" w:fill="FFFFFF"/>
        </w:rPr>
        <w:t>2.803).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4">
    <w:p w14:paraId="438AAAEF" w14:textId="645A3EDF"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information collection for Suppliers Declaration for conformity is authorized under OMB </w:t>
      </w:r>
      <w:r w:rsidR="0019457E">
        <w:rPr>
          <w:rFonts w:ascii="Times New Roman" w:hAnsi="Times New Roman"/>
          <w:sz w:val="20"/>
        </w:rPr>
        <w:t xml:space="preserve">Control Number </w:t>
      </w:r>
      <w:r>
        <w:rPr>
          <w:rFonts w:ascii="Times New Roman" w:hAnsi="Times New Roman"/>
          <w:sz w:val="20"/>
        </w:rPr>
        <w:t>3060-0636.</w:t>
      </w:r>
    </w:p>
  </w:footnote>
  <w:footnote w:id="5">
    <w:p w14:paraId="14F46078" w14:textId="6B890E56"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Information collection for FCC Registration Number is authorized under OMB </w:t>
      </w:r>
      <w:r w:rsidR="0019457E">
        <w:rPr>
          <w:rFonts w:ascii="Times New Roman" w:hAnsi="Times New Roman"/>
          <w:sz w:val="20"/>
        </w:rPr>
        <w:t xml:space="preserve">Control Number </w:t>
      </w:r>
      <w:r>
        <w:rPr>
          <w:rFonts w:ascii="Times New Roman" w:hAnsi="Times New Roman"/>
          <w:sz w:val="20"/>
        </w:rPr>
        <w:t>3060-</w:t>
      </w:r>
      <w:r w:rsidR="000013F6">
        <w:rPr>
          <w:rFonts w:ascii="Times New Roman" w:hAnsi="Times New Roman"/>
          <w:sz w:val="20"/>
        </w:rPr>
        <w:t>0917</w:t>
      </w:r>
      <w:r w:rsidR="00BE77D4">
        <w:rPr>
          <w:rFonts w:ascii="Times New Roman" w:hAnsi="Times New Roman"/>
          <w:sz w:val="20"/>
        </w:rPr>
        <w:t>.</w:t>
      </w:r>
    </w:p>
  </w:footnote>
  <w:footnote w:id="6">
    <w:p w14:paraId="73051CE5" w14:textId="599B96A5" w:rsidR="00C60E5B" w:rsidRPr="00F8567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See 47 CFR Sections 2.1033(b)(9)-(14), 2.1033(c)(13)-(21) and 2.1033(d)</w:t>
      </w:r>
      <w:r w:rsidR="00BE77D4">
        <w:rPr>
          <w:rFonts w:ascii="Times New Roman" w:hAnsi="Times New Roman"/>
          <w:sz w:val="20"/>
        </w:rPr>
        <w:t>.</w:t>
      </w:r>
    </w:p>
  </w:footnote>
  <w:footnote w:id="7">
    <w:p w14:paraId="689F6D29" w14:textId="7DC30DCB" w:rsidR="00C60E5B" w:rsidRPr="00C37045" w:rsidRDefault="00C60E5B" w:rsidP="005D1F77">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sidR="00E55374">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 </w:t>
      </w:r>
      <w:r w:rsidRPr="008B7980">
        <w:rPr>
          <w:rFonts w:ascii="Times New Roman" w:hAnsi="Times New Roman"/>
          <w:i/>
          <w:sz w:val="20"/>
          <w:shd w:val="clear" w:color="auto" w:fill="FFFFFF"/>
        </w:rPr>
        <w:t>Modification of Parts 2 and 15 of the Commission’s Rules for Unlicensed Devices and Equipment Approval</w:t>
      </w:r>
      <w:r w:rsidRPr="00C37045">
        <w:rPr>
          <w:rFonts w:ascii="Times New Roman" w:hAnsi="Times New Roman"/>
          <w:sz w:val="20"/>
          <w:shd w:val="clear" w:color="auto" w:fill="FFFFFF"/>
        </w:rPr>
        <w:t>,</w:t>
      </w:r>
      <w:r w:rsidR="00E55374">
        <w:rPr>
          <w:rFonts w:ascii="Times New Roman" w:hAnsi="Times New Roman"/>
          <w:sz w:val="20"/>
          <w:shd w:val="clear" w:color="auto" w:fill="FFFFFF"/>
        </w:rPr>
        <w:t xml:space="preserve"> Report and Order, </w:t>
      </w:r>
      <w:r w:rsidRPr="00C37045">
        <w:rPr>
          <w:rFonts w:ascii="Times New Roman" w:hAnsi="Times New Roman"/>
          <w:sz w:val="20"/>
          <w:shd w:val="clear" w:color="auto" w:fill="FFFFFF"/>
        </w:rPr>
        <w:t>ET Docket No. 03-201, FCC 04-165.</w:t>
      </w:r>
    </w:p>
  </w:footnote>
  <w:footnote w:id="8">
    <w:p w14:paraId="2BC6CFD0" w14:textId="5F7FFA0A" w:rsidR="00C60E5B" w:rsidRPr="00947B30"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Sections 2.1071 </w:t>
      </w:r>
      <w:r w:rsidR="00E55374">
        <w:rPr>
          <w:rFonts w:ascii="Times New Roman" w:hAnsi="Times New Roman"/>
          <w:sz w:val="20"/>
        </w:rPr>
        <w:t>–</w:t>
      </w:r>
      <w:r>
        <w:rPr>
          <w:rFonts w:ascii="Times New Roman" w:hAnsi="Times New Roman"/>
          <w:sz w:val="20"/>
        </w:rPr>
        <w:t xml:space="preserve"> </w:t>
      </w:r>
      <w:r w:rsidR="00E55374">
        <w:rPr>
          <w:rFonts w:ascii="Times New Roman" w:hAnsi="Times New Roman"/>
          <w:sz w:val="20"/>
        </w:rPr>
        <w:t>2.</w:t>
      </w:r>
      <w:r>
        <w:rPr>
          <w:rFonts w:ascii="Times New Roman" w:hAnsi="Times New Roman"/>
          <w:sz w:val="20"/>
        </w:rPr>
        <w:t>1077</w:t>
      </w:r>
      <w:r w:rsidR="00E55374">
        <w:rPr>
          <w:rFonts w:ascii="Times New Roman" w:hAnsi="Times New Roman"/>
          <w:sz w:val="20"/>
        </w:rPr>
        <w:t xml:space="preserve"> (47 CFR §§ 2.1071 – 2.1077).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410A" w14:textId="2B8AAFF7" w:rsidR="00C60E5B" w:rsidRDefault="00C60E5B" w:rsidP="001B5477">
    <w:pPr>
      <w:pStyle w:val="Header"/>
      <w:ind w:left="7635" w:hanging="7635"/>
      <w:rPr>
        <w:rFonts w:ascii="Times New Roman" w:hAnsi="Times New Roman"/>
        <w:b/>
        <w:sz w:val="22"/>
      </w:rPr>
    </w:pPr>
    <w:r>
      <w:rPr>
        <w:rFonts w:ascii="Times New Roman" w:hAnsi="Times New Roman"/>
        <w:b/>
        <w:sz w:val="22"/>
      </w:rPr>
      <w:t>Application for Equipment Authorization, FCC Form 731</w:t>
    </w:r>
    <w:r>
      <w:rPr>
        <w:rFonts w:ascii="Times New Roman" w:hAnsi="Times New Roman"/>
        <w:b/>
        <w:sz w:val="22"/>
      </w:rPr>
      <w:tab/>
      <w:t xml:space="preserve">   </w:t>
    </w:r>
    <w:r w:rsidR="005B6328">
      <w:rPr>
        <w:rFonts w:ascii="Times New Roman" w:hAnsi="Times New Roman"/>
        <w:b/>
        <w:sz w:val="22"/>
      </w:rPr>
      <w:t xml:space="preserve">  </w:t>
    </w:r>
    <w:r w:rsidR="005B6328">
      <w:rPr>
        <w:rFonts w:ascii="Times New Roman" w:hAnsi="Times New Roman"/>
        <w:b/>
        <w:sz w:val="22"/>
      </w:rPr>
      <w:tab/>
    </w:r>
    <w:r w:rsidR="001B5477">
      <w:rPr>
        <w:rFonts w:ascii="Times New Roman" w:hAnsi="Times New Roman"/>
        <w:b/>
        <w:sz w:val="22"/>
      </w:rPr>
      <w:t xml:space="preserve">         </w:t>
    </w:r>
    <w:r w:rsidR="005B6328">
      <w:rPr>
        <w:rFonts w:ascii="Times New Roman" w:hAnsi="Times New Roman"/>
        <w:b/>
        <w:sz w:val="22"/>
      </w:rPr>
      <w:t xml:space="preserve">3060-0057 </w:t>
    </w:r>
    <w:r>
      <w:rPr>
        <w:rFonts w:ascii="Times New Roman" w:hAnsi="Times New Roman"/>
        <w:b/>
        <w:sz w:val="22"/>
      </w:rPr>
      <w:t xml:space="preserve">     </w:t>
    </w:r>
    <w:r w:rsidR="005B6328">
      <w:rPr>
        <w:rFonts w:ascii="Times New Roman" w:hAnsi="Times New Roman"/>
        <w:b/>
        <w:sz w:val="22"/>
      </w:rPr>
      <w:t xml:space="preserve">                            </w:t>
    </w:r>
  </w:p>
  <w:p w14:paraId="3B5BFE7D" w14:textId="400AD982" w:rsidR="00C60E5B" w:rsidRDefault="001B5477" w:rsidP="001B5477">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603B8A">
      <w:rPr>
        <w:rFonts w:ascii="Times New Roman" w:hAnsi="Times New Roman"/>
        <w:b/>
        <w:sz w:val="22"/>
      </w:rPr>
      <w:t xml:space="preserve">June </w:t>
    </w:r>
    <w:r>
      <w:rPr>
        <w:rFonts w:ascii="Times New Roman" w:hAnsi="Times New Roman"/>
        <w:b/>
        <w:sz w:val="22"/>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E380" w14:textId="77777777" w:rsidR="00603B8A" w:rsidRDefault="00603B8A" w:rsidP="00603B8A">
    <w:pPr>
      <w:pStyle w:val="Header"/>
      <w:rPr>
        <w:rFonts w:ascii="Times New Roman" w:hAnsi="Times New Roman"/>
        <w:b/>
        <w:sz w:val="22"/>
      </w:rPr>
    </w:pPr>
    <w:r>
      <w:rPr>
        <w:rFonts w:ascii="Times New Roman" w:hAnsi="Times New Roman"/>
        <w:b/>
        <w:sz w:val="22"/>
      </w:rPr>
      <w:t xml:space="preserve">Application for Equipment Authorization, FCC Form 731  </w:t>
    </w:r>
    <w:r>
      <w:rPr>
        <w:rFonts w:ascii="Times New Roman" w:hAnsi="Times New Roman"/>
        <w:b/>
        <w:sz w:val="22"/>
      </w:rPr>
      <w:tab/>
      <w:t>3060-0057</w:t>
    </w:r>
  </w:p>
  <w:p w14:paraId="350B20C0" w14:textId="545B0E76" w:rsidR="00603B8A" w:rsidRDefault="00603B8A" w:rsidP="00603B8A">
    <w:pPr>
      <w:pStyle w:val="Header"/>
      <w:rPr>
        <w:rFonts w:ascii="Times New Roman" w:hAnsi="Times New Roman"/>
        <w:b/>
        <w:sz w:val="22"/>
      </w:rPr>
    </w:pPr>
    <w:r>
      <w:rPr>
        <w:rFonts w:ascii="Times New Roman" w:hAnsi="Times New Roman"/>
        <w:b/>
        <w:sz w:val="22"/>
      </w:rPr>
      <w:tab/>
    </w:r>
    <w:r>
      <w:rPr>
        <w:rFonts w:ascii="Times New Roman" w:hAnsi="Times New Roman"/>
        <w:b/>
        <w:sz w:val="22"/>
      </w:rPr>
      <w:tab/>
      <w:t xml:space="preserve">June 2020                      </w:t>
    </w:r>
  </w:p>
  <w:p w14:paraId="06F4363A" w14:textId="1D9EC35D" w:rsidR="00603B8A" w:rsidRDefault="00603B8A" w:rsidP="00603B8A">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244A449C" w14:textId="77777777" w:rsidR="00603B8A" w:rsidRDefault="00603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0E7"/>
    <w:multiLevelType w:val="hybridMultilevel"/>
    <w:tmpl w:val="06F08476"/>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101CF"/>
    <w:multiLevelType w:val="hybridMultilevel"/>
    <w:tmpl w:val="3C5CF6FE"/>
    <w:lvl w:ilvl="0" w:tplc="D26061B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33F0735"/>
    <w:multiLevelType w:val="hybridMultilevel"/>
    <w:tmpl w:val="547A273C"/>
    <w:lvl w:ilvl="0" w:tplc="1C485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B3175"/>
    <w:multiLevelType w:val="hybridMultilevel"/>
    <w:tmpl w:val="C9FA1CC6"/>
    <w:lvl w:ilvl="0" w:tplc="FC44453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3343F"/>
    <w:multiLevelType w:val="hybridMultilevel"/>
    <w:tmpl w:val="40DA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65AD"/>
    <w:multiLevelType w:val="hybridMultilevel"/>
    <w:tmpl w:val="3ED85966"/>
    <w:lvl w:ilvl="0" w:tplc="CCC650F2">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D6143"/>
    <w:multiLevelType w:val="hybridMultilevel"/>
    <w:tmpl w:val="80DCD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5D52"/>
    <w:multiLevelType w:val="hybridMultilevel"/>
    <w:tmpl w:val="C4685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693E27"/>
    <w:multiLevelType w:val="hybridMultilevel"/>
    <w:tmpl w:val="1BD4DE3A"/>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D2F3D"/>
    <w:multiLevelType w:val="singleLevel"/>
    <w:tmpl w:val="103AF382"/>
    <w:lvl w:ilvl="0">
      <w:start w:val="4"/>
      <w:numFmt w:val="decimal"/>
      <w:lvlText w:val="%1."/>
      <w:lvlJc w:val="left"/>
      <w:pPr>
        <w:tabs>
          <w:tab w:val="num" w:pos="360"/>
        </w:tabs>
        <w:ind w:left="360" w:hanging="360"/>
      </w:pPr>
    </w:lvl>
  </w:abstractNum>
  <w:abstractNum w:abstractNumId="12" w15:restartNumberingAfterBreak="0">
    <w:nsid w:val="2A7E614B"/>
    <w:multiLevelType w:val="hybridMultilevel"/>
    <w:tmpl w:val="33906E9A"/>
    <w:lvl w:ilvl="0" w:tplc="BE485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6" w15:restartNumberingAfterBreak="0">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7" w15:restartNumberingAfterBreak="0">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3A1C0838"/>
    <w:multiLevelType w:val="hybridMultilevel"/>
    <w:tmpl w:val="5F1C113A"/>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21"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37576"/>
    <w:multiLevelType w:val="hybridMultilevel"/>
    <w:tmpl w:val="01F433C2"/>
    <w:lvl w:ilvl="0" w:tplc="859AE0B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25" w15:restartNumberingAfterBreak="0">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931EE"/>
    <w:multiLevelType w:val="hybridMultilevel"/>
    <w:tmpl w:val="2862C32C"/>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232C62"/>
    <w:multiLevelType w:val="hybridMultilevel"/>
    <w:tmpl w:val="6CE29DB0"/>
    <w:lvl w:ilvl="0" w:tplc="335E03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E5414A"/>
    <w:multiLevelType w:val="hybridMultilevel"/>
    <w:tmpl w:val="BCCC8B28"/>
    <w:lvl w:ilvl="0" w:tplc="1A524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D23B2"/>
    <w:multiLevelType w:val="hybridMultilevel"/>
    <w:tmpl w:val="2820ACE6"/>
    <w:lvl w:ilvl="0" w:tplc="E910D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4" w15:restartNumberingAfterBreak="0">
    <w:nsid w:val="669F2E71"/>
    <w:multiLevelType w:val="hybridMultilevel"/>
    <w:tmpl w:val="FBD01DA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764C6"/>
    <w:multiLevelType w:val="hybridMultilevel"/>
    <w:tmpl w:val="06F0847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C86E58"/>
    <w:multiLevelType w:val="singleLevel"/>
    <w:tmpl w:val="0409000F"/>
    <w:lvl w:ilvl="0">
      <w:start w:val="1"/>
      <w:numFmt w:val="decimal"/>
      <w:lvlText w:val="%1."/>
      <w:lvlJc w:val="left"/>
      <w:pPr>
        <w:ind w:left="720" w:hanging="360"/>
      </w:pPr>
      <w:rPr>
        <w:rFonts w:hint="default"/>
      </w:rPr>
    </w:lvl>
  </w:abstractNum>
  <w:abstractNum w:abstractNumId="37" w15:restartNumberingAfterBreak="0">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C482C"/>
    <w:multiLevelType w:val="singleLevel"/>
    <w:tmpl w:val="103AF382"/>
    <w:lvl w:ilvl="0">
      <w:start w:val="4"/>
      <w:numFmt w:val="decimal"/>
      <w:lvlText w:val="%1."/>
      <w:lvlJc w:val="left"/>
      <w:pPr>
        <w:tabs>
          <w:tab w:val="num" w:pos="360"/>
        </w:tabs>
        <w:ind w:left="360" w:hanging="360"/>
      </w:pPr>
    </w:lvl>
  </w:abstractNum>
  <w:abstractNum w:abstractNumId="39" w15:restartNumberingAfterBreak="0">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2323FE"/>
    <w:multiLevelType w:val="singleLevel"/>
    <w:tmpl w:val="1CA2DB1A"/>
    <w:lvl w:ilvl="0">
      <w:start w:val="4"/>
      <w:numFmt w:val="decimal"/>
      <w:lvlText w:val="%1."/>
      <w:lvlJc w:val="left"/>
      <w:pPr>
        <w:tabs>
          <w:tab w:val="num" w:pos="360"/>
        </w:tabs>
        <w:ind w:left="360" w:hanging="360"/>
      </w:pPr>
    </w:lvl>
  </w:abstractNum>
  <w:abstractNum w:abstractNumId="41" w15:restartNumberingAfterBreak="0">
    <w:nsid w:val="7E1372B0"/>
    <w:multiLevelType w:val="hybridMultilevel"/>
    <w:tmpl w:val="24D69C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20"/>
  </w:num>
  <w:num w:numId="3">
    <w:abstractNumId w:val="40"/>
  </w:num>
  <w:num w:numId="4">
    <w:abstractNumId w:val="11"/>
  </w:num>
  <w:num w:numId="5">
    <w:abstractNumId w:val="38"/>
  </w:num>
  <w:num w:numId="6">
    <w:abstractNumId w:val="24"/>
  </w:num>
  <w:num w:numId="7">
    <w:abstractNumId w:val="16"/>
  </w:num>
  <w:num w:numId="8">
    <w:abstractNumId w:val="18"/>
  </w:num>
  <w:num w:numId="9">
    <w:abstractNumId w:val="36"/>
  </w:num>
  <w:num w:numId="10">
    <w:abstractNumId w:val="2"/>
  </w:num>
  <w:num w:numId="11">
    <w:abstractNumId w:val="3"/>
  </w:num>
  <w:num w:numId="12">
    <w:abstractNumId w:val="27"/>
  </w:num>
  <w:num w:numId="13">
    <w:abstractNumId w:val="37"/>
  </w:num>
  <w:num w:numId="14">
    <w:abstractNumId w:val="9"/>
  </w:num>
  <w:num w:numId="15">
    <w:abstractNumId w:val="12"/>
  </w:num>
  <w:num w:numId="16">
    <w:abstractNumId w:val="32"/>
  </w:num>
  <w:num w:numId="17">
    <w:abstractNumId w:val="29"/>
  </w:num>
  <w:num w:numId="18">
    <w:abstractNumId w:val="22"/>
  </w:num>
  <w:num w:numId="19">
    <w:abstractNumId w:val="28"/>
  </w:num>
  <w:num w:numId="20">
    <w:abstractNumId w:val="30"/>
  </w:num>
  <w:num w:numId="21">
    <w:abstractNumId w:val="19"/>
  </w:num>
  <w:num w:numId="22">
    <w:abstractNumId w:val="21"/>
  </w:num>
  <w:num w:numId="23">
    <w:abstractNumId w:val="39"/>
  </w:num>
  <w:num w:numId="24">
    <w:abstractNumId w:val="14"/>
  </w:num>
  <w:num w:numId="25">
    <w:abstractNumId w:val="35"/>
  </w:num>
  <w:num w:numId="26">
    <w:abstractNumId w:val="34"/>
  </w:num>
  <w:num w:numId="27">
    <w:abstractNumId w:val="25"/>
  </w:num>
  <w:num w:numId="28">
    <w:abstractNumId w:val="8"/>
  </w:num>
  <w:num w:numId="29">
    <w:abstractNumId w:val="17"/>
  </w:num>
  <w:num w:numId="30">
    <w:abstractNumId w:val="13"/>
  </w:num>
  <w:num w:numId="31">
    <w:abstractNumId w:val="31"/>
  </w:num>
  <w:num w:numId="32">
    <w:abstractNumId w:val="33"/>
  </w:num>
  <w:num w:numId="33">
    <w:abstractNumId w:val="23"/>
  </w:num>
  <w:num w:numId="34">
    <w:abstractNumId w:val="10"/>
  </w:num>
  <w:num w:numId="35">
    <w:abstractNumId w:val="0"/>
  </w:num>
  <w:num w:numId="36">
    <w:abstractNumId w:val="26"/>
  </w:num>
  <w:num w:numId="37">
    <w:abstractNumId w:val="5"/>
  </w:num>
  <w:num w:numId="38">
    <w:abstractNumId w:val="41"/>
  </w:num>
  <w:num w:numId="39">
    <w:abstractNumId w:val="1"/>
  </w:num>
  <w:num w:numId="40">
    <w:abstractNumId w:val="7"/>
  </w:num>
  <w:num w:numId="41">
    <w:abstractNumId w:val="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C"/>
    <w:rsid w:val="000013F6"/>
    <w:rsid w:val="000014A9"/>
    <w:rsid w:val="00001C50"/>
    <w:rsid w:val="00013059"/>
    <w:rsid w:val="0001385E"/>
    <w:rsid w:val="00021F30"/>
    <w:rsid w:val="00022AA9"/>
    <w:rsid w:val="000231C0"/>
    <w:rsid w:val="00024E2C"/>
    <w:rsid w:val="0002687F"/>
    <w:rsid w:val="00030866"/>
    <w:rsid w:val="00030A60"/>
    <w:rsid w:val="00032460"/>
    <w:rsid w:val="0003695E"/>
    <w:rsid w:val="000376FD"/>
    <w:rsid w:val="00037C80"/>
    <w:rsid w:val="000400B4"/>
    <w:rsid w:val="00042114"/>
    <w:rsid w:val="000423F7"/>
    <w:rsid w:val="00046ABA"/>
    <w:rsid w:val="00047704"/>
    <w:rsid w:val="00047929"/>
    <w:rsid w:val="00050B32"/>
    <w:rsid w:val="00052C1E"/>
    <w:rsid w:val="00052F03"/>
    <w:rsid w:val="00053E12"/>
    <w:rsid w:val="0006567A"/>
    <w:rsid w:val="00066C00"/>
    <w:rsid w:val="00066C2E"/>
    <w:rsid w:val="00077BD0"/>
    <w:rsid w:val="000833C7"/>
    <w:rsid w:val="000834BE"/>
    <w:rsid w:val="00091099"/>
    <w:rsid w:val="0009658A"/>
    <w:rsid w:val="00096D83"/>
    <w:rsid w:val="000A16DF"/>
    <w:rsid w:val="000A17A6"/>
    <w:rsid w:val="000A19C6"/>
    <w:rsid w:val="000A4C6F"/>
    <w:rsid w:val="000A70DE"/>
    <w:rsid w:val="000B10E2"/>
    <w:rsid w:val="000B124A"/>
    <w:rsid w:val="000B2E35"/>
    <w:rsid w:val="000B532C"/>
    <w:rsid w:val="000B5CA4"/>
    <w:rsid w:val="000B63FA"/>
    <w:rsid w:val="000B6F02"/>
    <w:rsid w:val="000C2C2E"/>
    <w:rsid w:val="000C2F11"/>
    <w:rsid w:val="000C66F4"/>
    <w:rsid w:val="000D2427"/>
    <w:rsid w:val="000D37BA"/>
    <w:rsid w:val="000D579B"/>
    <w:rsid w:val="000D5B01"/>
    <w:rsid w:val="000E1875"/>
    <w:rsid w:val="000E24C8"/>
    <w:rsid w:val="000E50DE"/>
    <w:rsid w:val="000E533F"/>
    <w:rsid w:val="000E6B0B"/>
    <w:rsid w:val="000F246F"/>
    <w:rsid w:val="000F42D1"/>
    <w:rsid w:val="000F4311"/>
    <w:rsid w:val="000F44E5"/>
    <w:rsid w:val="000F4FF9"/>
    <w:rsid w:val="000F5646"/>
    <w:rsid w:val="000F5B52"/>
    <w:rsid w:val="000F6136"/>
    <w:rsid w:val="001054AB"/>
    <w:rsid w:val="00112CCF"/>
    <w:rsid w:val="00113D94"/>
    <w:rsid w:val="00114944"/>
    <w:rsid w:val="00115AAE"/>
    <w:rsid w:val="00117B70"/>
    <w:rsid w:val="00117F1A"/>
    <w:rsid w:val="00120272"/>
    <w:rsid w:val="0012538C"/>
    <w:rsid w:val="001264C1"/>
    <w:rsid w:val="00127590"/>
    <w:rsid w:val="00131E67"/>
    <w:rsid w:val="00132B6A"/>
    <w:rsid w:val="00134658"/>
    <w:rsid w:val="001414E1"/>
    <w:rsid w:val="00141574"/>
    <w:rsid w:val="00141931"/>
    <w:rsid w:val="00143F6B"/>
    <w:rsid w:val="001455FD"/>
    <w:rsid w:val="00150D2A"/>
    <w:rsid w:val="0015468E"/>
    <w:rsid w:val="0015564F"/>
    <w:rsid w:val="0016619B"/>
    <w:rsid w:val="00166471"/>
    <w:rsid w:val="00166C1A"/>
    <w:rsid w:val="001718F0"/>
    <w:rsid w:val="0017232C"/>
    <w:rsid w:val="0017416F"/>
    <w:rsid w:val="00175BCA"/>
    <w:rsid w:val="00176B91"/>
    <w:rsid w:val="00180931"/>
    <w:rsid w:val="00181BAE"/>
    <w:rsid w:val="00182FBD"/>
    <w:rsid w:val="00185F46"/>
    <w:rsid w:val="00186C61"/>
    <w:rsid w:val="00187F7A"/>
    <w:rsid w:val="001904D7"/>
    <w:rsid w:val="00192C47"/>
    <w:rsid w:val="00194258"/>
    <w:rsid w:val="0019457E"/>
    <w:rsid w:val="001948F3"/>
    <w:rsid w:val="0019768B"/>
    <w:rsid w:val="001A492D"/>
    <w:rsid w:val="001A4AD0"/>
    <w:rsid w:val="001A5634"/>
    <w:rsid w:val="001A5A99"/>
    <w:rsid w:val="001B06B8"/>
    <w:rsid w:val="001B3745"/>
    <w:rsid w:val="001B3C65"/>
    <w:rsid w:val="001B488A"/>
    <w:rsid w:val="001B5477"/>
    <w:rsid w:val="001B56EE"/>
    <w:rsid w:val="001B7908"/>
    <w:rsid w:val="001C0FC9"/>
    <w:rsid w:val="001C3AE6"/>
    <w:rsid w:val="001C794C"/>
    <w:rsid w:val="001D6184"/>
    <w:rsid w:val="001D66F8"/>
    <w:rsid w:val="001D7D68"/>
    <w:rsid w:val="001E534A"/>
    <w:rsid w:val="001E75EA"/>
    <w:rsid w:val="00204019"/>
    <w:rsid w:val="00204D58"/>
    <w:rsid w:val="00216946"/>
    <w:rsid w:val="00216AA1"/>
    <w:rsid w:val="00220086"/>
    <w:rsid w:val="0022202B"/>
    <w:rsid w:val="00222CCA"/>
    <w:rsid w:val="002264EC"/>
    <w:rsid w:val="00226E62"/>
    <w:rsid w:val="0022709B"/>
    <w:rsid w:val="00230F58"/>
    <w:rsid w:val="00231331"/>
    <w:rsid w:val="00231F34"/>
    <w:rsid w:val="002343B2"/>
    <w:rsid w:val="00237EBE"/>
    <w:rsid w:val="00242D44"/>
    <w:rsid w:val="0025462B"/>
    <w:rsid w:val="00262267"/>
    <w:rsid w:val="0026515E"/>
    <w:rsid w:val="00265316"/>
    <w:rsid w:val="00266EB9"/>
    <w:rsid w:val="00272B60"/>
    <w:rsid w:val="00273B01"/>
    <w:rsid w:val="00277D23"/>
    <w:rsid w:val="00277F5A"/>
    <w:rsid w:val="002841F5"/>
    <w:rsid w:val="00284D80"/>
    <w:rsid w:val="00285D1E"/>
    <w:rsid w:val="00292633"/>
    <w:rsid w:val="00292DCC"/>
    <w:rsid w:val="00294109"/>
    <w:rsid w:val="00294B6A"/>
    <w:rsid w:val="00296286"/>
    <w:rsid w:val="0029756F"/>
    <w:rsid w:val="00297B64"/>
    <w:rsid w:val="002A5119"/>
    <w:rsid w:val="002A644E"/>
    <w:rsid w:val="002B1ACF"/>
    <w:rsid w:val="002B4A79"/>
    <w:rsid w:val="002B54E2"/>
    <w:rsid w:val="002B6016"/>
    <w:rsid w:val="002C009A"/>
    <w:rsid w:val="002C2AD0"/>
    <w:rsid w:val="002C4B26"/>
    <w:rsid w:val="002D173D"/>
    <w:rsid w:val="002D18F3"/>
    <w:rsid w:val="002D1BFF"/>
    <w:rsid w:val="002D2A89"/>
    <w:rsid w:val="002D4781"/>
    <w:rsid w:val="002D4A05"/>
    <w:rsid w:val="002D5536"/>
    <w:rsid w:val="002D57B6"/>
    <w:rsid w:val="002D5FA9"/>
    <w:rsid w:val="002D7DAE"/>
    <w:rsid w:val="002E23D3"/>
    <w:rsid w:val="002E7A6C"/>
    <w:rsid w:val="002F442A"/>
    <w:rsid w:val="002F57DC"/>
    <w:rsid w:val="002F5CD1"/>
    <w:rsid w:val="002F5E95"/>
    <w:rsid w:val="002F6049"/>
    <w:rsid w:val="002F6098"/>
    <w:rsid w:val="002F7C54"/>
    <w:rsid w:val="00301AF1"/>
    <w:rsid w:val="00302FA7"/>
    <w:rsid w:val="0030327A"/>
    <w:rsid w:val="00304988"/>
    <w:rsid w:val="00311BD0"/>
    <w:rsid w:val="003138B3"/>
    <w:rsid w:val="00321708"/>
    <w:rsid w:val="00321FFF"/>
    <w:rsid w:val="00325A22"/>
    <w:rsid w:val="00337882"/>
    <w:rsid w:val="003401D7"/>
    <w:rsid w:val="00350514"/>
    <w:rsid w:val="00352FDD"/>
    <w:rsid w:val="00353D2B"/>
    <w:rsid w:val="00355AA6"/>
    <w:rsid w:val="00361D20"/>
    <w:rsid w:val="00361F4C"/>
    <w:rsid w:val="00367E93"/>
    <w:rsid w:val="003734F6"/>
    <w:rsid w:val="0037412E"/>
    <w:rsid w:val="00375DF9"/>
    <w:rsid w:val="00376BE8"/>
    <w:rsid w:val="00380C9B"/>
    <w:rsid w:val="0038260B"/>
    <w:rsid w:val="00384FB0"/>
    <w:rsid w:val="00386CA9"/>
    <w:rsid w:val="003A2851"/>
    <w:rsid w:val="003A4365"/>
    <w:rsid w:val="003A5138"/>
    <w:rsid w:val="003A5BAC"/>
    <w:rsid w:val="003B2929"/>
    <w:rsid w:val="003B337C"/>
    <w:rsid w:val="003B546C"/>
    <w:rsid w:val="003B5EE9"/>
    <w:rsid w:val="003B6ADD"/>
    <w:rsid w:val="003C3F6A"/>
    <w:rsid w:val="003C436B"/>
    <w:rsid w:val="003C7813"/>
    <w:rsid w:val="003D0489"/>
    <w:rsid w:val="003E26AE"/>
    <w:rsid w:val="003E2806"/>
    <w:rsid w:val="003E39A2"/>
    <w:rsid w:val="003E5378"/>
    <w:rsid w:val="003E5D71"/>
    <w:rsid w:val="003E65B2"/>
    <w:rsid w:val="003F6EE7"/>
    <w:rsid w:val="003F751E"/>
    <w:rsid w:val="0041029E"/>
    <w:rsid w:val="00411C8D"/>
    <w:rsid w:val="00412567"/>
    <w:rsid w:val="0041475F"/>
    <w:rsid w:val="004156A4"/>
    <w:rsid w:val="0041619D"/>
    <w:rsid w:val="0042142A"/>
    <w:rsid w:val="00422B2D"/>
    <w:rsid w:val="004245CF"/>
    <w:rsid w:val="0042569B"/>
    <w:rsid w:val="0042603C"/>
    <w:rsid w:val="004276BF"/>
    <w:rsid w:val="00430C90"/>
    <w:rsid w:val="004314B5"/>
    <w:rsid w:val="004325C7"/>
    <w:rsid w:val="004336F9"/>
    <w:rsid w:val="00437C3F"/>
    <w:rsid w:val="00444953"/>
    <w:rsid w:val="00445D9C"/>
    <w:rsid w:val="0047337C"/>
    <w:rsid w:val="0047348F"/>
    <w:rsid w:val="00474975"/>
    <w:rsid w:val="0048024E"/>
    <w:rsid w:val="004830A8"/>
    <w:rsid w:val="0048427F"/>
    <w:rsid w:val="004846D4"/>
    <w:rsid w:val="00486D31"/>
    <w:rsid w:val="004916F0"/>
    <w:rsid w:val="00491E40"/>
    <w:rsid w:val="004929E3"/>
    <w:rsid w:val="004965FB"/>
    <w:rsid w:val="004979A5"/>
    <w:rsid w:val="004A49E4"/>
    <w:rsid w:val="004A5868"/>
    <w:rsid w:val="004A5F6A"/>
    <w:rsid w:val="004A7C95"/>
    <w:rsid w:val="004B0BAB"/>
    <w:rsid w:val="004B3768"/>
    <w:rsid w:val="004B5076"/>
    <w:rsid w:val="004B7F8E"/>
    <w:rsid w:val="004C0396"/>
    <w:rsid w:val="004C3151"/>
    <w:rsid w:val="004C508F"/>
    <w:rsid w:val="004C525B"/>
    <w:rsid w:val="004C6178"/>
    <w:rsid w:val="004C7702"/>
    <w:rsid w:val="004D1D79"/>
    <w:rsid w:val="004D2FB6"/>
    <w:rsid w:val="004D66D0"/>
    <w:rsid w:val="004E7152"/>
    <w:rsid w:val="004E77CB"/>
    <w:rsid w:val="004F011A"/>
    <w:rsid w:val="004F2BEE"/>
    <w:rsid w:val="004F3630"/>
    <w:rsid w:val="004F7DBE"/>
    <w:rsid w:val="005034C3"/>
    <w:rsid w:val="0050484E"/>
    <w:rsid w:val="0051033E"/>
    <w:rsid w:val="00510771"/>
    <w:rsid w:val="00512137"/>
    <w:rsid w:val="00514B03"/>
    <w:rsid w:val="0051579B"/>
    <w:rsid w:val="00516134"/>
    <w:rsid w:val="00520E98"/>
    <w:rsid w:val="0053532D"/>
    <w:rsid w:val="00535533"/>
    <w:rsid w:val="0053612E"/>
    <w:rsid w:val="00542874"/>
    <w:rsid w:val="00546ACB"/>
    <w:rsid w:val="005538AE"/>
    <w:rsid w:val="0055698F"/>
    <w:rsid w:val="0055771B"/>
    <w:rsid w:val="0056360D"/>
    <w:rsid w:val="00565EF8"/>
    <w:rsid w:val="0056619A"/>
    <w:rsid w:val="005673F5"/>
    <w:rsid w:val="00574A89"/>
    <w:rsid w:val="00575506"/>
    <w:rsid w:val="005759D5"/>
    <w:rsid w:val="00580D74"/>
    <w:rsid w:val="005812B3"/>
    <w:rsid w:val="005829DD"/>
    <w:rsid w:val="00584159"/>
    <w:rsid w:val="0058497A"/>
    <w:rsid w:val="00587610"/>
    <w:rsid w:val="00587849"/>
    <w:rsid w:val="00587AF9"/>
    <w:rsid w:val="005906EF"/>
    <w:rsid w:val="00590898"/>
    <w:rsid w:val="005913EA"/>
    <w:rsid w:val="00596552"/>
    <w:rsid w:val="00597165"/>
    <w:rsid w:val="005A0A63"/>
    <w:rsid w:val="005A1107"/>
    <w:rsid w:val="005A364E"/>
    <w:rsid w:val="005A514F"/>
    <w:rsid w:val="005A7D93"/>
    <w:rsid w:val="005B36FE"/>
    <w:rsid w:val="005B6328"/>
    <w:rsid w:val="005B766C"/>
    <w:rsid w:val="005C0F43"/>
    <w:rsid w:val="005C1090"/>
    <w:rsid w:val="005C289C"/>
    <w:rsid w:val="005C2FD2"/>
    <w:rsid w:val="005C503E"/>
    <w:rsid w:val="005D0F59"/>
    <w:rsid w:val="005D1CC5"/>
    <w:rsid w:val="005D1F77"/>
    <w:rsid w:val="005D325F"/>
    <w:rsid w:val="005D3AAF"/>
    <w:rsid w:val="005E06C5"/>
    <w:rsid w:val="005E4816"/>
    <w:rsid w:val="005E6A08"/>
    <w:rsid w:val="005F0ECD"/>
    <w:rsid w:val="005F2177"/>
    <w:rsid w:val="005F2FBC"/>
    <w:rsid w:val="005F3359"/>
    <w:rsid w:val="005F454A"/>
    <w:rsid w:val="005F48B3"/>
    <w:rsid w:val="005F62FD"/>
    <w:rsid w:val="005F6ABE"/>
    <w:rsid w:val="00603B8A"/>
    <w:rsid w:val="00605C0F"/>
    <w:rsid w:val="0061256E"/>
    <w:rsid w:val="00613BBB"/>
    <w:rsid w:val="00614D67"/>
    <w:rsid w:val="006179D9"/>
    <w:rsid w:val="006212F5"/>
    <w:rsid w:val="0062423D"/>
    <w:rsid w:val="00626C12"/>
    <w:rsid w:val="00626D18"/>
    <w:rsid w:val="00634537"/>
    <w:rsid w:val="00636DBF"/>
    <w:rsid w:val="0064032B"/>
    <w:rsid w:val="00640D74"/>
    <w:rsid w:val="006457D5"/>
    <w:rsid w:val="006519B6"/>
    <w:rsid w:val="00652C1F"/>
    <w:rsid w:val="006534EA"/>
    <w:rsid w:val="0065586B"/>
    <w:rsid w:val="006609AF"/>
    <w:rsid w:val="00660DF0"/>
    <w:rsid w:val="00663487"/>
    <w:rsid w:val="00665CE3"/>
    <w:rsid w:val="006765E9"/>
    <w:rsid w:val="00683A96"/>
    <w:rsid w:val="0068424C"/>
    <w:rsid w:val="0068538E"/>
    <w:rsid w:val="006905CC"/>
    <w:rsid w:val="00690AE2"/>
    <w:rsid w:val="00691196"/>
    <w:rsid w:val="006A12FA"/>
    <w:rsid w:val="006B0BFA"/>
    <w:rsid w:val="006B11E6"/>
    <w:rsid w:val="006B30C8"/>
    <w:rsid w:val="006B3253"/>
    <w:rsid w:val="006B416D"/>
    <w:rsid w:val="006B4CF2"/>
    <w:rsid w:val="006B7C96"/>
    <w:rsid w:val="006C014C"/>
    <w:rsid w:val="006C1872"/>
    <w:rsid w:val="006C21EE"/>
    <w:rsid w:val="006C34BD"/>
    <w:rsid w:val="006C6CF3"/>
    <w:rsid w:val="006C7670"/>
    <w:rsid w:val="006D20F7"/>
    <w:rsid w:val="006D39D1"/>
    <w:rsid w:val="006D798D"/>
    <w:rsid w:val="006E0A0E"/>
    <w:rsid w:val="006E2D9B"/>
    <w:rsid w:val="006E34DF"/>
    <w:rsid w:val="006E48E2"/>
    <w:rsid w:val="006E6836"/>
    <w:rsid w:val="006F07A5"/>
    <w:rsid w:val="006F17D2"/>
    <w:rsid w:val="006F767D"/>
    <w:rsid w:val="006F7869"/>
    <w:rsid w:val="007002EF"/>
    <w:rsid w:val="00702F38"/>
    <w:rsid w:val="0070323C"/>
    <w:rsid w:val="0070581F"/>
    <w:rsid w:val="00705A83"/>
    <w:rsid w:val="00706DF7"/>
    <w:rsid w:val="00712D12"/>
    <w:rsid w:val="0071662C"/>
    <w:rsid w:val="00717344"/>
    <w:rsid w:val="00720F74"/>
    <w:rsid w:val="00722077"/>
    <w:rsid w:val="00722F2D"/>
    <w:rsid w:val="00724A19"/>
    <w:rsid w:val="0072580E"/>
    <w:rsid w:val="007260CB"/>
    <w:rsid w:val="00727755"/>
    <w:rsid w:val="00730501"/>
    <w:rsid w:val="00730B45"/>
    <w:rsid w:val="00730B65"/>
    <w:rsid w:val="00731D2A"/>
    <w:rsid w:val="0073305F"/>
    <w:rsid w:val="00737A73"/>
    <w:rsid w:val="00740484"/>
    <w:rsid w:val="0074282A"/>
    <w:rsid w:val="00744B8F"/>
    <w:rsid w:val="00746A07"/>
    <w:rsid w:val="0075381C"/>
    <w:rsid w:val="0075573A"/>
    <w:rsid w:val="00761EEE"/>
    <w:rsid w:val="00763E88"/>
    <w:rsid w:val="0077122C"/>
    <w:rsid w:val="00774F51"/>
    <w:rsid w:val="00776D4B"/>
    <w:rsid w:val="00783230"/>
    <w:rsid w:val="007849AD"/>
    <w:rsid w:val="00785738"/>
    <w:rsid w:val="00785922"/>
    <w:rsid w:val="00785BB3"/>
    <w:rsid w:val="00790120"/>
    <w:rsid w:val="007934BC"/>
    <w:rsid w:val="0079585A"/>
    <w:rsid w:val="007959BA"/>
    <w:rsid w:val="00796601"/>
    <w:rsid w:val="00796A0C"/>
    <w:rsid w:val="007A03D6"/>
    <w:rsid w:val="007A05D9"/>
    <w:rsid w:val="007A2AFC"/>
    <w:rsid w:val="007A3BED"/>
    <w:rsid w:val="007A54D0"/>
    <w:rsid w:val="007B232A"/>
    <w:rsid w:val="007B3BCE"/>
    <w:rsid w:val="007B4086"/>
    <w:rsid w:val="007B5FC0"/>
    <w:rsid w:val="007C4AE1"/>
    <w:rsid w:val="007C6A4D"/>
    <w:rsid w:val="007C7B3F"/>
    <w:rsid w:val="007D1050"/>
    <w:rsid w:val="007D4E11"/>
    <w:rsid w:val="007E2D35"/>
    <w:rsid w:val="007E495C"/>
    <w:rsid w:val="007E4979"/>
    <w:rsid w:val="007F13BA"/>
    <w:rsid w:val="00801684"/>
    <w:rsid w:val="008041B0"/>
    <w:rsid w:val="008056F7"/>
    <w:rsid w:val="008064E6"/>
    <w:rsid w:val="00814817"/>
    <w:rsid w:val="008310AF"/>
    <w:rsid w:val="008321BE"/>
    <w:rsid w:val="00836B6C"/>
    <w:rsid w:val="00847783"/>
    <w:rsid w:val="00847D07"/>
    <w:rsid w:val="0085256F"/>
    <w:rsid w:val="00852EB9"/>
    <w:rsid w:val="008534D3"/>
    <w:rsid w:val="00853E0F"/>
    <w:rsid w:val="00856994"/>
    <w:rsid w:val="00862DC3"/>
    <w:rsid w:val="0086629D"/>
    <w:rsid w:val="00871855"/>
    <w:rsid w:val="00874D33"/>
    <w:rsid w:val="00880395"/>
    <w:rsid w:val="008805BD"/>
    <w:rsid w:val="00880869"/>
    <w:rsid w:val="00880C9F"/>
    <w:rsid w:val="00882363"/>
    <w:rsid w:val="00883667"/>
    <w:rsid w:val="00883EC1"/>
    <w:rsid w:val="00890495"/>
    <w:rsid w:val="00892B13"/>
    <w:rsid w:val="00892E87"/>
    <w:rsid w:val="00896531"/>
    <w:rsid w:val="008A33CE"/>
    <w:rsid w:val="008A63C6"/>
    <w:rsid w:val="008B100F"/>
    <w:rsid w:val="008B59BB"/>
    <w:rsid w:val="008B7973"/>
    <w:rsid w:val="008B7980"/>
    <w:rsid w:val="008D2A05"/>
    <w:rsid w:val="008D2D8F"/>
    <w:rsid w:val="008D3901"/>
    <w:rsid w:val="008D6539"/>
    <w:rsid w:val="008E0C8D"/>
    <w:rsid w:val="008E218B"/>
    <w:rsid w:val="008E6FBF"/>
    <w:rsid w:val="008F14D0"/>
    <w:rsid w:val="008F31F2"/>
    <w:rsid w:val="008F46FC"/>
    <w:rsid w:val="008F64B3"/>
    <w:rsid w:val="00900C88"/>
    <w:rsid w:val="0090175C"/>
    <w:rsid w:val="009023FC"/>
    <w:rsid w:val="00904658"/>
    <w:rsid w:val="00912771"/>
    <w:rsid w:val="00915B54"/>
    <w:rsid w:val="009160DC"/>
    <w:rsid w:val="00916225"/>
    <w:rsid w:val="00920A3D"/>
    <w:rsid w:val="009212A4"/>
    <w:rsid w:val="009263E7"/>
    <w:rsid w:val="0092680A"/>
    <w:rsid w:val="00930DAB"/>
    <w:rsid w:val="0093392D"/>
    <w:rsid w:val="0093540D"/>
    <w:rsid w:val="009443D3"/>
    <w:rsid w:val="009448F6"/>
    <w:rsid w:val="00946241"/>
    <w:rsid w:val="00947B30"/>
    <w:rsid w:val="00947C08"/>
    <w:rsid w:val="009511C1"/>
    <w:rsid w:val="009613BC"/>
    <w:rsid w:val="00962360"/>
    <w:rsid w:val="00965918"/>
    <w:rsid w:val="009661AA"/>
    <w:rsid w:val="009670FC"/>
    <w:rsid w:val="00970658"/>
    <w:rsid w:val="009845D7"/>
    <w:rsid w:val="009870E3"/>
    <w:rsid w:val="0099209F"/>
    <w:rsid w:val="00997390"/>
    <w:rsid w:val="00997E9E"/>
    <w:rsid w:val="009A06D7"/>
    <w:rsid w:val="009A5DD7"/>
    <w:rsid w:val="009A77BA"/>
    <w:rsid w:val="009A7C75"/>
    <w:rsid w:val="009A7DDB"/>
    <w:rsid w:val="009B0751"/>
    <w:rsid w:val="009B093E"/>
    <w:rsid w:val="009B46EF"/>
    <w:rsid w:val="009B4E2C"/>
    <w:rsid w:val="009C16C3"/>
    <w:rsid w:val="009C2AB0"/>
    <w:rsid w:val="009C3943"/>
    <w:rsid w:val="009D0E11"/>
    <w:rsid w:val="009D16A9"/>
    <w:rsid w:val="009D1C45"/>
    <w:rsid w:val="009D2E00"/>
    <w:rsid w:val="009D60D5"/>
    <w:rsid w:val="009E3B5F"/>
    <w:rsid w:val="009E739B"/>
    <w:rsid w:val="009F13D6"/>
    <w:rsid w:val="009F3079"/>
    <w:rsid w:val="009F423B"/>
    <w:rsid w:val="009F75C0"/>
    <w:rsid w:val="009F7BDB"/>
    <w:rsid w:val="00A0323E"/>
    <w:rsid w:val="00A039D5"/>
    <w:rsid w:val="00A03E03"/>
    <w:rsid w:val="00A07FCB"/>
    <w:rsid w:val="00A133C0"/>
    <w:rsid w:val="00A13856"/>
    <w:rsid w:val="00A14C3D"/>
    <w:rsid w:val="00A15381"/>
    <w:rsid w:val="00A15AA3"/>
    <w:rsid w:val="00A227E3"/>
    <w:rsid w:val="00A22BDD"/>
    <w:rsid w:val="00A22CF1"/>
    <w:rsid w:val="00A25687"/>
    <w:rsid w:val="00A257F8"/>
    <w:rsid w:val="00A26F6D"/>
    <w:rsid w:val="00A27281"/>
    <w:rsid w:val="00A351DE"/>
    <w:rsid w:val="00A376EE"/>
    <w:rsid w:val="00A37E16"/>
    <w:rsid w:val="00A441BF"/>
    <w:rsid w:val="00A44D72"/>
    <w:rsid w:val="00A451D9"/>
    <w:rsid w:val="00A45944"/>
    <w:rsid w:val="00A518AA"/>
    <w:rsid w:val="00A529F1"/>
    <w:rsid w:val="00A57C83"/>
    <w:rsid w:val="00A624CA"/>
    <w:rsid w:val="00A63689"/>
    <w:rsid w:val="00A67C74"/>
    <w:rsid w:val="00A757CB"/>
    <w:rsid w:val="00A7700B"/>
    <w:rsid w:val="00A77600"/>
    <w:rsid w:val="00A8419D"/>
    <w:rsid w:val="00A869C7"/>
    <w:rsid w:val="00A91A28"/>
    <w:rsid w:val="00A93101"/>
    <w:rsid w:val="00A937F9"/>
    <w:rsid w:val="00A9575C"/>
    <w:rsid w:val="00AA46D9"/>
    <w:rsid w:val="00AA4A75"/>
    <w:rsid w:val="00AA509A"/>
    <w:rsid w:val="00AA6420"/>
    <w:rsid w:val="00AA7B54"/>
    <w:rsid w:val="00AB24A7"/>
    <w:rsid w:val="00AB6551"/>
    <w:rsid w:val="00AB7A8E"/>
    <w:rsid w:val="00AC2E1D"/>
    <w:rsid w:val="00AC500A"/>
    <w:rsid w:val="00AD0E6A"/>
    <w:rsid w:val="00AD3E43"/>
    <w:rsid w:val="00AD47FB"/>
    <w:rsid w:val="00AD5A25"/>
    <w:rsid w:val="00AD706C"/>
    <w:rsid w:val="00AD7ACF"/>
    <w:rsid w:val="00AE2470"/>
    <w:rsid w:val="00AE377E"/>
    <w:rsid w:val="00AE3E8D"/>
    <w:rsid w:val="00AE3EAF"/>
    <w:rsid w:val="00AE50D8"/>
    <w:rsid w:val="00AE554F"/>
    <w:rsid w:val="00AE6BA9"/>
    <w:rsid w:val="00AF0E78"/>
    <w:rsid w:val="00AF2349"/>
    <w:rsid w:val="00AF2D75"/>
    <w:rsid w:val="00AF3123"/>
    <w:rsid w:val="00AF51B1"/>
    <w:rsid w:val="00AF75C2"/>
    <w:rsid w:val="00B05729"/>
    <w:rsid w:val="00B058FC"/>
    <w:rsid w:val="00B074AD"/>
    <w:rsid w:val="00B114C3"/>
    <w:rsid w:val="00B15660"/>
    <w:rsid w:val="00B170DE"/>
    <w:rsid w:val="00B20307"/>
    <w:rsid w:val="00B248F6"/>
    <w:rsid w:val="00B27B8E"/>
    <w:rsid w:val="00B338BE"/>
    <w:rsid w:val="00B3496D"/>
    <w:rsid w:val="00B34C92"/>
    <w:rsid w:val="00B3754A"/>
    <w:rsid w:val="00B37701"/>
    <w:rsid w:val="00B409AD"/>
    <w:rsid w:val="00B41054"/>
    <w:rsid w:val="00B41BE9"/>
    <w:rsid w:val="00B42FC6"/>
    <w:rsid w:val="00B4642D"/>
    <w:rsid w:val="00B516C8"/>
    <w:rsid w:val="00B55D38"/>
    <w:rsid w:val="00B609F5"/>
    <w:rsid w:val="00B62543"/>
    <w:rsid w:val="00B63B19"/>
    <w:rsid w:val="00B643C2"/>
    <w:rsid w:val="00B644A0"/>
    <w:rsid w:val="00B6592F"/>
    <w:rsid w:val="00B66553"/>
    <w:rsid w:val="00B67E2A"/>
    <w:rsid w:val="00B80A7E"/>
    <w:rsid w:val="00B81A49"/>
    <w:rsid w:val="00B862E0"/>
    <w:rsid w:val="00B91C11"/>
    <w:rsid w:val="00B925EE"/>
    <w:rsid w:val="00B9639F"/>
    <w:rsid w:val="00B97284"/>
    <w:rsid w:val="00B97621"/>
    <w:rsid w:val="00BA0A74"/>
    <w:rsid w:val="00BB050C"/>
    <w:rsid w:val="00BB1A76"/>
    <w:rsid w:val="00BB2CC4"/>
    <w:rsid w:val="00BC1544"/>
    <w:rsid w:val="00BC3B83"/>
    <w:rsid w:val="00BC617E"/>
    <w:rsid w:val="00BC704F"/>
    <w:rsid w:val="00BC7D8E"/>
    <w:rsid w:val="00BD3A4F"/>
    <w:rsid w:val="00BD44EA"/>
    <w:rsid w:val="00BD55BC"/>
    <w:rsid w:val="00BD5B0C"/>
    <w:rsid w:val="00BE121C"/>
    <w:rsid w:val="00BE145C"/>
    <w:rsid w:val="00BE1AFD"/>
    <w:rsid w:val="00BE21F0"/>
    <w:rsid w:val="00BE4D91"/>
    <w:rsid w:val="00BE77D4"/>
    <w:rsid w:val="00BF2D6C"/>
    <w:rsid w:val="00BF7B0B"/>
    <w:rsid w:val="00C00B07"/>
    <w:rsid w:val="00C010D3"/>
    <w:rsid w:val="00C03786"/>
    <w:rsid w:val="00C037AB"/>
    <w:rsid w:val="00C06A78"/>
    <w:rsid w:val="00C07D45"/>
    <w:rsid w:val="00C118B4"/>
    <w:rsid w:val="00C1485C"/>
    <w:rsid w:val="00C151A9"/>
    <w:rsid w:val="00C159CF"/>
    <w:rsid w:val="00C222D5"/>
    <w:rsid w:val="00C249BC"/>
    <w:rsid w:val="00C25CB6"/>
    <w:rsid w:val="00C26E81"/>
    <w:rsid w:val="00C26FA0"/>
    <w:rsid w:val="00C37045"/>
    <w:rsid w:val="00C37B84"/>
    <w:rsid w:val="00C50E49"/>
    <w:rsid w:val="00C512FA"/>
    <w:rsid w:val="00C516F1"/>
    <w:rsid w:val="00C60E5B"/>
    <w:rsid w:val="00C66C1E"/>
    <w:rsid w:val="00C742E6"/>
    <w:rsid w:val="00C750AB"/>
    <w:rsid w:val="00C76FED"/>
    <w:rsid w:val="00C81A07"/>
    <w:rsid w:val="00C81A96"/>
    <w:rsid w:val="00C83017"/>
    <w:rsid w:val="00C8588A"/>
    <w:rsid w:val="00C8600E"/>
    <w:rsid w:val="00C87038"/>
    <w:rsid w:val="00C92D8A"/>
    <w:rsid w:val="00C94B84"/>
    <w:rsid w:val="00C95E12"/>
    <w:rsid w:val="00CA27FF"/>
    <w:rsid w:val="00CB21A9"/>
    <w:rsid w:val="00CB4EFA"/>
    <w:rsid w:val="00CB57ED"/>
    <w:rsid w:val="00CB7787"/>
    <w:rsid w:val="00CB7E11"/>
    <w:rsid w:val="00CC0597"/>
    <w:rsid w:val="00CC3165"/>
    <w:rsid w:val="00CC4EC4"/>
    <w:rsid w:val="00CD3A41"/>
    <w:rsid w:val="00CE080D"/>
    <w:rsid w:val="00CE2833"/>
    <w:rsid w:val="00CE36BC"/>
    <w:rsid w:val="00CE7833"/>
    <w:rsid w:val="00CF02E2"/>
    <w:rsid w:val="00CF31D6"/>
    <w:rsid w:val="00CF358E"/>
    <w:rsid w:val="00CF381D"/>
    <w:rsid w:val="00CF476E"/>
    <w:rsid w:val="00CF5477"/>
    <w:rsid w:val="00D02546"/>
    <w:rsid w:val="00D02807"/>
    <w:rsid w:val="00D041B3"/>
    <w:rsid w:val="00D04585"/>
    <w:rsid w:val="00D04FBE"/>
    <w:rsid w:val="00D0574D"/>
    <w:rsid w:val="00D05E1B"/>
    <w:rsid w:val="00D07B4D"/>
    <w:rsid w:val="00D11ABC"/>
    <w:rsid w:val="00D1470E"/>
    <w:rsid w:val="00D20C4B"/>
    <w:rsid w:val="00D22DC0"/>
    <w:rsid w:val="00D25D97"/>
    <w:rsid w:val="00D344C4"/>
    <w:rsid w:val="00D35C7E"/>
    <w:rsid w:val="00D35D34"/>
    <w:rsid w:val="00D36B82"/>
    <w:rsid w:val="00D37F99"/>
    <w:rsid w:val="00D40D4D"/>
    <w:rsid w:val="00D525AC"/>
    <w:rsid w:val="00D52F27"/>
    <w:rsid w:val="00D53A91"/>
    <w:rsid w:val="00D5438E"/>
    <w:rsid w:val="00D5611E"/>
    <w:rsid w:val="00D5673B"/>
    <w:rsid w:val="00D61658"/>
    <w:rsid w:val="00D6249F"/>
    <w:rsid w:val="00D63F19"/>
    <w:rsid w:val="00D64086"/>
    <w:rsid w:val="00D6767D"/>
    <w:rsid w:val="00D7569B"/>
    <w:rsid w:val="00D76D96"/>
    <w:rsid w:val="00D8216C"/>
    <w:rsid w:val="00D85789"/>
    <w:rsid w:val="00D9362C"/>
    <w:rsid w:val="00D95DD3"/>
    <w:rsid w:val="00D96881"/>
    <w:rsid w:val="00D97B87"/>
    <w:rsid w:val="00DA0092"/>
    <w:rsid w:val="00DA1319"/>
    <w:rsid w:val="00DA25A1"/>
    <w:rsid w:val="00DA416B"/>
    <w:rsid w:val="00DA50CD"/>
    <w:rsid w:val="00DA5F53"/>
    <w:rsid w:val="00DB35FF"/>
    <w:rsid w:val="00DB3908"/>
    <w:rsid w:val="00DB4C96"/>
    <w:rsid w:val="00DB5372"/>
    <w:rsid w:val="00DC0FAA"/>
    <w:rsid w:val="00DC3ACB"/>
    <w:rsid w:val="00DD265B"/>
    <w:rsid w:val="00DD2C71"/>
    <w:rsid w:val="00DD3FF7"/>
    <w:rsid w:val="00DD4CFC"/>
    <w:rsid w:val="00DD7B41"/>
    <w:rsid w:val="00DE20E4"/>
    <w:rsid w:val="00DE46A3"/>
    <w:rsid w:val="00DE67B6"/>
    <w:rsid w:val="00DE7352"/>
    <w:rsid w:val="00DE7625"/>
    <w:rsid w:val="00DE7933"/>
    <w:rsid w:val="00DE7971"/>
    <w:rsid w:val="00DF5714"/>
    <w:rsid w:val="00E00667"/>
    <w:rsid w:val="00E0087F"/>
    <w:rsid w:val="00E01293"/>
    <w:rsid w:val="00E11944"/>
    <w:rsid w:val="00E11980"/>
    <w:rsid w:val="00E12232"/>
    <w:rsid w:val="00E1312D"/>
    <w:rsid w:val="00E14627"/>
    <w:rsid w:val="00E15288"/>
    <w:rsid w:val="00E1554F"/>
    <w:rsid w:val="00E2211A"/>
    <w:rsid w:val="00E25ED6"/>
    <w:rsid w:val="00E410C7"/>
    <w:rsid w:val="00E4114E"/>
    <w:rsid w:val="00E455D9"/>
    <w:rsid w:val="00E46A3E"/>
    <w:rsid w:val="00E51DBC"/>
    <w:rsid w:val="00E53995"/>
    <w:rsid w:val="00E5416C"/>
    <w:rsid w:val="00E55374"/>
    <w:rsid w:val="00E556AA"/>
    <w:rsid w:val="00E62703"/>
    <w:rsid w:val="00E65317"/>
    <w:rsid w:val="00E67712"/>
    <w:rsid w:val="00E726BF"/>
    <w:rsid w:val="00E76770"/>
    <w:rsid w:val="00E77564"/>
    <w:rsid w:val="00E7769F"/>
    <w:rsid w:val="00E77A51"/>
    <w:rsid w:val="00E80C1A"/>
    <w:rsid w:val="00E82BBA"/>
    <w:rsid w:val="00E85090"/>
    <w:rsid w:val="00E869A7"/>
    <w:rsid w:val="00E87042"/>
    <w:rsid w:val="00E9068F"/>
    <w:rsid w:val="00E93566"/>
    <w:rsid w:val="00E95801"/>
    <w:rsid w:val="00EB0604"/>
    <w:rsid w:val="00EB1960"/>
    <w:rsid w:val="00EB1AE7"/>
    <w:rsid w:val="00EB28F2"/>
    <w:rsid w:val="00EB4AE4"/>
    <w:rsid w:val="00EB587A"/>
    <w:rsid w:val="00EB5980"/>
    <w:rsid w:val="00EB6E48"/>
    <w:rsid w:val="00EC01D7"/>
    <w:rsid w:val="00EC2617"/>
    <w:rsid w:val="00EC42BA"/>
    <w:rsid w:val="00ED0857"/>
    <w:rsid w:val="00ED0B29"/>
    <w:rsid w:val="00ED1670"/>
    <w:rsid w:val="00ED47E6"/>
    <w:rsid w:val="00ED5E79"/>
    <w:rsid w:val="00EE33D0"/>
    <w:rsid w:val="00EE545A"/>
    <w:rsid w:val="00F004CE"/>
    <w:rsid w:val="00F011E4"/>
    <w:rsid w:val="00F1079C"/>
    <w:rsid w:val="00F11624"/>
    <w:rsid w:val="00F14ECC"/>
    <w:rsid w:val="00F15F95"/>
    <w:rsid w:val="00F20B02"/>
    <w:rsid w:val="00F24109"/>
    <w:rsid w:val="00F24B04"/>
    <w:rsid w:val="00F318A5"/>
    <w:rsid w:val="00F33041"/>
    <w:rsid w:val="00F34BBA"/>
    <w:rsid w:val="00F350B3"/>
    <w:rsid w:val="00F35420"/>
    <w:rsid w:val="00F37192"/>
    <w:rsid w:val="00F41994"/>
    <w:rsid w:val="00F41C4F"/>
    <w:rsid w:val="00F4412F"/>
    <w:rsid w:val="00F45A47"/>
    <w:rsid w:val="00F524BB"/>
    <w:rsid w:val="00F56FEC"/>
    <w:rsid w:val="00F60A30"/>
    <w:rsid w:val="00F617F3"/>
    <w:rsid w:val="00F631DE"/>
    <w:rsid w:val="00F644EB"/>
    <w:rsid w:val="00F7153E"/>
    <w:rsid w:val="00F81869"/>
    <w:rsid w:val="00F82AC5"/>
    <w:rsid w:val="00F849A1"/>
    <w:rsid w:val="00F8567B"/>
    <w:rsid w:val="00F85BA2"/>
    <w:rsid w:val="00F85CF1"/>
    <w:rsid w:val="00F862D3"/>
    <w:rsid w:val="00F87774"/>
    <w:rsid w:val="00F93242"/>
    <w:rsid w:val="00F9444A"/>
    <w:rsid w:val="00F95B7F"/>
    <w:rsid w:val="00F962B8"/>
    <w:rsid w:val="00F967E7"/>
    <w:rsid w:val="00FA1710"/>
    <w:rsid w:val="00FA3E76"/>
    <w:rsid w:val="00FA783C"/>
    <w:rsid w:val="00FB0F7C"/>
    <w:rsid w:val="00FB45C0"/>
    <w:rsid w:val="00FB518D"/>
    <w:rsid w:val="00FB53A4"/>
    <w:rsid w:val="00FB5EDF"/>
    <w:rsid w:val="00FC0B44"/>
    <w:rsid w:val="00FC22D7"/>
    <w:rsid w:val="00FC4C84"/>
    <w:rsid w:val="00FD1147"/>
    <w:rsid w:val="00FD3AED"/>
    <w:rsid w:val="00FE1443"/>
    <w:rsid w:val="00FF1927"/>
    <w:rsid w:val="00FF488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669ACA"/>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
    <w:basedOn w:val="Normal"/>
    <w:link w:val="FootnoteTextChar"/>
    <w:uiPriority w:val="99"/>
    <w:semiHidden/>
    <w:rPr>
      <w:sz w:val="24"/>
    </w:rPr>
  </w:style>
  <w:style w:type="character" w:styleId="FootnoteReference">
    <w:name w:val="footnote reference"/>
    <w:aliases w:val="Appel note de bas de p,Style 12,(NECG) Footnote Reference,Style 13,Style 124,fr,o,Style 3,FR,Style 17,Style 6,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
    <w:link w:val="FootnoteText"/>
    <w:uiPriority w:val="99"/>
    <w:semiHidden/>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885">
      <w:bodyDiv w:val="1"/>
      <w:marLeft w:val="0"/>
      <w:marRight w:val="0"/>
      <w:marTop w:val="0"/>
      <w:marBottom w:val="0"/>
      <w:divBdr>
        <w:top w:val="none" w:sz="0" w:space="0" w:color="auto"/>
        <w:left w:val="none" w:sz="0" w:space="0" w:color="auto"/>
        <w:bottom w:val="none" w:sz="0" w:space="0" w:color="auto"/>
        <w:right w:val="none" w:sz="0" w:space="0" w:color="auto"/>
      </w:divBdr>
    </w:div>
    <w:div w:id="718625112">
      <w:bodyDiv w:val="1"/>
      <w:marLeft w:val="0"/>
      <w:marRight w:val="0"/>
      <w:marTop w:val="0"/>
      <w:marBottom w:val="0"/>
      <w:divBdr>
        <w:top w:val="none" w:sz="0" w:space="0" w:color="auto"/>
        <w:left w:val="none" w:sz="0" w:space="0" w:color="auto"/>
        <w:bottom w:val="none" w:sz="0" w:space="0" w:color="auto"/>
        <w:right w:val="none" w:sz="0" w:space="0" w:color="auto"/>
      </w:divBdr>
    </w:div>
    <w:div w:id="1264536927">
      <w:bodyDiv w:val="1"/>
      <w:marLeft w:val="0"/>
      <w:marRight w:val="0"/>
      <w:marTop w:val="0"/>
      <w:marBottom w:val="0"/>
      <w:divBdr>
        <w:top w:val="none" w:sz="0" w:space="0" w:color="auto"/>
        <w:left w:val="none" w:sz="0" w:space="0" w:color="auto"/>
        <w:bottom w:val="none" w:sz="0" w:space="0" w:color="auto"/>
        <w:right w:val="none" w:sz="0" w:space="0" w:color="auto"/>
      </w:divBdr>
    </w:div>
    <w:div w:id="1738819489">
      <w:bodyDiv w:val="1"/>
      <w:marLeft w:val="0"/>
      <w:marRight w:val="0"/>
      <w:marTop w:val="0"/>
      <w:marBottom w:val="450"/>
      <w:divBdr>
        <w:top w:val="none" w:sz="0" w:space="0" w:color="auto"/>
        <w:left w:val="none" w:sz="0" w:space="0" w:color="auto"/>
        <w:bottom w:val="none" w:sz="0" w:space="0" w:color="auto"/>
        <w:right w:val="none" w:sz="0" w:space="0" w:color="auto"/>
      </w:divBdr>
      <w:divsChild>
        <w:div w:id="32848082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51233549">
      <w:bodyDiv w:val="1"/>
      <w:marLeft w:val="0"/>
      <w:marRight w:val="0"/>
      <w:marTop w:val="0"/>
      <w:marBottom w:val="450"/>
      <w:divBdr>
        <w:top w:val="none" w:sz="0" w:space="0" w:color="auto"/>
        <w:left w:val="none" w:sz="0" w:space="0" w:color="auto"/>
        <w:bottom w:val="none" w:sz="0" w:space="0" w:color="auto"/>
        <w:right w:val="none" w:sz="0" w:space="0" w:color="auto"/>
      </w:divBdr>
      <w:divsChild>
        <w:div w:id="82879277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1154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engineering-technology/laboratory-division/general/equipment-authoriz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fcc.gov/eas" TargetMode="Externa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4964-6DFA-4943-920B-86F688D9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32378</CharactersWithSpaces>
  <SharedDoc>false</SharedDoc>
  <HLinks>
    <vt:vector size="12" baseType="variant">
      <vt:variant>
        <vt:i4>5177371</vt:i4>
      </vt:variant>
      <vt:variant>
        <vt:i4>3</vt:i4>
      </vt:variant>
      <vt:variant>
        <vt:i4>0</vt:i4>
      </vt:variant>
      <vt:variant>
        <vt:i4>5</vt:i4>
      </vt:variant>
      <vt:variant>
        <vt:lpwstr>http://transition.fcc.gov/oet/ea/ea_app_info.html</vt:lpwstr>
      </vt:variant>
      <vt:variant>
        <vt:lpwstr/>
      </vt:variant>
      <vt:variant>
        <vt:i4>1048595</vt:i4>
      </vt:variant>
      <vt:variant>
        <vt:i4>0</vt:i4>
      </vt:variant>
      <vt:variant>
        <vt:i4>0</vt:i4>
      </vt:variant>
      <vt:variant>
        <vt:i4>5</vt:i4>
      </vt:variant>
      <vt:variant>
        <vt:lpwstr>https://apps.fcc.gov/eas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subject/>
  <dc:creator>k2help</dc:creator>
  <cp:keywords/>
  <cp:lastModifiedBy>Nicole Ongele</cp:lastModifiedBy>
  <cp:revision>3</cp:revision>
  <cp:lastPrinted>2018-09-11T14:53:00Z</cp:lastPrinted>
  <dcterms:created xsi:type="dcterms:W3CDTF">2020-06-08T19:54:00Z</dcterms:created>
  <dcterms:modified xsi:type="dcterms:W3CDTF">2020-06-08T19:56:00Z</dcterms:modified>
</cp:coreProperties>
</file>