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D33CF" w:rsidR="007D33CF" w:rsidP="007D33CF" w:rsidRDefault="007D33CF">
      <w:pPr>
        <w:jc w:val="center"/>
        <w:rPr>
          <w:sz w:val="24"/>
          <w:szCs w:val="24"/>
        </w:rPr>
      </w:pPr>
      <w:r w:rsidRPr="007D33CF">
        <w:rPr>
          <w:sz w:val="24"/>
          <w:szCs w:val="24"/>
        </w:rPr>
        <w:t>National Credit Union Administration</w:t>
      </w:r>
    </w:p>
    <w:p w:rsidRPr="00070116" w:rsidR="00DC2974" w:rsidRDefault="00C666E2">
      <w:pPr>
        <w:jc w:val="center"/>
        <w:rPr>
          <w:b/>
          <w:sz w:val="24"/>
          <w:szCs w:val="24"/>
        </w:rPr>
      </w:pPr>
      <w:r w:rsidRPr="00070116">
        <w:rPr>
          <w:b/>
          <w:sz w:val="24"/>
          <w:szCs w:val="24"/>
        </w:rPr>
        <w:t>SUPPORTING STATEMENT</w:t>
      </w:r>
      <w:r w:rsidRPr="00070116" w:rsidR="00DC2974">
        <w:rPr>
          <w:b/>
          <w:sz w:val="24"/>
          <w:szCs w:val="24"/>
        </w:rPr>
        <w:t xml:space="preserve"> </w:t>
      </w:r>
    </w:p>
    <w:p w:rsidRPr="00070116" w:rsidR="007D33CF" w:rsidRDefault="007D33CF">
      <w:pPr>
        <w:jc w:val="center"/>
        <w:rPr>
          <w:sz w:val="24"/>
          <w:szCs w:val="24"/>
        </w:rPr>
      </w:pPr>
    </w:p>
    <w:p w:rsidRPr="00070116" w:rsidR="00DC2974" w:rsidRDefault="00C666E2">
      <w:pPr>
        <w:jc w:val="center"/>
        <w:rPr>
          <w:sz w:val="24"/>
          <w:szCs w:val="24"/>
        </w:rPr>
      </w:pPr>
      <w:r w:rsidRPr="00070116">
        <w:rPr>
          <w:sz w:val="24"/>
          <w:szCs w:val="24"/>
        </w:rPr>
        <w:t xml:space="preserve">Foreign Branching; </w:t>
      </w:r>
      <w:r w:rsidRPr="00070116" w:rsidR="00DC2974">
        <w:rPr>
          <w:sz w:val="24"/>
          <w:szCs w:val="24"/>
        </w:rPr>
        <w:t xml:space="preserve">12 CFR Part 741.11 </w:t>
      </w:r>
    </w:p>
    <w:p w:rsidRPr="00070116" w:rsidR="00DE75BB" w:rsidRDefault="00C666E2">
      <w:pPr>
        <w:jc w:val="center"/>
        <w:rPr>
          <w:sz w:val="24"/>
          <w:szCs w:val="24"/>
        </w:rPr>
      </w:pPr>
      <w:r w:rsidRPr="00070116">
        <w:rPr>
          <w:sz w:val="24"/>
          <w:szCs w:val="24"/>
        </w:rPr>
        <w:t xml:space="preserve">OMB </w:t>
      </w:r>
      <w:r w:rsidR="00070116">
        <w:rPr>
          <w:sz w:val="24"/>
          <w:szCs w:val="24"/>
        </w:rPr>
        <w:t xml:space="preserve">No. </w:t>
      </w:r>
      <w:r w:rsidRPr="00070116" w:rsidR="00DE75BB">
        <w:rPr>
          <w:sz w:val="24"/>
          <w:szCs w:val="24"/>
        </w:rPr>
        <w:t>3133-0167</w:t>
      </w:r>
    </w:p>
    <w:p w:rsidRPr="00070116" w:rsidR="00DC2974" w:rsidRDefault="00DC2974">
      <w:pPr>
        <w:jc w:val="center"/>
        <w:rPr>
          <w:sz w:val="24"/>
          <w:szCs w:val="24"/>
        </w:rPr>
      </w:pPr>
    </w:p>
    <w:p w:rsidRPr="007D33CF" w:rsidR="007A3CAC" w:rsidP="00070116" w:rsidRDefault="007A3CAC">
      <w:pPr>
        <w:tabs>
          <w:tab w:val="left" w:pos="720"/>
        </w:tabs>
        <w:ind w:left="720" w:hanging="720"/>
        <w:rPr>
          <w:b/>
          <w:sz w:val="24"/>
          <w:szCs w:val="24"/>
        </w:rPr>
      </w:pPr>
    </w:p>
    <w:p w:rsidRPr="007D33CF" w:rsidR="00DC2974" w:rsidP="00070116" w:rsidRDefault="007D33CF">
      <w:pPr>
        <w:tabs>
          <w:tab w:val="left" w:pos="720"/>
        </w:tabs>
        <w:ind w:left="720" w:hanging="720"/>
        <w:rPr>
          <w:b/>
          <w:sz w:val="24"/>
          <w:szCs w:val="24"/>
        </w:rPr>
      </w:pPr>
      <w:r>
        <w:rPr>
          <w:b/>
          <w:sz w:val="24"/>
          <w:szCs w:val="24"/>
        </w:rPr>
        <w:t>A.</w:t>
      </w:r>
      <w:r>
        <w:rPr>
          <w:b/>
          <w:sz w:val="24"/>
          <w:szCs w:val="24"/>
        </w:rPr>
        <w:tab/>
      </w:r>
      <w:r w:rsidRPr="007D33CF" w:rsidR="00DC2974">
        <w:rPr>
          <w:b/>
          <w:sz w:val="24"/>
          <w:szCs w:val="24"/>
        </w:rPr>
        <w:t>JUSTIFICATION</w:t>
      </w:r>
    </w:p>
    <w:p w:rsidRPr="007D33CF" w:rsidR="00DC2974" w:rsidP="00070116" w:rsidRDefault="00DC2974">
      <w:pPr>
        <w:tabs>
          <w:tab w:val="left" w:pos="540"/>
          <w:tab w:val="left" w:pos="720"/>
        </w:tabs>
        <w:ind w:left="720" w:hanging="720"/>
        <w:rPr>
          <w:b/>
          <w:sz w:val="24"/>
          <w:szCs w:val="24"/>
        </w:rPr>
      </w:pPr>
    </w:p>
    <w:p w:rsidRPr="00625090" w:rsidR="00070116" w:rsidP="00070116" w:rsidRDefault="00070116">
      <w:pPr>
        <w:pStyle w:val="ListParagraph"/>
        <w:numPr>
          <w:ilvl w:val="0"/>
          <w:numId w:val="4"/>
        </w:numPr>
        <w:tabs>
          <w:tab w:val="left" w:pos="720"/>
        </w:tabs>
        <w:ind w:hanging="720"/>
        <w:rPr>
          <w:b/>
        </w:rPr>
      </w:pPr>
      <w:r w:rsidRPr="00625090">
        <w:rPr>
          <w:b/>
        </w:rPr>
        <w:t>Circumstances that make the collection of information necessary</w:t>
      </w:r>
      <w:r>
        <w:rPr>
          <w:b/>
        </w:rPr>
        <w:t>.</w:t>
      </w:r>
    </w:p>
    <w:p w:rsidRPr="007D33CF" w:rsidR="00DC2974" w:rsidP="00070116" w:rsidRDefault="00DC2974">
      <w:pPr>
        <w:ind w:left="720" w:hanging="720"/>
        <w:rPr>
          <w:sz w:val="24"/>
          <w:szCs w:val="24"/>
        </w:rPr>
      </w:pPr>
    </w:p>
    <w:p w:rsidR="00E3463D" w:rsidP="00070116" w:rsidRDefault="007D33CF">
      <w:pPr>
        <w:ind w:left="720" w:hanging="720"/>
        <w:rPr>
          <w:sz w:val="24"/>
          <w:szCs w:val="24"/>
        </w:rPr>
      </w:pPr>
      <w:r>
        <w:rPr>
          <w:sz w:val="24"/>
          <w:szCs w:val="24"/>
        </w:rPr>
        <w:tab/>
      </w:r>
      <w:r w:rsidRPr="007D33CF" w:rsidR="00E3463D">
        <w:rPr>
          <w:sz w:val="24"/>
          <w:szCs w:val="24"/>
        </w:rPr>
        <w:t xml:space="preserve">Pursuant to </w:t>
      </w:r>
      <w:r w:rsidRPr="007D33CF" w:rsidR="00DC2974">
        <w:rPr>
          <w:sz w:val="24"/>
          <w:szCs w:val="24"/>
        </w:rPr>
        <w:t>Part 741</w:t>
      </w:r>
      <w:r w:rsidRPr="007D33CF" w:rsidR="004F2F86">
        <w:rPr>
          <w:sz w:val="24"/>
          <w:szCs w:val="24"/>
        </w:rPr>
        <w:t>, Section 741</w:t>
      </w:r>
      <w:r w:rsidRPr="007D33CF" w:rsidR="00DC2974">
        <w:rPr>
          <w:sz w:val="24"/>
          <w:szCs w:val="24"/>
        </w:rPr>
        <w:t xml:space="preserve">.11 </w:t>
      </w:r>
      <w:r w:rsidRPr="007D33CF" w:rsidR="004F2F86">
        <w:rPr>
          <w:sz w:val="24"/>
          <w:szCs w:val="24"/>
        </w:rPr>
        <w:t>of the NCUA Rules and Regulations</w:t>
      </w:r>
      <w:r w:rsidR="00063894">
        <w:rPr>
          <w:sz w:val="24"/>
          <w:szCs w:val="24"/>
        </w:rPr>
        <w:t>, a</w:t>
      </w:r>
      <w:r w:rsidRPr="007D33CF" w:rsidR="00E3463D">
        <w:rPr>
          <w:sz w:val="24"/>
          <w:szCs w:val="24"/>
        </w:rPr>
        <w:t xml:space="preserve"> </w:t>
      </w:r>
      <w:r w:rsidR="00063894">
        <w:rPr>
          <w:sz w:val="24"/>
          <w:szCs w:val="24"/>
        </w:rPr>
        <w:t xml:space="preserve">federally </w:t>
      </w:r>
      <w:r w:rsidRPr="007D33CF" w:rsidR="00E3463D">
        <w:rPr>
          <w:sz w:val="24"/>
          <w:szCs w:val="24"/>
        </w:rPr>
        <w:t>insured credit union that wishes to establish a branch office outside the United States (other than branches located on United States military installations or embassies)</w:t>
      </w:r>
      <w:r w:rsidRPr="007D33CF" w:rsidR="007A3CAC">
        <w:rPr>
          <w:sz w:val="24"/>
          <w:szCs w:val="24"/>
        </w:rPr>
        <w:t xml:space="preserve"> </w:t>
      </w:r>
      <w:r w:rsidRPr="007D33CF" w:rsidR="00DC2974">
        <w:rPr>
          <w:sz w:val="24"/>
          <w:szCs w:val="24"/>
        </w:rPr>
        <w:t xml:space="preserve">must apply for and receive approval from the </w:t>
      </w:r>
      <w:r w:rsidRPr="007D33CF" w:rsidR="00E3463D">
        <w:rPr>
          <w:sz w:val="24"/>
          <w:szCs w:val="24"/>
        </w:rPr>
        <w:t xml:space="preserve">NCUA </w:t>
      </w:r>
      <w:r w:rsidRPr="007D33CF" w:rsidR="00DC2974">
        <w:rPr>
          <w:sz w:val="24"/>
          <w:szCs w:val="24"/>
        </w:rPr>
        <w:t xml:space="preserve">regional director before establishing </w:t>
      </w:r>
      <w:r w:rsidRPr="007D33CF" w:rsidR="00E3463D">
        <w:rPr>
          <w:sz w:val="24"/>
          <w:szCs w:val="24"/>
        </w:rPr>
        <w:t>that branch.</w:t>
      </w:r>
      <w:r w:rsidR="00063894">
        <w:rPr>
          <w:sz w:val="24"/>
          <w:szCs w:val="24"/>
        </w:rPr>
        <w:t xml:space="preserve"> </w:t>
      </w:r>
      <w:r w:rsidRPr="007D33CF" w:rsidR="00E3463D">
        <w:rPr>
          <w:sz w:val="24"/>
          <w:szCs w:val="24"/>
        </w:rPr>
        <w:t xml:space="preserve"> </w:t>
      </w:r>
      <w:r w:rsidRPr="007D33CF" w:rsidR="00DC2974">
        <w:rPr>
          <w:sz w:val="24"/>
          <w:szCs w:val="24"/>
        </w:rPr>
        <w:t>The application must include (1) a business plan, (2) written approval by the state supervisory agency if the applicant is a state-chartered credit union, and (3) documentation evidencing written permission from the host count</w:t>
      </w:r>
      <w:r w:rsidRPr="007D33CF" w:rsidR="005840E5">
        <w:rPr>
          <w:sz w:val="24"/>
          <w:szCs w:val="24"/>
        </w:rPr>
        <w:t>r</w:t>
      </w:r>
      <w:r w:rsidRPr="007D33CF" w:rsidR="00DC2974">
        <w:rPr>
          <w:sz w:val="24"/>
          <w:szCs w:val="24"/>
        </w:rPr>
        <w:t xml:space="preserve">y to establish the branch that explicitly recognizes NCUA’s authority to examine and take any enforcement actions, </w:t>
      </w:r>
      <w:r w:rsidRPr="007D33CF" w:rsidR="00EF440E">
        <w:rPr>
          <w:sz w:val="24"/>
          <w:szCs w:val="24"/>
        </w:rPr>
        <w:t>including</w:t>
      </w:r>
      <w:r w:rsidRPr="007D33CF" w:rsidR="00DC2974">
        <w:rPr>
          <w:sz w:val="24"/>
          <w:szCs w:val="24"/>
        </w:rPr>
        <w:t xml:space="preserve"> conservatorship and liquidation actions.</w:t>
      </w:r>
    </w:p>
    <w:p w:rsidRPr="007D33CF" w:rsidR="00E3463D" w:rsidP="00070116" w:rsidRDefault="00E3463D">
      <w:pPr>
        <w:tabs>
          <w:tab w:val="left" w:pos="540"/>
          <w:tab w:val="left" w:pos="720"/>
        </w:tabs>
        <w:ind w:left="720" w:hanging="720"/>
        <w:rPr>
          <w:sz w:val="24"/>
          <w:szCs w:val="24"/>
        </w:rPr>
      </w:pPr>
    </w:p>
    <w:p w:rsidRPr="007D33CF" w:rsidR="00E3463D" w:rsidP="00070116" w:rsidRDefault="007D33CF">
      <w:pPr>
        <w:tabs>
          <w:tab w:val="left" w:pos="720"/>
        </w:tabs>
        <w:ind w:left="720" w:hanging="720"/>
        <w:rPr>
          <w:sz w:val="24"/>
          <w:szCs w:val="24"/>
        </w:rPr>
      </w:pPr>
      <w:r>
        <w:rPr>
          <w:sz w:val="24"/>
          <w:szCs w:val="24"/>
        </w:rPr>
        <w:tab/>
      </w:r>
      <w:r w:rsidRPr="007D33CF" w:rsidR="00E3463D">
        <w:rPr>
          <w:sz w:val="24"/>
          <w:szCs w:val="24"/>
        </w:rPr>
        <w:t>The business plan must contain at a minimum the following:</w:t>
      </w:r>
    </w:p>
    <w:p w:rsidRPr="007D33CF" w:rsidR="00E3463D" w:rsidP="00070116" w:rsidRDefault="00E3463D">
      <w:pPr>
        <w:tabs>
          <w:tab w:val="left" w:pos="540"/>
          <w:tab w:val="left" w:pos="720"/>
        </w:tabs>
        <w:ind w:left="720" w:hanging="720"/>
        <w:rPr>
          <w:sz w:val="24"/>
          <w:szCs w:val="24"/>
        </w:rPr>
      </w:pPr>
    </w:p>
    <w:p w:rsidRPr="007D33CF" w:rsidR="00E3463D" w:rsidP="00070116" w:rsidRDefault="00E3463D">
      <w:pPr>
        <w:numPr>
          <w:ilvl w:val="0"/>
          <w:numId w:val="1"/>
        </w:numPr>
        <w:tabs>
          <w:tab w:val="left" w:pos="720"/>
        </w:tabs>
        <w:ind w:firstLine="0"/>
        <w:rPr>
          <w:sz w:val="24"/>
          <w:szCs w:val="24"/>
        </w:rPr>
      </w:pPr>
      <w:r w:rsidRPr="007D33CF">
        <w:rPr>
          <w:sz w:val="24"/>
          <w:szCs w:val="24"/>
        </w:rPr>
        <w:t>Analysis of market conditions in the area the branch is to be established;</w:t>
      </w:r>
    </w:p>
    <w:p w:rsidRPr="007D33CF" w:rsidR="00E3463D" w:rsidP="00070116" w:rsidRDefault="00E3463D">
      <w:pPr>
        <w:numPr>
          <w:ilvl w:val="0"/>
          <w:numId w:val="1"/>
        </w:numPr>
        <w:tabs>
          <w:tab w:val="left" w:pos="540"/>
          <w:tab w:val="left" w:pos="720"/>
        </w:tabs>
        <w:ind w:firstLine="0"/>
        <w:rPr>
          <w:sz w:val="24"/>
          <w:szCs w:val="24"/>
        </w:rPr>
      </w:pPr>
      <w:r w:rsidRPr="007D33CF">
        <w:rPr>
          <w:sz w:val="24"/>
          <w:szCs w:val="24"/>
        </w:rPr>
        <w:t>The credit union’s plan for addressing foreign currency risk;</w:t>
      </w:r>
    </w:p>
    <w:p w:rsidRPr="007D33CF" w:rsidR="00E3463D" w:rsidP="00070116" w:rsidRDefault="00E3463D">
      <w:pPr>
        <w:numPr>
          <w:ilvl w:val="0"/>
          <w:numId w:val="1"/>
        </w:numPr>
        <w:tabs>
          <w:tab w:val="left" w:pos="540"/>
          <w:tab w:val="left" w:pos="720"/>
        </w:tabs>
        <w:ind w:firstLine="0"/>
        <w:rPr>
          <w:sz w:val="24"/>
          <w:szCs w:val="24"/>
        </w:rPr>
      </w:pPr>
      <w:r w:rsidRPr="007D33CF">
        <w:rPr>
          <w:sz w:val="24"/>
          <w:szCs w:val="24"/>
        </w:rPr>
        <w:t>Operating facilities;</w:t>
      </w:r>
    </w:p>
    <w:p w:rsidRPr="007D33CF" w:rsidR="00E3463D" w:rsidP="00070116" w:rsidRDefault="00E3463D">
      <w:pPr>
        <w:numPr>
          <w:ilvl w:val="0"/>
          <w:numId w:val="1"/>
        </w:numPr>
        <w:tabs>
          <w:tab w:val="left" w:pos="540"/>
          <w:tab w:val="left" w:pos="720"/>
        </w:tabs>
        <w:ind w:firstLine="0"/>
        <w:rPr>
          <w:sz w:val="24"/>
          <w:szCs w:val="24"/>
        </w:rPr>
      </w:pPr>
      <w:r w:rsidRPr="007D33CF">
        <w:rPr>
          <w:sz w:val="24"/>
          <w:szCs w:val="24"/>
        </w:rPr>
        <w:t>Safeguarding of assets, insurance coverage, and records preservation;</w:t>
      </w:r>
    </w:p>
    <w:p w:rsidRPr="007D33CF" w:rsidR="00E3463D" w:rsidP="00070116" w:rsidRDefault="00E3463D">
      <w:pPr>
        <w:numPr>
          <w:ilvl w:val="0"/>
          <w:numId w:val="1"/>
        </w:numPr>
        <w:tabs>
          <w:tab w:val="left" w:pos="540"/>
          <w:tab w:val="left" w:pos="720"/>
        </w:tabs>
        <w:ind w:firstLine="0"/>
        <w:rPr>
          <w:sz w:val="24"/>
          <w:szCs w:val="24"/>
        </w:rPr>
      </w:pPr>
      <w:r w:rsidRPr="007D33CF">
        <w:rPr>
          <w:sz w:val="24"/>
          <w:szCs w:val="24"/>
        </w:rPr>
        <w:t>Written policies;</w:t>
      </w:r>
    </w:p>
    <w:p w:rsidRPr="007D33CF" w:rsidR="00E3463D" w:rsidP="00070116" w:rsidRDefault="00E3463D">
      <w:pPr>
        <w:numPr>
          <w:ilvl w:val="0"/>
          <w:numId w:val="1"/>
        </w:numPr>
        <w:tabs>
          <w:tab w:val="left" w:pos="540"/>
          <w:tab w:val="left" w:pos="720"/>
        </w:tabs>
        <w:ind w:firstLine="0"/>
        <w:rPr>
          <w:sz w:val="24"/>
          <w:szCs w:val="24"/>
        </w:rPr>
      </w:pPr>
      <w:r w:rsidRPr="007D33CF">
        <w:rPr>
          <w:sz w:val="24"/>
          <w:szCs w:val="24"/>
        </w:rPr>
        <w:t>The field of membership to be served;</w:t>
      </w:r>
    </w:p>
    <w:p w:rsidRPr="007D33CF" w:rsidR="00E3463D" w:rsidP="00070116" w:rsidRDefault="00E3463D">
      <w:pPr>
        <w:numPr>
          <w:ilvl w:val="0"/>
          <w:numId w:val="1"/>
        </w:numPr>
        <w:tabs>
          <w:tab w:val="left" w:pos="540"/>
          <w:tab w:val="left" w:pos="720"/>
        </w:tabs>
        <w:ind w:firstLine="0"/>
        <w:rPr>
          <w:sz w:val="24"/>
          <w:szCs w:val="24"/>
        </w:rPr>
      </w:pPr>
      <w:r w:rsidRPr="007D33CF">
        <w:rPr>
          <w:sz w:val="24"/>
          <w:szCs w:val="24"/>
        </w:rPr>
        <w:t>Pro forma financial statements for the first and second year of operations;</w:t>
      </w:r>
    </w:p>
    <w:p w:rsidRPr="007D33CF" w:rsidR="00E3463D" w:rsidP="00070116" w:rsidRDefault="00E3463D">
      <w:pPr>
        <w:numPr>
          <w:ilvl w:val="0"/>
          <w:numId w:val="1"/>
        </w:numPr>
        <w:tabs>
          <w:tab w:val="left" w:pos="540"/>
          <w:tab w:val="left" w:pos="720"/>
        </w:tabs>
        <w:ind w:firstLine="0"/>
        <w:rPr>
          <w:sz w:val="24"/>
          <w:szCs w:val="24"/>
        </w:rPr>
      </w:pPr>
      <w:r w:rsidRPr="007D33CF">
        <w:rPr>
          <w:sz w:val="24"/>
          <w:szCs w:val="24"/>
        </w:rPr>
        <w:t>Internal controls;</w:t>
      </w:r>
    </w:p>
    <w:p w:rsidRPr="007D33CF" w:rsidR="00E3463D" w:rsidP="00070116" w:rsidRDefault="00E3463D">
      <w:pPr>
        <w:numPr>
          <w:ilvl w:val="0"/>
          <w:numId w:val="1"/>
        </w:numPr>
        <w:tabs>
          <w:tab w:val="left" w:pos="540"/>
          <w:tab w:val="left" w:pos="720"/>
        </w:tabs>
        <w:ind w:firstLine="0"/>
        <w:rPr>
          <w:sz w:val="24"/>
          <w:szCs w:val="24"/>
        </w:rPr>
      </w:pPr>
      <w:r w:rsidRPr="007D33CF">
        <w:rPr>
          <w:sz w:val="24"/>
          <w:szCs w:val="24"/>
        </w:rPr>
        <w:t>Accounting procedures used to analyze branch performance; and</w:t>
      </w:r>
    </w:p>
    <w:p w:rsidRPr="007D33CF" w:rsidR="00E3463D" w:rsidP="00070116" w:rsidRDefault="00E3463D">
      <w:pPr>
        <w:numPr>
          <w:ilvl w:val="0"/>
          <w:numId w:val="1"/>
        </w:numPr>
        <w:tabs>
          <w:tab w:val="left" w:pos="540"/>
          <w:tab w:val="left" w:pos="720"/>
        </w:tabs>
        <w:ind w:firstLine="0"/>
        <w:rPr>
          <w:sz w:val="24"/>
          <w:szCs w:val="24"/>
        </w:rPr>
      </w:pPr>
      <w:r w:rsidRPr="007D33CF">
        <w:rPr>
          <w:sz w:val="24"/>
          <w:szCs w:val="24"/>
        </w:rPr>
        <w:t>Foreign income taxation.</w:t>
      </w:r>
    </w:p>
    <w:p w:rsidRPr="007D33CF" w:rsidR="00E3463D" w:rsidP="00070116" w:rsidRDefault="00E3463D">
      <w:pPr>
        <w:tabs>
          <w:tab w:val="left" w:pos="540"/>
          <w:tab w:val="left" w:pos="720"/>
        </w:tabs>
        <w:ind w:left="720" w:hanging="720"/>
        <w:rPr>
          <w:sz w:val="24"/>
          <w:szCs w:val="24"/>
        </w:rPr>
      </w:pPr>
    </w:p>
    <w:p w:rsidRPr="007D33CF" w:rsidR="00DC2974" w:rsidP="00070116" w:rsidRDefault="007D33CF">
      <w:pPr>
        <w:tabs>
          <w:tab w:val="left" w:pos="720"/>
        </w:tabs>
        <w:ind w:left="720" w:hanging="720"/>
        <w:rPr>
          <w:sz w:val="24"/>
          <w:szCs w:val="24"/>
        </w:rPr>
      </w:pPr>
      <w:r>
        <w:rPr>
          <w:sz w:val="24"/>
          <w:szCs w:val="24"/>
        </w:rPr>
        <w:tab/>
      </w:r>
      <w:r w:rsidRPr="007D33CF" w:rsidR="00E3463D">
        <w:rPr>
          <w:sz w:val="24"/>
          <w:szCs w:val="24"/>
        </w:rPr>
        <w:t>This information is necessary to evaluate the safety and soundness of the decision to open the branch and to protect the interests of the National Credit Union Share Insurance Fund.</w:t>
      </w:r>
    </w:p>
    <w:p w:rsidRPr="007D33CF" w:rsidR="00DC2974" w:rsidP="00070116" w:rsidRDefault="00DC2974">
      <w:pPr>
        <w:tabs>
          <w:tab w:val="left" w:pos="540"/>
          <w:tab w:val="left" w:pos="720"/>
        </w:tabs>
        <w:ind w:left="720" w:hanging="720"/>
        <w:rPr>
          <w:sz w:val="24"/>
          <w:szCs w:val="24"/>
        </w:rPr>
      </w:pPr>
    </w:p>
    <w:p w:rsidRPr="007D33CF" w:rsidR="00DE75BB" w:rsidP="00070116" w:rsidRDefault="00DC2974">
      <w:pPr>
        <w:tabs>
          <w:tab w:val="left" w:pos="720"/>
        </w:tabs>
        <w:ind w:left="720" w:hanging="720"/>
        <w:rPr>
          <w:b/>
          <w:sz w:val="24"/>
          <w:szCs w:val="24"/>
        </w:rPr>
      </w:pPr>
      <w:r w:rsidRPr="007D33CF">
        <w:rPr>
          <w:b/>
          <w:sz w:val="24"/>
          <w:szCs w:val="24"/>
        </w:rPr>
        <w:t>2.</w:t>
      </w:r>
      <w:r w:rsidRPr="007D33CF">
        <w:rPr>
          <w:b/>
          <w:sz w:val="24"/>
          <w:szCs w:val="24"/>
        </w:rPr>
        <w:tab/>
      </w:r>
      <w:r w:rsidR="00070116">
        <w:rPr>
          <w:b/>
          <w:sz w:val="24"/>
          <w:szCs w:val="24"/>
        </w:rPr>
        <w:t>Purpose and use of the information collected.</w:t>
      </w:r>
    </w:p>
    <w:p w:rsidRPr="007D33CF" w:rsidR="00DE75BB" w:rsidP="00070116" w:rsidRDefault="00DE75BB">
      <w:pPr>
        <w:tabs>
          <w:tab w:val="left" w:pos="540"/>
          <w:tab w:val="left" w:pos="720"/>
        </w:tabs>
        <w:ind w:left="720" w:hanging="720"/>
        <w:rPr>
          <w:sz w:val="24"/>
          <w:szCs w:val="24"/>
        </w:rPr>
      </w:pPr>
    </w:p>
    <w:p w:rsidRPr="007D33CF" w:rsidR="00400FF6" w:rsidP="00070116" w:rsidRDefault="007D33CF">
      <w:pPr>
        <w:tabs>
          <w:tab w:val="left" w:pos="720"/>
        </w:tabs>
        <w:ind w:left="720" w:hanging="720"/>
        <w:rPr>
          <w:sz w:val="24"/>
          <w:szCs w:val="24"/>
        </w:rPr>
      </w:pPr>
      <w:r>
        <w:rPr>
          <w:sz w:val="24"/>
          <w:szCs w:val="24"/>
        </w:rPr>
        <w:tab/>
      </w:r>
      <w:r w:rsidRPr="007D33CF" w:rsidR="00DC2974">
        <w:rPr>
          <w:sz w:val="24"/>
          <w:szCs w:val="24"/>
        </w:rPr>
        <w:t xml:space="preserve">The information will be used by the NCUA to assist staff in determining the safety and soundness of the credit union’s decision </w:t>
      </w:r>
      <w:r w:rsidRPr="007D33CF" w:rsidR="00E3463D">
        <w:rPr>
          <w:sz w:val="24"/>
          <w:szCs w:val="24"/>
        </w:rPr>
        <w:t>to establish</w:t>
      </w:r>
      <w:r w:rsidRPr="007D33CF" w:rsidR="00DC2974">
        <w:rPr>
          <w:sz w:val="24"/>
          <w:szCs w:val="24"/>
        </w:rPr>
        <w:t xml:space="preserve"> a branch overseas and prevent potential losses to the credit union and the National Credit Union Share Insurance Fund</w:t>
      </w:r>
      <w:r w:rsidRPr="007D33CF" w:rsidR="00D57D8F">
        <w:rPr>
          <w:sz w:val="24"/>
          <w:szCs w:val="24"/>
        </w:rPr>
        <w:t xml:space="preserve"> (“NCUSIF”)</w:t>
      </w:r>
      <w:r w:rsidRPr="007D33CF" w:rsidR="0081570B">
        <w:rPr>
          <w:sz w:val="24"/>
          <w:szCs w:val="24"/>
        </w:rPr>
        <w:t>.</w:t>
      </w:r>
    </w:p>
    <w:p w:rsidRPr="007D33CF" w:rsidR="00400FF6" w:rsidP="00070116" w:rsidRDefault="00400FF6">
      <w:pPr>
        <w:tabs>
          <w:tab w:val="left" w:pos="540"/>
          <w:tab w:val="left" w:pos="720"/>
        </w:tabs>
        <w:ind w:left="720" w:hanging="720"/>
        <w:rPr>
          <w:sz w:val="24"/>
          <w:szCs w:val="24"/>
        </w:rPr>
      </w:pPr>
    </w:p>
    <w:p w:rsidRPr="007D33CF" w:rsidR="00DC2974" w:rsidP="00070116" w:rsidRDefault="00975CE0">
      <w:pPr>
        <w:tabs>
          <w:tab w:val="left" w:pos="720"/>
        </w:tabs>
        <w:ind w:left="720" w:hanging="720"/>
        <w:rPr>
          <w:b/>
          <w:sz w:val="24"/>
          <w:szCs w:val="24"/>
        </w:rPr>
      </w:pPr>
      <w:r>
        <w:rPr>
          <w:b/>
          <w:sz w:val="24"/>
          <w:szCs w:val="24"/>
        </w:rPr>
        <w:br w:type="page"/>
      </w:r>
      <w:r w:rsidRPr="007D33CF" w:rsidR="00DC2974">
        <w:rPr>
          <w:b/>
          <w:sz w:val="24"/>
          <w:szCs w:val="24"/>
        </w:rPr>
        <w:lastRenderedPageBreak/>
        <w:t>3.</w:t>
      </w:r>
      <w:r w:rsidRPr="007D33CF" w:rsidR="00DC2974">
        <w:rPr>
          <w:b/>
          <w:sz w:val="24"/>
          <w:szCs w:val="24"/>
        </w:rPr>
        <w:tab/>
      </w:r>
      <w:r w:rsidR="00070116">
        <w:rPr>
          <w:b/>
          <w:sz w:val="24"/>
          <w:szCs w:val="24"/>
        </w:rPr>
        <w:t>Use of i</w:t>
      </w:r>
      <w:r w:rsidRPr="007D33CF" w:rsidR="007D5608">
        <w:rPr>
          <w:b/>
          <w:sz w:val="24"/>
          <w:szCs w:val="24"/>
        </w:rPr>
        <w:t xml:space="preserve">nformation </w:t>
      </w:r>
      <w:r w:rsidR="00070116">
        <w:rPr>
          <w:b/>
          <w:sz w:val="24"/>
          <w:szCs w:val="24"/>
        </w:rPr>
        <w:t>t</w:t>
      </w:r>
      <w:r w:rsidRPr="007D33CF" w:rsidR="00EB7F37">
        <w:rPr>
          <w:b/>
          <w:sz w:val="24"/>
          <w:szCs w:val="24"/>
        </w:rPr>
        <w:t>echnology</w:t>
      </w:r>
      <w:r w:rsidR="00070116">
        <w:rPr>
          <w:b/>
          <w:sz w:val="24"/>
          <w:szCs w:val="24"/>
        </w:rPr>
        <w:t>.</w:t>
      </w:r>
    </w:p>
    <w:p w:rsidRPr="007D33CF" w:rsidR="00DC2974" w:rsidP="00070116" w:rsidRDefault="00DC2974">
      <w:pPr>
        <w:tabs>
          <w:tab w:val="left" w:pos="720"/>
        </w:tabs>
        <w:rPr>
          <w:sz w:val="24"/>
          <w:szCs w:val="24"/>
        </w:rPr>
      </w:pPr>
    </w:p>
    <w:p w:rsidRPr="007D33CF" w:rsidR="00DC2974" w:rsidP="00070116" w:rsidRDefault="007D33CF">
      <w:pPr>
        <w:tabs>
          <w:tab w:val="left" w:pos="720"/>
        </w:tabs>
        <w:ind w:left="720" w:hanging="720"/>
        <w:rPr>
          <w:sz w:val="24"/>
          <w:szCs w:val="24"/>
        </w:rPr>
      </w:pPr>
      <w:r>
        <w:rPr>
          <w:sz w:val="24"/>
          <w:szCs w:val="24"/>
        </w:rPr>
        <w:tab/>
      </w:r>
      <w:r w:rsidRPr="007D33CF" w:rsidR="007D5608">
        <w:rPr>
          <w:sz w:val="24"/>
          <w:szCs w:val="24"/>
        </w:rPr>
        <w:t>The necessary reports and analyses can be provided to the NCUA electronically.  This also applies to the documentation of state and foreign approvals, though the extent to which information technology can be used in obtaining those approvals is beyond the control of the NCUA.</w:t>
      </w:r>
    </w:p>
    <w:p w:rsidRPr="007D33CF" w:rsidR="00DC2974" w:rsidP="00070116" w:rsidRDefault="00DC2974">
      <w:pPr>
        <w:tabs>
          <w:tab w:val="left" w:pos="720"/>
        </w:tabs>
        <w:rPr>
          <w:sz w:val="24"/>
          <w:szCs w:val="24"/>
        </w:rPr>
      </w:pPr>
    </w:p>
    <w:p w:rsidRPr="00070116" w:rsidR="00070116" w:rsidP="00070116" w:rsidRDefault="00070116">
      <w:pPr>
        <w:ind w:left="720" w:hanging="720"/>
        <w:rPr>
          <w:b/>
          <w:sz w:val="24"/>
          <w:szCs w:val="24"/>
        </w:rPr>
      </w:pPr>
      <w:r w:rsidRPr="00070116">
        <w:rPr>
          <w:b/>
          <w:sz w:val="24"/>
          <w:szCs w:val="24"/>
        </w:rPr>
        <w:t>4.</w:t>
      </w:r>
      <w:r w:rsidRPr="00070116">
        <w:rPr>
          <w:b/>
          <w:sz w:val="24"/>
          <w:szCs w:val="24"/>
        </w:rPr>
        <w:tab/>
        <w:t>Duplication of information.</w:t>
      </w:r>
    </w:p>
    <w:p w:rsidR="007D33CF" w:rsidP="00070116" w:rsidRDefault="007D33CF">
      <w:pPr>
        <w:tabs>
          <w:tab w:val="left" w:pos="720"/>
        </w:tabs>
        <w:rPr>
          <w:sz w:val="24"/>
          <w:szCs w:val="24"/>
        </w:rPr>
      </w:pPr>
    </w:p>
    <w:p w:rsidRPr="007D33CF" w:rsidR="00DC2974" w:rsidP="00070116" w:rsidRDefault="007D33CF">
      <w:pPr>
        <w:tabs>
          <w:tab w:val="left" w:pos="720"/>
        </w:tabs>
        <w:ind w:left="720" w:hanging="720"/>
        <w:rPr>
          <w:sz w:val="24"/>
          <w:szCs w:val="24"/>
        </w:rPr>
      </w:pPr>
      <w:r>
        <w:rPr>
          <w:sz w:val="24"/>
          <w:szCs w:val="24"/>
        </w:rPr>
        <w:tab/>
      </w:r>
      <w:r w:rsidRPr="007D33CF" w:rsidR="00DC2974">
        <w:rPr>
          <w:sz w:val="24"/>
          <w:szCs w:val="24"/>
        </w:rPr>
        <w:t xml:space="preserve">There is no duplication.  The application is only necessary if the credit union wants to establish an overseas branch under Part </w:t>
      </w:r>
      <w:r w:rsidR="00975CE0">
        <w:rPr>
          <w:sz w:val="24"/>
          <w:szCs w:val="24"/>
        </w:rPr>
        <w:t>741, s</w:t>
      </w:r>
      <w:r w:rsidRPr="007D33CF" w:rsidR="007A3CAC">
        <w:rPr>
          <w:sz w:val="24"/>
          <w:szCs w:val="24"/>
        </w:rPr>
        <w:t xml:space="preserve">ection </w:t>
      </w:r>
      <w:r w:rsidRPr="007D33CF" w:rsidR="00DC2974">
        <w:rPr>
          <w:sz w:val="24"/>
          <w:szCs w:val="24"/>
        </w:rPr>
        <w:t>741.11.</w:t>
      </w:r>
      <w:r w:rsidRPr="007D33CF" w:rsidR="007D5608">
        <w:rPr>
          <w:sz w:val="24"/>
          <w:szCs w:val="24"/>
        </w:rPr>
        <w:t xml:space="preserve">  The specifics of the information will be unique to each branch a credit union seeks to establish.</w:t>
      </w:r>
    </w:p>
    <w:p w:rsidRPr="007D33CF" w:rsidR="00DC2974" w:rsidP="00070116" w:rsidRDefault="00DC2974">
      <w:pPr>
        <w:tabs>
          <w:tab w:val="left" w:pos="720"/>
        </w:tabs>
        <w:rPr>
          <w:sz w:val="24"/>
          <w:szCs w:val="24"/>
        </w:rPr>
      </w:pPr>
    </w:p>
    <w:p w:rsidRPr="00070116" w:rsidR="00070116" w:rsidP="00975CE0" w:rsidRDefault="00070116">
      <w:pPr>
        <w:ind w:left="720" w:hanging="720"/>
        <w:rPr>
          <w:b/>
          <w:sz w:val="24"/>
          <w:szCs w:val="24"/>
        </w:rPr>
      </w:pPr>
      <w:r w:rsidRPr="00070116">
        <w:rPr>
          <w:b/>
          <w:sz w:val="24"/>
          <w:szCs w:val="24"/>
        </w:rPr>
        <w:t>5.</w:t>
      </w:r>
      <w:r w:rsidRPr="00070116">
        <w:rPr>
          <w:b/>
          <w:sz w:val="24"/>
          <w:szCs w:val="24"/>
        </w:rPr>
        <w:tab/>
        <w:t>Efforts to reduce burden on small entities.</w:t>
      </w:r>
    </w:p>
    <w:p w:rsidRPr="007D33CF" w:rsidR="00DC2974" w:rsidP="00070116" w:rsidRDefault="00DC2974">
      <w:pPr>
        <w:tabs>
          <w:tab w:val="left" w:pos="720"/>
        </w:tabs>
        <w:rPr>
          <w:sz w:val="24"/>
          <w:szCs w:val="24"/>
        </w:rPr>
      </w:pPr>
    </w:p>
    <w:p w:rsidRPr="007D33CF" w:rsidR="00DC2974" w:rsidP="00070116" w:rsidRDefault="007D33CF">
      <w:pPr>
        <w:tabs>
          <w:tab w:val="left" w:pos="720"/>
        </w:tabs>
        <w:ind w:left="720" w:hanging="720"/>
        <w:rPr>
          <w:sz w:val="24"/>
          <w:szCs w:val="24"/>
        </w:rPr>
      </w:pPr>
      <w:r>
        <w:rPr>
          <w:sz w:val="24"/>
          <w:szCs w:val="24"/>
        </w:rPr>
        <w:tab/>
      </w:r>
      <w:r w:rsidRPr="007D33CF" w:rsidR="007D5608">
        <w:rPr>
          <w:sz w:val="24"/>
          <w:szCs w:val="24"/>
        </w:rPr>
        <w:t>T</w:t>
      </w:r>
      <w:r w:rsidRPr="007D33CF" w:rsidR="00394A29">
        <w:rPr>
          <w:sz w:val="24"/>
          <w:szCs w:val="24"/>
        </w:rPr>
        <w:t>he categories of information required to obtain approval of a foreign branch is the same for all credit</w:t>
      </w:r>
      <w:r w:rsidR="00F47ECF">
        <w:rPr>
          <w:sz w:val="24"/>
          <w:szCs w:val="24"/>
        </w:rPr>
        <w:t xml:space="preserve"> unions irrespective of size.  </w:t>
      </w:r>
      <w:r w:rsidRPr="007D33CF" w:rsidR="00394A29">
        <w:rPr>
          <w:sz w:val="24"/>
          <w:szCs w:val="24"/>
        </w:rPr>
        <w:t>However, it is less likely that a credit union that meets the definition of a small entity would seek to open branches outside the United States.</w:t>
      </w:r>
    </w:p>
    <w:p w:rsidRPr="007D33CF" w:rsidR="00DC2974" w:rsidP="00070116" w:rsidRDefault="00DC2974">
      <w:pPr>
        <w:tabs>
          <w:tab w:val="left" w:pos="720"/>
        </w:tabs>
        <w:ind w:left="720" w:hanging="720"/>
        <w:rPr>
          <w:sz w:val="24"/>
          <w:szCs w:val="24"/>
        </w:rPr>
      </w:pPr>
    </w:p>
    <w:p w:rsidRPr="00070116" w:rsidR="00070116" w:rsidP="00070116" w:rsidRDefault="00070116">
      <w:pPr>
        <w:ind w:left="720" w:hanging="720"/>
        <w:rPr>
          <w:b/>
          <w:sz w:val="24"/>
          <w:szCs w:val="24"/>
        </w:rPr>
      </w:pPr>
      <w:r w:rsidRPr="00070116">
        <w:rPr>
          <w:b/>
          <w:sz w:val="24"/>
          <w:szCs w:val="24"/>
        </w:rPr>
        <w:t>6.</w:t>
      </w:r>
      <w:r w:rsidRPr="00070116">
        <w:rPr>
          <w:b/>
          <w:sz w:val="24"/>
          <w:szCs w:val="24"/>
        </w:rPr>
        <w:tab/>
        <w:t xml:space="preserve">Consequences of not conducting the collection. </w:t>
      </w:r>
    </w:p>
    <w:p w:rsidRPr="007D33CF" w:rsidR="00DC2974" w:rsidP="00070116" w:rsidRDefault="00DC2974">
      <w:pPr>
        <w:tabs>
          <w:tab w:val="left" w:pos="720"/>
        </w:tabs>
        <w:ind w:left="720" w:hanging="720"/>
        <w:rPr>
          <w:sz w:val="24"/>
          <w:szCs w:val="24"/>
        </w:rPr>
      </w:pPr>
    </w:p>
    <w:p w:rsidRPr="007D33CF" w:rsidR="00DC2974" w:rsidP="00070116" w:rsidRDefault="007D33CF">
      <w:pPr>
        <w:tabs>
          <w:tab w:val="left" w:pos="720"/>
        </w:tabs>
        <w:ind w:left="720" w:hanging="720"/>
        <w:rPr>
          <w:sz w:val="24"/>
          <w:szCs w:val="24"/>
        </w:rPr>
      </w:pPr>
      <w:r>
        <w:rPr>
          <w:sz w:val="24"/>
          <w:szCs w:val="24"/>
        </w:rPr>
        <w:tab/>
      </w:r>
      <w:r w:rsidRPr="007D33CF" w:rsidR="00DC2974">
        <w:rPr>
          <w:sz w:val="24"/>
          <w:szCs w:val="24"/>
        </w:rPr>
        <w:t xml:space="preserve">The credit union is required to submit an application and business plan for approval to establish a foreign branch.  </w:t>
      </w:r>
      <w:r w:rsidRPr="007D33CF" w:rsidR="00D57D8F">
        <w:rPr>
          <w:sz w:val="24"/>
          <w:szCs w:val="24"/>
        </w:rPr>
        <w:t>This information is required only once.  Without this information it is impossible for the NCUA to evaluate any potential impact the establishment of a branch outside of the United States will have on the credit union or the NCUSIF.</w:t>
      </w:r>
      <w:r w:rsidRPr="007D33CF" w:rsidR="00DC2974">
        <w:rPr>
          <w:sz w:val="24"/>
          <w:szCs w:val="24"/>
        </w:rPr>
        <w:t xml:space="preserve">  </w:t>
      </w:r>
    </w:p>
    <w:p w:rsidRPr="00975CE0" w:rsidR="00DC2974" w:rsidP="00070116" w:rsidRDefault="00DC2974">
      <w:pPr>
        <w:tabs>
          <w:tab w:val="left" w:pos="720"/>
        </w:tabs>
        <w:ind w:left="720" w:hanging="720"/>
        <w:rPr>
          <w:sz w:val="24"/>
          <w:szCs w:val="24"/>
        </w:rPr>
      </w:pPr>
    </w:p>
    <w:p w:rsidRPr="00975CE0" w:rsidR="000117F4" w:rsidP="00975CE0" w:rsidRDefault="000117F4">
      <w:pPr>
        <w:ind w:left="720" w:hanging="720"/>
        <w:rPr>
          <w:b/>
          <w:sz w:val="24"/>
          <w:szCs w:val="24"/>
        </w:rPr>
      </w:pPr>
      <w:r w:rsidRPr="00975CE0">
        <w:rPr>
          <w:b/>
          <w:sz w:val="24"/>
          <w:szCs w:val="24"/>
        </w:rPr>
        <w:t>7.</w:t>
      </w:r>
      <w:r w:rsidRPr="00975CE0">
        <w:rPr>
          <w:b/>
          <w:sz w:val="24"/>
          <w:szCs w:val="24"/>
        </w:rPr>
        <w:tab/>
        <w:t>Inconsistencies with guidelines in 5 CFR 1320.5(d)(2).</w:t>
      </w:r>
    </w:p>
    <w:p w:rsidRPr="00975CE0" w:rsidR="00070116" w:rsidP="00070116" w:rsidRDefault="00070116">
      <w:pPr>
        <w:numPr>
          <w:ilvl w:val="12"/>
          <w:numId w:val="0"/>
        </w:numPr>
        <w:tabs>
          <w:tab w:val="left" w:pos="720"/>
        </w:tabs>
        <w:ind w:left="720" w:hanging="720"/>
        <w:rPr>
          <w:sz w:val="24"/>
          <w:szCs w:val="24"/>
        </w:rPr>
      </w:pPr>
    </w:p>
    <w:p w:rsidRPr="00975CE0" w:rsidR="00DC2974" w:rsidP="00070116" w:rsidRDefault="007D33CF">
      <w:pPr>
        <w:numPr>
          <w:ilvl w:val="12"/>
          <w:numId w:val="0"/>
        </w:numPr>
        <w:tabs>
          <w:tab w:val="left" w:pos="720"/>
        </w:tabs>
        <w:ind w:left="720" w:hanging="720"/>
        <w:rPr>
          <w:sz w:val="24"/>
          <w:szCs w:val="24"/>
        </w:rPr>
      </w:pPr>
      <w:r w:rsidRPr="00975CE0">
        <w:rPr>
          <w:sz w:val="24"/>
          <w:szCs w:val="24"/>
        </w:rPr>
        <w:tab/>
      </w:r>
      <w:r w:rsidRPr="00975CE0" w:rsidR="00975CE0">
        <w:rPr>
          <w:sz w:val="24"/>
          <w:szCs w:val="24"/>
        </w:rPr>
        <w:t>There are no special circumstances.  This collection is consistent with the guidelines in 5 CFR 1320.5(d)(2).</w:t>
      </w:r>
      <w:r w:rsidRPr="00975CE0" w:rsidR="00DC2974">
        <w:rPr>
          <w:sz w:val="24"/>
          <w:szCs w:val="24"/>
        </w:rPr>
        <w:t xml:space="preserve">  </w:t>
      </w:r>
    </w:p>
    <w:p w:rsidRPr="007D33CF" w:rsidR="00DC2974" w:rsidP="00070116" w:rsidRDefault="00DC2974">
      <w:pPr>
        <w:numPr>
          <w:ilvl w:val="12"/>
          <w:numId w:val="0"/>
        </w:numPr>
        <w:tabs>
          <w:tab w:val="left" w:pos="720"/>
        </w:tabs>
        <w:ind w:left="720" w:hanging="720"/>
        <w:rPr>
          <w:sz w:val="24"/>
          <w:szCs w:val="24"/>
        </w:rPr>
      </w:pPr>
    </w:p>
    <w:p w:rsidRPr="00AA6EA3" w:rsidR="00AA6EA3" w:rsidP="00975CE0" w:rsidRDefault="00AA6EA3">
      <w:pPr>
        <w:ind w:left="720" w:hanging="720"/>
        <w:rPr>
          <w:b/>
          <w:sz w:val="24"/>
          <w:szCs w:val="24"/>
        </w:rPr>
      </w:pPr>
      <w:r w:rsidRPr="00AA6EA3">
        <w:rPr>
          <w:b/>
          <w:sz w:val="24"/>
          <w:szCs w:val="24"/>
        </w:rPr>
        <w:t>8.</w:t>
      </w:r>
      <w:r w:rsidRPr="00AA6EA3">
        <w:rPr>
          <w:b/>
          <w:sz w:val="24"/>
          <w:szCs w:val="24"/>
        </w:rPr>
        <w:tab/>
        <w:t>Efforts to consult with persons outside the agency.</w:t>
      </w:r>
    </w:p>
    <w:p w:rsidRPr="007D33CF" w:rsidR="00DC2974" w:rsidP="00070116" w:rsidRDefault="00DC2974">
      <w:pPr>
        <w:numPr>
          <w:ilvl w:val="12"/>
          <w:numId w:val="0"/>
        </w:numPr>
        <w:tabs>
          <w:tab w:val="left" w:pos="720"/>
        </w:tabs>
        <w:ind w:left="720" w:hanging="720"/>
        <w:rPr>
          <w:i/>
          <w:sz w:val="24"/>
          <w:szCs w:val="24"/>
        </w:rPr>
      </w:pPr>
    </w:p>
    <w:p w:rsidRPr="007D33CF" w:rsidR="000B6381" w:rsidP="00070116" w:rsidRDefault="007D33CF">
      <w:pPr>
        <w:tabs>
          <w:tab w:val="left" w:pos="720"/>
        </w:tabs>
        <w:ind w:left="720" w:hanging="720"/>
        <w:rPr>
          <w:sz w:val="24"/>
          <w:szCs w:val="24"/>
        </w:rPr>
      </w:pPr>
      <w:r>
        <w:rPr>
          <w:sz w:val="24"/>
          <w:szCs w:val="24"/>
        </w:rPr>
        <w:tab/>
      </w:r>
      <w:r w:rsidR="00DE0587">
        <w:rPr>
          <w:sz w:val="24"/>
          <w:szCs w:val="24"/>
        </w:rPr>
        <w:t xml:space="preserve">A 60-day notice was published in the </w:t>
      </w:r>
      <w:r w:rsidRPr="00DE0587" w:rsidR="00DE0587">
        <w:rPr>
          <w:i/>
          <w:sz w:val="24"/>
          <w:szCs w:val="24"/>
        </w:rPr>
        <w:t>Federal Register</w:t>
      </w:r>
      <w:r w:rsidR="00DE0587">
        <w:rPr>
          <w:sz w:val="24"/>
          <w:szCs w:val="24"/>
        </w:rPr>
        <w:t xml:space="preserve"> on May 13, 2020, at 85 FR 28666, soliciting comments from the public.  No public comments were </w:t>
      </w:r>
      <w:r w:rsidRPr="007D33CF" w:rsidR="000B6381">
        <w:rPr>
          <w:sz w:val="24"/>
          <w:szCs w:val="24"/>
        </w:rPr>
        <w:t>receive</w:t>
      </w:r>
      <w:r w:rsidR="00DE0587">
        <w:rPr>
          <w:sz w:val="24"/>
          <w:szCs w:val="24"/>
        </w:rPr>
        <w:t>d in response to this notice.</w:t>
      </w:r>
    </w:p>
    <w:p w:rsidRPr="007D33CF" w:rsidR="00DC2974" w:rsidP="00070116" w:rsidRDefault="00DC2974">
      <w:pPr>
        <w:numPr>
          <w:ilvl w:val="12"/>
          <w:numId w:val="0"/>
        </w:numPr>
        <w:tabs>
          <w:tab w:val="left" w:pos="720"/>
        </w:tabs>
        <w:ind w:left="720" w:hanging="720"/>
        <w:rPr>
          <w:sz w:val="24"/>
          <w:szCs w:val="24"/>
        </w:rPr>
      </w:pPr>
    </w:p>
    <w:p w:rsidRPr="00AA6EA3" w:rsidR="00AA6EA3" w:rsidP="00975CE0" w:rsidRDefault="00AA6EA3">
      <w:pPr>
        <w:ind w:left="720" w:hanging="720"/>
        <w:rPr>
          <w:b/>
          <w:sz w:val="24"/>
          <w:szCs w:val="24"/>
        </w:rPr>
      </w:pPr>
      <w:r w:rsidRPr="00AA6EA3">
        <w:rPr>
          <w:b/>
          <w:sz w:val="24"/>
          <w:szCs w:val="24"/>
        </w:rPr>
        <w:t>9.</w:t>
      </w:r>
      <w:r w:rsidRPr="00AA6EA3">
        <w:rPr>
          <w:b/>
          <w:sz w:val="24"/>
          <w:szCs w:val="24"/>
        </w:rPr>
        <w:tab/>
        <w:t>Payment or gifts to respondents.</w:t>
      </w:r>
    </w:p>
    <w:p w:rsidRPr="007D33CF" w:rsidR="00DC2974" w:rsidP="00070116" w:rsidRDefault="00DC2974">
      <w:pPr>
        <w:numPr>
          <w:ilvl w:val="12"/>
          <w:numId w:val="0"/>
        </w:numPr>
        <w:tabs>
          <w:tab w:val="left" w:pos="720"/>
        </w:tabs>
        <w:ind w:left="720" w:hanging="720"/>
        <w:rPr>
          <w:sz w:val="24"/>
          <w:szCs w:val="24"/>
        </w:rPr>
      </w:pPr>
    </w:p>
    <w:p w:rsidRPr="007D33CF" w:rsidR="00BB614A" w:rsidP="00070116" w:rsidRDefault="007D33CF">
      <w:pPr>
        <w:numPr>
          <w:ilvl w:val="12"/>
          <w:numId w:val="0"/>
        </w:numPr>
        <w:tabs>
          <w:tab w:val="left" w:pos="720"/>
        </w:tabs>
        <w:ind w:left="720" w:hanging="720"/>
        <w:rPr>
          <w:sz w:val="24"/>
          <w:szCs w:val="24"/>
        </w:rPr>
      </w:pPr>
      <w:r>
        <w:rPr>
          <w:sz w:val="24"/>
          <w:szCs w:val="24"/>
        </w:rPr>
        <w:tab/>
      </w:r>
      <w:r w:rsidRPr="007D33CF" w:rsidR="00E64BFA">
        <w:rPr>
          <w:sz w:val="24"/>
          <w:szCs w:val="24"/>
        </w:rPr>
        <w:t>Respondents receive no payments or gifts related to provision of this information.</w:t>
      </w:r>
    </w:p>
    <w:p w:rsidRPr="007D33CF" w:rsidR="00BB614A" w:rsidP="00070116" w:rsidRDefault="00BB614A">
      <w:pPr>
        <w:numPr>
          <w:ilvl w:val="12"/>
          <w:numId w:val="0"/>
        </w:numPr>
        <w:tabs>
          <w:tab w:val="left" w:pos="720"/>
        </w:tabs>
        <w:ind w:left="720" w:hanging="720"/>
        <w:rPr>
          <w:sz w:val="24"/>
          <w:szCs w:val="24"/>
        </w:rPr>
      </w:pPr>
    </w:p>
    <w:p w:rsidRPr="00AA6EA3" w:rsidR="00AA6EA3" w:rsidP="00975CE0" w:rsidRDefault="00DE0587">
      <w:pPr>
        <w:ind w:left="720" w:hanging="720"/>
        <w:rPr>
          <w:b/>
          <w:sz w:val="24"/>
          <w:szCs w:val="24"/>
        </w:rPr>
      </w:pPr>
      <w:r>
        <w:rPr>
          <w:b/>
          <w:sz w:val="24"/>
          <w:szCs w:val="24"/>
        </w:rPr>
        <w:br w:type="page"/>
      </w:r>
      <w:r w:rsidRPr="00AA6EA3" w:rsidR="00AA6EA3">
        <w:rPr>
          <w:b/>
          <w:sz w:val="24"/>
          <w:szCs w:val="24"/>
        </w:rPr>
        <w:lastRenderedPageBreak/>
        <w:t>10.</w:t>
      </w:r>
      <w:r w:rsidRPr="00AA6EA3" w:rsidR="00AA6EA3">
        <w:rPr>
          <w:b/>
          <w:sz w:val="24"/>
          <w:szCs w:val="24"/>
        </w:rPr>
        <w:tab/>
        <w:t>Assurance of confidentiality.</w:t>
      </w:r>
    </w:p>
    <w:p w:rsidRPr="007D33CF" w:rsidR="00DC2974" w:rsidP="00070116" w:rsidRDefault="00DC2974">
      <w:pPr>
        <w:numPr>
          <w:ilvl w:val="12"/>
          <w:numId w:val="0"/>
        </w:numPr>
        <w:tabs>
          <w:tab w:val="left" w:pos="720"/>
        </w:tabs>
        <w:ind w:left="720" w:hanging="720"/>
        <w:rPr>
          <w:sz w:val="24"/>
          <w:szCs w:val="24"/>
        </w:rPr>
      </w:pPr>
    </w:p>
    <w:p w:rsidRPr="002A65CE" w:rsidR="002A65CE" w:rsidP="00070116" w:rsidRDefault="007D33CF">
      <w:pPr>
        <w:numPr>
          <w:ilvl w:val="12"/>
          <w:numId w:val="0"/>
        </w:numPr>
        <w:tabs>
          <w:tab w:val="left" w:pos="720"/>
        </w:tabs>
        <w:ind w:left="720" w:hanging="720"/>
        <w:rPr>
          <w:sz w:val="24"/>
          <w:szCs w:val="24"/>
        </w:rPr>
      </w:pPr>
      <w:r w:rsidRPr="002A65CE">
        <w:rPr>
          <w:sz w:val="24"/>
          <w:szCs w:val="24"/>
        </w:rPr>
        <w:tab/>
      </w:r>
      <w:r w:rsidRPr="002A65CE" w:rsidR="002A65CE">
        <w:rPr>
          <w:sz w:val="24"/>
          <w:szCs w:val="24"/>
        </w:rPr>
        <w:t>There is no assurance of confidentiality other than that provided by law.</w:t>
      </w:r>
    </w:p>
    <w:p w:rsidRPr="007D33CF" w:rsidR="00DC2974" w:rsidP="00070116" w:rsidRDefault="00DC2974">
      <w:pPr>
        <w:numPr>
          <w:ilvl w:val="12"/>
          <w:numId w:val="0"/>
        </w:numPr>
        <w:tabs>
          <w:tab w:val="left" w:pos="720"/>
        </w:tabs>
        <w:ind w:left="720" w:hanging="720"/>
        <w:rPr>
          <w:sz w:val="24"/>
          <w:szCs w:val="24"/>
        </w:rPr>
      </w:pPr>
    </w:p>
    <w:p w:rsidRPr="00AA6EA3" w:rsidR="00AA6EA3" w:rsidP="00975CE0" w:rsidRDefault="00AA6EA3">
      <w:pPr>
        <w:ind w:left="720" w:hanging="720"/>
        <w:rPr>
          <w:b/>
          <w:sz w:val="24"/>
          <w:szCs w:val="24"/>
        </w:rPr>
      </w:pPr>
      <w:r w:rsidRPr="00AA6EA3">
        <w:rPr>
          <w:b/>
          <w:sz w:val="24"/>
          <w:szCs w:val="24"/>
        </w:rPr>
        <w:t>11.</w:t>
      </w:r>
      <w:r w:rsidRPr="00AA6EA3">
        <w:rPr>
          <w:b/>
          <w:sz w:val="24"/>
          <w:szCs w:val="24"/>
        </w:rPr>
        <w:tab/>
        <w:t>Questions of a sensitive nature.</w:t>
      </w:r>
    </w:p>
    <w:p w:rsidRPr="00DE0587" w:rsidR="00DC2974" w:rsidP="00070116" w:rsidRDefault="00DC2974">
      <w:pPr>
        <w:numPr>
          <w:ilvl w:val="12"/>
          <w:numId w:val="0"/>
        </w:numPr>
        <w:tabs>
          <w:tab w:val="left" w:pos="720"/>
        </w:tabs>
        <w:ind w:left="720" w:hanging="720"/>
        <w:rPr>
          <w:sz w:val="24"/>
          <w:szCs w:val="24"/>
        </w:rPr>
      </w:pPr>
    </w:p>
    <w:p w:rsidRPr="00DE0587" w:rsidR="00DC2974" w:rsidP="00070116" w:rsidRDefault="007D33CF">
      <w:pPr>
        <w:numPr>
          <w:ilvl w:val="12"/>
          <w:numId w:val="0"/>
        </w:numPr>
        <w:tabs>
          <w:tab w:val="left" w:pos="720"/>
        </w:tabs>
        <w:ind w:left="720" w:hanging="720"/>
        <w:rPr>
          <w:sz w:val="24"/>
          <w:szCs w:val="24"/>
        </w:rPr>
      </w:pPr>
      <w:r w:rsidRPr="00DE0587">
        <w:rPr>
          <w:sz w:val="24"/>
          <w:szCs w:val="24"/>
        </w:rPr>
        <w:tab/>
      </w:r>
      <w:r w:rsidRPr="00DE0587" w:rsidR="00DE0587">
        <w:rPr>
          <w:spacing w:val="-3"/>
          <w:sz w:val="24"/>
          <w:szCs w:val="24"/>
        </w:rPr>
        <w:t xml:space="preserve">No questions of a sensitive nature are asked.  </w:t>
      </w:r>
      <w:r w:rsidRPr="00DE0587" w:rsidR="00DE0587">
        <w:rPr>
          <w:sz w:val="24"/>
          <w:szCs w:val="24"/>
        </w:rPr>
        <w:t>Personally Identifiable Information (PII) is not collected.</w:t>
      </w:r>
    </w:p>
    <w:p w:rsidRPr="00DE0587" w:rsidR="00DC2974" w:rsidP="00070116" w:rsidRDefault="00DC2974">
      <w:pPr>
        <w:numPr>
          <w:ilvl w:val="12"/>
          <w:numId w:val="0"/>
        </w:numPr>
        <w:tabs>
          <w:tab w:val="left" w:pos="720"/>
        </w:tabs>
        <w:ind w:left="720" w:hanging="720"/>
        <w:rPr>
          <w:sz w:val="24"/>
          <w:szCs w:val="24"/>
        </w:rPr>
      </w:pPr>
    </w:p>
    <w:p w:rsidRPr="00AA6EA3" w:rsidR="00AA6EA3" w:rsidP="00AA6EA3" w:rsidRDefault="00AA6EA3">
      <w:pPr>
        <w:ind w:left="720" w:hanging="720"/>
        <w:rPr>
          <w:b/>
          <w:sz w:val="24"/>
          <w:szCs w:val="24"/>
        </w:rPr>
      </w:pPr>
      <w:r w:rsidRPr="00AA6EA3">
        <w:rPr>
          <w:b/>
          <w:sz w:val="24"/>
          <w:szCs w:val="24"/>
        </w:rPr>
        <w:t>12.</w:t>
      </w:r>
      <w:r w:rsidRPr="00AA6EA3">
        <w:rPr>
          <w:b/>
          <w:sz w:val="24"/>
          <w:szCs w:val="24"/>
        </w:rPr>
        <w:tab/>
        <w:t>Burden of information collection.</w:t>
      </w:r>
    </w:p>
    <w:p w:rsidRPr="007D33CF" w:rsidR="00DC2974" w:rsidP="00070116" w:rsidRDefault="00DC2974">
      <w:pPr>
        <w:numPr>
          <w:ilvl w:val="12"/>
          <w:numId w:val="0"/>
        </w:numPr>
        <w:tabs>
          <w:tab w:val="left" w:pos="720"/>
        </w:tabs>
        <w:ind w:left="720" w:hanging="720"/>
        <w:rPr>
          <w:sz w:val="24"/>
          <w:szCs w:val="24"/>
        </w:rPr>
      </w:pPr>
    </w:p>
    <w:p w:rsidRPr="007D33CF" w:rsidR="007A3CAC" w:rsidP="00070116" w:rsidRDefault="00471647">
      <w:pPr>
        <w:numPr>
          <w:ilvl w:val="12"/>
          <w:numId w:val="0"/>
        </w:numPr>
        <w:tabs>
          <w:tab w:val="left" w:pos="720"/>
        </w:tabs>
        <w:ind w:left="720" w:hanging="720"/>
        <w:rPr>
          <w:sz w:val="24"/>
          <w:szCs w:val="24"/>
        </w:rPr>
      </w:pPr>
      <w:r>
        <w:rPr>
          <w:sz w:val="24"/>
          <w:szCs w:val="24"/>
        </w:rPr>
        <w:tab/>
      </w:r>
      <w:r w:rsidR="0064602D">
        <w:rPr>
          <w:sz w:val="24"/>
          <w:szCs w:val="24"/>
        </w:rPr>
        <w:t>No Federally Insured Credit Unions have sought to open any branches covered by this requirement over the last three years.  However, NCUA seeks to maintain an active control number in the event that a credit union seeks to exercise this option.</w:t>
      </w:r>
      <w:r w:rsidRPr="007D33CF" w:rsidR="00DC2974">
        <w:rPr>
          <w:sz w:val="24"/>
          <w:szCs w:val="24"/>
        </w:rPr>
        <w:t xml:space="preserve">  </w:t>
      </w:r>
    </w:p>
    <w:p w:rsidRPr="007D33CF" w:rsidR="00DC2974" w:rsidP="007D33CF" w:rsidRDefault="00DC2974">
      <w:pPr>
        <w:numPr>
          <w:ilvl w:val="12"/>
          <w:numId w:val="0"/>
        </w:numPr>
        <w:tabs>
          <w:tab w:val="left" w:pos="720"/>
        </w:tabs>
        <w:ind w:left="720" w:hanging="720"/>
        <w:rPr>
          <w:sz w:val="24"/>
          <w:szCs w:val="24"/>
        </w:rPr>
      </w:pPr>
      <w:r w:rsidRPr="007D33CF">
        <w:rPr>
          <w:sz w:val="24"/>
          <w:szCs w:val="24"/>
        </w:rPr>
        <w:t xml:space="preserve"> </w:t>
      </w:r>
    </w:p>
    <w:p w:rsidRPr="007D33CF" w:rsidR="00DC2974" w:rsidP="007D33CF" w:rsidRDefault="00471647">
      <w:pPr>
        <w:numPr>
          <w:ilvl w:val="12"/>
          <w:numId w:val="0"/>
        </w:numPr>
        <w:tabs>
          <w:tab w:val="left" w:pos="720"/>
        </w:tabs>
        <w:ind w:left="720" w:hanging="720"/>
        <w:rPr>
          <w:sz w:val="24"/>
          <w:szCs w:val="24"/>
        </w:rPr>
      </w:pPr>
      <w:r>
        <w:rPr>
          <w:sz w:val="24"/>
          <w:szCs w:val="24"/>
        </w:rPr>
        <w:tab/>
      </w:r>
      <w:r w:rsidRPr="007D33CF" w:rsidR="00DC2974">
        <w:rPr>
          <w:sz w:val="24"/>
          <w:szCs w:val="24"/>
        </w:rPr>
        <w:t>The burden of the collection of information is as follows:</w:t>
      </w:r>
    </w:p>
    <w:tbl>
      <w:tblPr>
        <w:tblW w:w="10331"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50"/>
        <w:gridCol w:w="335"/>
        <w:gridCol w:w="3645"/>
        <w:gridCol w:w="1229"/>
        <w:gridCol w:w="1013"/>
        <w:gridCol w:w="1013"/>
        <w:gridCol w:w="954"/>
        <w:gridCol w:w="992"/>
      </w:tblGrid>
      <w:tr w:rsidRPr="00F56F81" w:rsidR="00C153D5" w:rsidTr="00DE0587">
        <w:tc>
          <w:tcPr>
            <w:tcW w:w="1150" w:type="dxa"/>
            <w:tcBorders>
              <w:top w:val="nil"/>
              <w:left w:val="nil"/>
              <w:bottom w:val="single" w:color="auto" w:sz="4" w:space="0"/>
              <w:right w:val="nil"/>
            </w:tcBorders>
          </w:tcPr>
          <w:p w:rsidRPr="00F56F81" w:rsidR="00C153D5" w:rsidP="00F56F81" w:rsidRDefault="00C153D5">
            <w:pPr>
              <w:numPr>
                <w:ilvl w:val="12"/>
                <w:numId w:val="0"/>
              </w:numPr>
              <w:tabs>
                <w:tab w:val="left" w:pos="720"/>
              </w:tabs>
              <w:ind w:firstLine="432"/>
              <w:rPr>
                <w:sz w:val="24"/>
                <w:szCs w:val="24"/>
              </w:rPr>
            </w:pPr>
          </w:p>
        </w:tc>
        <w:tc>
          <w:tcPr>
            <w:tcW w:w="335" w:type="dxa"/>
            <w:tcBorders>
              <w:top w:val="nil"/>
              <w:left w:val="nil"/>
              <w:bottom w:val="single" w:color="auto" w:sz="4" w:space="0"/>
              <w:right w:val="nil"/>
            </w:tcBorders>
          </w:tcPr>
          <w:p w:rsidRPr="00F56F81" w:rsidR="00C153D5" w:rsidP="00F56F81" w:rsidRDefault="00C153D5">
            <w:pPr>
              <w:numPr>
                <w:ilvl w:val="12"/>
                <w:numId w:val="0"/>
              </w:numPr>
              <w:tabs>
                <w:tab w:val="left" w:pos="720"/>
              </w:tabs>
              <w:ind w:firstLine="432"/>
              <w:rPr>
                <w:sz w:val="24"/>
                <w:szCs w:val="24"/>
              </w:rPr>
            </w:pPr>
          </w:p>
        </w:tc>
        <w:tc>
          <w:tcPr>
            <w:tcW w:w="3645" w:type="dxa"/>
            <w:tcBorders>
              <w:top w:val="nil"/>
              <w:left w:val="nil"/>
              <w:bottom w:val="single" w:color="auto" w:sz="4" w:space="0"/>
              <w:right w:val="single" w:color="auto" w:sz="4" w:space="0"/>
            </w:tcBorders>
            <w:shd w:val="clear" w:color="auto" w:fill="auto"/>
          </w:tcPr>
          <w:p w:rsidRPr="00F56F81" w:rsidR="00C153D5" w:rsidP="00F56F81" w:rsidRDefault="00C153D5">
            <w:pPr>
              <w:numPr>
                <w:ilvl w:val="12"/>
                <w:numId w:val="0"/>
              </w:numPr>
              <w:tabs>
                <w:tab w:val="left" w:pos="720"/>
              </w:tabs>
              <w:ind w:firstLine="432"/>
              <w:rPr>
                <w:sz w:val="24"/>
                <w:szCs w:val="24"/>
              </w:rPr>
            </w:pPr>
          </w:p>
        </w:tc>
        <w:tc>
          <w:tcPr>
            <w:tcW w:w="1229" w:type="dxa"/>
            <w:tcBorders>
              <w:left w:val="single" w:color="auto" w:sz="4" w:space="0"/>
            </w:tcBorders>
            <w:shd w:val="clear" w:color="auto" w:fill="auto"/>
            <w:vAlign w:val="center"/>
          </w:tcPr>
          <w:p w:rsidRPr="00C153D5" w:rsidR="00C153D5" w:rsidP="00F56F81" w:rsidRDefault="00C153D5">
            <w:pPr>
              <w:numPr>
                <w:ilvl w:val="12"/>
                <w:numId w:val="0"/>
              </w:numPr>
              <w:tabs>
                <w:tab w:val="left" w:pos="720"/>
              </w:tabs>
              <w:jc w:val="center"/>
              <w:rPr>
                <w:rFonts w:ascii="Arial Narrow" w:hAnsi="Arial Narrow"/>
                <w:sz w:val="18"/>
                <w:szCs w:val="18"/>
              </w:rPr>
            </w:pPr>
            <w:r w:rsidRPr="00C153D5">
              <w:rPr>
                <w:rFonts w:ascii="Arial Narrow" w:hAnsi="Arial Narrow"/>
                <w:sz w:val="18"/>
                <w:szCs w:val="18"/>
              </w:rPr>
              <w:t>No. of Respondents</w:t>
            </w:r>
          </w:p>
        </w:tc>
        <w:tc>
          <w:tcPr>
            <w:tcW w:w="1013" w:type="dxa"/>
            <w:vAlign w:val="center"/>
          </w:tcPr>
          <w:p w:rsidRPr="00C153D5" w:rsidR="00C153D5" w:rsidP="00F56F81" w:rsidRDefault="00C153D5">
            <w:pPr>
              <w:numPr>
                <w:ilvl w:val="12"/>
                <w:numId w:val="0"/>
              </w:numPr>
              <w:tabs>
                <w:tab w:val="left" w:pos="720"/>
              </w:tabs>
              <w:jc w:val="center"/>
              <w:rPr>
                <w:rFonts w:ascii="Arial Narrow" w:hAnsi="Arial Narrow"/>
                <w:sz w:val="18"/>
                <w:szCs w:val="18"/>
              </w:rPr>
            </w:pPr>
            <w:r>
              <w:rPr>
                <w:rFonts w:ascii="Arial Narrow" w:hAnsi="Arial Narrow"/>
                <w:sz w:val="18"/>
                <w:szCs w:val="18"/>
              </w:rPr>
              <w:t>No. responses per respondent</w:t>
            </w:r>
          </w:p>
        </w:tc>
        <w:tc>
          <w:tcPr>
            <w:tcW w:w="1013" w:type="dxa"/>
            <w:vAlign w:val="center"/>
          </w:tcPr>
          <w:p w:rsidRPr="00C153D5" w:rsidR="00C153D5" w:rsidP="00F56F81" w:rsidRDefault="00C153D5">
            <w:pPr>
              <w:numPr>
                <w:ilvl w:val="12"/>
                <w:numId w:val="0"/>
              </w:numPr>
              <w:tabs>
                <w:tab w:val="left" w:pos="720"/>
              </w:tabs>
              <w:jc w:val="center"/>
              <w:rPr>
                <w:rFonts w:ascii="Arial Narrow" w:hAnsi="Arial Narrow"/>
                <w:sz w:val="18"/>
                <w:szCs w:val="18"/>
              </w:rPr>
            </w:pPr>
            <w:r>
              <w:rPr>
                <w:rFonts w:ascii="Arial Narrow" w:hAnsi="Arial Narrow"/>
                <w:sz w:val="18"/>
                <w:szCs w:val="18"/>
              </w:rPr>
              <w:t>No. Annual Responses</w:t>
            </w:r>
          </w:p>
        </w:tc>
        <w:tc>
          <w:tcPr>
            <w:tcW w:w="954" w:type="dxa"/>
            <w:vAlign w:val="center"/>
          </w:tcPr>
          <w:p w:rsidRPr="00C153D5" w:rsidR="00C153D5" w:rsidP="00F56F81" w:rsidRDefault="00C153D5">
            <w:pPr>
              <w:numPr>
                <w:ilvl w:val="12"/>
                <w:numId w:val="0"/>
              </w:numPr>
              <w:tabs>
                <w:tab w:val="left" w:pos="720"/>
              </w:tabs>
              <w:jc w:val="center"/>
              <w:rPr>
                <w:rFonts w:ascii="Arial Narrow" w:hAnsi="Arial Narrow"/>
                <w:sz w:val="18"/>
                <w:szCs w:val="18"/>
              </w:rPr>
            </w:pPr>
            <w:r>
              <w:rPr>
                <w:rFonts w:ascii="Arial Narrow" w:hAnsi="Arial Narrow"/>
                <w:sz w:val="18"/>
                <w:szCs w:val="18"/>
              </w:rPr>
              <w:t>Hours per Response</w:t>
            </w:r>
          </w:p>
        </w:tc>
        <w:tc>
          <w:tcPr>
            <w:tcW w:w="992" w:type="dxa"/>
            <w:shd w:val="clear" w:color="auto" w:fill="auto"/>
            <w:vAlign w:val="center"/>
          </w:tcPr>
          <w:p w:rsidRPr="00C153D5" w:rsidR="00C153D5" w:rsidP="00F56F81" w:rsidRDefault="00C153D5">
            <w:pPr>
              <w:numPr>
                <w:ilvl w:val="12"/>
                <w:numId w:val="0"/>
              </w:numPr>
              <w:tabs>
                <w:tab w:val="left" w:pos="720"/>
              </w:tabs>
              <w:jc w:val="center"/>
              <w:rPr>
                <w:rFonts w:ascii="Arial Narrow" w:hAnsi="Arial Narrow"/>
                <w:sz w:val="18"/>
                <w:szCs w:val="18"/>
              </w:rPr>
            </w:pPr>
            <w:r>
              <w:rPr>
                <w:rFonts w:ascii="Arial Narrow" w:hAnsi="Arial Narrow"/>
                <w:sz w:val="18"/>
                <w:szCs w:val="18"/>
              </w:rPr>
              <w:t>Total Annual Burden</w:t>
            </w:r>
          </w:p>
        </w:tc>
      </w:tr>
      <w:tr w:rsidRPr="00F56F81" w:rsidR="00C153D5" w:rsidTr="00DE0587">
        <w:tc>
          <w:tcPr>
            <w:tcW w:w="1150" w:type="dxa"/>
            <w:tcBorders>
              <w:top w:val="single" w:color="auto" w:sz="4" w:space="0"/>
              <w:bottom w:val="single" w:color="auto" w:sz="4" w:space="0"/>
            </w:tcBorders>
          </w:tcPr>
          <w:p w:rsidRPr="00601FAF" w:rsidR="00C153D5" w:rsidP="00F56F81" w:rsidRDefault="00C153D5">
            <w:pPr>
              <w:numPr>
                <w:ilvl w:val="12"/>
                <w:numId w:val="0"/>
              </w:numPr>
              <w:tabs>
                <w:tab w:val="left" w:pos="720"/>
              </w:tabs>
              <w:rPr>
                <w:rFonts w:ascii="Arial" w:hAnsi="Arial" w:cs="Arial"/>
                <w:sz w:val="18"/>
                <w:szCs w:val="18"/>
              </w:rPr>
            </w:pPr>
            <w:r w:rsidRPr="00601FAF">
              <w:rPr>
                <w:rFonts w:ascii="Arial" w:hAnsi="Arial" w:cs="Arial"/>
                <w:sz w:val="18"/>
                <w:szCs w:val="18"/>
              </w:rPr>
              <w:t>741.11(a)</w:t>
            </w:r>
          </w:p>
        </w:tc>
        <w:tc>
          <w:tcPr>
            <w:tcW w:w="3980" w:type="dxa"/>
            <w:gridSpan w:val="2"/>
            <w:tcBorders>
              <w:top w:val="single" w:color="auto" w:sz="4" w:space="0"/>
            </w:tcBorders>
          </w:tcPr>
          <w:p w:rsidRPr="00601FAF" w:rsidR="00C153D5" w:rsidP="00601FAF" w:rsidRDefault="00C153D5">
            <w:pPr>
              <w:numPr>
                <w:ilvl w:val="12"/>
                <w:numId w:val="0"/>
              </w:numPr>
              <w:tabs>
                <w:tab w:val="left" w:pos="720"/>
              </w:tabs>
              <w:rPr>
                <w:rFonts w:ascii="Arial" w:hAnsi="Arial" w:cs="Arial"/>
                <w:sz w:val="18"/>
                <w:szCs w:val="18"/>
              </w:rPr>
            </w:pPr>
            <w:r w:rsidRPr="00601FAF">
              <w:rPr>
                <w:rFonts w:ascii="Arial" w:hAnsi="Arial" w:cs="Arial"/>
                <w:sz w:val="18"/>
                <w:szCs w:val="18"/>
              </w:rPr>
              <w:t xml:space="preserve">A credit union insured under Title II of the Act must apply for and received approval from NCUA.  </w:t>
            </w:r>
            <w:r w:rsidRPr="00601FAF" w:rsidR="00601FAF">
              <w:rPr>
                <w:rFonts w:ascii="Arial" w:hAnsi="Arial" w:cs="Arial"/>
                <w:sz w:val="18"/>
                <w:szCs w:val="18"/>
              </w:rPr>
              <w:t>An</w:t>
            </w:r>
            <w:r w:rsidRPr="00601FAF">
              <w:rPr>
                <w:rFonts w:ascii="Arial" w:hAnsi="Arial" w:cs="Arial"/>
                <w:sz w:val="18"/>
                <w:szCs w:val="18"/>
              </w:rPr>
              <w:t xml:space="preserve"> application must include:</w:t>
            </w:r>
          </w:p>
        </w:tc>
        <w:tc>
          <w:tcPr>
            <w:tcW w:w="1229" w:type="dxa"/>
            <w:vMerge w:val="restart"/>
            <w:shd w:val="clear" w:color="auto" w:fill="auto"/>
            <w:vAlign w:val="center"/>
          </w:tcPr>
          <w:p w:rsidRPr="00601FAF" w:rsidR="00C153D5" w:rsidP="00601FAF" w:rsidRDefault="00C153D5">
            <w:pPr>
              <w:numPr>
                <w:ilvl w:val="12"/>
                <w:numId w:val="0"/>
              </w:numPr>
              <w:tabs>
                <w:tab w:val="left" w:pos="720"/>
              </w:tabs>
              <w:jc w:val="right"/>
              <w:rPr>
                <w:rFonts w:ascii="Arial" w:hAnsi="Arial" w:cs="Arial"/>
                <w:sz w:val="18"/>
                <w:szCs w:val="18"/>
              </w:rPr>
            </w:pPr>
            <w:r w:rsidRPr="00601FAF">
              <w:rPr>
                <w:rFonts w:ascii="Arial" w:hAnsi="Arial" w:cs="Arial"/>
                <w:sz w:val="18"/>
                <w:szCs w:val="18"/>
              </w:rPr>
              <w:t>1</w:t>
            </w:r>
          </w:p>
        </w:tc>
        <w:tc>
          <w:tcPr>
            <w:tcW w:w="1013" w:type="dxa"/>
            <w:vMerge w:val="restart"/>
            <w:vAlign w:val="center"/>
          </w:tcPr>
          <w:p w:rsidRPr="00601FAF" w:rsidR="00C153D5" w:rsidP="00601FAF" w:rsidRDefault="00C153D5">
            <w:pPr>
              <w:numPr>
                <w:ilvl w:val="12"/>
                <w:numId w:val="0"/>
              </w:numPr>
              <w:tabs>
                <w:tab w:val="left" w:pos="720"/>
              </w:tabs>
              <w:jc w:val="right"/>
              <w:rPr>
                <w:rFonts w:ascii="Arial" w:hAnsi="Arial" w:cs="Arial"/>
                <w:sz w:val="18"/>
                <w:szCs w:val="18"/>
              </w:rPr>
            </w:pPr>
            <w:r w:rsidRPr="00601FAF">
              <w:rPr>
                <w:rFonts w:ascii="Arial" w:hAnsi="Arial" w:cs="Arial"/>
                <w:sz w:val="18"/>
                <w:szCs w:val="18"/>
              </w:rPr>
              <w:t>1</w:t>
            </w:r>
          </w:p>
        </w:tc>
        <w:tc>
          <w:tcPr>
            <w:tcW w:w="1013" w:type="dxa"/>
            <w:vMerge w:val="restart"/>
            <w:vAlign w:val="center"/>
          </w:tcPr>
          <w:p w:rsidRPr="00601FAF" w:rsidR="00C153D5" w:rsidP="00601FAF" w:rsidRDefault="00601FAF">
            <w:pPr>
              <w:numPr>
                <w:ilvl w:val="12"/>
                <w:numId w:val="0"/>
              </w:numPr>
              <w:tabs>
                <w:tab w:val="left" w:pos="720"/>
              </w:tabs>
              <w:jc w:val="right"/>
              <w:rPr>
                <w:rFonts w:ascii="Arial" w:hAnsi="Arial" w:cs="Arial"/>
                <w:sz w:val="18"/>
                <w:szCs w:val="18"/>
              </w:rPr>
            </w:pPr>
            <w:r w:rsidRPr="00601FAF">
              <w:rPr>
                <w:rFonts w:ascii="Arial" w:hAnsi="Arial" w:cs="Arial"/>
                <w:sz w:val="18"/>
                <w:szCs w:val="18"/>
              </w:rPr>
              <w:t>1</w:t>
            </w:r>
          </w:p>
        </w:tc>
        <w:tc>
          <w:tcPr>
            <w:tcW w:w="954" w:type="dxa"/>
            <w:vMerge w:val="restart"/>
            <w:vAlign w:val="center"/>
          </w:tcPr>
          <w:p w:rsidRPr="00601FAF" w:rsidR="00C153D5" w:rsidP="00601FAF" w:rsidRDefault="00601FAF">
            <w:pPr>
              <w:numPr>
                <w:ilvl w:val="12"/>
                <w:numId w:val="0"/>
              </w:numPr>
              <w:tabs>
                <w:tab w:val="left" w:pos="720"/>
              </w:tabs>
              <w:jc w:val="right"/>
              <w:rPr>
                <w:rFonts w:ascii="Arial" w:hAnsi="Arial" w:cs="Arial"/>
                <w:sz w:val="18"/>
                <w:szCs w:val="18"/>
              </w:rPr>
            </w:pPr>
            <w:r w:rsidRPr="00601FAF">
              <w:rPr>
                <w:rFonts w:ascii="Arial" w:hAnsi="Arial" w:cs="Arial"/>
                <w:sz w:val="18"/>
                <w:szCs w:val="18"/>
              </w:rPr>
              <w:t>1</w:t>
            </w:r>
            <w:r w:rsidR="00266653">
              <w:rPr>
                <w:rFonts w:ascii="Arial" w:hAnsi="Arial" w:cs="Arial"/>
                <w:sz w:val="18"/>
                <w:szCs w:val="18"/>
              </w:rPr>
              <w:t>6</w:t>
            </w:r>
          </w:p>
        </w:tc>
        <w:tc>
          <w:tcPr>
            <w:tcW w:w="992" w:type="dxa"/>
            <w:vMerge w:val="restart"/>
            <w:shd w:val="clear" w:color="auto" w:fill="auto"/>
            <w:vAlign w:val="center"/>
          </w:tcPr>
          <w:p w:rsidRPr="00601FAF" w:rsidR="00C153D5" w:rsidP="00601FAF" w:rsidRDefault="00C153D5">
            <w:pPr>
              <w:numPr>
                <w:ilvl w:val="12"/>
                <w:numId w:val="0"/>
              </w:numPr>
              <w:tabs>
                <w:tab w:val="left" w:pos="720"/>
              </w:tabs>
              <w:jc w:val="right"/>
              <w:rPr>
                <w:rFonts w:ascii="Arial" w:hAnsi="Arial" w:cs="Arial"/>
                <w:sz w:val="18"/>
                <w:szCs w:val="18"/>
              </w:rPr>
            </w:pPr>
            <w:r w:rsidRPr="00601FAF">
              <w:rPr>
                <w:rFonts w:ascii="Arial" w:hAnsi="Arial" w:cs="Arial"/>
                <w:sz w:val="18"/>
                <w:szCs w:val="18"/>
              </w:rPr>
              <w:t>16</w:t>
            </w:r>
          </w:p>
        </w:tc>
      </w:tr>
      <w:tr w:rsidRPr="00F56F81" w:rsidR="00DE0587" w:rsidTr="00DE0587">
        <w:tc>
          <w:tcPr>
            <w:tcW w:w="1150" w:type="dxa"/>
            <w:vMerge w:val="restart"/>
            <w:tcBorders>
              <w:top w:val="single" w:color="auto" w:sz="4" w:space="0"/>
              <w:left w:val="single" w:color="auto" w:sz="4" w:space="0"/>
              <w:right w:val="single" w:color="auto" w:sz="4" w:space="0"/>
            </w:tcBorders>
          </w:tcPr>
          <w:p w:rsidRPr="00601FAF" w:rsidR="00DE0587" w:rsidP="00F56F81" w:rsidRDefault="00DE0587">
            <w:pPr>
              <w:numPr>
                <w:ilvl w:val="12"/>
                <w:numId w:val="0"/>
              </w:numPr>
              <w:tabs>
                <w:tab w:val="left" w:pos="720"/>
              </w:tabs>
              <w:rPr>
                <w:rFonts w:ascii="Arial" w:hAnsi="Arial" w:cs="Arial"/>
                <w:sz w:val="18"/>
                <w:szCs w:val="18"/>
              </w:rPr>
            </w:pPr>
            <w:r w:rsidRPr="00601FAF">
              <w:rPr>
                <w:rFonts w:ascii="Arial" w:hAnsi="Arial" w:cs="Arial"/>
                <w:sz w:val="18"/>
                <w:szCs w:val="18"/>
              </w:rPr>
              <w:t>741.11(b)</w:t>
            </w:r>
          </w:p>
        </w:tc>
        <w:tc>
          <w:tcPr>
            <w:tcW w:w="335" w:type="dxa"/>
            <w:tcBorders>
              <w:top w:val="single" w:color="auto" w:sz="4" w:space="0"/>
              <w:left w:val="single" w:color="auto" w:sz="4" w:space="0"/>
            </w:tcBorders>
          </w:tcPr>
          <w:p w:rsidRPr="00601FAF" w:rsidR="00DE0587" w:rsidP="00F56F81" w:rsidRDefault="00DE0587">
            <w:pPr>
              <w:numPr>
                <w:ilvl w:val="12"/>
                <w:numId w:val="0"/>
              </w:numPr>
              <w:tabs>
                <w:tab w:val="left" w:pos="720"/>
              </w:tabs>
              <w:rPr>
                <w:rFonts w:ascii="Arial" w:hAnsi="Arial" w:cs="Arial"/>
                <w:sz w:val="18"/>
                <w:szCs w:val="18"/>
              </w:rPr>
            </w:pPr>
            <w:r w:rsidRPr="00601FAF">
              <w:rPr>
                <w:rFonts w:ascii="Arial" w:hAnsi="Arial" w:cs="Arial"/>
                <w:sz w:val="18"/>
                <w:szCs w:val="18"/>
              </w:rPr>
              <w:t>1</w:t>
            </w:r>
          </w:p>
        </w:tc>
        <w:tc>
          <w:tcPr>
            <w:tcW w:w="3645" w:type="dxa"/>
            <w:tcBorders>
              <w:top w:val="single" w:color="auto" w:sz="4" w:space="0"/>
            </w:tcBorders>
            <w:shd w:val="clear" w:color="auto" w:fill="auto"/>
          </w:tcPr>
          <w:p w:rsidRPr="00601FAF" w:rsidR="00DE0587" w:rsidP="00F56F81" w:rsidRDefault="00DE0587">
            <w:pPr>
              <w:numPr>
                <w:ilvl w:val="12"/>
                <w:numId w:val="0"/>
              </w:numPr>
              <w:tabs>
                <w:tab w:val="left" w:pos="720"/>
              </w:tabs>
              <w:rPr>
                <w:rFonts w:ascii="Arial" w:hAnsi="Arial" w:cs="Arial"/>
                <w:sz w:val="18"/>
                <w:szCs w:val="18"/>
              </w:rPr>
            </w:pPr>
            <w:r w:rsidRPr="00601FAF">
              <w:rPr>
                <w:rFonts w:ascii="Arial" w:hAnsi="Arial" w:cs="Arial"/>
                <w:sz w:val="18"/>
                <w:szCs w:val="18"/>
              </w:rPr>
              <w:t>Business Plan</w:t>
            </w:r>
          </w:p>
        </w:tc>
        <w:tc>
          <w:tcPr>
            <w:tcW w:w="1229" w:type="dxa"/>
            <w:vMerge/>
            <w:shd w:val="clear" w:color="auto" w:fill="auto"/>
            <w:vAlign w:val="center"/>
          </w:tcPr>
          <w:p w:rsidRPr="00601FAF" w:rsidR="00DE0587" w:rsidP="00601FAF" w:rsidRDefault="00DE0587">
            <w:pPr>
              <w:numPr>
                <w:ilvl w:val="12"/>
                <w:numId w:val="0"/>
              </w:numPr>
              <w:tabs>
                <w:tab w:val="left" w:pos="720"/>
              </w:tabs>
              <w:jc w:val="right"/>
              <w:rPr>
                <w:rFonts w:ascii="Arial" w:hAnsi="Arial" w:cs="Arial"/>
                <w:sz w:val="18"/>
                <w:szCs w:val="18"/>
              </w:rPr>
            </w:pPr>
          </w:p>
        </w:tc>
        <w:tc>
          <w:tcPr>
            <w:tcW w:w="1013" w:type="dxa"/>
            <w:vMerge/>
            <w:vAlign w:val="center"/>
          </w:tcPr>
          <w:p w:rsidRPr="00601FAF" w:rsidR="00DE0587" w:rsidP="00601FAF" w:rsidRDefault="00DE0587">
            <w:pPr>
              <w:numPr>
                <w:ilvl w:val="12"/>
                <w:numId w:val="0"/>
              </w:numPr>
              <w:tabs>
                <w:tab w:val="left" w:pos="720"/>
              </w:tabs>
              <w:jc w:val="right"/>
              <w:rPr>
                <w:rFonts w:ascii="Arial" w:hAnsi="Arial" w:cs="Arial"/>
                <w:sz w:val="18"/>
                <w:szCs w:val="18"/>
              </w:rPr>
            </w:pPr>
          </w:p>
        </w:tc>
        <w:tc>
          <w:tcPr>
            <w:tcW w:w="1013" w:type="dxa"/>
            <w:vMerge/>
          </w:tcPr>
          <w:p w:rsidRPr="00601FAF" w:rsidR="00DE0587" w:rsidP="00601FAF" w:rsidRDefault="00DE0587">
            <w:pPr>
              <w:numPr>
                <w:ilvl w:val="12"/>
                <w:numId w:val="0"/>
              </w:numPr>
              <w:tabs>
                <w:tab w:val="left" w:pos="720"/>
              </w:tabs>
              <w:jc w:val="right"/>
              <w:rPr>
                <w:rFonts w:ascii="Arial" w:hAnsi="Arial" w:cs="Arial"/>
                <w:sz w:val="18"/>
                <w:szCs w:val="18"/>
              </w:rPr>
            </w:pPr>
          </w:p>
        </w:tc>
        <w:tc>
          <w:tcPr>
            <w:tcW w:w="954" w:type="dxa"/>
            <w:vMerge/>
          </w:tcPr>
          <w:p w:rsidRPr="00601FAF" w:rsidR="00DE0587" w:rsidP="00601FAF" w:rsidRDefault="00DE0587">
            <w:pPr>
              <w:numPr>
                <w:ilvl w:val="12"/>
                <w:numId w:val="0"/>
              </w:numPr>
              <w:tabs>
                <w:tab w:val="left" w:pos="720"/>
              </w:tabs>
              <w:jc w:val="right"/>
              <w:rPr>
                <w:rFonts w:ascii="Arial" w:hAnsi="Arial" w:cs="Arial"/>
                <w:sz w:val="18"/>
                <w:szCs w:val="18"/>
              </w:rPr>
            </w:pPr>
          </w:p>
        </w:tc>
        <w:tc>
          <w:tcPr>
            <w:tcW w:w="992" w:type="dxa"/>
            <w:vMerge/>
            <w:shd w:val="clear" w:color="auto" w:fill="auto"/>
            <w:vAlign w:val="center"/>
          </w:tcPr>
          <w:p w:rsidRPr="00601FAF" w:rsidR="00DE0587" w:rsidP="00601FAF" w:rsidRDefault="00DE0587">
            <w:pPr>
              <w:numPr>
                <w:ilvl w:val="12"/>
                <w:numId w:val="0"/>
              </w:numPr>
              <w:tabs>
                <w:tab w:val="left" w:pos="720"/>
              </w:tabs>
              <w:jc w:val="right"/>
              <w:rPr>
                <w:rFonts w:ascii="Arial" w:hAnsi="Arial" w:cs="Arial"/>
                <w:sz w:val="18"/>
                <w:szCs w:val="18"/>
              </w:rPr>
            </w:pPr>
          </w:p>
        </w:tc>
      </w:tr>
      <w:tr w:rsidRPr="00F56F81" w:rsidR="00DE0587" w:rsidTr="00DE0587">
        <w:tc>
          <w:tcPr>
            <w:tcW w:w="1150" w:type="dxa"/>
            <w:vMerge/>
            <w:tcBorders>
              <w:left w:val="single" w:color="auto" w:sz="4" w:space="0"/>
              <w:right w:val="single" w:color="auto" w:sz="4" w:space="0"/>
            </w:tcBorders>
          </w:tcPr>
          <w:p w:rsidRPr="00601FAF" w:rsidR="00DE0587" w:rsidP="00F56F81" w:rsidRDefault="00DE0587">
            <w:pPr>
              <w:numPr>
                <w:ilvl w:val="12"/>
                <w:numId w:val="0"/>
              </w:numPr>
              <w:tabs>
                <w:tab w:val="left" w:pos="720"/>
              </w:tabs>
              <w:rPr>
                <w:rFonts w:ascii="Arial" w:hAnsi="Arial" w:cs="Arial"/>
                <w:sz w:val="18"/>
                <w:szCs w:val="18"/>
              </w:rPr>
            </w:pPr>
          </w:p>
        </w:tc>
        <w:tc>
          <w:tcPr>
            <w:tcW w:w="335" w:type="dxa"/>
            <w:tcBorders>
              <w:left w:val="single" w:color="auto" w:sz="4" w:space="0"/>
            </w:tcBorders>
          </w:tcPr>
          <w:p w:rsidRPr="00601FAF" w:rsidR="00DE0587" w:rsidP="00F56F81" w:rsidRDefault="00DE0587">
            <w:pPr>
              <w:numPr>
                <w:ilvl w:val="12"/>
                <w:numId w:val="0"/>
              </w:numPr>
              <w:tabs>
                <w:tab w:val="left" w:pos="720"/>
              </w:tabs>
              <w:rPr>
                <w:rFonts w:ascii="Arial" w:hAnsi="Arial" w:cs="Arial"/>
                <w:sz w:val="18"/>
                <w:szCs w:val="18"/>
              </w:rPr>
            </w:pPr>
            <w:r w:rsidRPr="00601FAF">
              <w:rPr>
                <w:rFonts w:ascii="Arial" w:hAnsi="Arial" w:cs="Arial"/>
                <w:sz w:val="18"/>
                <w:szCs w:val="18"/>
              </w:rPr>
              <w:t>2</w:t>
            </w:r>
          </w:p>
        </w:tc>
        <w:tc>
          <w:tcPr>
            <w:tcW w:w="3645" w:type="dxa"/>
            <w:shd w:val="clear" w:color="auto" w:fill="auto"/>
          </w:tcPr>
          <w:p w:rsidRPr="00601FAF" w:rsidR="00DE0587" w:rsidP="00C153D5" w:rsidRDefault="00DE0587">
            <w:pPr>
              <w:numPr>
                <w:ilvl w:val="12"/>
                <w:numId w:val="0"/>
              </w:numPr>
              <w:tabs>
                <w:tab w:val="left" w:pos="720"/>
              </w:tabs>
              <w:rPr>
                <w:rFonts w:ascii="Arial" w:hAnsi="Arial" w:cs="Arial"/>
                <w:sz w:val="18"/>
                <w:szCs w:val="18"/>
              </w:rPr>
            </w:pPr>
            <w:r w:rsidRPr="00601FAF">
              <w:rPr>
                <w:rFonts w:ascii="Arial" w:hAnsi="Arial" w:cs="Arial"/>
                <w:sz w:val="18"/>
                <w:szCs w:val="18"/>
              </w:rPr>
              <w:t>Written approval by the state supervisory agency if the applica</w:t>
            </w:r>
            <w:r>
              <w:rPr>
                <w:rFonts w:ascii="Arial" w:hAnsi="Arial" w:cs="Arial"/>
                <w:sz w:val="18"/>
                <w:szCs w:val="18"/>
              </w:rPr>
              <w:t>nt is a state-chartered credit</w:t>
            </w:r>
            <w:r w:rsidRPr="00601FAF">
              <w:rPr>
                <w:rFonts w:ascii="Arial" w:hAnsi="Arial" w:cs="Arial"/>
                <w:sz w:val="18"/>
                <w:szCs w:val="18"/>
              </w:rPr>
              <w:t xml:space="preserve"> union.</w:t>
            </w:r>
          </w:p>
        </w:tc>
        <w:tc>
          <w:tcPr>
            <w:tcW w:w="1229" w:type="dxa"/>
            <w:shd w:val="clear" w:color="auto" w:fill="auto"/>
            <w:vAlign w:val="center"/>
          </w:tcPr>
          <w:p w:rsidRPr="00601FAF" w:rsidR="00DE0587" w:rsidP="00601FAF" w:rsidRDefault="00DE0587">
            <w:pPr>
              <w:numPr>
                <w:ilvl w:val="12"/>
                <w:numId w:val="0"/>
              </w:numPr>
              <w:tabs>
                <w:tab w:val="left" w:pos="720"/>
              </w:tabs>
              <w:jc w:val="right"/>
              <w:rPr>
                <w:rFonts w:ascii="Arial" w:hAnsi="Arial" w:cs="Arial"/>
                <w:sz w:val="18"/>
                <w:szCs w:val="18"/>
              </w:rPr>
            </w:pPr>
            <w:r w:rsidRPr="00601FAF">
              <w:rPr>
                <w:rFonts w:ascii="Arial" w:hAnsi="Arial" w:cs="Arial"/>
                <w:sz w:val="18"/>
                <w:szCs w:val="18"/>
              </w:rPr>
              <w:t>1</w:t>
            </w:r>
          </w:p>
        </w:tc>
        <w:tc>
          <w:tcPr>
            <w:tcW w:w="1013" w:type="dxa"/>
            <w:vAlign w:val="center"/>
          </w:tcPr>
          <w:p w:rsidRPr="00601FAF" w:rsidR="00DE0587" w:rsidP="00601FAF" w:rsidRDefault="00DE0587">
            <w:pPr>
              <w:numPr>
                <w:ilvl w:val="12"/>
                <w:numId w:val="0"/>
              </w:numPr>
              <w:tabs>
                <w:tab w:val="left" w:pos="720"/>
              </w:tabs>
              <w:jc w:val="right"/>
              <w:rPr>
                <w:rFonts w:ascii="Arial" w:hAnsi="Arial" w:cs="Arial"/>
                <w:sz w:val="18"/>
                <w:szCs w:val="18"/>
              </w:rPr>
            </w:pPr>
            <w:r w:rsidRPr="00601FAF">
              <w:rPr>
                <w:rFonts w:ascii="Arial" w:hAnsi="Arial" w:cs="Arial"/>
                <w:sz w:val="18"/>
                <w:szCs w:val="18"/>
              </w:rPr>
              <w:t>1</w:t>
            </w:r>
          </w:p>
        </w:tc>
        <w:tc>
          <w:tcPr>
            <w:tcW w:w="1013" w:type="dxa"/>
            <w:vAlign w:val="center"/>
          </w:tcPr>
          <w:p w:rsidRPr="00601FAF" w:rsidR="00DE0587" w:rsidP="00601FAF" w:rsidRDefault="00DE0587">
            <w:pPr>
              <w:numPr>
                <w:ilvl w:val="12"/>
                <w:numId w:val="0"/>
              </w:numPr>
              <w:tabs>
                <w:tab w:val="left" w:pos="720"/>
              </w:tabs>
              <w:jc w:val="right"/>
              <w:rPr>
                <w:rFonts w:ascii="Arial" w:hAnsi="Arial" w:cs="Arial"/>
                <w:sz w:val="18"/>
                <w:szCs w:val="18"/>
              </w:rPr>
            </w:pPr>
            <w:r w:rsidRPr="00601FAF">
              <w:rPr>
                <w:rFonts w:ascii="Arial" w:hAnsi="Arial" w:cs="Arial"/>
                <w:sz w:val="18"/>
                <w:szCs w:val="18"/>
              </w:rPr>
              <w:t>1</w:t>
            </w:r>
          </w:p>
        </w:tc>
        <w:tc>
          <w:tcPr>
            <w:tcW w:w="954" w:type="dxa"/>
            <w:vAlign w:val="center"/>
          </w:tcPr>
          <w:p w:rsidRPr="00601FAF" w:rsidR="00DE0587" w:rsidP="00601FAF" w:rsidRDefault="00DE0587">
            <w:pPr>
              <w:numPr>
                <w:ilvl w:val="12"/>
                <w:numId w:val="0"/>
              </w:numPr>
              <w:tabs>
                <w:tab w:val="left" w:pos="720"/>
              </w:tabs>
              <w:jc w:val="right"/>
              <w:rPr>
                <w:rFonts w:ascii="Arial" w:hAnsi="Arial" w:cs="Arial"/>
                <w:sz w:val="18"/>
                <w:szCs w:val="18"/>
              </w:rPr>
            </w:pPr>
            <w:r>
              <w:rPr>
                <w:rFonts w:ascii="Arial" w:hAnsi="Arial" w:cs="Arial"/>
                <w:sz w:val="18"/>
                <w:szCs w:val="18"/>
              </w:rPr>
              <w:t>8</w:t>
            </w:r>
          </w:p>
        </w:tc>
        <w:tc>
          <w:tcPr>
            <w:tcW w:w="992" w:type="dxa"/>
            <w:shd w:val="clear" w:color="auto" w:fill="auto"/>
            <w:vAlign w:val="center"/>
          </w:tcPr>
          <w:p w:rsidRPr="00601FAF" w:rsidR="00DE0587" w:rsidP="00601FAF" w:rsidRDefault="00DE0587">
            <w:pPr>
              <w:numPr>
                <w:ilvl w:val="12"/>
                <w:numId w:val="0"/>
              </w:numPr>
              <w:tabs>
                <w:tab w:val="left" w:pos="720"/>
              </w:tabs>
              <w:jc w:val="right"/>
              <w:rPr>
                <w:rFonts w:ascii="Arial" w:hAnsi="Arial" w:cs="Arial"/>
                <w:sz w:val="18"/>
                <w:szCs w:val="18"/>
              </w:rPr>
            </w:pPr>
            <w:r w:rsidRPr="00601FAF">
              <w:rPr>
                <w:rFonts w:ascii="Arial" w:hAnsi="Arial" w:cs="Arial"/>
                <w:sz w:val="18"/>
                <w:szCs w:val="18"/>
              </w:rPr>
              <w:t>8</w:t>
            </w:r>
          </w:p>
        </w:tc>
      </w:tr>
      <w:tr w:rsidRPr="00F56F81" w:rsidR="00DE0587" w:rsidTr="000A3FCB">
        <w:tc>
          <w:tcPr>
            <w:tcW w:w="1150" w:type="dxa"/>
            <w:vMerge/>
            <w:tcBorders>
              <w:left w:val="single" w:color="auto" w:sz="4" w:space="0"/>
              <w:bottom w:val="single" w:color="auto" w:sz="4" w:space="0"/>
              <w:right w:val="single" w:color="auto" w:sz="4" w:space="0"/>
            </w:tcBorders>
          </w:tcPr>
          <w:p w:rsidRPr="00601FAF" w:rsidR="00DE0587" w:rsidP="00F56F81" w:rsidRDefault="00DE0587">
            <w:pPr>
              <w:numPr>
                <w:ilvl w:val="12"/>
                <w:numId w:val="0"/>
              </w:numPr>
              <w:tabs>
                <w:tab w:val="left" w:pos="720"/>
              </w:tabs>
              <w:rPr>
                <w:rFonts w:ascii="Arial" w:hAnsi="Arial" w:cs="Arial"/>
                <w:sz w:val="18"/>
                <w:szCs w:val="18"/>
              </w:rPr>
            </w:pPr>
          </w:p>
        </w:tc>
        <w:tc>
          <w:tcPr>
            <w:tcW w:w="335" w:type="dxa"/>
            <w:tcBorders>
              <w:left w:val="single" w:color="auto" w:sz="4" w:space="0"/>
            </w:tcBorders>
          </w:tcPr>
          <w:p w:rsidRPr="00601FAF" w:rsidR="00DE0587" w:rsidP="00F56F81" w:rsidRDefault="00DE0587">
            <w:pPr>
              <w:numPr>
                <w:ilvl w:val="12"/>
                <w:numId w:val="0"/>
              </w:numPr>
              <w:tabs>
                <w:tab w:val="left" w:pos="720"/>
              </w:tabs>
              <w:rPr>
                <w:rFonts w:ascii="Arial" w:hAnsi="Arial" w:cs="Arial"/>
                <w:sz w:val="18"/>
                <w:szCs w:val="18"/>
              </w:rPr>
            </w:pPr>
            <w:r w:rsidRPr="00601FAF">
              <w:rPr>
                <w:rFonts w:ascii="Arial" w:hAnsi="Arial" w:cs="Arial"/>
                <w:sz w:val="18"/>
                <w:szCs w:val="18"/>
              </w:rPr>
              <w:t>3</w:t>
            </w:r>
          </w:p>
        </w:tc>
        <w:tc>
          <w:tcPr>
            <w:tcW w:w="3645" w:type="dxa"/>
            <w:shd w:val="clear" w:color="auto" w:fill="auto"/>
          </w:tcPr>
          <w:p w:rsidRPr="00601FAF" w:rsidR="00DE0587" w:rsidP="00F56F81" w:rsidRDefault="00DE0587">
            <w:pPr>
              <w:numPr>
                <w:ilvl w:val="12"/>
                <w:numId w:val="0"/>
              </w:numPr>
              <w:tabs>
                <w:tab w:val="left" w:pos="720"/>
              </w:tabs>
              <w:rPr>
                <w:rFonts w:ascii="Arial" w:hAnsi="Arial" w:cs="Arial"/>
                <w:sz w:val="18"/>
                <w:szCs w:val="18"/>
              </w:rPr>
            </w:pPr>
            <w:r w:rsidRPr="00601FAF">
              <w:rPr>
                <w:rFonts w:ascii="Arial" w:hAnsi="Arial" w:cs="Arial"/>
                <w:sz w:val="18"/>
                <w:szCs w:val="18"/>
              </w:rPr>
              <w:t>Documentation evidencing written permission from the host country to establish the branch that explicitly recognizes NCUA’s authority to examine and take any enforcement actions.</w:t>
            </w:r>
          </w:p>
        </w:tc>
        <w:tc>
          <w:tcPr>
            <w:tcW w:w="1229" w:type="dxa"/>
            <w:shd w:val="clear" w:color="auto" w:fill="auto"/>
            <w:vAlign w:val="center"/>
          </w:tcPr>
          <w:p w:rsidRPr="00601FAF" w:rsidR="00DE0587" w:rsidP="00601FAF" w:rsidRDefault="00DE0587">
            <w:pPr>
              <w:numPr>
                <w:ilvl w:val="12"/>
                <w:numId w:val="0"/>
              </w:numPr>
              <w:tabs>
                <w:tab w:val="left" w:pos="720"/>
              </w:tabs>
              <w:jc w:val="right"/>
              <w:rPr>
                <w:rFonts w:ascii="Arial" w:hAnsi="Arial" w:cs="Arial"/>
                <w:sz w:val="18"/>
                <w:szCs w:val="18"/>
              </w:rPr>
            </w:pPr>
            <w:r w:rsidRPr="00601FAF">
              <w:rPr>
                <w:rFonts w:ascii="Arial" w:hAnsi="Arial" w:cs="Arial"/>
                <w:sz w:val="18"/>
                <w:szCs w:val="18"/>
              </w:rPr>
              <w:t>1</w:t>
            </w:r>
          </w:p>
        </w:tc>
        <w:tc>
          <w:tcPr>
            <w:tcW w:w="1013" w:type="dxa"/>
            <w:vAlign w:val="center"/>
          </w:tcPr>
          <w:p w:rsidRPr="00601FAF" w:rsidR="00DE0587" w:rsidP="00601FAF" w:rsidRDefault="00DE0587">
            <w:pPr>
              <w:numPr>
                <w:ilvl w:val="12"/>
                <w:numId w:val="0"/>
              </w:numPr>
              <w:tabs>
                <w:tab w:val="left" w:pos="720"/>
              </w:tabs>
              <w:jc w:val="right"/>
              <w:rPr>
                <w:rFonts w:ascii="Arial" w:hAnsi="Arial" w:cs="Arial"/>
                <w:sz w:val="18"/>
                <w:szCs w:val="18"/>
              </w:rPr>
            </w:pPr>
            <w:r w:rsidRPr="00601FAF">
              <w:rPr>
                <w:rFonts w:ascii="Arial" w:hAnsi="Arial" w:cs="Arial"/>
                <w:sz w:val="18"/>
                <w:szCs w:val="18"/>
              </w:rPr>
              <w:t>1</w:t>
            </w:r>
          </w:p>
        </w:tc>
        <w:tc>
          <w:tcPr>
            <w:tcW w:w="1013" w:type="dxa"/>
            <w:vAlign w:val="center"/>
          </w:tcPr>
          <w:p w:rsidRPr="00601FAF" w:rsidR="00DE0587" w:rsidP="00601FAF" w:rsidRDefault="00DE0587">
            <w:pPr>
              <w:numPr>
                <w:ilvl w:val="12"/>
                <w:numId w:val="0"/>
              </w:numPr>
              <w:tabs>
                <w:tab w:val="left" w:pos="720"/>
              </w:tabs>
              <w:jc w:val="right"/>
              <w:rPr>
                <w:rFonts w:ascii="Arial" w:hAnsi="Arial" w:cs="Arial"/>
                <w:sz w:val="18"/>
                <w:szCs w:val="18"/>
              </w:rPr>
            </w:pPr>
            <w:r w:rsidRPr="00601FAF">
              <w:rPr>
                <w:rFonts w:ascii="Arial" w:hAnsi="Arial" w:cs="Arial"/>
                <w:sz w:val="18"/>
                <w:szCs w:val="18"/>
              </w:rPr>
              <w:t>1</w:t>
            </w:r>
          </w:p>
        </w:tc>
        <w:tc>
          <w:tcPr>
            <w:tcW w:w="954" w:type="dxa"/>
            <w:vAlign w:val="center"/>
          </w:tcPr>
          <w:p w:rsidRPr="00601FAF" w:rsidR="00DE0587" w:rsidP="00601FAF" w:rsidRDefault="00DE0587">
            <w:pPr>
              <w:numPr>
                <w:ilvl w:val="12"/>
                <w:numId w:val="0"/>
              </w:numPr>
              <w:tabs>
                <w:tab w:val="left" w:pos="720"/>
              </w:tabs>
              <w:jc w:val="right"/>
              <w:rPr>
                <w:rFonts w:ascii="Arial" w:hAnsi="Arial" w:cs="Arial"/>
                <w:sz w:val="18"/>
                <w:szCs w:val="18"/>
              </w:rPr>
            </w:pPr>
            <w:r>
              <w:rPr>
                <w:rFonts w:ascii="Arial" w:hAnsi="Arial" w:cs="Arial"/>
                <w:sz w:val="18"/>
                <w:szCs w:val="18"/>
              </w:rPr>
              <w:t>8</w:t>
            </w:r>
          </w:p>
        </w:tc>
        <w:tc>
          <w:tcPr>
            <w:tcW w:w="992" w:type="dxa"/>
            <w:shd w:val="clear" w:color="auto" w:fill="auto"/>
            <w:vAlign w:val="center"/>
          </w:tcPr>
          <w:p w:rsidRPr="00601FAF" w:rsidR="00DE0587" w:rsidP="00601FAF" w:rsidRDefault="00DE0587">
            <w:pPr>
              <w:numPr>
                <w:ilvl w:val="12"/>
                <w:numId w:val="0"/>
              </w:numPr>
              <w:tabs>
                <w:tab w:val="left" w:pos="720"/>
              </w:tabs>
              <w:jc w:val="right"/>
              <w:rPr>
                <w:rFonts w:ascii="Arial" w:hAnsi="Arial" w:cs="Arial"/>
                <w:sz w:val="18"/>
                <w:szCs w:val="18"/>
              </w:rPr>
            </w:pPr>
            <w:r w:rsidRPr="00601FAF">
              <w:rPr>
                <w:rFonts w:ascii="Arial" w:hAnsi="Arial" w:cs="Arial"/>
                <w:sz w:val="18"/>
                <w:szCs w:val="18"/>
              </w:rPr>
              <w:t>8</w:t>
            </w:r>
          </w:p>
        </w:tc>
      </w:tr>
      <w:tr w:rsidRPr="00F56F81" w:rsidR="000A3FCB" w:rsidTr="00074715">
        <w:tc>
          <w:tcPr>
            <w:tcW w:w="1150" w:type="dxa"/>
            <w:vMerge w:val="restart"/>
            <w:tcBorders>
              <w:top w:val="single" w:color="auto" w:sz="4" w:space="0"/>
              <w:left w:val="single" w:color="auto" w:sz="4" w:space="0"/>
              <w:right w:val="single" w:color="auto" w:sz="4" w:space="0"/>
            </w:tcBorders>
            <w:shd w:val="clear" w:color="auto" w:fill="auto"/>
          </w:tcPr>
          <w:p w:rsidRPr="00DE0587" w:rsidR="000A3FCB" w:rsidP="00F56F81" w:rsidRDefault="000A3FCB">
            <w:pPr>
              <w:numPr>
                <w:ilvl w:val="12"/>
                <w:numId w:val="0"/>
              </w:numPr>
              <w:tabs>
                <w:tab w:val="left" w:pos="720"/>
              </w:tabs>
              <w:rPr>
                <w:rFonts w:ascii="Arial" w:hAnsi="Arial" w:cs="Arial"/>
                <w:sz w:val="18"/>
                <w:szCs w:val="18"/>
              </w:rPr>
            </w:pPr>
            <w:r w:rsidRPr="00DE0587">
              <w:rPr>
                <w:rFonts w:ascii="Arial" w:hAnsi="Arial" w:cs="Arial"/>
                <w:sz w:val="18"/>
                <w:szCs w:val="18"/>
              </w:rPr>
              <w:t>741.11(d)</w:t>
            </w:r>
          </w:p>
        </w:tc>
        <w:tc>
          <w:tcPr>
            <w:tcW w:w="3980" w:type="dxa"/>
            <w:gridSpan w:val="2"/>
            <w:tcBorders>
              <w:left w:val="single" w:color="auto" w:sz="4" w:space="0"/>
            </w:tcBorders>
            <w:shd w:val="clear" w:color="auto" w:fill="auto"/>
          </w:tcPr>
          <w:p w:rsidRPr="00DE0587" w:rsidR="000A3FCB" w:rsidP="00F56F81" w:rsidRDefault="0048361E">
            <w:pPr>
              <w:numPr>
                <w:ilvl w:val="12"/>
                <w:numId w:val="0"/>
              </w:numPr>
              <w:tabs>
                <w:tab w:val="left" w:pos="720"/>
              </w:tabs>
              <w:rPr>
                <w:rFonts w:ascii="Arial" w:hAnsi="Arial" w:cs="Arial"/>
                <w:sz w:val="18"/>
                <w:szCs w:val="18"/>
              </w:rPr>
            </w:pPr>
            <w:r>
              <w:rPr>
                <w:rFonts w:ascii="Arial" w:hAnsi="Arial" w:cs="Arial"/>
                <w:sz w:val="18"/>
                <w:szCs w:val="18"/>
              </w:rPr>
              <w:t>A State regulator</w:t>
            </w:r>
            <w:r w:rsidRPr="00DE0587" w:rsidR="000A3FCB">
              <w:rPr>
                <w:rFonts w:ascii="Arial" w:hAnsi="Arial" w:cs="Arial"/>
                <w:sz w:val="18"/>
                <w:szCs w:val="18"/>
              </w:rPr>
              <w:t xml:space="preserve"> that revokes approval of the branch office must notify NCUA of the action once it issues the notice of revocation.</w:t>
            </w:r>
          </w:p>
        </w:tc>
        <w:tc>
          <w:tcPr>
            <w:tcW w:w="1229" w:type="dxa"/>
            <w:shd w:val="clear" w:color="auto" w:fill="auto"/>
            <w:vAlign w:val="center"/>
          </w:tcPr>
          <w:p w:rsidRPr="00DE0587" w:rsidR="000A3FCB" w:rsidP="00601FAF" w:rsidRDefault="000A3FCB">
            <w:pPr>
              <w:numPr>
                <w:ilvl w:val="12"/>
                <w:numId w:val="0"/>
              </w:numPr>
              <w:tabs>
                <w:tab w:val="left" w:pos="720"/>
              </w:tabs>
              <w:jc w:val="right"/>
              <w:rPr>
                <w:rFonts w:ascii="Arial" w:hAnsi="Arial" w:cs="Arial"/>
                <w:sz w:val="18"/>
                <w:szCs w:val="18"/>
              </w:rPr>
            </w:pPr>
            <w:r w:rsidRPr="00DE0587">
              <w:rPr>
                <w:rFonts w:ascii="Arial" w:hAnsi="Arial" w:cs="Arial"/>
                <w:sz w:val="18"/>
                <w:szCs w:val="18"/>
              </w:rPr>
              <w:t>1</w:t>
            </w:r>
          </w:p>
        </w:tc>
        <w:tc>
          <w:tcPr>
            <w:tcW w:w="1013" w:type="dxa"/>
            <w:shd w:val="clear" w:color="auto" w:fill="auto"/>
            <w:vAlign w:val="center"/>
          </w:tcPr>
          <w:p w:rsidRPr="00DE0587" w:rsidR="000A3FCB" w:rsidP="00601FAF" w:rsidRDefault="000A3FCB">
            <w:pPr>
              <w:numPr>
                <w:ilvl w:val="12"/>
                <w:numId w:val="0"/>
              </w:numPr>
              <w:tabs>
                <w:tab w:val="left" w:pos="720"/>
              </w:tabs>
              <w:jc w:val="right"/>
              <w:rPr>
                <w:rFonts w:ascii="Arial" w:hAnsi="Arial" w:cs="Arial"/>
                <w:sz w:val="18"/>
                <w:szCs w:val="18"/>
              </w:rPr>
            </w:pPr>
            <w:r w:rsidRPr="00DE0587">
              <w:rPr>
                <w:rFonts w:ascii="Arial" w:hAnsi="Arial" w:cs="Arial"/>
                <w:sz w:val="18"/>
                <w:szCs w:val="18"/>
              </w:rPr>
              <w:t>1</w:t>
            </w:r>
          </w:p>
        </w:tc>
        <w:tc>
          <w:tcPr>
            <w:tcW w:w="1013" w:type="dxa"/>
            <w:shd w:val="clear" w:color="auto" w:fill="auto"/>
            <w:vAlign w:val="center"/>
          </w:tcPr>
          <w:p w:rsidRPr="00DE0587" w:rsidR="000A3FCB" w:rsidP="00601FAF" w:rsidRDefault="000A3FCB">
            <w:pPr>
              <w:numPr>
                <w:ilvl w:val="12"/>
                <w:numId w:val="0"/>
              </w:numPr>
              <w:tabs>
                <w:tab w:val="left" w:pos="720"/>
              </w:tabs>
              <w:jc w:val="right"/>
              <w:rPr>
                <w:rFonts w:ascii="Arial" w:hAnsi="Arial" w:cs="Arial"/>
                <w:sz w:val="18"/>
                <w:szCs w:val="18"/>
              </w:rPr>
            </w:pPr>
            <w:r w:rsidRPr="00DE0587">
              <w:rPr>
                <w:rFonts w:ascii="Arial" w:hAnsi="Arial" w:cs="Arial"/>
                <w:sz w:val="18"/>
                <w:szCs w:val="18"/>
              </w:rPr>
              <w:t>1</w:t>
            </w:r>
          </w:p>
        </w:tc>
        <w:tc>
          <w:tcPr>
            <w:tcW w:w="954" w:type="dxa"/>
            <w:shd w:val="clear" w:color="auto" w:fill="auto"/>
            <w:vAlign w:val="center"/>
          </w:tcPr>
          <w:p w:rsidRPr="00DE0587" w:rsidR="000A3FCB" w:rsidP="00601FAF" w:rsidRDefault="000A3FCB">
            <w:pPr>
              <w:numPr>
                <w:ilvl w:val="12"/>
                <w:numId w:val="0"/>
              </w:numPr>
              <w:tabs>
                <w:tab w:val="left" w:pos="720"/>
              </w:tabs>
              <w:jc w:val="right"/>
              <w:rPr>
                <w:rFonts w:ascii="Arial" w:hAnsi="Arial" w:cs="Arial"/>
                <w:sz w:val="18"/>
                <w:szCs w:val="18"/>
              </w:rPr>
            </w:pPr>
            <w:r w:rsidRPr="00DE0587">
              <w:rPr>
                <w:rFonts w:ascii="Arial" w:hAnsi="Arial" w:cs="Arial"/>
                <w:sz w:val="18"/>
                <w:szCs w:val="18"/>
              </w:rPr>
              <w:t>1</w:t>
            </w:r>
          </w:p>
        </w:tc>
        <w:tc>
          <w:tcPr>
            <w:tcW w:w="992" w:type="dxa"/>
            <w:shd w:val="clear" w:color="auto" w:fill="auto"/>
            <w:vAlign w:val="center"/>
          </w:tcPr>
          <w:p w:rsidRPr="00DE0587" w:rsidR="000A3FCB" w:rsidP="00601FAF" w:rsidRDefault="000A3FCB">
            <w:pPr>
              <w:numPr>
                <w:ilvl w:val="12"/>
                <w:numId w:val="0"/>
              </w:numPr>
              <w:tabs>
                <w:tab w:val="left" w:pos="720"/>
              </w:tabs>
              <w:jc w:val="right"/>
              <w:rPr>
                <w:rFonts w:ascii="Arial" w:hAnsi="Arial" w:cs="Arial"/>
                <w:sz w:val="18"/>
                <w:szCs w:val="18"/>
              </w:rPr>
            </w:pPr>
            <w:r w:rsidRPr="00DE0587">
              <w:rPr>
                <w:rFonts w:ascii="Arial" w:hAnsi="Arial" w:cs="Arial"/>
                <w:sz w:val="18"/>
                <w:szCs w:val="18"/>
              </w:rPr>
              <w:t>1</w:t>
            </w:r>
          </w:p>
        </w:tc>
      </w:tr>
      <w:tr w:rsidRPr="00F56F81" w:rsidR="000A3FCB" w:rsidTr="00074715">
        <w:tc>
          <w:tcPr>
            <w:tcW w:w="1150" w:type="dxa"/>
            <w:vMerge/>
            <w:tcBorders>
              <w:left w:val="single" w:color="auto" w:sz="4" w:space="0"/>
              <w:bottom w:val="single" w:color="auto" w:sz="4" w:space="0"/>
              <w:right w:val="single" w:color="auto" w:sz="4" w:space="0"/>
            </w:tcBorders>
            <w:shd w:val="clear" w:color="auto" w:fill="auto"/>
          </w:tcPr>
          <w:p w:rsidRPr="00DE0587" w:rsidR="000A3FCB" w:rsidP="00F56F81" w:rsidRDefault="000A3FCB">
            <w:pPr>
              <w:numPr>
                <w:ilvl w:val="12"/>
                <w:numId w:val="0"/>
              </w:numPr>
              <w:tabs>
                <w:tab w:val="left" w:pos="720"/>
              </w:tabs>
              <w:rPr>
                <w:rFonts w:ascii="Arial" w:hAnsi="Arial" w:cs="Arial"/>
                <w:sz w:val="18"/>
                <w:szCs w:val="18"/>
              </w:rPr>
            </w:pPr>
          </w:p>
        </w:tc>
        <w:tc>
          <w:tcPr>
            <w:tcW w:w="3980" w:type="dxa"/>
            <w:gridSpan w:val="2"/>
            <w:tcBorders>
              <w:left w:val="single" w:color="auto" w:sz="4" w:space="0"/>
            </w:tcBorders>
            <w:shd w:val="clear" w:color="auto" w:fill="auto"/>
          </w:tcPr>
          <w:p w:rsidRPr="00DE0587" w:rsidR="000A3FCB" w:rsidP="00F56F81" w:rsidRDefault="000A3FCB">
            <w:pPr>
              <w:numPr>
                <w:ilvl w:val="12"/>
                <w:numId w:val="0"/>
              </w:numPr>
              <w:tabs>
                <w:tab w:val="left" w:pos="720"/>
              </w:tabs>
              <w:rPr>
                <w:rFonts w:ascii="Arial" w:hAnsi="Arial" w:cs="Arial"/>
                <w:sz w:val="18"/>
                <w:szCs w:val="18"/>
              </w:rPr>
            </w:pPr>
            <w:r w:rsidRPr="00DE0587">
              <w:rPr>
                <w:rFonts w:ascii="Arial" w:hAnsi="Arial" w:cs="Arial"/>
                <w:sz w:val="18"/>
                <w:szCs w:val="18"/>
              </w:rPr>
              <w:t>Appeal the revocation to the NCUA Board in accordance with subpart B to 746</w:t>
            </w:r>
          </w:p>
        </w:tc>
        <w:tc>
          <w:tcPr>
            <w:tcW w:w="5201" w:type="dxa"/>
            <w:gridSpan w:val="5"/>
            <w:shd w:val="clear" w:color="auto" w:fill="auto"/>
            <w:vAlign w:val="center"/>
          </w:tcPr>
          <w:p w:rsidRPr="00DE0587" w:rsidR="000A3FCB" w:rsidP="00601FAF" w:rsidRDefault="000A3FCB">
            <w:pPr>
              <w:numPr>
                <w:ilvl w:val="12"/>
                <w:numId w:val="0"/>
              </w:numPr>
              <w:tabs>
                <w:tab w:val="left" w:pos="720"/>
              </w:tabs>
              <w:jc w:val="center"/>
              <w:rPr>
                <w:rFonts w:ascii="Arial" w:hAnsi="Arial" w:cs="Arial"/>
                <w:i/>
                <w:sz w:val="18"/>
                <w:szCs w:val="18"/>
              </w:rPr>
            </w:pPr>
            <w:r w:rsidRPr="00DE0587">
              <w:rPr>
                <w:rFonts w:ascii="Arial" w:hAnsi="Arial" w:cs="Arial"/>
                <w:i/>
                <w:sz w:val="18"/>
                <w:szCs w:val="18"/>
              </w:rPr>
              <w:t>Cleared under OMB No. 3133-0198, Appeals</w:t>
            </w:r>
          </w:p>
        </w:tc>
      </w:tr>
      <w:tr w:rsidRPr="00F56F81" w:rsidR="00601FAF" w:rsidTr="00C55F20">
        <w:trPr>
          <w:trHeight w:val="440"/>
        </w:trPr>
        <w:tc>
          <w:tcPr>
            <w:tcW w:w="5130" w:type="dxa"/>
            <w:gridSpan w:val="3"/>
            <w:vAlign w:val="center"/>
          </w:tcPr>
          <w:p w:rsidRPr="00601FAF" w:rsidR="00601FAF" w:rsidP="00F56F81" w:rsidRDefault="00601FAF">
            <w:pPr>
              <w:numPr>
                <w:ilvl w:val="12"/>
                <w:numId w:val="0"/>
              </w:numPr>
              <w:tabs>
                <w:tab w:val="left" w:pos="720"/>
              </w:tabs>
              <w:jc w:val="right"/>
              <w:rPr>
                <w:rFonts w:ascii="Arial" w:hAnsi="Arial" w:cs="Arial"/>
                <w:sz w:val="18"/>
                <w:szCs w:val="18"/>
              </w:rPr>
            </w:pPr>
            <w:r w:rsidRPr="00601FAF">
              <w:rPr>
                <w:rFonts w:ascii="Arial" w:hAnsi="Arial" w:cs="Arial"/>
                <w:sz w:val="18"/>
                <w:szCs w:val="18"/>
              </w:rPr>
              <w:t>TOTAL</w:t>
            </w:r>
          </w:p>
        </w:tc>
        <w:tc>
          <w:tcPr>
            <w:tcW w:w="1229" w:type="dxa"/>
            <w:shd w:val="clear" w:color="auto" w:fill="auto"/>
            <w:vAlign w:val="center"/>
          </w:tcPr>
          <w:p w:rsidRPr="00601FAF" w:rsidR="00601FAF" w:rsidP="00601FAF" w:rsidRDefault="00601FAF">
            <w:pPr>
              <w:numPr>
                <w:ilvl w:val="12"/>
                <w:numId w:val="0"/>
              </w:numPr>
              <w:tabs>
                <w:tab w:val="left" w:pos="720"/>
              </w:tabs>
              <w:jc w:val="right"/>
              <w:rPr>
                <w:rFonts w:ascii="Arial" w:hAnsi="Arial" w:cs="Arial"/>
                <w:sz w:val="18"/>
                <w:szCs w:val="18"/>
              </w:rPr>
            </w:pPr>
            <w:r w:rsidRPr="00601FAF">
              <w:rPr>
                <w:rFonts w:ascii="Arial" w:hAnsi="Arial" w:cs="Arial"/>
                <w:sz w:val="18"/>
                <w:szCs w:val="18"/>
              </w:rPr>
              <w:t>1</w:t>
            </w:r>
          </w:p>
        </w:tc>
        <w:tc>
          <w:tcPr>
            <w:tcW w:w="1013" w:type="dxa"/>
            <w:shd w:val="clear" w:color="auto" w:fill="808080"/>
            <w:vAlign w:val="center"/>
          </w:tcPr>
          <w:p w:rsidRPr="00601FAF" w:rsidR="00601FAF" w:rsidP="00601FAF" w:rsidRDefault="00601FAF">
            <w:pPr>
              <w:numPr>
                <w:ilvl w:val="12"/>
                <w:numId w:val="0"/>
              </w:numPr>
              <w:tabs>
                <w:tab w:val="left" w:pos="720"/>
              </w:tabs>
              <w:jc w:val="right"/>
              <w:rPr>
                <w:rFonts w:ascii="Arial" w:hAnsi="Arial" w:cs="Arial"/>
                <w:sz w:val="18"/>
                <w:szCs w:val="18"/>
              </w:rPr>
            </w:pPr>
          </w:p>
        </w:tc>
        <w:tc>
          <w:tcPr>
            <w:tcW w:w="1013" w:type="dxa"/>
            <w:vAlign w:val="center"/>
          </w:tcPr>
          <w:p w:rsidRPr="00601FAF" w:rsidR="00601FAF" w:rsidP="00601FAF" w:rsidRDefault="00601FAF">
            <w:pPr>
              <w:numPr>
                <w:ilvl w:val="12"/>
                <w:numId w:val="0"/>
              </w:numPr>
              <w:tabs>
                <w:tab w:val="left" w:pos="720"/>
              </w:tabs>
              <w:jc w:val="right"/>
              <w:rPr>
                <w:rFonts w:ascii="Arial" w:hAnsi="Arial" w:cs="Arial"/>
                <w:sz w:val="18"/>
                <w:szCs w:val="18"/>
              </w:rPr>
            </w:pPr>
            <w:r w:rsidRPr="00601FAF">
              <w:rPr>
                <w:rFonts w:ascii="Arial" w:hAnsi="Arial" w:cs="Arial"/>
                <w:sz w:val="18"/>
                <w:szCs w:val="18"/>
              </w:rPr>
              <w:t>4</w:t>
            </w:r>
          </w:p>
        </w:tc>
        <w:tc>
          <w:tcPr>
            <w:tcW w:w="954" w:type="dxa"/>
            <w:shd w:val="clear" w:color="auto" w:fill="808080"/>
            <w:vAlign w:val="center"/>
          </w:tcPr>
          <w:p w:rsidRPr="00601FAF" w:rsidR="00601FAF" w:rsidP="00601FAF" w:rsidRDefault="00601FAF">
            <w:pPr>
              <w:numPr>
                <w:ilvl w:val="12"/>
                <w:numId w:val="0"/>
              </w:numPr>
              <w:tabs>
                <w:tab w:val="left" w:pos="720"/>
              </w:tabs>
              <w:jc w:val="right"/>
              <w:rPr>
                <w:rFonts w:ascii="Arial" w:hAnsi="Arial" w:cs="Arial"/>
                <w:sz w:val="18"/>
                <w:szCs w:val="18"/>
              </w:rPr>
            </w:pPr>
          </w:p>
        </w:tc>
        <w:tc>
          <w:tcPr>
            <w:tcW w:w="992" w:type="dxa"/>
            <w:shd w:val="clear" w:color="auto" w:fill="auto"/>
            <w:vAlign w:val="center"/>
          </w:tcPr>
          <w:p w:rsidRPr="00601FAF" w:rsidR="00601FAF" w:rsidP="00601FAF" w:rsidRDefault="00DE0587">
            <w:pPr>
              <w:numPr>
                <w:ilvl w:val="12"/>
                <w:numId w:val="0"/>
              </w:numPr>
              <w:tabs>
                <w:tab w:val="left" w:pos="720"/>
              </w:tabs>
              <w:jc w:val="right"/>
              <w:rPr>
                <w:rFonts w:ascii="Arial" w:hAnsi="Arial" w:cs="Arial"/>
                <w:sz w:val="18"/>
                <w:szCs w:val="18"/>
              </w:rPr>
            </w:pPr>
            <w:r>
              <w:rPr>
                <w:rFonts w:ascii="Arial" w:hAnsi="Arial" w:cs="Arial"/>
                <w:sz w:val="18"/>
                <w:szCs w:val="18"/>
              </w:rPr>
              <w:t>33</w:t>
            </w:r>
          </w:p>
        </w:tc>
      </w:tr>
    </w:tbl>
    <w:p w:rsidRPr="007D33CF" w:rsidR="00EB373F" w:rsidP="007D33CF" w:rsidRDefault="00471647">
      <w:pPr>
        <w:numPr>
          <w:ilvl w:val="12"/>
          <w:numId w:val="0"/>
        </w:numPr>
        <w:tabs>
          <w:tab w:val="left" w:pos="720"/>
        </w:tabs>
        <w:ind w:left="720" w:hanging="720"/>
        <w:rPr>
          <w:sz w:val="24"/>
          <w:szCs w:val="24"/>
        </w:rPr>
      </w:pPr>
      <w:r>
        <w:rPr>
          <w:sz w:val="24"/>
          <w:szCs w:val="24"/>
        </w:rPr>
        <w:tab/>
      </w:r>
      <w:r w:rsidR="00DE0587">
        <w:rPr>
          <w:sz w:val="24"/>
          <w:szCs w:val="24"/>
        </w:rPr>
        <w:t xml:space="preserve">Based on the labor rate of $35 per hour, the total cost to </w:t>
      </w:r>
      <w:r w:rsidRPr="007D33CF" w:rsidR="00EB373F">
        <w:rPr>
          <w:sz w:val="24"/>
          <w:szCs w:val="24"/>
        </w:rPr>
        <w:t>respondents is $</w:t>
      </w:r>
      <w:r w:rsidR="00DE0587">
        <w:rPr>
          <w:sz w:val="24"/>
          <w:szCs w:val="24"/>
        </w:rPr>
        <w:t>1,155</w:t>
      </w:r>
      <w:r w:rsidRPr="007D33CF" w:rsidR="00EB373F">
        <w:rPr>
          <w:sz w:val="24"/>
          <w:szCs w:val="24"/>
        </w:rPr>
        <w:t>.</w:t>
      </w:r>
    </w:p>
    <w:p w:rsidRPr="007D33CF" w:rsidR="007A3CAC" w:rsidP="007D33CF" w:rsidRDefault="007A3CAC">
      <w:pPr>
        <w:numPr>
          <w:ilvl w:val="12"/>
          <w:numId w:val="0"/>
        </w:numPr>
        <w:tabs>
          <w:tab w:val="left" w:pos="720"/>
        </w:tabs>
        <w:ind w:left="720" w:hanging="720"/>
        <w:rPr>
          <w:sz w:val="24"/>
          <w:szCs w:val="24"/>
        </w:rPr>
      </w:pPr>
    </w:p>
    <w:p w:rsidRPr="00AA6EA3" w:rsidR="00AA6EA3" w:rsidP="00AA6EA3" w:rsidRDefault="00AA6EA3">
      <w:pPr>
        <w:ind w:left="720" w:hanging="720"/>
        <w:rPr>
          <w:b/>
          <w:sz w:val="24"/>
          <w:szCs w:val="24"/>
        </w:rPr>
      </w:pPr>
      <w:r w:rsidRPr="00AA6EA3">
        <w:rPr>
          <w:b/>
          <w:sz w:val="24"/>
          <w:szCs w:val="24"/>
        </w:rPr>
        <w:t>13.</w:t>
      </w:r>
      <w:r w:rsidRPr="00AA6EA3">
        <w:rPr>
          <w:b/>
          <w:sz w:val="24"/>
          <w:szCs w:val="24"/>
        </w:rPr>
        <w:tab/>
        <w:t>Capital start-up or on-going operation and maintenance costs.</w:t>
      </w:r>
    </w:p>
    <w:p w:rsidRPr="007D33CF" w:rsidR="00DC2974" w:rsidP="007D33CF" w:rsidRDefault="00DC2974">
      <w:pPr>
        <w:numPr>
          <w:ilvl w:val="12"/>
          <w:numId w:val="0"/>
        </w:numPr>
        <w:tabs>
          <w:tab w:val="left" w:pos="720"/>
        </w:tabs>
        <w:ind w:left="720" w:hanging="720"/>
        <w:rPr>
          <w:sz w:val="24"/>
          <w:szCs w:val="24"/>
        </w:rPr>
      </w:pPr>
    </w:p>
    <w:p w:rsidRPr="007D33CF" w:rsidR="00DC2974" w:rsidP="007D33CF" w:rsidRDefault="00471647">
      <w:pPr>
        <w:tabs>
          <w:tab w:val="left" w:pos="720"/>
        </w:tabs>
        <w:ind w:left="720" w:hanging="720"/>
        <w:rPr>
          <w:sz w:val="24"/>
          <w:szCs w:val="24"/>
        </w:rPr>
      </w:pPr>
      <w:r>
        <w:rPr>
          <w:sz w:val="24"/>
          <w:szCs w:val="24"/>
        </w:rPr>
        <w:tab/>
      </w:r>
      <w:r w:rsidR="004A44F0">
        <w:rPr>
          <w:sz w:val="24"/>
          <w:szCs w:val="24"/>
        </w:rPr>
        <w:t>There are no capital start-up or on-going operations and maintenance costs.</w:t>
      </w:r>
    </w:p>
    <w:p w:rsidRPr="007D33CF" w:rsidR="00DC2974" w:rsidP="007D33CF" w:rsidRDefault="00DC2974">
      <w:pPr>
        <w:tabs>
          <w:tab w:val="left" w:pos="720"/>
        </w:tabs>
        <w:ind w:left="720" w:hanging="720"/>
        <w:rPr>
          <w:sz w:val="24"/>
          <w:szCs w:val="24"/>
        </w:rPr>
      </w:pPr>
    </w:p>
    <w:p w:rsidRPr="00AA6EA3" w:rsidR="00AA6EA3" w:rsidP="00975CE0" w:rsidRDefault="00AA6EA3">
      <w:pPr>
        <w:ind w:left="720" w:hanging="720"/>
        <w:rPr>
          <w:b/>
          <w:sz w:val="24"/>
          <w:szCs w:val="24"/>
        </w:rPr>
      </w:pPr>
      <w:r w:rsidRPr="00AA6EA3">
        <w:rPr>
          <w:b/>
          <w:sz w:val="24"/>
          <w:szCs w:val="24"/>
        </w:rPr>
        <w:t>14.</w:t>
      </w:r>
      <w:r w:rsidRPr="00AA6EA3">
        <w:rPr>
          <w:b/>
          <w:sz w:val="24"/>
          <w:szCs w:val="24"/>
        </w:rPr>
        <w:tab/>
        <w:t>Annualized costs to the Federal government.</w:t>
      </w:r>
    </w:p>
    <w:p w:rsidRPr="007D33CF" w:rsidR="00DC2974" w:rsidP="007D33CF" w:rsidRDefault="00DC2974">
      <w:pPr>
        <w:tabs>
          <w:tab w:val="left" w:pos="720"/>
        </w:tabs>
        <w:ind w:left="720" w:hanging="720"/>
        <w:rPr>
          <w:sz w:val="24"/>
          <w:szCs w:val="24"/>
        </w:rPr>
      </w:pPr>
    </w:p>
    <w:p w:rsidRPr="007D33CF" w:rsidR="00DB2E7D" w:rsidP="007D33CF" w:rsidRDefault="00471647">
      <w:pPr>
        <w:tabs>
          <w:tab w:val="left" w:pos="720"/>
        </w:tabs>
        <w:ind w:left="720" w:hanging="720"/>
        <w:rPr>
          <w:sz w:val="24"/>
          <w:szCs w:val="24"/>
        </w:rPr>
      </w:pPr>
      <w:r>
        <w:rPr>
          <w:sz w:val="24"/>
          <w:szCs w:val="24"/>
        </w:rPr>
        <w:tab/>
      </w:r>
      <w:r w:rsidRPr="007D33CF" w:rsidR="00EB373F">
        <w:rPr>
          <w:sz w:val="24"/>
          <w:szCs w:val="24"/>
        </w:rPr>
        <w:t>We estimate the cost to the Federal Government to be roughly $1,900, based on an estimate of 24 hours to review a single application.</w:t>
      </w:r>
    </w:p>
    <w:p w:rsidRPr="007D33CF" w:rsidR="00DB2E7D" w:rsidP="007D33CF" w:rsidRDefault="00DB2E7D">
      <w:pPr>
        <w:tabs>
          <w:tab w:val="left" w:pos="720"/>
        </w:tabs>
        <w:ind w:left="720" w:hanging="720"/>
        <w:rPr>
          <w:sz w:val="24"/>
          <w:szCs w:val="24"/>
        </w:rPr>
      </w:pPr>
    </w:p>
    <w:p w:rsidRPr="00AA6EA3" w:rsidR="00AA6EA3" w:rsidP="00AA6EA3" w:rsidRDefault="000A3FCB">
      <w:pPr>
        <w:ind w:left="720" w:hanging="720"/>
        <w:rPr>
          <w:b/>
          <w:sz w:val="24"/>
          <w:szCs w:val="24"/>
        </w:rPr>
      </w:pPr>
      <w:r>
        <w:rPr>
          <w:b/>
          <w:sz w:val="24"/>
          <w:szCs w:val="24"/>
        </w:rPr>
        <w:br w:type="page"/>
      </w:r>
      <w:r w:rsidRPr="00AA6EA3" w:rsidR="00AA6EA3">
        <w:rPr>
          <w:b/>
          <w:sz w:val="24"/>
          <w:szCs w:val="24"/>
        </w:rPr>
        <w:lastRenderedPageBreak/>
        <w:t>15.</w:t>
      </w:r>
      <w:r w:rsidRPr="00AA6EA3" w:rsidR="00AA6EA3">
        <w:rPr>
          <w:b/>
          <w:sz w:val="24"/>
          <w:szCs w:val="24"/>
        </w:rPr>
        <w:tab/>
        <w:t>Changes in burden.</w:t>
      </w:r>
    </w:p>
    <w:p w:rsidRPr="007D33CF" w:rsidR="00DC2974" w:rsidP="00471647" w:rsidRDefault="00DC2974">
      <w:pPr>
        <w:tabs>
          <w:tab w:val="left" w:pos="720"/>
        </w:tabs>
        <w:ind w:left="720" w:hanging="720"/>
        <w:rPr>
          <w:sz w:val="24"/>
          <w:szCs w:val="24"/>
        </w:rPr>
      </w:pPr>
    </w:p>
    <w:p w:rsidRPr="007D33CF" w:rsidR="00DC2974" w:rsidP="00471647" w:rsidRDefault="00471647">
      <w:pPr>
        <w:tabs>
          <w:tab w:val="left" w:pos="720"/>
        </w:tabs>
        <w:ind w:left="720" w:hanging="720"/>
        <w:rPr>
          <w:sz w:val="24"/>
          <w:szCs w:val="24"/>
        </w:rPr>
      </w:pPr>
      <w:r>
        <w:rPr>
          <w:sz w:val="24"/>
          <w:szCs w:val="24"/>
        </w:rPr>
        <w:tab/>
      </w:r>
      <w:r w:rsidR="00AD0003">
        <w:rPr>
          <w:sz w:val="24"/>
          <w:szCs w:val="24"/>
        </w:rPr>
        <w:t xml:space="preserve">An hour has been </w:t>
      </w:r>
      <w:r w:rsidR="001A76AA">
        <w:rPr>
          <w:sz w:val="24"/>
          <w:szCs w:val="24"/>
        </w:rPr>
        <w:t>estimated</w:t>
      </w:r>
      <w:r w:rsidR="00AD0003">
        <w:rPr>
          <w:sz w:val="24"/>
          <w:szCs w:val="24"/>
        </w:rPr>
        <w:t xml:space="preserve"> to account for burden associated with reporting </w:t>
      </w:r>
      <w:r w:rsidR="004C6583">
        <w:rPr>
          <w:sz w:val="24"/>
          <w:szCs w:val="24"/>
        </w:rPr>
        <w:t>under</w:t>
      </w:r>
      <w:r w:rsidR="00AD0003">
        <w:rPr>
          <w:sz w:val="24"/>
          <w:szCs w:val="24"/>
        </w:rPr>
        <w:t xml:space="preserve"> paragraph (d) to §741.11 that was </w:t>
      </w:r>
      <w:r w:rsidR="005C2ED7">
        <w:rPr>
          <w:sz w:val="24"/>
          <w:szCs w:val="24"/>
        </w:rPr>
        <w:t>not previously included</w:t>
      </w:r>
      <w:r w:rsidR="00AD0003">
        <w:rPr>
          <w:sz w:val="24"/>
          <w:szCs w:val="24"/>
        </w:rPr>
        <w:t xml:space="preserve">.  </w:t>
      </w:r>
      <w:r w:rsidR="001A76AA">
        <w:rPr>
          <w:sz w:val="24"/>
          <w:szCs w:val="24"/>
        </w:rPr>
        <w:t>A total of 33 burden hours is requested.</w:t>
      </w:r>
    </w:p>
    <w:p w:rsidRPr="007D33CF" w:rsidR="00DC2974" w:rsidP="00471647" w:rsidRDefault="00DC2974">
      <w:pPr>
        <w:ind w:left="720" w:hanging="720"/>
        <w:rPr>
          <w:sz w:val="24"/>
          <w:szCs w:val="24"/>
        </w:rPr>
      </w:pPr>
    </w:p>
    <w:p w:rsidRPr="00AA6EA3" w:rsidR="00AA6EA3" w:rsidP="00AA6EA3" w:rsidRDefault="00AA6EA3">
      <w:pPr>
        <w:ind w:left="720" w:hanging="720"/>
        <w:rPr>
          <w:b/>
          <w:sz w:val="24"/>
          <w:szCs w:val="24"/>
        </w:rPr>
      </w:pPr>
      <w:r w:rsidRPr="00AA6EA3">
        <w:rPr>
          <w:b/>
          <w:sz w:val="24"/>
          <w:szCs w:val="24"/>
        </w:rPr>
        <w:t>16.</w:t>
      </w:r>
      <w:r w:rsidRPr="00AA6EA3">
        <w:rPr>
          <w:b/>
          <w:sz w:val="24"/>
          <w:szCs w:val="24"/>
        </w:rPr>
        <w:tab/>
        <w:t>Information collection planned for statistical purposes.</w:t>
      </w:r>
    </w:p>
    <w:p w:rsidRPr="007D33CF" w:rsidR="00EE454B" w:rsidP="00471647" w:rsidRDefault="00EE454B">
      <w:pPr>
        <w:widowControl w:val="0"/>
        <w:tabs>
          <w:tab w:val="right" w:pos="9343"/>
        </w:tabs>
        <w:ind w:left="720" w:right="54" w:hanging="720"/>
        <w:rPr>
          <w:sz w:val="24"/>
          <w:szCs w:val="24"/>
        </w:rPr>
      </w:pPr>
    </w:p>
    <w:p w:rsidRPr="007D33CF" w:rsidR="00EE454B" w:rsidP="00471647" w:rsidRDefault="00471647">
      <w:pPr>
        <w:widowControl w:val="0"/>
        <w:tabs>
          <w:tab w:val="right" w:pos="9343"/>
        </w:tabs>
        <w:ind w:left="720" w:right="54" w:hanging="720"/>
        <w:rPr>
          <w:sz w:val="24"/>
          <w:szCs w:val="24"/>
        </w:rPr>
      </w:pPr>
      <w:r>
        <w:rPr>
          <w:sz w:val="24"/>
          <w:szCs w:val="24"/>
        </w:rPr>
        <w:tab/>
      </w:r>
      <w:r w:rsidRPr="007D33CF" w:rsidR="00EE454B">
        <w:rPr>
          <w:sz w:val="24"/>
          <w:szCs w:val="24"/>
        </w:rPr>
        <w:t>There is no plan to use this information for statistical purposes or to support publication of results.</w:t>
      </w:r>
    </w:p>
    <w:p w:rsidRPr="007D33CF" w:rsidR="00EE454B" w:rsidP="00471647" w:rsidRDefault="00EE454B">
      <w:pPr>
        <w:widowControl w:val="0"/>
        <w:ind w:left="720" w:right="54" w:hanging="720"/>
        <w:rPr>
          <w:sz w:val="24"/>
          <w:szCs w:val="24"/>
        </w:rPr>
      </w:pPr>
    </w:p>
    <w:p w:rsidRPr="00AA6EA3" w:rsidR="00AA6EA3" w:rsidP="00AA6EA3" w:rsidRDefault="00AA6EA3">
      <w:pPr>
        <w:ind w:left="720" w:hanging="720"/>
        <w:rPr>
          <w:b/>
          <w:sz w:val="24"/>
          <w:szCs w:val="24"/>
        </w:rPr>
      </w:pPr>
      <w:r w:rsidRPr="00AA6EA3">
        <w:rPr>
          <w:b/>
          <w:sz w:val="24"/>
          <w:szCs w:val="24"/>
        </w:rPr>
        <w:t>17.</w:t>
      </w:r>
      <w:r w:rsidRPr="00AA6EA3">
        <w:rPr>
          <w:b/>
          <w:sz w:val="24"/>
          <w:szCs w:val="24"/>
        </w:rPr>
        <w:tab/>
        <w:t>Request non-display the expiration date of the OMB control number.</w:t>
      </w:r>
    </w:p>
    <w:p w:rsidRPr="007D33CF" w:rsidR="00EE454B" w:rsidP="00471647" w:rsidRDefault="00EE454B">
      <w:pPr>
        <w:widowControl w:val="0"/>
        <w:tabs>
          <w:tab w:val="left" w:pos="473"/>
          <w:tab w:val="right" w:pos="9253"/>
        </w:tabs>
        <w:ind w:left="720" w:right="54" w:hanging="720"/>
        <w:rPr>
          <w:sz w:val="24"/>
          <w:szCs w:val="24"/>
        </w:rPr>
      </w:pPr>
    </w:p>
    <w:p w:rsidRPr="007D33CF" w:rsidR="00EE454B" w:rsidP="00471647" w:rsidRDefault="00471647">
      <w:pPr>
        <w:widowControl w:val="0"/>
        <w:ind w:left="720" w:right="54" w:hanging="720"/>
        <w:rPr>
          <w:b/>
          <w:sz w:val="24"/>
          <w:szCs w:val="24"/>
        </w:rPr>
      </w:pPr>
      <w:r>
        <w:rPr>
          <w:sz w:val="24"/>
          <w:szCs w:val="24"/>
        </w:rPr>
        <w:tab/>
      </w:r>
      <w:r w:rsidRPr="007D33CF" w:rsidR="00EE454B">
        <w:rPr>
          <w:sz w:val="24"/>
          <w:szCs w:val="24"/>
        </w:rPr>
        <w:t>There are no traditional collection instruments associated with this collection of information (e.g. forms).  The OMB control number and expiration date associated with this P</w:t>
      </w:r>
      <w:bookmarkStart w:name="_GoBack" w:id="0"/>
      <w:bookmarkEnd w:id="0"/>
      <w:r w:rsidRPr="007D33CF" w:rsidR="00EE454B">
        <w:rPr>
          <w:sz w:val="24"/>
          <w:szCs w:val="24"/>
        </w:rPr>
        <w:t>RA submission will be displayed on the Federal government’s electronic PRA docket at www.reginfo.gov.</w:t>
      </w:r>
    </w:p>
    <w:p w:rsidRPr="007D33CF" w:rsidR="00EE454B" w:rsidP="00471647" w:rsidRDefault="00EE454B">
      <w:pPr>
        <w:widowControl w:val="0"/>
        <w:ind w:left="720" w:right="54" w:hanging="720"/>
        <w:rPr>
          <w:sz w:val="24"/>
          <w:szCs w:val="24"/>
        </w:rPr>
      </w:pPr>
    </w:p>
    <w:p w:rsidRPr="00AA6EA3" w:rsidR="00AA6EA3" w:rsidP="00AA6EA3" w:rsidRDefault="00AA6EA3">
      <w:pPr>
        <w:ind w:left="720" w:hanging="720"/>
        <w:rPr>
          <w:b/>
          <w:sz w:val="24"/>
          <w:szCs w:val="24"/>
        </w:rPr>
      </w:pPr>
      <w:r w:rsidRPr="00AA6EA3">
        <w:rPr>
          <w:b/>
          <w:sz w:val="24"/>
          <w:szCs w:val="24"/>
        </w:rPr>
        <w:t>18.</w:t>
      </w:r>
      <w:r w:rsidRPr="00AA6EA3">
        <w:rPr>
          <w:b/>
          <w:sz w:val="24"/>
          <w:szCs w:val="24"/>
        </w:rPr>
        <w:tab/>
        <w:t>Exceptions to the Certification for Paperwork Reduction Act Submission.</w:t>
      </w:r>
    </w:p>
    <w:p w:rsidRPr="007D33CF" w:rsidR="00EE454B" w:rsidP="00464FCD" w:rsidRDefault="00EE454B">
      <w:pPr>
        <w:ind w:left="720" w:hanging="720"/>
        <w:textAlignment w:val="auto"/>
        <w:rPr>
          <w:sz w:val="24"/>
          <w:szCs w:val="24"/>
        </w:rPr>
      </w:pPr>
    </w:p>
    <w:p w:rsidRPr="007D33CF" w:rsidR="00EE454B" w:rsidP="00464FCD" w:rsidRDefault="00471647">
      <w:pPr>
        <w:ind w:left="720" w:hanging="720"/>
        <w:textAlignment w:val="auto"/>
        <w:rPr>
          <w:sz w:val="24"/>
          <w:szCs w:val="24"/>
        </w:rPr>
      </w:pPr>
      <w:r>
        <w:rPr>
          <w:sz w:val="24"/>
          <w:szCs w:val="24"/>
        </w:rPr>
        <w:tab/>
      </w:r>
      <w:r w:rsidR="00174B7A">
        <w:rPr>
          <w:sz w:val="24"/>
          <w:szCs w:val="24"/>
        </w:rPr>
        <w:t>There are no exceptions to the certification statement</w:t>
      </w:r>
      <w:r w:rsidRPr="007D33CF" w:rsidR="00EE454B">
        <w:rPr>
          <w:sz w:val="24"/>
          <w:szCs w:val="24"/>
        </w:rPr>
        <w:t>.</w:t>
      </w:r>
    </w:p>
    <w:p w:rsidR="00EE454B" w:rsidP="00464FCD" w:rsidRDefault="00EE454B">
      <w:pPr>
        <w:ind w:left="720" w:hanging="720"/>
        <w:textAlignment w:val="auto"/>
        <w:rPr>
          <w:sz w:val="24"/>
          <w:szCs w:val="24"/>
        </w:rPr>
      </w:pPr>
    </w:p>
    <w:p w:rsidR="00471647" w:rsidP="00464FCD" w:rsidRDefault="00471647">
      <w:pPr>
        <w:ind w:left="720" w:hanging="720"/>
        <w:textAlignment w:val="auto"/>
        <w:rPr>
          <w:sz w:val="24"/>
          <w:szCs w:val="24"/>
        </w:rPr>
      </w:pPr>
    </w:p>
    <w:p w:rsidRPr="007D33CF" w:rsidR="00EE454B" w:rsidP="00464FCD" w:rsidRDefault="00EE454B">
      <w:pPr>
        <w:ind w:left="720" w:hanging="720"/>
        <w:textAlignment w:val="auto"/>
        <w:rPr>
          <w:sz w:val="24"/>
          <w:szCs w:val="24"/>
        </w:rPr>
      </w:pPr>
    </w:p>
    <w:p w:rsidRPr="001E564B" w:rsidR="00AA6EA3" w:rsidP="00AA6EA3" w:rsidRDefault="00AA6EA3">
      <w:pPr>
        <w:pStyle w:val="ListParagraph"/>
        <w:numPr>
          <w:ilvl w:val="0"/>
          <w:numId w:val="12"/>
        </w:numPr>
        <w:tabs>
          <w:tab w:val="left" w:pos="720"/>
        </w:tabs>
        <w:suppressAutoHyphens/>
        <w:ind w:hanging="720"/>
        <w:rPr>
          <w:b/>
          <w:caps/>
        </w:rPr>
      </w:pPr>
      <w:r w:rsidRPr="004C0136">
        <w:rPr>
          <w:b/>
          <w:caps/>
        </w:rPr>
        <w:t>Collections of Information Employing Statistical Methods</w:t>
      </w:r>
    </w:p>
    <w:p w:rsidRPr="007D33CF" w:rsidR="00EE454B" w:rsidP="00464FCD" w:rsidRDefault="00EE454B">
      <w:pPr>
        <w:ind w:left="720" w:hanging="720"/>
        <w:textAlignment w:val="auto"/>
        <w:rPr>
          <w:sz w:val="24"/>
          <w:szCs w:val="24"/>
        </w:rPr>
      </w:pPr>
    </w:p>
    <w:p w:rsidRPr="007D33CF" w:rsidR="00EE454B" w:rsidP="00464FCD" w:rsidRDefault="00EE454B">
      <w:pPr>
        <w:ind w:left="720" w:hanging="720"/>
        <w:textAlignment w:val="auto"/>
        <w:rPr>
          <w:sz w:val="24"/>
          <w:szCs w:val="24"/>
        </w:rPr>
      </w:pPr>
      <w:r w:rsidRPr="007D33CF">
        <w:rPr>
          <w:sz w:val="24"/>
          <w:szCs w:val="24"/>
        </w:rPr>
        <w:t xml:space="preserve">This collection does not involve statistical methods. </w:t>
      </w:r>
    </w:p>
    <w:p w:rsidRPr="007D33CF" w:rsidR="00EE454B" w:rsidP="00464FCD" w:rsidRDefault="00EE454B">
      <w:pPr>
        <w:textAlignment w:val="auto"/>
        <w:rPr>
          <w:sz w:val="24"/>
          <w:szCs w:val="24"/>
        </w:rPr>
      </w:pPr>
    </w:p>
    <w:p w:rsidRPr="007D33CF" w:rsidR="00264D68" w:rsidRDefault="00264D68">
      <w:pPr>
        <w:rPr>
          <w:sz w:val="24"/>
          <w:szCs w:val="24"/>
        </w:rPr>
      </w:pPr>
    </w:p>
    <w:sectPr w:rsidRPr="007D33CF" w:rsidR="00264D68" w:rsidSect="007D33CF">
      <w:footerReference w:type="default" r:id="rId8"/>
      <w:pgSz w:w="12240" w:h="15840" w:code="1"/>
      <w:pgMar w:top="1440" w:right="1440" w:bottom="1440" w:left="1440"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5A3" w:rsidRDefault="002625A3" w:rsidP="00DE75BB">
      <w:r>
        <w:separator/>
      </w:r>
    </w:p>
  </w:endnote>
  <w:endnote w:type="continuationSeparator" w:id="0">
    <w:p w:rsidR="002625A3" w:rsidRDefault="002625A3" w:rsidP="00DE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3CF" w:rsidRPr="007D33CF" w:rsidRDefault="00975CE0" w:rsidP="00975CE0">
    <w:pPr>
      <w:pStyle w:val="Footer"/>
      <w:rPr>
        <w:sz w:val="24"/>
        <w:szCs w:val="24"/>
      </w:rPr>
    </w:pPr>
    <w:r w:rsidRPr="00975CE0">
      <w:rPr>
        <w:i/>
      </w:rPr>
      <w:t>OMB No. 3133-0167; July 2020</w:t>
    </w:r>
    <w:r>
      <w:rPr>
        <w:sz w:val="24"/>
        <w:szCs w:val="24"/>
      </w:rPr>
      <w:tab/>
    </w:r>
    <w:r>
      <w:rPr>
        <w:sz w:val="24"/>
        <w:szCs w:val="24"/>
      </w:rPr>
      <w:tab/>
    </w:r>
    <w:r w:rsidR="007D33CF" w:rsidRPr="007D33CF">
      <w:rPr>
        <w:sz w:val="24"/>
        <w:szCs w:val="24"/>
      </w:rPr>
      <w:fldChar w:fldCharType="begin"/>
    </w:r>
    <w:r w:rsidR="007D33CF" w:rsidRPr="007D33CF">
      <w:rPr>
        <w:sz w:val="24"/>
        <w:szCs w:val="24"/>
      </w:rPr>
      <w:instrText xml:space="preserve"> PAGE   \* MERGEFORMAT </w:instrText>
    </w:r>
    <w:r w:rsidR="007D33CF" w:rsidRPr="007D33CF">
      <w:rPr>
        <w:sz w:val="24"/>
        <w:szCs w:val="24"/>
      </w:rPr>
      <w:fldChar w:fldCharType="separate"/>
    </w:r>
    <w:r w:rsidR="00C20565">
      <w:rPr>
        <w:noProof/>
        <w:sz w:val="24"/>
        <w:szCs w:val="24"/>
      </w:rPr>
      <w:t>4</w:t>
    </w:r>
    <w:r w:rsidR="007D33CF" w:rsidRPr="007D33CF">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5A3" w:rsidRDefault="002625A3" w:rsidP="00DE75BB">
      <w:r>
        <w:separator/>
      </w:r>
    </w:p>
  </w:footnote>
  <w:footnote w:type="continuationSeparator" w:id="0">
    <w:p w:rsidR="002625A3" w:rsidRDefault="002625A3" w:rsidP="00DE7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F0C4D8"/>
    <w:lvl w:ilvl="0">
      <w:numFmt w:val="bullet"/>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90A6607"/>
    <w:multiLevelType w:val="hybridMultilevel"/>
    <w:tmpl w:val="8410F01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27F2598"/>
    <w:multiLevelType w:val="hybridMultilevel"/>
    <w:tmpl w:val="001C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96C9B"/>
    <w:multiLevelType w:val="hybridMultilevel"/>
    <w:tmpl w:val="D2B4D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412705"/>
    <w:multiLevelType w:val="hybridMultilevel"/>
    <w:tmpl w:val="76C25AF0"/>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79061E7E"/>
    <w:multiLevelType w:val="hybridMultilevel"/>
    <w:tmpl w:val="71F43F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792" w:hanging="360"/>
        </w:pPr>
        <w:rPr>
          <w:rFonts w:ascii="Symbol" w:hAnsi="Symbol" w:hint="default"/>
        </w:rPr>
      </w:lvl>
    </w:lvlOverride>
  </w:num>
  <w:num w:numId="3">
    <w:abstractNumId w:val="7"/>
  </w:num>
  <w:num w:numId="4">
    <w:abstractNumId w:val="5"/>
  </w:num>
  <w:num w:numId="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9"/>
  </w:num>
  <w:num w:numId="7">
    <w:abstractNumId w:val="4"/>
  </w:num>
  <w:num w:numId="8">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9">
    <w:abstractNumId w:val="3"/>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AC"/>
    <w:rsid w:val="000117F4"/>
    <w:rsid w:val="00063894"/>
    <w:rsid w:val="00070116"/>
    <w:rsid w:val="00074715"/>
    <w:rsid w:val="00094745"/>
    <w:rsid w:val="00096BA4"/>
    <w:rsid w:val="000A3FCB"/>
    <w:rsid w:val="000B6381"/>
    <w:rsid w:val="00156D11"/>
    <w:rsid w:val="00174B7A"/>
    <w:rsid w:val="001A76AA"/>
    <w:rsid w:val="002625A3"/>
    <w:rsid w:val="00264D68"/>
    <w:rsid w:val="00266653"/>
    <w:rsid w:val="00276EAF"/>
    <w:rsid w:val="002A65CE"/>
    <w:rsid w:val="002B0A8D"/>
    <w:rsid w:val="002E26CC"/>
    <w:rsid w:val="002E49BA"/>
    <w:rsid w:val="00377AE4"/>
    <w:rsid w:val="00393B1E"/>
    <w:rsid w:val="00394A29"/>
    <w:rsid w:val="003A7324"/>
    <w:rsid w:val="003C141C"/>
    <w:rsid w:val="00400FF6"/>
    <w:rsid w:val="00404A07"/>
    <w:rsid w:val="00464FCD"/>
    <w:rsid w:val="00471647"/>
    <w:rsid w:val="00474922"/>
    <w:rsid w:val="0048361E"/>
    <w:rsid w:val="004A44F0"/>
    <w:rsid w:val="004C6583"/>
    <w:rsid w:val="004D7D3E"/>
    <w:rsid w:val="004F2F86"/>
    <w:rsid w:val="00537F48"/>
    <w:rsid w:val="00554D59"/>
    <w:rsid w:val="005840E5"/>
    <w:rsid w:val="005C04A9"/>
    <w:rsid w:val="005C2ED7"/>
    <w:rsid w:val="00601FAF"/>
    <w:rsid w:val="0064602D"/>
    <w:rsid w:val="006530CF"/>
    <w:rsid w:val="00672BC0"/>
    <w:rsid w:val="006C5B72"/>
    <w:rsid w:val="007467AC"/>
    <w:rsid w:val="007476E8"/>
    <w:rsid w:val="007A3CAC"/>
    <w:rsid w:val="007C5F0A"/>
    <w:rsid w:val="007D33CF"/>
    <w:rsid w:val="007D5608"/>
    <w:rsid w:val="007E27D1"/>
    <w:rsid w:val="007F623B"/>
    <w:rsid w:val="0081570B"/>
    <w:rsid w:val="00816428"/>
    <w:rsid w:val="00826D5C"/>
    <w:rsid w:val="00840812"/>
    <w:rsid w:val="00846842"/>
    <w:rsid w:val="008578F4"/>
    <w:rsid w:val="00867014"/>
    <w:rsid w:val="008876E6"/>
    <w:rsid w:val="008B34EF"/>
    <w:rsid w:val="008E2750"/>
    <w:rsid w:val="00941531"/>
    <w:rsid w:val="00947838"/>
    <w:rsid w:val="00975CE0"/>
    <w:rsid w:val="009B2998"/>
    <w:rsid w:val="009B7D0B"/>
    <w:rsid w:val="009F0FB6"/>
    <w:rsid w:val="009F6DF4"/>
    <w:rsid w:val="00A61EFC"/>
    <w:rsid w:val="00A805D8"/>
    <w:rsid w:val="00AA6EA3"/>
    <w:rsid w:val="00AB476A"/>
    <w:rsid w:val="00AD0003"/>
    <w:rsid w:val="00B23158"/>
    <w:rsid w:val="00BA30BA"/>
    <w:rsid w:val="00BB614A"/>
    <w:rsid w:val="00C153D5"/>
    <w:rsid w:val="00C20565"/>
    <w:rsid w:val="00C26A6F"/>
    <w:rsid w:val="00C55F20"/>
    <w:rsid w:val="00C61B8E"/>
    <w:rsid w:val="00C666E2"/>
    <w:rsid w:val="00C91C86"/>
    <w:rsid w:val="00CA1E2D"/>
    <w:rsid w:val="00CE2D36"/>
    <w:rsid w:val="00D57D8F"/>
    <w:rsid w:val="00D6003F"/>
    <w:rsid w:val="00DB2E7D"/>
    <w:rsid w:val="00DC2974"/>
    <w:rsid w:val="00DE0587"/>
    <w:rsid w:val="00DE75BB"/>
    <w:rsid w:val="00E27369"/>
    <w:rsid w:val="00E3463D"/>
    <w:rsid w:val="00E37E61"/>
    <w:rsid w:val="00E64BFA"/>
    <w:rsid w:val="00EB373F"/>
    <w:rsid w:val="00EB7F37"/>
    <w:rsid w:val="00EE454B"/>
    <w:rsid w:val="00EF440E"/>
    <w:rsid w:val="00F47ECF"/>
    <w:rsid w:val="00F56F81"/>
    <w:rsid w:val="00FD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3946A2C-1463-4267-BA34-09512ED0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rPr>
      <w:rFonts w:ascii="Tahoma" w:hAnsi="Tahoma"/>
      <w:sz w:val="16"/>
    </w:rPr>
  </w:style>
  <w:style w:type="paragraph" w:styleId="Header">
    <w:name w:val="header"/>
    <w:basedOn w:val="Normal"/>
    <w:link w:val="HeaderChar"/>
    <w:rsid w:val="00DE75BB"/>
    <w:pPr>
      <w:tabs>
        <w:tab w:val="center" w:pos="4680"/>
        <w:tab w:val="right" w:pos="9360"/>
      </w:tabs>
    </w:pPr>
  </w:style>
  <w:style w:type="character" w:customStyle="1" w:styleId="HeaderChar">
    <w:name w:val="Header Char"/>
    <w:basedOn w:val="DefaultParagraphFont"/>
    <w:link w:val="Header"/>
    <w:rsid w:val="00DE75BB"/>
  </w:style>
  <w:style w:type="paragraph" w:styleId="Footer">
    <w:name w:val="footer"/>
    <w:basedOn w:val="Normal"/>
    <w:link w:val="FooterChar"/>
    <w:uiPriority w:val="99"/>
    <w:rsid w:val="00DE75BB"/>
    <w:pPr>
      <w:tabs>
        <w:tab w:val="center" w:pos="4680"/>
        <w:tab w:val="right" w:pos="9360"/>
      </w:tabs>
    </w:pPr>
  </w:style>
  <w:style w:type="character" w:customStyle="1" w:styleId="FooterChar">
    <w:name w:val="Footer Char"/>
    <w:basedOn w:val="DefaultParagraphFont"/>
    <w:link w:val="Footer"/>
    <w:uiPriority w:val="99"/>
    <w:rsid w:val="00DE75BB"/>
  </w:style>
  <w:style w:type="character" w:styleId="CommentReference">
    <w:name w:val="annotation reference"/>
    <w:rsid w:val="00394A29"/>
    <w:rPr>
      <w:sz w:val="16"/>
      <w:szCs w:val="16"/>
    </w:rPr>
  </w:style>
  <w:style w:type="paragraph" w:styleId="CommentText">
    <w:name w:val="annotation text"/>
    <w:basedOn w:val="Normal"/>
    <w:link w:val="CommentTextChar"/>
    <w:rsid w:val="00394A29"/>
  </w:style>
  <w:style w:type="character" w:customStyle="1" w:styleId="CommentTextChar">
    <w:name w:val="Comment Text Char"/>
    <w:basedOn w:val="DefaultParagraphFont"/>
    <w:link w:val="CommentText"/>
    <w:rsid w:val="00394A29"/>
  </w:style>
  <w:style w:type="paragraph" w:styleId="CommentSubject">
    <w:name w:val="annotation subject"/>
    <w:basedOn w:val="CommentText"/>
    <w:next w:val="CommentText"/>
    <w:link w:val="CommentSubjectChar"/>
    <w:rsid w:val="00394A29"/>
    <w:rPr>
      <w:b/>
      <w:bCs/>
    </w:rPr>
  </w:style>
  <w:style w:type="character" w:customStyle="1" w:styleId="CommentSubjectChar">
    <w:name w:val="Comment Subject Char"/>
    <w:link w:val="CommentSubject"/>
    <w:rsid w:val="00394A29"/>
    <w:rPr>
      <w:b/>
      <w:bCs/>
    </w:rPr>
  </w:style>
  <w:style w:type="table" w:styleId="TableGrid">
    <w:name w:val="Table Grid"/>
    <w:basedOn w:val="TableNormal"/>
    <w:rsid w:val="008B3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116"/>
    <w:pPr>
      <w:overflowPunct/>
      <w:autoSpaceDE/>
      <w:autoSpaceDN/>
      <w:adjustRightInd/>
      <w:ind w:left="720"/>
      <w:contextualSpacing/>
      <w:textAlignment w:val="auto"/>
    </w:pPr>
    <w:rPr>
      <w:sz w:val="24"/>
      <w:szCs w:val="24"/>
    </w:rPr>
  </w:style>
  <w:style w:type="paragraph" w:styleId="BodyTextIndent2">
    <w:name w:val="Body Text Indent 2"/>
    <w:basedOn w:val="Normal"/>
    <w:link w:val="BodyTextIndent2Char"/>
    <w:uiPriority w:val="99"/>
    <w:unhideWhenUsed/>
    <w:rsid w:val="00070116"/>
    <w:pPr>
      <w:overflowPunct/>
      <w:autoSpaceDE/>
      <w:autoSpaceDN/>
      <w:adjustRightInd/>
      <w:spacing w:after="120" w:line="480" w:lineRule="auto"/>
      <w:ind w:left="360"/>
      <w:textAlignment w:val="auto"/>
    </w:pPr>
    <w:rPr>
      <w:sz w:val="24"/>
      <w:szCs w:val="24"/>
    </w:rPr>
  </w:style>
  <w:style w:type="character" w:customStyle="1" w:styleId="BodyTextIndent2Char">
    <w:name w:val="Body Text Indent 2 Char"/>
    <w:link w:val="BodyTextIndent2"/>
    <w:uiPriority w:val="99"/>
    <w:rsid w:val="00070116"/>
    <w:rPr>
      <w:sz w:val="24"/>
      <w:szCs w:val="24"/>
    </w:rPr>
  </w:style>
  <w:style w:type="paragraph" w:customStyle="1" w:styleId="Level1">
    <w:name w:val="Level 1"/>
    <w:basedOn w:val="Normal"/>
    <w:rsid w:val="00070116"/>
    <w:pPr>
      <w:widowControl w:val="0"/>
      <w:numPr>
        <w:numId w:val="5"/>
      </w:numPr>
      <w:overflowPunct/>
      <w:ind w:left="474" w:hanging="186"/>
      <w:textAlignment w:val="auto"/>
      <w:outlineLvl w:val="0"/>
    </w:pPr>
    <w:rPr>
      <w:sz w:val="24"/>
      <w:szCs w:val="24"/>
    </w:rPr>
  </w:style>
  <w:style w:type="paragraph" w:customStyle="1" w:styleId="Level2">
    <w:name w:val="Level 2"/>
    <w:basedOn w:val="Normal"/>
    <w:rsid w:val="00070116"/>
    <w:pPr>
      <w:widowControl w:val="0"/>
      <w:overflowPunct/>
      <w:ind w:left="722" w:hanging="361"/>
      <w:textAlignment w:val="auto"/>
    </w:pPr>
    <w:rPr>
      <w:sz w:val="24"/>
      <w:szCs w:val="24"/>
    </w:rPr>
  </w:style>
  <w:style w:type="character" w:styleId="Hyperlink">
    <w:name w:val="Hyperlink"/>
    <w:rsid w:val="00AA6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5BBC4-2E96-4F36-B5E9-69684A6E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1._Explain the circumstances that make the collection of information necessary.  Identify any legal</vt:lpstr>
    </vt:vector>
  </TitlesOfParts>
  <Company>NCUA</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1._Explain the circumstances that make the collection of information necessary.  Identify any legal</dc:title>
  <dc:subject/>
  <dc:creator>NCUA</dc:creator>
  <cp:keywords/>
  <cp:lastModifiedBy>Wolfgang, Dawn</cp:lastModifiedBy>
  <cp:revision>2</cp:revision>
  <cp:lastPrinted>2020-07-16T12:31:00Z</cp:lastPrinted>
  <dcterms:created xsi:type="dcterms:W3CDTF">2020-07-27T15:18:00Z</dcterms:created>
  <dcterms:modified xsi:type="dcterms:W3CDTF">2020-07-27T15:18:00Z</dcterms:modified>
</cp:coreProperties>
</file>