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94113" w:rsidR="00DE0485" w:rsidP="006C1727" w:rsidRDefault="00DE0485">
      <w:pPr>
        <w:jc w:val="center"/>
      </w:pPr>
      <w:r w:rsidRPr="00C94113">
        <w:t>Justification</w:t>
      </w:r>
    </w:p>
    <w:p w:rsidRPr="00C94113" w:rsidR="00DE0485" w:rsidP="006C1727" w:rsidRDefault="00DE0485">
      <w:pPr>
        <w:jc w:val="center"/>
      </w:pPr>
      <w:r w:rsidRPr="00C94113">
        <w:rPr>
          <w:b/>
        </w:rPr>
        <w:t>Withholding Certificate for Railroad Retirement Monthly Annuity Payments</w:t>
      </w:r>
    </w:p>
    <w:p w:rsidRPr="00C94113" w:rsidR="00DE0485" w:rsidP="006C1727" w:rsidRDefault="00DE0485">
      <w:pPr>
        <w:jc w:val="center"/>
      </w:pPr>
      <w:r w:rsidRPr="00C94113">
        <w:t>Form RRB W-4P</w:t>
      </w:r>
    </w:p>
    <w:p w:rsidRPr="00C94113" w:rsidR="00DE0485" w:rsidRDefault="00DE0485">
      <w:pPr>
        <w:jc w:val="both"/>
      </w:pPr>
    </w:p>
    <w:p w:rsidRPr="00C94113" w:rsidR="00DE0485" w:rsidP="006C1727" w:rsidRDefault="009F0714">
      <w:pPr>
        <w:tabs>
          <w:tab w:val="left" w:pos="540"/>
        </w:tabs>
        <w:spacing w:line="235" w:lineRule="auto"/>
        <w:ind w:left="540" w:hanging="540"/>
        <w:jc w:val="both"/>
      </w:pPr>
      <w:r w:rsidRPr="00C94113">
        <w:t>1</w:t>
      </w:r>
      <w:r w:rsidRPr="00C94113" w:rsidR="00DE0485">
        <w:t>.</w:t>
      </w:r>
      <w:r w:rsidRPr="00C94113" w:rsidR="00DE0485">
        <w:tab/>
      </w:r>
      <w:r w:rsidRPr="00C94113" w:rsidR="00DE0485">
        <w:rPr>
          <w:u w:val="single"/>
        </w:rPr>
        <w:t>Circumstances of information collection</w:t>
      </w:r>
      <w:r w:rsidRPr="00C94113" w:rsidR="00DE0485">
        <w:t xml:space="preserve"> - Under the Railroad Retirement Solvency Act of 1983, (Public Law 98-76), railroad retirement annuitants' Tier II and vested dual benefits are taxable under private pension rules effective January 1, 1984.  Under the Tax Reform Act of 1986 (Public Law 99-514), effective January 1, 1986, the non-social security equivalent benefit portion of Tier I is also taxable under private pension rules.  For beneficiaries age 62 and over, a portion of the Tier I benefit may be treated as a social security benefit and is therefore not subject to the tax withholding that applies to pensions, while the remaining portion of the Tier I benefit continues to be treated as a contributory private pension and subject to tax withholding. Beginning January 1, 1997, annuitants can voluntarily cho</w:t>
      </w:r>
      <w:r w:rsidRPr="00C94113" w:rsidR="00837935">
        <w:t>o</w:t>
      </w:r>
      <w:r w:rsidRPr="00C94113" w:rsidR="00DE0485">
        <w:t xml:space="preserve">se to have Federal income tax withheld from the social security equivalent benefit (SSEB) portion of their Tier I benefits.  To make this choice, annuitants complete IRS Form W-4V, </w:t>
      </w:r>
      <w:r w:rsidRPr="00C94113" w:rsidR="00DE0485">
        <w:rPr>
          <w:i/>
        </w:rPr>
        <w:t>Voluntary Withholding Certificate</w:t>
      </w:r>
      <w:r w:rsidRPr="00C94113" w:rsidR="00DE0485">
        <w:t xml:space="preserve">.  </w:t>
      </w:r>
    </w:p>
    <w:p w:rsidRPr="00C94113" w:rsidR="00A91927" w:rsidP="006C1727" w:rsidRDefault="00A91927">
      <w:pPr>
        <w:tabs>
          <w:tab w:val="left" w:pos="540"/>
        </w:tabs>
        <w:spacing w:line="235" w:lineRule="auto"/>
        <w:ind w:left="540" w:hanging="540"/>
        <w:jc w:val="both"/>
      </w:pPr>
    </w:p>
    <w:p w:rsidRPr="00C94113" w:rsidR="00DE0485" w:rsidP="006C1727" w:rsidRDefault="00DE0485">
      <w:pPr>
        <w:tabs>
          <w:tab w:val="left" w:pos="540"/>
        </w:tabs>
        <w:spacing w:line="235" w:lineRule="auto"/>
        <w:ind w:left="540" w:hanging="540"/>
        <w:jc w:val="both"/>
      </w:pPr>
      <w:r w:rsidRPr="00C94113">
        <w:t>2.</w:t>
      </w:r>
      <w:r w:rsidRPr="00C94113">
        <w:tab/>
      </w:r>
      <w:r w:rsidRPr="00C94113">
        <w:rPr>
          <w:u w:val="single"/>
        </w:rPr>
        <w:t>Purposes of collecting/consequences of not collecting the information</w:t>
      </w:r>
      <w:r w:rsidRPr="00C94113">
        <w:t xml:space="preserve"> - The Internal Revenue Code requires </w:t>
      </w:r>
      <w:r w:rsidRPr="00C94113" w:rsidR="00552BA4">
        <w:t xml:space="preserve">that </w:t>
      </w:r>
      <w:r w:rsidRPr="00C94113">
        <w:t>all payers of tax liable private pensions to U.S. citizens or residents:</w:t>
      </w:r>
    </w:p>
    <w:p w:rsidRPr="00C94113" w:rsidR="00DE0485" w:rsidP="006C1727" w:rsidRDefault="00DE0485">
      <w:pPr>
        <w:tabs>
          <w:tab w:val="left" w:pos="540"/>
        </w:tabs>
        <w:spacing w:line="235" w:lineRule="auto"/>
        <w:ind w:left="540" w:hanging="540"/>
        <w:jc w:val="both"/>
      </w:pPr>
    </w:p>
    <w:p w:rsidRPr="00C94113" w:rsidR="00DE0485" w:rsidP="006C1727" w:rsidRDefault="00DE0485">
      <w:pPr>
        <w:pStyle w:val="a"/>
        <w:tabs>
          <w:tab w:val="left" w:pos="1080"/>
        </w:tabs>
        <w:spacing w:line="235" w:lineRule="auto"/>
        <w:ind w:left="1080" w:hanging="360"/>
        <w:jc w:val="both"/>
      </w:pPr>
      <w:r w:rsidRPr="00C94113">
        <w:sym w:font="Symbol" w:char="F0B7"/>
      </w:r>
      <w:r w:rsidRPr="00C94113">
        <w:tab/>
        <w:t>notify each recipient at least concurrent with initiating with</w:t>
      </w:r>
      <w:r w:rsidRPr="00C94113">
        <w:softHyphen/>
        <w:t>holding</w:t>
      </w:r>
      <w:r w:rsidRPr="00C94113" w:rsidR="00552BA4">
        <w:t>,</w:t>
      </w:r>
      <w:r w:rsidRPr="00C94113">
        <w:t xml:space="preserve"> that the payer is in fact withholding benefits for tax liability and that the recipient has the option to elect not to have the payer withhold, or to withhold at a specific rate;</w:t>
      </w:r>
    </w:p>
    <w:p w:rsidRPr="00C94113" w:rsidR="00DE0485" w:rsidP="006C1727" w:rsidRDefault="00DE0485">
      <w:pPr>
        <w:tabs>
          <w:tab w:val="left" w:pos="1080"/>
        </w:tabs>
        <w:spacing w:line="235" w:lineRule="auto"/>
        <w:ind w:left="1080" w:hanging="360"/>
        <w:jc w:val="both"/>
      </w:pPr>
    </w:p>
    <w:p w:rsidRPr="00C94113" w:rsidR="00DE0485" w:rsidP="006C1727" w:rsidRDefault="00DE0485">
      <w:pPr>
        <w:pStyle w:val="a"/>
        <w:tabs>
          <w:tab w:val="left" w:pos="1080"/>
        </w:tabs>
        <w:spacing w:line="235" w:lineRule="auto"/>
        <w:ind w:left="1080" w:hanging="360"/>
        <w:jc w:val="both"/>
      </w:pPr>
      <w:r w:rsidRPr="00C94113">
        <w:sym w:font="Symbol" w:char="F0B7"/>
      </w:r>
      <w:r w:rsidRPr="00C94113">
        <w:tab/>
      </w:r>
      <w:proofErr w:type="gramStart"/>
      <w:r w:rsidRPr="00C94113">
        <w:t>actually</w:t>
      </w:r>
      <w:proofErr w:type="gramEnd"/>
      <w:r w:rsidRPr="00C94113">
        <w:t xml:space="preserve"> withhold benefits for tax purposes (in the absence of the recipient's election </w:t>
      </w:r>
      <w:r w:rsidRPr="00C94113">
        <w:rPr>
          <w:u w:val="single"/>
        </w:rPr>
        <w:t>not</w:t>
      </w:r>
      <w:r w:rsidRPr="00C94113">
        <w:t xml:space="preserve"> to withhold) for all annuitants whose monthly taxable benefits exceed</w:t>
      </w:r>
      <w:r w:rsidRPr="00C94113">
        <w:rPr>
          <w:rFonts w:cs="CG Times"/>
          <w:szCs w:val="22"/>
        </w:rPr>
        <w:t xml:space="preserve"> </w:t>
      </w:r>
      <w:r w:rsidRPr="00C94113" w:rsidR="005C6248">
        <w:rPr>
          <w:rFonts w:cs="CG Times"/>
          <w:szCs w:val="22"/>
        </w:rPr>
        <w:t xml:space="preserve"> $</w:t>
      </w:r>
      <w:r w:rsidR="00793D2A">
        <w:rPr>
          <w:rFonts w:cs="CG Times"/>
          <w:szCs w:val="22"/>
        </w:rPr>
        <w:t>2,038.00</w:t>
      </w:r>
      <w:r w:rsidRPr="00C94113" w:rsidR="005C6248">
        <w:t xml:space="preserve"> in </w:t>
      </w:r>
      <w:r w:rsidRPr="00C94113" w:rsidR="005C6248">
        <w:rPr>
          <w:rFonts w:cs="CG Times"/>
          <w:szCs w:val="22"/>
        </w:rPr>
        <w:t>201</w:t>
      </w:r>
      <w:r w:rsidR="00793D2A">
        <w:rPr>
          <w:rFonts w:cs="CG Times"/>
          <w:szCs w:val="22"/>
        </w:rPr>
        <w:t>9</w:t>
      </w:r>
      <w:r w:rsidRPr="00C94113" w:rsidR="005C6248">
        <w:t xml:space="preserve"> </w:t>
      </w:r>
      <w:r w:rsidRPr="00C94113">
        <w:t>(the table dollar amount that corresponds to IRS' mandatory withholding at the rate equal to a tax status of married with three exemptions); and</w:t>
      </w:r>
    </w:p>
    <w:p w:rsidRPr="00C94113" w:rsidR="00DE0485" w:rsidP="006C1727" w:rsidRDefault="00DE0485">
      <w:pPr>
        <w:tabs>
          <w:tab w:val="left" w:pos="1080"/>
        </w:tabs>
        <w:spacing w:line="235" w:lineRule="auto"/>
        <w:ind w:left="1080" w:hanging="360"/>
        <w:jc w:val="both"/>
      </w:pPr>
    </w:p>
    <w:p w:rsidRPr="00C94113" w:rsidR="00DE0485" w:rsidP="006C1727" w:rsidRDefault="00DE0485">
      <w:pPr>
        <w:pStyle w:val="a"/>
        <w:tabs>
          <w:tab w:val="left" w:pos="1080"/>
        </w:tabs>
        <w:spacing w:line="235" w:lineRule="auto"/>
        <w:ind w:left="1080" w:hanging="360"/>
        <w:jc w:val="both"/>
      </w:pPr>
      <w:r w:rsidRPr="00C94113">
        <w:sym w:font="Symbol" w:char="F0B7"/>
      </w:r>
      <w:r w:rsidRPr="00C94113">
        <w:tab/>
      </w:r>
      <w:proofErr w:type="gramStart"/>
      <w:r w:rsidRPr="00C94113">
        <w:t>notify</w:t>
      </w:r>
      <w:proofErr w:type="gramEnd"/>
      <w:r w:rsidRPr="00C94113" w:rsidR="00004FD5">
        <w:t>,</w:t>
      </w:r>
      <w:r w:rsidRPr="00C94113">
        <w:t xml:space="preserve"> at least annually</w:t>
      </w:r>
      <w:r w:rsidRPr="00C94113" w:rsidR="00004FD5">
        <w:t>,</w:t>
      </w:r>
      <w:r w:rsidRPr="00C94113">
        <w:t xml:space="preserve"> all beneficiaries that they have the option to change their withholding status or elect not to have benefits withheld.</w:t>
      </w:r>
    </w:p>
    <w:p w:rsidRPr="00C94113" w:rsidR="00004FD5" w:rsidP="006C1727" w:rsidRDefault="00004FD5">
      <w:pPr>
        <w:tabs>
          <w:tab w:val="left" w:pos="540"/>
        </w:tabs>
        <w:spacing w:line="235" w:lineRule="auto"/>
        <w:ind w:left="540"/>
        <w:jc w:val="both"/>
        <w:rPr>
          <w:b/>
        </w:rPr>
      </w:pPr>
    </w:p>
    <w:p w:rsidRPr="00C94113" w:rsidR="008A01C5" w:rsidP="006C1727" w:rsidRDefault="00DE0485">
      <w:pPr>
        <w:tabs>
          <w:tab w:val="left" w:pos="540"/>
        </w:tabs>
        <w:spacing w:line="235" w:lineRule="auto"/>
        <w:ind w:left="540"/>
        <w:jc w:val="both"/>
      </w:pPr>
      <w:proofErr w:type="gramStart"/>
      <w:r w:rsidRPr="00C94113">
        <w:rPr>
          <w:b/>
        </w:rPr>
        <w:t>Form RRB W-4P,</w:t>
      </w:r>
      <w:r w:rsidRPr="00C94113">
        <w:t xml:space="preserve"> </w:t>
      </w:r>
      <w:r w:rsidRPr="00C94113">
        <w:rPr>
          <w:b/>
        </w:rPr>
        <w:t>Withholding Certificate for Railroad Retirement Payments</w:t>
      </w:r>
      <w:r w:rsidRPr="00C94113">
        <w:t>, is provided by the Railroad Retirement Board (RRB)</w:t>
      </w:r>
      <w:proofErr w:type="gramEnd"/>
      <w:r w:rsidRPr="00C94113">
        <w:t xml:space="preserve"> to its annuitants to exercise their withholding option</w:t>
      </w:r>
      <w:r w:rsidRPr="00C94113" w:rsidR="009F0714">
        <w:t>.</w:t>
      </w:r>
      <w:r w:rsidRPr="00C94113">
        <w:t xml:space="preserve"> </w:t>
      </w:r>
      <w:r w:rsidRPr="00C94113" w:rsidR="00552BA4">
        <w:t xml:space="preserve"> </w:t>
      </w:r>
      <w:r w:rsidRPr="00C94113">
        <w:t xml:space="preserve">Form RRB W-4P </w:t>
      </w:r>
      <w:proofErr w:type="gramStart"/>
      <w:r w:rsidRPr="00C94113">
        <w:t xml:space="preserve">is </w:t>
      </w:r>
      <w:r w:rsidR="00793D2A">
        <w:t>provided</w:t>
      </w:r>
      <w:proofErr w:type="gramEnd"/>
      <w:r w:rsidR="00793D2A">
        <w:t xml:space="preserve"> as a stand-alone document.  In addition, Form RRB W-4P </w:t>
      </w:r>
      <w:r w:rsidRPr="00C94113" w:rsidR="009652C2">
        <w:t xml:space="preserve">is </w:t>
      </w:r>
      <w:r w:rsidRPr="00C94113">
        <w:rPr>
          <w:b/>
        </w:rPr>
        <w:t>contained within</w:t>
      </w:r>
      <w:r w:rsidRPr="00C94113">
        <w:t xml:space="preserve"> </w:t>
      </w:r>
      <w:r w:rsidRPr="00C94113">
        <w:rPr>
          <w:b/>
        </w:rPr>
        <w:t>RRB informational</w:t>
      </w:r>
      <w:r w:rsidRPr="00C94113">
        <w:t xml:space="preserve"> </w:t>
      </w:r>
      <w:r w:rsidRPr="00C94113">
        <w:rPr>
          <w:b/>
        </w:rPr>
        <w:t>booklet T</w:t>
      </w:r>
      <w:r w:rsidRPr="00C94113" w:rsidR="0005329E">
        <w:rPr>
          <w:b/>
        </w:rPr>
        <w:t>X</w:t>
      </w:r>
      <w:r w:rsidRPr="00C94113">
        <w:rPr>
          <w:b/>
        </w:rPr>
        <w:t>B-25</w:t>
      </w:r>
      <w:r w:rsidRPr="00C94113">
        <w:t>,</w:t>
      </w:r>
      <w:r w:rsidRPr="00C94113">
        <w:rPr>
          <w:b/>
        </w:rPr>
        <w:t xml:space="preserve"> </w:t>
      </w:r>
      <w:r w:rsidRPr="00C94113">
        <w:rPr>
          <w:i/>
        </w:rPr>
        <w:t xml:space="preserve">Important Information </w:t>
      </w:r>
      <w:proofErr w:type="gramStart"/>
      <w:r w:rsidRPr="00C94113">
        <w:rPr>
          <w:i/>
        </w:rPr>
        <w:t>About</w:t>
      </w:r>
      <w:proofErr w:type="gramEnd"/>
      <w:r w:rsidRPr="00C94113">
        <w:rPr>
          <w:i/>
        </w:rPr>
        <w:t xml:space="preserve"> Tax Withholding and Railroad Retirement Payments</w:t>
      </w:r>
      <w:r w:rsidRPr="00C94113">
        <w:t>.</w:t>
      </w:r>
      <w:r w:rsidRPr="00C94113" w:rsidR="00552BA4">
        <w:t xml:space="preserve"> </w:t>
      </w:r>
      <w:r w:rsidRPr="00C94113" w:rsidR="000F7776">
        <w:rPr>
          <w:rFonts w:cs="CG Times"/>
          <w:szCs w:val="22"/>
        </w:rPr>
        <w:t xml:space="preserve"> </w:t>
      </w:r>
      <w:r w:rsidRPr="00C94113" w:rsidR="00552BA4">
        <w:t>T</w:t>
      </w:r>
      <w:r w:rsidRPr="00C94113">
        <w:t>he T</w:t>
      </w:r>
      <w:r w:rsidRPr="00C94113" w:rsidR="0005329E">
        <w:t>X</w:t>
      </w:r>
      <w:r w:rsidRPr="00C94113">
        <w:t>B</w:t>
      </w:r>
      <w:r w:rsidRPr="00C94113" w:rsidR="00066CB3">
        <w:noBreakHyphen/>
      </w:r>
      <w:r w:rsidRPr="00C94113">
        <w:t>25 also contains general information, the Paperwork Reduction</w:t>
      </w:r>
      <w:r w:rsidRPr="00C94113" w:rsidR="00552BA4">
        <w:t xml:space="preserve"> Act</w:t>
      </w:r>
      <w:r w:rsidRPr="00C94113" w:rsidR="00555162">
        <w:t xml:space="preserve"> and </w:t>
      </w:r>
      <w:r w:rsidRPr="00C94113">
        <w:t>Privacy Act Notice</w:t>
      </w:r>
      <w:r w:rsidRPr="00C94113" w:rsidR="00552BA4">
        <w:t>s</w:t>
      </w:r>
      <w:r w:rsidRPr="00C94113">
        <w:t>, the burden statement</w:t>
      </w:r>
      <w:r w:rsidRPr="00C94113" w:rsidR="007910E2">
        <w:t>,</w:t>
      </w:r>
      <w:r w:rsidRPr="00C94113">
        <w:t xml:space="preserve"> and worksheets for use by an annuitant to determine the number of allowances to </w:t>
      </w:r>
      <w:proofErr w:type="gramStart"/>
      <w:r w:rsidRPr="00C94113">
        <w:t>be entered</w:t>
      </w:r>
      <w:proofErr w:type="gramEnd"/>
      <w:r w:rsidRPr="00C94113">
        <w:t xml:space="preserve"> on Form RRB W-4P.</w:t>
      </w:r>
    </w:p>
    <w:p w:rsidRPr="00C94113" w:rsidR="007910E2" w:rsidP="006C1727" w:rsidRDefault="007910E2">
      <w:pPr>
        <w:tabs>
          <w:tab w:val="left" w:pos="540"/>
        </w:tabs>
        <w:spacing w:line="235" w:lineRule="auto"/>
        <w:ind w:left="540"/>
        <w:jc w:val="both"/>
      </w:pPr>
    </w:p>
    <w:p w:rsidRPr="00C94113" w:rsidR="00DE0485" w:rsidP="006C1727" w:rsidRDefault="008A01C5">
      <w:pPr>
        <w:tabs>
          <w:tab w:val="left" w:pos="540"/>
        </w:tabs>
        <w:spacing w:line="235" w:lineRule="auto"/>
        <w:ind w:left="540"/>
        <w:jc w:val="both"/>
      </w:pPr>
      <w:r w:rsidRPr="00C94113">
        <w:t xml:space="preserve">Annuitants generally receive a TXB-25 at the time they file their annuity application. </w:t>
      </w:r>
      <w:r w:rsidRPr="00C94113" w:rsidR="007910E2">
        <w:t xml:space="preserve"> </w:t>
      </w:r>
      <w:r w:rsidRPr="00C94113">
        <w:t xml:space="preserve">If they file their annuity application by mail, a TXB-25 </w:t>
      </w:r>
      <w:proofErr w:type="gramStart"/>
      <w:r w:rsidRPr="00C94113">
        <w:t>is mailed</w:t>
      </w:r>
      <w:proofErr w:type="gramEnd"/>
      <w:r w:rsidRPr="00C94113">
        <w:t xml:space="preserve"> to them upon </w:t>
      </w:r>
      <w:r w:rsidRPr="00C94113" w:rsidR="005C6248">
        <w:rPr>
          <w:rFonts w:cs="CG Times"/>
          <w:szCs w:val="22"/>
        </w:rPr>
        <w:t xml:space="preserve">the RRB’s </w:t>
      </w:r>
      <w:r w:rsidRPr="00C94113" w:rsidR="005C6248">
        <w:t xml:space="preserve">receipt of the application.  Annuitants also receive Form </w:t>
      </w:r>
      <w:r w:rsidRPr="00C94113" w:rsidR="005C6248">
        <w:rPr>
          <w:rFonts w:cs="CG Times"/>
          <w:bCs/>
          <w:szCs w:val="22"/>
        </w:rPr>
        <w:t>RL-6</w:t>
      </w:r>
      <w:r w:rsidRPr="00C94113" w:rsidR="005C6248">
        <w:t xml:space="preserve">, </w:t>
      </w:r>
      <w:r w:rsidRPr="00C94113" w:rsidR="00562580">
        <w:rPr>
          <w:i/>
        </w:rPr>
        <w:t>Annual Rate Newsletter</w:t>
      </w:r>
      <w:r w:rsidRPr="00C94113" w:rsidR="005C6248">
        <w:t>, as part of the RRB's annual cost-of-living notification process.</w:t>
      </w:r>
      <w:r w:rsidRPr="00C94113" w:rsidR="005C6248">
        <w:rPr>
          <w:rFonts w:cs="CG Times"/>
          <w:szCs w:val="22"/>
        </w:rPr>
        <w:t xml:space="preserve">  The </w:t>
      </w:r>
      <w:r w:rsidRPr="00C94113" w:rsidR="005C6248">
        <w:rPr>
          <w:rFonts w:cs="CG Times"/>
          <w:bCs/>
          <w:szCs w:val="22"/>
        </w:rPr>
        <w:t>RL-6</w:t>
      </w:r>
      <w:r w:rsidRPr="00C94113" w:rsidR="00CF2CD3">
        <w:t xml:space="preserve"> </w:t>
      </w:r>
      <w:r w:rsidRPr="00C94113" w:rsidR="00DE0485">
        <w:t>includes language that reminds annuitants that they may change the amount of tax withheld.</w:t>
      </w:r>
      <w:r w:rsidRPr="00C94113" w:rsidR="007910E2">
        <w:t xml:space="preserve">  </w:t>
      </w:r>
      <w:r w:rsidRPr="00C94113" w:rsidR="00DE0485">
        <w:t xml:space="preserve">When an RRB office receives a request to change tax withholding from an annuitant, </w:t>
      </w:r>
      <w:r w:rsidRPr="00C94113" w:rsidR="009652C2">
        <w:t xml:space="preserve">a </w:t>
      </w:r>
      <w:r w:rsidRPr="00C94113" w:rsidR="00DE0485">
        <w:t>T</w:t>
      </w:r>
      <w:r w:rsidRPr="00C94113" w:rsidR="0005329E">
        <w:t>X</w:t>
      </w:r>
      <w:r w:rsidRPr="00C94113" w:rsidR="00DE0485">
        <w:t xml:space="preserve">B-25 </w:t>
      </w:r>
      <w:proofErr w:type="gramStart"/>
      <w:r w:rsidRPr="00C94113" w:rsidR="00DE0485">
        <w:t>is mailed</w:t>
      </w:r>
      <w:proofErr w:type="gramEnd"/>
      <w:r w:rsidRPr="00C94113" w:rsidR="00DE0485">
        <w:t xml:space="preserve"> to the requestor.</w:t>
      </w:r>
    </w:p>
    <w:p w:rsidRPr="00C94113" w:rsidR="008A01C5" w:rsidP="006C1727" w:rsidRDefault="008A01C5">
      <w:pPr>
        <w:tabs>
          <w:tab w:val="left" w:pos="540"/>
        </w:tabs>
        <w:spacing w:line="235" w:lineRule="auto"/>
        <w:ind w:left="540"/>
        <w:jc w:val="both"/>
      </w:pPr>
    </w:p>
    <w:p w:rsidRPr="00E36AFE" w:rsidR="00DE0485" w:rsidP="006C1727" w:rsidRDefault="00DE0485">
      <w:pPr>
        <w:pStyle w:val="BodyTextIndent"/>
        <w:tabs>
          <w:tab w:val="clear" w:pos="-1440"/>
          <w:tab w:val="left" w:pos="540"/>
        </w:tabs>
        <w:spacing w:line="235" w:lineRule="auto"/>
        <w:ind w:left="540"/>
        <w:rPr>
          <w:rFonts w:ascii="Arial" w:hAnsi="Arial"/>
        </w:rPr>
      </w:pPr>
      <w:r w:rsidRPr="00C94113">
        <w:rPr>
          <w:rFonts w:ascii="Arial" w:hAnsi="Arial"/>
        </w:rPr>
        <w:t xml:space="preserve">The RRB W-4P </w:t>
      </w:r>
      <w:proofErr w:type="gramStart"/>
      <w:r w:rsidRPr="00C94113">
        <w:rPr>
          <w:rFonts w:ascii="Arial" w:hAnsi="Arial"/>
        </w:rPr>
        <w:t>is patterned</w:t>
      </w:r>
      <w:proofErr w:type="gramEnd"/>
      <w:r w:rsidRPr="00C94113">
        <w:rPr>
          <w:rFonts w:ascii="Arial" w:hAnsi="Arial"/>
        </w:rPr>
        <w:t xml:space="preserve"> after IRS's Form W-4P, </w:t>
      </w:r>
      <w:r w:rsidRPr="00C94113">
        <w:rPr>
          <w:rFonts w:ascii="Arial" w:hAnsi="Arial"/>
          <w:i/>
        </w:rPr>
        <w:t>Withholding Certificate for Pension or Annuity Payments</w:t>
      </w:r>
      <w:r w:rsidRPr="00C94113">
        <w:rPr>
          <w:rFonts w:ascii="Arial" w:hAnsi="Arial"/>
        </w:rPr>
        <w:t xml:space="preserve"> (OMB 1545-0</w:t>
      </w:r>
      <w:r w:rsidRPr="00C94113" w:rsidR="003E6D9C">
        <w:rPr>
          <w:rFonts w:ascii="Arial" w:hAnsi="Arial"/>
        </w:rPr>
        <w:t>074</w:t>
      </w:r>
      <w:r w:rsidRPr="00C94113">
        <w:rPr>
          <w:rFonts w:ascii="Arial" w:hAnsi="Arial"/>
        </w:rPr>
        <w:t xml:space="preserve">). </w:t>
      </w:r>
      <w:r w:rsidRPr="00C94113" w:rsidR="000F7776">
        <w:rPr>
          <w:rFonts w:ascii="Arial" w:hAnsi="Arial"/>
          <w:szCs w:val="22"/>
        </w:rPr>
        <w:t xml:space="preserve"> </w:t>
      </w:r>
      <w:r w:rsidRPr="006004A3">
        <w:rPr>
          <w:rFonts w:ascii="Arial" w:hAnsi="Arial"/>
        </w:rPr>
        <w:t xml:space="preserve">Form RRB W-4P obtains </w:t>
      </w:r>
      <w:r w:rsidRPr="006004A3" w:rsidR="00121BC2">
        <w:rPr>
          <w:rFonts w:ascii="Arial" w:hAnsi="Arial"/>
        </w:rPr>
        <w:t xml:space="preserve">essentially the </w:t>
      </w:r>
      <w:r w:rsidRPr="006004A3">
        <w:rPr>
          <w:rFonts w:ascii="Arial" w:hAnsi="Arial"/>
        </w:rPr>
        <w:t xml:space="preserve">same </w:t>
      </w:r>
      <w:r w:rsidRPr="006004A3">
        <w:rPr>
          <w:rFonts w:ascii="Arial" w:hAnsi="Arial"/>
        </w:rPr>
        <w:lastRenderedPageBreak/>
        <w:t xml:space="preserve">information as obtained by the </w:t>
      </w:r>
      <w:r w:rsidRPr="006004A3" w:rsidR="008057FC">
        <w:rPr>
          <w:rFonts w:ascii="Arial" w:hAnsi="Arial"/>
        </w:rPr>
        <w:t xml:space="preserve">IRS Form </w:t>
      </w:r>
      <w:r w:rsidRPr="006004A3">
        <w:rPr>
          <w:rFonts w:ascii="Arial" w:hAnsi="Arial"/>
        </w:rPr>
        <w:t xml:space="preserve">W-4P. </w:t>
      </w:r>
      <w:r w:rsidRPr="00E36AFE" w:rsidR="007910E2">
        <w:rPr>
          <w:rFonts w:ascii="Arial" w:hAnsi="Arial"/>
        </w:rPr>
        <w:t xml:space="preserve"> </w:t>
      </w:r>
      <w:r w:rsidRPr="00E36AFE">
        <w:rPr>
          <w:rFonts w:ascii="Arial" w:hAnsi="Arial"/>
        </w:rPr>
        <w:t>The format and the wording of the RRB W-4P is slightly different.</w:t>
      </w:r>
    </w:p>
    <w:p w:rsidRPr="00C94113" w:rsidR="008464B3" w:rsidP="006C1727" w:rsidRDefault="008464B3">
      <w:pPr>
        <w:pStyle w:val="BodyTextIndent"/>
        <w:tabs>
          <w:tab w:val="clear" w:pos="-1440"/>
          <w:tab w:val="left" w:pos="540"/>
        </w:tabs>
        <w:spacing w:line="235" w:lineRule="auto"/>
        <w:ind w:left="540"/>
        <w:rPr>
          <w:rFonts w:ascii="Arial" w:hAnsi="Arial"/>
          <w:szCs w:val="22"/>
        </w:rPr>
      </w:pPr>
    </w:p>
    <w:p w:rsidR="006A4EED" w:rsidP="006C1727" w:rsidRDefault="00ED613B">
      <w:pPr>
        <w:pStyle w:val="BodyTextIndent"/>
        <w:tabs>
          <w:tab w:val="clear" w:pos="-1440"/>
          <w:tab w:val="left" w:pos="540"/>
        </w:tabs>
        <w:spacing w:line="235" w:lineRule="auto"/>
        <w:ind w:left="540"/>
        <w:rPr>
          <w:rFonts w:ascii="Arial" w:hAnsi="Arial"/>
          <w:b/>
        </w:rPr>
      </w:pPr>
      <w:r w:rsidRPr="00C94113">
        <w:rPr>
          <w:rFonts w:ascii="Arial" w:hAnsi="Arial"/>
          <w:b/>
        </w:rPr>
        <w:t>The RRB proposes no changes to Form RRB-W-4</w:t>
      </w:r>
      <w:r w:rsidRPr="00C94113" w:rsidR="008057FC">
        <w:rPr>
          <w:rFonts w:ascii="Arial" w:hAnsi="Arial"/>
          <w:b/>
        </w:rPr>
        <w:t>P</w:t>
      </w:r>
      <w:r w:rsidRPr="00C94113" w:rsidR="008A01C5">
        <w:rPr>
          <w:rFonts w:ascii="Arial" w:hAnsi="Arial"/>
          <w:b/>
        </w:rPr>
        <w:t>.</w:t>
      </w:r>
    </w:p>
    <w:p w:rsidRPr="00C94113" w:rsidR="00BF0D8C" w:rsidP="006C1727" w:rsidRDefault="00BF0D8C">
      <w:pPr>
        <w:pStyle w:val="BodyTextIndent"/>
        <w:tabs>
          <w:tab w:val="clear" w:pos="-1440"/>
          <w:tab w:val="left" w:pos="540"/>
        </w:tabs>
        <w:spacing w:line="235" w:lineRule="auto"/>
        <w:ind w:left="540"/>
        <w:rPr>
          <w:rFonts w:ascii="Arial" w:hAnsi="Arial"/>
          <w:b/>
        </w:rPr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3.</w:t>
      </w:r>
      <w:r w:rsidRPr="00C94113">
        <w:tab/>
      </w:r>
      <w:r w:rsidRPr="00C94113">
        <w:rPr>
          <w:u w:val="single"/>
        </w:rPr>
        <w:t>Planned use of improved information technology or technical/legal impediments to further burden reduction</w:t>
      </w:r>
      <w:r w:rsidRPr="00C94113" w:rsidR="006C1727">
        <w:t xml:space="preserve"> </w:t>
      </w:r>
      <w:r w:rsidRPr="00C94113" w:rsidR="006C1727">
        <w:rPr>
          <w:rFonts w:cs="CG Times"/>
          <w:szCs w:val="22"/>
        </w:rPr>
        <w:t>-</w:t>
      </w:r>
      <w:r w:rsidRPr="00C94113">
        <w:t xml:space="preserve"> </w:t>
      </w:r>
      <w:r w:rsidRPr="00C94113" w:rsidR="008057FC">
        <w:t>None.</w:t>
      </w:r>
      <w:r w:rsidRPr="00C94113" w:rsidR="00190D40">
        <w:rPr>
          <w:rFonts w:cs="CG Times"/>
          <w:szCs w:val="22"/>
        </w:rPr>
        <w:t xml:space="preserve"> </w:t>
      </w:r>
      <w:r w:rsidRPr="00C94113" w:rsidR="000F7776">
        <w:t xml:space="preserve"> </w:t>
      </w:r>
      <w:r w:rsidRPr="00C94113" w:rsidR="00190D40">
        <w:t>The</w:t>
      </w:r>
      <w:r w:rsidRPr="00C94113" w:rsidR="008057FC">
        <w:t xml:space="preserve"> </w:t>
      </w:r>
      <w:r w:rsidRPr="00C94113">
        <w:t xml:space="preserve">form </w:t>
      </w:r>
      <w:proofErr w:type="gramStart"/>
      <w:r w:rsidRPr="00C94113">
        <w:t>is developed</w:t>
      </w:r>
      <w:proofErr w:type="gramEnd"/>
      <w:r w:rsidRPr="00C94113">
        <w:t xml:space="preserve"> according to IRS standards and IRS requires a physical signature.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="00DD0574" w:rsidP="00E36AFE" w:rsidRDefault="00DE0485">
      <w:pPr>
        <w:tabs>
          <w:tab w:val="left" w:pos="540"/>
        </w:tabs>
        <w:ind w:left="540" w:hanging="540"/>
        <w:jc w:val="both"/>
      </w:pPr>
      <w:r w:rsidRPr="00C94113">
        <w:t>4.</w:t>
      </w:r>
      <w:r w:rsidRPr="00C94113">
        <w:tab/>
      </w:r>
      <w:r w:rsidRPr="00C94113">
        <w:rPr>
          <w:u w:val="single"/>
        </w:rPr>
        <w:t>Efforts to identify duplication</w:t>
      </w:r>
      <w:r w:rsidRPr="00C94113">
        <w:t xml:space="preserve"> - </w:t>
      </w:r>
      <w:r w:rsidRPr="00E36AFE" w:rsidR="00DD0574">
        <w:t xml:space="preserve">To our knowledge, this information collection does not duplicate any other information collection.  Though Form RRB W-4P obtains essentially the same information as obtained by the IRS Form W-4P, </w:t>
      </w:r>
      <w:r w:rsidRPr="00E36AFE" w:rsidR="00865770">
        <w:t>s</w:t>
      </w:r>
      <w:r w:rsidRPr="00E36AFE" w:rsidR="00DD0574">
        <w:t>ome of the RRB's beneficiaries complete an IRS Form W-4P because of other private pension benefits while the majority of beneficiaries complete Form RRB W-4P, whic</w:t>
      </w:r>
      <w:bookmarkStart w:name="_GoBack" w:id="0"/>
      <w:bookmarkEnd w:id="0"/>
      <w:r w:rsidRPr="00E36AFE" w:rsidR="00DD0574">
        <w:t>h is used by the RRB to obtain new withholding information needed to be obtained relevant to railroad retirement taxable benefits.</w:t>
      </w:r>
    </w:p>
    <w:p w:rsidRPr="00C94113" w:rsidR="00DE0485" w:rsidP="00837935" w:rsidRDefault="00DE0485">
      <w:pPr>
        <w:tabs>
          <w:tab w:val="left" w:pos="540"/>
        </w:tabs>
        <w:ind w:left="540" w:hanging="540"/>
        <w:jc w:val="both"/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5.</w:t>
      </w:r>
      <w:r w:rsidRPr="00C94113">
        <w:tab/>
      </w:r>
      <w:r w:rsidRPr="00C94113">
        <w:rPr>
          <w:u w:val="single"/>
        </w:rPr>
        <w:t>Small business respondents</w:t>
      </w:r>
      <w:r w:rsidRPr="00C94113">
        <w:t xml:space="preserve"> - N.A.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6.</w:t>
      </w:r>
      <w:r w:rsidRPr="00C94113">
        <w:tab/>
      </w:r>
      <w:r w:rsidRPr="00C94113">
        <w:rPr>
          <w:u w:val="single"/>
        </w:rPr>
        <w:t>Consequences of less frequent collection</w:t>
      </w:r>
      <w:r w:rsidRPr="00C94113">
        <w:t xml:space="preserve"> - N.A.</w:t>
      </w:r>
    </w:p>
    <w:p w:rsidRPr="00C94113" w:rsidR="00DE0485" w:rsidP="00E36AFE" w:rsidRDefault="00237B8F">
      <w:pPr>
        <w:tabs>
          <w:tab w:val="left" w:pos="8025"/>
        </w:tabs>
        <w:ind w:left="540" w:hanging="540"/>
        <w:jc w:val="both"/>
      </w:pPr>
      <w:r>
        <w:tab/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7.</w:t>
      </w:r>
      <w:r w:rsidRPr="00C94113">
        <w:tab/>
      </w:r>
      <w:r w:rsidRPr="00C94113">
        <w:rPr>
          <w:u w:val="single"/>
        </w:rPr>
        <w:t>Special circumstances</w:t>
      </w:r>
      <w:r w:rsidRPr="00C94113">
        <w:t xml:space="preserve"> - N.A.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8.</w:t>
      </w:r>
      <w:r w:rsidRPr="00C94113">
        <w:tab/>
      </w:r>
      <w:r w:rsidRPr="00C94113">
        <w:rPr>
          <w:u w:val="single"/>
        </w:rPr>
        <w:t>Consultations outside the agency</w:t>
      </w:r>
      <w:r w:rsidRPr="00C94113">
        <w:t xml:space="preserve"> - In accordance with 5CFR 1320.8(d), comments </w:t>
      </w:r>
      <w:proofErr w:type="gramStart"/>
      <w:r w:rsidRPr="00C94113">
        <w:t>were invited</w:t>
      </w:r>
      <w:proofErr w:type="gramEnd"/>
      <w:r w:rsidRPr="00C94113">
        <w:t xml:space="preserve"> from the public regarding the information collection. </w:t>
      </w:r>
      <w:r w:rsidRPr="00C94113" w:rsidR="008057FC">
        <w:t xml:space="preserve"> </w:t>
      </w:r>
      <w:r w:rsidRPr="00C94113">
        <w:t xml:space="preserve">The notice to the public was published on </w:t>
      </w:r>
      <w:r w:rsidR="00BF0D8C">
        <w:t xml:space="preserve">8896 </w:t>
      </w:r>
      <w:r w:rsidRPr="00C94113">
        <w:t>of the</w:t>
      </w:r>
      <w:r w:rsidR="00BF0D8C">
        <w:t xml:space="preserve"> February 18, 2020</w:t>
      </w:r>
      <w:r w:rsidRPr="00C94113">
        <w:t xml:space="preserve">, </w:t>
      </w:r>
      <w:r w:rsidRPr="00C94113">
        <w:rPr>
          <w:u w:val="single"/>
        </w:rPr>
        <w:t>Federal Register</w:t>
      </w:r>
      <w:r w:rsidRPr="00C94113">
        <w:t xml:space="preserve">.  No comments or requests for additional information </w:t>
      </w:r>
      <w:proofErr w:type="gramStart"/>
      <w:r w:rsidRPr="00C94113">
        <w:t>were received</w:t>
      </w:r>
      <w:proofErr w:type="gramEnd"/>
      <w:r w:rsidRPr="00C94113">
        <w:t>.</w:t>
      </w:r>
    </w:p>
    <w:p w:rsidRPr="00C94113" w:rsidR="00DE0485" w:rsidP="00837935" w:rsidRDefault="00DE0485">
      <w:pPr>
        <w:tabs>
          <w:tab w:val="left" w:pos="540"/>
        </w:tabs>
        <w:ind w:left="540" w:hanging="540"/>
        <w:jc w:val="both"/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9.</w:t>
      </w:r>
      <w:r w:rsidRPr="00C94113">
        <w:tab/>
      </w:r>
      <w:r w:rsidRPr="00C94113">
        <w:rPr>
          <w:u w:val="single"/>
        </w:rPr>
        <w:t>Payments or gifts to respondents</w:t>
      </w:r>
      <w:r w:rsidRPr="00C94113">
        <w:t xml:space="preserve"> - N.A.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Pr="00C94113" w:rsidR="00A33F98" w:rsidP="00004FD5" w:rsidRDefault="00DE0485">
      <w:pPr>
        <w:tabs>
          <w:tab w:val="right" w:pos="270"/>
          <w:tab w:val="left" w:pos="540"/>
        </w:tabs>
        <w:ind w:left="540" w:hanging="540"/>
        <w:jc w:val="both"/>
      </w:pPr>
      <w:r w:rsidRPr="00C94113">
        <w:t>10.</w:t>
      </w:r>
      <w:r w:rsidRPr="00C94113">
        <w:tab/>
      </w:r>
      <w:r w:rsidRPr="00C94113">
        <w:rPr>
          <w:u w:val="single"/>
        </w:rPr>
        <w:t>Confidentiality</w:t>
      </w:r>
      <w:r w:rsidRPr="00C94113">
        <w:t xml:space="preserve"> - Privacy Act Systems of Records, RRB-22, Railroad Retirement, Survivor and Pensioner Insurance Benefit System.</w:t>
      </w:r>
      <w:r w:rsidRPr="00C94113" w:rsidR="00A33F98">
        <w:t xml:space="preserve"> </w:t>
      </w:r>
      <w:r w:rsidRPr="00C94113" w:rsidR="000F7776">
        <w:rPr>
          <w:rFonts w:cs="CG Times"/>
          <w:szCs w:val="22"/>
        </w:rPr>
        <w:t xml:space="preserve"> </w:t>
      </w:r>
      <w:r w:rsidRPr="00C94113" w:rsidR="000F7776">
        <w:rPr>
          <w:rFonts w:cs="Arial"/>
          <w:szCs w:val="22"/>
        </w:rPr>
        <w:t>In accordance with OMB Circular M-03-22, a</w:t>
      </w:r>
      <w:r w:rsidRPr="00C94113" w:rsidR="000F7776">
        <w:t xml:space="preserve"> Privacy Impact Assessment </w:t>
      </w:r>
      <w:r w:rsidRPr="00C94113" w:rsidR="000F7776">
        <w:rPr>
          <w:rFonts w:cs="Arial"/>
          <w:szCs w:val="22"/>
        </w:rPr>
        <w:t>for this information collection was completed and</w:t>
      </w:r>
      <w:r w:rsidRPr="00C94113" w:rsidR="000F7776">
        <w:t xml:space="preserve"> </w:t>
      </w:r>
      <w:proofErr w:type="gramStart"/>
      <w:r w:rsidRPr="00C94113" w:rsidR="000F7776">
        <w:t>can be found</w:t>
      </w:r>
      <w:proofErr w:type="gramEnd"/>
      <w:r w:rsidRPr="00C94113" w:rsidR="000F7776">
        <w:t xml:space="preserve"> at </w:t>
      </w:r>
      <w:hyperlink w:history="1" r:id="rId7">
        <w:r w:rsidRPr="00A231ED" w:rsidR="00793D2A">
          <w:rPr>
            <w:rStyle w:val="Hyperlink"/>
            <w:rFonts w:cs="Arial"/>
          </w:rPr>
          <w:t>https://www.rrb.gov/sites/default/files/2017-06/PIA-BPO.pdf</w:t>
        </w:r>
      </w:hyperlink>
      <w:r w:rsidR="00793D2A">
        <w:rPr>
          <w:rStyle w:val="Hyperlink"/>
          <w:rFonts w:cs="Arial"/>
        </w:rPr>
        <w:t xml:space="preserve">. </w:t>
      </w:r>
      <w:r w:rsidRPr="00C94113" w:rsidR="006C1727">
        <w:rPr>
          <w:szCs w:val="22"/>
        </w:rPr>
        <w:t>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11.</w:t>
      </w:r>
      <w:r w:rsidRPr="00C94113">
        <w:tab/>
      </w:r>
      <w:r w:rsidRPr="00C94113">
        <w:rPr>
          <w:u w:val="single"/>
        </w:rPr>
        <w:t>Sensitive questions</w:t>
      </w:r>
      <w:r w:rsidRPr="00C94113">
        <w:t xml:space="preserve"> - N.A.</w:t>
      </w:r>
    </w:p>
    <w:p w:rsidRPr="00C94113" w:rsidR="00004FD5" w:rsidP="00004FD5" w:rsidRDefault="00004FD5">
      <w:pPr>
        <w:tabs>
          <w:tab w:val="left" w:pos="540"/>
        </w:tabs>
        <w:ind w:left="540" w:hanging="540"/>
        <w:jc w:val="both"/>
      </w:pPr>
    </w:p>
    <w:p w:rsidRPr="00C94113" w:rsidR="00800311" w:rsidP="00004FD5" w:rsidRDefault="00DE0485">
      <w:pPr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jc w:val="both"/>
      </w:pPr>
      <w:r w:rsidRPr="00C94113">
        <w:rPr>
          <w:u w:val="single"/>
        </w:rPr>
        <w:t>Estimate of respondent burden</w:t>
      </w:r>
      <w:r w:rsidRPr="00C94113">
        <w:t xml:space="preserve"> - Based on our most recent experience, we </w:t>
      </w:r>
      <w:r w:rsidRPr="00C94113" w:rsidR="002A6131">
        <w:t xml:space="preserve">continue to </w:t>
      </w:r>
      <w:r w:rsidRPr="00C94113">
        <w:t xml:space="preserve">estimate the number of beneficiaries filing Form RRB W-4P at </w:t>
      </w:r>
      <w:r w:rsidRPr="00C94113" w:rsidR="00DC1C7E">
        <w:t>2</w:t>
      </w:r>
      <w:r w:rsidRPr="00C94113" w:rsidR="0005329E">
        <w:t>5</w:t>
      </w:r>
      <w:r w:rsidRPr="00C94113">
        <w:t>,000 annually</w:t>
      </w:r>
      <w:r w:rsidRPr="00C94113" w:rsidR="002A6131">
        <w:t>.</w:t>
      </w:r>
      <w:r w:rsidRPr="00C94113" w:rsidR="004434DD">
        <w:t xml:space="preserve"> </w:t>
      </w:r>
    </w:p>
    <w:p w:rsidRPr="00C94113" w:rsidR="002A6131" w:rsidP="00004FD5" w:rsidRDefault="002A6131">
      <w:pPr>
        <w:tabs>
          <w:tab w:val="left" w:pos="540"/>
        </w:tabs>
        <w:ind w:left="360"/>
        <w:jc w:val="both"/>
      </w:pPr>
    </w:p>
    <w:p w:rsidRPr="00C94113" w:rsidR="00DE0485" w:rsidP="00004FD5" w:rsidRDefault="00DE0485">
      <w:pPr>
        <w:tabs>
          <w:tab w:val="left" w:pos="540"/>
        </w:tabs>
        <w:ind w:left="540"/>
        <w:jc w:val="both"/>
      </w:pPr>
      <w:r w:rsidRPr="00C94113">
        <w:t xml:space="preserve">The estimated average time needed to complete Form RRB W-4P </w:t>
      </w:r>
      <w:proofErr w:type="gramStart"/>
      <w:r w:rsidRPr="00C94113">
        <w:t>is shown</w:t>
      </w:r>
      <w:proofErr w:type="gramEnd"/>
      <w:r w:rsidRPr="00C94113">
        <w:t xml:space="preserve"> on page </w:t>
      </w:r>
      <w:r w:rsidRPr="00C94113" w:rsidR="00561303">
        <w:t xml:space="preserve">4 </w:t>
      </w:r>
      <w:r w:rsidRPr="00C94113">
        <w:t>of booklet T</w:t>
      </w:r>
      <w:r w:rsidRPr="00C94113" w:rsidR="00C73FD6">
        <w:t>X</w:t>
      </w:r>
      <w:r w:rsidRPr="00C94113">
        <w:t>B-25 and is as follows:</w:t>
      </w:r>
    </w:p>
    <w:p w:rsidRPr="00C94113" w:rsidR="00C73FD6" w:rsidP="00C73FD6" w:rsidRDefault="00C73FD6">
      <w:pPr>
        <w:tabs>
          <w:tab w:val="left" w:pos="-1440"/>
          <w:tab w:val="left" w:pos="540"/>
        </w:tabs>
        <w:ind w:left="540"/>
        <w:jc w:val="both"/>
      </w:pPr>
    </w:p>
    <w:tbl>
      <w:tblPr>
        <w:tblW w:w="0" w:type="auto"/>
        <w:tblInd w:w="1548" w:type="dxa"/>
        <w:tblLook w:val="04A0" w:firstRow="1" w:lastRow="0" w:firstColumn="1" w:lastColumn="0" w:noHBand="0" w:noVBand="1"/>
      </w:tblPr>
      <w:tblGrid>
        <w:gridCol w:w="5490"/>
        <w:gridCol w:w="1260"/>
      </w:tblGrid>
      <w:tr w:rsidRPr="00C94113" w:rsidR="00C73FD6" w:rsidTr="00D930D0">
        <w:tc>
          <w:tcPr>
            <w:tcW w:w="5490" w:type="dxa"/>
          </w:tcPr>
          <w:p w:rsidRPr="00C94113" w:rsidR="00C73FD6" w:rsidP="00D930D0" w:rsidRDefault="00C73FD6">
            <w:pPr>
              <w:keepNext/>
              <w:widowControl/>
              <w:tabs>
                <w:tab w:val="right" w:leader="dot" w:pos="5274"/>
              </w:tabs>
              <w:jc w:val="both"/>
            </w:pPr>
            <w:r w:rsidRPr="00C94113">
              <w:lastRenderedPageBreak/>
              <w:t>Recordkeeping</w:t>
            </w:r>
            <w:r w:rsidRPr="00C94113" w:rsidR="00857A0D">
              <w:tab/>
            </w:r>
          </w:p>
        </w:tc>
        <w:tc>
          <w:tcPr>
            <w:tcW w:w="1260" w:type="dxa"/>
          </w:tcPr>
          <w:p w:rsidRPr="00C94113" w:rsidR="00C73FD6" w:rsidP="00D930D0" w:rsidRDefault="00C73FD6">
            <w:pPr>
              <w:keepNext/>
              <w:widowControl/>
              <w:tabs>
                <w:tab w:val="left" w:pos="-1440"/>
                <w:tab w:val="left" w:pos="540"/>
              </w:tabs>
              <w:jc w:val="both"/>
            </w:pPr>
            <w:r w:rsidRPr="00C94113">
              <w:t>39 min*</w:t>
            </w:r>
          </w:p>
        </w:tc>
      </w:tr>
      <w:tr w:rsidRPr="00C94113" w:rsidR="00C73FD6" w:rsidTr="00D930D0">
        <w:tc>
          <w:tcPr>
            <w:tcW w:w="5490" w:type="dxa"/>
          </w:tcPr>
          <w:p w:rsidRPr="00C94113" w:rsidR="00C73FD6" w:rsidP="00D930D0" w:rsidRDefault="00C73FD6">
            <w:pPr>
              <w:keepNext/>
              <w:widowControl/>
              <w:tabs>
                <w:tab w:val="right" w:leader="dot" w:pos="5274"/>
              </w:tabs>
              <w:jc w:val="both"/>
            </w:pPr>
            <w:r w:rsidRPr="00C94113">
              <w:t>Learning about the law or the form</w:t>
            </w:r>
            <w:r w:rsidRPr="00C94113" w:rsidR="00857A0D">
              <w:tab/>
            </w:r>
          </w:p>
        </w:tc>
        <w:tc>
          <w:tcPr>
            <w:tcW w:w="1260" w:type="dxa"/>
          </w:tcPr>
          <w:p w:rsidRPr="00C94113" w:rsidR="00C73FD6" w:rsidP="00D930D0" w:rsidRDefault="00C73FD6">
            <w:pPr>
              <w:keepNext/>
              <w:widowControl/>
              <w:tabs>
                <w:tab w:val="left" w:pos="-1440"/>
                <w:tab w:val="left" w:pos="540"/>
              </w:tabs>
              <w:jc w:val="both"/>
            </w:pPr>
            <w:r w:rsidRPr="00C94113">
              <w:t>24 min.**</w:t>
            </w:r>
          </w:p>
        </w:tc>
      </w:tr>
      <w:tr w:rsidRPr="00C94113" w:rsidR="00C73FD6" w:rsidTr="00D930D0">
        <w:tc>
          <w:tcPr>
            <w:tcW w:w="5490" w:type="dxa"/>
          </w:tcPr>
          <w:p w:rsidRPr="00C94113" w:rsidR="00C73FD6" w:rsidP="00D930D0" w:rsidRDefault="00C73FD6">
            <w:pPr>
              <w:keepNext/>
              <w:widowControl/>
              <w:tabs>
                <w:tab w:val="right" w:leader="dot" w:pos="5274"/>
              </w:tabs>
              <w:jc w:val="both"/>
            </w:pPr>
            <w:r w:rsidRPr="00C94113">
              <w:t>Preparing the form</w:t>
            </w:r>
            <w:r w:rsidRPr="00C94113" w:rsidR="00857A0D">
              <w:tab/>
            </w:r>
          </w:p>
        </w:tc>
        <w:tc>
          <w:tcPr>
            <w:tcW w:w="1260" w:type="dxa"/>
          </w:tcPr>
          <w:p w:rsidRPr="00C94113" w:rsidR="00C73FD6" w:rsidP="00D930D0" w:rsidRDefault="00C73FD6">
            <w:pPr>
              <w:keepNext/>
              <w:widowControl/>
              <w:tabs>
                <w:tab w:val="left" w:pos="-1440"/>
                <w:tab w:val="left" w:pos="540"/>
              </w:tabs>
              <w:jc w:val="both"/>
            </w:pPr>
            <w:r w:rsidRPr="00C94113">
              <w:t>59 min.***</w:t>
            </w:r>
          </w:p>
        </w:tc>
      </w:tr>
    </w:tbl>
    <w:p w:rsidRPr="00C94113" w:rsidR="00066CB3" w:rsidP="00066CB3" w:rsidRDefault="00066CB3">
      <w:pPr>
        <w:keepNext/>
        <w:widowControl/>
        <w:tabs>
          <w:tab w:val="left" w:pos="-1440"/>
          <w:tab w:val="left" w:pos="1890"/>
        </w:tabs>
        <w:ind w:left="1890" w:right="1170" w:hanging="360"/>
        <w:jc w:val="both"/>
      </w:pPr>
      <w:r w:rsidRPr="00C94113">
        <w:t>______________</w:t>
      </w:r>
    </w:p>
    <w:p w:rsidRPr="00C94113" w:rsidR="00DE0485" w:rsidP="00066CB3" w:rsidRDefault="00DE0485">
      <w:pPr>
        <w:keepNext/>
        <w:widowControl/>
        <w:tabs>
          <w:tab w:val="left" w:pos="-1440"/>
          <w:tab w:val="left" w:pos="1890"/>
        </w:tabs>
        <w:ind w:left="1890" w:right="1170" w:hanging="360"/>
        <w:jc w:val="both"/>
      </w:pPr>
      <w:r w:rsidRPr="00C94113">
        <w:t>*</w:t>
      </w:r>
      <w:r w:rsidRPr="00C94113">
        <w:tab/>
        <w:t>Time required maintain</w:t>
      </w:r>
      <w:r w:rsidRPr="00C94113" w:rsidR="00207257">
        <w:t>ing</w:t>
      </w:r>
      <w:r w:rsidRPr="00C94113">
        <w:t xml:space="preserve"> records pertaining to an annuitant's tax return, such as home mortgage interest, charitable contributions, medical expenses and the like. </w:t>
      </w:r>
    </w:p>
    <w:p w:rsidRPr="00C94113" w:rsidR="00DE0485" w:rsidP="00066CB3" w:rsidRDefault="00DE0485">
      <w:pPr>
        <w:keepNext/>
        <w:widowControl/>
        <w:tabs>
          <w:tab w:val="left" w:pos="-1440"/>
          <w:tab w:val="left" w:pos="1890"/>
        </w:tabs>
        <w:ind w:left="1890" w:right="1170" w:hanging="360"/>
        <w:jc w:val="both"/>
      </w:pPr>
      <w:r w:rsidRPr="00C94113">
        <w:t>**</w:t>
      </w:r>
      <w:r w:rsidRPr="00C94113">
        <w:tab/>
        <w:t>Reading the instructions for the completion of Form RRB W-4P.</w:t>
      </w:r>
    </w:p>
    <w:p w:rsidRPr="00C94113" w:rsidR="00DE0485" w:rsidP="00066CB3" w:rsidRDefault="00DE0485">
      <w:pPr>
        <w:keepNext/>
        <w:widowControl/>
        <w:tabs>
          <w:tab w:val="left" w:pos="-1440"/>
          <w:tab w:val="left" w:pos="1890"/>
        </w:tabs>
        <w:ind w:left="1890" w:right="1170" w:hanging="360"/>
        <w:jc w:val="both"/>
      </w:pPr>
      <w:r w:rsidRPr="00C94113">
        <w:t>***</w:t>
      </w:r>
      <w:r w:rsidRPr="00C94113">
        <w:tab/>
        <w:t>Includes the estimated time for completion of any of the three worksheets, along with completion of the form itself.</w:t>
      </w:r>
    </w:p>
    <w:p w:rsidRPr="00C94113" w:rsidR="00DE0485" w:rsidP="00857A0D" w:rsidRDefault="00DE0485">
      <w:pPr>
        <w:tabs>
          <w:tab w:val="left" w:pos="540"/>
        </w:tabs>
        <w:ind w:left="540" w:right="1170" w:hanging="540"/>
        <w:jc w:val="both"/>
      </w:pPr>
    </w:p>
    <w:p w:rsidRPr="00C94113" w:rsidR="00DE0485" w:rsidP="002C1447" w:rsidRDefault="00DE0485">
      <w:pPr>
        <w:tabs>
          <w:tab w:val="left" w:pos="540"/>
        </w:tabs>
        <w:ind w:left="540"/>
        <w:jc w:val="both"/>
        <w:rPr>
          <w:b/>
        </w:rPr>
      </w:pPr>
      <w:r w:rsidRPr="00C94113">
        <w:rPr>
          <w:b/>
        </w:rPr>
        <w:t xml:space="preserve">The RRB uses the information obtained by Form RRB W-4P </w:t>
      </w:r>
      <w:r w:rsidRPr="00C94113">
        <w:rPr>
          <w:b/>
          <w:u w:val="single"/>
        </w:rPr>
        <w:t>solely</w:t>
      </w:r>
      <w:r w:rsidRPr="00C94113">
        <w:rPr>
          <w:b/>
        </w:rPr>
        <w:t xml:space="preserve"> to carry out the requirements of the Internal Revenue Code relating to private pension tax liability.  Therefore</w:t>
      </w:r>
      <w:r w:rsidRPr="00C94113" w:rsidR="00080BAD">
        <w:rPr>
          <w:b/>
        </w:rPr>
        <w:t>,</w:t>
      </w:r>
      <w:r w:rsidRPr="00C94113">
        <w:rPr>
          <w:b/>
        </w:rPr>
        <w:t xml:space="preserve"> </w:t>
      </w:r>
      <w:r w:rsidRPr="00C94113" w:rsidR="00E9170A">
        <w:rPr>
          <w:b/>
        </w:rPr>
        <w:t>as we have done with OMB’s approval since 198</w:t>
      </w:r>
      <w:r w:rsidRPr="00C94113" w:rsidR="003808AB">
        <w:rPr>
          <w:b/>
        </w:rPr>
        <w:t>4</w:t>
      </w:r>
      <w:r w:rsidRPr="00C94113" w:rsidR="00A91927">
        <w:rPr>
          <w:rFonts w:cs="CG Times"/>
          <w:b/>
          <w:szCs w:val="22"/>
        </w:rPr>
        <w:t xml:space="preserve"> </w:t>
      </w:r>
      <w:r w:rsidRPr="00C94113" w:rsidR="00080BAD">
        <w:rPr>
          <w:rFonts w:cs="CG Times"/>
          <w:b/>
          <w:szCs w:val="22"/>
        </w:rPr>
        <w:t>(</w:t>
      </w:r>
      <w:r w:rsidRPr="00C94113" w:rsidR="00A91927">
        <w:rPr>
          <w:b/>
        </w:rPr>
        <w:t xml:space="preserve">see ROCIS OMB Control Number History </w:t>
      </w:r>
      <w:r w:rsidRPr="00C94113" w:rsidR="009652C2">
        <w:rPr>
          <w:b/>
        </w:rPr>
        <w:t xml:space="preserve">- </w:t>
      </w:r>
      <w:r w:rsidRPr="00C94113" w:rsidR="00A91927">
        <w:rPr>
          <w:b/>
        </w:rPr>
        <w:t>3220-0149</w:t>
      </w:r>
      <w:r w:rsidRPr="00C94113" w:rsidR="00A91927">
        <w:rPr>
          <w:rFonts w:cs="CG Times"/>
          <w:b/>
          <w:szCs w:val="22"/>
        </w:rPr>
        <w:t>)</w:t>
      </w:r>
      <w:r w:rsidRPr="00C94113" w:rsidR="00080BAD">
        <w:rPr>
          <w:rFonts w:cs="CG Times"/>
          <w:b/>
          <w:szCs w:val="22"/>
        </w:rPr>
        <w:t>,</w:t>
      </w:r>
      <w:r w:rsidRPr="00C94113" w:rsidR="00A91927">
        <w:rPr>
          <w:b/>
        </w:rPr>
        <w:t xml:space="preserve"> </w:t>
      </w:r>
      <w:r w:rsidRPr="00C94113">
        <w:rPr>
          <w:b/>
        </w:rPr>
        <w:t xml:space="preserve">the </w:t>
      </w:r>
      <w:r w:rsidRPr="00C94113">
        <w:rPr>
          <w:b/>
          <w:u w:val="single"/>
        </w:rPr>
        <w:t>only</w:t>
      </w:r>
      <w:r w:rsidRPr="00C94113">
        <w:rPr>
          <w:b/>
        </w:rPr>
        <w:t xml:space="preserve"> part of the burden </w:t>
      </w:r>
      <w:r w:rsidRPr="00C94113" w:rsidR="00080BAD">
        <w:rPr>
          <w:rFonts w:cs="CG Times"/>
          <w:b/>
          <w:szCs w:val="22"/>
        </w:rPr>
        <w:t xml:space="preserve">that </w:t>
      </w:r>
      <w:r w:rsidRPr="00C94113">
        <w:rPr>
          <w:b/>
        </w:rPr>
        <w:t xml:space="preserve">the RRB is assuming under its public information collection is a token </w:t>
      </w:r>
      <w:r w:rsidRPr="00C94113">
        <w:rPr>
          <w:rFonts w:cs="CG Times"/>
          <w:b/>
          <w:szCs w:val="22"/>
        </w:rPr>
        <w:t xml:space="preserve">burden of </w:t>
      </w:r>
      <w:r w:rsidRPr="00C94113" w:rsidR="0005329E">
        <w:rPr>
          <w:b/>
        </w:rPr>
        <w:t>1</w:t>
      </w:r>
      <w:r w:rsidRPr="00C94113">
        <w:rPr>
          <w:b/>
        </w:rPr>
        <w:t xml:space="preserve"> hour</w:t>
      </w:r>
      <w:r w:rsidRPr="00C94113" w:rsidR="00080BAD">
        <w:rPr>
          <w:rFonts w:cs="CG Times"/>
          <w:b/>
          <w:szCs w:val="22"/>
        </w:rPr>
        <w:t>; as</w:t>
      </w:r>
      <w:r w:rsidRPr="00C94113" w:rsidR="00080BAD">
        <w:rPr>
          <w:b/>
        </w:rPr>
        <w:t xml:space="preserve"> </w:t>
      </w:r>
      <w:r w:rsidRPr="00C94113">
        <w:rPr>
          <w:b/>
        </w:rPr>
        <w:t xml:space="preserve">the </w:t>
      </w:r>
      <w:proofErr w:type="gramStart"/>
      <w:r w:rsidRPr="00C94113">
        <w:rPr>
          <w:b/>
        </w:rPr>
        <w:t>overall burden, in substance,</w:t>
      </w:r>
      <w:r w:rsidRPr="00C94113">
        <w:rPr>
          <w:rFonts w:cs="CG Times"/>
          <w:b/>
          <w:szCs w:val="22"/>
        </w:rPr>
        <w:t xml:space="preserve"> </w:t>
      </w:r>
      <w:r w:rsidRPr="00C94113" w:rsidR="00080BAD">
        <w:rPr>
          <w:rFonts w:cs="CG Times"/>
          <w:b/>
          <w:szCs w:val="22"/>
        </w:rPr>
        <w:t>is</w:t>
      </w:r>
      <w:r w:rsidRPr="00C94113" w:rsidR="00080BAD">
        <w:rPr>
          <w:b/>
        </w:rPr>
        <w:t xml:space="preserve"> </w:t>
      </w:r>
      <w:r w:rsidRPr="00C94113">
        <w:rPr>
          <w:b/>
        </w:rPr>
        <w:t>being imposed by the IRS</w:t>
      </w:r>
      <w:proofErr w:type="gramEnd"/>
      <w:r w:rsidRPr="00C94113">
        <w:rPr>
          <w:b/>
        </w:rPr>
        <w:t>.</w:t>
      </w:r>
    </w:p>
    <w:p w:rsidRPr="00C94113" w:rsidR="005C6248" w:rsidP="002C1447" w:rsidRDefault="005C6248">
      <w:pPr>
        <w:tabs>
          <w:tab w:val="left" w:pos="540"/>
        </w:tabs>
        <w:ind w:left="540"/>
        <w:jc w:val="both"/>
        <w:rPr>
          <w:b/>
        </w:rPr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13</w:t>
      </w:r>
      <w:r w:rsidRPr="00C94113">
        <w:tab/>
      </w:r>
      <w:r w:rsidRPr="00C94113">
        <w:rPr>
          <w:u w:val="single"/>
        </w:rPr>
        <w:t>Estimated annual cost to respondents or record keepers</w:t>
      </w:r>
      <w:r w:rsidRPr="00C94113">
        <w:t xml:space="preserve"> - N.A.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14.</w:t>
      </w:r>
      <w:r w:rsidRPr="00C94113">
        <w:tab/>
      </w:r>
      <w:r w:rsidRPr="00C94113">
        <w:rPr>
          <w:u w:val="single"/>
        </w:rPr>
        <w:t xml:space="preserve">Estimate of cost to Federal </w:t>
      </w:r>
      <w:r w:rsidRPr="00C94113" w:rsidR="002C1447">
        <w:rPr>
          <w:u w:val="single"/>
        </w:rPr>
        <w:t>G</w:t>
      </w:r>
      <w:r w:rsidRPr="00C94113">
        <w:rPr>
          <w:u w:val="single"/>
        </w:rPr>
        <w:t>overnment</w:t>
      </w:r>
      <w:r w:rsidRPr="00C94113">
        <w:t xml:space="preserve"> - N.A.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15.</w:t>
      </w:r>
      <w:r w:rsidRPr="00C94113">
        <w:tab/>
      </w:r>
      <w:r w:rsidRPr="00C94113">
        <w:rPr>
          <w:u w:val="single"/>
        </w:rPr>
        <w:t>Explanation for change in burden</w:t>
      </w:r>
      <w:r w:rsidRPr="00C94113">
        <w:t xml:space="preserve"> </w:t>
      </w:r>
      <w:r w:rsidRPr="00C94113" w:rsidR="00F92F5A">
        <w:rPr>
          <w:rFonts w:cs="CG Times"/>
          <w:szCs w:val="22"/>
        </w:rPr>
        <w:t>-</w:t>
      </w:r>
      <w:r w:rsidRPr="00C94113" w:rsidR="00121BC2">
        <w:t xml:space="preserve"> </w:t>
      </w:r>
      <w:r w:rsidRPr="00C94113" w:rsidR="002A6131">
        <w:t xml:space="preserve">N.A. </w:t>
      </w:r>
    </w:p>
    <w:p w:rsidRPr="00C94113" w:rsidR="00121BC2" w:rsidP="00004FD5" w:rsidRDefault="00121BC2">
      <w:pPr>
        <w:tabs>
          <w:tab w:val="left" w:pos="540"/>
        </w:tabs>
        <w:ind w:left="540" w:hanging="540"/>
        <w:jc w:val="both"/>
      </w:pP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>16.</w:t>
      </w:r>
      <w:r w:rsidRPr="00C94113">
        <w:tab/>
      </w:r>
      <w:r w:rsidRPr="00C94113">
        <w:rPr>
          <w:u w:val="single"/>
        </w:rPr>
        <w:t>Time schedule for data collection and publication</w:t>
      </w:r>
      <w:r w:rsidRPr="00C94113">
        <w:t xml:space="preserve"> - The results of this collection </w:t>
      </w:r>
      <w:proofErr w:type="gramStart"/>
      <w:r w:rsidRPr="00C94113">
        <w:t>will not be published</w:t>
      </w:r>
      <w:proofErr w:type="gramEnd"/>
      <w:r w:rsidRPr="00C94113">
        <w:t>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="001A68D8" w:rsidP="001A68D8" w:rsidRDefault="00DE0485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  <w:r w:rsidRPr="00C94113">
        <w:t>17.</w:t>
      </w:r>
      <w:r w:rsidRPr="00C94113">
        <w:tab/>
      </w:r>
      <w:r w:rsidRPr="00C94113">
        <w:rPr>
          <w:u w:val="single"/>
        </w:rPr>
        <w:t>Request not to display OMB expiration date</w:t>
      </w:r>
      <w:r w:rsidRPr="00C94113">
        <w:t xml:space="preserve"> -</w:t>
      </w:r>
      <w:r w:rsidR="00793D2A">
        <w:t xml:space="preserve"> </w:t>
      </w:r>
      <w:r w:rsidRPr="00DB1B3F" w:rsidR="00793D2A">
        <w:rPr>
          <w:rFonts w:cs="Arial"/>
        </w:rPr>
        <w:t>The</w:t>
      </w:r>
      <w:r w:rsidRPr="00DB1B3F" w:rsidR="00793D2A">
        <w:rPr>
          <w:rFonts w:cs="Arial"/>
          <w:szCs w:val="22"/>
        </w:rPr>
        <w:t xml:space="preserve"> RRB started an extensive multi-year IT Modernization Initiative at the beginning of Fiscal Year 2019 to transform our operations into the 21</w:t>
      </w:r>
      <w:r w:rsidRPr="00DB1B3F" w:rsidR="00793D2A">
        <w:rPr>
          <w:rFonts w:cs="Arial"/>
          <w:szCs w:val="22"/>
          <w:vertAlign w:val="superscript"/>
        </w:rPr>
        <w:t>st</w:t>
      </w:r>
      <w:r w:rsidRPr="00DB1B3F" w:rsidR="00793D2A">
        <w:rPr>
          <w:rFonts w:cs="Arial"/>
          <w:szCs w:val="22"/>
        </w:rPr>
        <w:t xml:space="preserve"> Century using multiple contractor services to improve mission performance, expand service capabilities, and strengthen cybersecurity.  In addition, we received a new Chief Information Officer (CIO) on September 2, 2019 who is reviewing our estimated project timeline milestone date</w:t>
      </w:r>
      <w:r w:rsidRPr="00E36AFE" w:rsidR="00793D2A">
        <w:rPr>
          <w:rFonts w:cs="Arial"/>
          <w:szCs w:val="22"/>
        </w:rPr>
        <w:t xml:space="preserve">s.  </w:t>
      </w:r>
      <w:r w:rsidRPr="00E36AFE" w:rsidR="001A68D8">
        <w:rPr>
          <w:rFonts w:cs="Arial"/>
          <w:szCs w:val="22"/>
        </w:rPr>
        <w:t>We provided OMB with a revised consolidated project timeline.</w:t>
      </w:r>
      <w:r w:rsidRPr="000B211B" w:rsidR="001A68D8">
        <w:rPr>
          <w:rFonts w:cs="Arial"/>
          <w:szCs w:val="22"/>
        </w:rPr>
        <w:t xml:space="preserve"> </w:t>
      </w:r>
    </w:p>
    <w:p w:rsidRPr="00DB1B3F" w:rsidR="00793D2A" w:rsidP="001A68D8" w:rsidRDefault="00793D2A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793D2A" w:rsidP="00793D2A" w:rsidRDefault="00793D2A">
      <w:pPr>
        <w:tabs>
          <w:tab w:val="left" w:pos="-1440"/>
          <w:tab w:val="left" w:pos="540"/>
        </w:tabs>
        <w:ind w:left="540"/>
        <w:jc w:val="both"/>
        <w:rPr>
          <w:rFonts w:cs="Arial"/>
        </w:rPr>
      </w:pPr>
      <w:r w:rsidRPr="00DB1B3F">
        <w:rPr>
          <w:rFonts w:cs="Arial"/>
        </w:rPr>
        <w:t xml:space="preserve">Given that the forms in this collection </w:t>
      </w:r>
      <w:proofErr w:type="gramStart"/>
      <w:r w:rsidRPr="00DB1B3F">
        <w:rPr>
          <w:rFonts w:cs="Arial"/>
        </w:rPr>
        <w:t>are seldom revised</w:t>
      </w:r>
      <w:proofErr w:type="gramEnd"/>
      <w:r w:rsidRPr="00DB1B3F">
        <w:rPr>
          <w:rFonts w:cs="Arial"/>
        </w:rPr>
        <w:t>; the costs associated with redrafting, reprinting, and distributing forms in order to keep the appropriate OMB expiration date in place; and our desire to reevaluate after the completion of the modernization project,</w:t>
      </w:r>
      <w:r w:rsidRPr="00DB1B3F">
        <w:rPr>
          <w:rFonts w:cs="Arial"/>
          <w:b/>
        </w:rPr>
        <w:t xml:space="preserve"> </w:t>
      </w:r>
      <w:r w:rsidRPr="00DB1B3F">
        <w:rPr>
          <w:rFonts w:cs="Arial"/>
          <w:b/>
          <w:u w:val="single"/>
        </w:rPr>
        <w:t>the RRB requests the authority to not display the expiration date on the forms</w:t>
      </w:r>
      <w:r w:rsidRPr="00DB1B3F">
        <w:rPr>
          <w:rFonts w:cs="Arial"/>
        </w:rPr>
        <w:t>.</w:t>
      </w:r>
    </w:p>
    <w:p w:rsidRPr="00C94113" w:rsidR="00DE0485" w:rsidP="00004FD5" w:rsidRDefault="00DE0485">
      <w:pPr>
        <w:tabs>
          <w:tab w:val="left" w:pos="540"/>
        </w:tabs>
        <w:ind w:left="540" w:hanging="540"/>
        <w:jc w:val="both"/>
      </w:pPr>
    </w:p>
    <w:p w:rsidRPr="00837935" w:rsidR="00DE0485" w:rsidP="00004FD5" w:rsidRDefault="00DE0485">
      <w:pPr>
        <w:tabs>
          <w:tab w:val="left" w:pos="540"/>
        </w:tabs>
        <w:ind w:left="540" w:hanging="540"/>
        <w:jc w:val="both"/>
      </w:pPr>
      <w:r w:rsidRPr="00C94113">
        <w:t xml:space="preserve">18. </w:t>
      </w:r>
      <w:r w:rsidRPr="00C94113">
        <w:tab/>
      </w:r>
      <w:r w:rsidRPr="00C94113">
        <w:rPr>
          <w:u w:val="single"/>
        </w:rPr>
        <w:t>Exceptions to Certification Statement</w:t>
      </w:r>
      <w:r w:rsidRPr="00C94113">
        <w:t xml:space="preserve"> - None</w:t>
      </w:r>
    </w:p>
    <w:p w:rsidRPr="00837935" w:rsidR="00DE0485" w:rsidRDefault="00DE0485">
      <w:pPr>
        <w:jc w:val="both"/>
      </w:pPr>
    </w:p>
    <w:sectPr w:rsidRPr="00837935" w:rsidR="00DE0485" w:rsidSect="000F7776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8B" w:rsidRDefault="00C4448B">
      <w:r>
        <w:separator/>
      </w:r>
    </w:p>
  </w:endnote>
  <w:endnote w:type="continuationSeparator" w:id="0">
    <w:p w:rsidR="00C4448B" w:rsidRDefault="00C4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76" w:rsidRDefault="000F77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5607">
      <w:rPr>
        <w:noProof/>
      </w:rPr>
      <w:t>- 1 -</w:t>
    </w:r>
    <w:r>
      <w:fldChar w:fldCharType="end"/>
    </w:r>
  </w:p>
  <w:p w:rsidR="000F7776" w:rsidRDefault="000F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8B" w:rsidRDefault="00C4448B">
      <w:r>
        <w:separator/>
      </w:r>
    </w:p>
  </w:footnote>
  <w:footnote w:type="continuationSeparator" w:id="0">
    <w:p w:rsidR="00C4448B" w:rsidRDefault="00C4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BAD" w:rsidRPr="00004FD5" w:rsidRDefault="00080BAD">
    <w:pPr>
      <w:tabs>
        <w:tab w:val="right" w:pos="9360"/>
      </w:tabs>
      <w:jc w:val="both"/>
    </w:pPr>
    <w:r w:rsidRPr="00004FD5">
      <w:tab/>
      <w:t>OMB NO. 3220-0149</w:t>
    </w:r>
  </w:p>
  <w:p w:rsidR="00080BAD" w:rsidRDefault="00080BAD">
    <w:pPr>
      <w:tabs>
        <w:tab w:val="right" w:pos="9360"/>
      </w:tabs>
      <w:jc w:val="both"/>
      <w:rPr>
        <w:rFonts w:ascii="CG Times" w:hAnsi="CG Times" w:cs="CG Times"/>
      </w:rPr>
    </w:pPr>
    <w:r w:rsidRPr="00EF5D4E">
      <w:tab/>
    </w:r>
  </w:p>
  <w:p w:rsidR="00080BAD" w:rsidRDefault="00080BAD" w:rsidP="006C1727">
    <w:pPr>
      <w:spacing w:line="240" w:lineRule="exact"/>
      <w:jc w:val="right"/>
      <w:rPr>
        <w:rFonts w:ascii="CG Times" w:hAnsi="CG Times" w:cs="CG 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24CA"/>
    <w:multiLevelType w:val="hybridMultilevel"/>
    <w:tmpl w:val="A4FA81F4"/>
    <w:lvl w:ilvl="0" w:tplc="03C03A9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E34F2C"/>
    <w:multiLevelType w:val="hybridMultilevel"/>
    <w:tmpl w:val="382EA0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D1819"/>
    <w:multiLevelType w:val="hybridMultilevel"/>
    <w:tmpl w:val="6166E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D"/>
    <w:rsid w:val="00004FD5"/>
    <w:rsid w:val="000359F7"/>
    <w:rsid w:val="0005329E"/>
    <w:rsid w:val="00066CB3"/>
    <w:rsid w:val="00080BAD"/>
    <w:rsid w:val="000C4979"/>
    <w:rsid w:val="000E7203"/>
    <w:rsid w:val="000F7776"/>
    <w:rsid w:val="00102DB9"/>
    <w:rsid w:val="00115B43"/>
    <w:rsid w:val="00121BC2"/>
    <w:rsid w:val="00132311"/>
    <w:rsid w:val="0013557D"/>
    <w:rsid w:val="0014412E"/>
    <w:rsid w:val="001556C8"/>
    <w:rsid w:val="00190D40"/>
    <w:rsid w:val="001A4FBD"/>
    <w:rsid w:val="001A5828"/>
    <w:rsid w:val="001A68D8"/>
    <w:rsid w:val="001B295D"/>
    <w:rsid w:val="001C7CFF"/>
    <w:rsid w:val="001D0699"/>
    <w:rsid w:val="001D5ECA"/>
    <w:rsid w:val="001D6E7D"/>
    <w:rsid w:val="00207257"/>
    <w:rsid w:val="00210C35"/>
    <w:rsid w:val="002366B8"/>
    <w:rsid w:val="00237B8F"/>
    <w:rsid w:val="002557FA"/>
    <w:rsid w:val="002737C7"/>
    <w:rsid w:val="002773E0"/>
    <w:rsid w:val="00280AA1"/>
    <w:rsid w:val="00281D05"/>
    <w:rsid w:val="002A6131"/>
    <w:rsid w:val="002A683D"/>
    <w:rsid w:val="002C1447"/>
    <w:rsid w:val="00302E9A"/>
    <w:rsid w:val="003808AB"/>
    <w:rsid w:val="003E6D9C"/>
    <w:rsid w:val="00401F44"/>
    <w:rsid w:val="00404494"/>
    <w:rsid w:val="00415F5E"/>
    <w:rsid w:val="00417371"/>
    <w:rsid w:val="00425AA2"/>
    <w:rsid w:val="004434DD"/>
    <w:rsid w:val="004B2DA7"/>
    <w:rsid w:val="005223A0"/>
    <w:rsid w:val="00544471"/>
    <w:rsid w:val="00552BA4"/>
    <w:rsid w:val="00555162"/>
    <w:rsid w:val="00561303"/>
    <w:rsid w:val="00562580"/>
    <w:rsid w:val="00583B12"/>
    <w:rsid w:val="00594848"/>
    <w:rsid w:val="005C6248"/>
    <w:rsid w:val="005E768C"/>
    <w:rsid w:val="005E77C9"/>
    <w:rsid w:val="005F412B"/>
    <w:rsid w:val="006004A3"/>
    <w:rsid w:val="00617953"/>
    <w:rsid w:val="006901FA"/>
    <w:rsid w:val="006923AA"/>
    <w:rsid w:val="006A4EED"/>
    <w:rsid w:val="006C1727"/>
    <w:rsid w:val="00713D9F"/>
    <w:rsid w:val="00745520"/>
    <w:rsid w:val="007910E2"/>
    <w:rsid w:val="00793D2A"/>
    <w:rsid w:val="007D6298"/>
    <w:rsid w:val="007F4F09"/>
    <w:rsid w:val="007F5468"/>
    <w:rsid w:val="00800311"/>
    <w:rsid w:val="008057FC"/>
    <w:rsid w:val="00837935"/>
    <w:rsid w:val="008464B3"/>
    <w:rsid w:val="00854BDA"/>
    <w:rsid w:val="00857A0D"/>
    <w:rsid w:val="00863C73"/>
    <w:rsid w:val="00865770"/>
    <w:rsid w:val="00881BA6"/>
    <w:rsid w:val="008A01C5"/>
    <w:rsid w:val="008C2C9A"/>
    <w:rsid w:val="0090521E"/>
    <w:rsid w:val="00912554"/>
    <w:rsid w:val="00931116"/>
    <w:rsid w:val="009652C2"/>
    <w:rsid w:val="00977EB9"/>
    <w:rsid w:val="00985372"/>
    <w:rsid w:val="009951E9"/>
    <w:rsid w:val="009D712B"/>
    <w:rsid w:val="009E69CD"/>
    <w:rsid w:val="009F0714"/>
    <w:rsid w:val="00A015C3"/>
    <w:rsid w:val="00A33F98"/>
    <w:rsid w:val="00A91927"/>
    <w:rsid w:val="00AB668E"/>
    <w:rsid w:val="00AC04F5"/>
    <w:rsid w:val="00B30B89"/>
    <w:rsid w:val="00B435B4"/>
    <w:rsid w:val="00B73562"/>
    <w:rsid w:val="00B77150"/>
    <w:rsid w:val="00BF0D8C"/>
    <w:rsid w:val="00C4448B"/>
    <w:rsid w:val="00C64046"/>
    <w:rsid w:val="00C73FD6"/>
    <w:rsid w:val="00C94113"/>
    <w:rsid w:val="00CA2456"/>
    <w:rsid w:val="00CD1B9C"/>
    <w:rsid w:val="00CE2C0C"/>
    <w:rsid w:val="00CE7358"/>
    <w:rsid w:val="00CF2CD3"/>
    <w:rsid w:val="00D56E5B"/>
    <w:rsid w:val="00D648F3"/>
    <w:rsid w:val="00D87FC1"/>
    <w:rsid w:val="00D930D0"/>
    <w:rsid w:val="00DC1C7E"/>
    <w:rsid w:val="00DD0574"/>
    <w:rsid w:val="00DE0485"/>
    <w:rsid w:val="00DF2743"/>
    <w:rsid w:val="00E36AFE"/>
    <w:rsid w:val="00E515F9"/>
    <w:rsid w:val="00E9170A"/>
    <w:rsid w:val="00EB2042"/>
    <w:rsid w:val="00ED613B"/>
    <w:rsid w:val="00EF5D4E"/>
    <w:rsid w:val="00F05607"/>
    <w:rsid w:val="00F05760"/>
    <w:rsid w:val="00F6508C"/>
    <w:rsid w:val="00F84457"/>
    <w:rsid w:val="00F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148D10-BA99-43AE-A460-DAA6838D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EED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a">
    <w:name w:val="_"/>
    <w:basedOn w:val="Normal"/>
    <w:rsid w:val="006A4EED"/>
    <w:pPr>
      <w:ind w:left="1440" w:hanging="720"/>
    </w:pPr>
  </w:style>
  <w:style w:type="paragraph" w:styleId="Header">
    <w:name w:val="header"/>
    <w:basedOn w:val="Normal"/>
    <w:rsid w:val="006A4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4EE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A4EED"/>
    <w:pPr>
      <w:tabs>
        <w:tab w:val="left" w:pos="-1440"/>
      </w:tabs>
      <w:ind w:left="720"/>
      <w:jc w:val="both"/>
    </w:pPr>
    <w:rPr>
      <w:rFonts w:ascii="CG Times" w:hAnsi="CG Tim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3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33F9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04FD5"/>
    <w:rPr>
      <w:rFonts w:ascii="Arial" w:hAnsi="Arial"/>
      <w:sz w:val="22"/>
      <w:szCs w:val="24"/>
    </w:rPr>
  </w:style>
  <w:style w:type="character" w:styleId="FollowedHyperlink">
    <w:name w:val="FollowedHyperlink"/>
    <w:rsid w:val="006C17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rb.gov/sites/default/files/2017-06/PIA-BP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6361</Characters>
  <Application>Microsoft Office Word</Application>
  <DocSecurity>0</DocSecurity>
  <Lines>137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USRRB</Company>
  <LinksUpToDate>false</LinksUpToDate>
  <CharactersWithSpaces>7524</CharactersWithSpaces>
  <SharedDoc>false</SharedDoc>
  <HLinks>
    <vt:vector size="6" baseType="variant"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https://www.rrb.gov/sites/default/files/2017-06/PIA-BPO.pdf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Prosser</dc:creator>
  <cp:keywords/>
  <cp:lastModifiedBy>Tucker, Kennisha</cp:lastModifiedBy>
  <cp:revision>3</cp:revision>
  <cp:lastPrinted>2016-11-17T22:32:00Z</cp:lastPrinted>
  <dcterms:created xsi:type="dcterms:W3CDTF">2020-05-22T15:43:00Z</dcterms:created>
  <dcterms:modified xsi:type="dcterms:W3CDTF">2020-05-22T15:44:00Z</dcterms:modified>
</cp:coreProperties>
</file>