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099A" w:rsidR="0081099A" w:rsidP="0081099A" w:rsidRDefault="0081099A">
      <w:pPr>
        <w:pStyle w:val="Heading1"/>
        <w:ind w:left="0"/>
        <w:jc w:val="center"/>
        <w:rPr>
          <w:u w:val="none"/>
        </w:rPr>
      </w:pPr>
      <w:bookmarkStart w:name="_GoBack" w:id="0"/>
      <w:bookmarkEnd w:id="0"/>
      <w:r w:rsidRPr="0081099A">
        <w:rPr>
          <w:u w:val="none"/>
        </w:rPr>
        <w:t>SUPPORTING STATEMENT</w:t>
      </w:r>
    </w:p>
    <w:p w:rsidRPr="00BD7237" w:rsidR="0081099A" w:rsidP="0081099A" w:rsidRDefault="0081099A">
      <w:pPr>
        <w:spacing w:before="22" w:line="259" w:lineRule="auto"/>
        <w:ind w:firstLine="14"/>
        <w:jc w:val="center"/>
        <w:rPr>
          <w:b/>
          <w:sz w:val="24"/>
          <w:szCs w:val="24"/>
        </w:rPr>
      </w:pPr>
      <w:r w:rsidRPr="00BD7237">
        <w:rPr>
          <w:b/>
          <w:sz w:val="24"/>
          <w:szCs w:val="24"/>
        </w:rPr>
        <w:t>U.S. Department of Commerce</w:t>
      </w:r>
    </w:p>
    <w:p w:rsidRPr="00BD7237" w:rsidR="0081099A" w:rsidP="0081099A" w:rsidRDefault="0081099A">
      <w:pPr>
        <w:spacing w:before="22" w:line="259" w:lineRule="auto"/>
        <w:ind w:firstLine="14"/>
        <w:jc w:val="center"/>
        <w:rPr>
          <w:b/>
          <w:sz w:val="24"/>
          <w:szCs w:val="24"/>
        </w:rPr>
      </w:pPr>
      <w:r w:rsidRPr="00BD7237">
        <w:rPr>
          <w:b/>
          <w:sz w:val="24"/>
          <w:szCs w:val="24"/>
        </w:rPr>
        <w:t>National Oceanic &amp; Atmospheric Administration</w:t>
      </w:r>
    </w:p>
    <w:p w:rsidRPr="00417972" w:rsidR="0081099A" w:rsidP="0081099A" w:rsidRDefault="0081099A">
      <w:pPr>
        <w:spacing w:line="259" w:lineRule="auto"/>
        <w:ind w:hanging="6"/>
        <w:jc w:val="center"/>
        <w:rPr>
          <w:b/>
          <w:color w:val="000000"/>
          <w:sz w:val="24"/>
          <w:szCs w:val="24"/>
          <w:shd w:val="clear" w:color="auto" w:fill="FFFFFF"/>
        </w:rPr>
      </w:pPr>
      <w:r w:rsidRPr="00417972">
        <w:rPr>
          <w:b/>
          <w:color w:val="000000"/>
          <w:sz w:val="24"/>
          <w:szCs w:val="24"/>
          <w:shd w:val="clear" w:color="auto" w:fill="FFFFFF"/>
        </w:rPr>
        <w:t>West Coast Region Vessel Monitoring System and Pre-Trip Reporting System Requirements</w:t>
      </w:r>
    </w:p>
    <w:p w:rsidRPr="0081099A" w:rsidR="004F26E9" w:rsidP="0081099A" w:rsidRDefault="0081099A">
      <w:pPr>
        <w:spacing w:line="259" w:lineRule="auto"/>
        <w:ind w:hanging="6"/>
        <w:jc w:val="center"/>
        <w:rPr>
          <w:b/>
          <w:sz w:val="24"/>
          <w:szCs w:val="24"/>
        </w:rPr>
      </w:pPr>
      <w:r w:rsidRPr="00BD7237">
        <w:rPr>
          <w:b/>
          <w:sz w:val="24"/>
          <w:szCs w:val="24"/>
        </w:rPr>
        <w:t>OMB Control No. 0648-</w:t>
      </w:r>
      <w:r>
        <w:rPr>
          <w:b/>
          <w:sz w:val="24"/>
          <w:szCs w:val="24"/>
        </w:rPr>
        <w:t>0498</w:t>
      </w:r>
    </w:p>
    <w:p w:rsidRPr="0081099A" w:rsidR="0081099A" w:rsidP="0081099A" w:rsidRDefault="0081099A">
      <w:pPr>
        <w:pStyle w:val="Heading1"/>
        <w:spacing w:before="199"/>
        <w:ind w:left="0"/>
        <w:rPr>
          <w:u w:val="none"/>
        </w:rPr>
      </w:pPr>
      <w:r w:rsidRPr="0081099A">
        <w:rPr>
          <w:u w:val="none"/>
        </w:rPr>
        <w:t>Abstract</w:t>
      </w:r>
    </w:p>
    <w:p w:rsidRPr="0081099A" w:rsidR="0081099A" w:rsidP="0081099A" w:rsidRDefault="0081099A">
      <w:pPr>
        <w:pStyle w:val="Heading1"/>
        <w:spacing w:before="124"/>
        <w:ind w:left="0"/>
        <w:rPr>
          <w:b w:val="0"/>
          <w:color w:val="000000"/>
          <w:u w:val="none"/>
          <w:shd w:val="clear" w:color="auto" w:fill="FFFFFF"/>
        </w:rPr>
      </w:pPr>
      <w:r w:rsidRPr="0081099A">
        <w:rPr>
          <w:b w:val="0"/>
          <w:color w:val="000000"/>
          <w:u w:val="none"/>
          <w:shd w:val="clear" w:color="auto" w:fill="FFFFFF"/>
        </w:rPr>
        <w:t>This request is for an extension of OMB Control No. 0648-0498. Owners of vessels that fish out of the eastern Pacific Ocean waters of the Inter-American Tropical Tuna Commission Convention Area for highly migratory species (HMS) as defined by the Fishery Management Plan for U.S. West Coast Fisheries for HMS as well as a broader group of tuna and tuna-like species covered by the IATTC using gear types longline or drift gillnet, or over 24 meters or more in length are required to submit information in regards to their planned fishing activities. These vessel owners and operators are required to submit information about their intended and actual fishing activities that would allow NMFS to monitor the fisheries under international and domestic regulations. These include pre-trip reporting requirements and VMS. Pre-trip reporting requirements are essential for assigning available observer coverage to selected HMS vessels. VMS units facilitate enforcement of management measures associated with HMS fisheries, provide timely information on associated fleet activities and enable confirmation of reported vessel fishing activity locations, which help validate logbook record accuracy.</w:t>
      </w:r>
    </w:p>
    <w:p w:rsidRPr="0081099A" w:rsidR="0081099A" w:rsidP="0081099A" w:rsidRDefault="0081099A">
      <w:pPr>
        <w:pStyle w:val="Heading1"/>
        <w:spacing w:before="124"/>
        <w:ind w:left="0"/>
        <w:rPr>
          <w:u w:val="none"/>
        </w:rPr>
      </w:pPr>
      <w:r w:rsidRPr="0081099A">
        <w:rPr>
          <w:u w:val="none"/>
        </w:rPr>
        <w:t>Justification</w:t>
      </w:r>
    </w:p>
    <w:p w:rsidRPr="00BD7237" w:rsidR="0081099A" w:rsidP="0081099A" w:rsidRDefault="004F26E9">
      <w:pPr>
        <w:pStyle w:val="ListParagraph"/>
        <w:tabs>
          <w:tab w:val="left" w:pos="360"/>
        </w:tabs>
        <w:spacing w:before="182" w:line="259" w:lineRule="auto"/>
        <w:ind w:left="0" w:firstLine="0"/>
        <w:rPr>
          <w:rFonts w:ascii="Times New Roman" w:hAnsi="Times New Roman" w:cs="Times New Roman"/>
          <w:b/>
          <w:sz w:val="24"/>
          <w:szCs w:val="24"/>
        </w:rPr>
      </w:pPr>
      <w:r w:rsidRPr="00EC0D6E">
        <w:rPr>
          <w:b/>
          <w:bCs/>
          <w:sz w:val="24"/>
          <w:szCs w:val="24"/>
        </w:rPr>
        <w:t xml:space="preserve">1.  </w:t>
      </w:r>
      <w:r w:rsidRPr="00BD7237" w:rsidR="0081099A">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C0D6E" w:rsidR="001A4A85" w:rsidRDefault="001A4A85">
      <w:pPr>
        <w:rPr>
          <w:sz w:val="24"/>
          <w:szCs w:val="24"/>
        </w:rPr>
      </w:pPr>
    </w:p>
    <w:p w:rsidR="00943C31" w:rsidP="00A64738" w:rsidRDefault="00F96877">
      <w:pPr>
        <w:rPr>
          <w:sz w:val="24"/>
          <w:szCs w:val="24"/>
        </w:rPr>
      </w:pPr>
      <w:r>
        <w:rPr>
          <w:sz w:val="24"/>
          <w:szCs w:val="24"/>
        </w:rPr>
        <w:t xml:space="preserve">This is </w:t>
      </w:r>
      <w:r w:rsidR="0081099A">
        <w:rPr>
          <w:sz w:val="24"/>
          <w:szCs w:val="24"/>
        </w:rPr>
        <w:t>a request for</w:t>
      </w:r>
      <w:r w:rsidR="00A96BDD">
        <w:rPr>
          <w:sz w:val="24"/>
          <w:szCs w:val="24"/>
        </w:rPr>
        <w:t xml:space="preserve"> extension </w:t>
      </w:r>
      <w:r w:rsidR="004D7CC3">
        <w:rPr>
          <w:sz w:val="24"/>
          <w:szCs w:val="24"/>
        </w:rPr>
        <w:t xml:space="preserve">of </w:t>
      </w:r>
      <w:r>
        <w:rPr>
          <w:sz w:val="24"/>
          <w:szCs w:val="24"/>
        </w:rPr>
        <w:t xml:space="preserve">OMB Control </w:t>
      </w:r>
      <w:r w:rsidRPr="005E6200" w:rsidR="005E6200">
        <w:rPr>
          <w:sz w:val="24"/>
          <w:szCs w:val="24"/>
        </w:rPr>
        <w:t>N</w:t>
      </w:r>
      <w:r w:rsidR="00BB2CFE">
        <w:rPr>
          <w:sz w:val="24"/>
          <w:szCs w:val="24"/>
        </w:rPr>
        <w:t>o.</w:t>
      </w:r>
      <w:r w:rsidRPr="005E6200" w:rsidR="005E6200">
        <w:rPr>
          <w:sz w:val="24"/>
          <w:szCs w:val="24"/>
        </w:rPr>
        <w:t xml:space="preserve"> 0648-0498</w:t>
      </w:r>
      <w:r w:rsidR="0081099A">
        <w:rPr>
          <w:sz w:val="24"/>
          <w:szCs w:val="24"/>
        </w:rPr>
        <w:t xml:space="preserve">. </w:t>
      </w:r>
      <w:r w:rsidR="00BB2CFE">
        <w:rPr>
          <w:noProof/>
          <w:sz w:val="24"/>
          <w:szCs w:val="24"/>
        </w:rPr>
        <w:t>The National Marine Fisheries Service (</w:t>
      </w:r>
      <w:r w:rsidR="00943C31">
        <w:rPr>
          <w:noProof/>
          <w:sz w:val="24"/>
          <w:szCs w:val="24"/>
        </w:rPr>
        <w:t>NMFS</w:t>
      </w:r>
      <w:r w:rsidR="00BB2CFE">
        <w:rPr>
          <w:noProof/>
          <w:sz w:val="24"/>
          <w:szCs w:val="24"/>
        </w:rPr>
        <w:t>)</w:t>
      </w:r>
      <w:r w:rsidR="00943C31">
        <w:rPr>
          <w:noProof/>
          <w:sz w:val="24"/>
          <w:szCs w:val="24"/>
        </w:rPr>
        <w:t xml:space="preserve"> has obligations both internationally and domestically to require Vessel Monitoring Systems on U</w:t>
      </w:r>
      <w:r w:rsidR="007F3148">
        <w:rPr>
          <w:noProof/>
          <w:sz w:val="24"/>
          <w:szCs w:val="24"/>
        </w:rPr>
        <w:t>nited States (U.S.)</w:t>
      </w:r>
      <w:r w:rsidR="00943C31">
        <w:rPr>
          <w:noProof/>
          <w:sz w:val="24"/>
          <w:szCs w:val="24"/>
        </w:rPr>
        <w:t>. vessels fishing in the eastern Pacific Ocean</w:t>
      </w:r>
      <w:r w:rsidR="00946ECC">
        <w:rPr>
          <w:noProof/>
          <w:sz w:val="24"/>
          <w:szCs w:val="24"/>
        </w:rPr>
        <w:t xml:space="preserve"> (EPO)</w:t>
      </w:r>
      <w:r w:rsidR="00943C31">
        <w:rPr>
          <w:noProof/>
          <w:sz w:val="24"/>
          <w:szCs w:val="24"/>
        </w:rPr>
        <w:t>.</w:t>
      </w:r>
    </w:p>
    <w:p w:rsidR="00943C31" w:rsidP="00A64738" w:rsidRDefault="00943C31">
      <w:pPr>
        <w:rPr>
          <w:noProof/>
          <w:sz w:val="24"/>
          <w:szCs w:val="24"/>
        </w:rPr>
      </w:pPr>
    </w:p>
    <w:p w:rsidR="00943C31" w:rsidP="00A64738" w:rsidRDefault="00943C31">
      <w:pPr>
        <w:rPr>
          <w:noProof/>
          <w:sz w:val="24"/>
          <w:szCs w:val="24"/>
        </w:rPr>
      </w:pPr>
      <w:r>
        <w:rPr>
          <w:noProof/>
          <w:sz w:val="24"/>
          <w:szCs w:val="24"/>
        </w:rPr>
        <w:t>International</w:t>
      </w:r>
      <w:r w:rsidR="0055471C">
        <w:rPr>
          <w:noProof/>
          <w:sz w:val="24"/>
          <w:szCs w:val="24"/>
        </w:rPr>
        <w:t xml:space="preserve"> regulations</w:t>
      </w:r>
      <w:r w:rsidR="00946ECC">
        <w:rPr>
          <w:noProof/>
          <w:sz w:val="24"/>
          <w:szCs w:val="24"/>
        </w:rPr>
        <w:t>:</w:t>
      </w:r>
    </w:p>
    <w:p w:rsidRPr="0073524B" w:rsidR="0073524B" w:rsidP="0073524B" w:rsidRDefault="00B0430C">
      <w:pPr>
        <w:rPr>
          <w:sz w:val="24"/>
          <w:szCs w:val="24"/>
        </w:rPr>
      </w:pPr>
      <w:r w:rsidRPr="003134C0">
        <w:rPr>
          <w:noProof/>
          <w:sz w:val="24"/>
          <w:szCs w:val="24"/>
        </w:rPr>
        <w:t>Collection</w:t>
      </w:r>
      <w:r w:rsidRPr="00EC0D6E">
        <w:rPr>
          <w:sz w:val="24"/>
          <w:szCs w:val="24"/>
        </w:rPr>
        <w:t xml:space="preserve"> of this information</w:t>
      </w:r>
      <w:r w:rsidRPr="00EC0D6E" w:rsidR="00876A22">
        <w:rPr>
          <w:sz w:val="24"/>
          <w:szCs w:val="24"/>
        </w:rPr>
        <w:t xml:space="preserve"> is necessary for the </w:t>
      </w:r>
      <w:r w:rsidR="00831F17">
        <w:rPr>
          <w:sz w:val="24"/>
          <w:szCs w:val="24"/>
        </w:rPr>
        <w:t>U.S</w:t>
      </w:r>
      <w:r w:rsidR="003F22FC">
        <w:rPr>
          <w:sz w:val="24"/>
          <w:szCs w:val="24"/>
        </w:rPr>
        <w:t>.</w:t>
      </w:r>
      <w:r w:rsidR="00831F17">
        <w:rPr>
          <w:sz w:val="24"/>
          <w:szCs w:val="24"/>
        </w:rPr>
        <w:t xml:space="preserve"> </w:t>
      </w:r>
      <w:r w:rsidRPr="00EC0D6E" w:rsidR="00876A22">
        <w:rPr>
          <w:sz w:val="24"/>
          <w:szCs w:val="24"/>
        </w:rPr>
        <w:t xml:space="preserve">to satisfy its international obligations under the </w:t>
      </w:r>
      <w:r w:rsidRPr="00CC4E05" w:rsidR="00CC4E05">
        <w:rPr>
          <w:iCs/>
          <w:sz w:val="24"/>
          <w:szCs w:val="24"/>
        </w:rPr>
        <w:t xml:space="preserve">Convention for the Strengthening of the </w:t>
      </w:r>
      <w:hyperlink w:history="1" r:id="rId8">
        <w:r w:rsidRPr="00282443" w:rsidR="0055471C">
          <w:rPr>
            <w:rStyle w:val="Hyperlink"/>
            <w:sz w:val="24"/>
            <w:szCs w:val="24"/>
          </w:rPr>
          <w:t>Inter-American Tropical Tuna Commission</w:t>
        </w:r>
      </w:hyperlink>
      <w:r w:rsidR="0055471C">
        <w:rPr>
          <w:sz w:val="24"/>
          <w:szCs w:val="24"/>
        </w:rPr>
        <w:t xml:space="preserve"> (IATTC)</w:t>
      </w:r>
      <w:r w:rsidR="00946ECC">
        <w:rPr>
          <w:sz w:val="24"/>
          <w:szCs w:val="24"/>
        </w:rPr>
        <w:t>,</w:t>
      </w:r>
      <w:r w:rsidRPr="00CC4E05" w:rsidR="00CC4E05">
        <w:rPr>
          <w:iCs/>
          <w:sz w:val="24"/>
          <w:szCs w:val="24"/>
        </w:rPr>
        <w:t xml:space="preserve"> </w:t>
      </w:r>
      <w:r w:rsidR="00946ECC">
        <w:rPr>
          <w:iCs/>
          <w:sz w:val="24"/>
          <w:szCs w:val="24"/>
        </w:rPr>
        <w:t>e</w:t>
      </w:r>
      <w:r w:rsidRPr="00CC4E05" w:rsidR="00CC4E05">
        <w:rPr>
          <w:iCs/>
          <w:sz w:val="24"/>
          <w:szCs w:val="24"/>
        </w:rPr>
        <w:t>stablished by the 1949 Convention between the United States of America and the Republic of Costa Rica (Antigua Convention).</w:t>
      </w:r>
      <w:r w:rsidR="0055471C">
        <w:rPr>
          <w:sz w:val="24"/>
          <w:szCs w:val="24"/>
        </w:rPr>
        <w:t xml:space="preserve"> </w:t>
      </w:r>
      <w:r w:rsidRPr="0073524B" w:rsidR="0073524B">
        <w:rPr>
          <w:iCs/>
          <w:sz w:val="24"/>
          <w:szCs w:val="24"/>
        </w:rPr>
        <w:t xml:space="preserve">As a Party to the Antigua Convention and a member of the IATTC, the United States is </w:t>
      </w:r>
      <w:r w:rsidRPr="0073524B" w:rsidR="0073524B">
        <w:rPr>
          <w:sz w:val="24"/>
          <w:szCs w:val="24"/>
        </w:rPr>
        <w:t>legally bound</w:t>
      </w:r>
      <w:r w:rsidRPr="0073524B" w:rsidR="0073524B">
        <w:rPr>
          <w:iCs/>
          <w:sz w:val="24"/>
          <w:szCs w:val="24"/>
        </w:rPr>
        <w:t xml:space="preserve"> to implement decisions of the IATTC. </w:t>
      </w:r>
    </w:p>
    <w:p w:rsidR="00A64738" w:rsidP="00A64738" w:rsidRDefault="00623FE9">
      <w:pPr>
        <w:rPr>
          <w:sz w:val="24"/>
          <w:szCs w:val="24"/>
        </w:rPr>
      </w:pPr>
      <w:r w:rsidRPr="00623FE9">
        <w:rPr>
          <w:sz w:val="24"/>
          <w:szCs w:val="24"/>
        </w:rPr>
        <w:t xml:space="preserve">At its </w:t>
      </w:r>
      <w:r w:rsidRPr="00706480" w:rsidR="00706480">
        <w:rPr>
          <w:sz w:val="24"/>
          <w:szCs w:val="24"/>
        </w:rPr>
        <w:t>87</w:t>
      </w:r>
      <w:r w:rsidRPr="00706480" w:rsidR="00706480">
        <w:rPr>
          <w:sz w:val="24"/>
          <w:szCs w:val="24"/>
          <w:vertAlign w:val="superscript"/>
        </w:rPr>
        <w:t>th</w:t>
      </w:r>
      <w:r w:rsidRPr="00706480" w:rsidR="00706480">
        <w:rPr>
          <w:sz w:val="24"/>
          <w:szCs w:val="24"/>
        </w:rPr>
        <w:t xml:space="preserve"> meeting in July 2014</w:t>
      </w:r>
      <w:r w:rsidR="0055471C">
        <w:rPr>
          <w:sz w:val="24"/>
          <w:szCs w:val="24"/>
        </w:rPr>
        <w:t>, the IATTC adopted Resolution C-14-02 (</w:t>
      </w:r>
      <w:r w:rsidRPr="0055471C" w:rsidR="0055471C">
        <w:rPr>
          <w:i/>
          <w:sz w:val="24"/>
          <w:szCs w:val="24"/>
        </w:rPr>
        <w:t>Establishment of a Vessel Monitoring System</w:t>
      </w:r>
      <w:r w:rsidR="0055471C">
        <w:rPr>
          <w:sz w:val="24"/>
          <w:szCs w:val="24"/>
        </w:rPr>
        <w:t>).</w:t>
      </w:r>
      <w:r w:rsidR="00706480">
        <w:rPr>
          <w:sz w:val="24"/>
          <w:szCs w:val="24"/>
        </w:rPr>
        <w:t xml:space="preserve"> </w:t>
      </w:r>
      <w:r w:rsidR="00946ECC">
        <w:rPr>
          <w:sz w:val="24"/>
          <w:szCs w:val="24"/>
        </w:rPr>
        <w:t>Following</w:t>
      </w:r>
      <w:r w:rsidR="00706480">
        <w:rPr>
          <w:sz w:val="24"/>
          <w:szCs w:val="24"/>
        </w:rPr>
        <w:t>, NMFS published a</w:t>
      </w:r>
      <w:r w:rsidRPr="00706480" w:rsidR="00706480">
        <w:rPr>
          <w:sz w:val="24"/>
          <w:szCs w:val="24"/>
        </w:rPr>
        <w:t xml:space="preserve"> </w:t>
      </w:r>
      <w:r w:rsidR="0055471C">
        <w:rPr>
          <w:sz w:val="24"/>
          <w:szCs w:val="24"/>
        </w:rPr>
        <w:t xml:space="preserve">rule to </w:t>
      </w:r>
      <w:r w:rsidR="006E6DFE">
        <w:rPr>
          <w:sz w:val="24"/>
          <w:szCs w:val="24"/>
        </w:rPr>
        <w:t xml:space="preserve">implement </w:t>
      </w:r>
      <w:r w:rsidRPr="00EC0D6E" w:rsidR="006E6DFE">
        <w:rPr>
          <w:sz w:val="24"/>
          <w:szCs w:val="24"/>
        </w:rPr>
        <w:t>VMS</w:t>
      </w:r>
      <w:r w:rsidR="006E6DFE">
        <w:rPr>
          <w:sz w:val="24"/>
          <w:szCs w:val="24"/>
        </w:rPr>
        <w:t xml:space="preserve"> requirements</w:t>
      </w:r>
      <w:r w:rsidR="00B0664D">
        <w:rPr>
          <w:sz w:val="24"/>
          <w:szCs w:val="24"/>
        </w:rPr>
        <w:t xml:space="preserve"> </w:t>
      </w:r>
      <w:r w:rsidRPr="00EC0D6E" w:rsidR="00761162">
        <w:rPr>
          <w:sz w:val="24"/>
          <w:szCs w:val="24"/>
        </w:rPr>
        <w:t xml:space="preserve">and </w:t>
      </w:r>
      <w:r w:rsidR="00BA4D3A">
        <w:rPr>
          <w:sz w:val="24"/>
          <w:szCs w:val="24"/>
        </w:rPr>
        <w:t xml:space="preserve">to </w:t>
      </w:r>
      <w:r w:rsidR="0055471C">
        <w:rPr>
          <w:sz w:val="24"/>
          <w:szCs w:val="24"/>
        </w:rPr>
        <w:t xml:space="preserve">require </w:t>
      </w:r>
      <w:r w:rsidR="00BA4D3A">
        <w:rPr>
          <w:sz w:val="24"/>
          <w:szCs w:val="24"/>
        </w:rPr>
        <w:t xml:space="preserve">that </w:t>
      </w:r>
      <w:r w:rsidR="00F51EAF">
        <w:rPr>
          <w:sz w:val="24"/>
          <w:szCs w:val="24"/>
        </w:rPr>
        <w:t xml:space="preserve">commercial fishing </w:t>
      </w:r>
      <w:r w:rsidRPr="00EC0D6E" w:rsidR="00761162">
        <w:rPr>
          <w:sz w:val="24"/>
          <w:szCs w:val="24"/>
        </w:rPr>
        <w:t>vessels</w:t>
      </w:r>
      <w:r w:rsidR="00D14DC5">
        <w:rPr>
          <w:sz w:val="24"/>
          <w:szCs w:val="24"/>
        </w:rPr>
        <w:t xml:space="preserve"> </w:t>
      </w:r>
      <w:r w:rsidRPr="00D14DC5" w:rsidR="00D14DC5">
        <w:rPr>
          <w:bCs/>
          <w:sz w:val="24"/>
          <w:szCs w:val="24"/>
        </w:rPr>
        <w:t>24 meters or more in overall length and engaging in fishing activities for tuna or tuna-like species in the Convention Area</w:t>
      </w:r>
      <w:r w:rsidRPr="00EC0D6E" w:rsidR="00761162">
        <w:rPr>
          <w:sz w:val="24"/>
          <w:szCs w:val="24"/>
        </w:rPr>
        <w:t>.</w:t>
      </w:r>
      <w:r w:rsidR="00761162">
        <w:rPr>
          <w:sz w:val="24"/>
          <w:szCs w:val="24"/>
        </w:rPr>
        <w:t xml:space="preserve"> </w:t>
      </w:r>
      <w:r w:rsidR="00A64738">
        <w:rPr>
          <w:sz w:val="24"/>
          <w:szCs w:val="24"/>
        </w:rPr>
        <w:t xml:space="preserve">The </w:t>
      </w:r>
      <w:r w:rsidR="0055471C">
        <w:rPr>
          <w:sz w:val="24"/>
          <w:szCs w:val="24"/>
        </w:rPr>
        <w:t xml:space="preserve">RIN of the </w:t>
      </w:r>
      <w:r w:rsidR="00A64738">
        <w:rPr>
          <w:sz w:val="24"/>
          <w:szCs w:val="24"/>
        </w:rPr>
        <w:t>associated rule is 0648-BD54.</w:t>
      </w:r>
      <w:r w:rsidR="00761162">
        <w:rPr>
          <w:sz w:val="24"/>
          <w:szCs w:val="24"/>
        </w:rPr>
        <w:t xml:space="preserve"> </w:t>
      </w:r>
      <w:r w:rsidR="00554030">
        <w:rPr>
          <w:sz w:val="24"/>
          <w:szCs w:val="24"/>
        </w:rPr>
        <w:t xml:space="preserve">The international regulations are found at 50 CFR 300 Subpart C. </w:t>
      </w:r>
    </w:p>
    <w:p w:rsidR="003C645D" w:rsidP="00A64738" w:rsidRDefault="003C645D">
      <w:pPr>
        <w:rPr>
          <w:sz w:val="24"/>
          <w:szCs w:val="24"/>
        </w:rPr>
      </w:pPr>
    </w:p>
    <w:p w:rsidR="00CC4E05" w:rsidP="00A64738" w:rsidRDefault="00CC4E05">
      <w:pPr>
        <w:rPr>
          <w:sz w:val="24"/>
          <w:szCs w:val="24"/>
        </w:rPr>
      </w:pPr>
      <w:r>
        <w:rPr>
          <w:sz w:val="24"/>
          <w:szCs w:val="24"/>
        </w:rPr>
        <w:t>Domestic</w:t>
      </w:r>
      <w:r w:rsidR="0055471C">
        <w:rPr>
          <w:sz w:val="24"/>
          <w:szCs w:val="24"/>
        </w:rPr>
        <w:t xml:space="preserve"> regulations</w:t>
      </w:r>
      <w:r w:rsidR="0081099A">
        <w:rPr>
          <w:sz w:val="24"/>
          <w:szCs w:val="24"/>
        </w:rPr>
        <w:t>:</w:t>
      </w:r>
    </w:p>
    <w:p w:rsidR="003E3AF0" w:rsidP="004D40ED" w:rsidRDefault="003E3AF0">
      <w:pPr>
        <w:pStyle w:val="BodyText"/>
        <w:spacing w:line="247" w:lineRule="auto"/>
        <w:ind w:right="97"/>
      </w:pPr>
      <w:r>
        <w:lastRenderedPageBreak/>
        <w:t xml:space="preserve">The </w:t>
      </w:r>
      <w:hyperlink r:id="rId9">
        <w:r>
          <w:rPr>
            <w:color w:val="0000FF"/>
            <w:u w:val="single" w:color="0000FF"/>
          </w:rPr>
          <w:t xml:space="preserve">Magnuson-Stevens Fishery Conservation and Management Act </w:t>
        </w:r>
      </w:hyperlink>
      <w:r>
        <w:t xml:space="preserve">(MSA) established regional fishery management councils, including the Pacific Fishery Management Council (Pacific Council), to develop fishery management plans for </w:t>
      </w:r>
      <w:r w:rsidR="00831F17">
        <w:t>fisheries in the U.S.</w:t>
      </w:r>
      <w:r>
        <w:t xml:space="preserve"> exclusive economic zone (EEZ). These plans, if approved by the Secretary of Commerce, are implemented by Federal regulations, which are enforced by the National Oceanic and Atmospheric Administration’s (NOAA’s) National Marine Fisheries Service (NMFS) and the U.S. Coast Guard (USCG) with the cooperation of state agencies to the extent possible. The Pacific Council submitted the Fishery Management Plan for U.S. West Coast Fisheries for Highly Migratory</w:t>
      </w:r>
      <w:r>
        <w:rPr>
          <w:spacing w:val="-11"/>
        </w:rPr>
        <w:t xml:space="preserve"> </w:t>
      </w:r>
      <w:r>
        <w:t>Species</w:t>
      </w:r>
      <w:r>
        <w:rPr>
          <w:spacing w:val="-3"/>
        </w:rPr>
        <w:t xml:space="preserve"> </w:t>
      </w:r>
      <w:r>
        <w:t>(HMS</w:t>
      </w:r>
      <w:r>
        <w:rPr>
          <w:spacing w:val="-3"/>
        </w:rPr>
        <w:t xml:space="preserve"> </w:t>
      </w:r>
      <w:r>
        <w:t>FMP)</w:t>
      </w:r>
      <w:r>
        <w:rPr>
          <w:spacing w:val="-4"/>
        </w:rPr>
        <w:t xml:space="preserve"> </w:t>
      </w:r>
      <w:r w:rsidR="00946ECC">
        <w:rPr>
          <w:spacing w:val="-4"/>
        </w:rPr>
        <w:t xml:space="preserve">for approval by </w:t>
      </w:r>
      <w:r>
        <w:t>the</w:t>
      </w:r>
      <w:r>
        <w:rPr>
          <w:spacing w:val="-4"/>
        </w:rPr>
        <w:t xml:space="preserve"> </w:t>
      </w:r>
      <w:r>
        <w:t>Secretary</w:t>
      </w:r>
      <w:r>
        <w:rPr>
          <w:spacing w:val="-11"/>
        </w:rPr>
        <w:t xml:space="preserve"> </w:t>
      </w:r>
      <w:r>
        <w:t>of</w:t>
      </w:r>
      <w:r>
        <w:rPr>
          <w:spacing w:val="-4"/>
        </w:rPr>
        <w:t xml:space="preserve"> </w:t>
      </w:r>
      <w:r>
        <w:t>Commerce</w:t>
      </w:r>
      <w:r w:rsidR="00946ECC">
        <w:t>.</w:t>
      </w:r>
      <w:r>
        <w:t xml:space="preserve"> </w:t>
      </w:r>
      <w:r w:rsidR="00946ECC">
        <w:t>O</w:t>
      </w:r>
      <w:r>
        <w:t>n February 4, 2004</w:t>
      </w:r>
      <w:r w:rsidR="00946ECC">
        <w:t>, the Secretary partially approved the HMS FMP.</w:t>
      </w:r>
      <w:r>
        <w:t xml:space="preserve"> On April 7, 2004, NMFS published a final rule to implement the approved portions of the HMS FMP (69 FR</w:t>
      </w:r>
      <w:r>
        <w:rPr>
          <w:spacing w:val="-11"/>
        </w:rPr>
        <w:t xml:space="preserve"> </w:t>
      </w:r>
      <w:r>
        <w:t>18444)</w:t>
      </w:r>
      <w:r w:rsidR="001120FC">
        <w:t xml:space="preserve"> including VMS and pre-trip call-in notifications for longline vessel owners and operators</w:t>
      </w:r>
      <w:r w:rsidR="004D7CC3">
        <w:t>; this element became effective on February 10, 2005</w:t>
      </w:r>
      <w:r>
        <w:t>.</w:t>
      </w:r>
      <w:r w:rsidR="003C645D">
        <w:t xml:space="preserve"> </w:t>
      </w:r>
      <w:r w:rsidR="00E152F2">
        <w:t>On July 9</w:t>
      </w:r>
      <w:r w:rsidR="003C645D">
        <w:t>, 201</w:t>
      </w:r>
      <w:r w:rsidR="0092122C">
        <w:t>5</w:t>
      </w:r>
      <w:r w:rsidR="003C645D">
        <w:t>, NMFS published a final rule to require</w:t>
      </w:r>
      <w:r w:rsidR="00BE679A">
        <w:t xml:space="preserve"> the</w:t>
      </w:r>
      <w:r w:rsidR="003C645D">
        <w:t xml:space="preserve"> </w:t>
      </w:r>
      <w:r w:rsidRPr="00BE679A" w:rsidR="003C645D">
        <w:rPr>
          <w:noProof/>
        </w:rPr>
        <w:t>use</w:t>
      </w:r>
      <w:r w:rsidR="003C645D">
        <w:t xml:space="preserve"> of </w:t>
      </w:r>
      <w:r w:rsidRPr="003134C0" w:rsidR="003C645D">
        <w:rPr>
          <w:noProof/>
        </w:rPr>
        <w:t>a NMFS-approved</w:t>
      </w:r>
      <w:r w:rsidR="003C645D">
        <w:t xml:space="preserve"> VMS and to institute a 48-hour pre-trip call-i</w:t>
      </w:r>
      <w:r w:rsidR="00E152F2">
        <w:t>n notification requirement for drift g</w:t>
      </w:r>
      <w:r w:rsidR="003C645D">
        <w:t>illnet (DGN) vessel owners</w:t>
      </w:r>
      <w:r w:rsidR="002D1F1D">
        <w:t>/</w:t>
      </w:r>
      <w:r w:rsidR="003C645D">
        <w:t>operators</w:t>
      </w:r>
      <w:r w:rsidR="00E152F2">
        <w:t xml:space="preserve"> (80 FR 32465)</w:t>
      </w:r>
      <w:r w:rsidR="003C645D">
        <w:t xml:space="preserve">. </w:t>
      </w:r>
      <w:r w:rsidR="00554030">
        <w:t xml:space="preserve">The domestic regulations are found at 50 CFR 660 Subpart K. </w:t>
      </w:r>
    </w:p>
    <w:p w:rsidR="003E3AF0" w:rsidP="003E3AF0" w:rsidRDefault="003E3AF0">
      <w:pPr>
        <w:pStyle w:val="BodyText"/>
        <w:spacing w:before="6"/>
      </w:pPr>
    </w:p>
    <w:p w:rsidR="003E3AF0" w:rsidP="003854A5" w:rsidRDefault="003E3AF0">
      <w:pPr>
        <w:pStyle w:val="BodyText"/>
        <w:spacing w:line="247" w:lineRule="auto"/>
        <w:ind w:right="111"/>
      </w:pPr>
      <w:r>
        <w:t xml:space="preserve">The HMS FMP is intended to ensure conservation and </w:t>
      </w:r>
      <w:r w:rsidRPr="003134C0">
        <w:rPr>
          <w:noProof/>
        </w:rPr>
        <w:t>promote</w:t>
      </w:r>
      <w:r w:rsidR="003134C0">
        <w:rPr>
          <w:noProof/>
        </w:rPr>
        <w:t>s</w:t>
      </w:r>
      <w:r>
        <w:t xml:space="preserve"> the achievement of optimum yield of HMS throughout their ranges, both within and beyond the U.S. EEZ, to the extent practicable. The </w:t>
      </w:r>
      <w:r w:rsidR="003C645D">
        <w:t xml:space="preserve">HMS </w:t>
      </w:r>
      <w:r>
        <w:t>FMP establishes basic conservation and management measures applicable to U.S. vessels fishing for manage</w:t>
      </w:r>
      <w:r w:rsidR="001E0841">
        <w:t>ment unit</w:t>
      </w:r>
      <w:r>
        <w:t xml:space="preserve"> species.</w:t>
      </w:r>
    </w:p>
    <w:p w:rsidR="003E3AF0" w:rsidP="003E3AF0" w:rsidRDefault="003E3AF0">
      <w:pPr>
        <w:pStyle w:val="BodyText"/>
        <w:spacing w:before="6"/>
      </w:pPr>
    </w:p>
    <w:p w:rsidR="003E3AF0" w:rsidP="00F17FAC" w:rsidRDefault="003E3AF0">
      <w:pPr>
        <w:pStyle w:val="BodyText"/>
        <w:ind w:left="90"/>
      </w:pPr>
      <w:r>
        <w:t>The following species are included as management unit species under the HMS FMP:</w:t>
      </w:r>
    </w:p>
    <w:p w:rsidR="003E3AF0" w:rsidP="003E3AF0" w:rsidRDefault="003E3AF0">
      <w:pPr>
        <w:pStyle w:val="BodyText"/>
        <w:spacing w:before="7"/>
        <w:rPr>
          <w:sz w:val="25"/>
        </w:rPr>
      </w:pPr>
    </w:p>
    <w:p w:rsidRPr="00340836" w:rsidR="00340836" w:rsidP="00340836" w:rsidRDefault="00340836">
      <w:pPr>
        <w:pStyle w:val="Heading1"/>
        <w:spacing w:before="124"/>
        <w:ind w:left="0"/>
        <w:rPr>
          <w:b w:val="0"/>
          <w:color w:val="000000"/>
          <w:u w:val="none"/>
          <w:shd w:val="clear" w:color="auto" w:fill="FFFFFF"/>
        </w:rPr>
      </w:pPr>
      <w:r w:rsidRPr="00340836">
        <w:rPr>
          <w:color w:val="000000"/>
          <w:u w:val="none"/>
          <w:shd w:val="clear" w:color="auto" w:fill="FFFFFF"/>
        </w:rPr>
        <w:t>Billfish/Swordfish:</w:t>
      </w:r>
    </w:p>
    <w:p w:rsidRPr="00340836" w:rsidR="00340836" w:rsidP="00340836" w:rsidRDefault="00340836">
      <w:pPr>
        <w:pStyle w:val="Heading1"/>
        <w:spacing w:before="124"/>
        <w:ind w:left="0"/>
        <w:rPr>
          <w:b w:val="0"/>
          <w:color w:val="000000"/>
          <w:u w:val="none"/>
          <w:shd w:val="clear" w:color="auto" w:fill="FFFFFF"/>
        </w:rPr>
      </w:pPr>
      <w:r w:rsidRPr="00340836">
        <w:rPr>
          <w:b w:val="0"/>
          <w:color w:val="000000"/>
          <w:u w:val="none"/>
          <w:shd w:val="clear" w:color="auto" w:fill="FFFFFF"/>
        </w:rPr>
        <w:tab/>
        <w:t>Striped Marlin (Tetrapturus Audax), Swordfish (Xiphias Gladius)</w:t>
      </w:r>
    </w:p>
    <w:p w:rsidRPr="00340836" w:rsidR="00340836" w:rsidP="00340836" w:rsidRDefault="00340836">
      <w:pPr>
        <w:pStyle w:val="Heading1"/>
        <w:spacing w:before="124"/>
        <w:ind w:left="0"/>
        <w:rPr>
          <w:b w:val="0"/>
          <w:color w:val="000000"/>
          <w:u w:val="none"/>
          <w:shd w:val="clear" w:color="auto" w:fill="FFFFFF"/>
        </w:rPr>
      </w:pPr>
      <w:r w:rsidRPr="00340836">
        <w:rPr>
          <w:color w:val="000000"/>
          <w:u w:val="none"/>
          <w:shd w:val="clear" w:color="auto" w:fill="FFFFFF"/>
        </w:rPr>
        <w:t>Sharks</w:t>
      </w:r>
      <w:r w:rsidRPr="00340836">
        <w:rPr>
          <w:b w:val="0"/>
          <w:color w:val="000000"/>
          <w:u w:val="none"/>
          <w:shd w:val="clear" w:color="auto" w:fill="FFFFFF"/>
        </w:rPr>
        <w:t>:</w:t>
      </w:r>
    </w:p>
    <w:p w:rsidRPr="00340836" w:rsidR="00340836" w:rsidP="00340836" w:rsidRDefault="00340836">
      <w:pPr>
        <w:pStyle w:val="Heading1"/>
        <w:spacing w:before="124"/>
        <w:ind w:left="720"/>
        <w:rPr>
          <w:b w:val="0"/>
          <w:color w:val="000000"/>
          <w:u w:val="none"/>
          <w:shd w:val="clear" w:color="auto" w:fill="FFFFFF"/>
        </w:rPr>
      </w:pPr>
      <w:r w:rsidRPr="00340836">
        <w:rPr>
          <w:b w:val="0"/>
          <w:color w:val="000000"/>
          <w:u w:val="none"/>
          <w:shd w:val="clear" w:color="auto" w:fill="FFFFFF"/>
        </w:rPr>
        <w:t>Common Thresher Shark (Alopias Vulpinus, Shortfin Mako or Bonito Shark (Isurus Oxyrinchus), Blue Shark (Prionace Glauca)</w:t>
      </w:r>
    </w:p>
    <w:p w:rsidRPr="00340836" w:rsidR="00340836" w:rsidP="00340836" w:rsidRDefault="00340836">
      <w:pPr>
        <w:pStyle w:val="Heading1"/>
        <w:spacing w:before="124"/>
        <w:ind w:left="0"/>
        <w:rPr>
          <w:b w:val="0"/>
          <w:color w:val="000000"/>
          <w:u w:val="none"/>
          <w:shd w:val="clear" w:color="auto" w:fill="FFFFFF"/>
        </w:rPr>
      </w:pPr>
      <w:r w:rsidRPr="00340836">
        <w:rPr>
          <w:color w:val="000000"/>
          <w:u w:val="none"/>
          <w:shd w:val="clear" w:color="auto" w:fill="FFFFFF"/>
        </w:rPr>
        <w:t>Tunas:</w:t>
      </w:r>
    </w:p>
    <w:p w:rsidRPr="00340836" w:rsidR="00340836" w:rsidP="00340836" w:rsidRDefault="00340836">
      <w:pPr>
        <w:pStyle w:val="Heading1"/>
        <w:spacing w:before="124"/>
        <w:ind w:left="720"/>
        <w:rPr>
          <w:b w:val="0"/>
          <w:color w:val="000000"/>
          <w:u w:val="none"/>
          <w:shd w:val="clear" w:color="auto" w:fill="FFFFFF"/>
        </w:rPr>
      </w:pPr>
      <w:r w:rsidRPr="00340836">
        <w:rPr>
          <w:b w:val="0"/>
          <w:color w:val="000000"/>
          <w:u w:val="none"/>
          <w:shd w:val="clear" w:color="auto" w:fill="FFFFFF"/>
        </w:rPr>
        <w:t>North Pacific Albacore (Thunnus Alalunga), Yellowfin Tuna (Thunnus Albacares), Bigeye Tuna (Thunnus Obesus), Skipjack Tuna (Katsuwonus Pelamis), Norther Bluefin Tuna (Thunnus Orientalis)</w:t>
      </w:r>
    </w:p>
    <w:p w:rsidRPr="00340836" w:rsidR="00340836" w:rsidP="00340836" w:rsidRDefault="00340836">
      <w:pPr>
        <w:pStyle w:val="Heading1"/>
        <w:spacing w:before="124"/>
        <w:ind w:left="0"/>
        <w:rPr>
          <w:b w:val="0"/>
          <w:color w:val="000000"/>
          <w:u w:val="none"/>
          <w:shd w:val="clear" w:color="auto" w:fill="FFFFFF"/>
        </w:rPr>
      </w:pPr>
      <w:r w:rsidRPr="00340836">
        <w:rPr>
          <w:color w:val="000000"/>
          <w:u w:val="none"/>
          <w:shd w:val="clear" w:color="auto" w:fill="FFFFFF"/>
        </w:rPr>
        <w:t>Other:</w:t>
      </w:r>
    </w:p>
    <w:p w:rsidRPr="00340836" w:rsidR="00340836" w:rsidP="00340836" w:rsidRDefault="00340836">
      <w:pPr>
        <w:pStyle w:val="Heading1"/>
        <w:spacing w:before="124"/>
        <w:ind w:left="0"/>
        <w:rPr>
          <w:b w:val="0"/>
          <w:color w:val="000000"/>
          <w:u w:val="none"/>
          <w:shd w:val="clear" w:color="auto" w:fill="FFFFFF"/>
        </w:rPr>
      </w:pPr>
      <w:r w:rsidRPr="00340836">
        <w:rPr>
          <w:b w:val="0"/>
          <w:color w:val="000000"/>
          <w:u w:val="none"/>
          <w:shd w:val="clear" w:color="auto" w:fill="FFFFFF"/>
        </w:rPr>
        <w:tab/>
        <w:t>Dorado or Dolphinfish (Coryphaena Hippurus)</w:t>
      </w:r>
    </w:p>
    <w:p w:rsidR="00FD0F5C" w:rsidP="003854A5" w:rsidRDefault="00FD0F5C">
      <w:pPr>
        <w:pStyle w:val="Heading1"/>
        <w:spacing w:before="4"/>
      </w:pPr>
    </w:p>
    <w:p w:rsidR="002B7981" w:rsidP="003854A5" w:rsidRDefault="002B7981">
      <w:pPr>
        <w:pStyle w:val="Heading1"/>
        <w:spacing w:before="4"/>
        <w:ind w:left="0"/>
        <w:rPr>
          <w:b w:val="0"/>
          <w:u w:val="none"/>
        </w:rPr>
      </w:pPr>
      <w:r w:rsidRPr="003854A5">
        <w:rPr>
          <w:b w:val="0"/>
          <w:u w:val="none"/>
        </w:rPr>
        <w:t xml:space="preserve">These </w:t>
      </w:r>
      <w:r w:rsidRPr="003854A5" w:rsidR="001E0841">
        <w:rPr>
          <w:b w:val="0"/>
          <w:u w:val="none"/>
        </w:rPr>
        <w:t xml:space="preserve">highly migratory </w:t>
      </w:r>
      <w:r w:rsidRPr="003854A5">
        <w:rPr>
          <w:b w:val="0"/>
          <w:u w:val="none"/>
        </w:rPr>
        <w:t>species are harvested in U.S. waters and on the high seas by U.S. fishermen and fishermen of other nations. In the U</w:t>
      </w:r>
      <w:r w:rsidR="001E0841">
        <w:rPr>
          <w:b w:val="0"/>
          <w:u w:val="none"/>
        </w:rPr>
        <w:t xml:space="preserve">nited </w:t>
      </w:r>
      <w:r w:rsidRPr="003854A5">
        <w:rPr>
          <w:b w:val="0"/>
          <w:u w:val="none"/>
        </w:rPr>
        <w:t>S</w:t>
      </w:r>
      <w:r w:rsidR="001E0841">
        <w:rPr>
          <w:b w:val="0"/>
          <w:u w:val="none"/>
        </w:rPr>
        <w:t>tates</w:t>
      </w:r>
      <w:r w:rsidRPr="003854A5">
        <w:rPr>
          <w:b w:val="0"/>
          <w:u w:val="none"/>
        </w:rPr>
        <w:t xml:space="preserve">, the migratory patterns of many of the species potentially </w:t>
      </w:r>
      <w:r w:rsidR="001E0841">
        <w:rPr>
          <w:b w:val="0"/>
          <w:u w:val="none"/>
        </w:rPr>
        <w:t xml:space="preserve">are transboundary with respect to </w:t>
      </w:r>
      <w:r w:rsidRPr="003854A5">
        <w:rPr>
          <w:b w:val="0"/>
          <w:u w:val="none"/>
        </w:rPr>
        <w:t>the jurisdiction of three councils: the Pacific Council, the Western Pacific Fishery Management Council</w:t>
      </w:r>
      <w:r w:rsidR="001E0841">
        <w:rPr>
          <w:b w:val="0"/>
          <w:u w:val="none"/>
        </w:rPr>
        <w:t xml:space="preserve"> (Western Pacific Council)</w:t>
      </w:r>
      <w:r w:rsidRPr="003854A5">
        <w:rPr>
          <w:b w:val="0"/>
          <w:u w:val="none"/>
        </w:rPr>
        <w:t>, and the North Pacific Fishery Management Council</w:t>
      </w:r>
      <w:r w:rsidR="00282FD0">
        <w:rPr>
          <w:b w:val="0"/>
          <w:u w:val="none"/>
        </w:rPr>
        <w:t xml:space="preserve"> (North Pacific Council)</w:t>
      </w:r>
      <w:r w:rsidRPr="003854A5">
        <w:rPr>
          <w:b w:val="0"/>
          <w:u w:val="none"/>
        </w:rPr>
        <w:t xml:space="preserve">. The Western Pacific Council implemented a Fishery Management Plan for the Pelagic Fisheries of the </w:t>
      </w:r>
      <w:r w:rsidRPr="003854A5">
        <w:rPr>
          <w:b w:val="0"/>
          <w:u w:val="none"/>
        </w:rPr>
        <w:lastRenderedPageBreak/>
        <w:t xml:space="preserve">Western Pacific Region (Pelagics FMP) governing </w:t>
      </w:r>
      <w:r w:rsidR="001E0841">
        <w:rPr>
          <w:b w:val="0"/>
          <w:u w:val="none"/>
        </w:rPr>
        <w:t xml:space="preserve">conservation and </w:t>
      </w:r>
      <w:r w:rsidRPr="00BE679A">
        <w:rPr>
          <w:b w:val="0"/>
          <w:noProof/>
          <w:u w:val="none"/>
        </w:rPr>
        <w:t>management</w:t>
      </w:r>
      <w:r w:rsidRPr="003854A5">
        <w:rPr>
          <w:b w:val="0"/>
          <w:u w:val="none"/>
        </w:rPr>
        <w:t xml:space="preserve"> of many of the same species </w:t>
      </w:r>
      <w:r w:rsidR="001E0841">
        <w:rPr>
          <w:b w:val="0"/>
          <w:u w:val="none"/>
        </w:rPr>
        <w:t xml:space="preserve">included in the HMS </w:t>
      </w:r>
      <w:r w:rsidR="0063624D">
        <w:rPr>
          <w:b w:val="0"/>
          <w:u w:val="none"/>
        </w:rPr>
        <w:t xml:space="preserve">FMP. </w:t>
      </w:r>
      <w:r w:rsidRPr="003854A5">
        <w:rPr>
          <w:b w:val="0"/>
          <w:u w:val="none"/>
        </w:rPr>
        <w:t xml:space="preserve">Jurisdiction in the western Pacific extends only to the various EEZs in the western Pacific </w:t>
      </w:r>
      <w:r w:rsidR="001E0841">
        <w:rPr>
          <w:b w:val="0"/>
          <w:u w:val="none"/>
        </w:rPr>
        <w:t>(</w:t>
      </w:r>
      <w:r w:rsidRPr="003854A5" w:rsidR="001E0841">
        <w:rPr>
          <w:b w:val="0"/>
          <w:u w:val="none"/>
        </w:rPr>
        <w:t xml:space="preserve">Hawaii, American Samoa, Guam, the Commonwealth of the Northern Mariana Islands, and other U.S. </w:t>
      </w:r>
      <w:r w:rsidR="001E0841">
        <w:rPr>
          <w:b w:val="0"/>
          <w:u w:val="none"/>
        </w:rPr>
        <w:t>territories</w:t>
      </w:r>
      <w:r w:rsidRPr="003854A5" w:rsidR="001E0841">
        <w:rPr>
          <w:b w:val="0"/>
          <w:u w:val="none"/>
        </w:rPr>
        <w:t xml:space="preserve"> in the region</w:t>
      </w:r>
      <w:r w:rsidR="001E0841">
        <w:rPr>
          <w:b w:val="0"/>
          <w:u w:val="none"/>
        </w:rPr>
        <w:t>)</w:t>
      </w:r>
      <w:r w:rsidRPr="003854A5" w:rsidR="001E0841">
        <w:rPr>
          <w:b w:val="0"/>
          <w:u w:val="none"/>
        </w:rPr>
        <w:t xml:space="preserve"> </w:t>
      </w:r>
      <w:r w:rsidRPr="003854A5">
        <w:rPr>
          <w:b w:val="0"/>
          <w:u w:val="none"/>
        </w:rPr>
        <w:t>and to those vessels that may fish on the high seas with permits issued under the authority of the Pelagics FMP.</w:t>
      </w:r>
      <w:r w:rsidR="00282FD0">
        <w:rPr>
          <w:b w:val="0"/>
          <w:u w:val="none"/>
        </w:rPr>
        <w:t xml:space="preserve"> The North Pacific Council</w:t>
      </w:r>
      <w:r w:rsidR="00C74F41">
        <w:rPr>
          <w:b w:val="0"/>
          <w:u w:val="none"/>
        </w:rPr>
        <w:t xml:space="preserve"> (Alaska, Washington, and Oregon) has authority over fisheries in the Pacific Ocean seaward of Alaska, Arctic Ocean, and </w:t>
      </w:r>
      <w:r w:rsidR="003134C0">
        <w:rPr>
          <w:b w:val="0"/>
          <w:u w:val="none"/>
        </w:rPr>
        <w:t xml:space="preserve">the </w:t>
      </w:r>
      <w:r w:rsidRPr="000335E2" w:rsidR="00C74F41">
        <w:rPr>
          <w:b w:val="0"/>
          <w:noProof/>
          <w:u w:val="none"/>
        </w:rPr>
        <w:t>Bering Sea</w:t>
      </w:r>
      <w:r w:rsidR="00C74F41">
        <w:rPr>
          <w:b w:val="0"/>
          <w:u w:val="none"/>
        </w:rPr>
        <w:t>.</w:t>
      </w:r>
      <w:r w:rsidR="00282FD0">
        <w:rPr>
          <w:b w:val="0"/>
          <w:u w:val="none"/>
        </w:rPr>
        <w:t xml:space="preserve"> </w:t>
      </w:r>
      <w:r w:rsidR="0092122C">
        <w:rPr>
          <w:b w:val="0"/>
          <w:u w:val="none"/>
        </w:rPr>
        <w:t xml:space="preserve"> The Councils</w:t>
      </w:r>
      <w:r w:rsidRPr="003854A5">
        <w:rPr>
          <w:b w:val="0"/>
          <w:u w:val="none"/>
        </w:rPr>
        <w:t xml:space="preserve"> </w:t>
      </w:r>
      <w:r w:rsidRPr="003134C0">
        <w:rPr>
          <w:b w:val="0"/>
          <w:noProof/>
          <w:u w:val="none"/>
        </w:rPr>
        <w:t>strive</w:t>
      </w:r>
      <w:r w:rsidRPr="003854A5">
        <w:rPr>
          <w:b w:val="0"/>
          <w:u w:val="none"/>
        </w:rPr>
        <w:t xml:space="preserve"> to minimize duplicate requirements, </w:t>
      </w:r>
      <w:r w:rsidRPr="003854A5" w:rsidR="0092122C">
        <w:rPr>
          <w:b w:val="0"/>
          <w:u w:val="none"/>
        </w:rPr>
        <w:t>e</w:t>
      </w:r>
      <w:r w:rsidR="0092122C">
        <w:rPr>
          <w:b w:val="0"/>
          <w:u w:val="none"/>
        </w:rPr>
        <w:t>specially</w:t>
      </w:r>
      <w:r w:rsidRPr="003854A5" w:rsidR="0092122C">
        <w:rPr>
          <w:b w:val="0"/>
          <w:u w:val="none"/>
        </w:rPr>
        <w:t xml:space="preserve"> </w:t>
      </w:r>
      <w:r w:rsidRPr="003854A5">
        <w:rPr>
          <w:b w:val="0"/>
          <w:u w:val="none"/>
        </w:rPr>
        <w:t xml:space="preserve">for vessels that sometimes fish in waters under both jurisdictions. </w:t>
      </w:r>
    </w:p>
    <w:p w:rsidR="002B7981" w:rsidP="003854A5" w:rsidRDefault="002B7981">
      <w:pPr>
        <w:pStyle w:val="Heading1"/>
        <w:spacing w:before="4"/>
        <w:ind w:left="0"/>
        <w:rPr>
          <w:b w:val="0"/>
          <w:u w:val="none"/>
        </w:rPr>
      </w:pPr>
    </w:p>
    <w:p w:rsidR="00BB2CFE" w:rsidP="00BB2CFE" w:rsidRDefault="002B7981">
      <w:pPr>
        <w:pStyle w:val="BodyText"/>
        <w:spacing w:line="247" w:lineRule="auto"/>
        <w:ind w:right="103"/>
      </w:pPr>
      <w:r>
        <w:t>The regulations implementing the HMS FMP essentially require that operators of any commercial fishing vessels and recreational charter vessels engaged in fishing for HMS maintain and submit logbooks to NMFS or state authorities recording catch and effort for that fishing.</w:t>
      </w:r>
      <w:r w:rsidR="00500AD0">
        <w:t xml:space="preserve"> These </w:t>
      </w:r>
      <w:r>
        <w:t>requirements are met for most vessels by reporting in accordance with existing laws and regulations. In several fisheries, vessel operators are already required under state law to maintain and submit logbooks to state agencies.</w:t>
      </w:r>
      <w:r w:rsidR="00717BCD">
        <w:t xml:space="preserve"> Federal logbooks have been developed and distributed for troll and bait boat (OMB Control No. 0648-0223), longline (OMB Control No. 0648-</w:t>
      </w:r>
      <w:r w:rsidR="00500AD0">
        <w:t>0214</w:t>
      </w:r>
      <w:r w:rsidR="00717BCD">
        <w:t xml:space="preserve">), and purse seine (OMB Control No. 0648-0148) </w:t>
      </w:r>
      <w:r w:rsidR="00500AD0">
        <w:t xml:space="preserve">gear </w:t>
      </w:r>
      <w:r w:rsidR="00717BCD">
        <w:t>endorsed</w:t>
      </w:r>
      <w:r w:rsidR="00500AD0">
        <w:t xml:space="preserve"> HMS</w:t>
      </w:r>
      <w:r w:rsidR="00717BCD">
        <w:t xml:space="preserve"> permit holders.</w:t>
      </w:r>
      <w:r>
        <w:t xml:space="preserve"> The regulations </w:t>
      </w:r>
      <w:r w:rsidR="00717BCD">
        <w:t xml:space="preserve">also </w:t>
      </w:r>
      <w:r>
        <w:t xml:space="preserve">require that state reporting requirements be met in the manner and on the forms required by the states. Currently, the State logbook requirements for drift gillnet, </w:t>
      </w:r>
      <w:r w:rsidRPr="00BE679A">
        <w:rPr>
          <w:noProof/>
        </w:rPr>
        <w:t>harpoon</w:t>
      </w:r>
      <w:r w:rsidR="00BE679A">
        <w:rPr>
          <w:noProof/>
        </w:rPr>
        <w:t>,</w:t>
      </w:r>
      <w:r>
        <w:t xml:space="preserve"> and recreational charter vessels are used to satisfy Federal information needs under the HMS FMP. </w:t>
      </w:r>
    </w:p>
    <w:p w:rsidR="00BB2CFE" w:rsidP="00BB2CFE" w:rsidRDefault="00BB2CFE">
      <w:pPr>
        <w:pStyle w:val="BodyText"/>
        <w:spacing w:line="247" w:lineRule="auto"/>
        <w:ind w:right="103"/>
      </w:pPr>
    </w:p>
    <w:p w:rsidRPr="00340836" w:rsidR="004F26E9" w:rsidP="00340836" w:rsidRDefault="004F26E9">
      <w:pPr>
        <w:pStyle w:val="Heading1"/>
        <w:tabs>
          <w:tab w:val="left" w:pos="360"/>
        </w:tabs>
        <w:spacing w:before="197"/>
        <w:ind w:left="0"/>
        <w:rPr>
          <w:u w:val="none"/>
        </w:rPr>
      </w:pPr>
      <w:r w:rsidRPr="00340836">
        <w:rPr>
          <w:bCs w:val="0"/>
          <w:u w:val="none"/>
        </w:rPr>
        <w:t xml:space="preserve">2.  </w:t>
      </w:r>
      <w:r w:rsidRPr="00340836">
        <w:rPr>
          <w:u w:val="none"/>
          <w:lang w:val="en-CA"/>
        </w:rPr>
        <w:fldChar w:fldCharType="begin"/>
      </w:r>
      <w:r w:rsidRPr="00340836">
        <w:rPr>
          <w:u w:val="none"/>
          <w:lang w:val="en-CA"/>
        </w:rPr>
        <w:instrText xml:space="preserve"> SEQ CHAPTER \h \r 1</w:instrText>
      </w:r>
      <w:r w:rsidRPr="00340836">
        <w:rPr>
          <w:u w:val="none"/>
          <w:lang w:val="en-CA"/>
        </w:rPr>
        <w:fldChar w:fldCharType="end"/>
      </w:r>
      <w:r w:rsidRPr="00340836" w:rsidR="00340836">
        <w:rPr>
          <w:bCs w:val="0"/>
          <w:u w:val="none"/>
        </w:rPr>
        <w:t xml:space="preserve"> Indicate how, by whom, and for what purpose the information is to be used. Except for a</w:t>
      </w:r>
      <w:r w:rsidRPr="00340836" w:rsidR="00340836">
        <w:rPr>
          <w:u w:val="none"/>
        </w:rPr>
        <w:t xml:space="preserve"> </w:t>
      </w:r>
      <w:r w:rsidRPr="00340836" w:rsidR="00340836">
        <w:rPr>
          <w:bCs w:val="0"/>
          <w:u w:val="none"/>
        </w:rPr>
        <w:t>new collection, indicate the actual use the agency has made of the information received from the</w:t>
      </w:r>
      <w:r w:rsidRPr="00340836" w:rsidR="00340836">
        <w:rPr>
          <w:u w:val="none"/>
        </w:rPr>
        <w:t xml:space="preserve"> current</w:t>
      </w:r>
      <w:r w:rsidRPr="00340836" w:rsidR="00340836">
        <w:rPr>
          <w:spacing w:val="-1"/>
          <w:u w:val="none"/>
        </w:rPr>
        <w:t xml:space="preserve"> </w:t>
      </w:r>
      <w:r w:rsidRPr="00340836" w:rsidR="00340836">
        <w:rPr>
          <w:u w:val="none"/>
        </w:rPr>
        <w:t>collection.</w:t>
      </w:r>
    </w:p>
    <w:p w:rsidRPr="00EC0D6E" w:rsidR="00B941BF" w:rsidP="00B941BF" w:rsidRDefault="00B941BF">
      <w:pPr>
        <w:rPr>
          <w:sz w:val="24"/>
          <w:szCs w:val="24"/>
        </w:rPr>
      </w:pPr>
    </w:p>
    <w:p w:rsidR="00EF5FB5" w:rsidP="00BB2CFE" w:rsidRDefault="00B941BF">
      <w:pPr>
        <w:rPr>
          <w:sz w:val="24"/>
          <w:szCs w:val="24"/>
        </w:rPr>
      </w:pPr>
      <w:r w:rsidRPr="009237DD">
        <w:rPr>
          <w:sz w:val="24"/>
          <w:szCs w:val="24"/>
        </w:rPr>
        <w:t>VMS vessel location reports</w:t>
      </w:r>
      <w:r w:rsidRPr="00EC0D6E">
        <w:rPr>
          <w:sz w:val="24"/>
          <w:szCs w:val="24"/>
        </w:rPr>
        <w:t xml:space="preserve"> </w:t>
      </w:r>
      <w:r w:rsidR="00C84247">
        <w:rPr>
          <w:sz w:val="24"/>
          <w:szCs w:val="24"/>
        </w:rPr>
        <w:t>will be used</w:t>
      </w:r>
      <w:r w:rsidR="00292C33">
        <w:rPr>
          <w:sz w:val="24"/>
          <w:szCs w:val="24"/>
        </w:rPr>
        <w:t xml:space="preserve"> </w:t>
      </w:r>
      <w:r w:rsidRPr="00EC0D6E">
        <w:rPr>
          <w:sz w:val="24"/>
          <w:szCs w:val="24"/>
        </w:rPr>
        <w:t xml:space="preserve">to facilitate enforcement regarding </w:t>
      </w:r>
      <w:r w:rsidR="004A726A">
        <w:rPr>
          <w:sz w:val="24"/>
          <w:szCs w:val="24"/>
        </w:rPr>
        <w:t xml:space="preserve">commercial fishing vessel compliance with </w:t>
      </w:r>
      <w:r w:rsidRPr="00EC0D6E">
        <w:rPr>
          <w:sz w:val="24"/>
          <w:szCs w:val="24"/>
        </w:rPr>
        <w:t xml:space="preserve">prohibited or restricted fishing areas in the </w:t>
      </w:r>
      <w:r w:rsidR="004A726A">
        <w:rPr>
          <w:sz w:val="24"/>
          <w:szCs w:val="24"/>
        </w:rPr>
        <w:t>EPO</w:t>
      </w:r>
      <w:r w:rsidRPr="00EC0D6E">
        <w:rPr>
          <w:sz w:val="24"/>
          <w:szCs w:val="24"/>
        </w:rPr>
        <w:t>. The reports provide</w:t>
      </w:r>
      <w:r w:rsidR="00FD0B74">
        <w:rPr>
          <w:sz w:val="24"/>
          <w:szCs w:val="24"/>
        </w:rPr>
        <w:t xml:space="preserve"> N</w:t>
      </w:r>
      <w:r w:rsidR="00D11FF4">
        <w:rPr>
          <w:sz w:val="24"/>
          <w:szCs w:val="24"/>
        </w:rPr>
        <w:t>MFS</w:t>
      </w:r>
      <w:r w:rsidR="00FD0B74">
        <w:rPr>
          <w:sz w:val="24"/>
          <w:szCs w:val="24"/>
        </w:rPr>
        <w:t xml:space="preserve"> Office of Law Enforcement (OLE)</w:t>
      </w:r>
      <w:r w:rsidRPr="00EC0D6E">
        <w:rPr>
          <w:sz w:val="24"/>
          <w:szCs w:val="24"/>
        </w:rPr>
        <w:t xml:space="preserve"> and </w:t>
      </w:r>
      <w:r w:rsidR="000E7DCC">
        <w:rPr>
          <w:sz w:val="24"/>
          <w:szCs w:val="24"/>
        </w:rPr>
        <w:t xml:space="preserve">the </w:t>
      </w:r>
      <w:r w:rsidRPr="00EC0D6E">
        <w:rPr>
          <w:sz w:val="24"/>
          <w:szCs w:val="24"/>
        </w:rPr>
        <w:t xml:space="preserve">USCG real-time vessel location and activity information. The VMS reports also can be used to check the accuracy of vessel position information reported by the </w:t>
      </w:r>
      <w:r w:rsidRPr="0056466D">
        <w:rPr>
          <w:sz w:val="24"/>
          <w:szCs w:val="24"/>
        </w:rPr>
        <w:t xml:space="preserve">vessel operator in the daily fishing </w:t>
      </w:r>
      <w:r w:rsidRPr="003134C0">
        <w:rPr>
          <w:noProof/>
          <w:sz w:val="24"/>
          <w:szCs w:val="24"/>
        </w:rPr>
        <w:t>logbooks</w:t>
      </w:r>
      <w:r w:rsidRPr="0056466D">
        <w:rPr>
          <w:sz w:val="24"/>
          <w:szCs w:val="24"/>
        </w:rPr>
        <w:t xml:space="preserve"> required by the regula</w:t>
      </w:r>
      <w:r w:rsidRPr="0056466D" w:rsidR="00924C0D">
        <w:rPr>
          <w:sz w:val="24"/>
          <w:szCs w:val="24"/>
        </w:rPr>
        <w:t>tions</w:t>
      </w:r>
      <w:r w:rsidRPr="0056466D">
        <w:rPr>
          <w:sz w:val="24"/>
          <w:szCs w:val="24"/>
        </w:rPr>
        <w:t>. The information provides a basis for determining whether changes in management are needed to protect sensitive species.</w:t>
      </w:r>
      <w:r w:rsidDel="008E61FB" w:rsidR="008E61FB">
        <w:rPr>
          <w:sz w:val="24"/>
          <w:szCs w:val="24"/>
        </w:rPr>
        <w:t xml:space="preserve"> </w:t>
      </w:r>
    </w:p>
    <w:p w:rsidR="00EF5FB5" w:rsidP="00F17FAC" w:rsidRDefault="00EF5FB5">
      <w:pPr>
        <w:ind w:left="-90"/>
        <w:rPr>
          <w:sz w:val="24"/>
          <w:szCs w:val="24"/>
          <w:u w:val="single"/>
        </w:rPr>
      </w:pPr>
    </w:p>
    <w:p w:rsidR="00C15408" w:rsidP="00BB2CFE" w:rsidRDefault="00FD68E9">
      <w:pPr>
        <w:rPr>
          <w:sz w:val="24"/>
          <w:szCs w:val="24"/>
        </w:rPr>
      </w:pPr>
      <w:r w:rsidRPr="009237DD">
        <w:rPr>
          <w:sz w:val="24"/>
          <w:szCs w:val="24"/>
        </w:rPr>
        <w:t xml:space="preserve">Installation/activation </w:t>
      </w:r>
      <w:r w:rsidRPr="009237DD" w:rsidR="00C15408">
        <w:rPr>
          <w:sz w:val="24"/>
          <w:szCs w:val="24"/>
        </w:rPr>
        <w:t>reports</w:t>
      </w:r>
      <w:r w:rsidR="00C15408">
        <w:rPr>
          <w:sz w:val="24"/>
          <w:szCs w:val="24"/>
        </w:rPr>
        <w:t xml:space="preserve"> will be used to provide OLE with information about hardware installed and communication service </w:t>
      </w:r>
      <w:r w:rsidR="00A874FC">
        <w:rPr>
          <w:sz w:val="24"/>
          <w:szCs w:val="24"/>
        </w:rPr>
        <w:t>provider that</w:t>
      </w:r>
      <w:r w:rsidR="00C15408">
        <w:rPr>
          <w:sz w:val="24"/>
          <w:szCs w:val="24"/>
        </w:rPr>
        <w:t xml:space="preserve"> will be used by the vessel operator.</w:t>
      </w:r>
      <w:r w:rsidR="007F4CB3">
        <w:rPr>
          <w:sz w:val="24"/>
          <w:szCs w:val="24"/>
        </w:rPr>
        <w:t xml:space="preserve"> Specific </w:t>
      </w:r>
      <w:r w:rsidR="00F41764">
        <w:rPr>
          <w:sz w:val="24"/>
          <w:szCs w:val="24"/>
        </w:rPr>
        <w:t xml:space="preserve">information that links a permitted vessel with a certain transmitting unit and communication service </w:t>
      </w:r>
      <w:r w:rsidR="003611EA">
        <w:rPr>
          <w:sz w:val="24"/>
          <w:szCs w:val="24"/>
        </w:rPr>
        <w:t xml:space="preserve">is necessary to ensure that automatic position reports will be received properly by NMFS and to </w:t>
      </w:r>
      <w:r w:rsidR="00E65ED7">
        <w:rPr>
          <w:sz w:val="24"/>
          <w:szCs w:val="24"/>
        </w:rPr>
        <w:t>identify the unique signature for each VMS unit.</w:t>
      </w:r>
      <w:r w:rsidR="00FA0582">
        <w:rPr>
          <w:sz w:val="24"/>
          <w:szCs w:val="24"/>
        </w:rPr>
        <w:t xml:space="preserve"> In the event that there are any problems, NMFS will need to have ready access to a database that links owner information with installation information. NMFS can then apply troubleshooting techniques and</w:t>
      </w:r>
      <w:r w:rsidR="004A726A">
        <w:rPr>
          <w:sz w:val="24"/>
          <w:szCs w:val="24"/>
        </w:rPr>
        <w:t>,</w:t>
      </w:r>
      <w:r w:rsidR="00FA0582">
        <w:rPr>
          <w:sz w:val="24"/>
          <w:szCs w:val="24"/>
        </w:rPr>
        <w:t xml:space="preserve"> as necessary</w:t>
      </w:r>
      <w:r w:rsidR="004A726A">
        <w:rPr>
          <w:sz w:val="24"/>
          <w:szCs w:val="24"/>
        </w:rPr>
        <w:t>,</w:t>
      </w:r>
      <w:r w:rsidR="00FA0582">
        <w:rPr>
          <w:sz w:val="24"/>
          <w:szCs w:val="24"/>
        </w:rPr>
        <w:t xml:space="preserve"> contact the vessel operator and discern whether the problem is associated with the transmitting hardware or the service provider. This is not expected to occur more than once per year.</w:t>
      </w:r>
    </w:p>
    <w:p w:rsidR="00CD1C06" w:rsidP="00BB2CFE" w:rsidRDefault="00CD1C06">
      <w:pPr>
        <w:rPr>
          <w:sz w:val="24"/>
          <w:szCs w:val="24"/>
          <w:u w:val="single"/>
        </w:rPr>
      </w:pPr>
    </w:p>
    <w:p w:rsidR="00237754" w:rsidP="00BB2CFE" w:rsidRDefault="00AB5DCF">
      <w:pPr>
        <w:rPr>
          <w:sz w:val="24"/>
          <w:szCs w:val="24"/>
        </w:rPr>
      </w:pPr>
      <w:r w:rsidRPr="009237DD">
        <w:rPr>
          <w:sz w:val="24"/>
          <w:szCs w:val="24"/>
        </w:rPr>
        <w:lastRenderedPageBreak/>
        <w:t>P</w:t>
      </w:r>
      <w:r w:rsidRPr="009237DD" w:rsidR="00237754">
        <w:rPr>
          <w:sz w:val="24"/>
          <w:szCs w:val="24"/>
        </w:rPr>
        <w:t>osition reports</w:t>
      </w:r>
      <w:r w:rsidR="00237754">
        <w:rPr>
          <w:sz w:val="24"/>
          <w:szCs w:val="24"/>
        </w:rPr>
        <w:t xml:space="preserve"> </w:t>
      </w:r>
      <w:r w:rsidR="001C7A5D">
        <w:rPr>
          <w:sz w:val="24"/>
          <w:szCs w:val="24"/>
        </w:rPr>
        <w:t xml:space="preserve">are transmitted 24 hours per day </w:t>
      </w:r>
      <w:r w:rsidR="005B45FD">
        <w:rPr>
          <w:sz w:val="24"/>
          <w:szCs w:val="24"/>
        </w:rPr>
        <w:t xml:space="preserve">and provide </w:t>
      </w:r>
      <w:r w:rsidR="00FB2344">
        <w:rPr>
          <w:sz w:val="24"/>
          <w:szCs w:val="24"/>
        </w:rPr>
        <w:t xml:space="preserve">OLE </w:t>
      </w:r>
      <w:r w:rsidR="005B45FD">
        <w:rPr>
          <w:sz w:val="24"/>
          <w:szCs w:val="24"/>
        </w:rPr>
        <w:t xml:space="preserve">and USCG with real-time vessel </w:t>
      </w:r>
      <w:r w:rsidR="007850DF">
        <w:rPr>
          <w:sz w:val="24"/>
          <w:szCs w:val="24"/>
        </w:rPr>
        <w:t>location and activity information. When an operator is aware that</w:t>
      </w:r>
      <w:r w:rsidR="001C3872">
        <w:rPr>
          <w:sz w:val="24"/>
          <w:szCs w:val="24"/>
        </w:rPr>
        <w:t xml:space="preserve"> the</w:t>
      </w:r>
      <w:r w:rsidR="007850DF">
        <w:rPr>
          <w:sz w:val="24"/>
          <w:szCs w:val="24"/>
        </w:rPr>
        <w:t xml:space="preserve"> transmission of au</w:t>
      </w:r>
      <w:r w:rsidR="001C3872">
        <w:rPr>
          <w:sz w:val="24"/>
          <w:szCs w:val="24"/>
        </w:rPr>
        <w:t>tomatic position reports has</w:t>
      </w:r>
      <w:r w:rsidR="007850DF">
        <w:rPr>
          <w:sz w:val="24"/>
          <w:szCs w:val="24"/>
        </w:rPr>
        <w:t xml:space="preserve"> been interrupted, or when notified by </w:t>
      </w:r>
      <w:r w:rsidR="00F96ECA">
        <w:rPr>
          <w:sz w:val="24"/>
          <w:szCs w:val="24"/>
        </w:rPr>
        <w:t xml:space="preserve">OLE </w:t>
      </w:r>
      <w:r w:rsidR="00E36795">
        <w:rPr>
          <w:sz w:val="24"/>
          <w:szCs w:val="24"/>
        </w:rPr>
        <w:t xml:space="preserve">that automatic position reports are not being received, they must contact </w:t>
      </w:r>
      <w:r w:rsidR="00182B3D">
        <w:rPr>
          <w:sz w:val="24"/>
          <w:szCs w:val="24"/>
        </w:rPr>
        <w:t xml:space="preserve">OLE </w:t>
      </w:r>
      <w:r w:rsidR="00E36795">
        <w:rPr>
          <w:sz w:val="24"/>
          <w:szCs w:val="24"/>
        </w:rPr>
        <w:t xml:space="preserve">and follow instructions provided. </w:t>
      </w:r>
    </w:p>
    <w:p w:rsidR="00F148D8" w:rsidP="00BB2CFE" w:rsidRDefault="00F148D8">
      <w:pPr>
        <w:rPr>
          <w:sz w:val="24"/>
          <w:szCs w:val="24"/>
        </w:rPr>
      </w:pPr>
    </w:p>
    <w:p w:rsidR="00A6079D" w:rsidP="00BB2CFE" w:rsidRDefault="006E1FA8">
      <w:pPr>
        <w:widowControl/>
        <w:rPr>
          <w:sz w:val="24"/>
          <w:szCs w:val="24"/>
        </w:rPr>
      </w:pPr>
      <w:r w:rsidRPr="009237DD">
        <w:rPr>
          <w:sz w:val="24"/>
          <w:szCs w:val="24"/>
        </w:rPr>
        <w:t>“On/off reports”</w:t>
      </w:r>
      <w:r w:rsidR="00A96BDD">
        <w:rPr>
          <w:sz w:val="24"/>
          <w:szCs w:val="24"/>
        </w:rPr>
        <w:t>,</w:t>
      </w:r>
      <w:r w:rsidRPr="009237DD" w:rsidR="001926BF">
        <w:rPr>
          <w:sz w:val="24"/>
          <w:szCs w:val="24"/>
        </w:rPr>
        <w:t xml:space="preserve"> also known as exemption reports</w:t>
      </w:r>
      <w:r w:rsidR="00A96BDD">
        <w:rPr>
          <w:sz w:val="24"/>
          <w:szCs w:val="24"/>
        </w:rPr>
        <w:t>,</w:t>
      </w:r>
      <w:r>
        <w:rPr>
          <w:sz w:val="24"/>
          <w:szCs w:val="24"/>
        </w:rPr>
        <w:t xml:space="preserve"> </w:t>
      </w:r>
      <w:r w:rsidR="004A726A">
        <w:rPr>
          <w:sz w:val="24"/>
          <w:szCs w:val="24"/>
        </w:rPr>
        <w:t>permit the vessel owner</w:t>
      </w:r>
      <w:r w:rsidR="002D1F1D">
        <w:rPr>
          <w:sz w:val="24"/>
          <w:szCs w:val="24"/>
        </w:rPr>
        <w:t>/</w:t>
      </w:r>
      <w:r w:rsidR="004A726A">
        <w:rPr>
          <w:sz w:val="24"/>
          <w:szCs w:val="24"/>
        </w:rPr>
        <w:t>operator to power off</w:t>
      </w:r>
      <w:r>
        <w:rPr>
          <w:sz w:val="24"/>
          <w:szCs w:val="24"/>
        </w:rPr>
        <w:t xml:space="preserve"> the</w:t>
      </w:r>
      <w:r w:rsidR="00A77247">
        <w:rPr>
          <w:sz w:val="24"/>
          <w:szCs w:val="24"/>
        </w:rPr>
        <w:t xml:space="preserve"> </w:t>
      </w:r>
      <w:r>
        <w:rPr>
          <w:sz w:val="24"/>
          <w:szCs w:val="24"/>
        </w:rPr>
        <w:t>VMS unit while the vessel is at port,</w:t>
      </w:r>
      <w:r w:rsidR="00665D0A">
        <w:rPr>
          <w:sz w:val="24"/>
          <w:szCs w:val="24"/>
        </w:rPr>
        <w:t xml:space="preserve"> or after the end of the fishing season,</w:t>
      </w:r>
      <w:r>
        <w:rPr>
          <w:sz w:val="24"/>
          <w:szCs w:val="24"/>
        </w:rPr>
        <w:t xml:space="preserve"> provided that the vessel owner</w:t>
      </w:r>
      <w:r w:rsidR="002D1F1D">
        <w:rPr>
          <w:sz w:val="24"/>
          <w:szCs w:val="24"/>
        </w:rPr>
        <w:t>/</w:t>
      </w:r>
      <w:r>
        <w:rPr>
          <w:sz w:val="24"/>
          <w:szCs w:val="24"/>
        </w:rPr>
        <w:t>operator notifies</w:t>
      </w:r>
      <w:r w:rsidR="00D11FF4">
        <w:rPr>
          <w:sz w:val="24"/>
          <w:szCs w:val="24"/>
        </w:rPr>
        <w:t xml:space="preserve"> OLE</w:t>
      </w:r>
      <w:r>
        <w:rPr>
          <w:sz w:val="24"/>
          <w:szCs w:val="24"/>
        </w:rPr>
        <w:t xml:space="preserve"> </w:t>
      </w:r>
      <w:r w:rsidR="004A726A">
        <w:rPr>
          <w:sz w:val="24"/>
          <w:szCs w:val="24"/>
        </w:rPr>
        <w:t xml:space="preserve">and receives OLE confirmation </w:t>
      </w:r>
      <w:r>
        <w:rPr>
          <w:sz w:val="24"/>
          <w:szCs w:val="24"/>
        </w:rPr>
        <w:t>in advance of each such shutdown and each time the VMS unit is</w:t>
      </w:r>
      <w:r w:rsidR="00B05037">
        <w:rPr>
          <w:sz w:val="24"/>
          <w:szCs w:val="24"/>
        </w:rPr>
        <w:t xml:space="preserve"> </w:t>
      </w:r>
      <w:r>
        <w:rPr>
          <w:sz w:val="24"/>
          <w:szCs w:val="24"/>
        </w:rPr>
        <w:t>subsequently turned back on.</w:t>
      </w:r>
      <w:r w:rsidR="004A726A">
        <w:rPr>
          <w:sz w:val="24"/>
          <w:szCs w:val="24"/>
        </w:rPr>
        <w:t xml:space="preserve"> </w:t>
      </w:r>
      <w:r w:rsidR="00760166">
        <w:rPr>
          <w:sz w:val="24"/>
          <w:szCs w:val="24"/>
        </w:rPr>
        <w:t xml:space="preserve">These reports allow flexibility to </w:t>
      </w:r>
      <w:r w:rsidR="004A726A">
        <w:rPr>
          <w:sz w:val="24"/>
          <w:szCs w:val="24"/>
        </w:rPr>
        <w:t>fishery</w:t>
      </w:r>
      <w:r w:rsidR="00760166">
        <w:rPr>
          <w:sz w:val="24"/>
          <w:szCs w:val="24"/>
        </w:rPr>
        <w:t xml:space="preserve"> participants while providing OLE with the information needed to determine why a position report is not being received from the vessel.</w:t>
      </w:r>
    </w:p>
    <w:p w:rsidR="004C4A96" w:rsidP="00BB2CFE" w:rsidRDefault="004C4A96">
      <w:pPr>
        <w:rPr>
          <w:sz w:val="24"/>
          <w:szCs w:val="24"/>
        </w:rPr>
      </w:pPr>
    </w:p>
    <w:p w:rsidR="00CD1C06" w:rsidP="00BB2CFE" w:rsidRDefault="00CD1C06">
      <w:pPr>
        <w:rPr>
          <w:sz w:val="24"/>
          <w:szCs w:val="24"/>
        </w:rPr>
      </w:pPr>
      <w:r w:rsidRPr="009237DD">
        <w:rPr>
          <w:sz w:val="24"/>
          <w:szCs w:val="24"/>
        </w:rPr>
        <w:t>Declaration Reports</w:t>
      </w:r>
      <w:r>
        <w:rPr>
          <w:sz w:val="24"/>
          <w:szCs w:val="24"/>
        </w:rPr>
        <w:t xml:space="preserve"> </w:t>
      </w:r>
      <w:r w:rsidR="007B35B7">
        <w:rPr>
          <w:sz w:val="24"/>
          <w:szCs w:val="24"/>
        </w:rPr>
        <w:t>are provided by vessel owners</w:t>
      </w:r>
      <w:r w:rsidR="002D1F1D">
        <w:rPr>
          <w:sz w:val="24"/>
          <w:szCs w:val="24"/>
        </w:rPr>
        <w:t>/</w:t>
      </w:r>
      <w:r w:rsidR="007B35B7">
        <w:rPr>
          <w:sz w:val="24"/>
          <w:szCs w:val="24"/>
        </w:rPr>
        <w:t>operators to</w:t>
      </w:r>
      <w:r w:rsidR="00EF5FB5">
        <w:rPr>
          <w:sz w:val="24"/>
          <w:szCs w:val="24"/>
        </w:rPr>
        <w:t xml:space="preserve"> </w:t>
      </w:r>
      <w:r w:rsidR="007B35B7">
        <w:rPr>
          <w:sz w:val="24"/>
          <w:szCs w:val="24"/>
        </w:rPr>
        <w:t xml:space="preserve">OLE before the vessel leaves port to fish in state or federal waters. These are used to determine which vessels may be </w:t>
      </w:r>
      <w:r w:rsidRPr="003134C0" w:rsidR="007B35B7">
        <w:rPr>
          <w:noProof/>
          <w:sz w:val="24"/>
          <w:szCs w:val="24"/>
        </w:rPr>
        <w:t>at-sea</w:t>
      </w:r>
      <w:r w:rsidR="007B35B7">
        <w:rPr>
          <w:sz w:val="24"/>
          <w:szCs w:val="24"/>
        </w:rPr>
        <w:t xml:space="preserve"> at any given time and when to expect VMS position reports.</w:t>
      </w:r>
    </w:p>
    <w:p w:rsidR="00CD1C06" w:rsidP="00F17FAC" w:rsidRDefault="00CD1C06">
      <w:pPr>
        <w:ind w:left="-90"/>
        <w:rPr>
          <w:sz w:val="24"/>
          <w:szCs w:val="24"/>
        </w:rPr>
      </w:pPr>
    </w:p>
    <w:p w:rsidRPr="00FB06EE" w:rsidR="00FB06EE" w:rsidP="00BB2CFE" w:rsidRDefault="00FB06EE">
      <w:pPr>
        <w:rPr>
          <w:sz w:val="24"/>
          <w:szCs w:val="24"/>
        </w:rPr>
      </w:pPr>
      <w:r w:rsidRPr="00FB06EE">
        <w:rPr>
          <w:sz w:val="24"/>
          <w:szCs w:val="24"/>
        </w:rPr>
        <w:t xml:space="preserve">NOAA Fisheries will retain control over the information </w:t>
      </w:r>
      <w:r w:rsidR="00C00F26">
        <w:rPr>
          <w:sz w:val="24"/>
          <w:szCs w:val="24"/>
        </w:rPr>
        <w:t xml:space="preserve">collected </w:t>
      </w:r>
      <w:r w:rsidRPr="00FB06EE">
        <w:rPr>
          <w:sz w:val="24"/>
          <w:szCs w:val="24"/>
        </w:rPr>
        <w:t xml:space="preserve">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w:t>
      </w:r>
      <w:r w:rsidR="00C00F26">
        <w:rPr>
          <w:sz w:val="24"/>
          <w:szCs w:val="24"/>
        </w:rPr>
        <w:t>policy</w:t>
      </w:r>
      <w:r w:rsidRPr="00FB06EE">
        <w:rPr>
          <w:sz w:val="24"/>
          <w:szCs w:val="24"/>
        </w:rPr>
        <w:t>, technical</w:t>
      </w:r>
      <w:r w:rsidR="00C00F26">
        <w:rPr>
          <w:sz w:val="24"/>
          <w:szCs w:val="24"/>
        </w:rPr>
        <w:t>,</w:t>
      </w:r>
      <w:r w:rsidRPr="00FB06EE">
        <w:rPr>
          <w:sz w:val="24"/>
          <w:szCs w:val="24"/>
        </w:rPr>
        <w:t xml:space="preserve"> or general informational publications. Should NOAA Fisheries Service decide to disseminate the information, it will be subject to the quality control measures and pre-dissemination review pursuant to </w:t>
      </w:r>
      <w:hyperlink w:history="1" r:id="rId10">
        <w:r w:rsidRPr="00FB06EE">
          <w:rPr>
            <w:rStyle w:val="Hyperlink"/>
            <w:sz w:val="24"/>
            <w:szCs w:val="24"/>
          </w:rPr>
          <w:t>Section 515 of Public Law 106-554</w:t>
        </w:r>
      </w:hyperlink>
      <w:r w:rsidRPr="00FB06EE">
        <w:rPr>
          <w:sz w:val="24"/>
          <w:szCs w:val="24"/>
        </w:rPr>
        <w:t>.</w:t>
      </w:r>
    </w:p>
    <w:p w:rsidRPr="00EC0D6E" w:rsidR="00292C33" w:rsidP="00BB2CFE" w:rsidRDefault="00292C33">
      <w:pPr>
        <w:rPr>
          <w:sz w:val="24"/>
          <w:szCs w:val="24"/>
        </w:rPr>
      </w:pPr>
    </w:p>
    <w:p w:rsidRPr="00BD7237" w:rsidR="00340836" w:rsidP="00340836" w:rsidRDefault="004F26E9">
      <w:pPr>
        <w:pStyle w:val="ListParagraph"/>
        <w:tabs>
          <w:tab w:val="left" w:pos="360"/>
        </w:tabs>
        <w:spacing w:before="199"/>
        <w:ind w:left="0" w:firstLine="0"/>
        <w:rPr>
          <w:rFonts w:ascii="Times New Roman" w:hAnsi="Times New Roman" w:cs="Times New Roman"/>
          <w:b/>
          <w:sz w:val="24"/>
          <w:szCs w:val="24"/>
        </w:rPr>
      </w:pPr>
      <w:r w:rsidRPr="00EC0D6E">
        <w:rPr>
          <w:b/>
          <w:bCs/>
          <w:sz w:val="24"/>
          <w:szCs w:val="24"/>
        </w:rPr>
        <w:t xml:space="preserve">3.  </w:t>
      </w:r>
      <w:r w:rsidRPr="00340836" w:rsidR="00340836">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340836" w:rsidR="00340836">
        <w:rPr>
          <w:rFonts w:ascii="Times New Roman" w:hAnsi="Times New Roman" w:cs="Times New Roman"/>
          <w:b/>
          <w:spacing w:val="-6"/>
          <w:sz w:val="24"/>
          <w:szCs w:val="24"/>
        </w:rPr>
        <w:t xml:space="preserve"> </w:t>
      </w:r>
      <w:r w:rsidRPr="00340836" w:rsidR="00340836">
        <w:rPr>
          <w:rFonts w:ascii="Times New Roman" w:hAnsi="Times New Roman" w:cs="Times New Roman"/>
          <w:b/>
          <w:sz w:val="24"/>
          <w:szCs w:val="24"/>
        </w:rPr>
        <w:t>burden.</w:t>
      </w:r>
    </w:p>
    <w:p w:rsidR="00375BF6" w:rsidP="00BB2CFE" w:rsidRDefault="00375BF6">
      <w:pPr>
        <w:rPr>
          <w:b/>
          <w:bCs/>
          <w:sz w:val="24"/>
          <w:szCs w:val="24"/>
        </w:rPr>
      </w:pPr>
    </w:p>
    <w:p w:rsidRPr="00DC4CF3" w:rsidR="00DC4CF3" w:rsidP="00BB2CFE" w:rsidRDefault="008F4DA3">
      <w:pPr>
        <w:rPr>
          <w:sz w:val="24"/>
          <w:szCs w:val="24"/>
        </w:rPr>
      </w:pPr>
      <w:r w:rsidRPr="009237DD">
        <w:rPr>
          <w:sz w:val="24"/>
          <w:szCs w:val="24"/>
        </w:rPr>
        <w:t>VMS vessel location reports</w:t>
      </w:r>
      <w:r>
        <w:rPr>
          <w:sz w:val="24"/>
          <w:szCs w:val="24"/>
          <w:lang w:val="en-CA"/>
        </w:rPr>
        <w:t xml:space="preserve">: </w:t>
      </w:r>
      <w:r w:rsidRPr="00EC0D6E" w:rsidR="00DC4CF3">
        <w:rPr>
          <w:sz w:val="24"/>
          <w:szCs w:val="24"/>
          <w:lang w:val="en-CA"/>
        </w:rPr>
        <w:fldChar w:fldCharType="begin"/>
      </w:r>
      <w:r w:rsidRPr="00EC0D6E" w:rsidR="00DC4CF3">
        <w:rPr>
          <w:sz w:val="24"/>
          <w:szCs w:val="24"/>
          <w:lang w:val="en-CA"/>
        </w:rPr>
        <w:instrText xml:space="preserve"> SEQ CHAPTER \h \r 1</w:instrText>
      </w:r>
      <w:r w:rsidRPr="00EC0D6E" w:rsidR="00DC4CF3">
        <w:rPr>
          <w:sz w:val="24"/>
          <w:szCs w:val="24"/>
        </w:rPr>
        <w:fldChar w:fldCharType="end"/>
      </w:r>
      <w:r w:rsidRPr="00EC0D6E" w:rsidR="00DC4CF3">
        <w:rPr>
          <w:sz w:val="24"/>
          <w:szCs w:val="24"/>
        </w:rPr>
        <w:t>The VMS is an automated, satellite</w:t>
      </w:r>
      <w:r w:rsidR="00DC4CF3">
        <w:rPr>
          <w:sz w:val="24"/>
          <w:szCs w:val="24"/>
        </w:rPr>
        <w:t xml:space="preserve">-based system that assists </w:t>
      </w:r>
      <w:r w:rsidRPr="00EC0D6E" w:rsidR="00DC4CF3">
        <w:rPr>
          <w:sz w:val="24"/>
          <w:szCs w:val="24"/>
        </w:rPr>
        <w:t>OLE and the USCG in monitoring compliance with closed areas in a reliable and cost-effective manner. Electronic VMS shipboard equipment installed permanently on board a vessel provides information about the vessel’s position and activity. That information is communicated between the shipboard VMS unit and the monitoring agency’s fishery monitoring center, where the identity and location of the vessels are shown on a map display</w:t>
      </w:r>
      <w:r w:rsidR="00A91AC2">
        <w:rPr>
          <w:sz w:val="24"/>
          <w:szCs w:val="24"/>
        </w:rPr>
        <w:t xml:space="preserve"> for</w:t>
      </w:r>
      <w:r w:rsidRPr="00EC0D6E" w:rsidR="00A91AC2">
        <w:rPr>
          <w:sz w:val="24"/>
          <w:szCs w:val="24"/>
        </w:rPr>
        <w:t xml:space="preserve"> compari</w:t>
      </w:r>
      <w:r w:rsidR="00A91AC2">
        <w:rPr>
          <w:sz w:val="24"/>
          <w:szCs w:val="24"/>
        </w:rPr>
        <w:t>son of</w:t>
      </w:r>
      <w:r w:rsidRPr="00EC0D6E" w:rsidR="00A91AC2">
        <w:rPr>
          <w:sz w:val="24"/>
          <w:szCs w:val="24"/>
        </w:rPr>
        <w:t xml:space="preserve"> </w:t>
      </w:r>
      <w:r w:rsidRPr="00EC0D6E" w:rsidR="00DC4CF3">
        <w:rPr>
          <w:sz w:val="24"/>
          <w:szCs w:val="24"/>
        </w:rPr>
        <w:t>vessel positions with features of interest, such as closed area boundaries.</w:t>
      </w:r>
    </w:p>
    <w:p w:rsidRPr="00EC0D6E" w:rsidR="005D604B" w:rsidP="00BB2CFE" w:rsidRDefault="005D604B">
      <w:pPr>
        <w:rPr>
          <w:sz w:val="24"/>
          <w:szCs w:val="24"/>
        </w:rPr>
      </w:pPr>
    </w:p>
    <w:p w:rsidRPr="00322A9F" w:rsidR="00013620" w:rsidP="00BB2CFE" w:rsidRDefault="005D604B">
      <w:pPr>
        <w:widowControl/>
        <w:rPr>
          <w:color w:val="222222"/>
          <w:sz w:val="24"/>
          <w:szCs w:val="24"/>
        </w:rPr>
      </w:pPr>
      <w:r w:rsidRPr="009237DD">
        <w:rPr>
          <w:sz w:val="24"/>
          <w:szCs w:val="24"/>
        </w:rPr>
        <w:t>Installation/activation reports</w:t>
      </w:r>
      <w:r w:rsidRPr="009237DD" w:rsidR="000A3287">
        <w:rPr>
          <w:sz w:val="24"/>
          <w:szCs w:val="24"/>
        </w:rPr>
        <w:t>:</w:t>
      </w:r>
      <w:r w:rsidRPr="003B7245">
        <w:rPr>
          <w:sz w:val="24"/>
          <w:szCs w:val="24"/>
        </w:rPr>
        <w:t xml:space="preserve"> </w:t>
      </w:r>
      <w:r w:rsidR="004C43FA">
        <w:rPr>
          <w:color w:val="222222"/>
          <w:sz w:val="24"/>
          <w:szCs w:val="24"/>
        </w:rPr>
        <w:t>written activation reports may be submitted via mail, facsimile</w:t>
      </w:r>
      <w:r w:rsidR="007F3148">
        <w:rPr>
          <w:color w:val="222222"/>
          <w:sz w:val="24"/>
          <w:szCs w:val="24"/>
        </w:rPr>
        <w:t xml:space="preserve"> </w:t>
      </w:r>
      <w:r w:rsidR="004C43FA">
        <w:rPr>
          <w:color w:val="222222"/>
          <w:sz w:val="24"/>
          <w:szCs w:val="24"/>
        </w:rPr>
        <w:t>or e-mail to the Special Agent in Charge (SAC), the point o</w:t>
      </w:r>
      <w:r w:rsidR="00E62D9A">
        <w:rPr>
          <w:color w:val="222222"/>
          <w:sz w:val="24"/>
          <w:szCs w:val="24"/>
        </w:rPr>
        <w:t>f contact for the OLE</w:t>
      </w:r>
      <w:r w:rsidR="004C43FA">
        <w:rPr>
          <w:color w:val="222222"/>
          <w:sz w:val="24"/>
          <w:szCs w:val="24"/>
        </w:rPr>
        <w:t>, and must include: the vessel’s name; the vessel’s official number; the VMS</w:t>
      </w:r>
      <w:r w:rsidR="00322A9F">
        <w:rPr>
          <w:color w:val="222222"/>
          <w:sz w:val="24"/>
          <w:szCs w:val="24"/>
        </w:rPr>
        <w:t xml:space="preserve"> </w:t>
      </w:r>
      <w:r w:rsidR="004C43FA">
        <w:rPr>
          <w:color w:val="222222"/>
          <w:sz w:val="24"/>
          <w:szCs w:val="24"/>
        </w:rPr>
        <w:t>unit manufacturer and identification number; and telephone, facsimile or email contact</w:t>
      </w:r>
      <w:r w:rsidR="00322A9F">
        <w:rPr>
          <w:color w:val="222222"/>
          <w:sz w:val="24"/>
          <w:szCs w:val="24"/>
        </w:rPr>
        <w:t xml:space="preserve"> </w:t>
      </w:r>
      <w:r w:rsidR="004C43FA">
        <w:rPr>
          <w:color w:val="222222"/>
          <w:sz w:val="24"/>
          <w:szCs w:val="24"/>
        </w:rPr>
        <w:t>information for the vessel owner</w:t>
      </w:r>
      <w:r w:rsidR="002D1F1D">
        <w:rPr>
          <w:color w:val="222222"/>
          <w:sz w:val="24"/>
          <w:szCs w:val="24"/>
        </w:rPr>
        <w:t>/</w:t>
      </w:r>
      <w:r w:rsidR="004C43FA">
        <w:rPr>
          <w:color w:val="222222"/>
          <w:sz w:val="24"/>
          <w:szCs w:val="24"/>
        </w:rPr>
        <w:t>operator.</w:t>
      </w:r>
      <w:r w:rsidR="00013620">
        <w:rPr>
          <w:color w:val="222222"/>
          <w:sz w:val="24"/>
          <w:szCs w:val="24"/>
        </w:rPr>
        <w:t xml:space="preserve"> </w:t>
      </w:r>
      <w:r w:rsidR="00013620">
        <w:rPr>
          <w:sz w:val="24"/>
          <w:szCs w:val="24"/>
        </w:rPr>
        <w:t>While the vessel is in operation, position reports are transferred automatically at a specifi</w:t>
      </w:r>
      <w:r w:rsidR="008201E8">
        <w:rPr>
          <w:sz w:val="24"/>
          <w:szCs w:val="24"/>
        </w:rPr>
        <w:t xml:space="preserve">ed </w:t>
      </w:r>
      <w:r w:rsidR="00013620">
        <w:rPr>
          <w:sz w:val="24"/>
          <w:szCs w:val="24"/>
        </w:rPr>
        <w:t>frequency and received via a satell</w:t>
      </w:r>
      <w:r w:rsidR="00330BBC">
        <w:rPr>
          <w:sz w:val="24"/>
          <w:szCs w:val="24"/>
        </w:rPr>
        <w:t>ite communication system by NOAA</w:t>
      </w:r>
      <w:r w:rsidR="00013620">
        <w:rPr>
          <w:sz w:val="24"/>
          <w:szCs w:val="24"/>
        </w:rPr>
        <w:t>.</w:t>
      </w:r>
    </w:p>
    <w:p w:rsidR="00375BF6" w:rsidP="00BB2CFE" w:rsidRDefault="00375BF6">
      <w:pPr>
        <w:widowControl/>
        <w:rPr>
          <w:sz w:val="24"/>
          <w:szCs w:val="24"/>
          <w:u w:val="single"/>
        </w:rPr>
      </w:pPr>
    </w:p>
    <w:p w:rsidR="00322A9F" w:rsidP="00BB2CFE" w:rsidRDefault="00322A9F">
      <w:pPr>
        <w:widowControl/>
        <w:rPr>
          <w:sz w:val="24"/>
          <w:szCs w:val="24"/>
        </w:rPr>
      </w:pPr>
      <w:r w:rsidRPr="009237DD">
        <w:rPr>
          <w:sz w:val="24"/>
          <w:szCs w:val="24"/>
        </w:rPr>
        <w:t>Pre-trip notification reports</w:t>
      </w:r>
      <w:r w:rsidRPr="009237DD" w:rsidR="00E62D9A">
        <w:rPr>
          <w:sz w:val="24"/>
          <w:szCs w:val="24"/>
        </w:rPr>
        <w:t xml:space="preserve"> </w:t>
      </w:r>
      <w:r w:rsidRPr="00E62D9A" w:rsidR="00E62D9A">
        <w:rPr>
          <w:sz w:val="24"/>
          <w:szCs w:val="24"/>
        </w:rPr>
        <w:t>by vessels</w:t>
      </w:r>
      <w:r>
        <w:rPr>
          <w:sz w:val="24"/>
          <w:szCs w:val="24"/>
        </w:rPr>
        <w:t xml:space="preserve"> are </w:t>
      </w:r>
      <w:r w:rsidR="002D1F1D">
        <w:rPr>
          <w:sz w:val="24"/>
          <w:szCs w:val="24"/>
        </w:rPr>
        <w:t xml:space="preserve">submitted </w:t>
      </w:r>
      <w:r>
        <w:rPr>
          <w:sz w:val="24"/>
          <w:szCs w:val="24"/>
        </w:rPr>
        <w:t>by telephone or email</w:t>
      </w:r>
      <w:r w:rsidR="00E62D9A">
        <w:rPr>
          <w:sz w:val="24"/>
          <w:szCs w:val="24"/>
        </w:rPr>
        <w:t xml:space="preserve"> to OLE</w:t>
      </w:r>
      <w:r>
        <w:rPr>
          <w:sz w:val="24"/>
          <w:szCs w:val="24"/>
        </w:rPr>
        <w:t>. The vessel owners</w:t>
      </w:r>
      <w:r w:rsidR="002D1F1D">
        <w:rPr>
          <w:sz w:val="24"/>
          <w:szCs w:val="24"/>
        </w:rPr>
        <w:t>/</w:t>
      </w:r>
      <w:r>
        <w:rPr>
          <w:sz w:val="24"/>
          <w:szCs w:val="24"/>
        </w:rPr>
        <w:t>operators must provide their name, contact information, vessel name, port of departure, and estimated date and time of departure</w:t>
      </w:r>
      <w:r w:rsidR="00E231B6">
        <w:rPr>
          <w:sz w:val="24"/>
          <w:szCs w:val="24"/>
        </w:rPr>
        <w:t>.</w:t>
      </w:r>
      <w:r>
        <w:rPr>
          <w:sz w:val="24"/>
          <w:szCs w:val="24"/>
        </w:rPr>
        <w:t xml:space="preserve"> Upon receipt of a pre-trip notification, the observer provider will notify the vessel owner/operator whether their fishing trip has been selected for observer coverage. </w:t>
      </w:r>
    </w:p>
    <w:p w:rsidR="00D11FF4" w:rsidP="00BB2CFE" w:rsidRDefault="00D11FF4">
      <w:pPr>
        <w:widowControl/>
        <w:rPr>
          <w:sz w:val="24"/>
          <w:szCs w:val="24"/>
        </w:rPr>
      </w:pPr>
    </w:p>
    <w:p w:rsidRPr="00472BD9" w:rsidR="00D11FF4" w:rsidP="00BB2CFE" w:rsidRDefault="00D11FF4">
      <w:pPr>
        <w:widowControl/>
        <w:rPr>
          <w:sz w:val="24"/>
          <w:szCs w:val="24"/>
        </w:rPr>
      </w:pPr>
      <w:r>
        <w:rPr>
          <w:sz w:val="24"/>
          <w:szCs w:val="24"/>
        </w:rPr>
        <w:t xml:space="preserve">Several information portals will be used to inform the public about management program requirements including </w:t>
      </w:r>
      <w:r w:rsidR="00122BB6">
        <w:rPr>
          <w:sz w:val="24"/>
          <w:szCs w:val="24"/>
        </w:rPr>
        <w:t>websites</w:t>
      </w:r>
      <w:r>
        <w:rPr>
          <w:sz w:val="24"/>
          <w:szCs w:val="24"/>
        </w:rPr>
        <w:t xml:space="preserve"> maintained by the </w:t>
      </w:r>
      <w:r w:rsidR="003F22FC">
        <w:rPr>
          <w:sz w:val="24"/>
          <w:szCs w:val="24"/>
        </w:rPr>
        <w:t>WCR and the Pacific Council. A S</w:t>
      </w:r>
      <w:r>
        <w:rPr>
          <w:sz w:val="24"/>
          <w:szCs w:val="24"/>
        </w:rPr>
        <w:t xml:space="preserve">mall Entity Compliance guide has been prepared to assist permit holders in understanding the requirements that must be met, including reporting </w:t>
      </w:r>
      <w:r w:rsidR="00122BB6">
        <w:rPr>
          <w:sz w:val="24"/>
          <w:szCs w:val="24"/>
        </w:rPr>
        <w:t>requirements</w:t>
      </w:r>
      <w:r>
        <w:rPr>
          <w:sz w:val="24"/>
          <w:szCs w:val="24"/>
        </w:rPr>
        <w:t xml:space="preserve">. </w:t>
      </w:r>
      <w:r w:rsidR="00122BB6">
        <w:rPr>
          <w:sz w:val="24"/>
          <w:szCs w:val="24"/>
        </w:rPr>
        <w:t>Required</w:t>
      </w:r>
      <w:r>
        <w:rPr>
          <w:sz w:val="24"/>
          <w:szCs w:val="24"/>
        </w:rPr>
        <w:t xml:space="preserve"> Federal forms and instructions are available online </w:t>
      </w:r>
      <w:r w:rsidRPr="00D818BF">
        <w:rPr>
          <w:noProof/>
          <w:sz w:val="24"/>
          <w:szCs w:val="24"/>
        </w:rPr>
        <w:t>at</w:t>
      </w:r>
      <w:r>
        <w:rPr>
          <w:sz w:val="24"/>
          <w:szCs w:val="24"/>
        </w:rPr>
        <w:t xml:space="preserve"> </w:t>
      </w:r>
      <w:hyperlink w:history="1" r:id="rId11">
        <w:r w:rsidRPr="00BA210F" w:rsidR="007A66A6">
          <w:rPr>
            <w:rStyle w:val="Hyperlink"/>
            <w:sz w:val="24"/>
            <w:szCs w:val="24"/>
          </w:rPr>
          <w:t>http://www.westcoast.fisheries.noaa.gov/fisheries/migratory_species/highly_migratory_species_logbooks.html</w:t>
        </w:r>
      </w:hyperlink>
      <w:r w:rsidR="007A66A6">
        <w:rPr>
          <w:sz w:val="24"/>
          <w:szCs w:val="24"/>
        </w:rPr>
        <w:t>, along with an explanation of the process for returning them to NMFS.</w:t>
      </w:r>
    </w:p>
    <w:p w:rsidRPr="00EC0D6E" w:rsidR="00D70506" w:rsidP="00BB2CFE" w:rsidRDefault="00D70506">
      <w:pPr>
        <w:rPr>
          <w:sz w:val="24"/>
          <w:szCs w:val="24"/>
        </w:rPr>
      </w:pPr>
    </w:p>
    <w:p w:rsidRPr="00340836" w:rsidR="004F26E9" w:rsidP="00340836"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4.  </w:t>
      </w:r>
      <w:r w:rsidRPr="00BD7237" w:rsidR="00340836">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340836">
        <w:rPr>
          <w:rFonts w:ascii="Times New Roman" w:hAnsi="Times New Roman" w:cs="Times New Roman"/>
          <w:b/>
          <w:spacing w:val="-42"/>
          <w:sz w:val="24"/>
          <w:szCs w:val="24"/>
        </w:rPr>
        <w:t xml:space="preserve"> </w:t>
      </w:r>
      <w:r w:rsidRPr="00BD7237" w:rsidR="00340836">
        <w:rPr>
          <w:rFonts w:ascii="Times New Roman" w:hAnsi="Times New Roman" w:cs="Times New Roman"/>
          <w:b/>
          <w:sz w:val="24"/>
          <w:szCs w:val="24"/>
        </w:rPr>
        <w:t>2</w:t>
      </w:r>
    </w:p>
    <w:p w:rsidRPr="00EC0D6E" w:rsidR="004F26E9" w:rsidP="00BB2CFE" w:rsidRDefault="004F26E9">
      <w:pPr>
        <w:rPr>
          <w:sz w:val="24"/>
          <w:szCs w:val="24"/>
        </w:rPr>
      </w:pPr>
    </w:p>
    <w:p w:rsidRPr="00EC0D6E" w:rsidR="00B7339E" w:rsidP="00BB2CFE" w:rsidRDefault="00B065DE">
      <w:pPr>
        <w:widowControl/>
        <w:rPr>
          <w:sz w:val="24"/>
          <w:szCs w:val="24"/>
        </w:rPr>
      </w:pPr>
      <w:r>
        <w:rPr>
          <w:sz w:val="24"/>
          <w:szCs w:val="24"/>
        </w:rPr>
        <w:t>NMFS has identified the fleets that are already required to carry and operate VMS units as part</w:t>
      </w:r>
      <w:r w:rsidR="00F85E4D">
        <w:rPr>
          <w:sz w:val="24"/>
          <w:szCs w:val="24"/>
        </w:rPr>
        <w:t xml:space="preserve"> </w:t>
      </w:r>
      <w:r>
        <w:rPr>
          <w:sz w:val="24"/>
          <w:szCs w:val="24"/>
        </w:rPr>
        <w:t xml:space="preserve">of </w:t>
      </w:r>
      <w:r w:rsidRPr="003134C0">
        <w:rPr>
          <w:noProof/>
          <w:sz w:val="24"/>
          <w:szCs w:val="24"/>
        </w:rPr>
        <w:t>a NMFS-administered</w:t>
      </w:r>
      <w:r>
        <w:rPr>
          <w:sz w:val="24"/>
          <w:szCs w:val="24"/>
        </w:rPr>
        <w:t xml:space="preserve"> VMS. Owners/operators of vessels in these fleets are required to</w:t>
      </w:r>
      <w:r w:rsidR="00F85E4D">
        <w:rPr>
          <w:sz w:val="24"/>
          <w:szCs w:val="24"/>
        </w:rPr>
        <w:t xml:space="preserve"> </w:t>
      </w:r>
      <w:r>
        <w:rPr>
          <w:sz w:val="24"/>
          <w:szCs w:val="24"/>
        </w:rPr>
        <w:t xml:space="preserve">authorize the </w:t>
      </w:r>
      <w:r w:rsidR="00DA0386">
        <w:rPr>
          <w:sz w:val="24"/>
          <w:szCs w:val="24"/>
        </w:rPr>
        <w:t>OLE</w:t>
      </w:r>
      <w:r>
        <w:rPr>
          <w:sz w:val="24"/>
          <w:szCs w:val="24"/>
        </w:rPr>
        <w:t xml:space="preserve"> to receive position reports via their VMS units, but they will not bear</w:t>
      </w:r>
      <w:r w:rsidR="00F85E4D">
        <w:rPr>
          <w:sz w:val="24"/>
          <w:szCs w:val="24"/>
        </w:rPr>
        <w:t xml:space="preserve"> </w:t>
      </w:r>
      <w:r>
        <w:rPr>
          <w:sz w:val="24"/>
          <w:szCs w:val="24"/>
        </w:rPr>
        <w:t>any additional time burden or cost burden as a result of the data transmissions to the</w:t>
      </w:r>
      <w:r w:rsidR="00F85E4D">
        <w:rPr>
          <w:sz w:val="24"/>
          <w:szCs w:val="24"/>
        </w:rPr>
        <w:t xml:space="preserve"> </w:t>
      </w:r>
      <w:r w:rsidR="00DA422D">
        <w:rPr>
          <w:sz w:val="24"/>
          <w:szCs w:val="24"/>
        </w:rPr>
        <w:t>OLE</w:t>
      </w:r>
      <w:r>
        <w:rPr>
          <w:sz w:val="24"/>
          <w:szCs w:val="24"/>
        </w:rPr>
        <w:t>.</w:t>
      </w:r>
      <w:r w:rsidR="002D4625">
        <w:rPr>
          <w:sz w:val="24"/>
          <w:szCs w:val="24"/>
        </w:rPr>
        <w:t xml:space="preserve"> </w:t>
      </w:r>
      <w:r w:rsidRPr="00EC0D6E" w:rsidR="00B7339E">
        <w:rPr>
          <w:sz w:val="24"/>
          <w:szCs w:val="24"/>
        </w:rPr>
        <w:t>There are no similar comparable programs to collect real-time vessel location information.</w:t>
      </w:r>
      <w:r w:rsidR="00F85E4D">
        <w:rPr>
          <w:sz w:val="24"/>
          <w:szCs w:val="24"/>
        </w:rPr>
        <w:t xml:space="preserve"> </w:t>
      </w:r>
      <w:r w:rsidRPr="00EC0D6E" w:rsidR="00B7339E">
        <w:rPr>
          <w:sz w:val="24"/>
          <w:szCs w:val="24"/>
        </w:rPr>
        <w:t>Requiring vessel operators to make at-sea reports of vessel locations is much more costly and</w:t>
      </w:r>
      <w:r w:rsidR="002432D9">
        <w:rPr>
          <w:sz w:val="24"/>
          <w:szCs w:val="24"/>
        </w:rPr>
        <w:t xml:space="preserve"> </w:t>
      </w:r>
      <w:r w:rsidRPr="00EC0D6E" w:rsidR="00B7339E">
        <w:rPr>
          <w:sz w:val="24"/>
          <w:szCs w:val="24"/>
        </w:rPr>
        <w:t>difficult, and would impose a direct reporting burden on the vessel operator. The VMS unit is</w:t>
      </w:r>
      <w:r w:rsidR="002432D9">
        <w:rPr>
          <w:sz w:val="24"/>
          <w:szCs w:val="24"/>
        </w:rPr>
        <w:t xml:space="preserve"> </w:t>
      </w:r>
      <w:r w:rsidRPr="00EC0D6E" w:rsidR="00B7339E">
        <w:rPr>
          <w:sz w:val="24"/>
          <w:szCs w:val="24"/>
        </w:rPr>
        <w:t>passive and automatic, requiring no reporting burden on the vessel operator.</w:t>
      </w:r>
    </w:p>
    <w:p w:rsidRPr="00EC0D6E" w:rsidR="004F26E9" w:rsidP="00BB2CFE" w:rsidRDefault="004F26E9">
      <w:pPr>
        <w:rPr>
          <w:sz w:val="24"/>
          <w:szCs w:val="24"/>
        </w:rPr>
      </w:pPr>
    </w:p>
    <w:p w:rsidRPr="00BD7237" w:rsidR="00340836" w:rsidP="00340836" w:rsidRDefault="004F26E9">
      <w:pPr>
        <w:pStyle w:val="ListParagraph"/>
        <w:tabs>
          <w:tab w:val="left" w:pos="360"/>
        </w:tabs>
        <w:spacing w:before="80"/>
        <w:ind w:left="131" w:firstLine="0"/>
        <w:rPr>
          <w:rFonts w:ascii="Times New Roman" w:hAnsi="Times New Roman" w:cs="Times New Roman"/>
          <w:b/>
          <w:sz w:val="24"/>
          <w:szCs w:val="24"/>
        </w:rPr>
      </w:pPr>
      <w:r w:rsidRPr="00EC0D6E">
        <w:rPr>
          <w:b/>
          <w:bCs/>
          <w:sz w:val="24"/>
          <w:szCs w:val="24"/>
        </w:rPr>
        <w:t xml:space="preserve">5.  </w:t>
      </w:r>
      <w:r w:rsidRPr="00BD7237" w:rsidR="00340836">
        <w:rPr>
          <w:rFonts w:ascii="Times New Roman" w:hAnsi="Times New Roman" w:cs="Times New Roman"/>
          <w:b/>
          <w:sz w:val="24"/>
          <w:szCs w:val="24"/>
        </w:rPr>
        <w:t>If the collection of information impacts small businesses or other small entities, describe any methods used to minimize burden.</w:t>
      </w:r>
    </w:p>
    <w:p w:rsidRPr="00EC0D6E" w:rsidR="004F26E9" w:rsidP="00BB2CFE" w:rsidRDefault="004F26E9">
      <w:pPr>
        <w:rPr>
          <w:sz w:val="24"/>
          <w:szCs w:val="24"/>
        </w:rPr>
      </w:pPr>
    </w:p>
    <w:p w:rsidRPr="00AB520B" w:rsidR="00EF18CE" w:rsidP="00BB2CFE" w:rsidRDefault="006C7FD3">
      <w:pPr>
        <w:rPr>
          <w:sz w:val="24"/>
          <w:szCs w:val="24"/>
        </w:rPr>
      </w:pPr>
      <w:r>
        <w:rPr>
          <w:sz w:val="24"/>
          <w:szCs w:val="24"/>
        </w:rPr>
        <w:t xml:space="preserve">Under </w:t>
      </w:r>
      <w:r w:rsidRPr="000335E2">
        <w:rPr>
          <w:noProof/>
          <w:sz w:val="24"/>
          <w:szCs w:val="24"/>
        </w:rPr>
        <w:t>the June</w:t>
      </w:r>
      <w:r>
        <w:rPr>
          <w:sz w:val="24"/>
          <w:szCs w:val="24"/>
        </w:rPr>
        <w:t xml:space="preserve"> 20, 2013 Small Business Administration (SBA) final rule revising the small business size standards for several industries effective July 22, 2013 (78 FR 37398), all fishing oper</w:t>
      </w:r>
      <w:r w:rsidR="00A96BDD">
        <w:rPr>
          <w:sz w:val="24"/>
          <w:szCs w:val="24"/>
        </w:rPr>
        <w:t xml:space="preserve">ations involving HMS fisheries </w:t>
      </w:r>
      <w:r>
        <w:rPr>
          <w:sz w:val="24"/>
          <w:szCs w:val="24"/>
        </w:rPr>
        <w:t>can be categorized as small business</w:t>
      </w:r>
      <w:r w:rsidR="0078118F">
        <w:rPr>
          <w:sz w:val="24"/>
          <w:szCs w:val="24"/>
        </w:rPr>
        <w:t>es</w:t>
      </w:r>
      <w:r>
        <w:rPr>
          <w:sz w:val="24"/>
          <w:szCs w:val="24"/>
        </w:rPr>
        <w:t xml:space="preserve">. </w:t>
      </w:r>
      <w:r w:rsidR="00EF18CE">
        <w:rPr>
          <w:sz w:val="24"/>
          <w:szCs w:val="24"/>
        </w:rPr>
        <w:t xml:space="preserve">The requirement of </w:t>
      </w:r>
      <w:r w:rsidR="0078118F">
        <w:rPr>
          <w:sz w:val="24"/>
          <w:szCs w:val="24"/>
        </w:rPr>
        <w:t xml:space="preserve">obtaining and installing </w:t>
      </w:r>
      <w:r w:rsidR="00EF18CE">
        <w:rPr>
          <w:sz w:val="24"/>
          <w:szCs w:val="24"/>
        </w:rPr>
        <w:t xml:space="preserve">VMS equipment is the most costly provision, but federal funds of up to $3,100 are currently available to reimburse vessel owners for the purchase of an approved VMS unit. Fishermen may also connect other communications equipment to the VMS unit to </w:t>
      </w:r>
      <w:r w:rsidR="0078118F">
        <w:rPr>
          <w:sz w:val="24"/>
          <w:szCs w:val="24"/>
        </w:rPr>
        <w:t>enhance at-sea communications for other personal or business needs</w:t>
      </w:r>
      <w:r w:rsidR="00EF18CE">
        <w:rPr>
          <w:sz w:val="24"/>
          <w:szCs w:val="24"/>
        </w:rPr>
        <w:t>. No special measures are needed to offset any disproportionate effect on small businesses.</w:t>
      </w:r>
      <w:r w:rsidRPr="00533CE0" w:rsidR="00533CE0">
        <w:rPr>
          <w:sz w:val="24"/>
          <w:szCs w:val="24"/>
        </w:rPr>
        <w:t xml:space="preserve"> </w:t>
      </w:r>
      <w:r w:rsidR="002A105E">
        <w:rPr>
          <w:sz w:val="24"/>
          <w:szCs w:val="24"/>
        </w:rPr>
        <w:t xml:space="preserve">The reporting burden related to both international and domestic VMS and pre-trip reporting requirements is insignificant compared to the overall cost of fishing. </w:t>
      </w:r>
    </w:p>
    <w:p w:rsidR="00EF18CE" w:rsidP="00BB2CFE" w:rsidRDefault="00EF18CE">
      <w:pPr>
        <w:rPr>
          <w:sz w:val="24"/>
          <w:szCs w:val="24"/>
          <w:u w:val="single"/>
        </w:rPr>
      </w:pPr>
    </w:p>
    <w:p w:rsidRPr="009237DD" w:rsidR="00375BF6" w:rsidP="00BB2CFE" w:rsidRDefault="00375BF6">
      <w:pPr>
        <w:rPr>
          <w:sz w:val="24"/>
          <w:szCs w:val="24"/>
        </w:rPr>
      </w:pPr>
      <w:r w:rsidRPr="009237DD">
        <w:rPr>
          <w:sz w:val="24"/>
          <w:szCs w:val="24"/>
        </w:rPr>
        <w:t xml:space="preserve">International regulations </w:t>
      </w:r>
    </w:p>
    <w:p w:rsidR="00533CE0" w:rsidP="00BB2CFE" w:rsidRDefault="00B7339E">
      <w:pPr>
        <w:rPr>
          <w:sz w:val="24"/>
          <w:szCs w:val="24"/>
        </w:rPr>
      </w:pPr>
      <w:r w:rsidRPr="00EC0D6E">
        <w:rPr>
          <w:sz w:val="24"/>
          <w:szCs w:val="24"/>
        </w:rPr>
        <w:t xml:space="preserve">Vessels in the </w:t>
      </w:r>
      <w:r w:rsidR="0078118F">
        <w:rPr>
          <w:sz w:val="24"/>
          <w:szCs w:val="24"/>
        </w:rPr>
        <w:t>EPO</w:t>
      </w:r>
      <w:r w:rsidRPr="00EC0D6E" w:rsidR="00CB4957">
        <w:rPr>
          <w:sz w:val="24"/>
          <w:szCs w:val="24"/>
        </w:rPr>
        <w:t xml:space="preserve"> </w:t>
      </w:r>
      <w:r w:rsidRPr="00EC0D6E">
        <w:rPr>
          <w:sz w:val="24"/>
          <w:szCs w:val="24"/>
        </w:rPr>
        <w:t xml:space="preserve">fisheries generally range in size from </w:t>
      </w:r>
      <w:r w:rsidRPr="00EC0D6E" w:rsidR="006B1C3A">
        <w:rPr>
          <w:sz w:val="24"/>
          <w:szCs w:val="24"/>
        </w:rPr>
        <w:t xml:space="preserve">7 meters to </w:t>
      </w:r>
      <w:r w:rsidRPr="00EC0D6E">
        <w:rPr>
          <w:sz w:val="24"/>
          <w:szCs w:val="24"/>
        </w:rPr>
        <w:t>1</w:t>
      </w:r>
      <w:r w:rsidRPr="00EC0D6E" w:rsidR="006B1C3A">
        <w:rPr>
          <w:sz w:val="24"/>
          <w:szCs w:val="24"/>
        </w:rPr>
        <w:t>24 meters in length</w:t>
      </w:r>
      <w:r w:rsidR="00533CE0">
        <w:rPr>
          <w:sz w:val="24"/>
          <w:szCs w:val="24"/>
        </w:rPr>
        <w:t>. The VMS requirement</w:t>
      </w:r>
      <w:r w:rsidR="0078118F">
        <w:rPr>
          <w:sz w:val="24"/>
          <w:szCs w:val="24"/>
        </w:rPr>
        <w:t>s under 50 CFR 300</w:t>
      </w:r>
      <w:r w:rsidR="00533CE0">
        <w:rPr>
          <w:sz w:val="24"/>
          <w:szCs w:val="24"/>
        </w:rPr>
        <w:t xml:space="preserve"> </w:t>
      </w:r>
      <w:r w:rsidR="00554030">
        <w:rPr>
          <w:sz w:val="24"/>
          <w:szCs w:val="24"/>
        </w:rPr>
        <w:t xml:space="preserve">Subpart C </w:t>
      </w:r>
      <w:r w:rsidR="00533CE0">
        <w:rPr>
          <w:sz w:val="24"/>
          <w:szCs w:val="24"/>
        </w:rPr>
        <w:t xml:space="preserve">would affect </w:t>
      </w:r>
      <w:r w:rsidRPr="00E426FD" w:rsidR="00533CE0">
        <w:rPr>
          <w:bCs/>
          <w:sz w:val="24"/>
          <w:szCs w:val="24"/>
        </w:rPr>
        <w:t xml:space="preserve">any U.S. commercial fishing vessel that is 24 meters or more in overall length and engaging in fishing activities for tuna or </w:t>
      </w:r>
      <w:r w:rsidRPr="00E426FD" w:rsidR="00533CE0">
        <w:rPr>
          <w:bCs/>
          <w:sz w:val="24"/>
          <w:szCs w:val="24"/>
        </w:rPr>
        <w:lastRenderedPageBreak/>
        <w:t xml:space="preserve">tuna-like species in the Convention Area, and for which either of the following permits is required: Pacific highly migratory species permit under </w:t>
      </w:r>
      <w:r w:rsidR="00533CE0">
        <w:rPr>
          <w:sz w:val="24"/>
          <w:szCs w:val="24"/>
        </w:rPr>
        <w:t xml:space="preserve">50 CFR </w:t>
      </w:r>
      <w:r w:rsidRPr="00E426FD" w:rsidR="00533CE0">
        <w:rPr>
          <w:bCs/>
          <w:sz w:val="24"/>
          <w:szCs w:val="24"/>
        </w:rPr>
        <w:t xml:space="preserve">660.707, or high seas fishing permit under </w:t>
      </w:r>
      <w:r w:rsidR="00533CE0">
        <w:rPr>
          <w:sz w:val="24"/>
          <w:szCs w:val="24"/>
        </w:rPr>
        <w:t xml:space="preserve">50 CFR </w:t>
      </w:r>
      <w:r w:rsidRPr="00E426FD" w:rsidR="00533CE0">
        <w:rPr>
          <w:bCs/>
          <w:sz w:val="24"/>
          <w:szCs w:val="24"/>
        </w:rPr>
        <w:t>300.13.</w:t>
      </w:r>
      <w:r w:rsidR="00533CE0">
        <w:rPr>
          <w:sz w:val="24"/>
          <w:szCs w:val="24"/>
        </w:rPr>
        <w:t>T</w:t>
      </w:r>
      <w:r w:rsidRPr="00EC0D6E" w:rsidR="00533CE0">
        <w:rPr>
          <w:sz w:val="24"/>
          <w:szCs w:val="24"/>
        </w:rPr>
        <w:t>hese vessels are categorized as “small businesses</w:t>
      </w:r>
      <w:r w:rsidR="00554030">
        <w:rPr>
          <w:sz w:val="24"/>
          <w:szCs w:val="24"/>
        </w:rPr>
        <w:t>.</w:t>
      </w:r>
      <w:r w:rsidRPr="00EC0D6E" w:rsidR="00533CE0">
        <w:rPr>
          <w:sz w:val="24"/>
          <w:szCs w:val="24"/>
        </w:rPr>
        <w:t>”</w:t>
      </w:r>
      <w:r w:rsidR="00533CE0">
        <w:rPr>
          <w:sz w:val="24"/>
          <w:szCs w:val="24"/>
        </w:rPr>
        <w:t xml:space="preserve"> The majority</w:t>
      </w:r>
      <w:r w:rsidRPr="00EC0D6E" w:rsidR="00533CE0">
        <w:rPr>
          <w:sz w:val="24"/>
          <w:szCs w:val="24"/>
        </w:rPr>
        <w:t xml:space="preserve"> of these vessels are already subject to VMS requirement</w:t>
      </w:r>
      <w:r w:rsidR="00533CE0">
        <w:rPr>
          <w:sz w:val="24"/>
          <w:szCs w:val="24"/>
        </w:rPr>
        <w:t>s</w:t>
      </w:r>
      <w:r w:rsidRPr="00EC0D6E" w:rsidR="00533CE0">
        <w:rPr>
          <w:sz w:val="24"/>
          <w:szCs w:val="24"/>
        </w:rPr>
        <w:t xml:space="preserve"> in the western and central Pacific Ocean.</w:t>
      </w:r>
    </w:p>
    <w:p w:rsidRPr="009237DD" w:rsidR="00533CE0" w:rsidP="00BB2CFE" w:rsidRDefault="00533CE0">
      <w:pPr>
        <w:rPr>
          <w:sz w:val="24"/>
          <w:szCs w:val="24"/>
        </w:rPr>
      </w:pPr>
    </w:p>
    <w:p w:rsidRPr="009237DD" w:rsidR="00EF18CE" w:rsidP="00BB2CFE" w:rsidRDefault="00EF18CE">
      <w:pPr>
        <w:rPr>
          <w:sz w:val="24"/>
          <w:szCs w:val="24"/>
        </w:rPr>
      </w:pPr>
      <w:r w:rsidRPr="009237DD">
        <w:rPr>
          <w:sz w:val="24"/>
          <w:szCs w:val="24"/>
        </w:rPr>
        <w:t>Domestic regulations</w:t>
      </w:r>
    </w:p>
    <w:p w:rsidR="002A105E" w:rsidP="00BB2CFE" w:rsidRDefault="00554030">
      <w:pPr>
        <w:rPr>
          <w:sz w:val="24"/>
          <w:szCs w:val="24"/>
        </w:rPr>
      </w:pPr>
      <w:r>
        <w:rPr>
          <w:sz w:val="24"/>
          <w:szCs w:val="24"/>
        </w:rPr>
        <w:t>The</w:t>
      </w:r>
      <w:r w:rsidRPr="00EC0D6E">
        <w:rPr>
          <w:sz w:val="24"/>
          <w:szCs w:val="24"/>
        </w:rPr>
        <w:t xml:space="preserve"> </w:t>
      </w:r>
      <w:r w:rsidRPr="00EC0D6E" w:rsidR="00870EE2">
        <w:rPr>
          <w:sz w:val="24"/>
          <w:szCs w:val="24"/>
        </w:rPr>
        <w:t>VMS requirement</w:t>
      </w:r>
      <w:r>
        <w:rPr>
          <w:sz w:val="24"/>
          <w:szCs w:val="24"/>
        </w:rPr>
        <w:t>s under 50 CFR 660 Subpart K</w:t>
      </w:r>
      <w:r w:rsidRPr="00EC0D6E" w:rsidR="00870EE2">
        <w:rPr>
          <w:sz w:val="24"/>
          <w:szCs w:val="24"/>
        </w:rPr>
        <w:t xml:space="preserve"> would affect</w:t>
      </w:r>
      <w:r w:rsidR="00BA2B15">
        <w:rPr>
          <w:sz w:val="24"/>
          <w:szCs w:val="24"/>
        </w:rPr>
        <w:t xml:space="preserve"> vessels authorized to fish using DGN and </w:t>
      </w:r>
      <w:r>
        <w:rPr>
          <w:sz w:val="24"/>
          <w:szCs w:val="24"/>
        </w:rPr>
        <w:t xml:space="preserve">longline </w:t>
      </w:r>
      <w:r w:rsidR="00BA2B15">
        <w:rPr>
          <w:sz w:val="24"/>
          <w:szCs w:val="24"/>
        </w:rPr>
        <w:t xml:space="preserve">gear </w:t>
      </w:r>
      <w:r w:rsidR="00533CE0">
        <w:rPr>
          <w:sz w:val="24"/>
          <w:szCs w:val="24"/>
        </w:rPr>
        <w:t>types</w:t>
      </w:r>
      <w:r w:rsidR="006A6886">
        <w:rPr>
          <w:sz w:val="24"/>
          <w:szCs w:val="24"/>
        </w:rPr>
        <w:t xml:space="preserve"> for which a Pacific Highly Migratory Species permit is required under 50 CFR 660.707. These vessels are </w:t>
      </w:r>
      <w:r>
        <w:rPr>
          <w:sz w:val="24"/>
          <w:szCs w:val="24"/>
        </w:rPr>
        <w:t xml:space="preserve">also </w:t>
      </w:r>
      <w:r w:rsidR="006A6886">
        <w:rPr>
          <w:sz w:val="24"/>
          <w:szCs w:val="24"/>
        </w:rPr>
        <w:t>subject to pre-trip reportin</w:t>
      </w:r>
      <w:r w:rsidR="00112F7A">
        <w:rPr>
          <w:sz w:val="24"/>
          <w:szCs w:val="24"/>
        </w:rPr>
        <w:t>g</w:t>
      </w:r>
      <w:r w:rsidR="002A105E">
        <w:rPr>
          <w:sz w:val="24"/>
          <w:szCs w:val="24"/>
        </w:rPr>
        <w:t>.</w:t>
      </w:r>
    </w:p>
    <w:p w:rsidR="001A72C5" w:rsidP="00BB2CFE" w:rsidRDefault="001A72C5">
      <w:pPr>
        <w:rPr>
          <w:bCs/>
          <w:sz w:val="24"/>
          <w:szCs w:val="24"/>
        </w:rPr>
      </w:pPr>
    </w:p>
    <w:p w:rsidRPr="00340836" w:rsidR="004F26E9" w:rsidP="00340836"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6.  </w:t>
      </w:r>
      <w:r w:rsidRPr="00BD7237" w:rsidR="00340836">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703F78" w:rsidP="00BB2CFE" w:rsidRDefault="00703F78">
      <w:pPr>
        <w:rPr>
          <w:sz w:val="24"/>
          <w:szCs w:val="24"/>
        </w:rPr>
      </w:pPr>
    </w:p>
    <w:p w:rsidR="00375BF6" w:rsidP="00BB2CFE" w:rsidRDefault="004503F2">
      <w:pPr>
        <w:rPr>
          <w:sz w:val="24"/>
          <w:szCs w:val="24"/>
        </w:rPr>
      </w:pPr>
      <w:r>
        <w:rPr>
          <w:sz w:val="24"/>
          <w:szCs w:val="24"/>
        </w:rPr>
        <w:t>VMS reports are necessary to ensure adequate monitoring of vessel movements to determine compliance with time and area conflicts and to facilitate</w:t>
      </w:r>
      <w:r w:rsidR="003134C0">
        <w:rPr>
          <w:sz w:val="24"/>
          <w:szCs w:val="24"/>
        </w:rPr>
        <w:t xml:space="preserve"> the</w:t>
      </w:r>
      <w:r>
        <w:rPr>
          <w:sz w:val="24"/>
          <w:szCs w:val="24"/>
        </w:rPr>
        <w:t xml:space="preserve"> </w:t>
      </w:r>
      <w:r w:rsidRPr="003134C0">
        <w:rPr>
          <w:noProof/>
          <w:sz w:val="24"/>
          <w:szCs w:val="24"/>
        </w:rPr>
        <w:t>cost</w:t>
      </w:r>
      <w:r w:rsidRPr="000335E2" w:rsidR="002A105E">
        <w:rPr>
          <w:noProof/>
          <w:sz w:val="24"/>
          <w:szCs w:val="24"/>
        </w:rPr>
        <w:t>-</w:t>
      </w:r>
      <w:r w:rsidRPr="000335E2">
        <w:rPr>
          <w:noProof/>
          <w:sz w:val="24"/>
          <w:szCs w:val="24"/>
        </w:rPr>
        <w:t>effective</w:t>
      </w:r>
      <w:r>
        <w:rPr>
          <w:sz w:val="24"/>
          <w:szCs w:val="24"/>
        </w:rPr>
        <w:t xml:space="preserve"> use of enforcement patrols. Less frequent reports would likely result in higher likelihood of non-compliance </w:t>
      </w:r>
      <w:r w:rsidR="002A105E">
        <w:rPr>
          <w:sz w:val="24"/>
          <w:szCs w:val="24"/>
        </w:rPr>
        <w:t>and</w:t>
      </w:r>
      <w:r>
        <w:rPr>
          <w:sz w:val="24"/>
          <w:szCs w:val="24"/>
        </w:rPr>
        <w:t xml:space="preserve"> </w:t>
      </w:r>
      <w:r w:rsidRPr="00D818BF">
        <w:rPr>
          <w:noProof/>
          <w:sz w:val="24"/>
          <w:szCs w:val="24"/>
        </w:rPr>
        <w:t>low</w:t>
      </w:r>
      <w:r w:rsidR="002A105E">
        <w:rPr>
          <w:noProof/>
          <w:sz w:val="24"/>
          <w:szCs w:val="24"/>
        </w:rPr>
        <w:t>er</w:t>
      </w:r>
      <w:r>
        <w:rPr>
          <w:sz w:val="24"/>
          <w:szCs w:val="24"/>
        </w:rPr>
        <w:t xml:space="preserve"> probability of </w:t>
      </w:r>
      <w:r w:rsidR="002A105E">
        <w:rPr>
          <w:sz w:val="24"/>
          <w:szCs w:val="24"/>
        </w:rPr>
        <w:t>detecting</w:t>
      </w:r>
      <w:r>
        <w:rPr>
          <w:sz w:val="24"/>
          <w:szCs w:val="24"/>
        </w:rPr>
        <w:t xml:space="preserve"> violations. </w:t>
      </w:r>
    </w:p>
    <w:p w:rsidR="00375BF6" w:rsidP="00BB2CFE" w:rsidRDefault="00375BF6">
      <w:pPr>
        <w:rPr>
          <w:sz w:val="24"/>
          <w:szCs w:val="24"/>
        </w:rPr>
      </w:pPr>
    </w:p>
    <w:p w:rsidR="004503F2" w:rsidP="00BB2CFE" w:rsidRDefault="002A105E">
      <w:pPr>
        <w:rPr>
          <w:sz w:val="24"/>
          <w:szCs w:val="24"/>
        </w:rPr>
      </w:pPr>
      <w:r>
        <w:rPr>
          <w:sz w:val="24"/>
          <w:szCs w:val="24"/>
        </w:rPr>
        <w:t xml:space="preserve">With respect to </w:t>
      </w:r>
      <w:r w:rsidR="00375BF6">
        <w:rPr>
          <w:sz w:val="24"/>
          <w:szCs w:val="24"/>
        </w:rPr>
        <w:t>domestic p</w:t>
      </w:r>
      <w:r w:rsidR="004503F2">
        <w:rPr>
          <w:sz w:val="24"/>
          <w:szCs w:val="24"/>
        </w:rPr>
        <w:t xml:space="preserve">re-trip notification </w:t>
      </w:r>
      <w:r>
        <w:rPr>
          <w:sz w:val="24"/>
          <w:szCs w:val="24"/>
        </w:rPr>
        <w:t xml:space="preserve">requirements, if </w:t>
      </w:r>
      <w:r w:rsidR="004503F2">
        <w:rPr>
          <w:sz w:val="24"/>
          <w:szCs w:val="24"/>
        </w:rPr>
        <w:t xml:space="preserve">reports </w:t>
      </w:r>
      <w:r>
        <w:rPr>
          <w:sz w:val="24"/>
          <w:szCs w:val="24"/>
        </w:rPr>
        <w:t xml:space="preserve">are submitted </w:t>
      </w:r>
      <w:r w:rsidR="004503F2">
        <w:rPr>
          <w:sz w:val="24"/>
          <w:szCs w:val="24"/>
        </w:rPr>
        <w:t>too far in advance of a vessel’s departure</w:t>
      </w:r>
      <w:r>
        <w:rPr>
          <w:sz w:val="24"/>
          <w:szCs w:val="24"/>
        </w:rPr>
        <w:t>, the</w:t>
      </w:r>
      <w:r w:rsidR="00E57298">
        <w:rPr>
          <w:sz w:val="24"/>
          <w:szCs w:val="24"/>
        </w:rPr>
        <w:t xml:space="preserve"> vessel </w:t>
      </w:r>
      <w:r>
        <w:rPr>
          <w:sz w:val="24"/>
          <w:szCs w:val="24"/>
        </w:rPr>
        <w:t xml:space="preserve">may change its </w:t>
      </w:r>
      <w:r w:rsidR="00E57298">
        <w:rPr>
          <w:sz w:val="24"/>
          <w:szCs w:val="24"/>
        </w:rPr>
        <w:t xml:space="preserve">plans as </w:t>
      </w:r>
      <w:r>
        <w:rPr>
          <w:sz w:val="24"/>
          <w:szCs w:val="24"/>
        </w:rPr>
        <w:t xml:space="preserve">changes in </w:t>
      </w:r>
      <w:r w:rsidR="00E57298">
        <w:rPr>
          <w:sz w:val="24"/>
          <w:szCs w:val="24"/>
        </w:rPr>
        <w:t xml:space="preserve">fishery conditions </w:t>
      </w:r>
      <w:r>
        <w:rPr>
          <w:sz w:val="24"/>
          <w:szCs w:val="24"/>
        </w:rPr>
        <w:t>can be abrupt. Pre-trip</w:t>
      </w:r>
      <w:r w:rsidR="00E57298">
        <w:rPr>
          <w:sz w:val="24"/>
          <w:szCs w:val="24"/>
        </w:rPr>
        <w:t xml:space="preserve"> reports </w:t>
      </w:r>
      <w:r>
        <w:rPr>
          <w:sz w:val="24"/>
          <w:szCs w:val="24"/>
        </w:rPr>
        <w:t xml:space="preserve">submitted </w:t>
      </w:r>
      <w:r w:rsidR="00E57298">
        <w:rPr>
          <w:sz w:val="24"/>
          <w:szCs w:val="24"/>
        </w:rPr>
        <w:t xml:space="preserve">after </w:t>
      </w:r>
      <w:r w:rsidR="007F3148">
        <w:rPr>
          <w:sz w:val="24"/>
          <w:szCs w:val="24"/>
        </w:rPr>
        <w:t>departures do</w:t>
      </w:r>
      <w:r>
        <w:rPr>
          <w:sz w:val="24"/>
          <w:szCs w:val="24"/>
        </w:rPr>
        <w:t xml:space="preserve"> not </w:t>
      </w:r>
      <w:r w:rsidR="00E57298">
        <w:rPr>
          <w:sz w:val="24"/>
          <w:szCs w:val="24"/>
        </w:rPr>
        <w:t xml:space="preserve">allow NMFS to place an observer </w:t>
      </w:r>
      <w:r>
        <w:rPr>
          <w:sz w:val="24"/>
          <w:szCs w:val="24"/>
        </w:rPr>
        <w:t xml:space="preserve">on the vessel </w:t>
      </w:r>
      <w:r w:rsidR="00E57298">
        <w:rPr>
          <w:sz w:val="24"/>
          <w:szCs w:val="24"/>
        </w:rPr>
        <w:t xml:space="preserve">before </w:t>
      </w:r>
      <w:r>
        <w:rPr>
          <w:sz w:val="24"/>
          <w:szCs w:val="24"/>
        </w:rPr>
        <w:t>it</w:t>
      </w:r>
      <w:r w:rsidR="00E57298">
        <w:rPr>
          <w:sz w:val="24"/>
          <w:szCs w:val="24"/>
        </w:rPr>
        <w:t xml:space="preserve"> leaves port. In both cases, </w:t>
      </w:r>
      <w:r>
        <w:rPr>
          <w:sz w:val="24"/>
          <w:szCs w:val="24"/>
        </w:rPr>
        <w:t>data collected could be insufficient to support informed</w:t>
      </w:r>
      <w:r>
        <w:rPr>
          <w:noProof/>
          <w:sz w:val="24"/>
          <w:szCs w:val="24"/>
        </w:rPr>
        <w:t xml:space="preserve"> </w:t>
      </w:r>
      <w:r w:rsidRPr="00277F21" w:rsidR="00E57298">
        <w:rPr>
          <w:noProof/>
          <w:sz w:val="24"/>
          <w:szCs w:val="24"/>
        </w:rPr>
        <w:t>management decisions</w:t>
      </w:r>
      <w:r>
        <w:rPr>
          <w:noProof/>
          <w:sz w:val="24"/>
          <w:szCs w:val="24"/>
        </w:rPr>
        <w:t>,</w:t>
      </w:r>
      <w:r w:rsidR="00E57298">
        <w:rPr>
          <w:sz w:val="24"/>
          <w:szCs w:val="24"/>
        </w:rPr>
        <w:t xml:space="preserve"> and </w:t>
      </w:r>
      <w:r>
        <w:rPr>
          <w:sz w:val="24"/>
          <w:szCs w:val="24"/>
        </w:rPr>
        <w:t xml:space="preserve">could </w:t>
      </w:r>
      <w:r w:rsidR="00E57298">
        <w:rPr>
          <w:sz w:val="24"/>
          <w:szCs w:val="24"/>
        </w:rPr>
        <w:t xml:space="preserve">adversely affect the fisheries. </w:t>
      </w:r>
    </w:p>
    <w:p w:rsidRPr="00EC0D6E" w:rsidR="004F26E9" w:rsidP="00BB2CFE" w:rsidRDefault="004F26E9">
      <w:pPr>
        <w:rPr>
          <w:sz w:val="24"/>
          <w:szCs w:val="24"/>
        </w:rPr>
      </w:pPr>
    </w:p>
    <w:p w:rsidRPr="00EC0D6E" w:rsidR="004F26E9" w:rsidP="00BB2CFE" w:rsidRDefault="004F26E9">
      <w:pPr>
        <w:rPr>
          <w:sz w:val="24"/>
          <w:szCs w:val="24"/>
        </w:rPr>
      </w:pPr>
      <w:r w:rsidRPr="00EC0D6E">
        <w:rPr>
          <w:b/>
          <w:bCs/>
          <w:sz w:val="24"/>
          <w:szCs w:val="24"/>
        </w:rPr>
        <w:t xml:space="preserve">7.  </w:t>
      </w:r>
      <w:r w:rsidRPr="00340836">
        <w:rPr>
          <w:b/>
          <w:bCs/>
          <w:sz w:val="24"/>
          <w:szCs w:val="24"/>
        </w:rPr>
        <w:t>Explain any special circumstances that require the collection to be conducted in a manner inconsistent with OMB guidelines.</w:t>
      </w:r>
      <w:r w:rsidRPr="00EC0D6E">
        <w:rPr>
          <w:b/>
          <w:bCs/>
          <w:sz w:val="24"/>
          <w:szCs w:val="24"/>
        </w:rPr>
        <w:t xml:space="preserve"> </w:t>
      </w:r>
    </w:p>
    <w:p w:rsidRPr="00EC0D6E" w:rsidR="0061588B" w:rsidP="00BB2CFE" w:rsidRDefault="0061588B">
      <w:pPr>
        <w:rPr>
          <w:sz w:val="24"/>
          <w:szCs w:val="24"/>
        </w:rPr>
      </w:pPr>
    </w:p>
    <w:p w:rsidRPr="00EC0D6E" w:rsidR="004F26E9" w:rsidP="00BB2CFE" w:rsidRDefault="0061588B">
      <w:pPr>
        <w:rPr>
          <w:sz w:val="24"/>
          <w:szCs w:val="24"/>
        </w:rPr>
      </w:pPr>
      <w:r w:rsidRPr="00EC0D6E">
        <w:rPr>
          <w:sz w:val="24"/>
          <w:szCs w:val="24"/>
        </w:rPr>
        <w:t>The collection is consistent with OMB guidelines except that the VMS reports more frequently</w:t>
      </w:r>
      <w:r w:rsidR="00251DB3">
        <w:rPr>
          <w:sz w:val="24"/>
          <w:szCs w:val="24"/>
        </w:rPr>
        <w:t xml:space="preserve"> </w:t>
      </w:r>
      <w:r w:rsidRPr="00EC0D6E">
        <w:rPr>
          <w:sz w:val="24"/>
          <w:szCs w:val="24"/>
        </w:rPr>
        <w:t>than quarterly (multiple times per day). This interval is necessary for enforcing regulations.</w:t>
      </w:r>
    </w:p>
    <w:p w:rsidRPr="00EC0D6E" w:rsidR="00725C5C" w:rsidP="00BB2CFE" w:rsidRDefault="00725C5C">
      <w:pPr>
        <w:rPr>
          <w:b/>
          <w:bCs/>
          <w:sz w:val="24"/>
          <w:szCs w:val="24"/>
        </w:rPr>
      </w:pPr>
    </w:p>
    <w:p w:rsidRPr="00340836" w:rsidR="004F26E9" w:rsidP="00340836"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8.  </w:t>
      </w:r>
      <w:r w:rsidRPr="00BD7237" w:rsidR="00340836">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C0D6E" w:rsidR="004F26E9" w:rsidP="00BB2CFE" w:rsidRDefault="004F26E9">
      <w:pPr>
        <w:rPr>
          <w:sz w:val="24"/>
          <w:szCs w:val="24"/>
        </w:rPr>
      </w:pPr>
    </w:p>
    <w:p w:rsidR="00840905" w:rsidP="00BB2CFE" w:rsidRDefault="00840905">
      <w:pPr>
        <w:rPr>
          <w:sz w:val="24"/>
          <w:szCs w:val="24"/>
        </w:rPr>
      </w:pPr>
      <w:r>
        <w:rPr>
          <w:sz w:val="24"/>
          <w:szCs w:val="24"/>
        </w:rPr>
        <w:t xml:space="preserve">A </w:t>
      </w:r>
      <w:r w:rsidRPr="001E6F72">
        <w:rPr>
          <w:sz w:val="24"/>
          <w:szCs w:val="24"/>
          <w:u w:val="single"/>
        </w:rPr>
        <w:t>Federal Register</w:t>
      </w:r>
      <w:r>
        <w:rPr>
          <w:sz w:val="24"/>
          <w:szCs w:val="24"/>
        </w:rPr>
        <w:t xml:space="preserve"> </w:t>
      </w:r>
      <w:r w:rsidR="002A105E">
        <w:rPr>
          <w:sz w:val="24"/>
          <w:szCs w:val="24"/>
        </w:rPr>
        <w:t>n</w:t>
      </w:r>
      <w:r>
        <w:rPr>
          <w:sz w:val="24"/>
          <w:szCs w:val="24"/>
        </w:rPr>
        <w:t>o</w:t>
      </w:r>
      <w:r w:rsidR="00B6527E">
        <w:rPr>
          <w:sz w:val="24"/>
          <w:szCs w:val="24"/>
        </w:rPr>
        <w:t>tice pu</w:t>
      </w:r>
      <w:r w:rsidR="00340836">
        <w:rPr>
          <w:sz w:val="24"/>
          <w:szCs w:val="24"/>
        </w:rPr>
        <w:t>blished on April 2, 2020 (85</w:t>
      </w:r>
      <w:r w:rsidR="00B6527E">
        <w:rPr>
          <w:sz w:val="24"/>
          <w:szCs w:val="24"/>
        </w:rPr>
        <w:t xml:space="preserve"> FR </w:t>
      </w:r>
      <w:r w:rsidR="00340836">
        <w:rPr>
          <w:sz w:val="24"/>
          <w:szCs w:val="24"/>
        </w:rPr>
        <w:t>18558</w:t>
      </w:r>
      <w:r>
        <w:rPr>
          <w:sz w:val="24"/>
          <w:szCs w:val="24"/>
        </w:rPr>
        <w:t>)</w:t>
      </w:r>
      <w:r w:rsidR="002A105E">
        <w:rPr>
          <w:sz w:val="24"/>
          <w:szCs w:val="24"/>
        </w:rPr>
        <w:t>, which included a request for</w:t>
      </w:r>
      <w:r>
        <w:rPr>
          <w:sz w:val="24"/>
          <w:szCs w:val="24"/>
        </w:rPr>
        <w:t xml:space="preserve"> public comment</w:t>
      </w:r>
      <w:r w:rsidR="002A105E">
        <w:rPr>
          <w:sz w:val="24"/>
          <w:szCs w:val="24"/>
        </w:rPr>
        <w:t>s</w:t>
      </w:r>
      <w:r w:rsidR="00AA4A94">
        <w:rPr>
          <w:sz w:val="24"/>
          <w:szCs w:val="24"/>
        </w:rPr>
        <w:t>.</w:t>
      </w:r>
      <w:r w:rsidR="00024E02">
        <w:rPr>
          <w:sz w:val="24"/>
          <w:szCs w:val="24"/>
        </w:rPr>
        <w:t xml:space="preserve"> None were received.</w:t>
      </w:r>
    </w:p>
    <w:p w:rsidR="000A085B" w:rsidP="00BB2CFE" w:rsidRDefault="000A085B">
      <w:pPr>
        <w:rPr>
          <w:sz w:val="24"/>
          <w:szCs w:val="24"/>
        </w:rPr>
      </w:pPr>
    </w:p>
    <w:p w:rsidR="000A085B" w:rsidP="00BB2CFE" w:rsidRDefault="000A085B">
      <w:pPr>
        <w:rPr>
          <w:sz w:val="24"/>
          <w:szCs w:val="24"/>
        </w:rPr>
      </w:pPr>
      <w:r>
        <w:rPr>
          <w:sz w:val="24"/>
          <w:szCs w:val="24"/>
        </w:rPr>
        <w:t>By April 1, 2020, the NMFS’ type-approval expired for some VMS units</w:t>
      </w:r>
      <w:r w:rsidR="00126F75">
        <w:rPr>
          <w:sz w:val="24"/>
          <w:szCs w:val="24"/>
        </w:rPr>
        <w:t xml:space="preserve"> (e.g. McMurdo units)</w:t>
      </w:r>
      <w:r>
        <w:rPr>
          <w:sz w:val="24"/>
          <w:szCs w:val="24"/>
        </w:rPr>
        <w:t xml:space="preserve">. </w:t>
      </w:r>
      <w:r w:rsidR="00CA3A76">
        <w:rPr>
          <w:sz w:val="24"/>
          <w:szCs w:val="24"/>
        </w:rPr>
        <w:t xml:space="preserve">Leading up to this change, NMFS sent letters to VMS users, notifications to list serves, submit information reports to the Pacific Fishery Management Council’s public meetings, and fielded calls from potential respondents. </w:t>
      </w:r>
    </w:p>
    <w:p w:rsidR="002A1009" w:rsidP="00BB2CFE" w:rsidRDefault="002A1009">
      <w:pPr>
        <w:rPr>
          <w:sz w:val="24"/>
          <w:szCs w:val="24"/>
          <w:u w:val="single"/>
        </w:rPr>
      </w:pPr>
    </w:p>
    <w:p w:rsidRPr="00BD7237" w:rsidR="00340836" w:rsidP="00340836"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9.  </w:t>
      </w:r>
      <w:r w:rsidRPr="00BD7237" w:rsidR="00340836">
        <w:rPr>
          <w:rFonts w:ascii="Times New Roman" w:hAnsi="Times New Roman" w:cs="Times New Roman"/>
          <w:b/>
          <w:sz w:val="24"/>
          <w:szCs w:val="24"/>
        </w:rPr>
        <w:t>Explain any decision to provide any payment or gift to respondents, other than remuneration of contractors or grantees.</w:t>
      </w:r>
    </w:p>
    <w:p w:rsidRPr="00EC0D6E" w:rsidR="004F26E9" w:rsidP="00BB2CFE" w:rsidRDefault="004F26E9">
      <w:pPr>
        <w:rPr>
          <w:sz w:val="24"/>
          <w:szCs w:val="24"/>
        </w:rPr>
      </w:pPr>
    </w:p>
    <w:p w:rsidRPr="00EC0D6E" w:rsidR="0061588B" w:rsidP="00BB2CFE" w:rsidRDefault="0061588B">
      <w:pPr>
        <w:rPr>
          <w:sz w:val="24"/>
          <w:szCs w:val="24"/>
        </w:rPr>
      </w:pPr>
      <w:r w:rsidRPr="00EC0D6E">
        <w:rPr>
          <w:sz w:val="24"/>
          <w:szCs w:val="24"/>
        </w:rPr>
        <w:t>No payments or gifts are provided.</w:t>
      </w:r>
    </w:p>
    <w:p w:rsidRPr="00EC0D6E" w:rsidR="004F26E9" w:rsidP="00BB2CFE" w:rsidRDefault="004F26E9">
      <w:pPr>
        <w:rPr>
          <w:sz w:val="24"/>
          <w:szCs w:val="24"/>
        </w:rPr>
      </w:pPr>
    </w:p>
    <w:p w:rsidRPr="00BD7237" w:rsidR="00340836" w:rsidP="00340836"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10.  </w:t>
      </w:r>
      <w:r w:rsidRPr="00BD7237" w:rsidR="00340836">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EC0D6E" w:rsidR="00F0795F" w:rsidP="00BB2CFE" w:rsidRDefault="00F0795F">
      <w:pPr>
        <w:rPr>
          <w:sz w:val="24"/>
          <w:szCs w:val="24"/>
        </w:rPr>
      </w:pPr>
    </w:p>
    <w:p w:rsidR="00AD23DF" w:rsidP="00BB2CFE" w:rsidRDefault="00AD23DF">
      <w:pPr>
        <w:rPr>
          <w:sz w:val="24"/>
          <w:szCs w:val="24"/>
        </w:rPr>
      </w:pPr>
      <w:r w:rsidRPr="00AD23DF">
        <w:rPr>
          <w:sz w:val="24"/>
          <w:szCs w:val="24"/>
        </w:rPr>
        <w:t>A</w:t>
      </w:r>
      <w:r w:rsidR="00002575">
        <w:rPr>
          <w:sz w:val="24"/>
          <w:szCs w:val="24"/>
        </w:rPr>
        <w:t>s stated in the regulations, a</w:t>
      </w:r>
      <w:r w:rsidRPr="00AD23DF">
        <w:rPr>
          <w:sz w:val="24"/>
          <w:szCs w:val="24"/>
        </w:rPr>
        <w:t>ll data are collected by NMFS and will also be availab</w:t>
      </w:r>
      <w:r>
        <w:rPr>
          <w:sz w:val="24"/>
          <w:szCs w:val="24"/>
        </w:rPr>
        <w:t xml:space="preserve">le to the U.S. Coast Guard </w:t>
      </w:r>
      <w:r w:rsidRPr="00AD23DF">
        <w:rPr>
          <w:sz w:val="24"/>
          <w:szCs w:val="24"/>
        </w:rPr>
        <w:t>as well as other parties</w:t>
      </w:r>
      <w:r>
        <w:rPr>
          <w:sz w:val="24"/>
          <w:szCs w:val="24"/>
        </w:rPr>
        <w:t xml:space="preserve"> </w:t>
      </w:r>
      <w:r w:rsidR="00E046F9">
        <w:rPr>
          <w:sz w:val="24"/>
          <w:szCs w:val="24"/>
        </w:rPr>
        <w:t>with</w:t>
      </w:r>
      <w:r w:rsidRPr="00AD23DF">
        <w:rPr>
          <w:sz w:val="24"/>
          <w:szCs w:val="24"/>
        </w:rPr>
        <w:t xml:space="preserve"> authorization to receive and use the data pursuant to applicable policies and</w:t>
      </w:r>
      <w:r>
        <w:rPr>
          <w:sz w:val="24"/>
          <w:szCs w:val="24"/>
        </w:rPr>
        <w:t xml:space="preserve"> </w:t>
      </w:r>
      <w:r w:rsidRPr="00AD23DF">
        <w:rPr>
          <w:sz w:val="24"/>
          <w:szCs w:val="24"/>
        </w:rPr>
        <w:t xml:space="preserve">procedures (per NOAA Directive 06-101 </w:t>
      </w:r>
      <w:r w:rsidRPr="00AD23DF">
        <w:rPr>
          <w:i/>
          <w:iCs/>
          <w:sz w:val="24"/>
          <w:szCs w:val="24"/>
        </w:rPr>
        <w:t>VMS Data Access and Dissemination Policy</w:t>
      </w:r>
      <w:r w:rsidRPr="00AD23DF">
        <w:rPr>
          <w:sz w:val="24"/>
          <w:szCs w:val="24"/>
        </w:rPr>
        <w:t>, and</w:t>
      </w:r>
      <w:r>
        <w:rPr>
          <w:sz w:val="24"/>
          <w:szCs w:val="24"/>
        </w:rPr>
        <w:t xml:space="preserve"> </w:t>
      </w:r>
      <w:r w:rsidRPr="00AD23DF">
        <w:rPr>
          <w:sz w:val="24"/>
          <w:szCs w:val="24"/>
        </w:rPr>
        <w:t xml:space="preserve">NOAA Administrative Order (NAO) 216-100 </w:t>
      </w:r>
      <w:r w:rsidRPr="00AD23DF">
        <w:rPr>
          <w:i/>
          <w:iCs/>
          <w:sz w:val="24"/>
          <w:szCs w:val="24"/>
        </w:rPr>
        <w:t>Protection of Confidential Fisheries Statistics</w:t>
      </w:r>
      <w:r w:rsidRPr="00AD23DF">
        <w:rPr>
          <w:sz w:val="24"/>
          <w:szCs w:val="24"/>
        </w:rPr>
        <w:t>).</w:t>
      </w:r>
      <w:r>
        <w:rPr>
          <w:sz w:val="24"/>
          <w:szCs w:val="24"/>
        </w:rPr>
        <w:t xml:space="preserve"> </w:t>
      </w:r>
      <w:r w:rsidRPr="00AD23DF">
        <w:rPr>
          <w:sz w:val="24"/>
          <w:szCs w:val="24"/>
        </w:rPr>
        <w:t>Any of the collected information used by NMFS in the</w:t>
      </w:r>
      <w:r>
        <w:rPr>
          <w:sz w:val="24"/>
          <w:szCs w:val="24"/>
        </w:rPr>
        <w:t xml:space="preserve"> </w:t>
      </w:r>
      <w:r w:rsidRPr="00AD23DF">
        <w:rPr>
          <w:sz w:val="24"/>
          <w:szCs w:val="24"/>
        </w:rPr>
        <w:t>preparation of publicly disseminated information would be aggregated and /or summarized</w:t>
      </w:r>
      <w:r>
        <w:rPr>
          <w:sz w:val="24"/>
          <w:szCs w:val="24"/>
        </w:rPr>
        <w:t xml:space="preserve"> </w:t>
      </w:r>
      <w:r w:rsidRPr="00AD23DF">
        <w:rPr>
          <w:sz w:val="24"/>
          <w:szCs w:val="24"/>
        </w:rPr>
        <w:t>to maintain the confidentiality of the information pertaining to the individual vessels.</w:t>
      </w:r>
    </w:p>
    <w:p w:rsidRPr="00EC0D6E" w:rsidR="004F26E9" w:rsidP="00BB2CFE" w:rsidRDefault="004F26E9">
      <w:pPr>
        <w:rPr>
          <w:sz w:val="24"/>
          <w:szCs w:val="24"/>
        </w:rPr>
      </w:pPr>
    </w:p>
    <w:p w:rsidRPr="00BD7237" w:rsidR="002E1247" w:rsidP="002E1247"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11.  </w:t>
      </w:r>
      <w:r w:rsidRPr="00BD7237" w:rsidR="002E124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C0D6E" w:rsidR="004F26E9" w:rsidP="00BB2CFE" w:rsidRDefault="004F26E9">
      <w:pPr>
        <w:rPr>
          <w:sz w:val="24"/>
          <w:szCs w:val="24"/>
        </w:rPr>
      </w:pPr>
    </w:p>
    <w:p w:rsidRPr="00EC0D6E" w:rsidR="004F26E9" w:rsidP="00BB2CFE" w:rsidRDefault="0043318A">
      <w:pPr>
        <w:rPr>
          <w:sz w:val="24"/>
          <w:szCs w:val="24"/>
        </w:rPr>
      </w:pPr>
      <w:r w:rsidRPr="00EC0D6E">
        <w:rPr>
          <w:sz w:val="24"/>
          <w:szCs w:val="24"/>
        </w:rPr>
        <w:t>No questions are asked of a sensitive nature.</w:t>
      </w:r>
    </w:p>
    <w:p w:rsidRPr="00EC0D6E" w:rsidR="004F26E9" w:rsidP="00BB2CFE" w:rsidRDefault="004F26E9">
      <w:pPr>
        <w:rPr>
          <w:sz w:val="24"/>
          <w:szCs w:val="24"/>
        </w:rPr>
      </w:pPr>
    </w:p>
    <w:p w:rsidRPr="00BD7237" w:rsidR="002E1247" w:rsidP="002E1247"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12.  </w:t>
      </w:r>
      <w:r w:rsidRPr="00BD7237" w:rsidR="002E1247">
        <w:rPr>
          <w:rFonts w:ascii="Times New Roman" w:hAnsi="Times New Roman" w:cs="Times New Roman"/>
          <w:b/>
          <w:sz w:val="24"/>
          <w:szCs w:val="24"/>
        </w:rPr>
        <w:t>Provide estimates of the hour burden of the collection of information.</w:t>
      </w:r>
    </w:p>
    <w:p w:rsidR="00E418F8" w:rsidP="00BB2CFE" w:rsidRDefault="00E418F8">
      <w:pPr>
        <w:rPr>
          <w:sz w:val="24"/>
          <w:szCs w:val="24"/>
        </w:rPr>
      </w:pPr>
    </w:p>
    <w:tbl>
      <w:tblPr>
        <w:tblW w:w="9705" w:type="dxa"/>
        <w:tblInd w:w="-602" w:type="dxa"/>
        <w:tblLook w:val="04A0" w:firstRow="1" w:lastRow="0" w:firstColumn="1" w:lastColumn="0" w:noHBand="0" w:noVBand="1"/>
      </w:tblPr>
      <w:tblGrid>
        <w:gridCol w:w="2091"/>
        <w:gridCol w:w="1348"/>
        <w:gridCol w:w="1080"/>
        <w:gridCol w:w="1016"/>
        <w:gridCol w:w="1220"/>
        <w:gridCol w:w="965"/>
        <w:gridCol w:w="1220"/>
        <w:gridCol w:w="1066"/>
        <w:gridCol w:w="831"/>
      </w:tblGrid>
      <w:tr w:rsidRPr="005F396E" w:rsidR="005F396E" w:rsidTr="005F396E">
        <w:trPr>
          <w:trHeight w:val="1263"/>
        </w:trPr>
        <w:tc>
          <w:tcPr>
            <w:tcW w:w="2091"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5F396E" w:rsidR="005F396E" w:rsidP="005F396E" w:rsidRDefault="005F396E">
            <w:pPr>
              <w:widowControl/>
              <w:autoSpaceDE/>
              <w:autoSpaceDN/>
              <w:adjustRightInd/>
              <w:jc w:val="center"/>
              <w:rPr>
                <w:rFonts w:ascii="Calibri" w:hAnsi="Calibri" w:cs="Calibri"/>
                <w:b/>
                <w:bCs/>
                <w:color w:val="000000"/>
                <w:sz w:val="16"/>
                <w:szCs w:val="16"/>
              </w:rPr>
            </w:pPr>
            <w:r w:rsidRPr="005F396E">
              <w:rPr>
                <w:rFonts w:ascii="Calibri" w:hAnsi="Calibri" w:cs="Calibri"/>
                <w:b/>
                <w:bCs/>
                <w:color w:val="000000"/>
                <w:sz w:val="16"/>
                <w:szCs w:val="16"/>
              </w:rPr>
              <w:t>Information Collection</w:t>
            </w:r>
          </w:p>
        </w:tc>
        <w:tc>
          <w:tcPr>
            <w:tcW w:w="1149" w:type="dxa"/>
            <w:tcBorders>
              <w:top w:val="single" w:color="auto" w:sz="8" w:space="0"/>
              <w:left w:val="nil"/>
              <w:bottom w:val="single" w:color="auto" w:sz="8" w:space="0"/>
              <w:right w:val="single" w:color="000000" w:sz="8" w:space="0"/>
            </w:tcBorders>
            <w:shd w:val="clear" w:color="000000" w:fill="BDD7EE"/>
            <w:vAlign w:val="center"/>
            <w:hideMark/>
          </w:tcPr>
          <w:p w:rsidRPr="005F396E" w:rsidR="005F396E" w:rsidP="005F396E" w:rsidRDefault="005F396E">
            <w:pPr>
              <w:widowControl/>
              <w:autoSpaceDE/>
              <w:autoSpaceDN/>
              <w:adjustRightInd/>
              <w:jc w:val="center"/>
              <w:rPr>
                <w:rFonts w:ascii="Calibri" w:hAnsi="Calibri" w:cs="Calibri"/>
                <w:b/>
                <w:bCs/>
                <w:color w:val="000000"/>
                <w:sz w:val="16"/>
                <w:szCs w:val="16"/>
              </w:rPr>
            </w:pPr>
            <w:r w:rsidRPr="005F396E">
              <w:rPr>
                <w:rFonts w:ascii="Calibri" w:hAnsi="Calibri" w:cs="Calibri"/>
                <w:b/>
                <w:bCs/>
                <w:color w:val="000000"/>
                <w:sz w:val="16"/>
                <w:szCs w:val="16"/>
              </w:rPr>
              <w:t>Type of Respondent (e.g., Occupational Title)</w:t>
            </w:r>
          </w:p>
        </w:tc>
        <w:tc>
          <w:tcPr>
            <w:tcW w:w="920" w:type="dxa"/>
            <w:tcBorders>
              <w:top w:val="single" w:color="auto" w:sz="8" w:space="0"/>
              <w:left w:val="nil"/>
              <w:bottom w:val="single" w:color="auto" w:sz="8" w:space="0"/>
              <w:right w:val="single" w:color="000000" w:sz="8" w:space="0"/>
            </w:tcBorders>
            <w:shd w:val="clear" w:color="000000" w:fill="BDD7EE"/>
            <w:vAlign w:val="center"/>
            <w:hideMark/>
          </w:tcPr>
          <w:p w:rsidRPr="005F396E" w:rsidR="005F396E" w:rsidP="005F396E" w:rsidRDefault="005F396E">
            <w:pPr>
              <w:widowControl/>
              <w:autoSpaceDE/>
              <w:autoSpaceDN/>
              <w:adjustRightInd/>
              <w:jc w:val="center"/>
              <w:rPr>
                <w:rFonts w:ascii="Calibri" w:hAnsi="Calibri" w:cs="Calibri"/>
                <w:b/>
                <w:bCs/>
                <w:color w:val="000000"/>
                <w:sz w:val="16"/>
                <w:szCs w:val="16"/>
              </w:rPr>
            </w:pPr>
            <w:r w:rsidRPr="005F396E">
              <w:rPr>
                <w:rFonts w:ascii="Calibri" w:hAnsi="Calibri" w:cs="Calibri"/>
                <w:b/>
                <w:bCs/>
                <w:color w:val="000000"/>
                <w:sz w:val="16"/>
                <w:szCs w:val="16"/>
              </w:rPr>
              <w:t># of Respondents</w:t>
            </w:r>
            <w:r w:rsidRPr="005F396E">
              <w:rPr>
                <w:rFonts w:ascii="Calibri" w:hAnsi="Calibri" w:cs="Calibri"/>
                <w:b/>
                <w:bCs/>
                <w:color w:val="000000"/>
                <w:sz w:val="16"/>
                <w:szCs w:val="16"/>
              </w:rPr>
              <w:br/>
              <w:t>(a)</w:t>
            </w:r>
          </w:p>
        </w:tc>
        <w:tc>
          <w:tcPr>
            <w:tcW w:w="866" w:type="dxa"/>
            <w:tcBorders>
              <w:top w:val="single" w:color="auto" w:sz="8" w:space="0"/>
              <w:left w:val="nil"/>
              <w:bottom w:val="single" w:color="auto" w:sz="8" w:space="0"/>
              <w:right w:val="single" w:color="auto" w:sz="8" w:space="0"/>
            </w:tcBorders>
            <w:shd w:val="clear" w:color="000000" w:fill="BDD7EE"/>
            <w:vAlign w:val="center"/>
            <w:hideMark/>
          </w:tcPr>
          <w:p w:rsidRPr="005F396E" w:rsidR="005F396E" w:rsidP="005F396E" w:rsidRDefault="005F396E">
            <w:pPr>
              <w:widowControl/>
              <w:autoSpaceDE/>
              <w:autoSpaceDN/>
              <w:adjustRightInd/>
              <w:jc w:val="center"/>
              <w:rPr>
                <w:rFonts w:ascii="Calibri" w:hAnsi="Calibri" w:cs="Calibri"/>
                <w:b/>
                <w:bCs/>
                <w:color w:val="000000"/>
                <w:sz w:val="16"/>
                <w:szCs w:val="16"/>
              </w:rPr>
            </w:pPr>
            <w:r w:rsidRPr="005F396E">
              <w:rPr>
                <w:rFonts w:ascii="Calibri" w:hAnsi="Calibri" w:cs="Calibri"/>
                <w:b/>
                <w:bCs/>
                <w:color w:val="000000"/>
                <w:sz w:val="16"/>
                <w:szCs w:val="16"/>
              </w:rPr>
              <w:t>Annual # of Responses / Respondent</w:t>
            </w:r>
            <w:r w:rsidRPr="005F396E">
              <w:rPr>
                <w:rFonts w:ascii="Calibri" w:hAnsi="Calibri" w:cs="Calibri"/>
                <w:b/>
                <w:bCs/>
                <w:color w:val="000000"/>
                <w:sz w:val="16"/>
                <w:szCs w:val="16"/>
              </w:rPr>
              <w:br/>
              <w:t>(b)</w:t>
            </w:r>
          </w:p>
        </w:tc>
        <w:tc>
          <w:tcPr>
            <w:tcW w:w="1040" w:type="dxa"/>
            <w:tcBorders>
              <w:top w:val="single" w:color="auto" w:sz="8" w:space="0"/>
              <w:left w:val="nil"/>
              <w:bottom w:val="single" w:color="auto" w:sz="8" w:space="0"/>
              <w:right w:val="single" w:color="auto" w:sz="8" w:space="0"/>
            </w:tcBorders>
            <w:shd w:val="clear" w:color="000000" w:fill="BDD7EE"/>
            <w:vAlign w:val="center"/>
            <w:hideMark/>
          </w:tcPr>
          <w:p w:rsidRPr="005F396E" w:rsidR="005F396E" w:rsidP="005F396E" w:rsidRDefault="005F396E">
            <w:pPr>
              <w:widowControl/>
              <w:autoSpaceDE/>
              <w:autoSpaceDN/>
              <w:adjustRightInd/>
              <w:jc w:val="center"/>
              <w:rPr>
                <w:rFonts w:ascii="Calibri" w:hAnsi="Calibri" w:cs="Calibri"/>
                <w:b/>
                <w:bCs/>
                <w:color w:val="000000"/>
                <w:sz w:val="16"/>
                <w:szCs w:val="16"/>
              </w:rPr>
            </w:pPr>
            <w:r w:rsidRPr="005F396E">
              <w:rPr>
                <w:rFonts w:ascii="Calibri" w:hAnsi="Calibri" w:cs="Calibri"/>
                <w:b/>
                <w:bCs/>
                <w:color w:val="000000"/>
                <w:sz w:val="16"/>
                <w:szCs w:val="16"/>
              </w:rPr>
              <w:t xml:space="preserve"> Total # of Annual Responses</w:t>
            </w:r>
            <w:r w:rsidRPr="005F396E">
              <w:rPr>
                <w:rFonts w:ascii="Calibri" w:hAnsi="Calibri" w:cs="Calibri"/>
                <w:b/>
                <w:bCs/>
                <w:color w:val="000000"/>
                <w:sz w:val="16"/>
                <w:szCs w:val="16"/>
              </w:rPr>
              <w:br/>
              <w:t>(c) = (a) x (b)</w:t>
            </w:r>
          </w:p>
        </w:tc>
        <w:tc>
          <w:tcPr>
            <w:tcW w:w="965" w:type="dxa"/>
            <w:tcBorders>
              <w:top w:val="single" w:color="auto" w:sz="8" w:space="0"/>
              <w:left w:val="nil"/>
              <w:bottom w:val="single" w:color="auto" w:sz="8" w:space="0"/>
              <w:right w:val="single" w:color="auto" w:sz="8" w:space="0"/>
            </w:tcBorders>
            <w:shd w:val="clear" w:color="000000" w:fill="BDD7EE"/>
            <w:vAlign w:val="center"/>
            <w:hideMark/>
          </w:tcPr>
          <w:p w:rsidRPr="005F396E" w:rsidR="005F396E" w:rsidP="005F396E" w:rsidRDefault="005F396E">
            <w:pPr>
              <w:widowControl/>
              <w:autoSpaceDE/>
              <w:autoSpaceDN/>
              <w:adjustRightInd/>
              <w:jc w:val="center"/>
              <w:rPr>
                <w:rFonts w:ascii="Calibri" w:hAnsi="Calibri" w:cs="Calibri"/>
                <w:b/>
                <w:bCs/>
                <w:color w:val="000000"/>
                <w:sz w:val="16"/>
                <w:szCs w:val="16"/>
              </w:rPr>
            </w:pPr>
            <w:r w:rsidRPr="005F396E">
              <w:rPr>
                <w:rFonts w:ascii="Calibri" w:hAnsi="Calibri" w:cs="Calibri"/>
                <w:b/>
                <w:bCs/>
                <w:color w:val="000000"/>
                <w:sz w:val="16"/>
                <w:szCs w:val="16"/>
              </w:rPr>
              <w:t>Burden Hrs / Response</w:t>
            </w:r>
            <w:r w:rsidRPr="005F396E">
              <w:rPr>
                <w:rFonts w:ascii="Calibri" w:hAnsi="Calibri" w:cs="Calibri"/>
                <w:b/>
                <w:bCs/>
                <w:color w:val="000000"/>
                <w:sz w:val="16"/>
                <w:szCs w:val="16"/>
              </w:rPr>
              <w:br/>
              <w:t>(d)</w:t>
            </w:r>
          </w:p>
        </w:tc>
        <w:tc>
          <w:tcPr>
            <w:tcW w:w="1040" w:type="dxa"/>
            <w:tcBorders>
              <w:top w:val="single" w:color="auto" w:sz="8" w:space="0"/>
              <w:left w:val="nil"/>
              <w:bottom w:val="single" w:color="auto" w:sz="8" w:space="0"/>
              <w:right w:val="single" w:color="auto" w:sz="8" w:space="0"/>
            </w:tcBorders>
            <w:shd w:val="clear" w:color="000000" w:fill="BDD7EE"/>
            <w:vAlign w:val="center"/>
            <w:hideMark/>
          </w:tcPr>
          <w:p w:rsidRPr="005F396E" w:rsidR="005F396E" w:rsidP="005F396E" w:rsidRDefault="005F396E">
            <w:pPr>
              <w:widowControl/>
              <w:autoSpaceDE/>
              <w:autoSpaceDN/>
              <w:adjustRightInd/>
              <w:jc w:val="center"/>
              <w:rPr>
                <w:rFonts w:ascii="Calibri" w:hAnsi="Calibri" w:cs="Calibri"/>
                <w:b/>
                <w:bCs/>
                <w:color w:val="000000"/>
                <w:sz w:val="16"/>
                <w:szCs w:val="16"/>
              </w:rPr>
            </w:pPr>
            <w:r w:rsidRPr="005F396E">
              <w:rPr>
                <w:rFonts w:ascii="Calibri" w:hAnsi="Calibri" w:cs="Calibri"/>
                <w:b/>
                <w:bCs/>
                <w:color w:val="000000"/>
                <w:sz w:val="16"/>
                <w:szCs w:val="16"/>
              </w:rPr>
              <w:t>Total Annual Burden Hrs</w:t>
            </w:r>
            <w:r w:rsidRPr="005F396E">
              <w:rPr>
                <w:rFonts w:ascii="Calibri" w:hAnsi="Calibri" w:cs="Calibri"/>
                <w:b/>
                <w:bCs/>
                <w:color w:val="000000"/>
                <w:sz w:val="16"/>
                <w:szCs w:val="16"/>
              </w:rPr>
              <w:br/>
              <w:t>(e)  = (c) x (d)</w:t>
            </w:r>
          </w:p>
        </w:tc>
        <w:tc>
          <w:tcPr>
            <w:tcW w:w="908" w:type="dxa"/>
            <w:tcBorders>
              <w:top w:val="single" w:color="auto" w:sz="8" w:space="0"/>
              <w:left w:val="nil"/>
              <w:bottom w:val="single" w:color="auto" w:sz="8" w:space="0"/>
              <w:right w:val="single" w:color="auto" w:sz="8" w:space="0"/>
            </w:tcBorders>
            <w:shd w:val="clear" w:color="000000" w:fill="BDD7EE"/>
            <w:vAlign w:val="center"/>
            <w:hideMark/>
          </w:tcPr>
          <w:p w:rsidRPr="005F396E" w:rsidR="005F396E" w:rsidP="005F396E" w:rsidRDefault="005F396E">
            <w:pPr>
              <w:widowControl/>
              <w:autoSpaceDE/>
              <w:autoSpaceDN/>
              <w:adjustRightInd/>
              <w:jc w:val="center"/>
              <w:rPr>
                <w:rFonts w:ascii="Calibri" w:hAnsi="Calibri" w:cs="Calibri"/>
                <w:b/>
                <w:bCs/>
                <w:color w:val="000000"/>
                <w:sz w:val="16"/>
                <w:szCs w:val="16"/>
              </w:rPr>
            </w:pPr>
            <w:r w:rsidRPr="005F396E">
              <w:rPr>
                <w:rFonts w:ascii="Calibri" w:hAnsi="Calibri" w:cs="Calibri"/>
                <w:b/>
                <w:bCs/>
                <w:color w:val="000000"/>
                <w:sz w:val="16"/>
                <w:szCs w:val="16"/>
              </w:rPr>
              <w:t>Hourly Wage Rate  (for Type of Respondent)</w:t>
            </w:r>
            <w:r w:rsidRPr="005F396E">
              <w:rPr>
                <w:rFonts w:ascii="Calibri" w:hAnsi="Calibri" w:cs="Calibri"/>
                <w:b/>
                <w:bCs/>
                <w:color w:val="000000"/>
                <w:sz w:val="16"/>
                <w:szCs w:val="16"/>
              </w:rPr>
              <w:br/>
              <w:t>(f)</w:t>
            </w:r>
          </w:p>
        </w:tc>
        <w:tc>
          <w:tcPr>
            <w:tcW w:w="726" w:type="dxa"/>
            <w:tcBorders>
              <w:top w:val="single" w:color="auto" w:sz="8" w:space="0"/>
              <w:left w:val="nil"/>
              <w:bottom w:val="single" w:color="auto" w:sz="8" w:space="0"/>
              <w:right w:val="single" w:color="auto" w:sz="8" w:space="0"/>
            </w:tcBorders>
            <w:shd w:val="clear" w:color="000000" w:fill="BDD7EE"/>
            <w:vAlign w:val="center"/>
            <w:hideMark/>
          </w:tcPr>
          <w:p w:rsidRPr="005F396E" w:rsidR="005F396E" w:rsidP="005F396E" w:rsidRDefault="005F396E">
            <w:pPr>
              <w:widowControl/>
              <w:autoSpaceDE/>
              <w:autoSpaceDN/>
              <w:adjustRightInd/>
              <w:jc w:val="center"/>
              <w:rPr>
                <w:rFonts w:ascii="Calibri" w:hAnsi="Calibri" w:cs="Calibri"/>
                <w:b/>
                <w:bCs/>
                <w:color w:val="000000"/>
                <w:sz w:val="16"/>
                <w:szCs w:val="16"/>
              </w:rPr>
            </w:pPr>
            <w:r w:rsidRPr="005F396E">
              <w:rPr>
                <w:rFonts w:ascii="Calibri" w:hAnsi="Calibri" w:cs="Calibri"/>
                <w:b/>
                <w:bCs/>
                <w:color w:val="000000"/>
                <w:sz w:val="16"/>
                <w:szCs w:val="16"/>
              </w:rPr>
              <w:t>Total Annual Wage Burden Costs</w:t>
            </w:r>
            <w:r w:rsidRPr="005F396E">
              <w:rPr>
                <w:rFonts w:ascii="Calibri" w:hAnsi="Calibri" w:cs="Calibri"/>
                <w:b/>
                <w:bCs/>
                <w:color w:val="000000"/>
                <w:sz w:val="16"/>
                <w:szCs w:val="16"/>
              </w:rPr>
              <w:br/>
              <w:t>(g) = (e) x (f)</w:t>
            </w:r>
          </w:p>
        </w:tc>
      </w:tr>
      <w:tr w:rsidRPr="005F396E" w:rsidR="005F396E" w:rsidTr="005F396E">
        <w:trPr>
          <w:trHeight w:val="668"/>
        </w:trPr>
        <w:tc>
          <w:tcPr>
            <w:tcW w:w="2091" w:type="dxa"/>
            <w:tcBorders>
              <w:top w:val="nil"/>
              <w:left w:val="single" w:color="auto" w:sz="8" w:space="0"/>
              <w:bottom w:val="single" w:color="auto" w:sz="4" w:space="0"/>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One-time install of a VMS unit </w:t>
            </w:r>
          </w:p>
        </w:tc>
        <w:tc>
          <w:tcPr>
            <w:tcW w:w="1149" w:type="dxa"/>
            <w:tcBorders>
              <w:top w:val="nil"/>
              <w:left w:val="nil"/>
              <w:bottom w:val="single" w:color="auto" w:sz="4" w:space="0"/>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Electrician </w:t>
            </w:r>
          </w:p>
        </w:tc>
        <w:tc>
          <w:tcPr>
            <w:tcW w:w="920" w:type="dxa"/>
            <w:tcBorders>
              <w:top w:val="nil"/>
              <w:left w:val="nil"/>
              <w:bottom w:val="single" w:color="auto" w:sz="4" w:space="0"/>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53</w:t>
            </w:r>
          </w:p>
        </w:tc>
        <w:tc>
          <w:tcPr>
            <w:tcW w:w="866" w:type="dxa"/>
            <w:tcBorders>
              <w:top w:val="nil"/>
              <w:left w:val="nil"/>
              <w:bottom w:val="single" w:color="auto" w:sz="4" w:space="0"/>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0.33</w:t>
            </w:r>
          </w:p>
        </w:tc>
        <w:tc>
          <w:tcPr>
            <w:tcW w:w="1040" w:type="dxa"/>
            <w:tcBorders>
              <w:top w:val="nil"/>
              <w:left w:val="nil"/>
              <w:bottom w:val="single" w:color="auto" w:sz="4" w:space="0"/>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18 (annualized)</w:t>
            </w:r>
          </w:p>
        </w:tc>
        <w:tc>
          <w:tcPr>
            <w:tcW w:w="965" w:type="dxa"/>
            <w:tcBorders>
              <w:top w:val="nil"/>
              <w:left w:val="nil"/>
              <w:bottom w:val="single" w:color="auto" w:sz="4" w:space="0"/>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4hr install </w:t>
            </w:r>
          </w:p>
        </w:tc>
        <w:tc>
          <w:tcPr>
            <w:tcW w:w="1040" w:type="dxa"/>
            <w:tcBorders>
              <w:top w:val="nil"/>
              <w:left w:val="nil"/>
              <w:bottom w:val="single" w:color="auto" w:sz="4" w:space="0"/>
              <w:right w:val="single" w:color="auto" w:sz="8" w:space="0"/>
            </w:tcBorders>
            <w:shd w:val="clear" w:color="auto" w:fill="auto"/>
            <w:hideMark/>
          </w:tcPr>
          <w:p w:rsidRPr="005F396E" w:rsidR="005F396E" w:rsidP="008070E8" w:rsidRDefault="008070E8">
            <w:pPr>
              <w:widowControl/>
              <w:autoSpaceDE/>
              <w:autoSpaceDN/>
              <w:adjustRightInd/>
              <w:rPr>
                <w:rFonts w:ascii="Calibri" w:hAnsi="Calibri" w:cs="Calibri"/>
                <w:color w:val="000000"/>
              </w:rPr>
            </w:pPr>
            <w:r w:rsidRPr="005F396E">
              <w:rPr>
                <w:rFonts w:ascii="Calibri" w:hAnsi="Calibri" w:cs="Calibri"/>
                <w:color w:val="000000"/>
              </w:rPr>
              <w:t>7</w:t>
            </w:r>
            <w:r>
              <w:rPr>
                <w:rFonts w:ascii="Calibri" w:hAnsi="Calibri" w:cs="Calibri"/>
                <w:color w:val="000000"/>
              </w:rPr>
              <w:t>2</w:t>
            </w:r>
            <w:r w:rsidRPr="005F396E">
              <w:rPr>
                <w:rFonts w:ascii="Calibri" w:hAnsi="Calibri" w:cs="Calibri"/>
                <w:color w:val="000000"/>
              </w:rPr>
              <w:t xml:space="preserve"> </w:t>
            </w:r>
            <w:r w:rsidRPr="005F396E" w:rsidR="005F396E">
              <w:rPr>
                <w:rFonts w:ascii="Calibri" w:hAnsi="Calibri" w:cs="Calibri"/>
                <w:color w:val="000000"/>
              </w:rPr>
              <w:t xml:space="preserve">(annualized) </w:t>
            </w:r>
          </w:p>
        </w:tc>
        <w:tc>
          <w:tcPr>
            <w:tcW w:w="908" w:type="dxa"/>
            <w:tcBorders>
              <w:top w:val="nil"/>
              <w:left w:val="nil"/>
              <w:bottom w:val="single" w:color="auto" w:sz="4" w:space="0"/>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$29.55 </w:t>
            </w:r>
          </w:p>
        </w:tc>
        <w:tc>
          <w:tcPr>
            <w:tcW w:w="726" w:type="dxa"/>
            <w:tcBorders>
              <w:top w:val="nil"/>
              <w:left w:val="nil"/>
              <w:bottom w:val="single" w:color="auto" w:sz="4" w:space="0"/>
              <w:right w:val="single" w:color="auto" w:sz="8" w:space="0"/>
            </w:tcBorders>
            <w:shd w:val="clear" w:color="auto" w:fill="auto"/>
            <w:hideMark/>
          </w:tcPr>
          <w:p w:rsidRPr="005F396E" w:rsidR="005F396E" w:rsidP="008070E8" w:rsidRDefault="005F396E">
            <w:pPr>
              <w:widowControl/>
              <w:autoSpaceDE/>
              <w:autoSpaceDN/>
              <w:adjustRightInd/>
              <w:rPr>
                <w:rFonts w:ascii="Calibri" w:hAnsi="Calibri" w:cs="Calibri"/>
                <w:color w:val="000000"/>
              </w:rPr>
            </w:pPr>
            <w:r w:rsidRPr="005F396E">
              <w:rPr>
                <w:rFonts w:ascii="Calibri" w:hAnsi="Calibri" w:cs="Calibri"/>
                <w:color w:val="000000"/>
              </w:rPr>
              <w:t>$2,</w:t>
            </w:r>
            <w:r w:rsidR="008070E8">
              <w:rPr>
                <w:rFonts w:ascii="Calibri" w:hAnsi="Calibri" w:cs="Calibri"/>
                <w:color w:val="000000"/>
              </w:rPr>
              <w:t>128</w:t>
            </w:r>
            <w:r w:rsidRPr="005F396E" w:rsidR="008070E8">
              <w:rPr>
                <w:rFonts w:ascii="Calibri" w:hAnsi="Calibri" w:cs="Calibri"/>
                <w:color w:val="000000"/>
              </w:rPr>
              <w:t xml:space="preserve"> </w:t>
            </w:r>
          </w:p>
        </w:tc>
      </w:tr>
      <w:tr w:rsidRPr="005F396E" w:rsidR="005F396E" w:rsidTr="005F396E">
        <w:trPr>
          <w:trHeight w:val="668"/>
        </w:trPr>
        <w:tc>
          <w:tcPr>
            <w:tcW w:w="2091" w:type="dxa"/>
            <w:tcBorders>
              <w:top w:val="nil"/>
              <w:left w:val="single" w:color="auto" w:sz="8" w:space="0"/>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Repair/maintain VMS unit </w:t>
            </w:r>
          </w:p>
        </w:tc>
        <w:tc>
          <w:tcPr>
            <w:tcW w:w="1149"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Electrician </w:t>
            </w:r>
          </w:p>
        </w:tc>
        <w:tc>
          <w:tcPr>
            <w:tcW w:w="92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53</w:t>
            </w:r>
          </w:p>
        </w:tc>
        <w:tc>
          <w:tcPr>
            <w:tcW w:w="866"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1</w:t>
            </w:r>
          </w:p>
        </w:tc>
        <w:tc>
          <w:tcPr>
            <w:tcW w:w="104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53</w:t>
            </w:r>
          </w:p>
        </w:tc>
        <w:tc>
          <w:tcPr>
            <w:tcW w:w="965"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1 hr repair </w:t>
            </w:r>
          </w:p>
        </w:tc>
        <w:tc>
          <w:tcPr>
            <w:tcW w:w="104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53</w:t>
            </w:r>
          </w:p>
        </w:tc>
        <w:tc>
          <w:tcPr>
            <w:tcW w:w="908"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$29.55 </w:t>
            </w:r>
          </w:p>
        </w:tc>
        <w:tc>
          <w:tcPr>
            <w:tcW w:w="726"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$1,566 </w:t>
            </w:r>
          </w:p>
        </w:tc>
      </w:tr>
      <w:tr w:rsidRPr="005F396E" w:rsidR="005F396E" w:rsidTr="005F396E">
        <w:trPr>
          <w:trHeight w:val="538"/>
        </w:trPr>
        <w:tc>
          <w:tcPr>
            <w:tcW w:w="2091" w:type="dxa"/>
            <w:tcBorders>
              <w:top w:val="nil"/>
              <w:left w:val="single" w:color="auto" w:sz="8" w:space="0"/>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Installation/activation reports </w:t>
            </w:r>
          </w:p>
        </w:tc>
        <w:tc>
          <w:tcPr>
            <w:tcW w:w="1149"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Fisherpersons </w:t>
            </w:r>
          </w:p>
        </w:tc>
        <w:tc>
          <w:tcPr>
            <w:tcW w:w="92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53</w:t>
            </w:r>
          </w:p>
        </w:tc>
        <w:tc>
          <w:tcPr>
            <w:tcW w:w="866"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0.33</w:t>
            </w:r>
          </w:p>
        </w:tc>
        <w:tc>
          <w:tcPr>
            <w:tcW w:w="104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18 (annualized)</w:t>
            </w:r>
          </w:p>
        </w:tc>
        <w:tc>
          <w:tcPr>
            <w:tcW w:w="965"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 min</w:t>
            </w:r>
          </w:p>
        </w:tc>
        <w:tc>
          <w:tcPr>
            <w:tcW w:w="104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1.5hrs</w:t>
            </w:r>
          </w:p>
        </w:tc>
        <w:tc>
          <w:tcPr>
            <w:tcW w:w="908"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$14.49 </w:t>
            </w:r>
          </w:p>
        </w:tc>
        <w:tc>
          <w:tcPr>
            <w:tcW w:w="726"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$22 </w:t>
            </w:r>
          </w:p>
        </w:tc>
      </w:tr>
      <w:tr w:rsidRPr="005F396E" w:rsidR="005F396E" w:rsidTr="005F396E">
        <w:trPr>
          <w:trHeight w:val="300"/>
        </w:trPr>
        <w:tc>
          <w:tcPr>
            <w:tcW w:w="2091" w:type="dxa"/>
            <w:tcBorders>
              <w:top w:val="nil"/>
              <w:left w:val="single" w:color="auto" w:sz="8" w:space="0"/>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“On-off” reports</w:t>
            </w:r>
          </w:p>
        </w:tc>
        <w:tc>
          <w:tcPr>
            <w:tcW w:w="1149"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Fisherpersons </w:t>
            </w:r>
          </w:p>
        </w:tc>
        <w:tc>
          <w:tcPr>
            <w:tcW w:w="92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53</w:t>
            </w:r>
          </w:p>
        </w:tc>
        <w:tc>
          <w:tcPr>
            <w:tcW w:w="866"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1</w:t>
            </w:r>
          </w:p>
        </w:tc>
        <w:tc>
          <w:tcPr>
            <w:tcW w:w="104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53</w:t>
            </w:r>
          </w:p>
        </w:tc>
        <w:tc>
          <w:tcPr>
            <w:tcW w:w="965"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 min</w:t>
            </w:r>
          </w:p>
        </w:tc>
        <w:tc>
          <w:tcPr>
            <w:tcW w:w="104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4.5 hrs </w:t>
            </w:r>
          </w:p>
        </w:tc>
        <w:tc>
          <w:tcPr>
            <w:tcW w:w="908"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$14.49 </w:t>
            </w:r>
          </w:p>
        </w:tc>
        <w:tc>
          <w:tcPr>
            <w:tcW w:w="726"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$65 </w:t>
            </w:r>
          </w:p>
        </w:tc>
      </w:tr>
      <w:tr w:rsidRPr="005F396E" w:rsidR="005F396E" w:rsidTr="005F396E">
        <w:trPr>
          <w:trHeight w:val="310"/>
        </w:trPr>
        <w:tc>
          <w:tcPr>
            <w:tcW w:w="2091" w:type="dxa"/>
            <w:tcBorders>
              <w:top w:val="nil"/>
              <w:left w:val="single" w:color="auto" w:sz="8" w:space="0"/>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Pre-trip notifications</w:t>
            </w:r>
          </w:p>
        </w:tc>
        <w:tc>
          <w:tcPr>
            <w:tcW w:w="1149"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Fisherpersons </w:t>
            </w:r>
          </w:p>
        </w:tc>
        <w:tc>
          <w:tcPr>
            <w:tcW w:w="92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53</w:t>
            </w:r>
          </w:p>
        </w:tc>
        <w:tc>
          <w:tcPr>
            <w:tcW w:w="866"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6</w:t>
            </w:r>
          </w:p>
        </w:tc>
        <w:tc>
          <w:tcPr>
            <w:tcW w:w="104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318</w:t>
            </w:r>
          </w:p>
        </w:tc>
        <w:tc>
          <w:tcPr>
            <w:tcW w:w="965"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5 min</w:t>
            </w:r>
          </w:p>
        </w:tc>
        <w:tc>
          <w:tcPr>
            <w:tcW w:w="1040"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26.5 hrs </w:t>
            </w:r>
          </w:p>
        </w:tc>
        <w:tc>
          <w:tcPr>
            <w:tcW w:w="908"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$14.49 </w:t>
            </w:r>
          </w:p>
        </w:tc>
        <w:tc>
          <w:tcPr>
            <w:tcW w:w="726" w:type="dxa"/>
            <w:tcBorders>
              <w:top w:val="nil"/>
              <w:left w:val="nil"/>
              <w:bottom w:val="nil"/>
              <w:right w:val="single" w:color="auto" w:sz="8" w:space="0"/>
            </w:tcBorders>
            <w:shd w:val="clear" w:color="auto" w:fill="auto"/>
            <w:hideMark/>
          </w:tcPr>
          <w:p w:rsidRPr="005F396E" w:rsidR="005F396E" w:rsidP="005F396E" w:rsidRDefault="005F396E">
            <w:pPr>
              <w:widowControl/>
              <w:autoSpaceDE/>
              <w:autoSpaceDN/>
              <w:adjustRightInd/>
              <w:rPr>
                <w:rFonts w:ascii="Calibri" w:hAnsi="Calibri" w:cs="Calibri"/>
                <w:color w:val="000000"/>
              </w:rPr>
            </w:pPr>
            <w:r w:rsidRPr="005F396E">
              <w:rPr>
                <w:rFonts w:ascii="Calibri" w:hAnsi="Calibri" w:cs="Calibri"/>
                <w:color w:val="000000"/>
              </w:rPr>
              <w:t xml:space="preserve">$384 </w:t>
            </w:r>
          </w:p>
        </w:tc>
      </w:tr>
      <w:tr w:rsidRPr="005F396E" w:rsidR="005F396E" w:rsidTr="005F396E">
        <w:trPr>
          <w:trHeight w:val="611"/>
        </w:trPr>
        <w:tc>
          <w:tcPr>
            <w:tcW w:w="2091"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5F396E" w:rsidR="005F396E" w:rsidP="005F396E" w:rsidRDefault="005F396E">
            <w:pPr>
              <w:widowControl/>
              <w:autoSpaceDE/>
              <w:autoSpaceDN/>
              <w:adjustRightInd/>
              <w:rPr>
                <w:rFonts w:ascii="Calibri" w:hAnsi="Calibri" w:cs="Calibri"/>
                <w:b/>
                <w:bCs/>
                <w:color w:val="000000"/>
                <w:sz w:val="22"/>
                <w:szCs w:val="22"/>
              </w:rPr>
            </w:pPr>
            <w:r w:rsidRPr="005F396E">
              <w:rPr>
                <w:rFonts w:ascii="Calibri" w:hAnsi="Calibri" w:cs="Calibri"/>
                <w:b/>
                <w:bCs/>
                <w:color w:val="000000"/>
                <w:sz w:val="22"/>
                <w:szCs w:val="22"/>
              </w:rPr>
              <w:lastRenderedPageBreak/>
              <w:t>Totals</w:t>
            </w:r>
          </w:p>
        </w:tc>
        <w:tc>
          <w:tcPr>
            <w:tcW w:w="1149" w:type="dxa"/>
            <w:tcBorders>
              <w:top w:val="single" w:color="auto" w:sz="8" w:space="0"/>
              <w:left w:val="nil"/>
              <w:bottom w:val="single" w:color="auto" w:sz="8" w:space="0"/>
              <w:right w:val="single" w:color="auto" w:sz="8" w:space="0"/>
            </w:tcBorders>
            <w:shd w:val="clear" w:color="000000" w:fill="000000"/>
            <w:noWrap/>
            <w:vAlign w:val="bottom"/>
            <w:hideMark/>
          </w:tcPr>
          <w:p w:rsidRPr="005F396E" w:rsidR="005F396E" w:rsidP="005F396E" w:rsidRDefault="005F396E">
            <w:pPr>
              <w:widowControl/>
              <w:autoSpaceDE/>
              <w:autoSpaceDN/>
              <w:adjustRightInd/>
              <w:rPr>
                <w:rFonts w:ascii="Calibri" w:hAnsi="Calibri" w:cs="Calibri"/>
                <w:b/>
                <w:bCs/>
                <w:color w:val="000000"/>
                <w:sz w:val="22"/>
                <w:szCs w:val="22"/>
              </w:rPr>
            </w:pPr>
            <w:r w:rsidRPr="005F396E">
              <w:rPr>
                <w:rFonts w:ascii="Calibri" w:hAnsi="Calibri" w:cs="Calibri"/>
                <w:b/>
                <w:bCs/>
                <w:color w:val="000000"/>
                <w:sz w:val="22"/>
                <w:szCs w:val="22"/>
              </w:rPr>
              <w:t> </w:t>
            </w:r>
          </w:p>
        </w:tc>
        <w:tc>
          <w:tcPr>
            <w:tcW w:w="920" w:type="dxa"/>
            <w:tcBorders>
              <w:top w:val="single" w:color="auto" w:sz="8" w:space="0"/>
              <w:left w:val="nil"/>
              <w:bottom w:val="single" w:color="auto" w:sz="8" w:space="0"/>
              <w:right w:val="single" w:color="auto" w:sz="8" w:space="0"/>
            </w:tcBorders>
            <w:shd w:val="clear" w:color="000000" w:fill="000000"/>
            <w:noWrap/>
            <w:vAlign w:val="bottom"/>
            <w:hideMark/>
          </w:tcPr>
          <w:p w:rsidRPr="005F396E" w:rsidR="005F396E" w:rsidP="005F396E" w:rsidRDefault="005F396E">
            <w:pPr>
              <w:widowControl/>
              <w:autoSpaceDE/>
              <w:autoSpaceDN/>
              <w:adjustRightInd/>
              <w:rPr>
                <w:rFonts w:ascii="Calibri" w:hAnsi="Calibri" w:cs="Calibri"/>
                <w:b/>
                <w:bCs/>
                <w:color w:val="000000"/>
                <w:sz w:val="22"/>
                <w:szCs w:val="22"/>
              </w:rPr>
            </w:pPr>
            <w:r w:rsidRPr="005F396E">
              <w:rPr>
                <w:rFonts w:ascii="Calibri" w:hAnsi="Calibri" w:cs="Calibri"/>
                <w:b/>
                <w:bCs/>
                <w:color w:val="000000"/>
                <w:sz w:val="22"/>
                <w:szCs w:val="22"/>
              </w:rPr>
              <w:t> </w:t>
            </w:r>
          </w:p>
        </w:tc>
        <w:tc>
          <w:tcPr>
            <w:tcW w:w="866" w:type="dxa"/>
            <w:tcBorders>
              <w:top w:val="single" w:color="auto" w:sz="8" w:space="0"/>
              <w:left w:val="nil"/>
              <w:bottom w:val="single" w:color="auto" w:sz="8" w:space="0"/>
              <w:right w:val="single" w:color="auto" w:sz="8" w:space="0"/>
            </w:tcBorders>
            <w:shd w:val="clear" w:color="000000" w:fill="000000"/>
            <w:noWrap/>
            <w:vAlign w:val="bottom"/>
            <w:hideMark/>
          </w:tcPr>
          <w:p w:rsidRPr="005F396E" w:rsidR="005F396E" w:rsidP="005F396E" w:rsidRDefault="005F396E">
            <w:pPr>
              <w:widowControl/>
              <w:autoSpaceDE/>
              <w:autoSpaceDN/>
              <w:adjustRightInd/>
              <w:rPr>
                <w:rFonts w:ascii="Calibri" w:hAnsi="Calibri" w:cs="Calibri"/>
                <w:b/>
                <w:bCs/>
                <w:color w:val="000000"/>
                <w:sz w:val="22"/>
                <w:szCs w:val="22"/>
              </w:rPr>
            </w:pPr>
            <w:r w:rsidRPr="005F396E">
              <w:rPr>
                <w:rFonts w:ascii="Calibri" w:hAnsi="Calibri" w:cs="Calibri"/>
                <w:b/>
                <w:bCs/>
                <w:color w:val="000000"/>
                <w:sz w:val="22"/>
                <w:szCs w:val="22"/>
              </w:rPr>
              <w:t> </w:t>
            </w:r>
          </w:p>
        </w:tc>
        <w:tc>
          <w:tcPr>
            <w:tcW w:w="1040" w:type="dxa"/>
            <w:tcBorders>
              <w:top w:val="single" w:color="auto" w:sz="8" w:space="0"/>
              <w:left w:val="nil"/>
              <w:bottom w:val="single" w:color="auto" w:sz="8" w:space="0"/>
              <w:right w:val="single" w:color="auto" w:sz="8" w:space="0"/>
            </w:tcBorders>
            <w:shd w:val="clear" w:color="000000" w:fill="DDEBF7"/>
            <w:noWrap/>
            <w:vAlign w:val="bottom"/>
            <w:hideMark/>
          </w:tcPr>
          <w:p w:rsidRPr="005F396E" w:rsidR="005F396E" w:rsidP="005F396E" w:rsidRDefault="005F396E">
            <w:pPr>
              <w:widowControl/>
              <w:autoSpaceDE/>
              <w:autoSpaceDN/>
              <w:adjustRightInd/>
              <w:rPr>
                <w:rFonts w:ascii="Calibri" w:hAnsi="Calibri" w:cs="Calibri"/>
                <w:b/>
                <w:bCs/>
                <w:color w:val="000000"/>
                <w:sz w:val="22"/>
                <w:szCs w:val="22"/>
              </w:rPr>
            </w:pPr>
            <w:r w:rsidRPr="005F396E">
              <w:rPr>
                <w:rFonts w:ascii="Calibri" w:hAnsi="Calibri" w:cs="Calibri"/>
                <w:b/>
                <w:bCs/>
                <w:color w:val="000000"/>
                <w:sz w:val="22"/>
                <w:szCs w:val="22"/>
              </w:rPr>
              <w:t>460</w:t>
            </w:r>
          </w:p>
        </w:tc>
        <w:tc>
          <w:tcPr>
            <w:tcW w:w="965" w:type="dxa"/>
            <w:tcBorders>
              <w:top w:val="single" w:color="auto" w:sz="8" w:space="0"/>
              <w:left w:val="nil"/>
              <w:bottom w:val="single" w:color="auto" w:sz="8" w:space="0"/>
              <w:right w:val="single" w:color="auto" w:sz="8" w:space="0"/>
            </w:tcBorders>
            <w:shd w:val="clear" w:color="000000" w:fill="000000"/>
            <w:noWrap/>
            <w:vAlign w:val="bottom"/>
            <w:hideMark/>
          </w:tcPr>
          <w:p w:rsidRPr="005F396E" w:rsidR="005F396E" w:rsidP="005F396E" w:rsidRDefault="005F396E">
            <w:pPr>
              <w:widowControl/>
              <w:autoSpaceDE/>
              <w:autoSpaceDN/>
              <w:adjustRightInd/>
              <w:rPr>
                <w:rFonts w:ascii="Calibri" w:hAnsi="Calibri" w:cs="Calibri"/>
                <w:b/>
                <w:bCs/>
                <w:color w:val="000000"/>
                <w:sz w:val="22"/>
                <w:szCs w:val="22"/>
              </w:rPr>
            </w:pPr>
            <w:r w:rsidRPr="005F396E">
              <w:rPr>
                <w:rFonts w:ascii="Calibri" w:hAnsi="Calibri" w:cs="Calibri"/>
                <w:b/>
                <w:bCs/>
                <w:color w:val="000000"/>
                <w:sz w:val="22"/>
                <w:szCs w:val="22"/>
              </w:rPr>
              <w:t> </w:t>
            </w:r>
          </w:p>
        </w:tc>
        <w:tc>
          <w:tcPr>
            <w:tcW w:w="1040" w:type="dxa"/>
            <w:tcBorders>
              <w:top w:val="single" w:color="auto" w:sz="8" w:space="0"/>
              <w:left w:val="nil"/>
              <w:bottom w:val="single" w:color="auto" w:sz="8" w:space="0"/>
              <w:right w:val="single" w:color="auto" w:sz="8" w:space="0"/>
            </w:tcBorders>
            <w:shd w:val="clear" w:color="000000" w:fill="DDEBF7"/>
            <w:noWrap/>
            <w:vAlign w:val="bottom"/>
            <w:hideMark/>
          </w:tcPr>
          <w:p w:rsidRPr="005F396E" w:rsidR="005F396E" w:rsidP="005F396E" w:rsidRDefault="005F396E">
            <w:pPr>
              <w:widowControl/>
              <w:autoSpaceDE/>
              <w:autoSpaceDN/>
              <w:adjustRightInd/>
              <w:rPr>
                <w:rFonts w:ascii="Calibri" w:hAnsi="Calibri" w:cs="Calibri"/>
                <w:b/>
                <w:bCs/>
                <w:sz w:val="22"/>
                <w:szCs w:val="22"/>
              </w:rPr>
            </w:pPr>
            <w:r w:rsidRPr="005F396E">
              <w:rPr>
                <w:rFonts w:ascii="Calibri" w:hAnsi="Calibri" w:cs="Calibri"/>
                <w:b/>
                <w:bCs/>
                <w:sz w:val="22"/>
                <w:szCs w:val="22"/>
              </w:rPr>
              <w:t>157</w:t>
            </w:r>
          </w:p>
        </w:tc>
        <w:tc>
          <w:tcPr>
            <w:tcW w:w="908" w:type="dxa"/>
            <w:tcBorders>
              <w:top w:val="single" w:color="auto" w:sz="8" w:space="0"/>
              <w:left w:val="nil"/>
              <w:bottom w:val="single" w:color="auto" w:sz="8" w:space="0"/>
              <w:right w:val="single" w:color="auto" w:sz="8" w:space="0"/>
            </w:tcBorders>
            <w:shd w:val="clear" w:color="000000" w:fill="000000"/>
            <w:noWrap/>
            <w:vAlign w:val="bottom"/>
            <w:hideMark/>
          </w:tcPr>
          <w:p w:rsidRPr="005F396E" w:rsidR="005F396E" w:rsidP="005F396E" w:rsidRDefault="005F396E">
            <w:pPr>
              <w:widowControl/>
              <w:autoSpaceDE/>
              <w:autoSpaceDN/>
              <w:adjustRightInd/>
              <w:rPr>
                <w:rFonts w:ascii="Calibri" w:hAnsi="Calibri" w:cs="Calibri"/>
                <w:b/>
                <w:bCs/>
                <w:color w:val="000000"/>
                <w:sz w:val="22"/>
                <w:szCs w:val="22"/>
              </w:rPr>
            </w:pPr>
            <w:r w:rsidRPr="005F396E">
              <w:rPr>
                <w:rFonts w:ascii="Calibri" w:hAnsi="Calibri" w:cs="Calibri"/>
                <w:b/>
                <w:bCs/>
                <w:color w:val="000000"/>
                <w:sz w:val="22"/>
                <w:szCs w:val="22"/>
              </w:rPr>
              <w:t> </w:t>
            </w:r>
          </w:p>
        </w:tc>
        <w:tc>
          <w:tcPr>
            <w:tcW w:w="726" w:type="dxa"/>
            <w:tcBorders>
              <w:top w:val="single" w:color="auto" w:sz="8" w:space="0"/>
              <w:left w:val="nil"/>
              <w:bottom w:val="single" w:color="auto" w:sz="8" w:space="0"/>
              <w:right w:val="single" w:color="auto" w:sz="8" w:space="0"/>
            </w:tcBorders>
            <w:shd w:val="clear" w:color="000000" w:fill="DDEBF7"/>
            <w:noWrap/>
            <w:vAlign w:val="bottom"/>
            <w:hideMark/>
          </w:tcPr>
          <w:p w:rsidRPr="005F396E" w:rsidR="005F396E" w:rsidP="005F396E" w:rsidRDefault="005F396E">
            <w:pPr>
              <w:widowControl/>
              <w:autoSpaceDE/>
              <w:autoSpaceDN/>
              <w:adjustRightInd/>
              <w:rPr>
                <w:rFonts w:ascii="Calibri" w:hAnsi="Calibri" w:cs="Calibri"/>
                <w:b/>
                <w:bCs/>
                <w:color w:val="000000"/>
                <w:sz w:val="22"/>
                <w:szCs w:val="22"/>
              </w:rPr>
            </w:pPr>
            <w:r w:rsidRPr="005F396E">
              <w:rPr>
                <w:rFonts w:ascii="Calibri" w:hAnsi="Calibri" w:cs="Calibri"/>
                <w:b/>
                <w:bCs/>
                <w:color w:val="000000"/>
                <w:sz w:val="22"/>
                <w:szCs w:val="22"/>
              </w:rPr>
              <w:t>$4,1</w:t>
            </w:r>
            <w:r w:rsidR="008070E8">
              <w:rPr>
                <w:rFonts w:ascii="Calibri" w:hAnsi="Calibri" w:cs="Calibri"/>
                <w:b/>
                <w:bCs/>
                <w:color w:val="000000"/>
                <w:sz w:val="22"/>
                <w:szCs w:val="22"/>
              </w:rPr>
              <w:t>6</w:t>
            </w:r>
            <w:r w:rsidRPr="005F396E">
              <w:rPr>
                <w:rFonts w:ascii="Calibri" w:hAnsi="Calibri" w:cs="Calibri"/>
                <w:b/>
                <w:bCs/>
                <w:color w:val="000000"/>
                <w:sz w:val="22"/>
                <w:szCs w:val="22"/>
              </w:rPr>
              <w:t xml:space="preserve">5 </w:t>
            </w:r>
          </w:p>
        </w:tc>
      </w:tr>
    </w:tbl>
    <w:p w:rsidRPr="00EC0D6E" w:rsidR="006869C1" w:rsidP="00BB2CFE" w:rsidRDefault="006869C1">
      <w:pPr>
        <w:rPr>
          <w:sz w:val="24"/>
          <w:szCs w:val="24"/>
        </w:rPr>
      </w:pPr>
    </w:p>
    <w:p w:rsidR="00896282" w:rsidP="00BB2CFE" w:rsidRDefault="00896282">
      <w:pPr>
        <w:rPr>
          <w:b/>
          <w:sz w:val="24"/>
          <w:szCs w:val="24"/>
        </w:rPr>
      </w:pPr>
    </w:p>
    <w:p w:rsidR="00E36854" w:rsidP="00BB2CFE" w:rsidRDefault="00E36854">
      <w:pPr>
        <w:rPr>
          <w:sz w:val="24"/>
          <w:szCs w:val="24"/>
        </w:rPr>
      </w:pPr>
      <w:r>
        <w:rPr>
          <w:sz w:val="24"/>
          <w:szCs w:val="24"/>
        </w:rPr>
        <w:t xml:space="preserve">Hourly position reports are automatic, and no responses or burden </w:t>
      </w:r>
      <w:r w:rsidR="008924AC">
        <w:rPr>
          <w:sz w:val="24"/>
          <w:szCs w:val="24"/>
        </w:rPr>
        <w:t xml:space="preserve">hours </w:t>
      </w:r>
      <w:r>
        <w:rPr>
          <w:sz w:val="24"/>
          <w:szCs w:val="24"/>
        </w:rPr>
        <w:t>are calculated for them.</w:t>
      </w:r>
    </w:p>
    <w:p w:rsidR="00263DBE" w:rsidP="00BB2CFE" w:rsidRDefault="00263DBE">
      <w:pPr>
        <w:rPr>
          <w:sz w:val="24"/>
          <w:szCs w:val="24"/>
          <w:u w:val="single"/>
        </w:rPr>
      </w:pPr>
    </w:p>
    <w:p w:rsidRPr="002E1247" w:rsidR="004F26E9" w:rsidP="002E1247"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13.  </w:t>
      </w:r>
      <w:r w:rsidRPr="00BD7237" w:rsidR="002E124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CF033E" w:rsidP="00BB2CFE" w:rsidRDefault="00CF033E">
      <w:pPr>
        <w:spacing w:line="276" w:lineRule="auto"/>
        <w:ind w:right="-20"/>
        <w:rPr>
          <w:sz w:val="24"/>
          <w:szCs w:val="24"/>
        </w:rPr>
      </w:pPr>
    </w:p>
    <w:tbl>
      <w:tblPr>
        <w:tblW w:w="8867" w:type="dxa"/>
        <w:tblInd w:w="108" w:type="dxa"/>
        <w:tblLook w:val="04A0" w:firstRow="1" w:lastRow="0" w:firstColumn="1" w:lastColumn="0" w:noHBand="0" w:noVBand="1"/>
      </w:tblPr>
      <w:tblGrid>
        <w:gridCol w:w="2882"/>
        <w:gridCol w:w="1197"/>
        <w:gridCol w:w="1126"/>
        <w:gridCol w:w="1016"/>
        <w:gridCol w:w="1396"/>
        <w:gridCol w:w="1250"/>
      </w:tblGrid>
      <w:tr w:rsidRPr="00913992" w:rsidR="00913992" w:rsidTr="00913992">
        <w:trPr>
          <w:trHeight w:val="1382"/>
        </w:trPr>
        <w:tc>
          <w:tcPr>
            <w:tcW w:w="2882"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Information Collection</w:t>
            </w:r>
          </w:p>
        </w:tc>
        <w:tc>
          <w:tcPr>
            <w:tcW w:w="1197" w:type="dxa"/>
            <w:tcBorders>
              <w:top w:val="single" w:color="auto" w:sz="8" w:space="0"/>
              <w:left w:val="nil"/>
              <w:bottom w:val="single" w:color="auto" w:sz="8" w:space="0"/>
              <w:right w:val="single" w:color="auto" w:sz="8" w:space="0"/>
            </w:tcBorders>
            <w:shd w:val="clear" w:color="000000" w:fill="BDD7EE"/>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 of Respondents</w:t>
            </w:r>
            <w:r w:rsidRPr="00913992">
              <w:rPr>
                <w:rFonts w:ascii="Calibri" w:hAnsi="Calibri" w:cs="Calibri"/>
                <w:b/>
                <w:bCs/>
                <w:color w:val="000000"/>
                <w:sz w:val="16"/>
                <w:szCs w:val="16"/>
              </w:rPr>
              <w:br/>
              <w:t>(a)</w:t>
            </w:r>
          </w:p>
        </w:tc>
        <w:tc>
          <w:tcPr>
            <w:tcW w:w="1126" w:type="dxa"/>
            <w:tcBorders>
              <w:top w:val="single" w:color="auto" w:sz="8" w:space="0"/>
              <w:left w:val="nil"/>
              <w:bottom w:val="single" w:color="auto" w:sz="8" w:space="0"/>
              <w:right w:val="single" w:color="auto" w:sz="8" w:space="0"/>
            </w:tcBorders>
            <w:shd w:val="clear" w:color="000000" w:fill="BDD7EE"/>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Annual # of Responses / Respondent</w:t>
            </w:r>
            <w:r w:rsidRPr="00913992">
              <w:rPr>
                <w:rFonts w:ascii="Calibri" w:hAnsi="Calibri" w:cs="Calibri"/>
                <w:b/>
                <w:bCs/>
                <w:color w:val="000000"/>
                <w:sz w:val="16"/>
                <w:szCs w:val="16"/>
              </w:rPr>
              <w:br/>
              <w:t>(b)</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 xml:space="preserve"> Total # of Annual Responses</w:t>
            </w:r>
            <w:r w:rsidRPr="00913992">
              <w:rPr>
                <w:rFonts w:ascii="Calibri" w:hAnsi="Calibri" w:cs="Calibri"/>
                <w:b/>
                <w:bCs/>
                <w:color w:val="000000"/>
                <w:sz w:val="16"/>
                <w:szCs w:val="16"/>
              </w:rPr>
              <w:br/>
              <w:t>(c) = (a) x (b)</w:t>
            </w:r>
          </w:p>
        </w:tc>
        <w:tc>
          <w:tcPr>
            <w:tcW w:w="1396" w:type="dxa"/>
            <w:tcBorders>
              <w:top w:val="single" w:color="auto" w:sz="8" w:space="0"/>
              <w:left w:val="nil"/>
              <w:bottom w:val="single" w:color="auto" w:sz="8" w:space="0"/>
              <w:right w:val="single" w:color="auto" w:sz="8" w:space="0"/>
            </w:tcBorders>
            <w:shd w:val="clear" w:color="000000" w:fill="BDD7EE"/>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Cost Burden / Respondent</w:t>
            </w:r>
            <w:r w:rsidRPr="00913992">
              <w:rPr>
                <w:rFonts w:ascii="Calibri" w:hAnsi="Calibri" w:cs="Calibri"/>
                <w:b/>
                <w:bCs/>
                <w:color w:val="000000"/>
                <w:sz w:val="16"/>
                <w:szCs w:val="16"/>
              </w:rPr>
              <w:br/>
              <w:t>(h)</w:t>
            </w:r>
          </w:p>
        </w:tc>
        <w:tc>
          <w:tcPr>
            <w:tcW w:w="1250" w:type="dxa"/>
            <w:tcBorders>
              <w:top w:val="single" w:color="auto" w:sz="8" w:space="0"/>
              <w:left w:val="nil"/>
              <w:bottom w:val="single" w:color="auto" w:sz="8" w:space="0"/>
              <w:right w:val="single" w:color="auto" w:sz="8" w:space="0"/>
            </w:tcBorders>
            <w:shd w:val="clear" w:color="000000" w:fill="BDD7EE"/>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Total Annual Cost Burden</w:t>
            </w:r>
            <w:r w:rsidRPr="00913992">
              <w:rPr>
                <w:rFonts w:ascii="Calibri" w:hAnsi="Calibri" w:cs="Calibri"/>
                <w:b/>
                <w:bCs/>
                <w:color w:val="000000"/>
                <w:sz w:val="16"/>
                <w:szCs w:val="16"/>
              </w:rPr>
              <w:br/>
              <w:t>(i) = (c) x (h)</w:t>
            </w:r>
          </w:p>
        </w:tc>
      </w:tr>
      <w:tr w:rsidRPr="00913992" w:rsidR="00913992" w:rsidTr="00913992">
        <w:trPr>
          <w:trHeight w:val="678"/>
        </w:trPr>
        <w:tc>
          <w:tcPr>
            <w:tcW w:w="2882" w:type="dxa"/>
            <w:tcBorders>
              <w:top w:val="nil"/>
              <w:left w:val="single" w:color="auto" w:sz="4"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One-time install of a VMS unit </w:t>
            </w:r>
          </w:p>
        </w:tc>
        <w:tc>
          <w:tcPr>
            <w:tcW w:w="1197"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53</w:t>
            </w:r>
          </w:p>
        </w:tc>
        <w:tc>
          <w:tcPr>
            <w:tcW w:w="112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0.33</w:t>
            </w:r>
          </w:p>
        </w:tc>
        <w:tc>
          <w:tcPr>
            <w:tcW w:w="101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18</w:t>
            </w:r>
          </w:p>
        </w:tc>
        <w:tc>
          <w:tcPr>
            <w:tcW w:w="1396" w:type="dxa"/>
            <w:tcBorders>
              <w:top w:val="nil"/>
              <w:left w:val="nil"/>
              <w:bottom w:val="nil"/>
              <w:right w:val="single" w:color="auto" w:sz="8" w:space="0"/>
            </w:tcBorders>
            <w:shd w:val="clear" w:color="auto" w:fill="auto"/>
            <w:noWrap/>
            <w:hideMark/>
          </w:tcPr>
          <w:p w:rsidRPr="00913992" w:rsidR="00913992" w:rsidP="003729B7" w:rsidRDefault="00913992">
            <w:pPr>
              <w:widowControl/>
              <w:autoSpaceDE/>
              <w:autoSpaceDN/>
              <w:adjustRightInd/>
              <w:rPr>
                <w:rFonts w:ascii="Calibri" w:hAnsi="Calibri" w:cs="Calibri"/>
                <w:color w:val="000000"/>
              </w:rPr>
            </w:pPr>
            <w:r w:rsidRPr="00913992">
              <w:rPr>
                <w:rFonts w:ascii="Calibri" w:hAnsi="Calibri" w:cs="Calibri"/>
                <w:color w:val="000000"/>
              </w:rPr>
              <w:t>$</w:t>
            </w:r>
            <w:r w:rsidR="00251DE0">
              <w:rPr>
                <w:rFonts w:ascii="Calibri" w:hAnsi="Calibri" w:cs="Calibri"/>
                <w:color w:val="000000"/>
              </w:rPr>
              <w:t>3</w:t>
            </w:r>
            <w:r w:rsidRPr="00913992">
              <w:rPr>
                <w:rFonts w:ascii="Calibri" w:hAnsi="Calibri" w:cs="Calibri"/>
                <w:color w:val="000000"/>
              </w:rPr>
              <w:t xml:space="preserve">,287 </w:t>
            </w:r>
          </w:p>
        </w:tc>
        <w:tc>
          <w:tcPr>
            <w:tcW w:w="1250" w:type="dxa"/>
            <w:tcBorders>
              <w:top w:val="nil"/>
              <w:left w:val="nil"/>
              <w:bottom w:val="single" w:color="auto" w:sz="4" w:space="0"/>
              <w:right w:val="single" w:color="auto" w:sz="8" w:space="0"/>
            </w:tcBorders>
            <w:shd w:val="clear" w:color="000000" w:fill="FFFFFF"/>
            <w:hideMark/>
          </w:tcPr>
          <w:p w:rsidRPr="00913992" w:rsidR="00913992" w:rsidP="00251DE0" w:rsidRDefault="00913992">
            <w:pPr>
              <w:widowControl/>
              <w:autoSpaceDE/>
              <w:autoSpaceDN/>
              <w:adjustRightInd/>
              <w:rPr>
                <w:rFonts w:ascii="Calibri" w:hAnsi="Calibri" w:cs="Calibri"/>
                <w:color w:val="000000"/>
              </w:rPr>
            </w:pPr>
            <w:r w:rsidRPr="00913992">
              <w:rPr>
                <w:rFonts w:ascii="Calibri" w:hAnsi="Calibri" w:cs="Calibri"/>
                <w:color w:val="000000"/>
              </w:rPr>
              <w:t>$</w:t>
            </w:r>
            <w:r w:rsidR="00C04842">
              <w:rPr>
                <w:rFonts w:ascii="Calibri" w:hAnsi="Calibri" w:cs="Calibri"/>
                <w:color w:val="000000"/>
              </w:rPr>
              <w:t>5</w:t>
            </w:r>
            <w:r w:rsidR="00251DE0">
              <w:rPr>
                <w:rFonts w:ascii="Calibri" w:hAnsi="Calibri" w:cs="Calibri"/>
                <w:color w:val="000000"/>
              </w:rPr>
              <w:t>9</w:t>
            </w:r>
            <w:r w:rsidRPr="00913992">
              <w:rPr>
                <w:rFonts w:ascii="Calibri" w:hAnsi="Calibri" w:cs="Calibri"/>
                <w:color w:val="000000"/>
              </w:rPr>
              <w:t>,</w:t>
            </w:r>
            <w:r w:rsidR="00251DE0">
              <w:rPr>
                <w:rFonts w:ascii="Calibri" w:hAnsi="Calibri" w:cs="Calibri"/>
                <w:color w:val="000000"/>
              </w:rPr>
              <w:t>166</w:t>
            </w:r>
            <w:r w:rsidRPr="00913992" w:rsidR="00C04842">
              <w:rPr>
                <w:rFonts w:ascii="Calibri" w:hAnsi="Calibri" w:cs="Calibri"/>
                <w:color w:val="000000"/>
              </w:rPr>
              <w:t xml:space="preserve"> </w:t>
            </w:r>
          </w:p>
        </w:tc>
      </w:tr>
      <w:tr w:rsidRPr="00913992" w:rsidR="00913992" w:rsidTr="00913992">
        <w:trPr>
          <w:trHeight w:val="378"/>
        </w:trPr>
        <w:tc>
          <w:tcPr>
            <w:tcW w:w="2882" w:type="dxa"/>
            <w:tcBorders>
              <w:top w:val="nil"/>
              <w:left w:val="single" w:color="auto" w:sz="8"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Repair/maintain VMS unit </w:t>
            </w:r>
          </w:p>
        </w:tc>
        <w:tc>
          <w:tcPr>
            <w:tcW w:w="1197"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53</w:t>
            </w:r>
          </w:p>
        </w:tc>
        <w:tc>
          <w:tcPr>
            <w:tcW w:w="112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1</w:t>
            </w:r>
          </w:p>
        </w:tc>
        <w:tc>
          <w:tcPr>
            <w:tcW w:w="101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53</w:t>
            </w:r>
          </w:p>
        </w:tc>
        <w:tc>
          <w:tcPr>
            <w:tcW w:w="1396" w:type="dxa"/>
            <w:tcBorders>
              <w:top w:val="nil"/>
              <w:left w:val="nil"/>
              <w:bottom w:val="nil"/>
              <w:right w:val="single" w:color="auto" w:sz="8" w:space="0"/>
            </w:tcBorders>
            <w:shd w:val="clear" w:color="auto" w:fill="auto"/>
            <w:noWrap/>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$300 </w:t>
            </w:r>
          </w:p>
        </w:tc>
        <w:tc>
          <w:tcPr>
            <w:tcW w:w="1250" w:type="dxa"/>
            <w:tcBorders>
              <w:top w:val="nil"/>
              <w:left w:val="nil"/>
              <w:bottom w:val="single" w:color="auto" w:sz="4" w:space="0"/>
              <w:right w:val="single" w:color="auto" w:sz="8" w:space="0"/>
            </w:tcBorders>
            <w:shd w:val="clear" w:color="000000" w:fill="FFFFFF"/>
            <w:hideMark/>
          </w:tcPr>
          <w:p w:rsidRPr="00913992" w:rsidR="00913992" w:rsidP="00913992" w:rsidRDefault="00913992">
            <w:pPr>
              <w:widowControl/>
              <w:autoSpaceDE/>
              <w:autoSpaceDN/>
              <w:adjustRightInd/>
              <w:rPr>
                <w:rFonts w:ascii="Calibri" w:hAnsi="Calibri" w:cs="Calibri"/>
                <w:color w:val="000000"/>
              </w:rPr>
            </w:pPr>
            <w:r>
              <w:rPr>
                <w:rFonts w:ascii="Calibri" w:hAnsi="Calibri" w:cs="Calibri"/>
                <w:color w:val="000000"/>
              </w:rPr>
              <w:t>$15,900</w:t>
            </w:r>
            <w:r w:rsidRPr="00913992">
              <w:rPr>
                <w:rFonts w:ascii="Calibri" w:hAnsi="Calibri" w:cs="Calibri"/>
                <w:color w:val="000000"/>
              </w:rPr>
              <w:t xml:space="preserve"> </w:t>
            </w:r>
          </w:p>
        </w:tc>
      </w:tr>
      <w:tr w:rsidRPr="00913992" w:rsidR="00913992" w:rsidTr="00913992">
        <w:trPr>
          <w:trHeight w:val="443"/>
        </w:trPr>
        <w:tc>
          <w:tcPr>
            <w:tcW w:w="2882" w:type="dxa"/>
            <w:tcBorders>
              <w:top w:val="nil"/>
              <w:left w:val="single" w:color="auto" w:sz="8"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Installation/activation reports </w:t>
            </w:r>
          </w:p>
        </w:tc>
        <w:tc>
          <w:tcPr>
            <w:tcW w:w="1197"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53</w:t>
            </w:r>
          </w:p>
        </w:tc>
        <w:tc>
          <w:tcPr>
            <w:tcW w:w="112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0.33</w:t>
            </w:r>
          </w:p>
        </w:tc>
        <w:tc>
          <w:tcPr>
            <w:tcW w:w="101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18</w:t>
            </w:r>
          </w:p>
        </w:tc>
        <w:tc>
          <w:tcPr>
            <w:tcW w:w="1396" w:type="dxa"/>
            <w:tcBorders>
              <w:top w:val="nil"/>
              <w:left w:val="nil"/>
              <w:bottom w:val="nil"/>
              <w:right w:val="single" w:color="auto" w:sz="8" w:space="0"/>
            </w:tcBorders>
            <w:shd w:val="clear" w:color="auto" w:fill="auto"/>
            <w:noWrap/>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$3 </w:t>
            </w:r>
          </w:p>
        </w:tc>
        <w:tc>
          <w:tcPr>
            <w:tcW w:w="1250" w:type="dxa"/>
            <w:tcBorders>
              <w:top w:val="nil"/>
              <w:left w:val="nil"/>
              <w:bottom w:val="single" w:color="auto" w:sz="4" w:space="0"/>
              <w:right w:val="single" w:color="auto" w:sz="8" w:space="0"/>
            </w:tcBorders>
            <w:shd w:val="clear" w:color="000000" w:fill="FFFFFF"/>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$54.00 </w:t>
            </w:r>
          </w:p>
        </w:tc>
      </w:tr>
      <w:tr w:rsidRPr="00913992" w:rsidR="00913992" w:rsidTr="00913992">
        <w:trPr>
          <w:trHeight w:val="378"/>
        </w:trPr>
        <w:tc>
          <w:tcPr>
            <w:tcW w:w="2882" w:type="dxa"/>
            <w:tcBorders>
              <w:top w:val="nil"/>
              <w:left w:val="nil"/>
              <w:bottom w:val="nil"/>
              <w:right w:val="nil"/>
            </w:tcBorders>
            <w:shd w:val="clear" w:color="auto" w:fill="auto"/>
            <w:noWrap/>
            <w:vAlign w:val="bottom"/>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Position Reports</w:t>
            </w:r>
          </w:p>
        </w:tc>
        <w:tc>
          <w:tcPr>
            <w:tcW w:w="1197" w:type="dxa"/>
            <w:tcBorders>
              <w:top w:val="nil"/>
              <w:left w:val="single" w:color="auto" w:sz="8"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53</w:t>
            </w:r>
          </w:p>
        </w:tc>
        <w:tc>
          <w:tcPr>
            <w:tcW w:w="112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365</w:t>
            </w:r>
          </w:p>
        </w:tc>
        <w:tc>
          <w:tcPr>
            <w:tcW w:w="101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19,345</w:t>
            </w:r>
          </w:p>
        </w:tc>
        <w:tc>
          <w:tcPr>
            <w:tcW w:w="139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color w:val="000000"/>
              </w:rPr>
            </w:pPr>
            <w:r w:rsidRPr="00913992">
              <w:rPr>
                <w:color w:val="000000"/>
              </w:rPr>
              <w:t xml:space="preserve">$1.50/day </w:t>
            </w:r>
          </w:p>
        </w:tc>
        <w:tc>
          <w:tcPr>
            <w:tcW w:w="1250" w:type="dxa"/>
            <w:tcBorders>
              <w:top w:val="nil"/>
              <w:left w:val="nil"/>
              <w:bottom w:val="single" w:color="auto" w:sz="4" w:space="0"/>
              <w:right w:val="single" w:color="auto" w:sz="8" w:space="0"/>
            </w:tcBorders>
            <w:shd w:val="clear" w:color="000000" w:fill="FFFFFF"/>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$29,018 </w:t>
            </w:r>
          </w:p>
        </w:tc>
      </w:tr>
      <w:tr w:rsidRPr="00913992" w:rsidR="00913992" w:rsidTr="00913992">
        <w:trPr>
          <w:trHeight w:val="378"/>
        </w:trPr>
        <w:tc>
          <w:tcPr>
            <w:tcW w:w="2882" w:type="dxa"/>
            <w:tcBorders>
              <w:top w:val="nil"/>
              <w:left w:val="single" w:color="auto" w:sz="8"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“On-off” reports</w:t>
            </w:r>
          </w:p>
        </w:tc>
        <w:tc>
          <w:tcPr>
            <w:tcW w:w="1197"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53</w:t>
            </w:r>
          </w:p>
        </w:tc>
        <w:tc>
          <w:tcPr>
            <w:tcW w:w="112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1</w:t>
            </w:r>
          </w:p>
        </w:tc>
        <w:tc>
          <w:tcPr>
            <w:tcW w:w="101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53</w:t>
            </w:r>
          </w:p>
        </w:tc>
        <w:tc>
          <w:tcPr>
            <w:tcW w:w="1396" w:type="dxa"/>
            <w:tcBorders>
              <w:top w:val="nil"/>
              <w:left w:val="nil"/>
              <w:bottom w:val="nil"/>
              <w:right w:val="single" w:color="auto" w:sz="8" w:space="0"/>
            </w:tcBorders>
            <w:shd w:val="clear" w:color="auto" w:fill="auto"/>
            <w:noWrap/>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$1 </w:t>
            </w:r>
          </w:p>
        </w:tc>
        <w:tc>
          <w:tcPr>
            <w:tcW w:w="1250" w:type="dxa"/>
            <w:tcBorders>
              <w:top w:val="nil"/>
              <w:left w:val="nil"/>
              <w:bottom w:val="single" w:color="auto" w:sz="4" w:space="0"/>
              <w:right w:val="single" w:color="auto" w:sz="8" w:space="0"/>
            </w:tcBorders>
            <w:shd w:val="clear" w:color="000000" w:fill="FFFFFF"/>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$53.00 </w:t>
            </w:r>
          </w:p>
        </w:tc>
      </w:tr>
      <w:tr w:rsidRPr="00913992" w:rsidR="00913992" w:rsidTr="00913992">
        <w:trPr>
          <w:trHeight w:val="391"/>
        </w:trPr>
        <w:tc>
          <w:tcPr>
            <w:tcW w:w="2882" w:type="dxa"/>
            <w:tcBorders>
              <w:top w:val="nil"/>
              <w:left w:val="single" w:color="auto" w:sz="8"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pre-trip notifications</w:t>
            </w:r>
          </w:p>
        </w:tc>
        <w:tc>
          <w:tcPr>
            <w:tcW w:w="1197"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53</w:t>
            </w:r>
          </w:p>
        </w:tc>
        <w:tc>
          <w:tcPr>
            <w:tcW w:w="112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6</w:t>
            </w:r>
          </w:p>
        </w:tc>
        <w:tc>
          <w:tcPr>
            <w:tcW w:w="1016" w:type="dxa"/>
            <w:tcBorders>
              <w:top w:val="nil"/>
              <w:left w:val="nil"/>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318</w:t>
            </w:r>
          </w:p>
        </w:tc>
        <w:tc>
          <w:tcPr>
            <w:tcW w:w="1396" w:type="dxa"/>
            <w:tcBorders>
              <w:top w:val="nil"/>
              <w:left w:val="nil"/>
              <w:bottom w:val="single" w:color="auto" w:sz="8" w:space="0"/>
              <w:right w:val="single" w:color="auto" w:sz="8" w:space="0"/>
            </w:tcBorders>
            <w:shd w:val="clear" w:color="auto" w:fill="auto"/>
            <w:noWrap/>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$1 </w:t>
            </w:r>
          </w:p>
        </w:tc>
        <w:tc>
          <w:tcPr>
            <w:tcW w:w="1250" w:type="dxa"/>
            <w:tcBorders>
              <w:top w:val="nil"/>
              <w:left w:val="nil"/>
              <w:bottom w:val="single" w:color="auto" w:sz="8" w:space="0"/>
              <w:right w:val="single" w:color="auto" w:sz="8" w:space="0"/>
            </w:tcBorders>
            <w:shd w:val="clear" w:color="000000" w:fill="FFFFFF"/>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$318 </w:t>
            </w:r>
          </w:p>
        </w:tc>
      </w:tr>
      <w:tr w:rsidRPr="00913992" w:rsidR="00913992" w:rsidTr="00913992">
        <w:trPr>
          <w:trHeight w:val="391"/>
        </w:trPr>
        <w:tc>
          <w:tcPr>
            <w:tcW w:w="2882"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913992" w:rsidR="00913992" w:rsidP="00913992" w:rsidRDefault="00913992">
            <w:pPr>
              <w:widowControl/>
              <w:autoSpaceDE/>
              <w:autoSpaceDN/>
              <w:adjustRightInd/>
              <w:jc w:val="right"/>
              <w:rPr>
                <w:rFonts w:ascii="Calibri" w:hAnsi="Calibri" w:cs="Calibri"/>
                <w:b/>
                <w:bCs/>
                <w:color w:val="000000"/>
                <w:sz w:val="16"/>
                <w:szCs w:val="16"/>
              </w:rPr>
            </w:pPr>
            <w:r w:rsidRPr="00913992">
              <w:rPr>
                <w:rFonts w:ascii="Calibri" w:hAnsi="Calibri" w:cs="Calibri"/>
                <w:b/>
                <w:bCs/>
                <w:color w:val="000000"/>
                <w:sz w:val="16"/>
                <w:szCs w:val="16"/>
              </w:rPr>
              <w:t>TOTALS</w:t>
            </w:r>
          </w:p>
        </w:tc>
        <w:tc>
          <w:tcPr>
            <w:tcW w:w="1197" w:type="dxa"/>
            <w:tcBorders>
              <w:top w:val="single" w:color="auto" w:sz="8" w:space="0"/>
              <w:left w:val="nil"/>
              <w:bottom w:val="single" w:color="auto" w:sz="8" w:space="0"/>
              <w:right w:val="single" w:color="auto" w:sz="4" w:space="0"/>
            </w:tcBorders>
            <w:shd w:val="clear" w:color="000000" w:fill="DDEBF7"/>
            <w:vAlign w:val="center"/>
            <w:hideMark/>
          </w:tcPr>
          <w:p w:rsidRPr="00913992" w:rsidR="00913992" w:rsidP="00913992" w:rsidRDefault="00913992">
            <w:pPr>
              <w:widowControl/>
              <w:autoSpaceDE/>
              <w:autoSpaceDN/>
              <w:adjustRightInd/>
              <w:rPr>
                <w:rFonts w:ascii="Calibri" w:hAnsi="Calibri" w:cs="Calibri"/>
                <w:b/>
                <w:bCs/>
                <w:color w:val="000000"/>
                <w:sz w:val="16"/>
                <w:szCs w:val="16"/>
              </w:rPr>
            </w:pPr>
            <w:r w:rsidRPr="00913992">
              <w:rPr>
                <w:rFonts w:ascii="Calibri" w:hAnsi="Calibri" w:cs="Calibri"/>
                <w:b/>
                <w:bCs/>
                <w:color w:val="000000"/>
                <w:sz w:val="16"/>
                <w:szCs w:val="16"/>
              </w:rPr>
              <w:t>53</w:t>
            </w:r>
          </w:p>
        </w:tc>
        <w:tc>
          <w:tcPr>
            <w:tcW w:w="1126" w:type="dxa"/>
            <w:tcBorders>
              <w:top w:val="single" w:color="auto" w:sz="8" w:space="0"/>
              <w:left w:val="nil"/>
              <w:bottom w:val="single" w:color="auto" w:sz="8" w:space="0"/>
              <w:right w:val="single" w:color="auto" w:sz="4" w:space="0"/>
            </w:tcBorders>
            <w:shd w:val="clear" w:color="000000" w:fill="DDEBF7"/>
            <w:vAlign w:val="center"/>
            <w:hideMark/>
          </w:tcPr>
          <w:p w:rsidRPr="00913992" w:rsidR="00913992" w:rsidP="00913992" w:rsidRDefault="00913992">
            <w:pPr>
              <w:widowControl/>
              <w:autoSpaceDE/>
              <w:autoSpaceDN/>
              <w:adjustRightInd/>
              <w:rPr>
                <w:rFonts w:ascii="Calibri" w:hAnsi="Calibri" w:cs="Calibri"/>
                <w:b/>
                <w:bCs/>
                <w:color w:val="000000"/>
                <w:sz w:val="16"/>
                <w:szCs w:val="16"/>
              </w:rPr>
            </w:pPr>
            <w:r w:rsidRPr="00913992">
              <w:rPr>
                <w:rFonts w:ascii="Calibri" w:hAnsi="Calibri" w:cs="Calibri"/>
                <w:b/>
                <w:bCs/>
                <w:color w:val="000000"/>
                <w:sz w:val="16"/>
                <w:szCs w:val="16"/>
              </w:rPr>
              <w:t> </w:t>
            </w:r>
          </w:p>
        </w:tc>
        <w:tc>
          <w:tcPr>
            <w:tcW w:w="1016" w:type="dxa"/>
            <w:tcBorders>
              <w:top w:val="single" w:color="auto" w:sz="8" w:space="0"/>
              <w:left w:val="nil"/>
              <w:bottom w:val="single" w:color="auto" w:sz="8" w:space="0"/>
              <w:right w:val="single" w:color="auto" w:sz="4" w:space="0"/>
            </w:tcBorders>
            <w:shd w:val="clear" w:color="000000" w:fill="DDEBF7"/>
            <w:vAlign w:val="center"/>
            <w:hideMark/>
          </w:tcPr>
          <w:p w:rsidRPr="00913992" w:rsidR="00913992" w:rsidP="00913992" w:rsidRDefault="00913992">
            <w:pPr>
              <w:widowControl/>
              <w:autoSpaceDE/>
              <w:autoSpaceDN/>
              <w:adjustRightInd/>
              <w:rPr>
                <w:rFonts w:ascii="Calibri" w:hAnsi="Calibri" w:cs="Calibri"/>
                <w:b/>
                <w:bCs/>
                <w:color w:val="000000"/>
                <w:sz w:val="16"/>
                <w:szCs w:val="16"/>
              </w:rPr>
            </w:pPr>
            <w:r w:rsidRPr="00913992">
              <w:rPr>
                <w:rFonts w:ascii="Calibri" w:hAnsi="Calibri" w:cs="Calibri"/>
                <w:b/>
                <w:bCs/>
                <w:color w:val="000000"/>
                <w:sz w:val="16"/>
                <w:szCs w:val="16"/>
              </w:rPr>
              <w:t xml:space="preserve">   19,805 </w:t>
            </w:r>
          </w:p>
        </w:tc>
        <w:tc>
          <w:tcPr>
            <w:tcW w:w="1396" w:type="dxa"/>
            <w:tcBorders>
              <w:top w:val="nil"/>
              <w:left w:val="nil"/>
              <w:bottom w:val="single" w:color="auto" w:sz="8" w:space="0"/>
              <w:right w:val="single" w:color="auto" w:sz="4" w:space="0"/>
            </w:tcBorders>
            <w:shd w:val="clear" w:color="000000" w:fill="DDEBF7"/>
            <w:vAlign w:val="center"/>
            <w:hideMark/>
          </w:tcPr>
          <w:p w:rsidRPr="00913992" w:rsidR="00913992" w:rsidP="00913992" w:rsidRDefault="00913992">
            <w:pPr>
              <w:widowControl/>
              <w:autoSpaceDE/>
              <w:autoSpaceDN/>
              <w:adjustRightInd/>
              <w:rPr>
                <w:rFonts w:ascii="Calibri" w:hAnsi="Calibri" w:cs="Calibri"/>
                <w:b/>
                <w:bCs/>
                <w:color w:val="000000"/>
                <w:sz w:val="16"/>
                <w:szCs w:val="16"/>
              </w:rPr>
            </w:pPr>
            <w:r w:rsidRPr="00913992">
              <w:rPr>
                <w:rFonts w:ascii="Calibri" w:hAnsi="Calibri" w:cs="Calibri"/>
                <w:b/>
                <w:bCs/>
                <w:color w:val="000000"/>
                <w:sz w:val="16"/>
                <w:szCs w:val="16"/>
              </w:rPr>
              <w:t> </w:t>
            </w:r>
          </w:p>
        </w:tc>
        <w:tc>
          <w:tcPr>
            <w:tcW w:w="1250" w:type="dxa"/>
            <w:tcBorders>
              <w:top w:val="nil"/>
              <w:left w:val="nil"/>
              <w:bottom w:val="single" w:color="auto" w:sz="8" w:space="0"/>
              <w:right w:val="single" w:color="auto" w:sz="8" w:space="0"/>
            </w:tcBorders>
            <w:shd w:val="clear" w:color="000000" w:fill="DDEBF7"/>
            <w:vAlign w:val="center"/>
            <w:hideMark/>
          </w:tcPr>
          <w:p w:rsidRPr="00913992" w:rsidR="00913992" w:rsidP="00251DE0" w:rsidRDefault="00913992">
            <w:pPr>
              <w:widowControl/>
              <w:autoSpaceDE/>
              <w:autoSpaceDN/>
              <w:adjustRightInd/>
              <w:rPr>
                <w:rFonts w:ascii="Calibri" w:hAnsi="Calibri" w:cs="Calibri"/>
                <w:b/>
                <w:bCs/>
                <w:color w:val="000000"/>
                <w:sz w:val="16"/>
                <w:szCs w:val="16"/>
              </w:rPr>
            </w:pPr>
            <w:r w:rsidRPr="00913992">
              <w:rPr>
                <w:rFonts w:ascii="Calibri" w:hAnsi="Calibri" w:cs="Calibri"/>
                <w:b/>
                <w:bCs/>
                <w:color w:val="000000"/>
                <w:sz w:val="16"/>
                <w:szCs w:val="16"/>
              </w:rPr>
              <w:t xml:space="preserve">               </w:t>
            </w:r>
            <w:r>
              <w:rPr>
                <w:rFonts w:ascii="Calibri" w:hAnsi="Calibri" w:cs="Calibri"/>
                <w:b/>
                <w:bCs/>
                <w:color w:val="000000"/>
                <w:sz w:val="16"/>
                <w:szCs w:val="16"/>
              </w:rPr>
              <w:t>$</w:t>
            </w:r>
            <w:r w:rsidR="008070E8">
              <w:rPr>
                <w:rFonts w:ascii="Calibri" w:hAnsi="Calibri" w:cs="Calibri"/>
                <w:b/>
                <w:bCs/>
                <w:color w:val="000000"/>
                <w:sz w:val="16"/>
                <w:szCs w:val="16"/>
              </w:rPr>
              <w:t>1</w:t>
            </w:r>
            <w:r w:rsidR="00251DE0">
              <w:rPr>
                <w:rFonts w:ascii="Calibri" w:hAnsi="Calibri" w:cs="Calibri"/>
                <w:b/>
                <w:bCs/>
                <w:color w:val="000000"/>
                <w:sz w:val="16"/>
                <w:szCs w:val="16"/>
              </w:rPr>
              <w:t>04</w:t>
            </w:r>
            <w:r w:rsidR="008070E8">
              <w:rPr>
                <w:rFonts w:ascii="Calibri" w:hAnsi="Calibri" w:cs="Calibri"/>
                <w:b/>
                <w:bCs/>
                <w:color w:val="000000"/>
                <w:sz w:val="16"/>
                <w:szCs w:val="16"/>
              </w:rPr>
              <w:t>,</w:t>
            </w:r>
            <w:r w:rsidR="00251DE0">
              <w:rPr>
                <w:rFonts w:ascii="Calibri" w:hAnsi="Calibri" w:cs="Calibri"/>
                <w:b/>
                <w:bCs/>
                <w:color w:val="000000"/>
                <w:sz w:val="16"/>
                <w:szCs w:val="16"/>
              </w:rPr>
              <w:t>509</w:t>
            </w:r>
            <w:r w:rsidRPr="00913992">
              <w:rPr>
                <w:rFonts w:ascii="Calibri" w:hAnsi="Calibri" w:cs="Calibri"/>
                <w:b/>
                <w:bCs/>
                <w:color w:val="000000"/>
                <w:sz w:val="16"/>
                <w:szCs w:val="16"/>
              </w:rPr>
              <w:t xml:space="preserve"> </w:t>
            </w:r>
          </w:p>
        </w:tc>
      </w:tr>
    </w:tbl>
    <w:p w:rsidRPr="00EC0D6E" w:rsidR="006E4872" w:rsidP="00BB2CFE" w:rsidRDefault="006E4872">
      <w:pPr>
        <w:rPr>
          <w:sz w:val="24"/>
          <w:szCs w:val="24"/>
        </w:rPr>
      </w:pPr>
    </w:p>
    <w:p w:rsidRPr="002E1247" w:rsidR="004F26E9" w:rsidP="002E1247"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14.  </w:t>
      </w:r>
      <w:r w:rsidRPr="00BD7237" w:rsidR="002E124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572C4" w:rsidP="00BB2CFE" w:rsidRDefault="001572C4">
      <w:pPr>
        <w:rPr>
          <w:bCs/>
          <w:sz w:val="24"/>
          <w:szCs w:val="24"/>
        </w:rPr>
      </w:pPr>
    </w:p>
    <w:tbl>
      <w:tblPr>
        <w:tblW w:w="8881" w:type="dxa"/>
        <w:tblInd w:w="118" w:type="dxa"/>
        <w:tblLook w:val="04A0" w:firstRow="1" w:lastRow="0" w:firstColumn="1" w:lastColumn="0" w:noHBand="0" w:noVBand="1"/>
      </w:tblPr>
      <w:tblGrid>
        <w:gridCol w:w="2191"/>
        <w:gridCol w:w="1280"/>
        <w:gridCol w:w="1261"/>
        <w:gridCol w:w="1100"/>
        <w:gridCol w:w="1681"/>
        <w:gridCol w:w="1368"/>
      </w:tblGrid>
      <w:tr w:rsidRPr="00AA47F9" w:rsidR="00AA47F9" w:rsidTr="00AA47F9">
        <w:trPr>
          <w:trHeight w:val="448"/>
        </w:trPr>
        <w:tc>
          <w:tcPr>
            <w:tcW w:w="2191" w:type="dxa"/>
            <w:tcBorders>
              <w:top w:val="single" w:color="auto" w:sz="8" w:space="0"/>
              <w:left w:val="single" w:color="auto" w:sz="8" w:space="0"/>
              <w:bottom w:val="nil"/>
              <w:right w:val="single" w:color="auto" w:sz="8" w:space="0"/>
            </w:tcBorders>
            <w:shd w:val="clear" w:color="000000" w:fill="BDD7EE"/>
            <w:vAlign w:val="center"/>
            <w:hideMark/>
          </w:tcPr>
          <w:p w:rsidRPr="00AA47F9" w:rsidR="00AA47F9" w:rsidP="00AA47F9" w:rsidRDefault="00AA47F9">
            <w:pPr>
              <w:widowControl/>
              <w:autoSpaceDE/>
              <w:autoSpaceDN/>
              <w:adjustRightInd/>
              <w:jc w:val="center"/>
              <w:rPr>
                <w:rFonts w:ascii="Calibri" w:hAnsi="Calibri" w:cs="Calibri"/>
                <w:b/>
                <w:bCs/>
                <w:color w:val="000000"/>
                <w:sz w:val="16"/>
                <w:szCs w:val="16"/>
              </w:rPr>
            </w:pPr>
            <w:r w:rsidRPr="00AA47F9">
              <w:rPr>
                <w:rFonts w:ascii="Calibri" w:hAnsi="Calibri" w:cs="Calibri"/>
                <w:b/>
                <w:bCs/>
                <w:color w:val="000000"/>
                <w:sz w:val="16"/>
                <w:szCs w:val="16"/>
              </w:rPr>
              <w:t>Cost Descriptions</w:t>
            </w:r>
          </w:p>
        </w:tc>
        <w:tc>
          <w:tcPr>
            <w:tcW w:w="1280" w:type="dxa"/>
            <w:tcBorders>
              <w:top w:val="single" w:color="auto" w:sz="8" w:space="0"/>
              <w:left w:val="nil"/>
              <w:bottom w:val="nil"/>
              <w:right w:val="single" w:color="auto" w:sz="8" w:space="0"/>
            </w:tcBorders>
            <w:shd w:val="clear" w:color="000000" w:fill="BDD7EE"/>
            <w:vAlign w:val="center"/>
            <w:hideMark/>
          </w:tcPr>
          <w:p w:rsidRPr="00AA47F9" w:rsidR="00AA47F9" w:rsidP="00AA47F9" w:rsidRDefault="00AA47F9">
            <w:pPr>
              <w:widowControl/>
              <w:autoSpaceDE/>
              <w:autoSpaceDN/>
              <w:adjustRightInd/>
              <w:jc w:val="center"/>
              <w:rPr>
                <w:rFonts w:ascii="Calibri" w:hAnsi="Calibri" w:cs="Calibri"/>
                <w:b/>
                <w:bCs/>
                <w:color w:val="000000"/>
                <w:sz w:val="16"/>
                <w:szCs w:val="16"/>
              </w:rPr>
            </w:pPr>
            <w:r w:rsidRPr="00AA47F9">
              <w:rPr>
                <w:rFonts w:ascii="Calibri" w:hAnsi="Calibri" w:cs="Calibri"/>
                <w:b/>
                <w:bCs/>
                <w:color w:val="000000"/>
                <w:sz w:val="16"/>
                <w:szCs w:val="16"/>
              </w:rPr>
              <w:t>Grade/Step</w:t>
            </w:r>
          </w:p>
        </w:tc>
        <w:tc>
          <w:tcPr>
            <w:tcW w:w="1261" w:type="dxa"/>
            <w:tcBorders>
              <w:top w:val="single" w:color="auto" w:sz="8" w:space="0"/>
              <w:left w:val="nil"/>
              <w:bottom w:val="nil"/>
              <w:right w:val="single" w:color="auto" w:sz="8" w:space="0"/>
            </w:tcBorders>
            <w:shd w:val="clear" w:color="000000" w:fill="BDD7EE"/>
            <w:vAlign w:val="center"/>
            <w:hideMark/>
          </w:tcPr>
          <w:p w:rsidRPr="00AA47F9" w:rsidR="00AA47F9" w:rsidP="00AA47F9" w:rsidRDefault="00AA47F9">
            <w:pPr>
              <w:widowControl/>
              <w:autoSpaceDE/>
              <w:autoSpaceDN/>
              <w:adjustRightInd/>
              <w:jc w:val="center"/>
              <w:rPr>
                <w:rFonts w:ascii="Calibri" w:hAnsi="Calibri" w:cs="Calibri"/>
                <w:b/>
                <w:bCs/>
                <w:color w:val="000000"/>
                <w:sz w:val="16"/>
                <w:szCs w:val="16"/>
              </w:rPr>
            </w:pPr>
            <w:r w:rsidRPr="00AA47F9">
              <w:rPr>
                <w:rFonts w:ascii="Calibri" w:hAnsi="Calibri" w:cs="Calibri"/>
                <w:b/>
                <w:bCs/>
                <w:color w:val="000000"/>
                <w:sz w:val="16"/>
                <w:szCs w:val="16"/>
              </w:rPr>
              <w:t>Loaded Salary /Cost</w:t>
            </w:r>
          </w:p>
        </w:tc>
        <w:tc>
          <w:tcPr>
            <w:tcW w:w="1100" w:type="dxa"/>
            <w:tcBorders>
              <w:top w:val="single" w:color="auto" w:sz="8" w:space="0"/>
              <w:left w:val="nil"/>
              <w:bottom w:val="nil"/>
              <w:right w:val="single" w:color="auto" w:sz="8" w:space="0"/>
            </w:tcBorders>
            <w:shd w:val="clear" w:color="000000" w:fill="BDD7EE"/>
            <w:vAlign w:val="center"/>
            <w:hideMark/>
          </w:tcPr>
          <w:p w:rsidRPr="00AA47F9" w:rsidR="00AA47F9" w:rsidP="00AA47F9" w:rsidRDefault="00AA47F9">
            <w:pPr>
              <w:widowControl/>
              <w:autoSpaceDE/>
              <w:autoSpaceDN/>
              <w:adjustRightInd/>
              <w:jc w:val="center"/>
              <w:rPr>
                <w:rFonts w:ascii="Calibri" w:hAnsi="Calibri" w:cs="Calibri"/>
                <w:b/>
                <w:bCs/>
                <w:color w:val="000000"/>
                <w:sz w:val="16"/>
                <w:szCs w:val="16"/>
              </w:rPr>
            </w:pPr>
            <w:r w:rsidRPr="00AA47F9">
              <w:rPr>
                <w:rFonts w:ascii="Calibri" w:hAnsi="Calibri" w:cs="Calibri"/>
                <w:b/>
                <w:bCs/>
                <w:color w:val="000000"/>
                <w:sz w:val="16"/>
                <w:szCs w:val="16"/>
              </w:rPr>
              <w:t>% of Effort</w:t>
            </w:r>
          </w:p>
        </w:tc>
        <w:tc>
          <w:tcPr>
            <w:tcW w:w="1681" w:type="dxa"/>
            <w:tcBorders>
              <w:top w:val="single" w:color="auto" w:sz="8" w:space="0"/>
              <w:left w:val="nil"/>
              <w:bottom w:val="nil"/>
              <w:right w:val="single" w:color="auto" w:sz="8" w:space="0"/>
            </w:tcBorders>
            <w:shd w:val="clear" w:color="000000" w:fill="BDD7EE"/>
            <w:vAlign w:val="center"/>
            <w:hideMark/>
          </w:tcPr>
          <w:p w:rsidRPr="00AA47F9" w:rsidR="00AA47F9" w:rsidP="00AA47F9" w:rsidRDefault="00AA47F9">
            <w:pPr>
              <w:widowControl/>
              <w:autoSpaceDE/>
              <w:autoSpaceDN/>
              <w:adjustRightInd/>
              <w:jc w:val="center"/>
              <w:rPr>
                <w:rFonts w:ascii="Calibri" w:hAnsi="Calibri" w:cs="Calibri"/>
                <w:b/>
                <w:bCs/>
                <w:color w:val="000000"/>
                <w:sz w:val="16"/>
                <w:szCs w:val="16"/>
              </w:rPr>
            </w:pPr>
            <w:r w:rsidRPr="00AA47F9">
              <w:rPr>
                <w:rFonts w:ascii="Calibri" w:hAnsi="Calibri" w:cs="Calibri"/>
                <w:b/>
                <w:bCs/>
                <w:color w:val="000000"/>
                <w:sz w:val="16"/>
                <w:szCs w:val="16"/>
              </w:rPr>
              <w:t>Fringe (if Applicable)</w:t>
            </w:r>
          </w:p>
        </w:tc>
        <w:tc>
          <w:tcPr>
            <w:tcW w:w="1368" w:type="dxa"/>
            <w:tcBorders>
              <w:top w:val="single" w:color="auto" w:sz="8" w:space="0"/>
              <w:left w:val="nil"/>
              <w:bottom w:val="nil"/>
              <w:right w:val="single" w:color="auto" w:sz="8" w:space="0"/>
            </w:tcBorders>
            <w:shd w:val="clear" w:color="000000" w:fill="BDD7EE"/>
            <w:vAlign w:val="center"/>
            <w:hideMark/>
          </w:tcPr>
          <w:p w:rsidRPr="00AA47F9" w:rsidR="00AA47F9" w:rsidP="00AA47F9" w:rsidRDefault="00AA47F9">
            <w:pPr>
              <w:widowControl/>
              <w:autoSpaceDE/>
              <w:autoSpaceDN/>
              <w:adjustRightInd/>
              <w:jc w:val="center"/>
              <w:rPr>
                <w:rFonts w:ascii="Calibri" w:hAnsi="Calibri" w:cs="Calibri"/>
                <w:b/>
                <w:bCs/>
                <w:color w:val="000000"/>
                <w:sz w:val="16"/>
                <w:szCs w:val="16"/>
              </w:rPr>
            </w:pPr>
            <w:r w:rsidRPr="00AA47F9">
              <w:rPr>
                <w:rFonts w:ascii="Calibri" w:hAnsi="Calibri" w:cs="Calibri"/>
                <w:b/>
                <w:bCs/>
                <w:color w:val="000000"/>
                <w:sz w:val="16"/>
                <w:szCs w:val="16"/>
              </w:rPr>
              <w:t>Total Cost to Government</w:t>
            </w:r>
          </w:p>
        </w:tc>
      </w:tr>
      <w:tr w:rsidRPr="00AA47F9" w:rsidR="00AA47F9" w:rsidTr="00AA47F9">
        <w:trPr>
          <w:trHeight w:val="309"/>
        </w:trPr>
        <w:tc>
          <w:tcPr>
            <w:tcW w:w="2191"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AA47F9" w:rsidR="00AA47F9" w:rsidP="00AA47F9" w:rsidRDefault="00AA47F9">
            <w:pPr>
              <w:widowControl/>
              <w:autoSpaceDE/>
              <w:autoSpaceDN/>
              <w:adjustRightInd/>
              <w:rPr>
                <w:rFonts w:ascii="Calibri" w:hAnsi="Calibri" w:cs="Calibri"/>
                <w:b/>
                <w:bCs/>
                <w:color w:val="000000"/>
                <w:sz w:val="16"/>
                <w:szCs w:val="16"/>
              </w:rPr>
            </w:pPr>
            <w:r w:rsidRPr="00AA47F9">
              <w:rPr>
                <w:rFonts w:ascii="Calibri" w:hAnsi="Calibri" w:cs="Calibri"/>
                <w:b/>
                <w:bCs/>
                <w:color w:val="000000"/>
                <w:sz w:val="16"/>
                <w:szCs w:val="16"/>
              </w:rPr>
              <w:t>Federal Oversight</w:t>
            </w:r>
          </w:p>
        </w:tc>
        <w:tc>
          <w:tcPr>
            <w:tcW w:w="1280" w:type="dxa"/>
            <w:tcBorders>
              <w:top w:val="single" w:color="auto" w:sz="4" w:space="0"/>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jc w:val="center"/>
              <w:rPr>
                <w:rFonts w:ascii="Calibri" w:hAnsi="Calibri" w:cs="Calibri"/>
                <w:color w:val="000000"/>
                <w:sz w:val="16"/>
                <w:szCs w:val="16"/>
              </w:rPr>
            </w:pPr>
            <w:r w:rsidRPr="00AA47F9">
              <w:rPr>
                <w:rFonts w:ascii="Calibri" w:hAnsi="Calibri" w:cs="Calibri"/>
                <w:color w:val="000000"/>
                <w:sz w:val="16"/>
                <w:szCs w:val="16"/>
              </w:rPr>
              <w:t>ZPII</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xml:space="preserve"> $        51,440 </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jc w:val="right"/>
              <w:rPr>
                <w:rFonts w:ascii="Calibri" w:hAnsi="Calibri" w:cs="Calibri"/>
                <w:color w:val="000000"/>
                <w:sz w:val="16"/>
                <w:szCs w:val="16"/>
              </w:rPr>
            </w:pPr>
            <w:r w:rsidRPr="00AA47F9">
              <w:rPr>
                <w:rFonts w:ascii="Calibri" w:hAnsi="Calibri" w:cs="Calibri"/>
                <w:color w:val="000000"/>
                <w:sz w:val="16"/>
                <w:szCs w:val="16"/>
              </w:rPr>
              <w:t>0.1325</w:t>
            </w:r>
          </w:p>
        </w:tc>
        <w:tc>
          <w:tcPr>
            <w:tcW w:w="1681" w:type="dxa"/>
            <w:tcBorders>
              <w:top w:val="single" w:color="auto" w:sz="4" w:space="0"/>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368" w:type="dxa"/>
            <w:tcBorders>
              <w:top w:val="single" w:color="auto" w:sz="4" w:space="0"/>
              <w:left w:val="nil"/>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xml:space="preserve"> $    6,815.80 </w:t>
            </w:r>
          </w:p>
        </w:tc>
      </w:tr>
      <w:tr w:rsidRPr="00AA47F9" w:rsidR="00AA47F9" w:rsidTr="00AA47F9">
        <w:trPr>
          <w:trHeight w:val="309"/>
        </w:trPr>
        <w:tc>
          <w:tcPr>
            <w:tcW w:w="2191" w:type="dxa"/>
            <w:tcBorders>
              <w:top w:val="nil"/>
              <w:left w:val="single" w:color="auto" w:sz="8" w:space="0"/>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Other Federal Positions</w:t>
            </w:r>
          </w:p>
        </w:tc>
        <w:tc>
          <w:tcPr>
            <w:tcW w:w="128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61"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681"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368" w:type="dxa"/>
            <w:tcBorders>
              <w:top w:val="nil"/>
              <w:left w:val="nil"/>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r>
      <w:tr w:rsidRPr="00AA47F9" w:rsidR="00AA47F9" w:rsidTr="00AA47F9">
        <w:trPr>
          <w:trHeight w:val="309"/>
        </w:trPr>
        <w:tc>
          <w:tcPr>
            <w:tcW w:w="2191" w:type="dxa"/>
            <w:tcBorders>
              <w:top w:val="nil"/>
              <w:left w:val="single" w:color="auto" w:sz="8" w:space="0"/>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61"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681"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368" w:type="dxa"/>
            <w:tcBorders>
              <w:top w:val="nil"/>
              <w:left w:val="nil"/>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r>
      <w:tr w:rsidRPr="00AA47F9" w:rsidR="00AA47F9" w:rsidTr="00AA47F9">
        <w:trPr>
          <w:trHeight w:val="309"/>
        </w:trPr>
        <w:tc>
          <w:tcPr>
            <w:tcW w:w="2191" w:type="dxa"/>
            <w:tcBorders>
              <w:top w:val="nil"/>
              <w:left w:val="single" w:color="auto" w:sz="8" w:space="0"/>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61"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681"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368" w:type="dxa"/>
            <w:tcBorders>
              <w:top w:val="nil"/>
              <w:left w:val="nil"/>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r>
      <w:tr w:rsidRPr="00AA47F9" w:rsidR="00AA47F9" w:rsidTr="00AA47F9">
        <w:trPr>
          <w:trHeight w:val="309"/>
        </w:trPr>
        <w:tc>
          <w:tcPr>
            <w:tcW w:w="2191" w:type="dxa"/>
            <w:tcBorders>
              <w:top w:val="nil"/>
              <w:left w:val="single" w:color="auto" w:sz="8" w:space="0"/>
              <w:bottom w:val="single" w:color="auto" w:sz="4" w:space="0"/>
              <w:right w:val="single" w:color="auto" w:sz="8" w:space="0"/>
            </w:tcBorders>
            <w:shd w:val="clear" w:color="auto" w:fill="auto"/>
            <w:vAlign w:val="bottom"/>
            <w:hideMark/>
          </w:tcPr>
          <w:p w:rsidRPr="00AA47F9" w:rsidR="00AA47F9" w:rsidP="00AA47F9" w:rsidRDefault="00AA47F9">
            <w:pPr>
              <w:widowControl/>
              <w:autoSpaceDE/>
              <w:autoSpaceDN/>
              <w:adjustRightInd/>
              <w:rPr>
                <w:rFonts w:ascii="Calibri" w:hAnsi="Calibri" w:cs="Calibri"/>
                <w:b/>
                <w:bCs/>
                <w:color w:val="000000"/>
                <w:sz w:val="16"/>
                <w:szCs w:val="16"/>
              </w:rPr>
            </w:pPr>
            <w:r w:rsidRPr="00AA47F9">
              <w:rPr>
                <w:rFonts w:ascii="Calibri" w:hAnsi="Calibri" w:cs="Calibri"/>
                <w:b/>
                <w:bCs/>
                <w:color w:val="000000"/>
                <w:sz w:val="16"/>
                <w:szCs w:val="16"/>
              </w:rPr>
              <w:t>Contractor Cost</w:t>
            </w:r>
          </w:p>
        </w:tc>
        <w:tc>
          <w:tcPr>
            <w:tcW w:w="1280"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61"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681"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368" w:type="dxa"/>
            <w:tcBorders>
              <w:top w:val="nil"/>
              <w:left w:val="nil"/>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r>
      <w:tr w:rsidRPr="00AA47F9" w:rsidR="00AA47F9" w:rsidTr="00AA47F9">
        <w:trPr>
          <w:trHeight w:val="309"/>
        </w:trPr>
        <w:tc>
          <w:tcPr>
            <w:tcW w:w="2191" w:type="dxa"/>
            <w:tcBorders>
              <w:top w:val="nil"/>
              <w:left w:val="single" w:color="auto" w:sz="8" w:space="0"/>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61"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681"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368" w:type="dxa"/>
            <w:tcBorders>
              <w:top w:val="nil"/>
              <w:left w:val="nil"/>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r>
      <w:tr w:rsidRPr="00AA47F9" w:rsidR="00AA47F9" w:rsidTr="00AA47F9">
        <w:trPr>
          <w:trHeight w:val="309"/>
        </w:trPr>
        <w:tc>
          <w:tcPr>
            <w:tcW w:w="2191" w:type="dxa"/>
            <w:tcBorders>
              <w:top w:val="nil"/>
              <w:left w:val="single" w:color="auto" w:sz="8" w:space="0"/>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61"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681" w:type="dxa"/>
            <w:tcBorders>
              <w:top w:val="nil"/>
              <w:left w:val="nil"/>
              <w:bottom w:val="single" w:color="auto" w:sz="4" w:space="0"/>
              <w:right w:val="single" w:color="auto" w:sz="4"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368" w:type="dxa"/>
            <w:tcBorders>
              <w:top w:val="nil"/>
              <w:left w:val="nil"/>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r>
      <w:tr w:rsidRPr="00AA47F9" w:rsidR="00AA47F9" w:rsidTr="00AA47F9">
        <w:trPr>
          <w:trHeight w:val="309"/>
        </w:trPr>
        <w:tc>
          <w:tcPr>
            <w:tcW w:w="2191" w:type="dxa"/>
            <w:tcBorders>
              <w:top w:val="nil"/>
              <w:left w:val="single" w:color="auto" w:sz="8" w:space="0"/>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b/>
                <w:bCs/>
                <w:color w:val="000000"/>
                <w:sz w:val="16"/>
                <w:szCs w:val="16"/>
              </w:rPr>
            </w:pPr>
            <w:r w:rsidRPr="00AA47F9">
              <w:rPr>
                <w:rFonts w:ascii="Calibri" w:hAnsi="Calibri" w:cs="Calibri"/>
                <w:b/>
                <w:bCs/>
                <w:color w:val="000000"/>
                <w:sz w:val="16"/>
                <w:szCs w:val="16"/>
              </w:rPr>
              <w:t>Travel</w:t>
            </w:r>
          </w:p>
        </w:tc>
        <w:tc>
          <w:tcPr>
            <w:tcW w:w="1280"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61"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681"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368" w:type="dxa"/>
            <w:tcBorders>
              <w:top w:val="nil"/>
              <w:left w:val="nil"/>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r>
      <w:tr w:rsidRPr="00AA47F9" w:rsidR="00AA47F9" w:rsidTr="00AA47F9">
        <w:trPr>
          <w:trHeight w:val="561"/>
        </w:trPr>
        <w:tc>
          <w:tcPr>
            <w:tcW w:w="2191" w:type="dxa"/>
            <w:tcBorders>
              <w:top w:val="nil"/>
              <w:left w:val="single" w:color="auto" w:sz="8" w:space="0"/>
              <w:bottom w:val="nil"/>
              <w:right w:val="single" w:color="auto" w:sz="8" w:space="0"/>
            </w:tcBorders>
            <w:shd w:val="clear" w:color="auto" w:fill="auto"/>
            <w:vAlign w:val="center"/>
            <w:hideMark/>
          </w:tcPr>
          <w:p w:rsidRPr="00AA47F9" w:rsidR="00AA47F9" w:rsidP="00AA47F9" w:rsidRDefault="00AA47F9">
            <w:pPr>
              <w:widowControl/>
              <w:autoSpaceDE/>
              <w:autoSpaceDN/>
              <w:adjustRightInd/>
              <w:rPr>
                <w:rFonts w:ascii="Calibri" w:hAnsi="Calibri" w:cs="Calibri"/>
                <w:b/>
                <w:bCs/>
                <w:color w:val="000000"/>
                <w:sz w:val="16"/>
                <w:szCs w:val="16"/>
              </w:rPr>
            </w:pPr>
            <w:r w:rsidRPr="00AA47F9">
              <w:rPr>
                <w:rFonts w:ascii="Calibri" w:hAnsi="Calibri" w:cs="Calibri"/>
                <w:b/>
                <w:bCs/>
                <w:color w:val="000000"/>
                <w:sz w:val="16"/>
                <w:szCs w:val="16"/>
              </w:rPr>
              <w:lastRenderedPageBreak/>
              <w:t xml:space="preserve">Other Costs: </w:t>
            </w:r>
          </w:p>
        </w:tc>
        <w:tc>
          <w:tcPr>
            <w:tcW w:w="1280"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61"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681" w:type="dxa"/>
            <w:tcBorders>
              <w:top w:val="nil"/>
              <w:left w:val="nil"/>
              <w:bottom w:val="single" w:color="auto" w:sz="4" w:space="0"/>
              <w:right w:val="single" w:color="auto" w:sz="4"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368" w:type="dxa"/>
            <w:tcBorders>
              <w:top w:val="nil"/>
              <w:left w:val="nil"/>
              <w:bottom w:val="single" w:color="auto" w:sz="4" w:space="0"/>
              <w:right w:val="single" w:color="auto" w:sz="8" w:space="0"/>
            </w:tcBorders>
            <w:shd w:val="clear" w:color="auto" w:fill="auto"/>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r>
      <w:tr w:rsidRPr="00AA47F9" w:rsidR="00AA47F9" w:rsidTr="00AA47F9">
        <w:trPr>
          <w:trHeight w:val="320"/>
        </w:trPr>
        <w:tc>
          <w:tcPr>
            <w:tcW w:w="2191"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AA47F9" w:rsidR="00AA47F9" w:rsidP="00AA47F9" w:rsidRDefault="00AA47F9">
            <w:pPr>
              <w:widowControl/>
              <w:autoSpaceDE/>
              <w:autoSpaceDN/>
              <w:adjustRightInd/>
              <w:rPr>
                <w:rFonts w:ascii="Calibri" w:hAnsi="Calibri" w:cs="Calibri"/>
                <w:b/>
                <w:bCs/>
                <w:color w:val="000000"/>
                <w:sz w:val="16"/>
                <w:szCs w:val="16"/>
              </w:rPr>
            </w:pPr>
            <w:r w:rsidRPr="00AA47F9">
              <w:rPr>
                <w:rFonts w:ascii="Calibri" w:hAnsi="Calibri" w:cs="Calibri"/>
                <w:b/>
                <w:bCs/>
                <w:color w:val="000000"/>
                <w:sz w:val="16"/>
                <w:szCs w:val="16"/>
              </w:rPr>
              <w:t>TOTAL</w:t>
            </w:r>
          </w:p>
        </w:tc>
        <w:tc>
          <w:tcPr>
            <w:tcW w:w="1280" w:type="dxa"/>
            <w:tcBorders>
              <w:top w:val="single" w:color="auto" w:sz="8" w:space="0"/>
              <w:left w:val="nil"/>
              <w:bottom w:val="single" w:color="auto" w:sz="8" w:space="0"/>
              <w:right w:val="single" w:color="auto" w:sz="8" w:space="0"/>
            </w:tcBorders>
            <w:shd w:val="clear" w:color="000000" w:fill="808080"/>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261" w:type="dxa"/>
            <w:tcBorders>
              <w:top w:val="single" w:color="auto" w:sz="8" w:space="0"/>
              <w:left w:val="nil"/>
              <w:bottom w:val="single" w:color="auto" w:sz="8" w:space="0"/>
              <w:right w:val="single" w:color="auto" w:sz="8" w:space="0"/>
            </w:tcBorders>
            <w:shd w:val="clear" w:color="000000" w:fill="DDEBF7"/>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100" w:type="dxa"/>
            <w:tcBorders>
              <w:top w:val="single" w:color="auto" w:sz="8" w:space="0"/>
              <w:left w:val="nil"/>
              <w:bottom w:val="single" w:color="auto" w:sz="8" w:space="0"/>
              <w:right w:val="single" w:color="auto" w:sz="8" w:space="0"/>
            </w:tcBorders>
            <w:shd w:val="clear" w:color="000000" w:fill="757171"/>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681" w:type="dxa"/>
            <w:tcBorders>
              <w:top w:val="single" w:color="auto" w:sz="8" w:space="0"/>
              <w:left w:val="nil"/>
              <w:bottom w:val="single" w:color="auto" w:sz="8" w:space="0"/>
              <w:right w:val="single" w:color="auto" w:sz="8" w:space="0"/>
            </w:tcBorders>
            <w:shd w:val="clear" w:color="000000" w:fill="DDEBF7"/>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w:t>
            </w:r>
          </w:p>
        </w:tc>
        <w:tc>
          <w:tcPr>
            <w:tcW w:w="1368" w:type="dxa"/>
            <w:tcBorders>
              <w:top w:val="single" w:color="auto" w:sz="8" w:space="0"/>
              <w:left w:val="nil"/>
              <w:bottom w:val="single" w:color="auto" w:sz="8" w:space="0"/>
              <w:right w:val="single" w:color="auto" w:sz="8" w:space="0"/>
            </w:tcBorders>
            <w:shd w:val="clear" w:color="000000" w:fill="DDEBF7"/>
            <w:noWrap/>
            <w:vAlign w:val="bottom"/>
            <w:hideMark/>
          </w:tcPr>
          <w:p w:rsidRPr="00AA47F9" w:rsidR="00AA47F9" w:rsidP="00AA47F9" w:rsidRDefault="00AA47F9">
            <w:pPr>
              <w:widowControl/>
              <w:autoSpaceDE/>
              <w:autoSpaceDN/>
              <w:adjustRightInd/>
              <w:rPr>
                <w:rFonts w:ascii="Calibri" w:hAnsi="Calibri" w:cs="Calibri"/>
                <w:color w:val="000000"/>
                <w:sz w:val="16"/>
                <w:szCs w:val="16"/>
              </w:rPr>
            </w:pPr>
            <w:r w:rsidRPr="00AA47F9">
              <w:rPr>
                <w:rFonts w:ascii="Calibri" w:hAnsi="Calibri" w:cs="Calibri"/>
                <w:color w:val="000000"/>
                <w:sz w:val="16"/>
                <w:szCs w:val="16"/>
              </w:rPr>
              <w:t xml:space="preserve"> $         6,816 </w:t>
            </w:r>
          </w:p>
        </w:tc>
      </w:tr>
    </w:tbl>
    <w:p w:rsidR="00AA47F9" w:rsidP="00BB2CFE" w:rsidRDefault="00AA47F9">
      <w:pPr>
        <w:rPr>
          <w:bCs/>
          <w:sz w:val="24"/>
          <w:szCs w:val="24"/>
        </w:rPr>
      </w:pPr>
    </w:p>
    <w:p w:rsidRPr="00AA47F9" w:rsidR="00AA47F9" w:rsidP="00BB2CFE" w:rsidRDefault="00AA47F9">
      <w:pPr>
        <w:rPr>
          <w:sz w:val="24"/>
          <w:szCs w:val="24"/>
        </w:rPr>
      </w:pPr>
      <w:r>
        <w:rPr>
          <w:color w:val="222222"/>
          <w:sz w:val="24"/>
          <w:szCs w:val="24"/>
          <w:shd w:val="clear" w:color="auto" w:fill="FFFFFF"/>
        </w:rPr>
        <w:t>Some</w:t>
      </w:r>
      <w:r w:rsidRPr="00AA47F9">
        <w:rPr>
          <w:color w:val="222222"/>
          <w:sz w:val="24"/>
          <w:szCs w:val="24"/>
          <w:shd w:val="clear" w:color="auto" w:fill="FFFFFF"/>
        </w:rPr>
        <w:t xml:space="preserve"> federal costs reported in the previous revision were for the West Coast VMS program, which monitors all fleets with VMS in the region. </w:t>
      </w:r>
      <w:r>
        <w:rPr>
          <w:color w:val="222222"/>
          <w:sz w:val="24"/>
          <w:szCs w:val="24"/>
          <w:shd w:val="clear" w:color="auto" w:fill="FFFFFF"/>
        </w:rPr>
        <w:t xml:space="preserve">This collection’s annualized federal cost has been adjusted as most federal costs associated with the West Coast VMS program are covered in collection 0649-0573. </w:t>
      </w:r>
    </w:p>
    <w:p w:rsidRPr="00EC0D6E" w:rsidR="004F26E9" w:rsidP="00BB2CFE" w:rsidRDefault="004F26E9">
      <w:pPr>
        <w:rPr>
          <w:sz w:val="24"/>
          <w:szCs w:val="24"/>
        </w:rPr>
      </w:pPr>
    </w:p>
    <w:p w:rsidRPr="00EC0D6E" w:rsidR="004F26E9" w:rsidP="00BB2CFE" w:rsidRDefault="004F26E9">
      <w:pPr>
        <w:rPr>
          <w:sz w:val="24"/>
          <w:szCs w:val="24"/>
        </w:rPr>
      </w:pPr>
      <w:r w:rsidRPr="00EC0D6E">
        <w:rPr>
          <w:b/>
          <w:bCs/>
          <w:sz w:val="24"/>
          <w:szCs w:val="24"/>
        </w:rPr>
        <w:t xml:space="preserve">15.  </w:t>
      </w:r>
      <w:r w:rsidRPr="00BD7237" w:rsidR="002E1247">
        <w:rPr>
          <w:b/>
          <w:sz w:val="24"/>
          <w:szCs w:val="24"/>
        </w:rPr>
        <w:t>Explain the reasons for any program changes or adjustments reported in ROCIS.</w:t>
      </w:r>
    </w:p>
    <w:p w:rsidR="00CD607A" w:rsidP="00BB2CFE" w:rsidRDefault="00CD607A">
      <w:pPr>
        <w:rPr>
          <w:sz w:val="24"/>
          <w:szCs w:val="24"/>
        </w:rPr>
      </w:pPr>
    </w:p>
    <w:tbl>
      <w:tblPr>
        <w:tblW w:w="10413" w:type="dxa"/>
        <w:tblInd w:w="-530" w:type="dxa"/>
        <w:tblLook w:val="04A0" w:firstRow="1" w:lastRow="0" w:firstColumn="1" w:lastColumn="0" w:noHBand="0" w:noVBand="1"/>
      </w:tblPr>
      <w:tblGrid>
        <w:gridCol w:w="2080"/>
        <w:gridCol w:w="1043"/>
        <w:gridCol w:w="1080"/>
        <w:gridCol w:w="1260"/>
        <w:gridCol w:w="1080"/>
        <w:gridCol w:w="1170"/>
        <w:gridCol w:w="1080"/>
        <w:gridCol w:w="1620"/>
      </w:tblGrid>
      <w:tr w:rsidRPr="00C54763" w:rsidR="00C54763" w:rsidTr="00C54763">
        <w:trPr>
          <w:trHeight w:val="300"/>
        </w:trPr>
        <w:tc>
          <w:tcPr>
            <w:tcW w:w="20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Information Collection</w:t>
            </w:r>
          </w:p>
        </w:tc>
        <w:tc>
          <w:tcPr>
            <w:tcW w:w="2123" w:type="dxa"/>
            <w:gridSpan w:val="2"/>
            <w:tcBorders>
              <w:top w:val="single" w:color="auto" w:sz="8" w:space="0"/>
              <w:left w:val="nil"/>
              <w:bottom w:val="single" w:color="auto" w:sz="8" w:space="0"/>
              <w:right w:val="single" w:color="000000" w:sz="8" w:space="0"/>
            </w:tcBorders>
            <w:shd w:val="clear" w:color="000000" w:fill="5B9BD5"/>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Respondents</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Burden Hours</w:t>
            </w:r>
          </w:p>
        </w:tc>
        <w:tc>
          <w:tcPr>
            <w:tcW w:w="16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Reason for change or adjustment</w:t>
            </w:r>
          </w:p>
        </w:tc>
      </w:tr>
      <w:tr w:rsidRPr="00C54763" w:rsidR="00C54763" w:rsidTr="00C54763">
        <w:trPr>
          <w:trHeight w:val="640"/>
        </w:trPr>
        <w:tc>
          <w:tcPr>
            <w:tcW w:w="2080" w:type="dxa"/>
            <w:vMerge/>
            <w:tcBorders>
              <w:top w:val="single" w:color="auto" w:sz="8" w:space="0"/>
              <w:left w:val="single" w:color="auto" w:sz="8" w:space="0"/>
              <w:bottom w:val="single" w:color="000000" w:sz="8" w:space="0"/>
              <w:right w:val="single" w:color="auto" w:sz="8" w:space="0"/>
            </w:tcBorders>
            <w:vAlign w:val="center"/>
            <w:hideMark/>
          </w:tcPr>
          <w:p w:rsidRPr="00C54763" w:rsidR="00C54763" w:rsidP="00C54763" w:rsidRDefault="00C54763">
            <w:pPr>
              <w:widowControl/>
              <w:autoSpaceDE/>
              <w:autoSpaceDN/>
              <w:adjustRightInd/>
              <w:rPr>
                <w:rFonts w:ascii="Calibri" w:hAnsi="Calibri" w:cs="Calibri"/>
                <w:b/>
                <w:bCs/>
                <w:color w:val="000000"/>
                <w:sz w:val="16"/>
                <w:szCs w:val="16"/>
              </w:rPr>
            </w:pPr>
          </w:p>
        </w:tc>
        <w:tc>
          <w:tcPr>
            <w:tcW w:w="1043" w:type="dxa"/>
            <w:tcBorders>
              <w:top w:val="nil"/>
              <w:left w:val="nil"/>
              <w:bottom w:val="single" w:color="auto" w:sz="8" w:space="0"/>
              <w:right w:val="dashed" w:color="auto" w:sz="8" w:space="0"/>
            </w:tcBorders>
            <w:shd w:val="clear" w:color="000000" w:fill="FBE4D5"/>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Previous Renewal / Revision</w:t>
            </w:r>
          </w:p>
        </w:tc>
        <w:tc>
          <w:tcPr>
            <w:tcW w:w="1260" w:type="dxa"/>
            <w:tcBorders>
              <w:top w:val="nil"/>
              <w:left w:val="nil"/>
              <w:bottom w:val="single" w:color="auto" w:sz="8" w:space="0"/>
              <w:right w:val="dashed" w:color="auto" w:sz="8" w:space="0"/>
            </w:tcBorders>
            <w:shd w:val="clear" w:color="000000" w:fill="FBE4D5"/>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Previous Renewal / Revision</w:t>
            </w:r>
          </w:p>
        </w:tc>
        <w:tc>
          <w:tcPr>
            <w:tcW w:w="1620" w:type="dxa"/>
            <w:vMerge/>
            <w:tcBorders>
              <w:top w:val="single" w:color="auto" w:sz="8" w:space="0"/>
              <w:left w:val="single" w:color="auto" w:sz="8" w:space="0"/>
              <w:bottom w:val="single" w:color="000000" w:sz="8" w:space="0"/>
              <w:right w:val="single" w:color="auto" w:sz="8" w:space="0"/>
            </w:tcBorders>
            <w:vAlign w:val="center"/>
            <w:hideMark/>
          </w:tcPr>
          <w:p w:rsidRPr="00C54763" w:rsidR="00C54763" w:rsidP="00C54763" w:rsidRDefault="00C54763">
            <w:pPr>
              <w:widowControl/>
              <w:autoSpaceDE/>
              <w:autoSpaceDN/>
              <w:adjustRightInd/>
              <w:rPr>
                <w:rFonts w:ascii="Calibri" w:hAnsi="Calibri" w:cs="Calibri"/>
                <w:b/>
                <w:bCs/>
                <w:color w:val="000000"/>
                <w:sz w:val="16"/>
                <w:szCs w:val="16"/>
              </w:rPr>
            </w:pPr>
          </w:p>
        </w:tc>
      </w:tr>
      <w:tr w:rsidRPr="00C54763" w:rsidR="00C54763" w:rsidTr="00C54763">
        <w:trPr>
          <w:trHeight w:val="520"/>
        </w:trPr>
        <w:tc>
          <w:tcPr>
            <w:tcW w:w="2080" w:type="dxa"/>
            <w:tcBorders>
              <w:top w:val="nil"/>
              <w:left w:val="single" w:color="auto" w:sz="8" w:space="0"/>
              <w:bottom w:val="single" w:color="auto" w:sz="4" w:space="0"/>
              <w:right w:val="single" w:color="auto" w:sz="8" w:space="0"/>
            </w:tcBorders>
            <w:shd w:val="clear" w:color="auto" w:fill="auto"/>
            <w:hideMark/>
          </w:tcPr>
          <w:p w:rsidRPr="00C54763" w:rsidR="00C54763" w:rsidP="00C54763" w:rsidRDefault="00C54763">
            <w:pPr>
              <w:widowControl/>
              <w:autoSpaceDE/>
              <w:autoSpaceDN/>
              <w:adjustRightInd/>
              <w:rPr>
                <w:rFonts w:ascii="Calibri" w:hAnsi="Calibri" w:cs="Calibri"/>
                <w:color w:val="000000"/>
              </w:rPr>
            </w:pPr>
            <w:r w:rsidRPr="00C54763">
              <w:rPr>
                <w:rFonts w:ascii="Calibri" w:hAnsi="Calibri" w:cs="Calibri"/>
                <w:color w:val="000000"/>
              </w:rPr>
              <w:t xml:space="preserve">One-time install of a VMS unit </w:t>
            </w:r>
          </w:p>
        </w:tc>
        <w:tc>
          <w:tcPr>
            <w:tcW w:w="1043"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53</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36</w:t>
            </w:r>
          </w:p>
        </w:tc>
        <w:tc>
          <w:tcPr>
            <w:tcW w:w="1260"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18</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12</w:t>
            </w:r>
          </w:p>
        </w:tc>
        <w:tc>
          <w:tcPr>
            <w:tcW w:w="1170"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7</w:t>
            </w:r>
            <w:r w:rsidR="003729B7">
              <w:rPr>
                <w:rFonts w:ascii="Calibri" w:hAnsi="Calibri" w:cs="Calibri"/>
                <w:color w:val="000000"/>
                <w:sz w:val="16"/>
                <w:szCs w:val="16"/>
              </w:rPr>
              <w:t>2</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48</w:t>
            </w:r>
          </w:p>
        </w:tc>
        <w:tc>
          <w:tcPr>
            <w:tcW w:w="1620" w:type="dxa"/>
            <w:vMerge w:val="restart"/>
            <w:tcBorders>
              <w:top w:val="nil"/>
              <w:left w:val="single" w:color="auto" w:sz="8" w:space="0"/>
              <w:bottom w:val="dotted" w:color="000000" w:sz="4" w:space="0"/>
              <w:right w:val="single" w:color="auto" w:sz="8" w:space="0"/>
            </w:tcBorders>
            <w:shd w:val="clear" w:color="auto" w:fill="auto"/>
            <w:vAlign w:val="center"/>
            <w:hideMark/>
          </w:tcPr>
          <w:p w:rsidRPr="00C54763" w:rsidR="00C54763" w:rsidP="00C54763" w:rsidRDefault="00C54763">
            <w:pPr>
              <w:widowControl/>
              <w:autoSpaceDE/>
              <w:autoSpaceDN/>
              <w:adjustRightInd/>
              <w:rPr>
                <w:rFonts w:ascii="Calibri" w:hAnsi="Calibri" w:cs="Calibri"/>
                <w:color w:val="000000"/>
                <w:sz w:val="16"/>
                <w:szCs w:val="16"/>
              </w:rPr>
            </w:pPr>
            <w:r w:rsidRPr="00C54763">
              <w:rPr>
                <w:rFonts w:ascii="Calibri" w:hAnsi="Calibri" w:cs="Calibri"/>
                <w:color w:val="000000"/>
                <w:sz w:val="16"/>
                <w:szCs w:val="16"/>
              </w:rPr>
              <w:t xml:space="preserve">Increase in respondents due to adjustment in the number of permitted vessels </w:t>
            </w:r>
          </w:p>
        </w:tc>
      </w:tr>
      <w:tr w:rsidRPr="00C54763" w:rsidR="00C54763" w:rsidTr="00C54763">
        <w:trPr>
          <w:trHeight w:val="520"/>
        </w:trPr>
        <w:tc>
          <w:tcPr>
            <w:tcW w:w="2080" w:type="dxa"/>
            <w:tcBorders>
              <w:top w:val="nil"/>
              <w:left w:val="single" w:color="auto" w:sz="8" w:space="0"/>
              <w:bottom w:val="nil"/>
              <w:right w:val="single" w:color="auto" w:sz="8" w:space="0"/>
            </w:tcBorders>
            <w:shd w:val="clear" w:color="auto" w:fill="auto"/>
            <w:hideMark/>
          </w:tcPr>
          <w:p w:rsidRPr="00C54763" w:rsidR="00C54763" w:rsidP="00C54763" w:rsidRDefault="00C54763">
            <w:pPr>
              <w:widowControl/>
              <w:autoSpaceDE/>
              <w:autoSpaceDN/>
              <w:adjustRightInd/>
              <w:rPr>
                <w:rFonts w:ascii="Calibri" w:hAnsi="Calibri" w:cs="Calibri"/>
                <w:color w:val="000000"/>
              </w:rPr>
            </w:pPr>
            <w:r w:rsidRPr="00C54763">
              <w:rPr>
                <w:rFonts w:ascii="Calibri" w:hAnsi="Calibri" w:cs="Calibri"/>
                <w:color w:val="000000"/>
              </w:rPr>
              <w:t xml:space="preserve">Repair/maintain VMS unit </w:t>
            </w:r>
          </w:p>
        </w:tc>
        <w:tc>
          <w:tcPr>
            <w:tcW w:w="1043"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53</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36</w:t>
            </w:r>
          </w:p>
        </w:tc>
        <w:tc>
          <w:tcPr>
            <w:tcW w:w="1260"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53</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36</w:t>
            </w:r>
          </w:p>
        </w:tc>
        <w:tc>
          <w:tcPr>
            <w:tcW w:w="1170"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53</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36</w:t>
            </w:r>
          </w:p>
        </w:tc>
        <w:tc>
          <w:tcPr>
            <w:tcW w:w="1620" w:type="dxa"/>
            <w:vMerge/>
            <w:tcBorders>
              <w:top w:val="nil"/>
              <w:left w:val="single" w:color="auto" w:sz="8" w:space="0"/>
              <w:bottom w:val="dotted" w:color="000000" w:sz="4" w:space="0"/>
              <w:right w:val="single" w:color="auto" w:sz="8" w:space="0"/>
            </w:tcBorders>
            <w:vAlign w:val="center"/>
            <w:hideMark/>
          </w:tcPr>
          <w:p w:rsidRPr="00C54763" w:rsidR="00C54763" w:rsidP="00C54763" w:rsidRDefault="00C54763">
            <w:pPr>
              <w:widowControl/>
              <w:autoSpaceDE/>
              <w:autoSpaceDN/>
              <w:adjustRightInd/>
              <w:rPr>
                <w:rFonts w:ascii="Calibri" w:hAnsi="Calibri" w:cs="Calibri"/>
                <w:color w:val="000000"/>
                <w:sz w:val="16"/>
                <w:szCs w:val="16"/>
              </w:rPr>
            </w:pPr>
          </w:p>
        </w:tc>
      </w:tr>
      <w:tr w:rsidRPr="00C54763" w:rsidR="00C54763" w:rsidTr="00C54763">
        <w:trPr>
          <w:trHeight w:val="520"/>
        </w:trPr>
        <w:tc>
          <w:tcPr>
            <w:tcW w:w="2080" w:type="dxa"/>
            <w:tcBorders>
              <w:top w:val="nil"/>
              <w:left w:val="single" w:color="auto" w:sz="8" w:space="0"/>
              <w:bottom w:val="nil"/>
              <w:right w:val="single" w:color="auto" w:sz="8" w:space="0"/>
            </w:tcBorders>
            <w:shd w:val="clear" w:color="auto" w:fill="auto"/>
            <w:hideMark/>
          </w:tcPr>
          <w:p w:rsidRPr="00C54763" w:rsidR="00C54763" w:rsidP="00C54763" w:rsidRDefault="00C54763">
            <w:pPr>
              <w:widowControl/>
              <w:autoSpaceDE/>
              <w:autoSpaceDN/>
              <w:adjustRightInd/>
              <w:rPr>
                <w:rFonts w:ascii="Calibri" w:hAnsi="Calibri" w:cs="Calibri"/>
                <w:color w:val="000000"/>
              </w:rPr>
            </w:pPr>
            <w:r w:rsidRPr="00C54763">
              <w:rPr>
                <w:rFonts w:ascii="Calibri" w:hAnsi="Calibri" w:cs="Calibri"/>
                <w:color w:val="000000"/>
              </w:rPr>
              <w:t xml:space="preserve">Installation/activation reports </w:t>
            </w:r>
          </w:p>
        </w:tc>
        <w:tc>
          <w:tcPr>
            <w:tcW w:w="1043"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53</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36</w:t>
            </w:r>
          </w:p>
        </w:tc>
        <w:tc>
          <w:tcPr>
            <w:tcW w:w="1260"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18</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12</w:t>
            </w:r>
          </w:p>
        </w:tc>
        <w:tc>
          <w:tcPr>
            <w:tcW w:w="1170"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1.5</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1</w:t>
            </w:r>
          </w:p>
        </w:tc>
        <w:tc>
          <w:tcPr>
            <w:tcW w:w="1620" w:type="dxa"/>
            <w:vMerge/>
            <w:tcBorders>
              <w:top w:val="nil"/>
              <w:left w:val="single" w:color="auto" w:sz="8" w:space="0"/>
              <w:bottom w:val="dotted" w:color="000000" w:sz="4" w:space="0"/>
              <w:right w:val="single" w:color="auto" w:sz="8" w:space="0"/>
            </w:tcBorders>
            <w:vAlign w:val="center"/>
            <w:hideMark/>
          </w:tcPr>
          <w:p w:rsidRPr="00C54763" w:rsidR="00C54763" w:rsidP="00C54763" w:rsidRDefault="00C54763">
            <w:pPr>
              <w:widowControl/>
              <w:autoSpaceDE/>
              <w:autoSpaceDN/>
              <w:adjustRightInd/>
              <w:rPr>
                <w:rFonts w:ascii="Calibri" w:hAnsi="Calibri" w:cs="Calibri"/>
                <w:color w:val="000000"/>
                <w:sz w:val="16"/>
                <w:szCs w:val="16"/>
              </w:rPr>
            </w:pPr>
          </w:p>
        </w:tc>
      </w:tr>
      <w:tr w:rsidRPr="00C54763" w:rsidR="00C54763" w:rsidTr="00C54763">
        <w:trPr>
          <w:trHeight w:val="290"/>
        </w:trPr>
        <w:tc>
          <w:tcPr>
            <w:tcW w:w="2080" w:type="dxa"/>
            <w:tcBorders>
              <w:top w:val="nil"/>
              <w:left w:val="single" w:color="auto" w:sz="8" w:space="0"/>
              <w:bottom w:val="nil"/>
              <w:right w:val="single" w:color="auto" w:sz="8" w:space="0"/>
            </w:tcBorders>
            <w:shd w:val="clear" w:color="auto" w:fill="auto"/>
            <w:hideMark/>
          </w:tcPr>
          <w:p w:rsidRPr="00C54763" w:rsidR="00C54763" w:rsidP="00C54763" w:rsidRDefault="00C54763">
            <w:pPr>
              <w:widowControl/>
              <w:autoSpaceDE/>
              <w:autoSpaceDN/>
              <w:adjustRightInd/>
              <w:rPr>
                <w:rFonts w:ascii="Calibri" w:hAnsi="Calibri" w:cs="Calibri"/>
                <w:color w:val="000000"/>
              </w:rPr>
            </w:pPr>
            <w:r w:rsidRPr="00C54763">
              <w:rPr>
                <w:rFonts w:ascii="Calibri" w:hAnsi="Calibri" w:cs="Calibri"/>
                <w:color w:val="000000"/>
              </w:rPr>
              <w:t>“On-off” reports</w:t>
            </w:r>
          </w:p>
        </w:tc>
        <w:tc>
          <w:tcPr>
            <w:tcW w:w="1043"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53</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36</w:t>
            </w:r>
          </w:p>
        </w:tc>
        <w:tc>
          <w:tcPr>
            <w:tcW w:w="1260"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53</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36</w:t>
            </w:r>
          </w:p>
        </w:tc>
        <w:tc>
          <w:tcPr>
            <w:tcW w:w="1170"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4.5</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3</w:t>
            </w:r>
          </w:p>
        </w:tc>
        <w:tc>
          <w:tcPr>
            <w:tcW w:w="1620" w:type="dxa"/>
            <w:vMerge/>
            <w:tcBorders>
              <w:top w:val="nil"/>
              <w:left w:val="single" w:color="auto" w:sz="8" w:space="0"/>
              <w:bottom w:val="dotted" w:color="000000" w:sz="4" w:space="0"/>
              <w:right w:val="single" w:color="auto" w:sz="8" w:space="0"/>
            </w:tcBorders>
            <w:vAlign w:val="center"/>
            <w:hideMark/>
          </w:tcPr>
          <w:p w:rsidRPr="00C54763" w:rsidR="00C54763" w:rsidP="00C54763" w:rsidRDefault="00C54763">
            <w:pPr>
              <w:widowControl/>
              <w:autoSpaceDE/>
              <w:autoSpaceDN/>
              <w:adjustRightInd/>
              <w:rPr>
                <w:rFonts w:ascii="Calibri" w:hAnsi="Calibri" w:cs="Calibri"/>
                <w:color w:val="000000"/>
                <w:sz w:val="16"/>
                <w:szCs w:val="16"/>
              </w:rPr>
            </w:pPr>
          </w:p>
        </w:tc>
      </w:tr>
      <w:tr w:rsidRPr="00C54763" w:rsidR="00C54763" w:rsidTr="00C54763">
        <w:trPr>
          <w:trHeight w:val="290"/>
        </w:trPr>
        <w:tc>
          <w:tcPr>
            <w:tcW w:w="2080" w:type="dxa"/>
            <w:tcBorders>
              <w:top w:val="nil"/>
              <w:left w:val="single" w:color="auto" w:sz="8" w:space="0"/>
              <w:bottom w:val="nil"/>
              <w:right w:val="single" w:color="auto" w:sz="8" w:space="0"/>
            </w:tcBorders>
            <w:shd w:val="clear" w:color="auto" w:fill="auto"/>
            <w:hideMark/>
          </w:tcPr>
          <w:p w:rsidRPr="00C54763" w:rsidR="00C54763" w:rsidP="00C54763" w:rsidRDefault="00C54763">
            <w:pPr>
              <w:widowControl/>
              <w:autoSpaceDE/>
              <w:autoSpaceDN/>
              <w:adjustRightInd/>
              <w:rPr>
                <w:rFonts w:ascii="Calibri" w:hAnsi="Calibri" w:cs="Calibri"/>
                <w:color w:val="000000"/>
              </w:rPr>
            </w:pPr>
            <w:r w:rsidRPr="00C54763">
              <w:rPr>
                <w:rFonts w:ascii="Calibri" w:hAnsi="Calibri" w:cs="Calibri"/>
                <w:color w:val="000000"/>
              </w:rPr>
              <w:t>Pre-trip notifications</w:t>
            </w:r>
          </w:p>
        </w:tc>
        <w:tc>
          <w:tcPr>
            <w:tcW w:w="1043"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53</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36</w:t>
            </w:r>
          </w:p>
        </w:tc>
        <w:tc>
          <w:tcPr>
            <w:tcW w:w="1260"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318</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216</w:t>
            </w:r>
          </w:p>
        </w:tc>
        <w:tc>
          <w:tcPr>
            <w:tcW w:w="1170" w:type="dxa"/>
            <w:tcBorders>
              <w:top w:val="nil"/>
              <w:left w:val="nil"/>
              <w:bottom w:val="dotted" w:color="auto" w:sz="4" w:space="0"/>
              <w:right w:val="dashed"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26.5</w:t>
            </w:r>
          </w:p>
        </w:tc>
        <w:tc>
          <w:tcPr>
            <w:tcW w:w="1080" w:type="dxa"/>
            <w:tcBorders>
              <w:top w:val="nil"/>
              <w:left w:val="nil"/>
              <w:bottom w:val="dotted" w:color="auto" w:sz="4" w:space="0"/>
              <w:right w:val="single" w:color="auto" w:sz="8" w:space="0"/>
            </w:tcBorders>
            <w:shd w:val="clear" w:color="auto" w:fill="auto"/>
            <w:vAlign w:val="center"/>
            <w:hideMark/>
          </w:tcPr>
          <w:p w:rsidRPr="00C54763" w:rsidR="00C54763" w:rsidP="00C54763" w:rsidRDefault="00C54763">
            <w:pPr>
              <w:widowControl/>
              <w:autoSpaceDE/>
              <w:autoSpaceDN/>
              <w:adjustRightInd/>
              <w:jc w:val="center"/>
              <w:rPr>
                <w:rFonts w:ascii="Calibri" w:hAnsi="Calibri" w:cs="Calibri"/>
                <w:color w:val="000000"/>
                <w:sz w:val="16"/>
                <w:szCs w:val="16"/>
              </w:rPr>
            </w:pPr>
            <w:r w:rsidRPr="00C54763">
              <w:rPr>
                <w:rFonts w:ascii="Calibri" w:hAnsi="Calibri" w:cs="Calibri"/>
                <w:color w:val="000000"/>
                <w:sz w:val="16"/>
                <w:szCs w:val="16"/>
              </w:rPr>
              <w:t>18</w:t>
            </w:r>
          </w:p>
        </w:tc>
        <w:tc>
          <w:tcPr>
            <w:tcW w:w="1620" w:type="dxa"/>
            <w:vMerge/>
            <w:tcBorders>
              <w:top w:val="nil"/>
              <w:left w:val="single" w:color="auto" w:sz="8" w:space="0"/>
              <w:bottom w:val="dotted" w:color="000000" w:sz="4" w:space="0"/>
              <w:right w:val="single" w:color="auto" w:sz="8" w:space="0"/>
            </w:tcBorders>
            <w:vAlign w:val="center"/>
            <w:hideMark/>
          </w:tcPr>
          <w:p w:rsidRPr="00C54763" w:rsidR="00C54763" w:rsidP="00C54763" w:rsidRDefault="00C54763">
            <w:pPr>
              <w:widowControl/>
              <w:autoSpaceDE/>
              <w:autoSpaceDN/>
              <w:adjustRightInd/>
              <w:rPr>
                <w:rFonts w:ascii="Calibri" w:hAnsi="Calibri" w:cs="Calibri"/>
                <w:color w:val="000000"/>
                <w:sz w:val="16"/>
                <w:szCs w:val="16"/>
              </w:rPr>
            </w:pPr>
          </w:p>
        </w:tc>
      </w:tr>
      <w:tr w:rsidRPr="00C54763" w:rsidR="00C54763" w:rsidTr="00C54763">
        <w:trPr>
          <w:trHeight w:val="465"/>
        </w:trPr>
        <w:tc>
          <w:tcPr>
            <w:tcW w:w="2080" w:type="dxa"/>
            <w:tcBorders>
              <w:top w:val="nil"/>
              <w:left w:val="single" w:color="auto" w:sz="8" w:space="0"/>
              <w:bottom w:val="nil"/>
              <w:right w:val="single" w:color="auto" w:sz="8" w:space="0"/>
            </w:tcBorders>
            <w:shd w:val="clear" w:color="000000" w:fill="BDD6EE"/>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Total for Collection</w:t>
            </w:r>
          </w:p>
        </w:tc>
        <w:tc>
          <w:tcPr>
            <w:tcW w:w="1043" w:type="dxa"/>
            <w:tcBorders>
              <w:top w:val="nil"/>
              <w:left w:val="nil"/>
              <w:bottom w:val="dotted" w:color="auto" w:sz="4" w:space="0"/>
              <w:right w:val="dashed" w:color="auto" w:sz="8" w:space="0"/>
            </w:tcBorders>
            <w:shd w:val="clear" w:color="000000" w:fill="BDD7EE"/>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53</w:t>
            </w:r>
          </w:p>
        </w:tc>
        <w:tc>
          <w:tcPr>
            <w:tcW w:w="1080" w:type="dxa"/>
            <w:tcBorders>
              <w:top w:val="nil"/>
              <w:left w:val="nil"/>
              <w:bottom w:val="dotted" w:color="auto" w:sz="4" w:space="0"/>
              <w:right w:val="single" w:color="auto" w:sz="8" w:space="0"/>
            </w:tcBorders>
            <w:shd w:val="clear" w:color="000000" w:fill="BDD7EE"/>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36</w:t>
            </w:r>
          </w:p>
        </w:tc>
        <w:tc>
          <w:tcPr>
            <w:tcW w:w="1260" w:type="dxa"/>
            <w:tcBorders>
              <w:top w:val="nil"/>
              <w:left w:val="nil"/>
              <w:bottom w:val="dotted" w:color="auto" w:sz="4" w:space="0"/>
              <w:right w:val="dashed" w:color="auto" w:sz="8" w:space="0"/>
            </w:tcBorders>
            <w:shd w:val="clear" w:color="000000" w:fill="BDD7EE"/>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460</w:t>
            </w:r>
          </w:p>
        </w:tc>
        <w:tc>
          <w:tcPr>
            <w:tcW w:w="1080" w:type="dxa"/>
            <w:tcBorders>
              <w:top w:val="nil"/>
              <w:left w:val="nil"/>
              <w:bottom w:val="dotted" w:color="auto" w:sz="4" w:space="0"/>
              <w:right w:val="single" w:color="auto" w:sz="8" w:space="0"/>
            </w:tcBorders>
            <w:shd w:val="clear" w:color="000000" w:fill="BDD7EE"/>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312</w:t>
            </w:r>
          </w:p>
        </w:tc>
        <w:tc>
          <w:tcPr>
            <w:tcW w:w="1170" w:type="dxa"/>
            <w:tcBorders>
              <w:top w:val="nil"/>
              <w:left w:val="nil"/>
              <w:bottom w:val="dotted" w:color="auto" w:sz="4" w:space="0"/>
              <w:right w:val="dashed" w:color="auto" w:sz="8" w:space="0"/>
            </w:tcBorders>
            <w:shd w:val="clear" w:color="000000" w:fill="BDD7EE"/>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157</w:t>
            </w:r>
          </w:p>
        </w:tc>
        <w:tc>
          <w:tcPr>
            <w:tcW w:w="1080" w:type="dxa"/>
            <w:tcBorders>
              <w:top w:val="nil"/>
              <w:left w:val="nil"/>
              <w:bottom w:val="dotted" w:color="auto" w:sz="4" w:space="0"/>
              <w:right w:val="single" w:color="auto" w:sz="8" w:space="0"/>
            </w:tcBorders>
            <w:shd w:val="clear" w:color="000000" w:fill="BDD7EE"/>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106</w:t>
            </w:r>
          </w:p>
        </w:tc>
        <w:tc>
          <w:tcPr>
            <w:tcW w:w="1620" w:type="dxa"/>
            <w:tcBorders>
              <w:top w:val="nil"/>
              <w:left w:val="nil"/>
              <w:bottom w:val="nil"/>
              <w:right w:val="single" w:color="auto" w:sz="8" w:space="0"/>
            </w:tcBorders>
            <w:shd w:val="clear" w:color="000000" w:fill="000000"/>
            <w:vAlign w:val="center"/>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 </w:t>
            </w:r>
          </w:p>
        </w:tc>
      </w:tr>
      <w:tr w:rsidRPr="00C54763" w:rsidR="00C54763" w:rsidTr="00C54763">
        <w:trPr>
          <w:trHeight w:val="300"/>
        </w:trPr>
        <w:tc>
          <w:tcPr>
            <w:tcW w:w="2080" w:type="dxa"/>
            <w:tcBorders>
              <w:top w:val="single" w:color="auto" w:sz="8" w:space="0"/>
              <w:left w:val="single" w:color="auto" w:sz="8" w:space="0"/>
              <w:bottom w:val="single" w:color="auto" w:sz="8" w:space="0"/>
              <w:right w:val="nil"/>
            </w:tcBorders>
            <w:shd w:val="clear" w:color="000000" w:fill="FCE4D6"/>
            <w:noWrap/>
            <w:vAlign w:val="bottom"/>
            <w:hideMark/>
          </w:tcPr>
          <w:p w:rsidRPr="00C54763" w:rsidR="00C54763" w:rsidP="00C54763" w:rsidRDefault="00C54763">
            <w:pPr>
              <w:widowControl/>
              <w:autoSpaceDE/>
              <w:autoSpaceDN/>
              <w:adjustRightInd/>
              <w:jc w:val="center"/>
              <w:rPr>
                <w:rFonts w:ascii="Calibri" w:hAnsi="Calibri" w:cs="Calibri"/>
                <w:b/>
                <w:bCs/>
                <w:color w:val="000000"/>
                <w:sz w:val="16"/>
                <w:szCs w:val="16"/>
              </w:rPr>
            </w:pPr>
            <w:r w:rsidRPr="00C54763">
              <w:rPr>
                <w:rFonts w:ascii="Calibri" w:hAnsi="Calibri" w:cs="Calibri"/>
                <w:b/>
                <w:bCs/>
                <w:color w:val="000000"/>
                <w:sz w:val="16"/>
                <w:szCs w:val="16"/>
              </w:rPr>
              <w:t>Difference</w:t>
            </w:r>
          </w:p>
        </w:tc>
        <w:tc>
          <w:tcPr>
            <w:tcW w:w="2123"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C54763" w:rsidR="00C54763" w:rsidP="00C54763" w:rsidRDefault="00C54763">
            <w:pPr>
              <w:widowControl/>
              <w:autoSpaceDE/>
              <w:autoSpaceDN/>
              <w:adjustRightInd/>
              <w:jc w:val="center"/>
              <w:rPr>
                <w:rFonts w:ascii="Calibri" w:hAnsi="Calibri" w:cs="Calibri"/>
                <w:color w:val="000000"/>
                <w:sz w:val="22"/>
                <w:szCs w:val="22"/>
              </w:rPr>
            </w:pPr>
            <w:r w:rsidRPr="00C54763">
              <w:rPr>
                <w:rFonts w:ascii="Calibri" w:hAnsi="Calibri" w:cs="Calibri"/>
                <w:color w:val="000000"/>
                <w:sz w:val="22"/>
                <w:szCs w:val="22"/>
              </w:rPr>
              <w:t>17</w:t>
            </w:r>
          </w:p>
        </w:tc>
        <w:tc>
          <w:tcPr>
            <w:tcW w:w="234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C54763" w:rsidR="00C54763" w:rsidP="00C54763" w:rsidRDefault="00C54763">
            <w:pPr>
              <w:widowControl/>
              <w:autoSpaceDE/>
              <w:autoSpaceDN/>
              <w:adjustRightInd/>
              <w:jc w:val="center"/>
              <w:rPr>
                <w:rFonts w:ascii="Calibri" w:hAnsi="Calibri" w:cs="Calibri"/>
                <w:color w:val="000000"/>
                <w:sz w:val="22"/>
                <w:szCs w:val="22"/>
              </w:rPr>
            </w:pPr>
            <w:r w:rsidRPr="00C54763">
              <w:rPr>
                <w:rFonts w:ascii="Calibri" w:hAnsi="Calibri" w:cs="Calibri"/>
                <w:color w:val="000000"/>
                <w:sz w:val="22"/>
                <w:szCs w:val="22"/>
              </w:rPr>
              <w:t>148</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C54763" w:rsidR="00C54763" w:rsidP="00C54763" w:rsidRDefault="00C54763">
            <w:pPr>
              <w:widowControl/>
              <w:autoSpaceDE/>
              <w:autoSpaceDN/>
              <w:adjustRightInd/>
              <w:jc w:val="center"/>
              <w:rPr>
                <w:rFonts w:ascii="Calibri" w:hAnsi="Calibri" w:cs="Calibri"/>
                <w:color w:val="000000"/>
                <w:sz w:val="22"/>
                <w:szCs w:val="22"/>
              </w:rPr>
            </w:pPr>
            <w:r w:rsidRPr="00C54763">
              <w:rPr>
                <w:rFonts w:ascii="Calibri" w:hAnsi="Calibri" w:cs="Calibri"/>
                <w:color w:val="000000"/>
                <w:sz w:val="22"/>
                <w:szCs w:val="22"/>
              </w:rPr>
              <w:t>51</w:t>
            </w:r>
          </w:p>
        </w:tc>
        <w:tc>
          <w:tcPr>
            <w:tcW w:w="1620" w:type="dxa"/>
            <w:tcBorders>
              <w:top w:val="single" w:color="auto" w:sz="8" w:space="0"/>
              <w:left w:val="nil"/>
              <w:bottom w:val="single" w:color="auto" w:sz="8" w:space="0"/>
              <w:right w:val="single" w:color="auto" w:sz="8" w:space="0"/>
            </w:tcBorders>
            <w:shd w:val="clear" w:color="000000" w:fill="000000"/>
            <w:noWrap/>
            <w:vAlign w:val="bottom"/>
            <w:hideMark/>
          </w:tcPr>
          <w:p w:rsidRPr="00C54763" w:rsidR="00C54763" w:rsidP="00C54763" w:rsidRDefault="00C54763">
            <w:pPr>
              <w:widowControl/>
              <w:autoSpaceDE/>
              <w:autoSpaceDN/>
              <w:adjustRightInd/>
              <w:rPr>
                <w:rFonts w:ascii="Calibri" w:hAnsi="Calibri" w:cs="Calibri"/>
                <w:color w:val="000000"/>
                <w:sz w:val="22"/>
                <w:szCs w:val="22"/>
              </w:rPr>
            </w:pPr>
            <w:r w:rsidRPr="00C54763">
              <w:rPr>
                <w:rFonts w:ascii="Calibri" w:hAnsi="Calibri" w:cs="Calibri"/>
                <w:color w:val="000000"/>
                <w:sz w:val="22"/>
                <w:szCs w:val="22"/>
              </w:rPr>
              <w:t> </w:t>
            </w:r>
          </w:p>
        </w:tc>
      </w:tr>
    </w:tbl>
    <w:p w:rsidR="002E1247" w:rsidP="00BB2CFE" w:rsidRDefault="002E1247">
      <w:pPr>
        <w:rPr>
          <w:sz w:val="24"/>
          <w:szCs w:val="24"/>
        </w:rPr>
      </w:pPr>
    </w:p>
    <w:p w:rsidR="00913992" w:rsidP="00BB2CFE" w:rsidRDefault="00913992">
      <w:pPr>
        <w:rPr>
          <w:sz w:val="24"/>
          <w:szCs w:val="24"/>
        </w:rPr>
      </w:pPr>
    </w:p>
    <w:tbl>
      <w:tblPr>
        <w:tblW w:w="9126" w:type="dxa"/>
        <w:tblInd w:w="108" w:type="dxa"/>
        <w:tblLook w:val="04A0" w:firstRow="1" w:lastRow="0" w:firstColumn="1" w:lastColumn="0" w:noHBand="0" w:noVBand="1"/>
      </w:tblPr>
      <w:tblGrid>
        <w:gridCol w:w="2004"/>
        <w:gridCol w:w="1326"/>
        <w:gridCol w:w="1170"/>
        <w:gridCol w:w="1440"/>
        <w:gridCol w:w="1350"/>
        <w:gridCol w:w="1836"/>
      </w:tblGrid>
      <w:tr w:rsidRPr="00913992" w:rsidR="00913992" w:rsidTr="00C54763">
        <w:trPr>
          <w:trHeight w:val="407"/>
        </w:trPr>
        <w:tc>
          <w:tcPr>
            <w:tcW w:w="2004"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Information Collection</w:t>
            </w:r>
          </w:p>
        </w:tc>
        <w:tc>
          <w:tcPr>
            <w:tcW w:w="2496" w:type="dxa"/>
            <w:gridSpan w:val="2"/>
            <w:tcBorders>
              <w:top w:val="single" w:color="auto" w:sz="8" w:space="0"/>
              <w:left w:val="nil"/>
              <w:bottom w:val="single" w:color="auto" w:sz="8" w:space="0"/>
              <w:right w:val="single" w:color="000000" w:sz="8" w:space="0"/>
            </w:tcBorders>
            <w:shd w:val="clear" w:color="000000" w:fill="5B9BD5"/>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Labor Costs</w:t>
            </w:r>
          </w:p>
        </w:tc>
        <w:tc>
          <w:tcPr>
            <w:tcW w:w="2790" w:type="dxa"/>
            <w:gridSpan w:val="2"/>
            <w:tcBorders>
              <w:top w:val="single" w:color="auto" w:sz="8" w:space="0"/>
              <w:left w:val="nil"/>
              <w:bottom w:val="single" w:color="auto" w:sz="8" w:space="0"/>
              <w:right w:val="single" w:color="000000" w:sz="8" w:space="0"/>
            </w:tcBorders>
            <w:shd w:val="clear" w:color="000000" w:fill="5B9BD5"/>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Miscellaneous Costs</w:t>
            </w:r>
          </w:p>
        </w:tc>
        <w:tc>
          <w:tcPr>
            <w:tcW w:w="183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Reason for change or adjustment</w:t>
            </w:r>
          </w:p>
        </w:tc>
      </w:tr>
      <w:tr w:rsidRPr="00913992" w:rsidR="00C54763" w:rsidTr="00C54763">
        <w:trPr>
          <w:trHeight w:val="339"/>
        </w:trPr>
        <w:tc>
          <w:tcPr>
            <w:tcW w:w="2004" w:type="dxa"/>
            <w:vMerge/>
            <w:tcBorders>
              <w:top w:val="single" w:color="auto" w:sz="8" w:space="0"/>
              <w:left w:val="single" w:color="auto" w:sz="8" w:space="0"/>
              <w:bottom w:val="single" w:color="000000" w:sz="8" w:space="0"/>
              <w:right w:val="single" w:color="auto" w:sz="8" w:space="0"/>
            </w:tcBorders>
            <w:vAlign w:val="center"/>
            <w:hideMark/>
          </w:tcPr>
          <w:p w:rsidRPr="00913992" w:rsidR="00913992" w:rsidP="00913992" w:rsidRDefault="00913992">
            <w:pPr>
              <w:widowControl/>
              <w:autoSpaceDE/>
              <w:autoSpaceDN/>
              <w:adjustRightInd/>
              <w:rPr>
                <w:rFonts w:ascii="Calibri" w:hAnsi="Calibri" w:cs="Calibri"/>
                <w:b/>
                <w:bCs/>
                <w:color w:val="000000"/>
                <w:sz w:val="16"/>
                <w:szCs w:val="16"/>
              </w:rPr>
            </w:pPr>
          </w:p>
        </w:tc>
        <w:tc>
          <w:tcPr>
            <w:tcW w:w="1326" w:type="dxa"/>
            <w:tcBorders>
              <w:top w:val="nil"/>
              <w:left w:val="nil"/>
              <w:bottom w:val="single" w:color="auto" w:sz="8" w:space="0"/>
              <w:right w:val="dashed" w:color="auto" w:sz="8" w:space="0"/>
            </w:tcBorders>
            <w:shd w:val="clear" w:color="000000" w:fill="FBE4D5"/>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Previous</w:t>
            </w:r>
          </w:p>
        </w:tc>
        <w:tc>
          <w:tcPr>
            <w:tcW w:w="1440" w:type="dxa"/>
            <w:tcBorders>
              <w:top w:val="nil"/>
              <w:left w:val="nil"/>
              <w:bottom w:val="single" w:color="auto" w:sz="8" w:space="0"/>
              <w:right w:val="dashed" w:color="auto" w:sz="8" w:space="0"/>
            </w:tcBorders>
            <w:shd w:val="clear" w:color="000000" w:fill="FBE4D5"/>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Current</w:t>
            </w:r>
          </w:p>
        </w:tc>
        <w:tc>
          <w:tcPr>
            <w:tcW w:w="1350" w:type="dxa"/>
            <w:tcBorders>
              <w:top w:val="nil"/>
              <w:left w:val="nil"/>
              <w:bottom w:val="single" w:color="auto" w:sz="8" w:space="0"/>
              <w:right w:val="single" w:color="auto" w:sz="8" w:space="0"/>
            </w:tcBorders>
            <w:shd w:val="clear" w:color="000000" w:fill="FBE4D5"/>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Previous</w:t>
            </w:r>
          </w:p>
        </w:tc>
        <w:tc>
          <w:tcPr>
            <w:tcW w:w="1836" w:type="dxa"/>
            <w:vMerge/>
            <w:tcBorders>
              <w:top w:val="single" w:color="auto" w:sz="8" w:space="0"/>
              <w:left w:val="single" w:color="auto" w:sz="8" w:space="0"/>
              <w:bottom w:val="single" w:color="000000" w:sz="8" w:space="0"/>
              <w:right w:val="single" w:color="auto" w:sz="8" w:space="0"/>
            </w:tcBorders>
            <w:vAlign w:val="center"/>
            <w:hideMark/>
          </w:tcPr>
          <w:p w:rsidRPr="00913992" w:rsidR="00913992" w:rsidP="00913992" w:rsidRDefault="00913992">
            <w:pPr>
              <w:widowControl/>
              <w:autoSpaceDE/>
              <w:autoSpaceDN/>
              <w:adjustRightInd/>
              <w:rPr>
                <w:rFonts w:ascii="Calibri" w:hAnsi="Calibri" w:cs="Calibri"/>
                <w:b/>
                <w:bCs/>
                <w:color w:val="000000"/>
                <w:sz w:val="16"/>
                <w:szCs w:val="16"/>
              </w:rPr>
            </w:pPr>
          </w:p>
        </w:tc>
      </w:tr>
      <w:tr w:rsidRPr="00913992" w:rsidR="00C54763" w:rsidTr="00C54763">
        <w:trPr>
          <w:trHeight w:val="588"/>
        </w:trPr>
        <w:tc>
          <w:tcPr>
            <w:tcW w:w="2004" w:type="dxa"/>
            <w:tcBorders>
              <w:top w:val="nil"/>
              <w:left w:val="single" w:color="auto" w:sz="8" w:space="0"/>
              <w:bottom w:val="single" w:color="auto" w:sz="4" w:space="0"/>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One-time install of a VMS unit </w:t>
            </w:r>
          </w:p>
        </w:tc>
        <w:tc>
          <w:tcPr>
            <w:tcW w:w="1326"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2,098 </w:t>
            </w:r>
          </w:p>
        </w:tc>
        <w:tc>
          <w:tcPr>
            <w:tcW w:w="117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0</w:t>
            </w:r>
          </w:p>
        </w:tc>
        <w:tc>
          <w:tcPr>
            <w:tcW w:w="1440" w:type="dxa"/>
            <w:tcBorders>
              <w:top w:val="nil"/>
              <w:left w:val="nil"/>
              <w:bottom w:val="dotted" w:color="auto" w:sz="4" w:space="0"/>
              <w:right w:val="dashed" w:color="auto" w:sz="8" w:space="0"/>
            </w:tcBorders>
            <w:shd w:val="clear" w:color="auto" w:fill="auto"/>
            <w:vAlign w:val="center"/>
            <w:hideMark/>
          </w:tcPr>
          <w:p w:rsidRPr="00913992" w:rsidR="00913992" w:rsidP="000A085B"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w:t>
            </w:r>
            <w:r w:rsidR="000A085B">
              <w:rPr>
                <w:rFonts w:ascii="Calibri" w:hAnsi="Calibri" w:cs="Calibri"/>
                <w:color w:val="000000"/>
                <w:sz w:val="16"/>
                <w:szCs w:val="16"/>
              </w:rPr>
              <w:t>5</w:t>
            </w:r>
            <w:r w:rsidR="00251DE0">
              <w:rPr>
                <w:rFonts w:ascii="Calibri" w:hAnsi="Calibri" w:cs="Calibri"/>
                <w:color w:val="000000"/>
                <w:sz w:val="16"/>
                <w:szCs w:val="16"/>
              </w:rPr>
              <w:t>9</w:t>
            </w:r>
            <w:r w:rsidR="000A085B">
              <w:rPr>
                <w:rFonts w:ascii="Calibri" w:hAnsi="Calibri" w:cs="Calibri"/>
                <w:color w:val="000000"/>
                <w:sz w:val="16"/>
                <w:szCs w:val="16"/>
              </w:rPr>
              <w:t>,</w:t>
            </w:r>
            <w:r w:rsidR="00251DE0">
              <w:rPr>
                <w:rFonts w:ascii="Calibri" w:hAnsi="Calibri" w:cs="Calibri"/>
                <w:color w:val="000000"/>
                <w:sz w:val="16"/>
                <w:szCs w:val="16"/>
              </w:rPr>
              <w:t>166</w:t>
            </w:r>
            <w:r w:rsidRPr="00913992">
              <w:rPr>
                <w:rFonts w:ascii="Calibri" w:hAnsi="Calibri" w:cs="Calibri"/>
                <w:color w:val="000000"/>
                <w:sz w:val="16"/>
                <w:szCs w:val="16"/>
              </w:rPr>
              <w:t xml:space="preserve"> </w:t>
            </w:r>
          </w:p>
        </w:tc>
        <w:tc>
          <w:tcPr>
            <w:tcW w:w="135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48,000 </w:t>
            </w:r>
          </w:p>
        </w:tc>
        <w:tc>
          <w:tcPr>
            <w:tcW w:w="1836" w:type="dxa"/>
            <w:vMerge w:val="restart"/>
            <w:tcBorders>
              <w:top w:val="nil"/>
              <w:left w:val="single" w:color="auto" w:sz="8" w:space="0"/>
              <w:bottom w:val="dotted" w:color="000000" w:sz="4" w:space="0"/>
              <w:right w:val="single" w:color="auto" w:sz="8" w:space="0"/>
            </w:tcBorders>
            <w:shd w:val="clear" w:color="auto" w:fill="auto"/>
            <w:vAlign w:val="center"/>
            <w:hideMark/>
          </w:tcPr>
          <w:p w:rsidRPr="00913992" w:rsidR="00913992" w:rsidP="00913992" w:rsidRDefault="00913992">
            <w:pPr>
              <w:widowControl/>
              <w:autoSpaceDE/>
              <w:autoSpaceDN/>
              <w:adjustRightInd/>
              <w:rPr>
                <w:rFonts w:ascii="Calibri" w:hAnsi="Calibri" w:cs="Calibri"/>
                <w:color w:val="000000"/>
                <w:sz w:val="16"/>
                <w:szCs w:val="16"/>
              </w:rPr>
            </w:pPr>
            <w:r w:rsidRPr="00913992">
              <w:rPr>
                <w:rFonts w:ascii="Calibri" w:hAnsi="Calibri" w:cs="Calibri"/>
                <w:color w:val="000000"/>
                <w:sz w:val="16"/>
                <w:szCs w:val="16"/>
              </w:rPr>
              <w:t>Increase in respondents due to adjustment in the number of permitted vessels, updating collection for new requirement to include labor costs</w:t>
            </w:r>
          </w:p>
        </w:tc>
      </w:tr>
      <w:tr w:rsidRPr="00913992" w:rsidR="00C54763" w:rsidTr="00C54763">
        <w:trPr>
          <w:trHeight w:val="588"/>
        </w:trPr>
        <w:tc>
          <w:tcPr>
            <w:tcW w:w="2004" w:type="dxa"/>
            <w:tcBorders>
              <w:top w:val="nil"/>
              <w:left w:val="single" w:color="auto" w:sz="8"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Repair/maintain VMS unit </w:t>
            </w:r>
          </w:p>
        </w:tc>
        <w:tc>
          <w:tcPr>
            <w:tcW w:w="1326"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1,566 </w:t>
            </w:r>
          </w:p>
        </w:tc>
        <w:tc>
          <w:tcPr>
            <w:tcW w:w="117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0</w:t>
            </w:r>
          </w:p>
        </w:tc>
        <w:tc>
          <w:tcPr>
            <w:tcW w:w="1440"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15,900 </w:t>
            </w:r>
          </w:p>
        </w:tc>
        <w:tc>
          <w:tcPr>
            <w:tcW w:w="135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10,165 </w:t>
            </w:r>
          </w:p>
        </w:tc>
        <w:tc>
          <w:tcPr>
            <w:tcW w:w="1836" w:type="dxa"/>
            <w:vMerge/>
            <w:tcBorders>
              <w:top w:val="nil"/>
              <w:left w:val="single" w:color="auto" w:sz="8" w:space="0"/>
              <w:bottom w:val="dotted" w:color="000000" w:sz="4" w:space="0"/>
              <w:right w:val="single" w:color="auto" w:sz="8" w:space="0"/>
            </w:tcBorders>
            <w:vAlign w:val="center"/>
            <w:hideMark/>
          </w:tcPr>
          <w:p w:rsidRPr="00913992" w:rsidR="00913992" w:rsidP="00913992" w:rsidRDefault="00913992">
            <w:pPr>
              <w:widowControl/>
              <w:autoSpaceDE/>
              <w:autoSpaceDN/>
              <w:adjustRightInd/>
              <w:rPr>
                <w:rFonts w:ascii="Calibri" w:hAnsi="Calibri" w:cs="Calibri"/>
                <w:color w:val="000000"/>
                <w:sz w:val="16"/>
                <w:szCs w:val="16"/>
              </w:rPr>
            </w:pPr>
          </w:p>
        </w:tc>
      </w:tr>
      <w:tr w:rsidRPr="00913992" w:rsidR="00C54763" w:rsidTr="00C54763">
        <w:trPr>
          <w:trHeight w:val="588"/>
        </w:trPr>
        <w:tc>
          <w:tcPr>
            <w:tcW w:w="2004" w:type="dxa"/>
            <w:tcBorders>
              <w:top w:val="nil"/>
              <w:left w:val="single" w:color="auto" w:sz="8"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 xml:space="preserve">Installation/activation reports </w:t>
            </w:r>
          </w:p>
        </w:tc>
        <w:tc>
          <w:tcPr>
            <w:tcW w:w="1326"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22 </w:t>
            </w:r>
          </w:p>
        </w:tc>
        <w:tc>
          <w:tcPr>
            <w:tcW w:w="117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0</w:t>
            </w:r>
          </w:p>
        </w:tc>
        <w:tc>
          <w:tcPr>
            <w:tcW w:w="1440"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54 </w:t>
            </w:r>
          </w:p>
        </w:tc>
        <w:tc>
          <w:tcPr>
            <w:tcW w:w="135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36 </w:t>
            </w:r>
          </w:p>
        </w:tc>
        <w:tc>
          <w:tcPr>
            <w:tcW w:w="1836" w:type="dxa"/>
            <w:vMerge/>
            <w:tcBorders>
              <w:top w:val="nil"/>
              <w:left w:val="single" w:color="auto" w:sz="8" w:space="0"/>
              <w:bottom w:val="dotted" w:color="000000" w:sz="4" w:space="0"/>
              <w:right w:val="single" w:color="auto" w:sz="8" w:space="0"/>
            </w:tcBorders>
            <w:vAlign w:val="center"/>
            <w:hideMark/>
          </w:tcPr>
          <w:p w:rsidRPr="00913992" w:rsidR="00913992" w:rsidP="00913992" w:rsidRDefault="00913992">
            <w:pPr>
              <w:widowControl/>
              <w:autoSpaceDE/>
              <w:autoSpaceDN/>
              <w:adjustRightInd/>
              <w:rPr>
                <w:rFonts w:ascii="Calibri" w:hAnsi="Calibri" w:cs="Calibri"/>
                <w:color w:val="000000"/>
                <w:sz w:val="16"/>
                <w:szCs w:val="16"/>
              </w:rPr>
            </w:pPr>
          </w:p>
        </w:tc>
      </w:tr>
      <w:tr w:rsidRPr="00913992" w:rsidR="00C54763" w:rsidTr="00C54763">
        <w:trPr>
          <w:trHeight w:val="328"/>
        </w:trPr>
        <w:tc>
          <w:tcPr>
            <w:tcW w:w="2004" w:type="dxa"/>
            <w:tcBorders>
              <w:top w:val="nil"/>
              <w:left w:val="single" w:color="auto" w:sz="8"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Position Reports</w:t>
            </w:r>
          </w:p>
        </w:tc>
        <w:tc>
          <w:tcPr>
            <w:tcW w:w="1326"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   </w:t>
            </w:r>
          </w:p>
        </w:tc>
        <w:tc>
          <w:tcPr>
            <w:tcW w:w="117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0</w:t>
            </w:r>
          </w:p>
        </w:tc>
        <w:tc>
          <w:tcPr>
            <w:tcW w:w="1440"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29,018 </w:t>
            </w:r>
          </w:p>
        </w:tc>
        <w:tc>
          <w:tcPr>
            <w:tcW w:w="135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18,551 </w:t>
            </w:r>
          </w:p>
        </w:tc>
        <w:tc>
          <w:tcPr>
            <w:tcW w:w="1836" w:type="dxa"/>
            <w:vMerge/>
            <w:tcBorders>
              <w:top w:val="nil"/>
              <w:left w:val="single" w:color="auto" w:sz="8" w:space="0"/>
              <w:bottom w:val="dotted" w:color="000000" w:sz="4" w:space="0"/>
              <w:right w:val="single" w:color="auto" w:sz="8" w:space="0"/>
            </w:tcBorders>
            <w:vAlign w:val="center"/>
            <w:hideMark/>
          </w:tcPr>
          <w:p w:rsidRPr="00913992" w:rsidR="00913992" w:rsidP="00913992" w:rsidRDefault="00913992">
            <w:pPr>
              <w:widowControl/>
              <w:autoSpaceDE/>
              <w:autoSpaceDN/>
              <w:adjustRightInd/>
              <w:rPr>
                <w:rFonts w:ascii="Calibri" w:hAnsi="Calibri" w:cs="Calibri"/>
                <w:color w:val="000000"/>
                <w:sz w:val="16"/>
                <w:szCs w:val="16"/>
              </w:rPr>
            </w:pPr>
          </w:p>
        </w:tc>
      </w:tr>
      <w:tr w:rsidRPr="00913992" w:rsidR="00C54763" w:rsidTr="00C54763">
        <w:trPr>
          <w:trHeight w:val="328"/>
        </w:trPr>
        <w:tc>
          <w:tcPr>
            <w:tcW w:w="2004" w:type="dxa"/>
            <w:tcBorders>
              <w:top w:val="nil"/>
              <w:left w:val="single" w:color="auto" w:sz="8"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“On-off” reports</w:t>
            </w:r>
          </w:p>
        </w:tc>
        <w:tc>
          <w:tcPr>
            <w:tcW w:w="1326"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65 </w:t>
            </w:r>
          </w:p>
        </w:tc>
        <w:tc>
          <w:tcPr>
            <w:tcW w:w="117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0</w:t>
            </w:r>
          </w:p>
        </w:tc>
        <w:tc>
          <w:tcPr>
            <w:tcW w:w="1440"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53 </w:t>
            </w:r>
          </w:p>
        </w:tc>
        <w:tc>
          <w:tcPr>
            <w:tcW w:w="135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36 </w:t>
            </w:r>
          </w:p>
        </w:tc>
        <w:tc>
          <w:tcPr>
            <w:tcW w:w="1836" w:type="dxa"/>
            <w:vMerge/>
            <w:tcBorders>
              <w:top w:val="nil"/>
              <w:left w:val="single" w:color="auto" w:sz="8" w:space="0"/>
              <w:bottom w:val="dotted" w:color="000000" w:sz="4" w:space="0"/>
              <w:right w:val="single" w:color="auto" w:sz="8" w:space="0"/>
            </w:tcBorders>
            <w:vAlign w:val="center"/>
            <w:hideMark/>
          </w:tcPr>
          <w:p w:rsidRPr="00913992" w:rsidR="00913992" w:rsidP="00913992" w:rsidRDefault="00913992">
            <w:pPr>
              <w:widowControl/>
              <w:autoSpaceDE/>
              <w:autoSpaceDN/>
              <w:adjustRightInd/>
              <w:rPr>
                <w:rFonts w:ascii="Calibri" w:hAnsi="Calibri" w:cs="Calibri"/>
                <w:color w:val="000000"/>
                <w:sz w:val="16"/>
                <w:szCs w:val="16"/>
              </w:rPr>
            </w:pPr>
          </w:p>
        </w:tc>
      </w:tr>
      <w:tr w:rsidRPr="00913992" w:rsidR="00C54763" w:rsidTr="00C54763">
        <w:trPr>
          <w:trHeight w:val="328"/>
        </w:trPr>
        <w:tc>
          <w:tcPr>
            <w:tcW w:w="2004" w:type="dxa"/>
            <w:tcBorders>
              <w:top w:val="nil"/>
              <w:left w:val="single" w:color="auto" w:sz="8" w:space="0"/>
              <w:bottom w:val="nil"/>
              <w:right w:val="single" w:color="auto" w:sz="8" w:space="0"/>
            </w:tcBorders>
            <w:shd w:val="clear" w:color="auto" w:fill="auto"/>
            <w:hideMark/>
          </w:tcPr>
          <w:p w:rsidRPr="00913992" w:rsidR="00913992" w:rsidP="00913992" w:rsidRDefault="00913992">
            <w:pPr>
              <w:widowControl/>
              <w:autoSpaceDE/>
              <w:autoSpaceDN/>
              <w:adjustRightInd/>
              <w:rPr>
                <w:rFonts w:ascii="Calibri" w:hAnsi="Calibri" w:cs="Calibri"/>
                <w:color w:val="000000"/>
              </w:rPr>
            </w:pPr>
            <w:r w:rsidRPr="00913992">
              <w:rPr>
                <w:rFonts w:ascii="Calibri" w:hAnsi="Calibri" w:cs="Calibri"/>
                <w:color w:val="000000"/>
              </w:rPr>
              <w:t>Pre-trip notifications</w:t>
            </w:r>
          </w:p>
        </w:tc>
        <w:tc>
          <w:tcPr>
            <w:tcW w:w="1326"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384 </w:t>
            </w:r>
          </w:p>
        </w:tc>
        <w:tc>
          <w:tcPr>
            <w:tcW w:w="117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0</w:t>
            </w:r>
          </w:p>
        </w:tc>
        <w:tc>
          <w:tcPr>
            <w:tcW w:w="1440" w:type="dxa"/>
            <w:tcBorders>
              <w:top w:val="nil"/>
              <w:left w:val="nil"/>
              <w:bottom w:val="dotted" w:color="auto" w:sz="4" w:space="0"/>
              <w:right w:val="dashed"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318 </w:t>
            </w:r>
          </w:p>
        </w:tc>
        <w:tc>
          <w:tcPr>
            <w:tcW w:w="1350" w:type="dxa"/>
            <w:tcBorders>
              <w:top w:val="nil"/>
              <w:left w:val="nil"/>
              <w:bottom w:val="dotted" w:color="auto" w:sz="4" w:space="0"/>
              <w:right w:val="single" w:color="auto" w:sz="8" w:space="0"/>
            </w:tcBorders>
            <w:shd w:val="clear" w:color="auto" w:fill="auto"/>
            <w:vAlign w:val="center"/>
            <w:hideMark/>
          </w:tcPr>
          <w:p w:rsidRPr="00913992" w:rsidR="00913992" w:rsidP="00913992" w:rsidRDefault="00913992">
            <w:pPr>
              <w:widowControl/>
              <w:autoSpaceDE/>
              <w:autoSpaceDN/>
              <w:adjustRightInd/>
              <w:jc w:val="center"/>
              <w:rPr>
                <w:rFonts w:ascii="Calibri" w:hAnsi="Calibri" w:cs="Calibri"/>
                <w:color w:val="000000"/>
                <w:sz w:val="16"/>
                <w:szCs w:val="16"/>
              </w:rPr>
            </w:pPr>
            <w:r w:rsidRPr="00913992">
              <w:rPr>
                <w:rFonts w:ascii="Calibri" w:hAnsi="Calibri" w:cs="Calibri"/>
                <w:color w:val="000000"/>
                <w:sz w:val="16"/>
                <w:szCs w:val="16"/>
              </w:rPr>
              <w:t xml:space="preserve"> $                  216 </w:t>
            </w:r>
          </w:p>
        </w:tc>
        <w:tc>
          <w:tcPr>
            <w:tcW w:w="1836" w:type="dxa"/>
            <w:vMerge/>
            <w:tcBorders>
              <w:top w:val="nil"/>
              <w:left w:val="single" w:color="auto" w:sz="8" w:space="0"/>
              <w:bottom w:val="dotted" w:color="000000" w:sz="4" w:space="0"/>
              <w:right w:val="single" w:color="auto" w:sz="8" w:space="0"/>
            </w:tcBorders>
            <w:vAlign w:val="center"/>
            <w:hideMark/>
          </w:tcPr>
          <w:p w:rsidRPr="00913992" w:rsidR="00913992" w:rsidP="00913992" w:rsidRDefault="00913992">
            <w:pPr>
              <w:widowControl/>
              <w:autoSpaceDE/>
              <w:autoSpaceDN/>
              <w:adjustRightInd/>
              <w:rPr>
                <w:rFonts w:ascii="Calibri" w:hAnsi="Calibri" w:cs="Calibri"/>
                <w:color w:val="000000"/>
                <w:sz w:val="16"/>
                <w:szCs w:val="16"/>
              </w:rPr>
            </w:pPr>
          </w:p>
        </w:tc>
      </w:tr>
      <w:tr w:rsidRPr="00913992" w:rsidR="00C54763" w:rsidTr="00C54763">
        <w:trPr>
          <w:trHeight w:val="339"/>
        </w:trPr>
        <w:tc>
          <w:tcPr>
            <w:tcW w:w="2004" w:type="dxa"/>
            <w:tcBorders>
              <w:top w:val="nil"/>
              <w:left w:val="single" w:color="auto" w:sz="8" w:space="0"/>
              <w:bottom w:val="nil"/>
              <w:right w:val="single" w:color="auto" w:sz="8" w:space="0"/>
            </w:tcBorders>
            <w:shd w:val="clear" w:color="000000" w:fill="BDD6EE"/>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Total for Collection</w:t>
            </w:r>
          </w:p>
        </w:tc>
        <w:tc>
          <w:tcPr>
            <w:tcW w:w="1326" w:type="dxa"/>
            <w:tcBorders>
              <w:top w:val="nil"/>
              <w:left w:val="nil"/>
              <w:bottom w:val="dotted" w:color="auto" w:sz="4" w:space="0"/>
              <w:right w:val="dashed" w:color="auto" w:sz="8" w:space="0"/>
            </w:tcBorders>
            <w:shd w:val="clear" w:color="000000" w:fill="BDD7EE"/>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 xml:space="preserve"> $                 4,135 </w:t>
            </w:r>
          </w:p>
        </w:tc>
        <w:tc>
          <w:tcPr>
            <w:tcW w:w="1170" w:type="dxa"/>
            <w:tcBorders>
              <w:top w:val="nil"/>
              <w:left w:val="nil"/>
              <w:bottom w:val="dotted" w:color="auto" w:sz="4" w:space="0"/>
              <w:right w:val="single" w:color="auto" w:sz="8" w:space="0"/>
            </w:tcBorders>
            <w:shd w:val="clear" w:color="000000" w:fill="BDD7EE"/>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0</w:t>
            </w:r>
          </w:p>
        </w:tc>
        <w:tc>
          <w:tcPr>
            <w:tcW w:w="1440" w:type="dxa"/>
            <w:tcBorders>
              <w:top w:val="nil"/>
              <w:left w:val="nil"/>
              <w:bottom w:val="nil"/>
              <w:right w:val="dashed" w:color="auto" w:sz="8" w:space="0"/>
            </w:tcBorders>
            <w:shd w:val="clear" w:color="000000" w:fill="BDD6EE"/>
            <w:vAlign w:val="center"/>
            <w:hideMark/>
          </w:tcPr>
          <w:p w:rsidRPr="00913992" w:rsidR="00913992" w:rsidP="00251DE0"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 xml:space="preserve"> $            </w:t>
            </w:r>
            <w:r w:rsidRPr="00913992" w:rsidR="000A085B">
              <w:rPr>
                <w:rFonts w:ascii="Calibri" w:hAnsi="Calibri" w:cs="Calibri"/>
                <w:b/>
                <w:bCs/>
                <w:color w:val="000000"/>
                <w:sz w:val="16"/>
                <w:szCs w:val="16"/>
              </w:rPr>
              <w:t>1</w:t>
            </w:r>
            <w:r w:rsidR="000A085B">
              <w:rPr>
                <w:rFonts w:ascii="Calibri" w:hAnsi="Calibri" w:cs="Calibri"/>
                <w:b/>
                <w:bCs/>
                <w:color w:val="000000"/>
                <w:sz w:val="16"/>
                <w:szCs w:val="16"/>
              </w:rPr>
              <w:t>0</w:t>
            </w:r>
            <w:r w:rsidR="00251DE0">
              <w:rPr>
                <w:rFonts w:ascii="Calibri" w:hAnsi="Calibri" w:cs="Calibri"/>
                <w:b/>
                <w:bCs/>
                <w:color w:val="000000"/>
                <w:sz w:val="16"/>
                <w:szCs w:val="16"/>
              </w:rPr>
              <w:t>4</w:t>
            </w:r>
            <w:r w:rsidRPr="00913992">
              <w:rPr>
                <w:rFonts w:ascii="Calibri" w:hAnsi="Calibri" w:cs="Calibri"/>
                <w:b/>
                <w:bCs/>
                <w:color w:val="000000"/>
                <w:sz w:val="16"/>
                <w:szCs w:val="16"/>
              </w:rPr>
              <w:t>,</w:t>
            </w:r>
            <w:r w:rsidR="00251DE0">
              <w:rPr>
                <w:rFonts w:ascii="Calibri" w:hAnsi="Calibri" w:cs="Calibri"/>
                <w:b/>
                <w:bCs/>
                <w:color w:val="000000"/>
                <w:sz w:val="16"/>
                <w:szCs w:val="16"/>
              </w:rPr>
              <w:t>509</w:t>
            </w:r>
          </w:p>
        </w:tc>
        <w:tc>
          <w:tcPr>
            <w:tcW w:w="1350" w:type="dxa"/>
            <w:tcBorders>
              <w:top w:val="nil"/>
              <w:left w:val="nil"/>
              <w:bottom w:val="nil"/>
              <w:right w:val="single" w:color="auto" w:sz="8" w:space="0"/>
            </w:tcBorders>
            <w:shd w:val="clear" w:color="000000" w:fill="BDD6EE"/>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 xml:space="preserve"> $             77,004 </w:t>
            </w:r>
          </w:p>
        </w:tc>
        <w:tc>
          <w:tcPr>
            <w:tcW w:w="1836" w:type="dxa"/>
            <w:tcBorders>
              <w:top w:val="nil"/>
              <w:left w:val="nil"/>
              <w:bottom w:val="nil"/>
              <w:right w:val="single" w:color="auto" w:sz="8" w:space="0"/>
            </w:tcBorders>
            <w:shd w:val="clear" w:color="000000" w:fill="000000"/>
            <w:vAlign w:val="center"/>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 </w:t>
            </w:r>
          </w:p>
        </w:tc>
      </w:tr>
      <w:tr w:rsidRPr="00913992" w:rsidR="00913992" w:rsidTr="00C54763">
        <w:trPr>
          <w:trHeight w:val="339"/>
        </w:trPr>
        <w:tc>
          <w:tcPr>
            <w:tcW w:w="2004" w:type="dxa"/>
            <w:tcBorders>
              <w:top w:val="single" w:color="auto" w:sz="8" w:space="0"/>
              <w:left w:val="single" w:color="auto" w:sz="8" w:space="0"/>
              <w:bottom w:val="single" w:color="auto" w:sz="8" w:space="0"/>
              <w:right w:val="nil"/>
            </w:tcBorders>
            <w:shd w:val="clear" w:color="000000" w:fill="FCE4D6"/>
            <w:noWrap/>
            <w:vAlign w:val="bottom"/>
            <w:hideMark/>
          </w:tcPr>
          <w:p w:rsidRPr="00913992" w:rsidR="00913992" w:rsidP="00913992" w:rsidRDefault="00913992">
            <w:pPr>
              <w:widowControl/>
              <w:autoSpaceDE/>
              <w:autoSpaceDN/>
              <w:adjustRightInd/>
              <w:jc w:val="center"/>
              <w:rPr>
                <w:rFonts w:ascii="Calibri" w:hAnsi="Calibri" w:cs="Calibri"/>
                <w:b/>
                <w:bCs/>
                <w:color w:val="000000"/>
                <w:sz w:val="16"/>
                <w:szCs w:val="16"/>
              </w:rPr>
            </w:pPr>
            <w:r w:rsidRPr="00913992">
              <w:rPr>
                <w:rFonts w:ascii="Calibri" w:hAnsi="Calibri" w:cs="Calibri"/>
                <w:b/>
                <w:bCs/>
                <w:color w:val="000000"/>
                <w:sz w:val="16"/>
                <w:szCs w:val="16"/>
              </w:rPr>
              <w:t>Difference</w:t>
            </w:r>
          </w:p>
        </w:tc>
        <w:tc>
          <w:tcPr>
            <w:tcW w:w="2496"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913992" w:rsidR="00913992" w:rsidP="00913992" w:rsidRDefault="00913992">
            <w:pPr>
              <w:widowControl/>
              <w:autoSpaceDE/>
              <w:autoSpaceDN/>
              <w:adjustRightInd/>
              <w:jc w:val="center"/>
              <w:rPr>
                <w:rFonts w:ascii="Calibri" w:hAnsi="Calibri" w:cs="Calibri"/>
                <w:color w:val="000000"/>
                <w:sz w:val="22"/>
                <w:szCs w:val="22"/>
              </w:rPr>
            </w:pPr>
            <w:r w:rsidRPr="00913992">
              <w:rPr>
                <w:rFonts w:ascii="Calibri" w:hAnsi="Calibri" w:cs="Calibri"/>
                <w:color w:val="000000"/>
                <w:sz w:val="22"/>
                <w:szCs w:val="22"/>
              </w:rPr>
              <w:t xml:space="preserve">$4,135 </w:t>
            </w:r>
          </w:p>
        </w:tc>
        <w:tc>
          <w:tcPr>
            <w:tcW w:w="279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913992" w:rsidR="00913992" w:rsidP="00251DE0" w:rsidRDefault="00913992">
            <w:pPr>
              <w:widowControl/>
              <w:autoSpaceDE/>
              <w:autoSpaceDN/>
              <w:adjustRightInd/>
              <w:jc w:val="center"/>
              <w:rPr>
                <w:rFonts w:ascii="Calibri" w:hAnsi="Calibri" w:cs="Calibri"/>
                <w:color w:val="000000"/>
                <w:sz w:val="22"/>
                <w:szCs w:val="22"/>
              </w:rPr>
            </w:pPr>
            <w:r w:rsidRPr="00913992">
              <w:rPr>
                <w:rFonts w:ascii="Calibri" w:hAnsi="Calibri" w:cs="Calibri"/>
                <w:color w:val="000000"/>
                <w:sz w:val="22"/>
                <w:szCs w:val="22"/>
              </w:rPr>
              <w:t xml:space="preserve"> $                              </w:t>
            </w:r>
            <w:r w:rsidR="000A085B">
              <w:rPr>
                <w:rFonts w:ascii="Calibri" w:hAnsi="Calibri" w:cs="Calibri"/>
                <w:color w:val="000000"/>
                <w:sz w:val="22"/>
                <w:szCs w:val="22"/>
              </w:rPr>
              <w:t>2</w:t>
            </w:r>
            <w:r w:rsidR="00251DE0">
              <w:rPr>
                <w:rFonts w:ascii="Calibri" w:hAnsi="Calibri" w:cs="Calibri"/>
                <w:color w:val="000000"/>
                <w:sz w:val="22"/>
                <w:szCs w:val="22"/>
              </w:rPr>
              <w:t>7</w:t>
            </w:r>
            <w:r w:rsidR="000A085B">
              <w:rPr>
                <w:rFonts w:ascii="Calibri" w:hAnsi="Calibri" w:cs="Calibri"/>
                <w:color w:val="000000"/>
                <w:sz w:val="22"/>
                <w:szCs w:val="22"/>
              </w:rPr>
              <w:t>,</w:t>
            </w:r>
            <w:r w:rsidR="00251DE0">
              <w:rPr>
                <w:rFonts w:ascii="Calibri" w:hAnsi="Calibri" w:cs="Calibri"/>
                <w:color w:val="000000"/>
                <w:sz w:val="22"/>
                <w:szCs w:val="22"/>
              </w:rPr>
              <w:t>505</w:t>
            </w:r>
            <w:r w:rsidRPr="00913992">
              <w:rPr>
                <w:rFonts w:ascii="Calibri" w:hAnsi="Calibri" w:cs="Calibri"/>
                <w:color w:val="000000"/>
                <w:sz w:val="22"/>
                <w:szCs w:val="22"/>
              </w:rPr>
              <w:t xml:space="preserve"> </w:t>
            </w:r>
          </w:p>
        </w:tc>
        <w:tc>
          <w:tcPr>
            <w:tcW w:w="1836" w:type="dxa"/>
            <w:tcBorders>
              <w:top w:val="single" w:color="auto" w:sz="8" w:space="0"/>
              <w:left w:val="nil"/>
              <w:bottom w:val="single" w:color="auto" w:sz="8" w:space="0"/>
              <w:right w:val="single" w:color="auto" w:sz="8" w:space="0"/>
            </w:tcBorders>
            <w:shd w:val="clear" w:color="000000" w:fill="000000"/>
            <w:noWrap/>
            <w:vAlign w:val="bottom"/>
            <w:hideMark/>
          </w:tcPr>
          <w:p w:rsidRPr="00913992" w:rsidR="00913992" w:rsidP="00913992" w:rsidRDefault="00913992">
            <w:pPr>
              <w:widowControl/>
              <w:autoSpaceDE/>
              <w:autoSpaceDN/>
              <w:adjustRightInd/>
              <w:rPr>
                <w:rFonts w:ascii="Calibri" w:hAnsi="Calibri" w:cs="Calibri"/>
                <w:color w:val="000000"/>
                <w:sz w:val="22"/>
                <w:szCs w:val="22"/>
              </w:rPr>
            </w:pPr>
            <w:r w:rsidRPr="00913992">
              <w:rPr>
                <w:rFonts w:ascii="Calibri" w:hAnsi="Calibri" w:cs="Calibri"/>
                <w:color w:val="000000"/>
                <w:sz w:val="22"/>
                <w:szCs w:val="22"/>
              </w:rPr>
              <w:t> </w:t>
            </w:r>
          </w:p>
        </w:tc>
      </w:tr>
    </w:tbl>
    <w:p w:rsidRPr="00EC0D6E" w:rsidR="00913992" w:rsidP="00BB2CFE" w:rsidRDefault="00913992">
      <w:pPr>
        <w:rPr>
          <w:sz w:val="24"/>
          <w:szCs w:val="24"/>
        </w:rPr>
      </w:pPr>
    </w:p>
    <w:p w:rsidRPr="00BD7237" w:rsidR="002E1247" w:rsidP="002E1247"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16.  </w:t>
      </w:r>
      <w:r w:rsidRPr="00BD7237" w:rsidR="002E1247">
        <w:rPr>
          <w:rFonts w:ascii="Times New Roman" w:hAnsi="Times New Roman" w:cs="Times New Roman"/>
          <w:b/>
          <w:sz w:val="24"/>
          <w:szCs w:val="24"/>
        </w:rPr>
        <w:t xml:space="preserve">For collections of information whose results will be published, outline plans for tabulation and publication. Address any complex analytical techniques that will be used. </w:t>
      </w:r>
      <w:r w:rsidRPr="00BD7237" w:rsidR="002E1247">
        <w:rPr>
          <w:rFonts w:ascii="Times New Roman" w:hAnsi="Times New Roman" w:cs="Times New Roman"/>
          <w:b/>
          <w:sz w:val="24"/>
          <w:szCs w:val="24"/>
        </w:rPr>
        <w:lastRenderedPageBreak/>
        <w:t>Provide the time schedule for the entire project, including beginning and ending dates of the collection of information, completion of report, publication dates, and other actions.</w:t>
      </w:r>
    </w:p>
    <w:p w:rsidRPr="00EC0D6E" w:rsidR="004F26E9" w:rsidP="00BB2CFE" w:rsidRDefault="004F26E9">
      <w:pPr>
        <w:rPr>
          <w:b/>
          <w:sz w:val="24"/>
          <w:szCs w:val="24"/>
        </w:rPr>
      </w:pPr>
    </w:p>
    <w:p w:rsidRPr="00EC0D6E" w:rsidR="004F26E9" w:rsidP="00BB2CFE" w:rsidRDefault="00127C3B">
      <w:pPr>
        <w:rPr>
          <w:sz w:val="24"/>
          <w:szCs w:val="24"/>
        </w:rPr>
      </w:pPr>
      <w:r w:rsidRPr="00EC0D6E">
        <w:rPr>
          <w:sz w:val="24"/>
          <w:szCs w:val="24"/>
        </w:rPr>
        <w:t xml:space="preserve">No formal scientific publications based on these collections are planned at this time. NMFS and the Council will use the data for </w:t>
      </w:r>
      <w:r w:rsidR="007322DC">
        <w:rPr>
          <w:sz w:val="24"/>
          <w:szCs w:val="24"/>
        </w:rPr>
        <w:t xml:space="preserve">enforcement and </w:t>
      </w:r>
      <w:r w:rsidRPr="00EC0D6E">
        <w:rPr>
          <w:sz w:val="24"/>
          <w:szCs w:val="24"/>
        </w:rPr>
        <w:t xml:space="preserve">management reports </w:t>
      </w:r>
      <w:r w:rsidR="007322DC">
        <w:rPr>
          <w:sz w:val="24"/>
          <w:szCs w:val="24"/>
        </w:rPr>
        <w:t>to support</w:t>
      </w:r>
      <w:r w:rsidRPr="00EC0D6E" w:rsidR="007322DC">
        <w:rPr>
          <w:sz w:val="24"/>
          <w:szCs w:val="24"/>
        </w:rPr>
        <w:t xml:space="preserve"> </w:t>
      </w:r>
      <w:r w:rsidRPr="00EC0D6E">
        <w:rPr>
          <w:sz w:val="24"/>
          <w:szCs w:val="24"/>
        </w:rPr>
        <w:t xml:space="preserve">fishery management </w:t>
      </w:r>
      <w:r w:rsidR="007322DC">
        <w:rPr>
          <w:sz w:val="24"/>
          <w:szCs w:val="24"/>
        </w:rPr>
        <w:t>decisions</w:t>
      </w:r>
      <w:r w:rsidRPr="00EC0D6E">
        <w:rPr>
          <w:sz w:val="24"/>
          <w:szCs w:val="24"/>
        </w:rPr>
        <w:t xml:space="preserve"> and evaluations. However, subsequent use of the data collected over a series of years may include scientific papers and publications.</w:t>
      </w:r>
    </w:p>
    <w:p w:rsidRPr="00EC0D6E" w:rsidR="004F26E9" w:rsidP="00BB2CFE" w:rsidRDefault="004F26E9">
      <w:pPr>
        <w:rPr>
          <w:sz w:val="24"/>
          <w:szCs w:val="24"/>
        </w:rPr>
      </w:pPr>
    </w:p>
    <w:p w:rsidRPr="00BD7237" w:rsidR="002E1247" w:rsidP="002E1247"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17.  </w:t>
      </w:r>
      <w:r w:rsidRPr="00BD7237" w:rsidR="002E124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EC0D6E" w:rsidR="004F26E9" w:rsidP="00BB2CFE" w:rsidRDefault="004F26E9">
      <w:pPr>
        <w:rPr>
          <w:sz w:val="24"/>
          <w:szCs w:val="24"/>
        </w:rPr>
      </w:pPr>
    </w:p>
    <w:p w:rsidRPr="00EC0D6E" w:rsidR="004F26E9" w:rsidP="00BB2CFE" w:rsidRDefault="00CB5D20">
      <w:pPr>
        <w:rPr>
          <w:sz w:val="24"/>
          <w:szCs w:val="24"/>
        </w:rPr>
      </w:pPr>
      <w:r>
        <w:rPr>
          <w:sz w:val="24"/>
          <w:szCs w:val="24"/>
        </w:rPr>
        <w:t>There are no forms associated with this collection.</w:t>
      </w:r>
    </w:p>
    <w:p w:rsidRPr="00EC0D6E" w:rsidR="004F26E9" w:rsidP="00BB2CFE" w:rsidRDefault="004F26E9">
      <w:pPr>
        <w:rPr>
          <w:sz w:val="24"/>
          <w:szCs w:val="24"/>
        </w:rPr>
      </w:pPr>
    </w:p>
    <w:p w:rsidRPr="002E1247" w:rsidR="004F26E9" w:rsidP="002E1247" w:rsidRDefault="004F26E9">
      <w:pPr>
        <w:pStyle w:val="ListParagraph"/>
        <w:tabs>
          <w:tab w:val="left" w:pos="360"/>
        </w:tabs>
        <w:spacing w:before="80"/>
        <w:ind w:left="0" w:firstLine="0"/>
        <w:rPr>
          <w:rFonts w:ascii="Times New Roman" w:hAnsi="Times New Roman" w:cs="Times New Roman"/>
          <w:b/>
          <w:sz w:val="24"/>
          <w:szCs w:val="24"/>
        </w:rPr>
      </w:pPr>
      <w:r w:rsidRPr="00EC0D6E">
        <w:rPr>
          <w:b/>
          <w:bCs/>
          <w:sz w:val="24"/>
          <w:szCs w:val="24"/>
        </w:rPr>
        <w:t xml:space="preserve">18.  </w:t>
      </w:r>
      <w:r w:rsidRPr="00BD7237" w:rsidR="002E1247">
        <w:rPr>
          <w:rFonts w:ascii="Times New Roman" w:hAnsi="Times New Roman" w:cs="Times New Roman"/>
          <w:b/>
          <w:sz w:val="24"/>
          <w:szCs w:val="24"/>
        </w:rPr>
        <w:t>Explain each exception to the certification statement identified in “Certification for Paperwork Reduction Act Submissions."</w:t>
      </w:r>
    </w:p>
    <w:p w:rsidRPr="002E1247" w:rsidR="002E1247" w:rsidP="002E1247" w:rsidRDefault="002E1247">
      <w:pPr>
        <w:spacing w:before="182" w:line="259" w:lineRule="auto"/>
        <w:rPr>
          <w:sz w:val="24"/>
          <w:szCs w:val="24"/>
        </w:rPr>
      </w:pPr>
      <w:r w:rsidRPr="002E1247">
        <w:rPr>
          <w:sz w:val="24"/>
          <w:szCs w:val="24"/>
        </w:rPr>
        <w:t xml:space="preserve">On behalf of this Federal agency, I certify that the collection of information encompassed by this request complies with </w:t>
      </w:r>
      <w:hyperlink r:id="rId12">
        <w:r w:rsidRPr="002E1247">
          <w:rPr>
            <w:color w:val="0563C1"/>
            <w:sz w:val="24"/>
            <w:szCs w:val="24"/>
            <w:u w:val="thick" w:color="0563C1"/>
          </w:rPr>
          <w:t>5 CFR 1320.9</w:t>
        </w:r>
        <w:r w:rsidRPr="002E1247">
          <w:rPr>
            <w:color w:val="0563C1"/>
            <w:sz w:val="24"/>
            <w:szCs w:val="24"/>
          </w:rPr>
          <w:t xml:space="preserve"> </w:t>
        </w:r>
      </w:hyperlink>
      <w:r w:rsidRPr="002E1247">
        <w:rPr>
          <w:sz w:val="24"/>
          <w:szCs w:val="24"/>
        </w:rPr>
        <w:t xml:space="preserve">and the related provisions of </w:t>
      </w:r>
      <w:hyperlink r:id="rId13">
        <w:r w:rsidRPr="002E1247">
          <w:rPr>
            <w:color w:val="0563C1"/>
            <w:sz w:val="24"/>
            <w:szCs w:val="24"/>
            <w:u w:val="thick" w:color="0563C1"/>
          </w:rPr>
          <w:t>5 CFR 1320.8(b)(3)</w:t>
        </w:r>
      </w:hyperlink>
      <w:r w:rsidRPr="002E1247">
        <w:rPr>
          <w:sz w:val="24"/>
          <w:szCs w:val="24"/>
        </w:rPr>
        <w:t>.</w:t>
      </w:r>
    </w:p>
    <w:p w:rsidR="00002575" w:rsidP="00BB2CFE" w:rsidRDefault="00002575">
      <w:pPr>
        <w:rPr>
          <w:b/>
          <w:bCs/>
          <w:sz w:val="24"/>
          <w:szCs w:val="24"/>
        </w:rPr>
      </w:pPr>
    </w:p>
    <w:p w:rsidR="00002575" w:rsidP="00BB2CFE" w:rsidRDefault="00002575">
      <w:pPr>
        <w:rPr>
          <w:b/>
          <w:bCs/>
          <w:sz w:val="24"/>
          <w:szCs w:val="24"/>
        </w:rPr>
      </w:pPr>
    </w:p>
    <w:p w:rsidRPr="00EC0D6E" w:rsidR="004F26E9" w:rsidP="00BB2CFE" w:rsidRDefault="004F26E9">
      <w:pPr>
        <w:rPr>
          <w:sz w:val="24"/>
          <w:szCs w:val="24"/>
        </w:rPr>
      </w:pPr>
      <w:r w:rsidRPr="00EC0D6E">
        <w:rPr>
          <w:b/>
          <w:bCs/>
          <w:sz w:val="24"/>
          <w:szCs w:val="24"/>
        </w:rPr>
        <w:t>B.  COLLECTIONS OF INFORMATION EMPLOYING STATISTICAL METHODS</w:t>
      </w:r>
    </w:p>
    <w:p w:rsidRPr="00EC0D6E" w:rsidR="004F26E9" w:rsidP="00BB2CFE" w:rsidRDefault="004F26E9">
      <w:pPr>
        <w:rPr>
          <w:sz w:val="24"/>
          <w:szCs w:val="24"/>
        </w:rPr>
      </w:pPr>
    </w:p>
    <w:p w:rsidRPr="00EC0D6E" w:rsidR="004F26E9" w:rsidP="00BB2CFE" w:rsidRDefault="00127C3B">
      <w:pPr>
        <w:rPr>
          <w:sz w:val="24"/>
          <w:szCs w:val="24"/>
        </w:rPr>
      </w:pPr>
      <w:r w:rsidRPr="00EC0D6E">
        <w:rPr>
          <w:sz w:val="24"/>
          <w:szCs w:val="24"/>
        </w:rPr>
        <w:t>No statistical methods are employed.</w:t>
      </w:r>
    </w:p>
    <w:sectPr w:rsidRPr="00EC0D6E" w:rsidR="004F26E9" w:rsidSect="00BB2CFE">
      <w:headerReference w:type="default" r:id="rId14"/>
      <w:footerReference w:type="default" r:id="rId15"/>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71B" w:rsidRDefault="0004471B">
      <w:r>
        <w:separator/>
      </w:r>
    </w:p>
  </w:endnote>
  <w:endnote w:type="continuationSeparator" w:id="0">
    <w:p w:rsidR="0004471B" w:rsidRDefault="0004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905" w:rsidRDefault="008C4905">
    <w:pPr>
      <w:pStyle w:val="Footer"/>
      <w:jc w:val="center"/>
    </w:pPr>
    <w:r>
      <w:fldChar w:fldCharType="begin"/>
    </w:r>
    <w:r>
      <w:instrText xml:space="preserve"> PAGE   \* MERGEFORMAT </w:instrText>
    </w:r>
    <w:r>
      <w:fldChar w:fldCharType="separate"/>
    </w:r>
    <w:r w:rsidR="004B16BD">
      <w:rPr>
        <w:noProof/>
      </w:rPr>
      <w:t>1</w:t>
    </w:r>
    <w:r>
      <w:rPr>
        <w:noProof/>
      </w:rPr>
      <w:fldChar w:fldCharType="end"/>
    </w:r>
  </w:p>
  <w:p w:rsidR="003E3AF0" w:rsidRDefault="003E3A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71B" w:rsidRDefault="0004471B">
      <w:r>
        <w:separator/>
      </w:r>
    </w:p>
  </w:footnote>
  <w:footnote w:type="continuationSeparator" w:id="0">
    <w:p w:rsidR="0004471B" w:rsidRDefault="00044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DBF" w:rsidRDefault="005B2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IyMDQ0szQ0sjAwsLcyUdpeDU4uLM/DyQAkOjWgAts4joLQAAAA=="/>
  </w:docVars>
  <w:rsids>
    <w:rsidRoot w:val="004F26E9"/>
    <w:rsid w:val="00000A9E"/>
    <w:rsid w:val="000019C5"/>
    <w:rsid w:val="00002575"/>
    <w:rsid w:val="00004651"/>
    <w:rsid w:val="000075B4"/>
    <w:rsid w:val="0001187E"/>
    <w:rsid w:val="00013620"/>
    <w:rsid w:val="000168C8"/>
    <w:rsid w:val="00020C24"/>
    <w:rsid w:val="000223DC"/>
    <w:rsid w:val="00023223"/>
    <w:rsid w:val="00023A65"/>
    <w:rsid w:val="00024E02"/>
    <w:rsid w:val="00032200"/>
    <w:rsid w:val="000335E2"/>
    <w:rsid w:val="00035EBB"/>
    <w:rsid w:val="00036455"/>
    <w:rsid w:val="00037723"/>
    <w:rsid w:val="00041E8A"/>
    <w:rsid w:val="00043C84"/>
    <w:rsid w:val="0004471B"/>
    <w:rsid w:val="0005186F"/>
    <w:rsid w:val="00051BD2"/>
    <w:rsid w:val="00051DCA"/>
    <w:rsid w:val="00054023"/>
    <w:rsid w:val="00055CAE"/>
    <w:rsid w:val="00057848"/>
    <w:rsid w:val="00062CC0"/>
    <w:rsid w:val="000640DE"/>
    <w:rsid w:val="00064EC5"/>
    <w:rsid w:val="000723DF"/>
    <w:rsid w:val="00076723"/>
    <w:rsid w:val="000778C5"/>
    <w:rsid w:val="00081982"/>
    <w:rsid w:val="00090E8D"/>
    <w:rsid w:val="00091B32"/>
    <w:rsid w:val="00093FB5"/>
    <w:rsid w:val="000A085B"/>
    <w:rsid w:val="000A0DA6"/>
    <w:rsid w:val="000A0F7C"/>
    <w:rsid w:val="000A3287"/>
    <w:rsid w:val="000A7530"/>
    <w:rsid w:val="000B0585"/>
    <w:rsid w:val="000B07F4"/>
    <w:rsid w:val="000B3713"/>
    <w:rsid w:val="000B3BB6"/>
    <w:rsid w:val="000B440B"/>
    <w:rsid w:val="000B51C3"/>
    <w:rsid w:val="000D22DD"/>
    <w:rsid w:val="000D4D62"/>
    <w:rsid w:val="000D7868"/>
    <w:rsid w:val="000E02BD"/>
    <w:rsid w:val="000E089C"/>
    <w:rsid w:val="000E5D4B"/>
    <w:rsid w:val="000E7DCC"/>
    <w:rsid w:val="000F0158"/>
    <w:rsid w:val="000F0AEA"/>
    <w:rsid w:val="000F39EA"/>
    <w:rsid w:val="001015ED"/>
    <w:rsid w:val="00102EDF"/>
    <w:rsid w:val="0010363B"/>
    <w:rsid w:val="001059FC"/>
    <w:rsid w:val="00106679"/>
    <w:rsid w:val="00107F5D"/>
    <w:rsid w:val="001108B1"/>
    <w:rsid w:val="001120FC"/>
    <w:rsid w:val="00112F7A"/>
    <w:rsid w:val="00114628"/>
    <w:rsid w:val="001154F3"/>
    <w:rsid w:val="00116185"/>
    <w:rsid w:val="00122BB6"/>
    <w:rsid w:val="00126419"/>
    <w:rsid w:val="00126F75"/>
    <w:rsid w:val="00127C3B"/>
    <w:rsid w:val="00134045"/>
    <w:rsid w:val="001340E0"/>
    <w:rsid w:val="00135D76"/>
    <w:rsid w:val="00142B8B"/>
    <w:rsid w:val="00143A92"/>
    <w:rsid w:val="00143BDA"/>
    <w:rsid w:val="001440EA"/>
    <w:rsid w:val="0014778C"/>
    <w:rsid w:val="001477FB"/>
    <w:rsid w:val="0015249C"/>
    <w:rsid w:val="001542E7"/>
    <w:rsid w:val="0015689C"/>
    <w:rsid w:val="001572C4"/>
    <w:rsid w:val="00162012"/>
    <w:rsid w:val="001625BE"/>
    <w:rsid w:val="00166199"/>
    <w:rsid w:val="00167494"/>
    <w:rsid w:val="0017707D"/>
    <w:rsid w:val="001801B1"/>
    <w:rsid w:val="00182B3D"/>
    <w:rsid w:val="001926BF"/>
    <w:rsid w:val="00193071"/>
    <w:rsid w:val="001A4A85"/>
    <w:rsid w:val="001A562B"/>
    <w:rsid w:val="001A56AA"/>
    <w:rsid w:val="001A68BE"/>
    <w:rsid w:val="001A72C5"/>
    <w:rsid w:val="001A7D08"/>
    <w:rsid w:val="001C03F7"/>
    <w:rsid w:val="001C1F7E"/>
    <w:rsid w:val="001C3872"/>
    <w:rsid w:val="001C6711"/>
    <w:rsid w:val="001C7A5D"/>
    <w:rsid w:val="001D00B8"/>
    <w:rsid w:val="001D36DF"/>
    <w:rsid w:val="001D43FE"/>
    <w:rsid w:val="001D6628"/>
    <w:rsid w:val="001D762B"/>
    <w:rsid w:val="001E037F"/>
    <w:rsid w:val="001E0841"/>
    <w:rsid w:val="001E6F72"/>
    <w:rsid w:val="001F0325"/>
    <w:rsid w:val="001F08F0"/>
    <w:rsid w:val="001F180D"/>
    <w:rsid w:val="001F2278"/>
    <w:rsid w:val="001F26D7"/>
    <w:rsid w:val="001F4362"/>
    <w:rsid w:val="001F5347"/>
    <w:rsid w:val="001F61DF"/>
    <w:rsid w:val="00201B74"/>
    <w:rsid w:val="00203BC8"/>
    <w:rsid w:val="00205B24"/>
    <w:rsid w:val="0021768E"/>
    <w:rsid w:val="002176C8"/>
    <w:rsid w:val="002206A5"/>
    <w:rsid w:val="00220E0B"/>
    <w:rsid w:val="00226CA2"/>
    <w:rsid w:val="00227F3D"/>
    <w:rsid w:val="00230622"/>
    <w:rsid w:val="002367A4"/>
    <w:rsid w:val="00237754"/>
    <w:rsid w:val="002415D0"/>
    <w:rsid w:val="00242782"/>
    <w:rsid w:val="00242F93"/>
    <w:rsid w:val="002432D9"/>
    <w:rsid w:val="00243B0C"/>
    <w:rsid w:val="00245B10"/>
    <w:rsid w:val="00247E86"/>
    <w:rsid w:val="00251DB3"/>
    <w:rsid w:val="00251DE0"/>
    <w:rsid w:val="00263DBE"/>
    <w:rsid w:val="00264B7A"/>
    <w:rsid w:val="0026685F"/>
    <w:rsid w:val="00267D16"/>
    <w:rsid w:val="00270668"/>
    <w:rsid w:val="002768A4"/>
    <w:rsid w:val="002773B3"/>
    <w:rsid w:val="00277F21"/>
    <w:rsid w:val="00282443"/>
    <w:rsid w:val="00282FD0"/>
    <w:rsid w:val="0029205D"/>
    <w:rsid w:val="00292C33"/>
    <w:rsid w:val="002A0957"/>
    <w:rsid w:val="002A0E05"/>
    <w:rsid w:val="002A1009"/>
    <w:rsid w:val="002A105E"/>
    <w:rsid w:val="002A45C9"/>
    <w:rsid w:val="002B7981"/>
    <w:rsid w:val="002B7A28"/>
    <w:rsid w:val="002C0AD1"/>
    <w:rsid w:val="002D1B48"/>
    <w:rsid w:val="002D1F1D"/>
    <w:rsid w:val="002D25CD"/>
    <w:rsid w:val="002D2DAA"/>
    <w:rsid w:val="002D4625"/>
    <w:rsid w:val="002D53B3"/>
    <w:rsid w:val="002D5AD2"/>
    <w:rsid w:val="002E047B"/>
    <w:rsid w:val="002E1247"/>
    <w:rsid w:val="002E3E38"/>
    <w:rsid w:val="002E4115"/>
    <w:rsid w:val="002E6154"/>
    <w:rsid w:val="002F1B77"/>
    <w:rsid w:val="0030003A"/>
    <w:rsid w:val="0030383E"/>
    <w:rsid w:val="00303898"/>
    <w:rsid w:val="00303E3D"/>
    <w:rsid w:val="003134C0"/>
    <w:rsid w:val="00322A9F"/>
    <w:rsid w:val="00322CE4"/>
    <w:rsid w:val="00324112"/>
    <w:rsid w:val="003242D8"/>
    <w:rsid w:val="00330BBC"/>
    <w:rsid w:val="00330EF9"/>
    <w:rsid w:val="003329B8"/>
    <w:rsid w:val="00334941"/>
    <w:rsid w:val="00334AA2"/>
    <w:rsid w:val="00336B6F"/>
    <w:rsid w:val="003373E6"/>
    <w:rsid w:val="00340836"/>
    <w:rsid w:val="00340B62"/>
    <w:rsid w:val="0034298A"/>
    <w:rsid w:val="00342DD9"/>
    <w:rsid w:val="00343555"/>
    <w:rsid w:val="003435FD"/>
    <w:rsid w:val="0034628F"/>
    <w:rsid w:val="00354569"/>
    <w:rsid w:val="003547D2"/>
    <w:rsid w:val="003611EA"/>
    <w:rsid w:val="00362B42"/>
    <w:rsid w:val="00363842"/>
    <w:rsid w:val="00372577"/>
    <w:rsid w:val="003729B7"/>
    <w:rsid w:val="0037328A"/>
    <w:rsid w:val="00375BF6"/>
    <w:rsid w:val="00381034"/>
    <w:rsid w:val="003848C5"/>
    <w:rsid w:val="003854A5"/>
    <w:rsid w:val="00390D52"/>
    <w:rsid w:val="00391596"/>
    <w:rsid w:val="003A0816"/>
    <w:rsid w:val="003A166D"/>
    <w:rsid w:val="003A3FDD"/>
    <w:rsid w:val="003B3B73"/>
    <w:rsid w:val="003B7245"/>
    <w:rsid w:val="003B7AF8"/>
    <w:rsid w:val="003C1DFD"/>
    <w:rsid w:val="003C645D"/>
    <w:rsid w:val="003D0D9A"/>
    <w:rsid w:val="003D44F8"/>
    <w:rsid w:val="003D4696"/>
    <w:rsid w:val="003D5EFE"/>
    <w:rsid w:val="003E220A"/>
    <w:rsid w:val="003E3AF0"/>
    <w:rsid w:val="003F22FC"/>
    <w:rsid w:val="003F2358"/>
    <w:rsid w:val="003F3759"/>
    <w:rsid w:val="003F455D"/>
    <w:rsid w:val="003F7A2B"/>
    <w:rsid w:val="00403566"/>
    <w:rsid w:val="00404A50"/>
    <w:rsid w:val="00415AC8"/>
    <w:rsid w:val="00420555"/>
    <w:rsid w:val="00421A5B"/>
    <w:rsid w:val="00421AE1"/>
    <w:rsid w:val="0042532A"/>
    <w:rsid w:val="00430BB0"/>
    <w:rsid w:val="0043318A"/>
    <w:rsid w:val="00436E14"/>
    <w:rsid w:val="00437E21"/>
    <w:rsid w:val="0044761B"/>
    <w:rsid w:val="004503F2"/>
    <w:rsid w:val="00453E67"/>
    <w:rsid w:val="00457B20"/>
    <w:rsid w:val="00463797"/>
    <w:rsid w:val="00463867"/>
    <w:rsid w:val="00463889"/>
    <w:rsid w:val="00466D34"/>
    <w:rsid w:val="004715F0"/>
    <w:rsid w:val="00472BD9"/>
    <w:rsid w:val="004771EC"/>
    <w:rsid w:val="004833AD"/>
    <w:rsid w:val="00492C67"/>
    <w:rsid w:val="004972B6"/>
    <w:rsid w:val="004A2FAF"/>
    <w:rsid w:val="004A50CF"/>
    <w:rsid w:val="004A726A"/>
    <w:rsid w:val="004B0909"/>
    <w:rsid w:val="004B1489"/>
    <w:rsid w:val="004B16BD"/>
    <w:rsid w:val="004B5E1D"/>
    <w:rsid w:val="004C291A"/>
    <w:rsid w:val="004C3D92"/>
    <w:rsid w:val="004C43FA"/>
    <w:rsid w:val="004C4A96"/>
    <w:rsid w:val="004D1DDB"/>
    <w:rsid w:val="004D40ED"/>
    <w:rsid w:val="004D7CC3"/>
    <w:rsid w:val="004E10CB"/>
    <w:rsid w:val="004E246D"/>
    <w:rsid w:val="004F23B7"/>
    <w:rsid w:val="004F26E9"/>
    <w:rsid w:val="00500AD0"/>
    <w:rsid w:val="0051498B"/>
    <w:rsid w:val="005254E9"/>
    <w:rsid w:val="005274AB"/>
    <w:rsid w:val="00527D14"/>
    <w:rsid w:val="00532339"/>
    <w:rsid w:val="00532DD5"/>
    <w:rsid w:val="00533CE0"/>
    <w:rsid w:val="0053513D"/>
    <w:rsid w:val="005414F3"/>
    <w:rsid w:val="0054150B"/>
    <w:rsid w:val="005422C1"/>
    <w:rsid w:val="00546B4F"/>
    <w:rsid w:val="00554030"/>
    <w:rsid w:val="0055471C"/>
    <w:rsid w:val="00555097"/>
    <w:rsid w:val="005550B6"/>
    <w:rsid w:val="00560838"/>
    <w:rsid w:val="0056466D"/>
    <w:rsid w:val="005725F9"/>
    <w:rsid w:val="0058723C"/>
    <w:rsid w:val="00587CF3"/>
    <w:rsid w:val="005912B9"/>
    <w:rsid w:val="00591A70"/>
    <w:rsid w:val="00594F08"/>
    <w:rsid w:val="005B2DBF"/>
    <w:rsid w:val="005B45FD"/>
    <w:rsid w:val="005B5EA6"/>
    <w:rsid w:val="005B7022"/>
    <w:rsid w:val="005B7EAE"/>
    <w:rsid w:val="005C1D4C"/>
    <w:rsid w:val="005C3274"/>
    <w:rsid w:val="005C6FA3"/>
    <w:rsid w:val="005D016A"/>
    <w:rsid w:val="005D312C"/>
    <w:rsid w:val="005D604B"/>
    <w:rsid w:val="005E4FC3"/>
    <w:rsid w:val="005E6200"/>
    <w:rsid w:val="005E6CFE"/>
    <w:rsid w:val="005F0821"/>
    <w:rsid w:val="005F396E"/>
    <w:rsid w:val="005F6CAB"/>
    <w:rsid w:val="00600E96"/>
    <w:rsid w:val="006111D2"/>
    <w:rsid w:val="0061588B"/>
    <w:rsid w:val="00616A27"/>
    <w:rsid w:val="00621B72"/>
    <w:rsid w:val="00623B2D"/>
    <w:rsid w:val="00623F47"/>
    <w:rsid w:val="00623FE9"/>
    <w:rsid w:val="006258ED"/>
    <w:rsid w:val="00627CEB"/>
    <w:rsid w:val="00633708"/>
    <w:rsid w:val="00633C9A"/>
    <w:rsid w:val="006342A3"/>
    <w:rsid w:val="0063624D"/>
    <w:rsid w:val="0064369D"/>
    <w:rsid w:val="00643E26"/>
    <w:rsid w:val="006458B4"/>
    <w:rsid w:val="00651216"/>
    <w:rsid w:val="00652C75"/>
    <w:rsid w:val="00656FDE"/>
    <w:rsid w:val="006653DD"/>
    <w:rsid w:val="00665D0A"/>
    <w:rsid w:val="00672873"/>
    <w:rsid w:val="00675B26"/>
    <w:rsid w:val="0068011F"/>
    <w:rsid w:val="00685D97"/>
    <w:rsid w:val="006869C1"/>
    <w:rsid w:val="00687A09"/>
    <w:rsid w:val="00692CD8"/>
    <w:rsid w:val="00695691"/>
    <w:rsid w:val="006A19BC"/>
    <w:rsid w:val="006A6839"/>
    <w:rsid w:val="006A6886"/>
    <w:rsid w:val="006B0CE9"/>
    <w:rsid w:val="006B1C3A"/>
    <w:rsid w:val="006B7754"/>
    <w:rsid w:val="006C4685"/>
    <w:rsid w:val="006C4AA3"/>
    <w:rsid w:val="006C7C13"/>
    <w:rsid w:val="006C7FD3"/>
    <w:rsid w:val="006D103A"/>
    <w:rsid w:val="006D7BF5"/>
    <w:rsid w:val="006E1FA8"/>
    <w:rsid w:val="006E270C"/>
    <w:rsid w:val="006E4872"/>
    <w:rsid w:val="006E6DFE"/>
    <w:rsid w:val="006E7837"/>
    <w:rsid w:val="006F5278"/>
    <w:rsid w:val="00703F78"/>
    <w:rsid w:val="00704CC6"/>
    <w:rsid w:val="00706480"/>
    <w:rsid w:val="00707EEE"/>
    <w:rsid w:val="00711621"/>
    <w:rsid w:val="007131B5"/>
    <w:rsid w:val="00717BCD"/>
    <w:rsid w:val="00720953"/>
    <w:rsid w:val="00725C5C"/>
    <w:rsid w:val="0072611A"/>
    <w:rsid w:val="00727508"/>
    <w:rsid w:val="007322DC"/>
    <w:rsid w:val="00734335"/>
    <w:rsid w:val="0073524B"/>
    <w:rsid w:val="0073562B"/>
    <w:rsid w:val="00741973"/>
    <w:rsid w:val="00743247"/>
    <w:rsid w:val="00743DCA"/>
    <w:rsid w:val="007442D9"/>
    <w:rsid w:val="00745488"/>
    <w:rsid w:val="00747E3B"/>
    <w:rsid w:val="007548BB"/>
    <w:rsid w:val="007575A8"/>
    <w:rsid w:val="00760166"/>
    <w:rsid w:val="00761162"/>
    <w:rsid w:val="0076348B"/>
    <w:rsid w:val="00765F2E"/>
    <w:rsid w:val="00770247"/>
    <w:rsid w:val="007730D5"/>
    <w:rsid w:val="007745D4"/>
    <w:rsid w:val="0077564E"/>
    <w:rsid w:val="0078118F"/>
    <w:rsid w:val="00783704"/>
    <w:rsid w:val="007850DF"/>
    <w:rsid w:val="00791E4C"/>
    <w:rsid w:val="007956DD"/>
    <w:rsid w:val="00797474"/>
    <w:rsid w:val="0079787A"/>
    <w:rsid w:val="007A12DA"/>
    <w:rsid w:val="007A4299"/>
    <w:rsid w:val="007A4954"/>
    <w:rsid w:val="007A54B5"/>
    <w:rsid w:val="007A563B"/>
    <w:rsid w:val="007A66A6"/>
    <w:rsid w:val="007A68EE"/>
    <w:rsid w:val="007B08F2"/>
    <w:rsid w:val="007B2C92"/>
    <w:rsid w:val="007B35B7"/>
    <w:rsid w:val="007B3E8C"/>
    <w:rsid w:val="007B4B70"/>
    <w:rsid w:val="007C2567"/>
    <w:rsid w:val="007C2E98"/>
    <w:rsid w:val="007C6AFC"/>
    <w:rsid w:val="007D3006"/>
    <w:rsid w:val="007D4256"/>
    <w:rsid w:val="007E059F"/>
    <w:rsid w:val="007E16A3"/>
    <w:rsid w:val="007E3F58"/>
    <w:rsid w:val="007E5A08"/>
    <w:rsid w:val="007F3148"/>
    <w:rsid w:val="007F35EE"/>
    <w:rsid w:val="007F4CB3"/>
    <w:rsid w:val="007F5745"/>
    <w:rsid w:val="007F68C0"/>
    <w:rsid w:val="00800E24"/>
    <w:rsid w:val="00803D79"/>
    <w:rsid w:val="008070E8"/>
    <w:rsid w:val="0081099A"/>
    <w:rsid w:val="00811786"/>
    <w:rsid w:val="008140F5"/>
    <w:rsid w:val="008156AE"/>
    <w:rsid w:val="00815D0D"/>
    <w:rsid w:val="008173F8"/>
    <w:rsid w:val="008201E8"/>
    <w:rsid w:val="00820D9A"/>
    <w:rsid w:val="00821C2D"/>
    <w:rsid w:val="00822A5E"/>
    <w:rsid w:val="00824056"/>
    <w:rsid w:val="00825F49"/>
    <w:rsid w:val="00831F17"/>
    <w:rsid w:val="0083751F"/>
    <w:rsid w:val="00840598"/>
    <w:rsid w:val="00840905"/>
    <w:rsid w:val="008432A3"/>
    <w:rsid w:val="00843791"/>
    <w:rsid w:val="008445A7"/>
    <w:rsid w:val="00846885"/>
    <w:rsid w:val="00850FFA"/>
    <w:rsid w:val="00852827"/>
    <w:rsid w:val="008545D6"/>
    <w:rsid w:val="00855826"/>
    <w:rsid w:val="008562FB"/>
    <w:rsid w:val="00856866"/>
    <w:rsid w:val="00860C64"/>
    <w:rsid w:val="00861608"/>
    <w:rsid w:val="00867BBF"/>
    <w:rsid w:val="0087007D"/>
    <w:rsid w:val="00870E62"/>
    <w:rsid w:val="00870EE2"/>
    <w:rsid w:val="00872FCB"/>
    <w:rsid w:val="008751BD"/>
    <w:rsid w:val="00876A22"/>
    <w:rsid w:val="00880A49"/>
    <w:rsid w:val="00883361"/>
    <w:rsid w:val="00887EA8"/>
    <w:rsid w:val="008924AC"/>
    <w:rsid w:val="00896282"/>
    <w:rsid w:val="00896793"/>
    <w:rsid w:val="008A63C6"/>
    <w:rsid w:val="008A7838"/>
    <w:rsid w:val="008C4905"/>
    <w:rsid w:val="008C5C8D"/>
    <w:rsid w:val="008C73D8"/>
    <w:rsid w:val="008D078B"/>
    <w:rsid w:val="008D1889"/>
    <w:rsid w:val="008D26DC"/>
    <w:rsid w:val="008D3834"/>
    <w:rsid w:val="008E06F9"/>
    <w:rsid w:val="008E366E"/>
    <w:rsid w:val="008E4372"/>
    <w:rsid w:val="008E61FB"/>
    <w:rsid w:val="008E6931"/>
    <w:rsid w:val="008E70CC"/>
    <w:rsid w:val="008F4DA3"/>
    <w:rsid w:val="008F5242"/>
    <w:rsid w:val="008F5835"/>
    <w:rsid w:val="008F6D20"/>
    <w:rsid w:val="00900680"/>
    <w:rsid w:val="00901EEE"/>
    <w:rsid w:val="009064CE"/>
    <w:rsid w:val="00913992"/>
    <w:rsid w:val="0091655A"/>
    <w:rsid w:val="0092122C"/>
    <w:rsid w:val="00922A18"/>
    <w:rsid w:val="009237DD"/>
    <w:rsid w:val="00924C0D"/>
    <w:rsid w:val="009304E6"/>
    <w:rsid w:val="00932A1D"/>
    <w:rsid w:val="009339A4"/>
    <w:rsid w:val="00936BCC"/>
    <w:rsid w:val="00940F6B"/>
    <w:rsid w:val="00943C31"/>
    <w:rsid w:val="00944248"/>
    <w:rsid w:val="0094638D"/>
    <w:rsid w:val="00946ECC"/>
    <w:rsid w:val="00950E44"/>
    <w:rsid w:val="0095385E"/>
    <w:rsid w:val="00962C66"/>
    <w:rsid w:val="00965576"/>
    <w:rsid w:val="00971D8D"/>
    <w:rsid w:val="00983007"/>
    <w:rsid w:val="00983DAD"/>
    <w:rsid w:val="00985A9C"/>
    <w:rsid w:val="009868F0"/>
    <w:rsid w:val="009878C2"/>
    <w:rsid w:val="0099149E"/>
    <w:rsid w:val="00996527"/>
    <w:rsid w:val="00997C9A"/>
    <w:rsid w:val="009A6ECE"/>
    <w:rsid w:val="009B6040"/>
    <w:rsid w:val="009C363A"/>
    <w:rsid w:val="009C5FEA"/>
    <w:rsid w:val="009D43ED"/>
    <w:rsid w:val="009D722C"/>
    <w:rsid w:val="009E068A"/>
    <w:rsid w:val="009E3579"/>
    <w:rsid w:val="009F1D16"/>
    <w:rsid w:val="00A01C45"/>
    <w:rsid w:val="00A04431"/>
    <w:rsid w:val="00A04A43"/>
    <w:rsid w:val="00A04F64"/>
    <w:rsid w:val="00A06289"/>
    <w:rsid w:val="00A07ACE"/>
    <w:rsid w:val="00A102F9"/>
    <w:rsid w:val="00A11D1B"/>
    <w:rsid w:val="00A16598"/>
    <w:rsid w:val="00A24717"/>
    <w:rsid w:val="00A25792"/>
    <w:rsid w:val="00A2696F"/>
    <w:rsid w:val="00A269B5"/>
    <w:rsid w:val="00A3096B"/>
    <w:rsid w:val="00A36CB3"/>
    <w:rsid w:val="00A41829"/>
    <w:rsid w:val="00A43457"/>
    <w:rsid w:val="00A52249"/>
    <w:rsid w:val="00A53D9E"/>
    <w:rsid w:val="00A6079D"/>
    <w:rsid w:val="00A632CA"/>
    <w:rsid w:val="00A64738"/>
    <w:rsid w:val="00A7141B"/>
    <w:rsid w:val="00A77247"/>
    <w:rsid w:val="00A82D13"/>
    <w:rsid w:val="00A874FC"/>
    <w:rsid w:val="00A87596"/>
    <w:rsid w:val="00A91AC2"/>
    <w:rsid w:val="00A93779"/>
    <w:rsid w:val="00A93BBA"/>
    <w:rsid w:val="00A93D46"/>
    <w:rsid w:val="00A95491"/>
    <w:rsid w:val="00A96AC1"/>
    <w:rsid w:val="00A96BDD"/>
    <w:rsid w:val="00AA47F9"/>
    <w:rsid w:val="00AA47FC"/>
    <w:rsid w:val="00AA4A00"/>
    <w:rsid w:val="00AA4A94"/>
    <w:rsid w:val="00AA5041"/>
    <w:rsid w:val="00AB0C30"/>
    <w:rsid w:val="00AB42D3"/>
    <w:rsid w:val="00AB520B"/>
    <w:rsid w:val="00AB56EA"/>
    <w:rsid w:val="00AB5DCF"/>
    <w:rsid w:val="00AC4ACE"/>
    <w:rsid w:val="00AC5600"/>
    <w:rsid w:val="00AC6140"/>
    <w:rsid w:val="00AD08B0"/>
    <w:rsid w:val="00AD17CB"/>
    <w:rsid w:val="00AD23DF"/>
    <w:rsid w:val="00AD5746"/>
    <w:rsid w:val="00AE0EF2"/>
    <w:rsid w:val="00AE14EF"/>
    <w:rsid w:val="00AE1C03"/>
    <w:rsid w:val="00AE3FEE"/>
    <w:rsid w:val="00AE5146"/>
    <w:rsid w:val="00AF461E"/>
    <w:rsid w:val="00B031C6"/>
    <w:rsid w:val="00B0430C"/>
    <w:rsid w:val="00B05037"/>
    <w:rsid w:val="00B065DE"/>
    <w:rsid w:val="00B0664D"/>
    <w:rsid w:val="00B2597E"/>
    <w:rsid w:val="00B35E9F"/>
    <w:rsid w:val="00B37032"/>
    <w:rsid w:val="00B375B1"/>
    <w:rsid w:val="00B41367"/>
    <w:rsid w:val="00B42A4B"/>
    <w:rsid w:val="00B450AD"/>
    <w:rsid w:val="00B47525"/>
    <w:rsid w:val="00B47BB9"/>
    <w:rsid w:val="00B50166"/>
    <w:rsid w:val="00B517F7"/>
    <w:rsid w:val="00B53E68"/>
    <w:rsid w:val="00B57DEC"/>
    <w:rsid w:val="00B62A47"/>
    <w:rsid w:val="00B6527E"/>
    <w:rsid w:val="00B67B6C"/>
    <w:rsid w:val="00B71EF3"/>
    <w:rsid w:val="00B7339E"/>
    <w:rsid w:val="00B7458A"/>
    <w:rsid w:val="00B80926"/>
    <w:rsid w:val="00B83241"/>
    <w:rsid w:val="00B839EC"/>
    <w:rsid w:val="00B907F9"/>
    <w:rsid w:val="00B9173F"/>
    <w:rsid w:val="00B9326F"/>
    <w:rsid w:val="00B941BF"/>
    <w:rsid w:val="00BA2B15"/>
    <w:rsid w:val="00BA4D3A"/>
    <w:rsid w:val="00BA639F"/>
    <w:rsid w:val="00BB03E0"/>
    <w:rsid w:val="00BB25AB"/>
    <w:rsid w:val="00BB2CFE"/>
    <w:rsid w:val="00BB32B5"/>
    <w:rsid w:val="00BB49DA"/>
    <w:rsid w:val="00BB6E76"/>
    <w:rsid w:val="00BB7B0E"/>
    <w:rsid w:val="00BC130C"/>
    <w:rsid w:val="00BC3DC0"/>
    <w:rsid w:val="00BD24FA"/>
    <w:rsid w:val="00BD4DEF"/>
    <w:rsid w:val="00BD5E38"/>
    <w:rsid w:val="00BE3C2D"/>
    <w:rsid w:val="00BE3E65"/>
    <w:rsid w:val="00BE5F2F"/>
    <w:rsid w:val="00BE679A"/>
    <w:rsid w:val="00BF0F26"/>
    <w:rsid w:val="00BF223D"/>
    <w:rsid w:val="00C008CD"/>
    <w:rsid w:val="00C00F26"/>
    <w:rsid w:val="00C04842"/>
    <w:rsid w:val="00C05C48"/>
    <w:rsid w:val="00C101E3"/>
    <w:rsid w:val="00C114CF"/>
    <w:rsid w:val="00C15408"/>
    <w:rsid w:val="00C20FF5"/>
    <w:rsid w:val="00C32540"/>
    <w:rsid w:val="00C355B1"/>
    <w:rsid w:val="00C412C9"/>
    <w:rsid w:val="00C44436"/>
    <w:rsid w:val="00C5026D"/>
    <w:rsid w:val="00C50B61"/>
    <w:rsid w:val="00C5161F"/>
    <w:rsid w:val="00C52491"/>
    <w:rsid w:val="00C54763"/>
    <w:rsid w:val="00C56054"/>
    <w:rsid w:val="00C56087"/>
    <w:rsid w:val="00C570CC"/>
    <w:rsid w:val="00C63739"/>
    <w:rsid w:val="00C74F41"/>
    <w:rsid w:val="00C75CD0"/>
    <w:rsid w:val="00C76609"/>
    <w:rsid w:val="00C76688"/>
    <w:rsid w:val="00C81CBD"/>
    <w:rsid w:val="00C82059"/>
    <w:rsid w:val="00C84247"/>
    <w:rsid w:val="00C86E7B"/>
    <w:rsid w:val="00CA3A76"/>
    <w:rsid w:val="00CA7082"/>
    <w:rsid w:val="00CB07A7"/>
    <w:rsid w:val="00CB4957"/>
    <w:rsid w:val="00CB5D20"/>
    <w:rsid w:val="00CB7F3E"/>
    <w:rsid w:val="00CC4E05"/>
    <w:rsid w:val="00CD0AA1"/>
    <w:rsid w:val="00CD1C06"/>
    <w:rsid w:val="00CD5AD4"/>
    <w:rsid w:val="00CD607A"/>
    <w:rsid w:val="00CD7EC7"/>
    <w:rsid w:val="00CE0ED1"/>
    <w:rsid w:val="00CE1E61"/>
    <w:rsid w:val="00CE585B"/>
    <w:rsid w:val="00CF033E"/>
    <w:rsid w:val="00CF2F3F"/>
    <w:rsid w:val="00CF4409"/>
    <w:rsid w:val="00D02FA5"/>
    <w:rsid w:val="00D03713"/>
    <w:rsid w:val="00D03911"/>
    <w:rsid w:val="00D041A8"/>
    <w:rsid w:val="00D075A8"/>
    <w:rsid w:val="00D11FF4"/>
    <w:rsid w:val="00D1320B"/>
    <w:rsid w:val="00D13C7A"/>
    <w:rsid w:val="00D14DC5"/>
    <w:rsid w:val="00D20B44"/>
    <w:rsid w:val="00D245ED"/>
    <w:rsid w:val="00D34768"/>
    <w:rsid w:val="00D3717D"/>
    <w:rsid w:val="00D37421"/>
    <w:rsid w:val="00D42B1D"/>
    <w:rsid w:val="00D4748E"/>
    <w:rsid w:val="00D50940"/>
    <w:rsid w:val="00D55163"/>
    <w:rsid w:val="00D57A18"/>
    <w:rsid w:val="00D62252"/>
    <w:rsid w:val="00D70506"/>
    <w:rsid w:val="00D717D6"/>
    <w:rsid w:val="00D71FF8"/>
    <w:rsid w:val="00D72F5A"/>
    <w:rsid w:val="00D73B5B"/>
    <w:rsid w:val="00D751CE"/>
    <w:rsid w:val="00D75C39"/>
    <w:rsid w:val="00D77405"/>
    <w:rsid w:val="00D818BF"/>
    <w:rsid w:val="00D85F6F"/>
    <w:rsid w:val="00D905EB"/>
    <w:rsid w:val="00D913B9"/>
    <w:rsid w:val="00DA0386"/>
    <w:rsid w:val="00DA422D"/>
    <w:rsid w:val="00DA4231"/>
    <w:rsid w:val="00DB65A4"/>
    <w:rsid w:val="00DC22E7"/>
    <w:rsid w:val="00DC43AF"/>
    <w:rsid w:val="00DC4CF3"/>
    <w:rsid w:val="00DC4F18"/>
    <w:rsid w:val="00DD15CC"/>
    <w:rsid w:val="00DD1F70"/>
    <w:rsid w:val="00DD2913"/>
    <w:rsid w:val="00DD2F5C"/>
    <w:rsid w:val="00DD3CA7"/>
    <w:rsid w:val="00DD4157"/>
    <w:rsid w:val="00DD45F9"/>
    <w:rsid w:val="00DD5A6E"/>
    <w:rsid w:val="00DE1398"/>
    <w:rsid w:val="00DE13FD"/>
    <w:rsid w:val="00DE554B"/>
    <w:rsid w:val="00DE7445"/>
    <w:rsid w:val="00DF15B2"/>
    <w:rsid w:val="00DF249B"/>
    <w:rsid w:val="00E00CDC"/>
    <w:rsid w:val="00E03601"/>
    <w:rsid w:val="00E0436D"/>
    <w:rsid w:val="00E046F9"/>
    <w:rsid w:val="00E04D17"/>
    <w:rsid w:val="00E04F87"/>
    <w:rsid w:val="00E05ABE"/>
    <w:rsid w:val="00E05AD1"/>
    <w:rsid w:val="00E12170"/>
    <w:rsid w:val="00E131AD"/>
    <w:rsid w:val="00E152F2"/>
    <w:rsid w:val="00E166E6"/>
    <w:rsid w:val="00E231B6"/>
    <w:rsid w:val="00E266BB"/>
    <w:rsid w:val="00E27B1F"/>
    <w:rsid w:val="00E35F5B"/>
    <w:rsid w:val="00E36795"/>
    <w:rsid w:val="00E36854"/>
    <w:rsid w:val="00E376CC"/>
    <w:rsid w:val="00E418F8"/>
    <w:rsid w:val="00E426FD"/>
    <w:rsid w:val="00E47002"/>
    <w:rsid w:val="00E474D1"/>
    <w:rsid w:val="00E54CE3"/>
    <w:rsid w:val="00E55E53"/>
    <w:rsid w:val="00E57298"/>
    <w:rsid w:val="00E61209"/>
    <w:rsid w:val="00E61E75"/>
    <w:rsid w:val="00E629B4"/>
    <w:rsid w:val="00E62D9A"/>
    <w:rsid w:val="00E65ED7"/>
    <w:rsid w:val="00E65F76"/>
    <w:rsid w:val="00E76082"/>
    <w:rsid w:val="00E806D8"/>
    <w:rsid w:val="00E87382"/>
    <w:rsid w:val="00E92345"/>
    <w:rsid w:val="00EB7C09"/>
    <w:rsid w:val="00EC0D6E"/>
    <w:rsid w:val="00EC124F"/>
    <w:rsid w:val="00EC7C43"/>
    <w:rsid w:val="00ED3FEA"/>
    <w:rsid w:val="00EE0F06"/>
    <w:rsid w:val="00EE1A04"/>
    <w:rsid w:val="00EE5998"/>
    <w:rsid w:val="00EE7951"/>
    <w:rsid w:val="00EF0B87"/>
    <w:rsid w:val="00EF18CE"/>
    <w:rsid w:val="00EF1DEE"/>
    <w:rsid w:val="00EF5FB5"/>
    <w:rsid w:val="00EF60B9"/>
    <w:rsid w:val="00F017A5"/>
    <w:rsid w:val="00F0795F"/>
    <w:rsid w:val="00F10484"/>
    <w:rsid w:val="00F12D2E"/>
    <w:rsid w:val="00F148D8"/>
    <w:rsid w:val="00F15BB5"/>
    <w:rsid w:val="00F16BFA"/>
    <w:rsid w:val="00F17FAC"/>
    <w:rsid w:val="00F20299"/>
    <w:rsid w:val="00F20362"/>
    <w:rsid w:val="00F26B5A"/>
    <w:rsid w:val="00F34E62"/>
    <w:rsid w:val="00F4120B"/>
    <w:rsid w:val="00F41764"/>
    <w:rsid w:val="00F44572"/>
    <w:rsid w:val="00F44EF1"/>
    <w:rsid w:val="00F5145B"/>
    <w:rsid w:val="00F51EAF"/>
    <w:rsid w:val="00F525B0"/>
    <w:rsid w:val="00F549BD"/>
    <w:rsid w:val="00F558BD"/>
    <w:rsid w:val="00F55DDC"/>
    <w:rsid w:val="00F55F1B"/>
    <w:rsid w:val="00F63B72"/>
    <w:rsid w:val="00F641EF"/>
    <w:rsid w:val="00F6464C"/>
    <w:rsid w:val="00F64E6E"/>
    <w:rsid w:val="00F66143"/>
    <w:rsid w:val="00F70C15"/>
    <w:rsid w:val="00F74424"/>
    <w:rsid w:val="00F757B1"/>
    <w:rsid w:val="00F757BE"/>
    <w:rsid w:val="00F75B3F"/>
    <w:rsid w:val="00F82952"/>
    <w:rsid w:val="00F82998"/>
    <w:rsid w:val="00F82A5A"/>
    <w:rsid w:val="00F85E4D"/>
    <w:rsid w:val="00F8667E"/>
    <w:rsid w:val="00F92F3A"/>
    <w:rsid w:val="00F967C3"/>
    <w:rsid w:val="00F96877"/>
    <w:rsid w:val="00F96ECA"/>
    <w:rsid w:val="00F97078"/>
    <w:rsid w:val="00F97784"/>
    <w:rsid w:val="00F97C46"/>
    <w:rsid w:val="00FA0582"/>
    <w:rsid w:val="00FA53D4"/>
    <w:rsid w:val="00FA69B1"/>
    <w:rsid w:val="00FB06EE"/>
    <w:rsid w:val="00FB2344"/>
    <w:rsid w:val="00FB3B20"/>
    <w:rsid w:val="00FB4993"/>
    <w:rsid w:val="00FC1D98"/>
    <w:rsid w:val="00FC40EB"/>
    <w:rsid w:val="00FD0B74"/>
    <w:rsid w:val="00FD0F5C"/>
    <w:rsid w:val="00FD4DF5"/>
    <w:rsid w:val="00FD68E9"/>
    <w:rsid w:val="00FD74C2"/>
    <w:rsid w:val="00FE0F02"/>
    <w:rsid w:val="00FE1187"/>
    <w:rsid w:val="00FE1CC2"/>
    <w:rsid w:val="00FE4B55"/>
    <w:rsid w:val="00FF3197"/>
    <w:rsid w:val="00FF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7CC281-9083-45CD-884B-C77EA807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A47"/>
    <w:pPr>
      <w:widowControl w:val="0"/>
      <w:autoSpaceDE w:val="0"/>
      <w:autoSpaceDN w:val="0"/>
      <w:adjustRightInd w:val="0"/>
    </w:pPr>
  </w:style>
  <w:style w:type="paragraph" w:styleId="Heading1">
    <w:name w:val="heading 1"/>
    <w:basedOn w:val="Normal"/>
    <w:link w:val="Heading1Char"/>
    <w:uiPriority w:val="1"/>
    <w:qFormat/>
    <w:rsid w:val="003E3AF0"/>
    <w:pPr>
      <w:adjustRightInd/>
      <w:ind w:left="120"/>
      <w:outlineLvl w:val="0"/>
    </w:pPr>
    <w:rPr>
      <w:b/>
      <w:bCs/>
      <w:sz w:val="24"/>
      <w:szCs w:val="24"/>
      <w:u w:val="single" w:color="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E61209"/>
    <w:rPr>
      <w:color w:val="0000FF"/>
      <w:u w:val="single"/>
    </w:rPr>
  </w:style>
  <w:style w:type="paragraph" w:customStyle="1" w:styleId="Default">
    <w:name w:val="Default"/>
    <w:rsid w:val="006E4872"/>
    <w:pPr>
      <w:autoSpaceDE w:val="0"/>
      <w:autoSpaceDN w:val="0"/>
      <w:adjustRightInd w:val="0"/>
    </w:pPr>
    <w:rPr>
      <w:color w:val="000000"/>
      <w:sz w:val="24"/>
      <w:szCs w:val="24"/>
    </w:rPr>
  </w:style>
  <w:style w:type="character" w:styleId="FollowedHyperlink">
    <w:name w:val="FollowedHyperlink"/>
    <w:rsid w:val="001F5347"/>
    <w:rPr>
      <w:color w:val="800080"/>
      <w:u w:val="single"/>
    </w:rPr>
  </w:style>
  <w:style w:type="table" w:styleId="TableGrid">
    <w:name w:val="Table Grid"/>
    <w:basedOn w:val="TableNormal"/>
    <w:rsid w:val="00D24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64738"/>
    <w:rPr>
      <w:sz w:val="16"/>
      <w:szCs w:val="16"/>
    </w:rPr>
  </w:style>
  <w:style w:type="paragraph" w:styleId="CommentText">
    <w:name w:val="annotation text"/>
    <w:basedOn w:val="Normal"/>
    <w:link w:val="CommentTextChar"/>
    <w:rsid w:val="00A64738"/>
  </w:style>
  <w:style w:type="character" w:customStyle="1" w:styleId="CommentTextChar">
    <w:name w:val="Comment Text Char"/>
    <w:basedOn w:val="DefaultParagraphFont"/>
    <w:link w:val="CommentText"/>
    <w:rsid w:val="00A64738"/>
  </w:style>
  <w:style w:type="paragraph" w:styleId="CommentSubject">
    <w:name w:val="annotation subject"/>
    <w:basedOn w:val="CommentText"/>
    <w:next w:val="CommentText"/>
    <w:link w:val="CommentSubjectChar"/>
    <w:rsid w:val="00A64738"/>
    <w:rPr>
      <w:b/>
      <w:bCs/>
    </w:rPr>
  </w:style>
  <w:style w:type="character" w:customStyle="1" w:styleId="CommentSubjectChar">
    <w:name w:val="Comment Subject Char"/>
    <w:link w:val="CommentSubject"/>
    <w:rsid w:val="00A64738"/>
    <w:rPr>
      <w:b/>
      <w:bCs/>
    </w:rPr>
  </w:style>
  <w:style w:type="paragraph" w:styleId="BalloonText">
    <w:name w:val="Balloon Text"/>
    <w:basedOn w:val="Normal"/>
    <w:link w:val="BalloonTextChar"/>
    <w:rsid w:val="00A64738"/>
    <w:rPr>
      <w:rFonts w:ascii="Tahoma" w:hAnsi="Tahoma" w:cs="Tahoma"/>
      <w:sz w:val="16"/>
      <w:szCs w:val="16"/>
    </w:rPr>
  </w:style>
  <w:style w:type="character" w:customStyle="1" w:styleId="BalloonTextChar">
    <w:name w:val="Balloon Text Char"/>
    <w:link w:val="BalloonText"/>
    <w:rsid w:val="00A64738"/>
    <w:rPr>
      <w:rFonts w:ascii="Tahoma" w:hAnsi="Tahoma" w:cs="Tahoma"/>
      <w:sz w:val="16"/>
      <w:szCs w:val="16"/>
    </w:rPr>
  </w:style>
  <w:style w:type="paragraph" w:styleId="HTMLPreformatted">
    <w:name w:val="HTML Preformatted"/>
    <w:basedOn w:val="Normal"/>
    <w:link w:val="HTMLPreformattedChar"/>
    <w:rsid w:val="00706480"/>
    <w:rPr>
      <w:rFonts w:ascii="Courier New" w:hAnsi="Courier New" w:cs="Courier New"/>
    </w:rPr>
  </w:style>
  <w:style w:type="character" w:customStyle="1" w:styleId="HTMLPreformattedChar">
    <w:name w:val="HTML Preformatted Char"/>
    <w:link w:val="HTMLPreformatted"/>
    <w:rsid w:val="00706480"/>
    <w:rPr>
      <w:rFonts w:ascii="Courier New" w:hAnsi="Courier New" w:cs="Courier New"/>
    </w:rPr>
  </w:style>
  <w:style w:type="character" w:customStyle="1" w:styleId="Heading1Char">
    <w:name w:val="Heading 1 Char"/>
    <w:link w:val="Heading1"/>
    <w:uiPriority w:val="1"/>
    <w:rsid w:val="003E3AF0"/>
    <w:rPr>
      <w:b/>
      <w:bCs/>
      <w:sz w:val="24"/>
      <w:szCs w:val="24"/>
      <w:u w:val="single" w:color="000000"/>
    </w:rPr>
  </w:style>
  <w:style w:type="paragraph" w:styleId="BodyText">
    <w:name w:val="Body Text"/>
    <w:basedOn w:val="Normal"/>
    <w:link w:val="BodyTextChar"/>
    <w:uiPriority w:val="1"/>
    <w:qFormat/>
    <w:rsid w:val="003E3AF0"/>
    <w:pPr>
      <w:adjustRightInd/>
    </w:pPr>
    <w:rPr>
      <w:sz w:val="24"/>
      <w:szCs w:val="24"/>
    </w:rPr>
  </w:style>
  <w:style w:type="character" w:customStyle="1" w:styleId="BodyTextChar">
    <w:name w:val="Body Text Char"/>
    <w:link w:val="BodyText"/>
    <w:uiPriority w:val="1"/>
    <w:rsid w:val="003E3AF0"/>
    <w:rPr>
      <w:sz w:val="24"/>
      <w:szCs w:val="24"/>
    </w:rPr>
  </w:style>
  <w:style w:type="character" w:styleId="LineNumber">
    <w:name w:val="line number"/>
    <w:rsid w:val="00F12D2E"/>
  </w:style>
  <w:style w:type="character" w:customStyle="1" w:styleId="FooterChar">
    <w:name w:val="Footer Char"/>
    <w:link w:val="Footer"/>
    <w:uiPriority w:val="99"/>
    <w:rsid w:val="008C4905"/>
  </w:style>
  <w:style w:type="paragraph" w:styleId="ListParagraph">
    <w:name w:val="List Paragraph"/>
    <w:basedOn w:val="Normal"/>
    <w:uiPriority w:val="1"/>
    <w:qFormat/>
    <w:rsid w:val="0081099A"/>
    <w:pPr>
      <w:adjustRightInd/>
      <w:spacing w:before="161"/>
      <w:ind w:left="1120" w:hanging="360"/>
    </w:pPr>
    <w:rPr>
      <w:rFonts w:ascii="Arial" w:eastAsia="Arial" w:hAnsi="Arial" w:cs="Arial"/>
      <w:sz w:val="22"/>
      <w:szCs w:val="22"/>
      <w:lang w:bidi="en-US"/>
    </w:rPr>
  </w:style>
  <w:style w:type="paragraph" w:styleId="Revision">
    <w:name w:val="Revision"/>
    <w:hidden/>
    <w:uiPriority w:val="99"/>
    <w:semiHidden/>
    <w:rsid w:val="00527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6558">
      <w:bodyDiv w:val="1"/>
      <w:marLeft w:val="0"/>
      <w:marRight w:val="0"/>
      <w:marTop w:val="0"/>
      <w:marBottom w:val="0"/>
      <w:divBdr>
        <w:top w:val="none" w:sz="0" w:space="0" w:color="auto"/>
        <w:left w:val="none" w:sz="0" w:space="0" w:color="auto"/>
        <w:bottom w:val="none" w:sz="0" w:space="0" w:color="auto"/>
        <w:right w:val="none" w:sz="0" w:space="0" w:color="auto"/>
      </w:divBdr>
    </w:div>
    <w:div w:id="165675505">
      <w:bodyDiv w:val="1"/>
      <w:marLeft w:val="0"/>
      <w:marRight w:val="0"/>
      <w:marTop w:val="0"/>
      <w:marBottom w:val="0"/>
      <w:divBdr>
        <w:top w:val="none" w:sz="0" w:space="0" w:color="auto"/>
        <w:left w:val="none" w:sz="0" w:space="0" w:color="auto"/>
        <w:bottom w:val="none" w:sz="0" w:space="0" w:color="auto"/>
        <w:right w:val="none" w:sz="0" w:space="0" w:color="auto"/>
      </w:divBdr>
    </w:div>
    <w:div w:id="601255700">
      <w:bodyDiv w:val="1"/>
      <w:marLeft w:val="0"/>
      <w:marRight w:val="0"/>
      <w:marTop w:val="0"/>
      <w:marBottom w:val="0"/>
      <w:divBdr>
        <w:top w:val="none" w:sz="0" w:space="0" w:color="auto"/>
        <w:left w:val="none" w:sz="0" w:space="0" w:color="auto"/>
        <w:bottom w:val="none" w:sz="0" w:space="0" w:color="auto"/>
        <w:right w:val="none" w:sz="0" w:space="0" w:color="auto"/>
      </w:divBdr>
    </w:div>
    <w:div w:id="673804434">
      <w:bodyDiv w:val="1"/>
      <w:marLeft w:val="0"/>
      <w:marRight w:val="0"/>
      <w:marTop w:val="0"/>
      <w:marBottom w:val="0"/>
      <w:divBdr>
        <w:top w:val="none" w:sz="0" w:space="0" w:color="auto"/>
        <w:left w:val="none" w:sz="0" w:space="0" w:color="auto"/>
        <w:bottom w:val="none" w:sz="0" w:space="0" w:color="auto"/>
        <w:right w:val="none" w:sz="0" w:space="0" w:color="auto"/>
      </w:divBdr>
    </w:div>
    <w:div w:id="752163233">
      <w:bodyDiv w:val="1"/>
      <w:marLeft w:val="0"/>
      <w:marRight w:val="0"/>
      <w:marTop w:val="0"/>
      <w:marBottom w:val="0"/>
      <w:divBdr>
        <w:top w:val="none" w:sz="0" w:space="0" w:color="auto"/>
        <w:left w:val="none" w:sz="0" w:space="0" w:color="auto"/>
        <w:bottom w:val="none" w:sz="0" w:space="0" w:color="auto"/>
        <w:right w:val="none" w:sz="0" w:space="0" w:color="auto"/>
      </w:divBdr>
      <w:divsChild>
        <w:div w:id="40179639">
          <w:marLeft w:val="0"/>
          <w:marRight w:val="0"/>
          <w:marTop w:val="0"/>
          <w:marBottom w:val="0"/>
          <w:divBdr>
            <w:top w:val="none" w:sz="0" w:space="0" w:color="auto"/>
            <w:left w:val="none" w:sz="0" w:space="0" w:color="auto"/>
            <w:bottom w:val="none" w:sz="0" w:space="0" w:color="auto"/>
            <w:right w:val="none" w:sz="0" w:space="0" w:color="auto"/>
          </w:divBdr>
        </w:div>
        <w:div w:id="174537151">
          <w:marLeft w:val="0"/>
          <w:marRight w:val="0"/>
          <w:marTop w:val="0"/>
          <w:marBottom w:val="0"/>
          <w:divBdr>
            <w:top w:val="none" w:sz="0" w:space="0" w:color="auto"/>
            <w:left w:val="none" w:sz="0" w:space="0" w:color="auto"/>
            <w:bottom w:val="none" w:sz="0" w:space="0" w:color="auto"/>
            <w:right w:val="none" w:sz="0" w:space="0" w:color="auto"/>
          </w:divBdr>
        </w:div>
        <w:div w:id="419956368">
          <w:marLeft w:val="0"/>
          <w:marRight w:val="0"/>
          <w:marTop w:val="0"/>
          <w:marBottom w:val="0"/>
          <w:divBdr>
            <w:top w:val="none" w:sz="0" w:space="0" w:color="auto"/>
            <w:left w:val="none" w:sz="0" w:space="0" w:color="auto"/>
            <w:bottom w:val="none" w:sz="0" w:space="0" w:color="auto"/>
            <w:right w:val="none" w:sz="0" w:space="0" w:color="auto"/>
          </w:divBdr>
        </w:div>
        <w:div w:id="535508417">
          <w:marLeft w:val="0"/>
          <w:marRight w:val="0"/>
          <w:marTop w:val="0"/>
          <w:marBottom w:val="0"/>
          <w:divBdr>
            <w:top w:val="none" w:sz="0" w:space="0" w:color="auto"/>
            <w:left w:val="none" w:sz="0" w:space="0" w:color="auto"/>
            <w:bottom w:val="none" w:sz="0" w:space="0" w:color="auto"/>
            <w:right w:val="none" w:sz="0" w:space="0" w:color="auto"/>
          </w:divBdr>
        </w:div>
        <w:div w:id="557471461">
          <w:marLeft w:val="0"/>
          <w:marRight w:val="0"/>
          <w:marTop w:val="0"/>
          <w:marBottom w:val="0"/>
          <w:divBdr>
            <w:top w:val="none" w:sz="0" w:space="0" w:color="auto"/>
            <w:left w:val="none" w:sz="0" w:space="0" w:color="auto"/>
            <w:bottom w:val="none" w:sz="0" w:space="0" w:color="auto"/>
            <w:right w:val="none" w:sz="0" w:space="0" w:color="auto"/>
          </w:divBdr>
        </w:div>
        <w:div w:id="699278916">
          <w:marLeft w:val="0"/>
          <w:marRight w:val="0"/>
          <w:marTop w:val="0"/>
          <w:marBottom w:val="0"/>
          <w:divBdr>
            <w:top w:val="none" w:sz="0" w:space="0" w:color="auto"/>
            <w:left w:val="none" w:sz="0" w:space="0" w:color="auto"/>
            <w:bottom w:val="none" w:sz="0" w:space="0" w:color="auto"/>
            <w:right w:val="none" w:sz="0" w:space="0" w:color="auto"/>
          </w:divBdr>
        </w:div>
        <w:div w:id="720830997">
          <w:marLeft w:val="0"/>
          <w:marRight w:val="0"/>
          <w:marTop w:val="0"/>
          <w:marBottom w:val="0"/>
          <w:divBdr>
            <w:top w:val="none" w:sz="0" w:space="0" w:color="auto"/>
            <w:left w:val="none" w:sz="0" w:space="0" w:color="auto"/>
            <w:bottom w:val="none" w:sz="0" w:space="0" w:color="auto"/>
            <w:right w:val="none" w:sz="0" w:space="0" w:color="auto"/>
          </w:divBdr>
        </w:div>
        <w:div w:id="1003315545">
          <w:marLeft w:val="0"/>
          <w:marRight w:val="0"/>
          <w:marTop w:val="0"/>
          <w:marBottom w:val="0"/>
          <w:divBdr>
            <w:top w:val="none" w:sz="0" w:space="0" w:color="auto"/>
            <w:left w:val="none" w:sz="0" w:space="0" w:color="auto"/>
            <w:bottom w:val="none" w:sz="0" w:space="0" w:color="auto"/>
            <w:right w:val="none" w:sz="0" w:space="0" w:color="auto"/>
          </w:divBdr>
        </w:div>
        <w:div w:id="1026491787">
          <w:marLeft w:val="0"/>
          <w:marRight w:val="0"/>
          <w:marTop w:val="0"/>
          <w:marBottom w:val="0"/>
          <w:divBdr>
            <w:top w:val="none" w:sz="0" w:space="0" w:color="auto"/>
            <w:left w:val="none" w:sz="0" w:space="0" w:color="auto"/>
            <w:bottom w:val="none" w:sz="0" w:space="0" w:color="auto"/>
            <w:right w:val="none" w:sz="0" w:space="0" w:color="auto"/>
          </w:divBdr>
        </w:div>
        <w:div w:id="1048408508">
          <w:marLeft w:val="0"/>
          <w:marRight w:val="0"/>
          <w:marTop w:val="0"/>
          <w:marBottom w:val="0"/>
          <w:divBdr>
            <w:top w:val="none" w:sz="0" w:space="0" w:color="auto"/>
            <w:left w:val="none" w:sz="0" w:space="0" w:color="auto"/>
            <w:bottom w:val="none" w:sz="0" w:space="0" w:color="auto"/>
            <w:right w:val="none" w:sz="0" w:space="0" w:color="auto"/>
          </w:divBdr>
        </w:div>
        <w:div w:id="1119103519">
          <w:marLeft w:val="0"/>
          <w:marRight w:val="0"/>
          <w:marTop w:val="0"/>
          <w:marBottom w:val="0"/>
          <w:divBdr>
            <w:top w:val="none" w:sz="0" w:space="0" w:color="auto"/>
            <w:left w:val="none" w:sz="0" w:space="0" w:color="auto"/>
            <w:bottom w:val="none" w:sz="0" w:space="0" w:color="auto"/>
            <w:right w:val="none" w:sz="0" w:space="0" w:color="auto"/>
          </w:divBdr>
        </w:div>
        <w:div w:id="1206866571">
          <w:marLeft w:val="0"/>
          <w:marRight w:val="0"/>
          <w:marTop w:val="0"/>
          <w:marBottom w:val="0"/>
          <w:divBdr>
            <w:top w:val="none" w:sz="0" w:space="0" w:color="auto"/>
            <w:left w:val="none" w:sz="0" w:space="0" w:color="auto"/>
            <w:bottom w:val="none" w:sz="0" w:space="0" w:color="auto"/>
            <w:right w:val="none" w:sz="0" w:space="0" w:color="auto"/>
          </w:divBdr>
        </w:div>
        <w:div w:id="1247568461">
          <w:marLeft w:val="0"/>
          <w:marRight w:val="0"/>
          <w:marTop w:val="0"/>
          <w:marBottom w:val="0"/>
          <w:divBdr>
            <w:top w:val="none" w:sz="0" w:space="0" w:color="auto"/>
            <w:left w:val="none" w:sz="0" w:space="0" w:color="auto"/>
            <w:bottom w:val="none" w:sz="0" w:space="0" w:color="auto"/>
            <w:right w:val="none" w:sz="0" w:space="0" w:color="auto"/>
          </w:divBdr>
        </w:div>
        <w:div w:id="1285767719">
          <w:marLeft w:val="0"/>
          <w:marRight w:val="0"/>
          <w:marTop w:val="0"/>
          <w:marBottom w:val="0"/>
          <w:divBdr>
            <w:top w:val="none" w:sz="0" w:space="0" w:color="auto"/>
            <w:left w:val="none" w:sz="0" w:space="0" w:color="auto"/>
            <w:bottom w:val="none" w:sz="0" w:space="0" w:color="auto"/>
            <w:right w:val="none" w:sz="0" w:space="0" w:color="auto"/>
          </w:divBdr>
        </w:div>
        <w:div w:id="1293512113">
          <w:marLeft w:val="0"/>
          <w:marRight w:val="0"/>
          <w:marTop w:val="0"/>
          <w:marBottom w:val="0"/>
          <w:divBdr>
            <w:top w:val="none" w:sz="0" w:space="0" w:color="auto"/>
            <w:left w:val="none" w:sz="0" w:space="0" w:color="auto"/>
            <w:bottom w:val="none" w:sz="0" w:space="0" w:color="auto"/>
            <w:right w:val="none" w:sz="0" w:space="0" w:color="auto"/>
          </w:divBdr>
        </w:div>
        <w:div w:id="1311594794">
          <w:marLeft w:val="0"/>
          <w:marRight w:val="0"/>
          <w:marTop w:val="0"/>
          <w:marBottom w:val="0"/>
          <w:divBdr>
            <w:top w:val="none" w:sz="0" w:space="0" w:color="auto"/>
            <w:left w:val="none" w:sz="0" w:space="0" w:color="auto"/>
            <w:bottom w:val="none" w:sz="0" w:space="0" w:color="auto"/>
            <w:right w:val="none" w:sz="0" w:space="0" w:color="auto"/>
          </w:divBdr>
        </w:div>
        <w:div w:id="1374888197">
          <w:marLeft w:val="0"/>
          <w:marRight w:val="0"/>
          <w:marTop w:val="0"/>
          <w:marBottom w:val="0"/>
          <w:divBdr>
            <w:top w:val="none" w:sz="0" w:space="0" w:color="auto"/>
            <w:left w:val="none" w:sz="0" w:space="0" w:color="auto"/>
            <w:bottom w:val="none" w:sz="0" w:space="0" w:color="auto"/>
            <w:right w:val="none" w:sz="0" w:space="0" w:color="auto"/>
          </w:divBdr>
        </w:div>
        <w:div w:id="1529952352">
          <w:marLeft w:val="0"/>
          <w:marRight w:val="0"/>
          <w:marTop w:val="0"/>
          <w:marBottom w:val="0"/>
          <w:divBdr>
            <w:top w:val="none" w:sz="0" w:space="0" w:color="auto"/>
            <w:left w:val="none" w:sz="0" w:space="0" w:color="auto"/>
            <w:bottom w:val="none" w:sz="0" w:space="0" w:color="auto"/>
            <w:right w:val="none" w:sz="0" w:space="0" w:color="auto"/>
          </w:divBdr>
        </w:div>
        <w:div w:id="1614895801">
          <w:marLeft w:val="0"/>
          <w:marRight w:val="0"/>
          <w:marTop w:val="0"/>
          <w:marBottom w:val="0"/>
          <w:divBdr>
            <w:top w:val="none" w:sz="0" w:space="0" w:color="auto"/>
            <w:left w:val="none" w:sz="0" w:space="0" w:color="auto"/>
            <w:bottom w:val="none" w:sz="0" w:space="0" w:color="auto"/>
            <w:right w:val="none" w:sz="0" w:space="0" w:color="auto"/>
          </w:divBdr>
        </w:div>
        <w:div w:id="1729184401">
          <w:marLeft w:val="0"/>
          <w:marRight w:val="0"/>
          <w:marTop w:val="0"/>
          <w:marBottom w:val="0"/>
          <w:divBdr>
            <w:top w:val="none" w:sz="0" w:space="0" w:color="auto"/>
            <w:left w:val="none" w:sz="0" w:space="0" w:color="auto"/>
            <w:bottom w:val="none" w:sz="0" w:space="0" w:color="auto"/>
            <w:right w:val="none" w:sz="0" w:space="0" w:color="auto"/>
          </w:divBdr>
        </w:div>
        <w:div w:id="1767537647">
          <w:marLeft w:val="0"/>
          <w:marRight w:val="0"/>
          <w:marTop w:val="0"/>
          <w:marBottom w:val="0"/>
          <w:divBdr>
            <w:top w:val="none" w:sz="0" w:space="0" w:color="auto"/>
            <w:left w:val="none" w:sz="0" w:space="0" w:color="auto"/>
            <w:bottom w:val="none" w:sz="0" w:space="0" w:color="auto"/>
            <w:right w:val="none" w:sz="0" w:space="0" w:color="auto"/>
          </w:divBdr>
        </w:div>
        <w:div w:id="1963655714">
          <w:marLeft w:val="0"/>
          <w:marRight w:val="0"/>
          <w:marTop w:val="0"/>
          <w:marBottom w:val="0"/>
          <w:divBdr>
            <w:top w:val="none" w:sz="0" w:space="0" w:color="auto"/>
            <w:left w:val="none" w:sz="0" w:space="0" w:color="auto"/>
            <w:bottom w:val="none" w:sz="0" w:space="0" w:color="auto"/>
            <w:right w:val="none" w:sz="0" w:space="0" w:color="auto"/>
          </w:divBdr>
        </w:div>
      </w:divsChild>
    </w:div>
    <w:div w:id="845941516">
      <w:bodyDiv w:val="1"/>
      <w:marLeft w:val="0"/>
      <w:marRight w:val="0"/>
      <w:marTop w:val="0"/>
      <w:marBottom w:val="0"/>
      <w:divBdr>
        <w:top w:val="none" w:sz="0" w:space="0" w:color="auto"/>
        <w:left w:val="none" w:sz="0" w:space="0" w:color="auto"/>
        <w:bottom w:val="none" w:sz="0" w:space="0" w:color="auto"/>
        <w:right w:val="none" w:sz="0" w:space="0" w:color="auto"/>
      </w:divBdr>
    </w:div>
    <w:div w:id="1511679264">
      <w:bodyDiv w:val="1"/>
      <w:marLeft w:val="0"/>
      <w:marRight w:val="0"/>
      <w:marTop w:val="0"/>
      <w:marBottom w:val="0"/>
      <w:divBdr>
        <w:top w:val="none" w:sz="0" w:space="0" w:color="auto"/>
        <w:left w:val="none" w:sz="0" w:space="0" w:color="auto"/>
        <w:bottom w:val="none" w:sz="0" w:space="0" w:color="auto"/>
        <w:right w:val="none" w:sz="0" w:space="0" w:color="auto"/>
      </w:divBdr>
    </w:div>
    <w:div w:id="1513182361">
      <w:bodyDiv w:val="1"/>
      <w:marLeft w:val="0"/>
      <w:marRight w:val="0"/>
      <w:marTop w:val="0"/>
      <w:marBottom w:val="0"/>
      <w:divBdr>
        <w:top w:val="none" w:sz="0" w:space="0" w:color="auto"/>
        <w:left w:val="none" w:sz="0" w:space="0" w:color="auto"/>
        <w:bottom w:val="none" w:sz="0" w:space="0" w:color="auto"/>
        <w:right w:val="none" w:sz="0" w:space="0" w:color="auto"/>
      </w:divBdr>
      <w:divsChild>
        <w:div w:id="82993605">
          <w:marLeft w:val="0"/>
          <w:marRight w:val="0"/>
          <w:marTop w:val="0"/>
          <w:marBottom w:val="0"/>
          <w:divBdr>
            <w:top w:val="none" w:sz="0" w:space="0" w:color="auto"/>
            <w:left w:val="none" w:sz="0" w:space="0" w:color="auto"/>
            <w:bottom w:val="none" w:sz="0" w:space="0" w:color="auto"/>
            <w:right w:val="none" w:sz="0" w:space="0" w:color="auto"/>
          </w:divBdr>
        </w:div>
        <w:div w:id="92670459">
          <w:marLeft w:val="0"/>
          <w:marRight w:val="0"/>
          <w:marTop w:val="0"/>
          <w:marBottom w:val="0"/>
          <w:divBdr>
            <w:top w:val="none" w:sz="0" w:space="0" w:color="auto"/>
            <w:left w:val="none" w:sz="0" w:space="0" w:color="auto"/>
            <w:bottom w:val="none" w:sz="0" w:space="0" w:color="auto"/>
            <w:right w:val="none" w:sz="0" w:space="0" w:color="auto"/>
          </w:divBdr>
        </w:div>
        <w:div w:id="195388431">
          <w:marLeft w:val="0"/>
          <w:marRight w:val="0"/>
          <w:marTop w:val="0"/>
          <w:marBottom w:val="0"/>
          <w:divBdr>
            <w:top w:val="none" w:sz="0" w:space="0" w:color="auto"/>
            <w:left w:val="none" w:sz="0" w:space="0" w:color="auto"/>
            <w:bottom w:val="none" w:sz="0" w:space="0" w:color="auto"/>
            <w:right w:val="none" w:sz="0" w:space="0" w:color="auto"/>
          </w:divBdr>
        </w:div>
        <w:div w:id="492993358">
          <w:marLeft w:val="0"/>
          <w:marRight w:val="0"/>
          <w:marTop w:val="0"/>
          <w:marBottom w:val="0"/>
          <w:divBdr>
            <w:top w:val="none" w:sz="0" w:space="0" w:color="auto"/>
            <w:left w:val="none" w:sz="0" w:space="0" w:color="auto"/>
            <w:bottom w:val="none" w:sz="0" w:space="0" w:color="auto"/>
            <w:right w:val="none" w:sz="0" w:space="0" w:color="auto"/>
          </w:divBdr>
        </w:div>
        <w:div w:id="590940207">
          <w:marLeft w:val="0"/>
          <w:marRight w:val="0"/>
          <w:marTop w:val="0"/>
          <w:marBottom w:val="0"/>
          <w:divBdr>
            <w:top w:val="none" w:sz="0" w:space="0" w:color="auto"/>
            <w:left w:val="none" w:sz="0" w:space="0" w:color="auto"/>
            <w:bottom w:val="none" w:sz="0" w:space="0" w:color="auto"/>
            <w:right w:val="none" w:sz="0" w:space="0" w:color="auto"/>
          </w:divBdr>
        </w:div>
        <w:div w:id="614294726">
          <w:marLeft w:val="0"/>
          <w:marRight w:val="0"/>
          <w:marTop w:val="0"/>
          <w:marBottom w:val="0"/>
          <w:divBdr>
            <w:top w:val="none" w:sz="0" w:space="0" w:color="auto"/>
            <w:left w:val="none" w:sz="0" w:space="0" w:color="auto"/>
            <w:bottom w:val="none" w:sz="0" w:space="0" w:color="auto"/>
            <w:right w:val="none" w:sz="0" w:space="0" w:color="auto"/>
          </w:divBdr>
        </w:div>
        <w:div w:id="742459214">
          <w:marLeft w:val="0"/>
          <w:marRight w:val="0"/>
          <w:marTop w:val="0"/>
          <w:marBottom w:val="0"/>
          <w:divBdr>
            <w:top w:val="none" w:sz="0" w:space="0" w:color="auto"/>
            <w:left w:val="none" w:sz="0" w:space="0" w:color="auto"/>
            <w:bottom w:val="none" w:sz="0" w:space="0" w:color="auto"/>
            <w:right w:val="none" w:sz="0" w:space="0" w:color="auto"/>
          </w:divBdr>
        </w:div>
        <w:div w:id="797796348">
          <w:marLeft w:val="0"/>
          <w:marRight w:val="0"/>
          <w:marTop w:val="0"/>
          <w:marBottom w:val="0"/>
          <w:divBdr>
            <w:top w:val="none" w:sz="0" w:space="0" w:color="auto"/>
            <w:left w:val="none" w:sz="0" w:space="0" w:color="auto"/>
            <w:bottom w:val="none" w:sz="0" w:space="0" w:color="auto"/>
            <w:right w:val="none" w:sz="0" w:space="0" w:color="auto"/>
          </w:divBdr>
        </w:div>
        <w:div w:id="1141073731">
          <w:marLeft w:val="0"/>
          <w:marRight w:val="0"/>
          <w:marTop w:val="0"/>
          <w:marBottom w:val="0"/>
          <w:divBdr>
            <w:top w:val="none" w:sz="0" w:space="0" w:color="auto"/>
            <w:left w:val="none" w:sz="0" w:space="0" w:color="auto"/>
            <w:bottom w:val="none" w:sz="0" w:space="0" w:color="auto"/>
            <w:right w:val="none" w:sz="0" w:space="0" w:color="auto"/>
          </w:divBdr>
        </w:div>
        <w:div w:id="1148013241">
          <w:marLeft w:val="0"/>
          <w:marRight w:val="0"/>
          <w:marTop w:val="0"/>
          <w:marBottom w:val="0"/>
          <w:divBdr>
            <w:top w:val="none" w:sz="0" w:space="0" w:color="auto"/>
            <w:left w:val="none" w:sz="0" w:space="0" w:color="auto"/>
            <w:bottom w:val="none" w:sz="0" w:space="0" w:color="auto"/>
            <w:right w:val="none" w:sz="0" w:space="0" w:color="auto"/>
          </w:divBdr>
        </w:div>
        <w:div w:id="1248929712">
          <w:marLeft w:val="0"/>
          <w:marRight w:val="0"/>
          <w:marTop w:val="0"/>
          <w:marBottom w:val="0"/>
          <w:divBdr>
            <w:top w:val="none" w:sz="0" w:space="0" w:color="auto"/>
            <w:left w:val="none" w:sz="0" w:space="0" w:color="auto"/>
            <w:bottom w:val="none" w:sz="0" w:space="0" w:color="auto"/>
            <w:right w:val="none" w:sz="0" w:space="0" w:color="auto"/>
          </w:divBdr>
        </w:div>
        <w:div w:id="1447046587">
          <w:marLeft w:val="0"/>
          <w:marRight w:val="0"/>
          <w:marTop w:val="0"/>
          <w:marBottom w:val="0"/>
          <w:divBdr>
            <w:top w:val="none" w:sz="0" w:space="0" w:color="auto"/>
            <w:left w:val="none" w:sz="0" w:space="0" w:color="auto"/>
            <w:bottom w:val="none" w:sz="0" w:space="0" w:color="auto"/>
            <w:right w:val="none" w:sz="0" w:space="0" w:color="auto"/>
          </w:divBdr>
        </w:div>
        <w:div w:id="1449155180">
          <w:marLeft w:val="0"/>
          <w:marRight w:val="0"/>
          <w:marTop w:val="0"/>
          <w:marBottom w:val="0"/>
          <w:divBdr>
            <w:top w:val="none" w:sz="0" w:space="0" w:color="auto"/>
            <w:left w:val="none" w:sz="0" w:space="0" w:color="auto"/>
            <w:bottom w:val="none" w:sz="0" w:space="0" w:color="auto"/>
            <w:right w:val="none" w:sz="0" w:space="0" w:color="auto"/>
          </w:divBdr>
        </w:div>
        <w:div w:id="1649089366">
          <w:marLeft w:val="0"/>
          <w:marRight w:val="0"/>
          <w:marTop w:val="0"/>
          <w:marBottom w:val="0"/>
          <w:divBdr>
            <w:top w:val="none" w:sz="0" w:space="0" w:color="auto"/>
            <w:left w:val="none" w:sz="0" w:space="0" w:color="auto"/>
            <w:bottom w:val="none" w:sz="0" w:space="0" w:color="auto"/>
            <w:right w:val="none" w:sz="0" w:space="0" w:color="auto"/>
          </w:divBdr>
        </w:div>
        <w:div w:id="1695182014">
          <w:marLeft w:val="0"/>
          <w:marRight w:val="0"/>
          <w:marTop w:val="0"/>
          <w:marBottom w:val="0"/>
          <w:divBdr>
            <w:top w:val="none" w:sz="0" w:space="0" w:color="auto"/>
            <w:left w:val="none" w:sz="0" w:space="0" w:color="auto"/>
            <w:bottom w:val="none" w:sz="0" w:space="0" w:color="auto"/>
            <w:right w:val="none" w:sz="0" w:space="0" w:color="auto"/>
          </w:divBdr>
        </w:div>
        <w:div w:id="1791898670">
          <w:marLeft w:val="0"/>
          <w:marRight w:val="0"/>
          <w:marTop w:val="0"/>
          <w:marBottom w:val="0"/>
          <w:divBdr>
            <w:top w:val="none" w:sz="0" w:space="0" w:color="auto"/>
            <w:left w:val="none" w:sz="0" w:space="0" w:color="auto"/>
            <w:bottom w:val="none" w:sz="0" w:space="0" w:color="auto"/>
            <w:right w:val="none" w:sz="0" w:space="0" w:color="auto"/>
          </w:divBdr>
        </w:div>
        <w:div w:id="1847669686">
          <w:marLeft w:val="0"/>
          <w:marRight w:val="0"/>
          <w:marTop w:val="0"/>
          <w:marBottom w:val="0"/>
          <w:divBdr>
            <w:top w:val="none" w:sz="0" w:space="0" w:color="auto"/>
            <w:left w:val="none" w:sz="0" w:space="0" w:color="auto"/>
            <w:bottom w:val="none" w:sz="0" w:space="0" w:color="auto"/>
            <w:right w:val="none" w:sz="0" w:space="0" w:color="auto"/>
          </w:divBdr>
        </w:div>
        <w:div w:id="2060661967">
          <w:marLeft w:val="0"/>
          <w:marRight w:val="0"/>
          <w:marTop w:val="0"/>
          <w:marBottom w:val="0"/>
          <w:divBdr>
            <w:top w:val="none" w:sz="0" w:space="0" w:color="auto"/>
            <w:left w:val="none" w:sz="0" w:space="0" w:color="auto"/>
            <w:bottom w:val="none" w:sz="0" w:space="0" w:color="auto"/>
            <w:right w:val="none" w:sz="0" w:space="0" w:color="auto"/>
          </w:divBdr>
        </w:div>
        <w:div w:id="2095931792">
          <w:marLeft w:val="0"/>
          <w:marRight w:val="0"/>
          <w:marTop w:val="0"/>
          <w:marBottom w:val="0"/>
          <w:divBdr>
            <w:top w:val="none" w:sz="0" w:space="0" w:color="auto"/>
            <w:left w:val="none" w:sz="0" w:space="0" w:color="auto"/>
            <w:bottom w:val="none" w:sz="0" w:space="0" w:color="auto"/>
            <w:right w:val="none" w:sz="0" w:space="0" w:color="auto"/>
          </w:divBdr>
        </w:div>
        <w:div w:id="2108768801">
          <w:marLeft w:val="0"/>
          <w:marRight w:val="0"/>
          <w:marTop w:val="0"/>
          <w:marBottom w:val="0"/>
          <w:divBdr>
            <w:top w:val="none" w:sz="0" w:space="0" w:color="auto"/>
            <w:left w:val="none" w:sz="0" w:space="0" w:color="auto"/>
            <w:bottom w:val="none" w:sz="0" w:space="0" w:color="auto"/>
            <w:right w:val="none" w:sz="0" w:space="0" w:color="auto"/>
          </w:divBdr>
        </w:div>
        <w:div w:id="2112311798">
          <w:marLeft w:val="0"/>
          <w:marRight w:val="0"/>
          <w:marTop w:val="0"/>
          <w:marBottom w:val="0"/>
          <w:divBdr>
            <w:top w:val="none" w:sz="0" w:space="0" w:color="auto"/>
            <w:left w:val="none" w:sz="0" w:space="0" w:color="auto"/>
            <w:bottom w:val="none" w:sz="0" w:space="0" w:color="auto"/>
            <w:right w:val="none" w:sz="0" w:space="0" w:color="auto"/>
          </w:divBdr>
        </w:div>
        <w:div w:id="2140151339">
          <w:marLeft w:val="0"/>
          <w:marRight w:val="0"/>
          <w:marTop w:val="0"/>
          <w:marBottom w:val="0"/>
          <w:divBdr>
            <w:top w:val="none" w:sz="0" w:space="0" w:color="auto"/>
            <w:left w:val="none" w:sz="0" w:space="0" w:color="auto"/>
            <w:bottom w:val="none" w:sz="0" w:space="0" w:color="auto"/>
            <w:right w:val="none" w:sz="0" w:space="0" w:color="auto"/>
          </w:divBdr>
        </w:div>
      </w:divsChild>
    </w:div>
    <w:div w:id="182022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attc.org/HomeENG.htm"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coast.fisheries.noaa.gov/fisheries/migratory_species/highly_migratory_species_logbook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4B5EE-A2B7-4EBE-8774-01BD4EA4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4015</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26848</CharactersWithSpaces>
  <SharedDoc>false</SharedDoc>
  <HLinks>
    <vt:vector size="36" baseType="variant">
      <vt:variant>
        <vt:i4>5505100</vt:i4>
      </vt:variant>
      <vt:variant>
        <vt:i4>19</vt:i4>
      </vt:variant>
      <vt:variant>
        <vt:i4>0</vt:i4>
      </vt:variant>
      <vt:variant>
        <vt:i4>5</vt:i4>
      </vt:variant>
      <vt:variant>
        <vt:lpwstr>http://www.gpo.gov/fdsys/pkg/CFR-2014-title5-vol3/pdf/CFR-2014-title5-vol3-sec1320-8.pdf</vt:lpwstr>
      </vt:variant>
      <vt:variant>
        <vt:lpwstr/>
      </vt:variant>
      <vt:variant>
        <vt:i4>5570636</vt:i4>
      </vt:variant>
      <vt:variant>
        <vt:i4>16</vt:i4>
      </vt:variant>
      <vt:variant>
        <vt:i4>0</vt:i4>
      </vt:variant>
      <vt:variant>
        <vt:i4>5</vt:i4>
      </vt:variant>
      <vt:variant>
        <vt:lpwstr>http://www.gpo.gov/fdsys/pkg/CFR-2014-title5-vol3/pdf/CFR-2014-title5-vol3-sec1320-9.pdf</vt:lpwstr>
      </vt:variant>
      <vt:variant>
        <vt:lpwstr/>
      </vt:variant>
      <vt:variant>
        <vt:i4>4194316</vt:i4>
      </vt:variant>
      <vt:variant>
        <vt:i4>13</vt:i4>
      </vt:variant>
      <vt:variant>
        <vt:i4>0</vt:i4>
      </vt:variant>
      <vt:variant>
        <vt:i4>5</vt:i4>
      </vt:variant>
      <vt:variant>
        <vt:lpwstr>http://www.westcoast.fisheries.noaa.gov/fisheries/migratory_species/highly_migratory_species_logbooks.html</vt:lpwstr>
      </vt:variant>
      <vt:variant>
        <vt:lpwstr/>
      </vt:variant>
      <vt:variant>
        <vt:i4>852034</vt:i4>
      </vt:variant>
      <vt:variant>
        <vt:i4>8</vt:i4>
      </vt:variant>
      <vt:variant>
        <vt:i4>0</vt:i4>
      </vt:variant>
      <vt:variant>
        <vt:i4>5</vt:i4>
      </vt:variant>
      <vt:variant>
        <vt:lpwstr>http://www.fws.gov/informationquality/section515.html</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6225928</vt:i4>
      </vt:variant>
      <vt:variant>
        <vt:i4>0</vt:i4>
      </vt:variant>
      <vt:variant>
        <vt:i4>0</vt:i4>
      </vt:variant>
      <vt:variant>
        <vt:i4>5</vt:i4>
      </vt:variant>
      <vt:variant>
        <vt:lpwstr>http://www.iattc.org/HomeENG.htm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Janet.Peery</cp:lastModifiedBy>
  <cp:revision>2</cp:revision>
  <cp:lastPrinted>2017-02-21T20:52:00Z</cp:lastPrinted>
  <dcterms:created xsi:type="dcterms:W3CDTF">2020-06-29T19:09:00Z</dcterms:created>
  <dcterms:modified xsi:type="dcterms:W3CDTF">2020-06-29T19:09:00Z</dcterms:modified>
</cp:coreProperties>
</file>