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0FCD" w:rsidR="00533918" w:rsidRDefault="00533918" w14:paraId="115E4E6F" w14:textId="77777777">
      <w:pPr>
        <w:pStyle w:val="ColorfulList-Accent11"/>
        <w:ind w:left="0"/>
        <w:jc w:val="center"/>
        <w:outlineLvl w:val="0"/>
        <w:rPr>
          <w:b/>
          <w:bCs/>
          <w:sz w:val="28"/>
          <w:szCs w:val="28"/>
        </w:rPr>
      </w:pPr>
      <w:r w:rsidRPr="008A43F9">
        <w:rPr>
          <w:b/>
          <w:bCs/>
          <w:sz w:val="28"/>
          <w:szCs w:val="28"/>
        </w:rPr>
        <w:t>Supporting Statement</w:t>
      </w:r>
      <w:r w:rsidRPr="008A43F9" w:rsidR="00A12E52">
        <w:rPr>
          <w:b/>
          <w:bCs/>
          <w:sz w:val="28"/>
          <w:szCs w:val="28"/>
        </w:rPr>
        <w:t xml:space="preserve"> </w:t>
      </w:r>
    </w:p>
    <w:p w:rsidRPr="00A12E52" w:rsidR="00A12E52" w:rsidRDefault="00A12E52" w14:paraId="69F3A3B5" w14:textId="77777777">
      <w:pPr>
        <w:pStyle w:val="ColorfulList-Accent11"/>
        <w:ind w:left="0"/>
        <w:jc w:val="center"/>
        <w:outlineLvl w:val="0"/>
        <w:rPr>
          <w:b/>
          <w:sz w:val="28"/>
          <w:szCs w:val="28"/>
        </w:rPr>
      </w:pPr>
    </w:p>
    <w:p w:rsidRPr="00A50FCD" w:rsidR="00533918" w:rsidRDefault="00533918" w14:paraId="42DC371D" w14:textId="77777777">
      <w:pPr>
        <w:pStyle w:val="ColorfulList-Accent11"/>
        <w:ind w:left="0"/>
        <w:jc w:val="center"/>
        <w:outlineLvl w:val="0"/>
        <w:rPr>
          <w:b/>
          <w:bCs/>
          <w:sz w:val="28"/>
          <w:szCs w:val="28"/>
        </w:rPr>
      </w:pPr>
      <w:r w:rsidRPr="008A43F9">
        <w:rPr>
          <w:b/>
          <w:bCs/>
          <w:sz w:val="28"/>
          <w:szCs w:val="28"/>
        </w:rPr>
        <w:t>Health Resources and Services Administration</w:t>
      </w:r>
    </w:p>
    <w:p w:rsidRPr="00D41F62" w:rsidR="00A12E52" w:rsidRDefault="002A4EDC" w14:paraId="17ECE8B5" w14:textId="477B981D">
      <w:pPr>
        <w:spacing w:after="60"/>
        <w:jc w:val="center"/>
        <w:rPr>
          <w:b/>
          <w:smallCaps/>
          <w:sz w:val="28"/>
          <w:szCs w:val="28"/>
        </w:rPr>
      </w:pPr>
      <w:r w:rsidRPr="00D41F62">
        <w:rPr>
          <w:b/>
          <w:bCs/>
          <w:sz w:val="28"/>
          <w:szCs w:val="28"/>
        </w:rPr>
        <w:t xml:space="preserve">Ryan White HIV/AIDS Program Allocation &amp; Expenditure Forms </w:t>
      </w:r>
    </w:p>
    <w:p w:rsidRPr="00A12E52" w:rsidR="00A12E52" w:rsidRDefault="00A12E52" w14:paraId="76A83035" w14:textId="77777777">
      <w:pPr>
        <w:spacing w:after="60"/>
        <w:jc w:val="center"/>
        <w:rPr>
          <w:b/>
          <w:sz w:val="28"/>
          <w:szCs w:val="28"/>
        </w:rPr>
      </w:pPr>
    </w:p>
    <w:p w:rsidRPr="002A4EDC" w:rsidR="002A4EDC" w:rsidP="002A4EDC" w:rsidRDefault="002A4EDC" w14:paraId="10F7495A" w14:textId="36C809B7">
      <w:pPr>
        <w:jc w:val="center"/>
        <w:rPr>
          <w:b/>
          <w:sz w:val="28"/>
          <w:szCs w:val="28"/>
        </w:rPr>
      </w:pPr>
      <w:bookmarkStart w:name="_Toc209407051" w:id="0"/>
      <w:r w:rsidRPr="002A4EDC">
        <w:rPr>
          <w:b/>
          <w:sz w:val="28"/>
          <w:szCs w:val="28"/>
        </w:rPr>
        <w:t>OMB Control No</w:t>
      </w:r>
      <w:r w:rsidR="00097FC8">
        <w:rPr>
          <w:b/>
          <w:sz w:val="28"/>
          <w:szCs w:val="28"/>
        </w:rPr>
        <w:t xml:space="preserve">. </w:t>
      </w:r>
      <w:r w:rsidRPr="002A4EDC">
        <w:rPr>
          <w:b/>
          <w:sz w:val="28"/>
          <w:szCs w:val="28"/>
        </w:rPr>
        <w:t xml:space="preserve"> 0915-0318 - Revision</w:t>
      </w:r>
    </w:p>
    <w:p w:rsidR="00A12E52" w:rsidP="00A12E52" w:rsidRDefault="00A12E52" w14:paraId="30F54EBC" w14:textId="77777777">
      <w:pPr>
        <w:spacing w:after="60"/>
        <w:jc w:val="center"/>
        <w:rPr>
          <w:b/>
          <w:sz w:val="28"/>
          <w:szCs w:val="28"/>
        </w:rPr>
      </w:pPr>
    </w:p>
    <w:p w:rsidRPr="00A50FCD" w:rsidR="00A12E52" w:rsidP="00A50FCD" w:rsidRDefault="00A12E52" w14:paraId="4DDA5445" w14:textId="77777777">
      <w:pPr>
        <w:spacing w:after="60"/>
        <w:rPr>
          <w:b/>
          <w:bCs/>
          <w:sz w:val="24"/>
          <w:szCs w:val="24"/>
        </w:rPr>
      </w:pPr>
      <w:r w:rsidRPr="008A43F9">
        <w:rPr>
          <w:b/>
          <w:bCs/>
          <w:sz w:val="24"/>
          <w:szCs w:val="24"/>
        </w:rPr>
        <w:t xml:space="preserve">Terms of Clearance: </w:t>
      </w:r>
      <w:r w:rsidRPr="00A12E52">
        <w:rPr>
          <w:sz w:val="24"/>
          <w:szCs w:val="24"/>
        </w:rPr>
        <w:t>None</w:t>
      </w:r>
    </w:p>
    <w:p w:rsidR="00A12E52" w:rsidP="006A0E1F" w:rsidRDefault="006A0E1F" w14:paraId="4BDFA9F7" w14:textId="77777777">
      <w:pPr>
        <w:pStyle w:val="ColorfulList-Accent11"/>
        <w:tabs>
          <w:tab w:val="left" w:pos="5940"/>
        </w:tabs>
        <w:ind w:left="0"/>
        <w:outlineLvl w:val="0"/>
        <w:rPr>
          <w:b/>
          <w:smallCaps/>
          <w:sz w:val="28"/>
          <w:szCs w:val="28"/>
        </w:rPr>
      </w:pPr>
      <w:r>
        <w:rPr>
          <w:b/>
          <w:smallCaps/>
          <w:sz w:val="28"/>
          <w:szCs w:val="28"/>
        </w:rPr>
        <w:tab/>
      </w:r>
    </w:p>
    <w:p w:rsidRPr="00A50FCD" w:rsidR="00533918" w:rsidRDefault="00533918" w14:paraId="5E884CD5" w14:textId="77777777">
      <w:pPr>
        <w:pStyle w:val="ColorfulList-Accent11"/>
        <w:numPr>
          <w:ilvl w:val="0"/>
          <w:numId w:val="18"/>
        </w:numPr>
        <w:outlineLvl w:val="0"/>
        <w:rPr>
          <w:rFonts w:ascii="Times New Roman Bold" w:hAnsi="Times New Roman Bold"/>
          <w:b/>
          <w:bCs/>
          <w:sz w:val="24"/>
          <w:szCs w:val="24"/>
        </w:rPr>
      </w:pPr>
      <w:r w:rsidRPr="008A43F9">
        <w:rPr>
          <w:rFonts w:ascii="Times New Roman Bold" w:hAnsi="Times New Roman Bold"/>
          <w:b/>
          <w:bCs/>
          <w:sz w:val="24"/>
          <w:szCs w:val="24"/>
        </w:rPr>
        <w:t>Justification</w:t>
      </w:r>
      <w:bookmarkEnd w:id="0"/>
    </w:p>
    <w:p w:rsidR="00533918" w:rsidRDefault="00533918" w14:paraId="2DF87AFF" w14:textId="77777777">
      <w:pPr>
        <w:rPr>
          <w:sz w:val="24"/>
          <w:szCs w:val="24"/>
        </w:rPr>
      </w:pPr>
    </w:p>
    <w:p w:rsidR="00533918" w:rsidRDefault="00533918" w14:paraId="30934687" w14:textId="77777777">
      <w:pPr>
        <w:rPr>
          <w:sz w:val="24"/>
          <w:szCs w:val="24"/>
        </w:rPr>
      </w:pPr>
    </w:p>
    <w:p w:rsidRPr="00A50FCD" w:rsidR="00533918" w:rsidRDefault="00533918" w14:paraId="1D05843C" w14:textId="58464354">
      <w:pPr>
        <w:pStyle w:val="ColorfulList-Accent11"/>
        <w:tabs>
          <w:tab w:val="left" w:pos="360"/>
        </w:tabs>
        <w:ind w:left="0"/>
        <w:outlineLvl w:val="1"/>
        <w:rPr>
          <w:b/>
          <w:bCs/>
          <w:sz w:val="24"/>
          <w:szCs w:val="24"/>
          <w:u w:val="single"/>
        </w:rPr>
      </w:pPr>
      <w:bookmarkStart w:name="_Toc209407052" w:id="1"/>
      <w:r w:rsidRPr="008A43F9">
        <w:rPr>
          <w:b/>
          <w:bCs/>
          <w:sz w:val="24"/>
          <w:szCs w:val="24"/>
        </w:rPr>
        <w:t>1</w:t>
      </w:r>
      <w:r w:rsidR="00097FC8">
        <w:rPr>
          <w:b/>
          <w:bCs/>
          <w:sz w:val="24"/>
          <w:szCs w:val="24"/>
        </w:rPr>
        <w:t xml:space="preserve">. </w:t>
      </w:r>
      <w:r w:rsidRPr="008A43F9">
        <w:rPr>
          <w:b/>
          <w:bCs/>
          <w:sz w:val="24"/>
          <w:szCs w:val="24"/>
        </w:rPr>
        <w:t xml:space="preserve"> </w:t>
      </w:r>
      <w:r w:rsidR="00A12E52">
        <w:rPr>
          <w:b/>
          <w:sz w:val="24"/>
        </w:rPr>
        <w:tab/>
      </w:r>
      <w:r w:rsidRPr="008A43F9">
        <w:rPr>
          <w:b/>
          <w:bCs/>
          <w:sz w:val="24"/>
          <w:szCs w:val="24"/>
          <w:u w:val="single"/>
        </w:rPr>
        <w:t xml:space="preserve">Circumstances </w:t>
      </w:r>
      <w:r w:rsidRPr="008A43F9" w:rsidR="00A12E52">
        <w:rPr>
          <w:b/>
          <w:bCs/>
          <w:sz w:val="24"/>
          <w:szCs w:val="24"/>
          <w:u w:val="single"/>
        </w:rPr>
        <w:t xml:space="preserve">Making the Collection of </w:t>
      </w:r>
      <w:r w:rsidRPr="00863839">
        <w:rPr>
          <w:b/>
          <w:bCs/>
          <w:sz w:val="24"/>
          <w:szCs w:val="24"/>
          <w:u w:val="single"/>
        </w:rPr>
        <w:t xml:space="preserve">Information </w:t>
      </w:r>
      <w:bookmarkEnd w:id="1"/>
      <w:r w:rsidRPr="00863839" w:rsidR="00A12E52">
        <w:rPr>
          <w:b/>
          <w:bCs/>
          <w:sz w:val="24"/>
          <w:szCs w:val="24"/>
          <w:u w:val="single"/>
        </w:rPr>
        <w:t>Necessary</w:t>
      </w:r>
    </w:p>
    <w:p w:rsidR="00533918" w:rsidRDefault="00533918" w14:paraId="77AEA771" w14:textId="77777777">
      <w:pPr>
        <w:rPr>
          <w:sz w:val="24"/>
          <w:szCs w:val="24"/>
        </w:rPr>
      </w:pPr>
    </w:p>
    <w:p w:rsidRPr="00D41F62" w:rsidR="000C2ACD" w:rsidP="009E3F19" w:rsidRDefault="00533918" w14:paraId="48481BD3" w14:textId="4E48AEBB">
      <w:pPr>
        <w:pStyle w:val="BodyText2"/>
        <w:rPr>
          <w:rStyle w:val="BodyTextFi"/>
        </w:rPr>
      </w:pPr>
      <w:r w:rsidRPr="003D6BAE">
        <w:rPr>
          <w:rStyle w:val="BodyTextFi"/>
        </w:rPr>
        <w:t xml:space="preserve">The Health Resources and Services Administration (HRSA) is requesting approval from the Office of Management and Budget (OMB) for </w:t>
      </w:r>
      <w:r w:rsidR="003D2616">
        <w:rPr>
          <w:rStyle w:val="BodyTextFi"/>
        </w:rPr>
        <w:t>a</w:t>
      </w:r>
      <w:r w:rsidR="00301AE9">
        <w:rPr>
          <w:rStyle w:val="BodyTextFi"/>
        </w:rPr>
        <w:t xml:space="preserve"> </w:t>
      </w:r>
      <w:r w:rsidR="002A4EDC">
        <w:rPr>
          <w:rStyle w:val="BodyTextFi"/>
        </w:rPr>
        <w:t xml:space="preserve">revision </w:t>
      </w:r>
      <w:r w:rsidR="00301AE9">
        <w:rPr>
          <w:rStyle w:val="BodyTextFi"/>
        </w:rPr>
        <w:t xml:space="preserve">of the existing </w:t>
      </w:r>
      <w:r w:rsidRPr="007F237B" w:rsidR="002A4EDC">
        <w:rPr>
          <w:rStyle w:val="BodyTextFi"/>
        </w:rPr>
        <w:t xml:space="preserve">Ryan White </w:t>
      </w:r>
      <w:r w:rsidR="002A4EDC">
        <w:rPr>
          <w:rStyle w:val="BodyTextFi"/>
        </w:rPr>
        <w:t>HIV/AIDS Program</w:t>
      </w:r>
      <w:r w:rsidRPr="007F237B" w:rsidR="002A4EDC">
        <w:rPr>
          <w:rStyle w:val="BodyTextFi"/>
        </w:rPr>
        <w:t xml:space="preserve"> </w:t>
      </w:r>
      <w:r w:rsidR="002A4EDC">
        <w:rPr>
          <w:rStyle w:val="BodyTextFi"/>
        </w:rPr>
        <w:t>Allocation and Expenditure Forms (A&amp;E Forms)</w:t>
      </w:r>
      <w:r w:rsidR="00097FC8">
        <w:rPr>
          <w:rStyle w:val="BodyTextFi"/>
        </w:rPr>
        <w:t xml:space="preserve">.  </w:t>
      </w:r>
      <w:r w:rsidRPr="003D6BAE">
        <w:rPr>
          <w:rStyle w:val="BodyTextFi"/>
        </w:rPr>
        <w:t xml:space="preserve">The </w:t>
      </w:r>
      <w:r w:rsidR="002A4EDC">
        <w:rPr>
          <w:rStyle w:val="BodyTextFi"/>
        </w:rPr>
        <w:t>A&amp;E Forms</w:t>
      </w:r>
      <w:r w:rsidR="002B2029">
        <w:rPr>
          <w:rStyle w:val="BodyTextFi"/>
        </w:rPr>
        <w:t xml:space="preserve"> information collection request</w:t>
      </w:r>
      <w:r w:rsidRPr="003D6BAE" w:rsidR="003D6BAE">
        <w:rPr>
          <w:rStyle w:val="BodyTextFi"/>
        </w:rPr>
        <w:t xml:space="preserve">, </w:t>
      </w:r>
      <w:r w:rsidRPr="003D6BAE" w:rsidR="00EE56F5">
        <w:rPr>
          <w:rStyle w:val="BodyTextFi"/>
        </w:rPr>
        <w:t xml:space="preserve">which expires </w:t>
      </w:r>
      <w:r w:rsidR="0082308C">
        <w:rPr>
          <w:rStyle w:val="BodyTextFi"/>
        </w:rPr>
        <w:t>Ju</w:t>
      </w:r>
      <w:r w:rsidR="002A4EDC">
        <w:rPr>
          <w:rStyle w:val="BodyTextFi"/>
        </w:rPr>
        <w:t>ly</w:t>
      </w:r>
      <w:r w:rsidRPr="003D6BAE" w:rsidR="00077629">
        <w:rPr>
          <w:rStyle w:val="BodyTextFi"/>
        </w:rPr>
        <w:t xml:space="preserve"> 3</w:t>
      </w:r>
      <w:r w:rsidR="00EF0CA8">
        <w:rPr>
          <w:rStyle w:val="BodyTextFi"/>
        </w:rPr>
        <w:t>1</w:t>
      </w:r>
      <w:r w:rsidRPr="003D6BAE" w:rsidR="00077629">
        <w:rPr>
          <w:rStyle w:val="BodyTextFi"/>
        </w:rPr>
        <w:t>, 20</w:t>
      </w:r>
      <w:r w:rsidR="00EF0CA8">
        <w:rPr>
          <w:rStyle w:val="BodyTextFi"/>
        </w:rPr>
        <w:t>20</w:t>
      </w:r>
      <w:r w:rsidRPr="003D6BAE" w:rsidR="00EE56F5">
        <w:rPr>
          <w:rStyle w:val="BodyTextFi"/>
        </w:rPr>
        <w:t xml:space="preserve">, </w:t>
      </w:r>
      <w:r w:rsidRPr="003D6BAE" w:rsidR="0016317F">
        <w:rPr>
          <w:rStyle w:val="BodyTextFi"/>
        </w:rPr>
        <w:t>is currently</w:t>
      </w:r>
      <w:r w:rsidRPr="003D6BAE">
        <w:rPr>
          <w:rStyle w:val="BodyTextFi"/>
        </w:rPr>
        <w:t xml:space="preserve"> used to collect </w:t>
      </w:r>
      <w:r w:rsidR="002A4EDC">
        <w:rPr>
          <w:rStyle w:val="BodyTextFi"/>
        </w:rPr>
        <w:t xml:space="preserve">financial </w:t>
      </w:r>
      <w:r w:rsidRPr="003D6BAE">
        <w:rPr>
          <w:rStyle w:val="BodyTextFi"/>
        </w:rPr>
        <w:t xml:space="preserve">information from </w:t>
      </w:r>
      <w:r w:rsidR="00F504C9">
        <w:rPr>
          <w:rStyle w:val="BodyTextFi"/>
        </w:rPr>
        <w:t>grant recipients</w:t>
      </w:r>
      <w:r w:rsidR="007E4461">
        <w:rPr>
          <w:rStyle w:val="BodyTextFi"/>
        </w:rPr>
        <w:t xml:space="preserve"> </w:t>
      </w:r>
      <w:r w:rsidRPr="003D6BAE">
        <w:rPr>
          <w:rStyle w:val="BodyTextFi"/>
        </w:rPr>
        <w:t xml:space="preserve">funded under Parts A, B, C, </w:t>
      </w:r>
      <w:r w:rsidR="000C2ACD">
        <w:rPr>
          <w:rStyle w:val="BodyTextFi"/>
        </w:rPr>
        <w:t xml:space="preserve">and </w:t>
      </w:r>
      <w:r w:rsidRPr="003D6BAE">
        <w:rPr>
          <w:rStyle w:val="BodyTextFi"/>
        </w:rPr>
        <w:t xml:space="preserve">D of the Ryan White HIV/AIDS </w:t>
      </w:r>
      <w:r w:rsidRPr="003D6BAE" w:rsidR="003D6BAE">
        <w:rPr>
          <w:rStyle w:val="BodyTextFi"/>
        </w:rPr>
        <w:t>Program (RWHAP)</w:t>
      </w:r>
      <w:r w:rsidR="00097FC8">
        <w:rPr>
          <w:rStyle w:val="BodyTextFi"/>
        </w:rPr>
        <w:t xml:space="preserve">. </w:t>
      </w:r>
      <w:r w:rsidRPr="003D6BAE" w:rsidR="003D6BAE">
        <w:rPr>
          <w:rStyle w:val="BodyTextFi"/>
        </w:rPr>
        <w:t xml:space="preserve"> </w:t>
      </w:r>
      <w:r w:rsidRPr="003D6BAE" w:rsidR="003D6BAE">
        <w:rPr>
          <w:lang w:eastAsia="en-US"/>
        </w:rPr>
        <w:t xml:space="preserve">The </w:t>
      </w:r>
      <w:r w:rsidRPr="003D6BAE" w:rsidR="003D6BAE">
        <w:rPr>
          <w:rStyle w:val="BodyTextFi"/>
        </w:rPr>
        <w:t>RWHAP</w:t>
      </w:r>
      <w:r w:rsidR="007E4461">
        <w:rPr>
          <w:rStyle w:val="BodyTextFi"/>
        </w:rPr>
        <w:t>,</w:t>
      </w:r>
      <w:r w:rsidR="003D6BAE">
        <w:rPr>
          <w:lang w:eastAsia="en-US"/>
        </w:rPr>
        <w:t xml:space="preserve"> </w:t>
      </w:r>
      <w:r w:rsidRPr="003D6BAE" w:rsidR="003D6BAE">
        <w:rPr>
          <w:lang w:eastAsia="en-US"/>
        </w:rPr>
        <w:t>authorized under Title XXVI of the Public Health Service Act, as amended by the R</w:t>
      </w:r>
      <w:r w:rsidRPr="000244D4" w:rsidR="003D6BAE">
        <w:rPr>
          <w:lang w:eastAsia="en-US"/>
        </w:rPr>
        <w:t>yan White HIV/AIDS Treatment Extension Act of 2009</w:t>
      </w:r>
      <w:r w:rsidR="007E4461">
        <w:rPr>
          <w:lang w:eastAsia="en-US"/>
        </w:rPr>
        <w:t xml:space="preserve">, </w:t>
      </w:r>
      <w:r w:rsidRPr="000C2ACD" w:rsidR="000C2ACD">
        <w:rPr>
          <w:lang w:eastAsia="en-US"/>
        </w:rPr>
        <w:t>funds and coordinates with cities, states, and local clinics/community-based organizations to deliver efficient and effective HIV care, treatment, and support to low-income people with HIV</w:t>
      </w:r>
      <w:r w:rsidR="00097FC8">
        <w:rPr>
          <w:lang w:eastAsia="en-US"/>
        </w:rPr>
        <w:t xml:space="preserve">. </w:t>
      </w:r>
      <w:r w:rsidRPr="000C2ACD" w:rsidR="000C2ACD">
        <w:rPr>
          <w:lang w:eastAsia="en-US"/>
        </w:rPr>
        <w:t xml:space="preserve"> </w:t>
      </w:r>
      <w:r w:rsidRPr="000244D4" w:rsidR="006A74E1">
        <w:rPr>
          <w:rStyle w:val="BodyTextFi"/>
        </w:rPr>
        <w:t xml:space="preserve">See </w:t>
      </w:r>
      <w:r w:rsidR="006A74E1">
        <w:rPr>
          <w:rStyle w:val="BodyTextFi"/>
        </w:rPr>
        <w:t>attached</w:t>
      </w:r>
      <w:r w:rsidR="00A32A45">
        <w:rPr>
          <w:rStyle w:val="BodyTextFi"/>
        </w:rPr>
        <w:t xml:space="preserve"> </w:t>
      </w:r>
      <w:r w:rsidRPr="000244D4" w:rsidR="00077629">
        <w:rPr>
          <w:rStyle w:val="BodyTextFi"/>
        </w:rPr>
        <w:t>for a copy of the 2009 legislation</w:t>
      </w:r>
      <w:r w:rsidR="00097FC8">
        <w:rPr>
          <w:rStyle w:val="BodyTextFi"/>
        </w:rPr>
        <w:t xml:space="preserve">.  </w:t>
      </w:r>
      <w:r w:rsidRPr="000C2ACD" w:rsidR="000C2ACD">
        <w:rPr>
          <w:rStyle w:val="BodyTextFi"/>
        </w:rPr>
        <w:t>The Department of Health and Human Services (HHS) HRSA administers funds for the RWHAP</w:t>
      </w:r>
      <w:r w:rsidR="00097FC8">
        <w:rPr>
          <w:rStyle w:val="BodyTextFi"/>
        </w:rPr>
        <w:t xml:space="preserve">. </w:t>
      </w:r>
      <w:r w:rsidRPr="000C2ACD" w:rsidR="000C2ACD">
        <w:rPr>
          <w:rStyle w:val="BodyTextFi"/>
        </w:rPr>
        <w:t xml:space="preserve"> </w:t>
      </w:r>
    </w:p>
    <w:p w:rsidRPr="00D41F62" w:rsidR="00533918" w:rsidP="000C2ACD" w:rsidRDefault="00533918" w14:paraId="692CFDBD" w14:textId="77777777">
      <w:pPr>
        <w:widowControl/>
        <w:autoSpaceDE w:val="0"/>
        <w:autoSpaceDN w:val="0"/>
        <w:adjustRightInd w:val="0"/>
        <w:rPr>
          <w:sz w:val="24"/>
          <w:szCs w:val="24"/>
        </w:rPr>
      </w:pPr>
    </w:p>
    <w:p w:rsidRPr="00D41F62" w:rsidR="000C2ACD" w:rsidP="000C2ACD" w:rsidRDefault="00337EA3" w14:paraId="2CB11620" w14:textId="6CDD46F0">
      <w:pPr>
        <w:pStyle w:val="BodyText2"/>
      </w:pPr>
      <w:r w:rsidRPr="00D41F62">
        <w:rPr>
          <w:rFonts w:eastAsia="Calibri"/>
        </w:rPr>
        <w:t xml:space="preserve">The </w:t>
      </w:r>
      <w:r w:rsidRPr="00D41F62" w:rsidR="006F123E">
        <w:rPr>
          <w:rFonts w:eastAsia="Calibri"/>
        </w:rPr>
        <w:t xml:space="preserve">HRSA </w:t>
      </w:r>
      <w:r w:rsidRPr="00D41F62">
        <w:rPr>
          <w:rFonts w:eastAsia="Calibri"/>
        </w:rPr>
        <w:t>RWHAP supports a comprehensive system of direct health care and support services for over half a million people living with HIV (PLWH)</w:t>
      </w:r>
      <w:r w:rsidRPr="00D41F62">
        <w:rPr>
          <w:rFonts w:eastAsia="Calibri"/>
          <w:vertAlign w:val="superscript"/>
        </w:rPr>
        <w:footnoteReference w:id="1"/>
      </w:r>
      <w:r w:rsidR="00097FC8">
        <w:rPr>
          <w:rStyle w:val="BodyTextFi"/>
        </w:rPr>
        <w:t xml:space="preserve">. </w:t>
      </w:r>
      <w:r w:rsidRPr="00D41F62" w:rsidR="00533918">
        <w:rPr>
          <w:rStyle w:val="BodyTextFi"/>
        </w:rPr>
        <w:t xml:space="preserve"> </w:t>
      </w:r>
      <w:r w:rsidRPr="00D41F62">
        <w:rPr>
          <w:rStyle w:val="BodyTextFi"/>
        </w:rPr>
        <w:t xml:space="preserve">The </w:t>
      </w:r>
      <w:r w:rsidRPr="00D41F62" w:rsidR="00301AE9">
        <w:rPr>
          <w:rStyle w:val="BodyTextFi"/>
        </w:rPr>
        <w:t xml:space="preserve">HRSA </w:t>
      </w:r>
      <w:r w:rsidRPr="00D41F62">
        <w:rPr>
          <w:rStyle w:val="BodyTextFi"/>
        </w:rPr>
        <w:t xml:space="preserve">RWHAP </w:t>
      </w:r>
      <w:r w:rsidRPr="00D41F62" w:rsidR="00533918">
        <w:rPr>
          <w:rStyle w:val="BodyTextFi"/>
        </w:rPr>
        <w:t xml:space="preserve">makes financial assistance available for the development, organization, coordination, and operation of more effective and cost-efficient systems for the delivery of essential core medical and support services to persons </w:t>
      </w:r>
      <w:r w:rsidRPr="00D41F62" w:rsidR="79DB59B5">
        <w:rPr>
          <w:rStyle w:val="BodyTextFi"/>
        </w:rPr>
        <w:t>liv</w:t>
      </w:r>
      <w:r w:rsidRPr="00D41F62" w:rsidR="16CFCEB2">
        <w:rPr>
          <w:rStyle w:val="BodyTextFi"/>
        </w:rPr>
        <w:t xml:space="preserve">ing with </w:t>
      </w:r>
      <w:r w:rsidRPr="00D41F62" w:rsidR="00533918">
        <w:rPr>
          <w:rStyle w:val="BodyTextFi"/>
        </w:rPr>
        <w:t>HIV</w:t>
      </w:r>
      <w:r w:rsidR="00097FC8">
        <w:rPr>
          <w:rStyle w:val="BodyTextFi"/>
        </w:rPr>
        <w:t xml:space="preserve">.  </w:t>
      </w:r>
      <w:r w:rsidRPr="00D41F62" w:rsidR="000C2ACD">
        <w:t>Funding priorities are determined by stakeholders at local and state levels, resulting in uniquely structured programs that address their jurisdictions’ critical gaps and needs</w:t>
      </w:r>
      <w:r w:rsidR="00097FC8">
        <w:t xml:space="preserve">.  </w:t>
      </w:r>
      <w:r w:rsidRPr="00D41F62" w:rsidR="000C2ACD">
        <w:t>HRSA also works in partnership with RWHAP recipients at state and local levels to use innovative approaches for community engagement, needs assessment, planning processes, policy development, service delivery, clinical quality improvement, and workforce development activities that are needed to support a robust system of HIV care, support and treatment</w:t>
      </w:r>
      <w:r w:rsidR="00097FC8">
        <w:t xml:space="preserve">. </w:t>
      </w:r>
      <w:r w:rsidRPr="00D41F62" w:rsidR="000C2ACD">
        <w:t xml:space="preserve"> </w:t>
      </w:r>
    </w:p>
    <w:p w:rsidRPr="00D41F62" w:rsidR="009E3F19" w:rsidP="00D41F62" w:rsidRDefault="009E3F19" w14:paraId="1271EB07" w14:textId="1C373D38">
      <w:pPr>
        <w:pStyle w:val="BodyText2"/>
      </w:pPr>
    </w:p>
    <w:p w:rsidRPr="00D41F62" w:rsidR="00D41F62" w:rsidP="00D41F62" w:rsidRDefault="00D60B92" w14:paraId="0C5CFF4F" w14:textId="41C503E1">
      <w:pPr>
        <w:pStyle w:val="BodyText"/>
        <w:spacing w:after="0"/>
        <w:rPr>
          <w:bCs/>
          <w:spacing w:val="-4"/>
          <w:sz w:val="24"/>
          <w:szCs w:val="24"/>
        </w:rPr>
      </w:pPr>
      <w:r w:rsidRPr="00D60B92">
        <w:rPr>
          <w:sz w:val="24"/>
          <w:szCs w:val="24"/>
        </w:rPr>
        <w:t>RWHAP Allocation and Expenditure Reports (A&amp;E Reports), in conjunction with the Consolidated List of Contractors (CLC), will allow HRSA to monitor and track the use of grant funds for compliance with program and grants policies and requirements as outlined in the 2009 legislation</w:t>
      </w:r>
      <w:r w:rsidR="00097FC8">
        <w:rPr>
          <w:sz w:val="24"/>
          <w:szCs w:val="24"/>
        </w:rPr>
        <w:t xml:space="preserve">. </w:t>
      </w:r>
      <w:r w:rsidRPr="00D60B92">
        <w:rPr>
          <w:sz w:val="24"/>
          <w:szCs w:val="24"/>
        </w:rPr>
        <w:t xml:space="preserve"> </w:t>
      </w:r>
      <w:r w:rsidRPr="00D60B92" w:rsidR="009E3F19">
        <w:rPr>
          <w:sz w:val="24"/>
          <w:szCs w:val="24"/>
        </w:rPr>
        <w:t>By</w:t>
      </w:r>
      <w:r w:rsidRPr="00D41F62" w:rsidR="009E3F19">
        <w:rPr>
          <w:sz w:val="24"/>
          <w:szCs w:val="24"/>
        </w:rPr>
        <w:t xml:space="preserve"> regulation, recipients are required to submit financial reports annually to HRSA </w:t>
      </w:r>
      <w:r w:rsidRPr="00D41F62" w:rsidR="009E3F19">
        <w:rPr>
          <w:sz w:val="24"/>
          <w:szCs w:val="24"/>
        </w:rPr>
        <w:lastRenderedPageBreak/>
        <w:t>and the A&amp;E Forms are HAB’s mechanism to implement that requirement</w:t>
      </w:r>
      <w:r w:rsidR="00097FC8">
        <w:rPr>
          <w:sz w:val="24"/>
          <w:szCs w:val="24"/>
        </w:rPr>
        <w:t xml:space="preserve">. </w:t>
      </w:r>
      <w:r w:rsidRPr="00D41F62" w:rsidR="009E3F19">
        <w:rPr>
          <w:sz w:val="24"/>
          <w:szCs w:val="24"/>
        </w:rPr>
        <w:t xml:space="preserve"> </w:t>
      </w:r>
      <w:r w:rsidRPr="00D41F62" w:rsidR="00D41F62">
        <w:rPr>
          <w:sz w:val="24"/>
          <w:szCs w:val="24"/>
        </w:rPr>
        <w:t>RWHAP recipients are r</w:t>
      </w:r>
      <w:r w:rsidRPr="00D41F62" w:rsidR="00D41F62">
        <w:rPr>
          <w:bCs/>
          <w:spacing w:val="-4"/>
          <w:sz w:val="24"/>
          <w:szCs w:val="24"/>
        </w:rPr>
        <w:t>equired to report financial data at the beginning (Allocations Report) and at the end of their grant budget period (Expenditures Report)</w:t>
      </w:r>
      <w:r w:rsidR="00097FC8">
        <w:rPr>
          <w:bCs/>
          <w:spacing w:val="-4"/>
          <w:sz w:val="24"/>
          <w:szCs w:val="24"/>
        </w:rPr>
        <w:t xml:space="preserve">.  </w:t>
      </w:r>
      <w:r w:rsidRPr="00D41F62" w:rsidR="00D41F62">
        <w:rPr>
          <w:bCs/>
          <w:spacing w:val="-4"/>
          <w:sz w:val="24"/>
          <w:szCs w:val="24"/>
        </w:rPr>
        <w:t>The A&amp;E Reports request information recipients already collect, including the use of RWHAP grant funds for core medical and support services and for various program components, such as administration, planning and evaluation, and clinical quality management</w:t>
      </w:r>
      <w:r w:rsidR="00097FC8">
        <w:rPr>
          <w:bCs/>
          <w:spacing w:val="-4"/>
          <w:sz w:val="24"/>
          <w:szCs w:val="24"/>
        </w:rPr>
        <w:t xml:space="preserve">. </w:t>
      </w:r>
      <w:r w:rsidRPr="00D41F62" w:rsidR="00D41F62">
        <w:rPr>
          <w:bCs/>
          <w:spacing w:val="-4"/>
          <w:sz w:val="24"/>
          <w:szCs w:val="24"/>
        </w:rPr>
        <w:t xml:space="preserve"> </w:t>
      </w:r>
    </w:p>
    <w:p w:rsidRPr="00D41F62" w:rsidR="009E3F19" w:rsidP="009E3F19" w:rsidRDefault="009E3F19" w14:paraId="079313DA" w14:textId="2D2284FE">
      <w:pPr>
        <w:spacing w:before="161" w:after="161"/>
        <w:rPr>
          <w:sz w:val="24"/>
          <w:szCs w:val="24"/>
        </w:rPr>
      </w:pPr>
      <w:r w:rsidRPr="00D41F62">
        <w:rPr>
          <w:sz w:val="24"/>
          <w:szCs w:val="24"/>
        </w:rPr>
        <w:t>These forms require recipients to report on how funds are allocated and spent on core medical and support services for persons living with HIV, and on various program components, such as administration, planning and evaluation, and quality management</w:t>
      </w:r>
      <w:r w:rsidR="00097FC8">
        <w:rPr>
          <w:sz w:val="24"/>
          <w:szCs w:val="24"/>
        </w:rPr>
        <w:t xml:space="preserve">. </w:t>
      </w:r>
      <w:r w:rsidRPr="00D41F62">
        <w:rPr>
          <w:sz w:val="24"/>
          <w:szCs w:val="24"/>
        </w:rPr>
        <w:t xml:space="preserve"> </w:t>
      </w:r>
    </w:p>
    <w:p w:rsidRPr="00D41F62" w:rsidR="009E3F19" w:rsidP="009E3F19" w:rsidRDefault="009E3F19" w14:paraId="306D3710" w14:textId="4BB5424F">
      <w:pPr>
        <w:spacing w:before="161" w:after="161"/>
        <w:rPr>
          <w:color w:val="000000"/>
          <w:sz w:val="24"/>
          <w:szCs w:val="24"/>
        </w:rPr>
      </w:pPr>
      <w:r w:rsidRPr="00D41F62">
        <w:rPr>
          <w:color w:val="000000"/>
          <w:sz w:val="24"/>
          <w:szCs w:val="24"/>
        </w:rPr>
        <w:t>In December 2016, HRSA clarified the allowable use of funds for core medical and support services in Policy Clarification Notice #16-02</w:t>
      </w:r>
      <w:r w:rsidR="00097FC8">
        <w:rPr>
          <w:color w:val="000000"/>
          <w:sz w:val="24"/>
          <w:szCs w:val="24"/>
        </w:rPr>
        <w:t xml:space="preserve">.  </w:t>
      </w:r>
      <w:r w:rsidRPr="00D41F62">
        <w:rPr>
          <w:color w:val="000000"/>
          <w:sz w:val="24"/>
          <w:szCs w:val="24"/>
        </w:rPr>
        <w:t>The A&amp;E Forms have been revised to reflect these services</w:t>
      </w:r>
      <w:r w:rsidR="00097FC8">
        <w:rPr>
          <w:color w:val="000000"/>
          <w:sz w:val="24"/>
          <w:szCs w:val="24"/>
        </w:rPr>
        <w:t xml:space="preserve">.  </w:t>
      </w:r>
      <w:r w:rsidRPr="00D41F62">
        <w:rPr>
          <w:color w:val="000000"/>
          <w:sz w:val="24"/>
          <w:szCs w:val="24"/>
        </w:rPr>
        <w:t>Core medical services include:</w:t>
      </w:r>
    </w:p>
    <w:p w:rsidRPr="00D41F62" w:rsidR="009E3F19" w:rsidP="009E3F19" w:rsidRDefault="009E3F19" w14:paraId="68E6225F"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AIDS Drug Assistance Program Treatments </w:t>
      </w:r>
    </w:p>
    <w:p w:rsidRPr="00D41F62" w:rsidR="009E3F19" w:rsidP="009E3F19" w:rsidRDefault="009E3F19" w14:paraId="5FC1943D"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AIDS Pharmaceutical Assistance </w:t>
      </w:r>
    </w:p>
    <w:p w:rsidRPr="00D41F62" w:rsidR="009E3F19" w:rsidP="009E3F19" w:rsidRDefault="009E3F19" w14:paraId="2060E06C"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Early Intervention Services (EIS) </w:t>
      </w:r>
    </w:p>
    <w:p w:rsidRPr="00D41F62" w:rsidR="009E3F19" w:rsidP="009E3F19" w:rsidRDefault="009E3F19" w14:paraId="3F8E572A"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Health Insurance Premium and Cost Sharing Assistance for Low-Income Individuals </w:t>
      </w:r>
    </w:p>
    <w:p w:rsidRPr="00D41F62" w:rsidR="009E3F19" w:rsidP="009E3F19" w:rsidRDefault="009E3F19" w14:paraId="52B2CE7B"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Home and Community-Based Health Services </w:t>
      </w:r>
    </w:p>
    <w:p w:rsidRPr="00D41F62" w:rsidR="009E3F19" w:rsidP="009E3F19" w:rsidRDefault="009E3F19" w14:paraId="30A837ED"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Home Health Care </w:t>
      </w:r>
    </w:p>
    <w:p w:rsidRPr="00D41F62" w:rsidR="009E3F19" w:rsidP="009E3F19" w:rsidRDefault="009E3F19" w14:paraId="40764083"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Hospice </w:t>
      </w:r>
    </w:p>
    <w:p w:rsidRPr="00D41F62" w:rsidR="009E3F19" w:rsidP="009E3F19" w:rsidRDefault="009E3F19" w14:paraId="1395AB06"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Medical Case Management, including Treatment Adherence Services </w:t>
      </w:r>
    </w:p>
    <w:p w:rsidRPr="00D41F62" w:rsidR="009E3F19" w:rsidP="009E3F19" w:rsidRDefault="009E3F19" w14:paraId="6FCEB8F4"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Medical Nutrition Therapy </w:t>
      </w:r>
    </w:p>
    <w:p w:rsidRPr="00D41F62" w:rsidR="009E3F19" w:rsidP="009E3F19" w:rsidRDefault="009E3F19" w14:paraId="689A562F"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Mental Health Services </w:t>
      </w:r>
    </w:p>
    <w:p w:rsidRPr="00D41F62" w:rsidR="009E3F19" w:rsidP="009E3F19" w:rsidRDefault="009E3F19" w14:paraId="03E9387F"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Oral Health Care </w:t>
      </w:r>
    </w:p>
    <w:p w:rsidRPr="00D41F62" w:rsidR="009E3F19" w:rsidP="009E3F19" w:rsidRDefault="009E3F19" w14:paraId="25291770"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Outpatient/Ambulatory Health Services </w:t>
      </w:r>
    </w:p>
    <w:p w:rsidRPr="00D41F62" w:rsidR="009E3F19" w:rsidP="009E3F19" w:rsidRDefault="009E3F19" w14:paraId="3474D91D" w14:textId="77777777">
      <w:pPr>
        <w:pStyle w:val="Default"/>
        <w:numPr>
          <w:ilvl w:val="0"/>
          <w:numId w:val="23"/>
        </w:numPr>
        <w:rPr>
          <w:rFonts w:ascii="Times New Roman" w:hAnsi="Times New Roman" w:cs="Times New Roman"/>
        </w:rPr>
      </w:pPr>
      <w:r w:rsidRPr="00D41F62">
        <w:rPr>
          <w:rFonts w:ascii="Times New Roman" w:hAnsi="Times New Roman" w:cs="Times New Roman"/>
        </w:rPr>
        <w:t xml:space="preserve">Substance Abuse Outpatient Care </w:t>
      </w:r>
    </w:p>
    <w:p w:rsidRPr="00D41F62" w:rsidR="009E3F19" w:rsidP="009E3F19" w:rsidRDefault="009E3F19" w14:paraId="01B9F492" w14:textId="7248AA7C">
      <w:pPr>
        <w:spacing w:before="161" w:after="161"/>
        <w:rPr>
          <w:color w:val="000000"/>
          <w:sz w:val="24"/>
          <w:szCs w:val="24"/>
        </w:rPr>
      </w:pPr>
      <w:r w:rsidRPr="00D41F62">
        <w:rPr>
          <w:bCs/>
          <w:color w:val="000000"/>
          <w:sz w:val="24"/>
          <w:szCs w:val="24"/>
        </w:rPr>
        <w:t>Funds may also be spent on support services</w:t>
      </w:r>
      <w:r w:rsidRPr="00D41F62">
        <w:rPr>
          <w:color w:val="000000"/>
          <w:sz w:val="24"/>
          <w:szCs w:val="24"/>
        </w:rPr>
        <w:t>, defined as services needed to achieve outcomes that affect the HIV-related clinical status of a person with HIV/AIDS</w:t>
      </w:r>
      <w:r w:rsidR="00097FC8">
        <w:rPr>
          <w:color w:val="000000"/>
          <w:sz w:val="24"/>
          <w:szCs w:val="24"/>
        </w:rPr>
        <w:t xml:space="preserve">. </w:t>
      </w:r>
      <w:r w:rsidRPr="00D41F62">
        <w:rPr>
          <w:color w:val="000000"/>
          <w:sz w:val="24"/>
          <w:szCs w:val="24"/>
        </w:rPr>
        <w:t xml:space="preserve"> These support services include: </w:t>
      </w:r>
    </w:p>
    <w:p w:rsidRPr="00D41F62" w:rsidR="009E3F19" w:rsidP="009E3F19" w:rsidRDefault="009E3F19" w14:paraId="55E84002"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Child Care Services </w:t>
      </w:r>
    </w:p>
    <w:p w:rsidRPr="00D41F62" w:rsidR="009E3F19" w:rsidP="009E3F19" w:rsidRDefault="009E3F19" w14:paraId="49EC64B2"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Emergency Financial Assistance </w:t>
      </w:r>
    </w:p>
    <w:p w:rsidRPr="00D41F62" w:rsidR="009E3F19" w:rsidP="009E3F19" w:rsidRDefault="009E3F19" w14:paraId="0CDFD496"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Food Bank/Home Delivered Meals </w:t>
      </w:r>
    </w:p>
    <w:p w:rsidRPr="00D41F62" w:rsidR="009E3F19" w:rsidP="009E3F19" w:rsidRDefault="009E3F19" w14:paraId="01EB42C2"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Health Education/Risk Reduction </w:t>
      </w:r>
    </w:p>
    <w:p w:rsidRPr="00D41F62" w:rsidR="009E3F19" w:rsidP="009E3F19" w:rsidRDefault="009E3F19" w14:paraId="396CABCC"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Housing </w:t>
      </w:r>
    </w:p>
    <w:p w:rsidRPr="00D41F62" w:rsidR="009E3F19" w:rsidP="009E3F19" w:rsidRDefault="009E3F19" w14:paraId="50FD39DE"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Linguistic Services </w:t>
      </w:r>
    </w:p>
    <w:p w:rsidRPr="00D41F62" w:rsidR="009E3F19" w:rsidP="009E3F19" w:rsidRDefault="009E3F19" w14:paraId="1DA1CD1F"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Medical Transportation </w:t>
      </w:r>
    </w:p>
    <w:p w:rsidRPr="00D41F62" w:rsidR="009E3F19" w:rsidP="009E3F19" w:rsidRDefault="009E3F19" w14:paraId="6346DF13"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Non-Medical Case Management Services </w:t>
      </w:r>
    </w:p>
    <w:p w:rsidRPr="00D41F62" w:rsidR="009E3F19" w:rsidP="009E3F19" w:rsidRDefault="009E3F19" w14:paraId="30E8BA50"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Other Professional Services </w:t>
      </w:r>
    </w:p>
    <w:p w:rsidRPr="002B2029" w:rsidR="009E3F19" w:rsidP="00AF5A86" w:rsidRDefault="009E3F19" w14:paraId="2041C063" w14:textId="15BA100D">
      <w:pPr>
        <w:pStyle w:val="Default"/>
        <w:numPr>
          <w:ilvl w:val="0"/>
          <w:numId w:val="24"/>
        </w:numPr>
        <w:rPr>
          <w:rFonts w:ascii="Times New Roman" w:hAnsi="Times New Roman" w:cs="Times New Roman"/>
        </w:rPr>
      </w:pPr>
      <w:r w:rsidRPr="002B2029">
        <w:rPr>
          <w:rFonts w:ascii="Times New Roman" w:hAnsi="Times New Roman" w:cs="Times New Roman"/>
        </w:rPr>
        <w:t xml:space="preserve">Outreach Services </w:t>
      </w:r>
    </w:p>
    <w:p w:rsidRPr="00D41F62" w:rsidR="009E3F19" w:rsidP="009E3F19" w:rsidRDefault="009E3F19" w14:paraId="157E54D5"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Psychosocial Support Services </w:t>
      </w:r>
    </w:p>
    <w:p w:rsidRPr="00D41F62" w:rsidR="009E3F19" w:rsidP="009E3F19" w:rsidRDefault="009E3F19" w14:paraId="2A893211"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Referral for Health Care and Support Services </w:t>
      </w:r>
    </w:p>
    <w:p w:rsidRPr="00D41F62" w:rsidR="009E3F19" w:rsidP="009E3F19" w:rsidRDefault="009E3F19" w14:paraId="6C5282FA"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Rehabilitation Services </w:t>
      </w:r>
    </w:p>
    <w:p w:rsidRPr="00D41F62" w:rsidR="009E3F19" w:rsidP="009E3F19" w:rsidRDefault="009E3F19" w14:paraId="347791A1" w14:textId="77777777">
      <w:pPr>
        <w:pStyle w:val="Default"/>
        <w:numPr>
          <w:ilvl w:val="0"/>
          <w:numId w:val="24"/>
        </w:numPr>
        <w:rPr>
          <w:rFonts w:ascii="Times New Roman" w:hAnsi="Times New Roman" w:cs="Times New Roman"/>
        </w:rPr>
      </w:pPr>
      <w:r w:rsidRPr="00D41F62">
        <w:rPr>
          <w:rFonts w:ascii="Times New Roman" w:hAnsi="Times New Roman" w:cs="Times New Roman"/>
        </w:rPr>
        <w:t xml:space="preserve">Respite Care </w:t>
      </w:r>
    </w:p>
    <w:p w:rsidRPr="00D41F62" w:rsidR="009E3F19" w:rsidP="009E3F19" w:rsidRDefault="009E3F19" w14:paraId="6A1A9B09" w14:textId="77777777">
      <w:pPr>
        <w:widowControl/>
        <w:numPr>
          <w:ilvl w:val="0"/>
          <w:numId w:val="24"/>
        </w:numPr>
        <w:spacing w:before="100" w:beforeAutospacing="1" w:after="100" w:afterAutospacing="1"/>
        <w:rPr>
          <w:color w:val="000000"/>
          <w:sz w:val="24"/>
          <w:szCs w:val="24"/>
        </w:rPr>
      </w:pPr>
      <w:r w:rsidRPr="00D41F62">
        <w:rPr>
          <w:sz w:val="24"/>
          <w:szCs w:val="24"/>
        </w:rPr>
        <w:lastRenderedPageBreak/>
        <w:t>Substance Abuse Services (residential)</w:t>
      </w:r>
    </w:p>
    <w:p w:rsidRPr="002B2029" w:rsidR="00D41F62" w:rsidP="00D41F62" w:rsidRDefault="00D41F62" w14:paraId="2385DCFC" w14:textId="2C2EEEFC">
      <w:pPr>
        <w:rPr>
          <w:i/>
          <w:sz w:val="24"/>
        </w:rPr>
      </w:pPr>
      <w:bookmarkStart w:name="_Hlk33694628" w:id="2"/>
      <w:r w:rsidRPr="002B2029">
        <w:rPr>
          <w:i/>
          <w:sz w:val="24"/>
        </w:rPr>
        <w:t xml:space="preserve">HRSA is proposing </w:t>
      </w:r>
      <w:r w:rsidRPr="002B2029" w:rsidR="00BA7A9E">
        <w:rPr>
          <w:i/>
          <w:sz w:val="24"/>
        </w:rPr>
        <w:t xml:space="preserve">that </w:t>
      </w:r>
      <w:r w:rsidRPr="002B2029">
        <w:rPr>
          <w:i/>
          <w:sz w:val="24"/>
        </w:rPr>
        <w:t>RWHAP Parts A and B recipients funded under the Ending th</w:t>
      </w:r>
      <w:r w:rsidR="00E1658E">
        <w:rPr>
          <w:i/>
          <w:sz w:val="24"/>
        </w:rPr>
        <w:t xml:space="preserve">e HIV Epidemic Initiative (EHE) - </w:t>
      </w:r>
      <w:r w:rsidRPr="002B2029">
        <w:rPr>
          <w:i/>
          <w:sz w:val="24"/>
        </w:rPr>
        <w:t>a new funding source to implement four key strategies (diagnose, treat, prevent, and respond) to end the HIV epidemic</w:t>
      </w:r>
      <w:r w:rsidR="00E1658E">
        <w:rPr>
          <w:i/>
          <w:sz w:val="24"/>
        </w:rPr>
        <w:t xml:space="preserve"> - </w:t>
      </w:r>
      <w:r w:rsidRPr="002B2029" w:rsidR="00BA7A9E">
        <w:rPr>
          <w:i/>
          <w:sz w:val="24"/>
        </w:rPr>
        <w:t xml:space="preserve">be required </w:t>
      </w:r>
      <w:r w:rsidRPr="002B2029">
        <w:rPr>
          <w:i/>
          <w:sz w:val="24"/>
        </w:rPr>
        <w:t>to report EHE service allocations and corresponding EHE award expenditures in the A&amp;E Reports</w:t>
      </w:r>
      <w:r w:rsidR="00097FC8">
        <w:rPr>
          <w:i/>
          <w:sz w:val="24"/>
        </w:rPr>
        <w:t>.</w:t>
      </w:r>
      <w:r w:rsidRPr="002B2029">
        <w:rPr>
          <w:rStyle w:val="FootnoteReference"/>
          <w:i/>
        </w:rPr>
        <w:footnoteReference w:id="2"/>
      </w:r>
      <w:r w:rsidRPr="002B2029">
        <w:rPr>
          <w:i/>
          <w:sz w:val="24"/>
        </w:rPr>
        <w:t xml:space="preserve"> </w:t>
      </w:r>
      <w:r w:rsidRPr="002B2029">
        <w:rPr>
          <w:i/>
          <w:sz w:val="24"/>
          <w:vertAlign w:val="superscript"/>
        </w:rPr>
        <w:t xml:space="preserve"> </w:t>
      </w:r>
      <w:r w:rsidRPr="002B2029">
        <w:rPr>
          <w:i/>
          <w:sz w:val="24"/>
        </w:rPr>
        <w:t>This addition allows HRSA to track and report progress toward meeting the EHE goals</w:t>
      </w:r>
      <w:r w:rsidR="00097FC8">
        <w:rPr>
          <w:i/>
          <w:sz w:val="24"/>
        </w:rPr>
        <w:t xml:space="preserve">.  </w:t>
      </w:r>
      <w:r w:rsidRPr="002B2029">
        <w:rPr>
          <w:i/>
          <w:sz w:val="24"/>
        </w:rPr>
        <w:t>In addition to th</w:t>
      </w:r>
      <w:r w:rsidRPr="002B2029" w:rsidR="00BA7A9E">
        <w:rPr>
          <w:i/>
          <w:sz w:val="24"/>
        </w:rPr>
        <w:t>is</w:t>
      </w:r>
      <w:r w:rsidRPr="002B2029">
        <w:rPr>
          <w:i/>
          <w:sz w:val="24"/>
        </w:rPr>
        <w:t xml:space="preserve"> substantive modification, minor changes are proposed to (1) the layout of the A&amp;E Reports that affects how already required data is reported; (2) align service categories with HRSA Policy Clarification Notice #16–02: RWHAP Services: Eligible Individuals &amp; Allowable Uses of Funds, updated October 22, 2019; and (3) add clarity to language used</w:t>
      </w:r>
      <w:r w:rsidR="00097FC8">
        <w:rPr>
          <w:i/>
          <w:sz w:val="24"/>
        </w:rPr>
        <w:t xml:space="preserve">. </w:t>
      </w:r>
    </w:p>
    <w:bookmarkEnd w:id="2"/>
    <w:p w:rsidRPr="00D41F62" w:rsidR="00D41F62" w:rsidP="009E3F19" w:rsidRDefault="00D41F62" w14:paraId="72360F2D" w14:textId="77777777">
      <w:pPr>
        <w:rPr>
          <w:rStyle w:val="1"/>
          <w:rFonts w:ascii="Times New Roman" w:hAnsi="Times New Roman"/>
          <w:sz w:val="24"/>
          <w:szCs w:val="24"/>
        </w:rPr>
      </w:pPr>
    </w:p>
    <w:p w:rsidRPr="00A50FCD" w:rsidR="00533918" w:rsidP="00A50FCD" w:rsidRDefault="00F309A2" w14:paraId="742708D5" w14:textId="6157811C">
      <w:pPr>
        <w:pStyle w:val="Heading2"/>
        <w:pBdr>
          <w:bottom w:val="none" w:color="auto" w:sz="0" w:space="0"/>
        </w:pBdr>
        <w:spacing w:before="0" w:after="0"/>
        <w:ind w:left="360" w:hanging="360"/>
        <w:rPr>
          <w:b/>
          <w:bCs/>
          <w:color w:val="auto"/>
          <w:u w:val="single"/>
        </w:rPr>
      </w:pPr>
      <w:bookmarkStart w:name="_Toc209407053" w:id="3"/>
      <w:r>
        <w:rPr>
          <w:b/>
          <w:bCs/>
          <w:color w:val="auto"/>
        </w:rPr>
        <w:t xml:space="preserve"> </w:t>
      </w:r>
      <w:r w:rsidRPr="001012F9" w:rsidR="00533918">
        <w:rPr>
          <w:b/>
          <w:bCs/>
          <w:color w:val="auto"/>
        </w:rPr>
        <w:t>2</w:t>
      </w:r>
      <w:r w:rsidR="00097FC8">
        <w:rPr>
          <w:b/>
          <w:bCs/>
          <w:color w:val="auto"/>
        </w:rPr>
        <w:t xml:space="preserve">. </w:t>
      </w:r>
      <w:r w:rsidRPr="001012F9" w:rsidR="00533918">
        <w:rPr>
          <w:b/>
          <w:bCs/>
          <w:color w:val="auto"/>
        </w:rPr>
        <w:t xml:space="preserve"> </w:t>
      </w:r>
      <w:r w:rsidRPr="001012F9" w:rsidR="00A12E52">
        <w:rPr>
          <w:b/>
          <w:color w:val="auto"/>
        </w:rPr>
        <w:tab/>
      </w:r>
      <w:r w:rsidRPr="001012F9" w:rsidR="00533918">
        <w:rPr>
          <w:b/>
          <w:bCs/>
          <w:color w:val="auto"/>
          <w:u w:val="single"/>
        </w:rPr>
        <w:t>Purpose and Use of Information</w:t>
      </w:r>
      <w:bookmarkEnd w:id="3"/>
      <w:r w:rsidRPr="001012F9" w:rsidR="00A12E52">
        <w:rPr>
          <w:b/>
          <w:bCs/>
          <w:color w:val="auto"/>
          <w:u w:val="single"/>
        </w:rPr>
        <w:t xml:space="preserve"> Collection</w:t>
      </w:r>
    </w:p>
    <w:p w:rsidR="00533918" w:rsidRDefault="00533918" w14:paraId="188AD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997B7D" w:rsidR="00DF09E5" w:rsidP="00DF09E5" w:rsidRDefault="00DF09E5" w14:paraId="4305AD31" w14:textId="4C0B611E">
      <w:pPr>
        <w:tabs>
          <w:tab w:val="num" w:pos="720"/>
          <w:tab w:val="left" w:pos="5868"/>
          <w:tab w:val="left" w:pos="7398"/>
        </w:tabs>
        <w:rPr>
          <w:sz w:val="24"/>
          <w:szCs w:val="24"/>
        </w:rPr>
      </w:pPr>
      <w:r w:rsidRPr="00997B7D">
        <w:rPr>
          <w:sz w:val="24"/>
          <w:szCs w:val="24"/>
        </w:rPr>
        <w:t>The purpose of the Ryan White Treatment Extension Act is to provide primary care and support services and provide life-extending HIV/AIDS drug therapies for people living with HIV/AIDS who lack health insurance and the financial resources for their care</w:t>
      </w:r>
      <w:r w:rsidR="00097FC8">
        <w:rPr>
          <w:sz w:val="24"/>
          <w:szCs w:val="24"/>
        </w:rPr>
        <w:t xml:space="preserve">.  </w:t>
      </w:r>
      <w:r w:rsidRPr="00997B7D">
        <w:rPr>
          <w:sz w:val="24"/>
          <w:szCs w:val="24"/>
        </w:rPr>
        <w:t>To ensure that Ryan White funds are being spent on primary care and support services as outlined in the legislation, it is important that HAB is able to report on how these funds are allocated and spent</w:t>
      </w:r>
      <w:r w:rsidR="00097FC8">
        <w:rPr>
          <w:sz w:val="24"/>
          <w:szCs w:val="24"/>
        </w:rPr>
        <w:t xml:space="preserve">. </w:t>
      </w:r>
      <w:r w:rsidRPr="00997B7D">
        <w:rPr>
          <w:sz w:val="24"/>
          <w:szCs w:val="24"/>
        </w:rPr>
        <w:t xml:space="preserve">  </w:t>
      </w:r>
    </w:p>
    <w:p w:rsidR="00DF09E5" w:rsidP="00997B7D" w:rsidRDefault="00DF09E5" w14:paraId="543F83A1" w14:textId="77777777">
      <w:pPr>
        <w:pStyle w:val="BodyText2"/>
      </w:pPr>
    </w:p>
    <w:p w:rsidR="00997B7D" w:rsidP="00997B7D" w:rsidRDefault="00997B7D" w14:paraId="06AAEF17" w14:textId="2F2A92B5">
      <w:pPr>
        <w:pStyle w:val="BodyText2"/>
      </w:pPr>
      <w:r w:rsidRPr="007F237B">
        <w:t xml:space="preserve">The data that will be collected and reported on the </w:t>
      </w:r>
      <w:r>
        <w:t>A&amp;E</w:t>
      </w:r>
      <w:r w:rsidRPr="007F237B">
        <w:t xml:space="preserve"> </w:t>
      </w:r>
      <w:r>
        <w:t xml:space="preserve">Forms </w:t>
      </w:r>
      <w:r w:rsidRPr="007F237B">
        <w:t>will be used</w:t>
      </w:r>
      <w:r>
        <w:t xml:space="preserve"> for </w:t>
      </w:r>
      <w:r w:rsidR="00DF09E5">
        <w:t>three</w:t>
      </w:r>
      <w:r>
        <w:t xml:space="preserve"> purposes:</w:t>
      </w:r>
    </w:p>
    <w:p w:rsidR="00997B7D" w:rsidP="00997B7D" w:rsidRDefault="00997B7D" w14:paraId="39F1906E" w14:textId="77777777">
      <w:pPr>
        <w:pStyle w:val="BodyText2"/>
      </w:pPr>
    </w:p>
    <w:p w:rsidRPr="008564C9" w:rsidR="00997B7D" w:rsidP="00997B7D" w:rsidRDefault="00997B7D" w14:paraId="66A2F741" w14:textId="77777777">
      <w:pPr>
        <w:pStyle w:val="BodyText2"/>
        <w:widowControl/>
        <w:numPr>
          <w:ilvl w:val="0"/>
          <w:numId w:val="2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rsidRPr="008564C9">
        <w:t xml:space="preserve">To determine whether </w:t>
      </w:r>
      <w:r>
        <w:t>or not the following</w:t>
      </w:r>
      <w:r w:rsidRPr="008564C9">
        <w:t xml:space="preserve"> grant requirements were met:</w:t>
      </w:r>
    </w:p>
    <w:p w:rsidRPr="005D2861" w:rsidR="00997B7D" w:rsidP="00997B7D" w:rsidRDefault="00997B7D" w14:paraId="14F477C5" w14:textId="6BDB8C58">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Recipients must</w:t>
      </w:r>
      <w:r w:rsidRPr="005D2861">
        <w:t xml:space="preserve"> allocate their entire grant award</w:t>
      </w:r>
      <w:r w:rsidR="00097FC8">
        <w:t xml:space="preserve">. </w:t>
      </w:r>
    </w:p>
    <w:p w:rsidRPr="005D2861" w:rsidR="00997B7D" w:rsidP="00997B7D" w:rsidRDefault="00997B7D" w14:paraId="01A37D6A" w14:textId="0F3D53B4">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A</w:t>
      </w:r>
      <w:r w:rsidRPr="005D2861">
        <w:t xml:space="preserve">t least 75% of grant funds </w:t>
      </w:r>
      <w:r>
        <w:t>must be</w:t>
      </w:r>
      <w:r w:rsidRPr="005D2861">
        <w:t xml:space="preserve"> </w:t>
      </w:r>
      <w:r>
        <w:t xml:space="preserve">spent </w:t>
      </w:r>
      <w:r w:rsidRPr="005D2861">
        <w:t>on core medical services</w:t>
      </w:r>
      <w:r>
        <w:t xml:space="preserve"> for Parts A-C</w:t>
      </w:r>
      <w:r w:rsidR="00097FC8">
        <w:t xml:space="preserve">. </w:t>
      </w:r>
    </w:p>
    <w:p w:rsidRPr="005D2861" w:rsidR="00997B7D" w:rsidP="00997B7D" w:rsidRDefault="00997B7D" w14:paraId="780EEB80" w14:textId="053C6C75">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N</w:t>
      </w:r>
      <w:r w:rsidRPr="005D2861">
        <w:t xml:space="preserve">o more than 10% of grant funds can be spent on </w:t>
      </w:r>
      <w:r>
        <w:t>recipient</w:t>
      </w:r>
      <w:r w:rsidRPr="005D2861">
        <w:t xml:space="preserve"> administration</w:t>
      </w:r>
      <w:r>
        <w:t xml:space="preserve"> for Parts A, C, and D</w:t>
      </w:r>
      <w:r w:rsidR="00097FC8">
        <w:t xml:space="preserve">. </w:t>
      </w:r>
    </w:p>
    <w:p w:rsidRPr="005D2861" w:rsidR="00997B7D" w:rsidP="00997B7D" w:rsidRDefault="00997B7D" w14:paraId="6F6D7CD8" w14:textId="7BED8D55">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N</w:t>
      </w:r>
      <w:r w:rsidRPr="005D2861">
        <w:t xml:space="preserve">o more than 10% of Part B grant funds can be spent on either planning and evaluation, or </w:t>
      </w:r>
      <w:r>
        <w:t>recipient</w:t>
      </w:r>
      <w:r w:rsidRPr="005D2861">
        <w:t xml:space="preserve"> administration</w:t>
      </w:r>
      <w:r w:rsidR="00097FC8">
        <w:t xml:space="preserve">.  </w:t>
      </w:r>
      <w:r w:rsidRPr="005D2861">
        <w:t>In addition, the combined total of these two categories should not exceed 15%</w:t>
      </w:r>
      <w:r w:rsidR="00097FC8">
        <w:t xml:space="preserve">. </w:t>
      </w:r>
    </w:p>
    <w:p w:rsidR="00DF09E5" w:rsidP="00DF09E5" w:rsidRDefault="00CA381A" w14:paraId="5CC1B071" w14:textId="334558D1">
      <w:pPr>
        <w:pStyle w:val="BodyText2"/>
        <w:widowControl/>
        <w:numPr>
          <w:ilvl w:val="0"/>
          <w:numId w:val="2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T</w:t>
      </w:r>
      <w:r w:rsidR="00997B7D">
        <w:t>o monitor grant funds for compliance</w:t>
      </w:r>
      <w:r w:rsidRPr="008564C9" w:rsidR="00997B7D">
        <w:t xml:space="preserve"> on the amounts allocated and spent on specific program components and service categories</w:t>
      </w:r>
      <w:r w:rsidR="00097FC8">
        <w:t xml:space="preserve">. </w:t>
      </w:r>
      <w:r w:rsidRPr="008564C9" w:rsidR="00997B7D">
        <w:t xml:space="preserve"> </w:t>
      </w:r>
    </w:p>
    <w:p w:rsidRPr="008564C9" w:rsidR="00644361" w:rsidP="00DF09E5" w:rsidRDefault="00CA381A" w14:paraId="559151D7" w14:textId="240D675C">
      <w:pPr>
        <w:pStyle w:val="BodyText2"/>
        <w:widowControl/>
        <w:numPr>
          <w:ilvl w:val="0"/>
          <w:numId w:val="2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rPr>
          <w:lang w:eastAsia="en-US"/>
        </w:rPr>
        <w:t>T</w:t>
      </w:r>
      <w:r w:rsidRPr="00DF09E5" w:rsidR="00DF09E5">
        <w:rPr>
          <w:lang w:eastAsia="en-US"/>
        </w:rPr>
        <w:t xml:space="preserve">o assess progress toward meeting the national </w:t>
      </w:r>
      <w:r w:rsidRPr="00DF09E5" w:rsidR="00DF09E5">
        <w:rPr>
          <w:rFonts w:ascii="Melior" w:hAnsi="Melior" w:cs="Melior"/>
          <w:lang w:eastAsia="en-US"/>
        </w:rPr>
        <w:t>goals for ending the HIV epidemic</w:t>
      </w:r>
      <w:r w:rsidR="00097FC8">
        <w:rPr>
          <w:rFonts w:ascii="Melior" w:hAnsi="Melior" w:cs="Melior"/>
          <w:lang w:eastAsia="en-US"/>
        </w:rPr>
        <w:t xml:space="preserve">. </w:t>
      </w:r>
    </w:p>
    <w:p w:rsidRPr="00997B7D" w:rsidR="00533918" w:rsidP="00DF09E5" w:rsidRDefault="00997B7D" w14:paraId="6DC7F514" w14:textId="548F2AD7">
      <w:pPr>
        <w:pStyle w:val="BodyText2"/>
        <w:rPr>
          <w:rStyle w:val="BodyTextFi"/>
        </w:rPr>
      </w:pPr>
      <w:r w:rsidRPr="008564C9">
        <w:t xml:space="preserve">In addition to meeting the goal of accountability to Congress, clients, advocacy groups, and the general public, information collected is critical for HRSA, state and local </w:t>
      </w:r>
      <w:r>
        <w:t>recipient</w:t>
      </w:r>
      <w:r w:rsidRPr="008564C9">
        <w:t>s, and individual providers to assess the status of existing HIV-related service delivery systems</w:t>
      </w:r>
      <w:r w:rsidR="00097FC8">
        <w:t xml:space="preserve">. </w:t>
      </w:r>
      <w:r w:rsidRPr="008564C9">
        <w:t xml:space="preserve"> The partnership between HRSA, </w:t>
      </w:r>
      <w:r>
        <w:t>recipient</w:t>
      </w:r>
      <w:r w:rsidRPr="008564C9">
        <w:t xml:space="preserve">s, providers, and clients has provided a unique opportunity to ensure that all parties share in the benefits of accurate information to promote improved care for </w:t>
      </w:r>
      <w:r>
        <w:t>HIV positive</w:t>
      </w:r>
      <w:r w:rsidRPr="008564C9">
        <w:t xml:space="preserve"> individuals and their families</w:t>
      </w:r>
      <w:r w:rsidR="00097FC8">
        <w:t xml:space="preserve">. </w:t>
      </w:r>
      <w:r w:rsidR="00E1658E">
        <w:t xml:space="preserve"> </w:t>
      </w:r>
      <w:r w:rsidRPr="008564C9">
        <w:t xml:space="preserve">The collective responsibility to ensure that grant </w:t>
      </w:r>
      <w:r w:rsidRPr="008564C9">
        <w:lastRenderedPageBreak/>
        <w:t xml:space="preserve">dollars are being spent </w:t>
      </w:r>
      <w:r>
        <w:t>as intended</w:t>
      </w:r>
      <w:r w:rsidRPr="008564C9">
        <w:t xml:space="preserve"> requires a commitment at every level</w:t>
      </w:r>
      <w:r w:rsidR="00097FC8">
        <w:t xml:space="preserve">. </w:t>
      </w:r>
    </w:p>
    <w:p w:rsidR="00533918" w:rsidRDefault="00533918" w14:paraId="2B11F2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A50FCD" w:rsidR="00533918" w:rsidRDefault="00533918" w14:paraId="6A9AC4EE" w14:textId="040A134A">
      <w:pPr>
        <w:pStyle w:val="ColorfulList-Accent11"/>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name="_Toc209407054" w:id="4"/>
      <w:r w:rsidRPr="00863839">
        <w:rPr>
          <w:b/>
          <w:bCs/>
          <w:sz w:val="24"/>
          <w:szCs w:val="24"/>
        </w:rPr>
        <w:t>3</w:t>
      </w:r>
      <w:r w:rsidR="00097FC8">
        <w:rPr>
          <w:b/>
          <w:bCs/>
          <w:sz w:val="24"/>
          <w:szCs w:val="24"/>
        </w:rPr>
        <w:t xml:space="preserve">. </w:t>
      </w:r>
      <w:r w:rsidRPr="00863839">
        <w:rPr>
          <w:b/>
          <w:bCs/>
          <w:sz w:val="24"/>
          <w:szCs w:val="24"/>
        </w:rPr>
        <w:t xml:space="preserve"> </w:t>
      </w:r>
      <w:r w:rsidRPr="00A12E52" w:rsidR="00A12E52">
        <w:rPr>
          <w:b/>
          <w:sz w:val="24"/>
        </w:rPr>
        <w:tab/>
      </w:r>
      <w:r w:rsidRPr="00863839">
        <w:rPr>
          <w:b/>
          <w:bCs/>
          <w:sz w:val="24"/>
          <w:szCs w:val="24"/>
          <w:u w:val="single"/>
        </w:rPr>
        <w:t>Use of Improved Information Technology</w:t>
      </w:r>
      <w:bookmarkEnd w:id="4"/>
      <w:r w:rsidRPr="00E720BF" w:rsidR="00A12E52">
        <w:rPr>
          <w:b/>
          <w:bCs/>
          <w:sz w:val="24"/>
          <w:szCs w:val="24"/>
          <w:u w:val="single"/>
        </w:rPr>
        <w:t xml:space="preserve"> and Burden Reduction</w:t>
      </w:r>
    </w:p>
    <w:p w:rsidR="00533918" w:rsidRDefault="00533918" w14:paraId="4E81D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D60B92" w:rsidR="00533918" w:rsidRDefault="00D60B92" w14:paraId="3D67FA3E" w14:textId="486E7CC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60B92">
        <w:rPr>
          <w:sz w:val="24"/>
          <w:szCs w:val="24"/>
        </w:rPr>
        <w:t>All submissions will be fully electronic in the Electronic Handbooks (EHB)</w:t>
      </w:r>
      <w:r w:rsidR="00097FC8">
        <w:rPr>
          <w:sz w:val="24"/>
          <w:szCs w:val="24"/>
        </w:rPr>
        <w:t xml:space="preserve">.  </w:t>
      </w:r>
      <w:r w:rsidRPr="00D60B92">
        <w:rPr>
          <w:sz w:val="24"/>
          <w:szCs w:val="24"/>
        </w:rPr>
        <w:t>To avoid duplication and reduce recipient reporting burden, HRSA</w:t>
      </w:r>
      <w:r>
        <w:rPr>
          <w:sz w:val="24"/>
          <w:szCs w:val="24"/>
        </w:rPr>
        <w:t xml:space="preserve"> also</w:t>
      </w:r>
      <w:r w:rsidRPr="00D60B92">
        <w:rPr>
          <w:sz w:val="24"/>
          <w:szCs w:val="24"/>
        </w:rPr>
        <w:t xml:space="preserve"> created an electronic grantee contract management system (GCMS) that includes data required for various reports, including the Allocations Reports, the CLC and other HRSA data reports, such as the RWHAP Services Report</w:t>
      </w:r>
      <w:r w:rsidR="00097FC8">
        <w:rPr>
          <w:sz w:val="24"/>
          <w:szCs w:val="24"/>
        </w:rPr>
        <w:t xml:space="preserve">. </w:t>
      </w:r>
      <w:r w:rsidRPr="00D60B92">
        <w:rPr>
          <w:sz w:val="24"/>
          <w:szCs w:val="24"/>
        </w:rPr>
        <w:t xml:space="preserve"> Recipients can access GCMS year-round to upload or manually enter data on their service providers</w:t>
      </w:r>
      <w:r w:rsidR="00277DCF">
        <w:rPr>
          <w:sz w:val="24"/>
          <w:szCs w:val="24"/>
        </w:rPr>
        <w:t>,</w:t>
      </w:r>
      <w:r w:rsidRPr="00D60B92">
        <w:rPr>
          <w:sz w:val="24"/>
          <w:szCs w:val="24"/>
        </w:rPr>
        <w:t xml:space="preserve"> contractors or subrecipients, the RWHAP core medical and support services provided, and their funding amounts</w:t>
      </w:r>
      <w:r w:rsidR="00097FC8">
        <w:rPr>
          <w:sz w:val="24"/>
          <w:szCs w:val="24"/>
        </w:rPr>
        <w:t xml:space="preserve">.  </w:t>
      </w:r>
      <w:r w:rsidRPr="00D60B92">
        <w:rPr>
          <w:sz w:val="24"/>
          <w:szCs w:val="24"/>
        </w:rPr>
        <w:t>GCMS automatically repopulations the data required for the Allocations Reports and other reports</w:t>
      </w:r>
      <w:r w:rsidR="00097FC8">
        <w:rPr>
          <w:sz w:val="24"/>
          <w:szCs w:val="24"/>
        </w:rPr>
        <w:t xml:space="preserve">.  </w:t>
      </w:r>
      <w:r w:rsidRPr="00D60B92">
        <w:rPr>
          <w:sz w:val="24"/>
          <w:szCs w:val="24"/>
        </w:rPr>
        <w:t xml:space="preserve">Expenditures Report data are not auto-populated in the GCMS, and are thus still manually reported in the </w:t>
      </w:r>
      <w:r>
        <w:rPr>
          <w:sz w:val="24"/>
          <w:szCs w:val="24"/>
        </w:rPr>
        <w:t>EHB</w:t>
      </w:r>
      <w:r w:rsidR="00097FC8">
        <w:rPr>
          <w:sz w:val="24"/>
          <w:szCs w:val="24"/>
        </w:rPr>
        <w:t xml:space="preserve">. </w:t>
      </w:r>
    </w:p>
    <w:p w:rsidR="00D60B92" w:rsidRDefault="00D60B92" w14:paraId="614831D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P="00A50FCD" w:rsidRDefault="00533918" w14:paraId="58F7FE27" w14:textId="1B6204C1">
      <w:pPr>
        <w:pStyle w:val="Heading2"/>
        <w:pBdr>
          <w:bottom w:val="none" w:color="auto" w:sz="0" w:space="0"/>
        </w:pBdr>
        <w:tabs>
          <w:tab w:val="left" w:pos="360"/>
        </w:tabs>
        <w:spacing w:before="0" w:after="0"/>
        <w:rPr>
          <w:b/>
          <w:bCs/>
          <w:color w:val="auto"/>
          <w:u w:val="single"/>
        </w:rPr>
      </w:pPr>
      <w:r w:rsidRPr="00863839">
        <w:rPr>
          <w:b/>
          <w:bCs/>
          <w:color w:val="auto"/>
        </w:rPr>
        <w:t>4</w:t>
      </w:r>
      <w:r w:rsidR="00097FC8">
        <w:rPr>
          <w:b/>
          <w:bCs/>
          <w:color w:val="auto"/>
        </w:rPr>
        <w:t xml:space="preserve">. </w:t>
      </w:r>
      <w:r w:rsidRPr="00A12E52" w:rsidR="00A12E52">
        <w:rPr>
          <w:b/>
          <w:color w:val="auto"/>
        </w:rPr>
        <w:tab/>
      </w:r>
      <w:r w:rsidRPr="00863839">
        <w:rPr>
          <w:b/>
          <w:bCs/>
          <w:color w:val="auto"/>
        </w:rPr>
        <w:t xml:space="preserve"> </w:t>
      </w:r>
      <w:bookmarkStart w:name="_Toc209407055" w:id="5"/>
      <w:r w:rsidRPr="00863839">
        <w:rPr>
          <w:b/>
          <w:bCs/>
          <w:color w:val="auto"/>
          <w:u w:val="single"/>
        </w:rPr>
        <w:t>Efforts to Identify Duplication</w:t>
      </w:r>
      <w:bookmarkEnd w:id="5"/>
      <w:r w:rsidRPr="00E720BF" w:rsidR="00A12E52">
        <w:rPr>
          <w:b/>
          <w:bCs/>
          <w:color w:val="auto"/>
          <w:u w:val="single"/>
        </w:rPr>
        <w:t xml:space="preserve"> and Use of Similar Information</w:t>
      </w:r>
    </w:p>
    <w:p w:rsidRPr="00D60B92" w:rsidR="00D60B92" w:rsidP="00D60B92" w:rsidRDefault="00D60B92" w14:paraId="559092A6" w14:textId="77777777"/>
    <w:p w:rsidRPr="007F237B" w:rsidR="00D60B92" w:rsidP="00D60B92" w:rsidRDefault="00D60B92" w14:paraId="74C158AB" w14:textId="4022B300">
      <w:pPr>
        <w:pStyle w:val="BodyText2"/>
        <w:rPr>
          <w:highlight w:val="yellow"/>
        </w:rPr>
      </w:pPr>
      <w:r>
        <w:rPr>
          <w:rStyle w:val="BodyTextFi"/>
        </w:rPr>
        <w:t>The information that is requested in the A&amp;E Reports is unique to HRSA’s HIV/AIDS grant programs</w:t>
      </w:r>
      <w:r w:rsidR="00097FC8">
        <w:rPr>
          <w:rStyle w:val="BodyTextFi"/>
        </w:rPr>
        <w:t xml:space="preserve">.  </w:t>
      </w:r>
      <w:r>
        <w:rPr>
          <w:rStyle w:val="BodyTextFi"/>
        </w:rPr>
        <w:t>Accounting d</w:t>
      </w:r>
      <w:r w:rsidRPr="00703672">
        <w:rPr>
          <w:rStyle w:val="BodyTextFi"/>
        </w:rPr>
        <w:t>ata of the type required are not available elsewhere</w:t>
      </w:r>
      <w:r w:rsidR="00097FC8">
        <w:rPr>
          <w:rStyle w:val="BodyTextFi"/>
        </w:rPr>
        <w:t xml:space="preserve">. </w:t>
      </w:r>
      <w:r w:rsidRPr="00703672">
        <w:rPr>
          <w:rStyle w:val="BodyTextFi"/>
        </w:rPr>
        <w:t xml:space="preserve"> </w:t>
      </w:r>
    </w:p>
    <w:p w:rsidR="00533918" w:rsidRDefault="00533918" w14:paraId="6A5B59F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A50FCD" w:rsidR="00533918" w:rsidP="00A50FCD" w:rsidRDefault="00533918" w14:paraId="4D98835F" w14:textId="63C47DD4">
      <w:pPr>
        <w:pStyle w:val="Heading2"/>
        <w:pBdr>
          <w:bottom w:val="none" w:color="auto" w:sz="0" w:space="0"/>
        </w:pBdr>
        <w:tabs>
          <w:tab w:val="left" w:pos="360"/>
        </w:tabs>
        <w:spacing w:before="0" w:after="0"/>
        <w:rPr>
          <w:b/>
          <w:bCs/>
          <w:color w:val="auto"/>
          <w:u w:val="single"/>
        </w:rPr>
      </w:pPr>
      <w:bookmarkStart w:name="_Toc209407056" w:id="6"/>
      <w:r w:rsidRPr="00863839">
        <w:rPr>
          <w:b/>
          <w:bCs/>
          <w:color w:val="auto"/>
        </w:rPr>
        <w:t>5</w:t>
      </w:r>
      <w:r w:rsidR="00097FC8">
        <w:rPr>
          <w:b/>
          <w:bCs/>
          <w:color w:val="auto"/>
        </w:rPr>
        <w:t xml:space="preserve">. </w:t>
      </w:r>
      <w:r w:rsidRPr="00863839">
        <w:rPr>
          <w:b/>
          <w:bCs/>
          <w:color w:val="auto"/>
        </w:rPr>
        <w:t xml:space="preserve"> </w:t>
      </w:r>
      <w:r w:rsidRPr="00A12E52" w:rsidR="00A12E52">
        <w:rPr>
          <w:b/>
          <w:color w:val="auto"/>
        </w:rPr>
        <w:tab/>
      </w:r>
      <w:bookmarkEnd w:id="6"/>
      <w:r w:rsidRPr="00863839" w:rsidR="00A12E52">
        <w:rPr>
          <w:b/>
          <w:bCs/>
          <w:color w:val="auto"/>
          <w:u w:val="single"/>
        </w:rPr>
        <w:t>Impact on Small Businesses or Other Small Entities</w:t>
      </w:r>
    </w:p>
    <w:p w:rsidR="00533918" w:rsidRDefault="00533918" w14:paraId="6EF4B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703672" w:rsidR="00D60B92" w:rsidP="00D60B92" w:rsidRDefault="00D60B92" w14:paraId="49F1AD97" w14:textId="41A25131">
      <w:pPr>
        <w:pStyle w:val="BodyText2"/>
        <w:rPr>
          <w:rStyle w:val="BodyTextFi"/>
        </w:rPr>
      </w:pPr>
      <w:r w:rsidRPr="00703672">
        <w:rPr>
          <w:rStyle w:val="BodyTextFi"/>
        </w:rPr>
        <w:t>This informa</w:t>
      </w:r>
      <w:r>
        <w:rPr>
          <w:rStyle w:val="BodyTextFi"/>
        </w:rPr>
        <w:t>tion collection does not have a significant impact on</w:t>
      </w:r>
      <w:r w:rsidRPr="00703672">
        <w:rPr>
          <w:rStyle w:val="BodyTextFi"/>
        </w:rPr>
        <w:t xml:space="preserve"> small businesses or other small entities</w:t>
      </w:r>
      <w:r w:rsidR="00097FC8">
        <w:rPr>
          <w:rStyle w:val="BodyTextFi"/>
        </w:rPr>
        <w:t xml:space="preserve">. </w:t>
      </w:r>
    </w:p>
    <w:p w:rsidR="00533918" w:rsidRDefault="00533918" w14:paraId="7B82E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A50FCD" w:rsidR="00533918" w:rsidP="00A50FCD" w:rsidRDefault="00533918" w14:paraId="6845C69E" w14:textId="3CFFF6C3">
      <w:pPr>
        <w:pStyle w:val="Heading2"/>
        <w:pBdr>
          <w:bottom w:val="none" w:color="auto" w:sz="0" w:space="0"/>
        </w:pBdr>
        <w:tabs>
          <w:tab w:val="left" w:pos="360"/>
        </w:tabs>
        <w:spacing w:before="0" w:after="0"/>
        <w:rPr>
          <w:b/>
          <w:bCs/>
          <w:color w:val="auto"/>
          <w:u w:val="single"/>
        </w:rPr>
      </w:pPr>
      <w:bookmarkStart w:name="_Toc209407057" w:id="7"/>
      <w:r w:rsidRPr="00863839">
        <w:rPr>
          <w:b/>
          <w:bCs/>
          <w:color w:val="auto"/>
        </w:rPr>
        <w:t>6</w:t>
      </w:r>
      <w:r w:rsidR="00097FC8">
        <w:rPr>
          <w:b/>
          <w:bCs/>
          <w:color w:val="auto"/>
        </w:rPr>
        <w:t xml:space="preserve">. </w:t>
      </w:r>
      <w:r w:rsidRPr="00A12E52" w:rsidR="00A12E52">
        <w:rPr>
          <w:b/>
          <w:color w:val="auto"/>
        </w:rPr>
        <w:tab/>
      </w:r>
      <w:r w:rsidRPr="00863839">
        <w:rPr>
          <w:b/>
          <w:bCs/>
          <w:color w:val="auto"/>
        </w:rPr>
        <w:t xml:space="preserve"> </w:t>
      </w:r>
      <w:r w:rsidRPr="00863839">
        <w:rPr>
          <w:b/>
          <w:bCs/>
          <w:color w:val="auto"/>
          <w:u w:val="single"/>
        </w:rPr>
        <w:t xml:space="preserve">Consequences </w:t>
      </w:r>
      <w:r w:rsidRPr="00E720BF" w:rsidR="00A12E52">
        <w:rPr>
          <w:b/>
          <w:bCs/>
          <w:color w:val="auto"/>
          <w:u w:val="single"/>
        </w:rPr>
        <w:t>of Collecting the Information</w:t>
      </w:r>
      <w:r w:rsidRPr="00E720BF">
        <w:rPr>
          <w:b/>
          <w:bCs/>
          <w:color w:val="auto"/>
          <w:u w:val="single"/>
        </w:rPr>
        <w:t xml:space="preserve"> Less Frequently</w:t>
      </w:r>
      <w:bookmarkEnd w:id="7"/>
    </w:p>
    <w:p w:rsidR="00533918" w:rsidRDefault="00533918" w14:paraId="57E18EDD" w14:textId="77777777"/>
    <w:p w:rsidRPr="00D60B92" w:rsidR="00D60B92" w:rsidP="00D60B92" w:rsidRDefault="00D60B92" w14:paraId="2ACE7A38" w14:textId="50AF1F49">
      <w:pPr>
        <w:pStyle w:val="BodyText2"/>
        <w:rPr>
          <w:rStyle w:val="BodyTextFi"/>
        </w:rPr>
      </w:pPr>
      <w:r w:rsidRPr="00DC0BEE">
        <w:rPr>
          <w:rStyle w:val="BodyTextFi"/>
        </w:rPr>
        <w:t>Without annual reporting on the use of grant funds, HRSA would not be able to carry out its responsibility to oversee compliance with the intent of Congressional appropriations in a timely manner</w:t>
      </w:r>
      <w:r w:rsidR="00097FC8">
        <w:rPr>
          <w:rStyle w:val="BodyTextFi"/>
        </w:rPr>
        <w:t xml:space="preserve">.  </w:t>
      </w:r>
      <w:r w:rsidRPr="00DC0BEE">
        <w:rPr>
          <w:rStyle w:val="BodyTextFi"/>
        </w:rPr>
        <w:t xml:space="preserve">Because the epidemiology of </w:t>
      </w:r>
      <w:r>
        <w:rPr>
          <w:rStyle w:val="BodyTextFi"/>
        </w:rPr>
        <w:t>HIV</w:t>
      </w:r>
      <w:r w:rsidRPr="00DC0BEE">
        <w:rPr>
          <w:rStyle w:val="BodyTextFi"/>
        </w:rPr>
        <w:t xml:space="preserve"> is changing constantly, annual reporting of </w:t>
      </w:r>
      <w:r>
        <w:rPr>
          <w:rStyle w:val="BodyTextFi"/>
        </w:rPr>
        <w:t xml:space="preserve">recipient </w:t>
      </w:r>
      <w:r w:rsidRPr="00D60B92">
        <w:rPr>
          <w:rStyle w:val="BodyTextFi"/>
        </w:rPr>
        <w:t>allocations and expenditures is necessary to determine whether the administration of the funds is responding to these changes</w:t>
      </w:r>
      <w:r w:rsidR="00097FC8">
        <w:rPr>
          <w:rStyle w:val="BodyTextFi"/>
        </w:rPr>
        <w:t xml:space="preserve">. </w:t>
      </w:r>
    </w:p>
    <w:p w:rsidRPr="00D60B92" w:rsidR="00D60B92" w:rsidP="00D60B92" w:rsidRDefault="00D60B92" w14:paraId="57E76D07" w14:textId="77777777">
      <w:pPr>
        <w:pStyle w:val="BodyText2"/>
        <w:rPr>
          <w:rStyle w:val="BodyTextFi"/>
        </w:rPr>
      </w:pPr>
    </w:p>
    <w:p w:rsidRPr="00D60B92" w:rsidR="00D60B92" w:rsidP="00D60B92" w:rsidRDefault="00D60B92" w14:paraId="4E337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Style w:val="BodyTextFi"/>
          <w:sz w:val="24"/>
          <w:szCs w:val="24"/>
        </w:rPr>
      </w:pPr>
      <w:r w:rsidRPr="00D60B92">
        <w:rPr>
          <w:rStyle w:val="BodyTextFi"/>
          <w:sz w:val="24"/>
          <w:szCs w:val="24"/>
        </w:rPr>
        <w:t xml:space="preserve">If the information is not collected at all, </w:t>
      </w:r>
    </w:p>
    <w:p w:rsidRPr="00D60B92" w:rsidR="00D60B92" w:rsidP="00D60B92" w:rsidRDefault="00D60B92" w14:paraId="276F17F1" w14:textId="77777777">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Style w:val="BodyTextFi"/>
          <w:sz w:val="24"/>
          <w:szCs w:val="24"/>
        </w:rPr>
      </w:pPr>
      <w:r w:rsidRPr="00D60B92">
        <w:rPr>
          <w:rStyle w:val="BodyTextFi"/>
          <w:sz w:val="24"/>
          <w:szCs w:val="24"/>
        </w:rPr>
        <w:t xml:space="preserve">HRSA will not know, and will not be able to report on how funds are being allocated and spent and whether or not spending requirements are being met; </w:t>
      </w:r>
    </w:p>
    <w:p w:rsidRPr="00D60B92" w:rsidR="00D60B92" w:rsidP="00D60B92" w:rsidRDefault="00D60B92" w14:paraId="6BF64D4B" w14:textId="73496AB8">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Style w:val="BulletInden"/>
          <w:sz w:val="24"/>
          <w:szCs w:val="24"/>
        </w:rPr>
      </w:pPr>
      <w:r w:rsidRPr="00D60B92">
        <w:rPr>
          <w:rStyle w:val="BulletInden"/>
          <w:sz w:val="24"/>
          <w:szCs w:val="24"/>
        </w:rPr>
        <w:t>It would be difficult to determine how the allocation and spending of Ryan White HIV/AIDS Program funds are changing from one year to the next</w:t>
      </w:r>
      <w:r w:rsidR="00097FC8">
        <w:rPr>
          <w:rStyle w:val="BulletInden"/>
          <w:sz w:val="24"/>
          <w:szCs w:val="24"/>
        </w:rPr>
        <w:t xml:space="preserve">. </w:t>
      </w:r>
    </w:p>
    <w:p w:rsidR="00533918" w:rsidRDefault="00533918" w14:paraId="20B976B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A50FCD" w:rsidR="00533918" w:rsidRDefault="00533918" w14:paraId="060D4F5D" w14:textId="5A064161">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name="_Toc209407058" w:id="8"/>
      <w:r w:rsidRPr="00863839">
        <w:rPr>
          <w:b/>
          <w:bCs/>
          <w:sz w:val="24"/>
          <w:szCs w:val="24"/>
        </w:rPr>
        <w:t>7</w:t>
      </w:r>
      <w:r w:rsidR="00097FC8">
        <w:rPr>
          <w:b/>
          <w:bCs/>
          <w:sz w:val="24"/>
          <w:szCs w:val="24"/>
        </w:rPr>
        <w:t xml:space="preserve">. </w:t>
      </w:r>
      <w:r w:rsidRPr="00A12E52" w:rsidR="00A12E52">
        <w:rPr>
          <w:b/>
          <w:sz w:val="24"/>
        </w:rPr>
        <w:tab/>
      </w:r>
      <w:r w:rsidRPr="00863839">
        <w:rPr>
          <w:b/>
          <w:bCs/>
          <w:sz w:val="24"/>
          <w:szCs w:val="24"/>
        </w:rPr>
        <w:t xml:space="preserve"> </w:t>
      </w:r>
      <w:r w:rsidRPr="00863839" w:rsidR="00A12E52">
        <w:rPr>
          <w:b/>
          <w:bCs/>
          <w:sz w:val="24"/>
          <w:szCs w:val="24"/>
          <w:u w:val="single"/>
        </w:rPr>
        <w:t xml:space="preserve">Special Circumstances Relating to the </w:t>
      </w:r>
      <w:r w:rsidRPr="00E720BF">
        <w:rPr>
          <w:b/>
          <w:bCs/>
          <w:sz w:val="24"/>
          <w:szCs w:val="24"/>
          <w:u w:val="single"/>
        </w:rPr>
        <w:t>Guidelines in 5 CFR 1320</w:t>
      </w:r>
      <w:r w:rsidR="00097FC8">
        <w:rPr>
          <w:b/>
          <w:bCs/>
          <w:sz w:val="24"/>
          <w:szCs w:val="24"/>
          <w:u w:val="single"/>
        </w:rPr>
        <w:t xml:space="preserve">. </w:t>
      </w:r>
      <w:r w:rsidRPr="00E720BF">
        <w:rPr>
          <w:b/>
          <w:bCs/>
          <w:sz w:val="24"/>
          <w:szCs w:val="24"/>
          <w:u w:val="single"/>
        </w:rPr>
        <w:t>5</w:t>
      </w:r>
      <w:bookmarkEnd w:id="8"/>
    </w:p>
    <w:p w:rsidR="00533918" w:rsidRDefault="00533918" w14:paraId="47AA4B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A50FCD" w:rsidR="00533918" w:rsidRDefault="00533918" w14:paraId="6B186CE4" w14:textId="5FB8944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The data will be collected in a manner fully consistent with the guidelines in 5 CFR 1320</w:t>
      </w:r>
      <w:r w:rsidR="00097FC8">
        <w:rPr>
          <w:rStyle w:val="BodyTextFi"/>
          <w:sz w:val="24"/>
          <w:szCs w:val="24"/>
        </w:rPr>
        <w:t xml:space="preserve">. </w:t>
      </w:r>
      <w:r w:rsidRPr="00E720BF" w:rsidR="00A12E52">
        <w:rPr>
          <w:rStyle w:val="BodyTextFi"/>
          <w:sz w:val="24"/>
          <w:szCs w:val="24"/>
        </w:rPr>
        <w:t>5</w:t>
      </w:r>
      <w:r w:rsidR="00097FC8">
        <w:rPr>
          <w:rStyle w:val="BodyTextFi"/>
          <w:sz w:val="24"/>
          <w:szCs w:val="24"/>
        </w:rPr>
        <w:t xml:space="preserve">. </w:t>
      </w:r>
    </w:p>
    <w:p w:rsidR="00533918" w:rsidRDefault="00533918" w14:paraId="23165A7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101B" w:rsidRDefault="0053101B" w14:paraId="448CCA27" w14:textId="77777777">
      <w:pPr>
        <w:widowControl/>
        <w:rPr>
          <w:b/>
          <w:bCs/>
          <w:sz w:val="24"/>
          <w:szCs w:val="24"/>
        </w:rPr>
      </w:pPr>
      <w:bookmarkStart w:name="_Toc209407059" w:id="9"/>
      <w:r>
        <w:rPr>
          <w:b/>
          <w:bCs/>
          <w:sz w:val="24"/>
          <w:szCs w:val="24"/>
        </w:rPr>
        <w:br w:type="page"/>
      </w:r>
    </w:p>
    <w:p w:rsidRPr="00A50FCD" w:rsidR="00533918" w:rsidRDefault="00533918" w14:paraId="1541BC66" w14:textId="1BF5ECDE">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r w:rsidRPr="00863839">
        <w:rPr>
          <w:b/>
          <w:bCs/>
          <w:sz w:val="24"/>
          <w:szCs w:val="24"/>
        </w:rPr>
        <w:lastRenderedPageBreak/>
        <w:t>8</w:t>
      </w:r>
      <w:r w:rsidR="00097FC8">
        <w:rPr>
          <w:b/>
          <w:bCs/>
          <w:sz w:val="24"/>
          <w:szCs w:val="24"/>
        </w:rPr>
        <w:t xml:space="preserve">. </w:t>
      </w:r>
      <w:r w:rsidRPr="00863839">
        <w:rPr>
          <w:b/>
          <w:bCs/>
          <w:sz w:val="24"/>
          <w:szCs w:val="24"/>
        </w:rPr>
        <w:t xml:space="preserve"> </w:t>
      </w:r>
      <w:r w:rsidRPr="00A12E52" w:rsidR="00A12E52">
        <w:rPr>
          <w:b/>
          <w:sz w:val="24"/>
        </w:rPr>
        <w:tab/>
      </w:r>
      <w:r w:rsidRPr="00863839">
        <w:rPr>
          <w:b/>
          <w:bCs/>
          <w:sz w:val="24"/>
          <w:szCs w:val="24"/>
          <w:u w:val="single"/>
        </w:rPr>
        <w:t>C</w:t>
      </w:r>
      <w:r w:rsidRPr="00863839" w:rsidR="00A12E52">
        <w:rPr>
          <w:b/>
          <w:bCs/>
          <w:sz w:val="24"/>
          <w:szCs w:val="24"/>
          <w:u w:val="single"/>
        </w:rPr>
        <w:t>omments in Response to the Federal Register Notice/Outside C</w:t>
      </w:r>
      <w:r w:rsidRPr="00E720BF">
        <w:rPr>
          <w:b/>
          <w:bCs/>
          <w:sz w:val="24"/>
          <w:szCs w:val="24"/>
          <w:u w:val="single"/>
        </w:rPr>
        <w:t>onsultation</w:t>
      </w:r>
      <w:bookmarkEnd w:id="9"/>
    </w:p>
    <w:p w:rsidR="00533918" w:rsidRDefault="00533918" w14:paraId="15E5469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A50FCD" w:rsidR="00A12E52" w:rsidRDefault="00A12E52" w14:paraId="17D19E7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863839">
        <w:rPr>
          <w:rStyle w:val="BodyTextFi"/>
          <w:b/>
          <w:bCs/>
          <w:sz w:val="24"/>
          <w:szCs w:val="24"/>
        </w:rPr>
        <w:t>Section 8A:</w:t>
      </w:r>
    </w:p>
    <w:p w:rsidR="00A12E52" w:rsidRDefault="00A12E52" w14:paraId="5FB8267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A50FCD" w:rsidR="00533918" w:rsidRDefault="00AC07E2" w14:paraId="36A9C0FC" w14:textId="65086DE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A 60-day Federal Register Notice </w:t>
      </w:r>
      <w:r w:rsidRPr="00863839" w:rsidR="00533918">
        <w:rPr>
          <w:rStyle w:val="BodyTextFi"/>
          <w:sz w:val="24"/>
          <w:szCs w:val="24"/>
        </w:rPr>
        <w:t xml:space="preserve">was published in the </w:t>
      </w:r>
      <w:r w:rsidRPr="002A3B85" w:rsidR="00533918">
        <w:rPr>
          <w:rStyle w:val="BodyTextFi"/>
          <w:b/>
          <w:iCs/>
          <w:sz w:val="24"/>
          <w:szCs w:val="24"/>
        </w:rPr>
        <w:t>Federal Register</w:t>
      </w:r>
      <w:r w:rsidRPr="00E720BF" w:rsidR="00533918">
        <w:rPr>
          <w:rStyle w:val="BodyTextFi"/>
          <w:sz w:val="24"/>
          <w:szCs w:val="24"/>
        </w:rPr>
        <w:t xml:space="preserve"> on </w:t>
      </w:r>
      <w:r w:rsidR="00D60B92">
        <w:rPr>
          <w:rStyle w:val="BodyTextFi"/>
          <w:sz w:val="24"/>
          <w:szCs w:val="24"/>
        </w:rPr>
        <w:t>February 11,</w:t>
      </w:r>
      <w:r w:rsidRPr="00E720BF" w:rsidR="00DF7413">
        <w:rPr>
          <w:rStyle w:val="BodyTextFi"/>
          <w:sz w:val="24"/>
          <w:szCs w:val="24"/>
        </w:rPr>
        <w:t xml:space="preserve"> 20</w:t>
      </w:r>
      <w:r w:rsidR="00D60B92">
        <w:rPr>
          <w:rStyle w:val="BodyTextFi"/>
          <w:sz w:val="24"/>
          <w:szCs w:val="24"/>
        </w:rPr>
        <w:t>20</w:t>
      </w:r>
      <w:r w:rsidRPr="00E720BF" w:rsidR="00533918">
        <w:rPr>
          <w:rStyle w:val="BodyTextFi"/>
          <w:sz w:val="24"/>
          <w:szCs w:val="24"/>
        </w:rPr>
        <w:t xml:space="preserve"> (Vol</w:t>
      </w:r>
      <w:r w:rsidR="00097FC8">
        <w:rPr>
          <w:rStyle w:val="BodyTextFi"/>
          <w:sz w:val="24"/>
          <w:szCs w:val="24"/>
        </w:rPr>
        <w:t xml:space="preserve">. </w:t>
      </w:r>
      <w:r w:rsidRPr="00E720BF" w:rsidR="00533918">
        <w:rPr>
          <w:rStyle w:val="BodyTextFi"/>
          <w:sz w:val="24"/>
          <w:szCs w:val="24"/>
        </w:rPr>
        <w:t xml:space="preserve"> </w:t>
      </w:r>
      <w:r w:rsidRPr="00E720BF" w:rsidR="00F504C9">
        <w:rPr>
          <w:rStyle w:val="BodyTextFi"/>
          <w:sz w:val="24"/>
          <w:szCs w:val="24"/>
        </w:rPr>
        <w:t>8</w:t>
      </w:r>
      <w:r w:rsidR="00D60B92">
        <w:rPr>
          <w:rStyle w:val="BodyTextFi"/>
          <w:sz w:val="24"/>
          <w:szCs w:val="24"/>
        </w:rPr>
        <w:t>5</w:t>
      </w:r>
      <w:r w:rsidRPr="00E720BF" w:rsidR="00533918">
        <w:rPr>
          <w:rStyle w:val="BodyTextFi"/>
          <w:sz w:val="24"/>
          <w:szCs w:val="24"/>
        </w:rPr>
        <w:t>, No</w:t>
      </w:r>
      <w:r w:rsidR="00097FC8">
        <w:rPr>
          <w:rStyle w:val="BodyTextFi"/>
          <w:sz w:val="24"/>
          <w:szCs w:val="24"/>
        </w:rPr>
        <w:t xml:space="preserve">. </w:t>
      </w:r>
      <w:r w:rsidRPr="00E720BF" w:rsidR="00533918">
        <w:rPr>
          <w:rStyle w:val="BodyTextFi"/>
          <w:sz w:val="24"/>
          <w:szCs w:val="24"/>
        </w:rPr>
        <w:t xml:space="preserve"> </w:t>
      </w:r>
      <w:r w:rsidRPr="00863839" w:rsidR="00A55D65">
        <w:rPr>
          <w:rStyle w:val="BodyTextFi"/>
          <w:sz w:val="24"/>
          <w:szCs w:val="24"/>
        </w:rPr>
        <w:t>2</w:t>
      </w:r>
      <w:r w:rsidR="00D60B92">
        <w:rPr>
          <w:rStyle w:val="BodyTextFi"/>
          <w:sz w:val="24"/>
          <w:szCs w:val="24"/>
        </w:rPr>
        <w:t>8</w:t>
      </w:r>
      <w:r w:rsidRPr="00863839" w:rsidR="00533918">
        <w:rPr>
          <w:rStyle w:val="BodyTextFi"/>
          <w:sz w:val="24"/>
          <w:szCs w:val="24"/>
        </w:rPr>
        <w:t>, pp</w:t>
      </w:r>
      <w:r w:rsidR="00097FC8">
        <w:rPr>
          <w:rStyle w:val="BodyTextFi"/>
          <w:sz w:val="24"/>
          <w:szCs w:val="24"/>
        </w:rPr>
        <w:t xml:space="preserve">. </w:t>
      </w:r>
      <w:r w:rsidRPr="00863839" w:rsidR="00533918">
        <w:rPr>
          <w:rStyle w:val="BodyTextFi"/>
          <w:sz w:val="24"/>
          <w:szCs w:val="24"/>
        </w:rPr>
        <w:t xml:space="preserve"> </w:t>
      </w:r>
      <w:r w:rsidR="00D60B92">
        <w:rPr>
          <w:rStyle w:val="BodyTextFi"/>
          <w:sz w:val="24"/>
          <w:szCs w:val="24"/>
        </w:rPr>
        <w:t>7763</w:t>
      </w:r>
      <w:r w:rsidRPr="00863839" w:rsidR="00F504C9">
        <w:rPr>
          <w:rStyle w:val="BodyTextFi"/>
          <w:sz w:val="24"/>
          <w:szCs w:val="24"/>
        </w:rPr>
        <w:t>–</w:t>
      </w:r>
      <w:r w:rsidR="00D60B92">
        <w:rPr>
          <w:rStyle w:val="BodyTextFi"/>
          <w:sz w:val="24"/>
          <w:szCs w:val="24"/>
        </w:rPr>
        <w:t>7764</w:t>
      </w:r>
      <w:r w:rsidRPr="00863839" w:rsidR="00533918">
        <w:rPr>
          <w:rStyle w:val="BodyTextFi"/>
          <w:sz w:val="24"/>
          <w:szCs w:val="24"/>
        </w:rPr>
        <w:t>)</w:t>
      </w:r>
      <w:r w:rsidR="00097FC8">
        <w:rPr>
          <w:rStyle w:val="BodyTextFi"/>
          <w:sz w:val="24"/>
          <w:szCs w:val="24"/>
        </w:rPr>
        <w:t xml:space="preserve">.  </w:t>
      </w:r>
      <w:r w:rsidRPr="00E720BF" w:rsidR="00F11BEA">
        <w:rPr>
          <w:rStyle w:val="BodyTextFi"/>
          <w:sz w:val="24"/>
          <w:szCs w:val="24"/>
        </w:rPr>
        <w:t xml:space="preserve">See </w:t>
      </w:r>
      <w:r w:rsidR="00A32A45">
        <w:rPr>
          <w:rStyle w:val="BodyTextFi"/>
          <w:sz w:val="24"/>
          <w:szCs w:val="24"/>
        </w:rPr>
        <w:t xml:space="preserve">attached for </w:t>
      </w:r>
      <w:r w:rsidRPr="001012F9" w:rsidR="00F11BEA">
        <w:rPr>
          <w:rStyle w:val="BodyTextFi"/>
          <w:sz w:val="24"/>
          <w:szCs w:val="24"/>
        </w:rPr>
        <w:t>a copy of the notice</w:t>
      </w:r>
      <w:r w:rsidR="00097FC8">
        <w:rPr>
          <w:rStyle w:val="BodyTextFi"/>
          <w:sz w:val="24"/>
          <w:szCs w:val="24"/>
        </w:rPr>
        <w:t xml:space="preserve">.  </w:t>
      </w:r>
      <w:r w:rsidR="00EB6FC3">
        <w:rPr>
          <w:rStyle w:val="BodyTextFi"/>
          <w:sz w:val="24"/>
          <w:szCs w:val="24"/>
        </w:rPr>
        <w:t xml:space="preserve">There </w:t>
      </w:r>
      <w:r w:rsidR="00A23E2B">
        <w:rPr>
          <w:rStyle w:val="BodyTextFi"/>
          <w:sz w:val="24"/>
          <w:szCs w:val="24"/>
        </w:rPr>
        <w:t>was one</w:t>
      </w:r>
      <w:r w:rsidR="00041CAC">
        <w:rPr>
          <w:rStyle w:val="BodyTextFi"/>
          <w:sz w:val="24"/>
          <w:szCs w:val="24"/>
        </w:rPr>
        <w:t xml:space="preserve"> </w:t>
      </w:r>
      <w:r w:rsidR="00EB6FC3">
        <w:rPr>
          <w:rStyle w:val="BodyTextFi"/>
          <w:sz w:val="24"/>
          <w:szCs w:val="24"/>
        </w:rPr>
        <w:t>public comment</w:t>
      </w:r>
      <w:r w:rsidR="00C16F4F">
        <w:rPr>
          <w:rStyle w:val="BodyTextFi"/>
          <w:sz w:val="24"/>
          <w:szCs w:val="24"/>
        </w:rPr>
        <w:t xml:space="preserve"> </w:t>
      </w:r>
      <w:r w:rsidR="00A23E2B">
        <w:rPr>
          <w:rStyle w:val="BodyTextFi"/>
          <w:sz w:val="24"/>
          <w:szCs w:val="24"/>
        </w:rPr>
        <w:t xml:space="preserve">from the </w:t>
      </w:r>
      <w:r w:rsidRPr="00A23E2B" w:rsidR="00A23E2B">
        <w:rPr>
          <w:rStyle w:val="BodyTextFi"/>
          <w:sz w:val="24"/>
          <w:szCs w:val="24"/>
        </w:rPr>
        <w:t>Ryan White Clinics for 340B Access</w:t>
      </w:r>
      <w:r w:rsidR="00A23E2B">
        <w:rPr>
          <w:rStyle w:val="BodyTextFi"/>
          <w:sz w:val="24"/>
          <w:szCs w:val="24"/>
        </w:rPr>
        <w:t xml:space="preserve"> </w:t>
      </w:r>
      <w:r w:rsidR="00C16F4F">
        <w:rPr>
          <w:rStyle w:val="BodyTextFi"/>
          <w:sz w:val="24"/>
          <w:szCs w:val="24"/>
        </w:rPr>
        <w:t>regarding the requiremen</w:t>
      </w:r>
      <w:r w:rsidR="00A23E2B">
        <w:rPr>
          <w:rStyle w:val="BodyTextFi"/>
          <w:sz w:val="24"/>
          <w:szCs w:val="24"/>
        </w:rPr>
        <w:t xml:space="preserve">t of reporting program income.  </w:t>
      </w:r>
      <w:r w:rsidR="00C16F4F">
        <w:rPr>
          <w:rStyle w:val="BodyTextFi"/>
          <w:sz w:val="24"/>
          <w:szCs w:val="24"/>
        </w:rPr>
        <w:t xml:space="preserve">HRSA </w:t>
      </w:r>
      <w:r w:rsidR="00A23E2B">
        <w:rPr>
          <w:rStyle w:val="BodyTextFi"/>
          <w:sz w:val="24"/>
          <w:szCs w:val="24"/>
        </w:rPr>
        <w:t xml:space="preserve">responded to an email from the lawyer representing </w:t>
      </w:r>
      <w:proofErr w:type="spellStart"/>
      <w:r w:rsidR="00A23E2B">
        <w:rPr>
          <w:rStyle w:val="BodyTextFi"/>
          <w:sz w:val="24"/>
          <w:szCs w:val="24"/>
        </w:rPr>
        <w:t>RWC</w:t>
      </w:r>
      <w:proofErr w:type="spellEnd"/>
      <w:r w:rsidR="00A23E2B">
        <w:rPr>
          <w:rStyle w:val="BodyTextFi"/>
          <w:sz w:val="24"/>
          <w:szCs w:val="24"/>
        </w:rPr>
        <w:t xml:space="preserve"> </w:t>
      </w:r>
      <w:proofErr w:type="gramStart"/>
      <w:r w:rsidR="00A23E2B">
        <w:rPr>
          <w:rStyle w:val="BodyTextFi"/>
          <w:sz w:val="24"/>
          <w:szCs w:val="24"/>
        </w:rPr>
        <w:t>340B  confirming</w:t>
      </w:r>
      <w:bookmarkStart w:name="_GoBack" w:id="10"/>
      <w:bookmarkEnd w:id="10"/>
      <w:proofErr w:type="gramEnd"/>
      <w:r w:rsidR="00C16F4F">
        <w:rPr>
          <w:rStyle w:val="BodyTextFi"/>
          <w:sz w:val="24"/>
          <w:szCs w:val="24"/>
        </w:rPr>
        <w:t xml:space="preserve"> that </w:t>
      </w:r>
      <w:r w:rsidRPr="00C16F4F" w:rsidR="00C16F4F">
        <w:rPr>
          <w:rStyle w:val="BodyTextFi"/>
          <w:sz w:val="24"/>
          <w:szCs w:val="24"/>
        </w:rPr>
        <w:t>Ryan White HIV/AIDS Program recipients, Parts A, B, C, and D, will no longer be required to report program income and pharmaceutical rebates information in their expenditure reports.</w:t>
      </w:r>
    </w:p>
    <w:p w:rsidR="00DF09E5" w:rsidRDefault="00DF09E5" w14:paraId="0778BBB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p>
    <w:p w:rsidRPr="00A50FCD" w:rsidR="00A12E52" w:rsidRDefault="00A12E52" w14:paraId="7DF12F57" w14:textId="267C3E8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863839">
        <w:rPr>
          <w:rStyle w:val="BodyTextFi"/>
          <w:b/>
          <w:bCs/>
          <w:sz w:val="24"/>
          <w:szCs w:val="24"/>
        </w:rPr>
        <w:t>Section 8B:</w:t>
      </w:r>
    </w:p>
    <w:p w:rsidRPr="00051659" w:rsidR="00A12E52" w:rsidRDefault="00A12E52" w14:paraId="28B2198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0E650C" w:rsidP="002B402B" w:rsidRDefault="00FC2A9E" w14:paraId="5CFDE1FB" w14:textId="4967F2B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In </w:t>
      </w:r>
      <w:r w:rsidR="00644361">
        <w:rPr>
          <w:rStyle w:val="BodyTextFi"/>
          <w:sz w:val="24"/>
          <w:szCs w:val="24"/>
        </w:rPr>
        <w:t xml:space="preserve">November </w:t>
      </w:r>
      <w:r w:rsidRPr="00863839">
        <w:rPr>
          <w:rStyle w:val="BodyTextFi"/>
          <w:sz w:val="24"/>
          <w:szCs w:val="24"/>
        </w:rPr>
        <w:t>201</w:t>
      </w:r>
      <w:r w:rsidR="00B85381">
        <w:rPr>
          <w:rStyle w:val="BodyTextFi"/>
          <w:sz w:val="24"/>
          <w:szCs w:val="24"/>
        </w:rPr>
        <w:t>9</w:t>
      </w:r>
      <w:r w:rsidRPr="00863839">
        <w:rPr>
          <w:rStyle w:val="BodyTextFi"/>
          <w:sz w:val="24"/>
          <w:szCs w:val="24"/>
        </w:rPr>
        <w:t xml:space="preserve">, </w:t>
      </w:r>
      <w:r w:rsidR="00CA381A">
        <w:rPr>
          <w:rStyle w:val="BodyTextFi"/>
          <w:sz w:val="24"/>
          <w:szCs w:val="24"/>
        </w:rPr>
        <w:t xml:space="preserve">four recipients, one from each RWHAP Part, were asked for their </w:t>
      </w:r>
      <w:r w:rsidRPr="00863839">
        <w:rPr>
          <w:rStyle w:val="BodyTextFi"/>
          <w:sz w:val="24"/>
          <w:szCs w:val="24"/>
        </w:rPr>
        <w:t>i</w:t>
      </w:r>
      <w:r w:rsidRPr="00E720BF" w:rsidR="00BA71EB">
        <w:rPr>
          <w:rStyle w:val="BodyTextFi"/>
          <w:sz w:val="24"/>
          <w:szCs w:val="24"/>
        </w:rPr>
        <w:t xml:space="preserve">nput on </w:t>
      </w:r>
      <w:r w:rsidR="004867AB">
        <w:rPr>
          <w:rStyle w:val="BodyTextFi"/>
          <w:sz w:val="24"/>
          <w:szCs w:val="24"/>
        </w:rPr>
        <w:t xml:space="preserve">the potential </w:t>
      </w:r>
      <w:r w:rsidR="00E715F4">
        <w:rPr>
          <w:rStyle w:val="BodyTextFi"/>
          <w:sz w:val="24"/>
          <w:szCs w:val="24"/>
        </w:rPr>
        <w:t xml:space="preserve">burden and </w:t>
      </w:r>
      <w:r w:rsidR="004867AB">
        <w:rPr>
          <w:rStyle w:val="BodyTextFi"/>
          <w:sz w:val="24"/>
          <w:szCs w:val="24"/>
        </w:rPr>
        <w:t>impact of the</w:t>
      </w:r>
      <w:r w:rsidRPr="00E720BF" w:rsidR="00F33553">
        <w:rPr>
          <w:rStyle w:val="BodyTextFi"/>
          <w:sz w:val="24"/>
          <w:szCs w:val="24"/>
        </w:rPr>
        <w:t xml:space="preserve"> new changes </w:t>
      </w:r>
      <w:r w:rsidRPr="00E720BF">
        <w:rPr>
          <w:rStyle w:val="BodyTextFi"/>
          <w:sz w:val="24"/>
          <w:szCs w:val="24"/>
        </w:rPr>
        <w:t>in</w:t>
      </w:r>
      <w:r w:rsidRPr="00E2566F" w:rsidR="00F33553">
        <w:rPr>
          <w:rStyle w:val="BodyTextFi"/>
          <w:sz w:val="24"/>
          <w:szCs w:val="24"/>
        </w:rPr>
        <w:t xml:space="preserve"> the </w:t>
      </w:r>
      <w:r w:rsidR="00644361">
        <w:rPr>
          <w:rStyle w:val="BodyTextFi"/>
          <w:sz w:val="24"/>
          <w:szCs w:val="24"/>
        </w:rPr>
        <w:t>A&amp;E Forms</w:t>
      </w:r>
      <w:r w:rsidRPr="00E2566F" w:rsidR="00F33553">
        <w:rPr>
          <w:rStyle w:val="BodyTextFi"/>
          <w:sz w:val="24"/>
          <w:szCs w:val="24"/>
        </w:rPr>
        <w:t xml:space="preserve"> </w:t>
      </w:r>
      <w:r w:rsidR="004867AB">
        <w:rPr>
          <w:rStyle w:val="BodyTextFi"/>
          <w:sz w:val="24"/>
          <w:szCs w:val="24"/>
        </w:rPr>
        <w:t>on their data reporting activities</w:t>
      </w:r>
      <w:r w:rsidR="00097FC8">
        <w:rPr>
          <w:rStyle w:val="BodyTextFi"/>
          <w:sz w:val="24"/>
          <w:szCs w:val="24"/>
        </w:rPr>
        <w:t xml:space="preserve">.  </w:t>
      </w:r>
      <w:r w:rsidR="004867AB">
        <w:rPr>
          <w:rStyle w:val="BodyTextFi"/>
          <w:sz w:val="24"/>
          <w:szCs w:val="24"/>
        </w:rPr>
        <w:t xml:space="preserve">All of the four </w:t>
      </w:r>
      <w:r w:rsidR="00D1048D">
        <w:rPr>
          <w:rStyle w:val="BodyTextFi"/>
          <w:sz w:val="24"/>
          <w:szCs w:val="24"/>
        </w:rPr>
        <w:t xml:space="preserve">recipients </w:t>
      </w:r>
      <w:r w:rsidR="004867AB">
        <w:rPr>
          <w:rStyle w:val="BodyTextFi"/>
          <w:sz w:val="24"/>
          <w:szCs w:val="24"/>
        </w:rPr>
        <w:t xml:space="preserve">said that because they have already been collecting the data elements being added to the A&amp;E forms for their own purposes, it will not be </w:t>
      </w:r>
      <w:r w:rsidR="00D1048D">
        <w:rPr>
          <w:rStyle w:val="BodyTextFi"/>
          <w:sz w:val="24"/>
          <w:szCs w:val="24"/>
        </w:rPr>
        <w:t xml:space="preserve">any </w:t>
      </w:r>
      <w:r w:rsidR="004867AB">
        <w:rPr>
          <w:rStyle w:val="BodyTextFi"/>
          <w:sz w:val="24"/>
          <w:szCs w:val="24"/>
        </w:rPr>
        <w:t xml:space="preserve">additional </w:t>
      </w:r>
      <w:r w:rsidR="00D1048D">
        <w:rPr>
          <w:rStyle w:val="BodyTextFi"/>
          <w:sz w:val="24"/>
          <w:szCs w:val="24"/>
        </w:rPr>
        <w:t>burden to thei</w:t>
      </w:r>
      <w:r w:rsidR="004867AB">
        <w:rPr>
          <w:rStyle w:val="BodyTextFi"/>
          <w:sz w:val="24"/>
          <w:szCs w:val="24"/>
        </w:rPr>
        <w:t>r current data reporting responsibilities</w:t>
      </w:r>
      <w:r w:rsidR="00097FC8">
        <w:rPr>
          <w:rStyle w:val="BodyTextFi"/>
          <w:sz w:val="24"/>
          <w:szCs w:val="24"/>
        </w:rPr>
        <w:t xml:space="preserve">. </w:t>
      </w:r>
      <w:r w:rsidR="00D1048D">
        <w:rPr>
          <w:rStyle w:val="BodyTextFi"/>
          <w:sz w:val="24"/>
          <w:szCs w:val="24"/>
        </w:rPr>
        <w:t xml:space="preserve"> </w:t>
      </w:r>
    </w:p>
    <w:p w:rsidR="000E650C" w:rsidP="002B402B" w:rsidRDefault="000E650C" w14:paraId="2BE849B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Pr="00B85381" w:rsidR="002B402B" w:rsidP="002B402B" w:rsidRDefault="002B402B" w14:paraId="28DBCBF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B85381">
        <w:rPr>
          <w:rStyle w:val="BodyTextFi"/>
          <w:sz w:val="24"/>
          <w:szCs w:val="24"/>
        </w:rPr>
        <w:t xml:space="preserve">HRSA RWHAP Part A </w:t>
      </w:r>
    </w:p>
    <w:p w:rsidRPr="00B85381" w:rsidR="002B402B" w:rsidP="002B402B" w:rsidRDefault="002B402B" w14:paraId="132CD764" w14:textId="77777777">
      <w:pPr>
        <w:rPr>
          <w:sz w:val="24"/>
          <w:szCs w:val="24"/>
        </w:rPr>
      </w:pPr>
      <w:r w:rsidRPr="00B85381">
        <w:rPr>
          <w:sz w:val="24"/>
          <w:szCs w:val="24"/>
        </w:rPr>
        <w:t>Ayla Karamustafa</w:t>
      </w:r>
    </w:p>
    <w:p w:rsidRPr="00B85381" w:rsidR="002B402B" w:rsidP="002B402B" w:rsidRDefault="002B402B" w14:paraId="3A4FD931" w14:textId="77777777">
      <w:pPr>
        <w:rPr>
          <w:sz w:val="24"/>
          <w:szCs w:val="24"/>
        </w:rPr>
      </w:pPr>
      <w:r w:rsidRPr="00B85381">
        <w:rPr>
          <w:sz w:val="24"/>
          <w:szCs w:val="24"/>
        </w:rPr>
        <w:t>Director of Healthcare Access</w:t>
      </w:r>
    </w:p>
    <w:p w:rsidRPr="00B85381" w:rsidR="002B402B" w:rsidP="002B402B" w:rsidRDefault="002B402B" w14:paraId="244BF9AE" w14:textId="77777777">
      <w:pPr>
        <w:rPr>
          <w:sz w:val="24"/>
          <w:szCs w:val="24"/>
        </w:rPr>
      </w:pPr>
      <w:r w:rsidRPr="00B85381">
        <w:rPr>
          <w:sz w:val="24"/>
          <w:szCs w:val="24"/>
        </w:rPr>
        <w:t>Tel: (312) 747-8859</w:t>
      </w:r>
    </w:p>
    <w:p w:rsidRPr="00B85381" w:rsidR="002B402B" w:rsidP="002B402B" w:rsidRDefault="002B402B" w14:paraId="11B649A0" w14:textId="4D77D042">
      <w:pPr>
        <w:rPr>
          <w:sz w:val="24"/>
          <w:szCs w:val="24"/>
        </w:rPr>
      </w:pPr>
      <w:r w:rsidRPr="00B85381">
        <w:rPr>
          <w:sz w:val="24"/>
          <w:szCs w:val="24"/>
        </w:rPr>
        <w:t xml:space="preserve">Email: </w:t>
      </w:r>
      <w:hyperlink w:history="1" r:id="rId8">
        <w:r w:rsidRPr="00B85381">
          <w:rPr>
            <w:rStyle w:val="Hyperlink"/>
            <w:color w:val="auto"/>
            <w:sz w:val="24"/>
            <w:szCs w:val="24"/>
            <w:u w:val="none"/>
          </w:rPr>
          <w:t>Ayla</w:t>
        </w:r>
        <w:r w:rsidR="00097FC8">
          <w:rPr>
            <w:rStyle w:val="Hyperlink"/>
            <w:color w:val="auto"/>
            <w:sz w:val="24"/>
            <w:szCs w:val="24"/>
            <w:u w:val="none"/>
          </w:rPr>
          <w:t xml:space="preserve">. </w:t>
        </w:r>
        <w:r w:rsidRPr="00B85381">
          <w:rPr>
            <w:rStyle w:val="Hyperlink"/>
            <w:color w:val="auto"/>
            <w:sz w:val="24"/>
            <w:szCs w:val="24"/>
            <w:u w:val="none"/>
          </w:rPr>
          <w:t>Karamustafa@cityofchicago</w:t>
        </w:r>
        <w:r w:rsidR="00097FC8">
          <w:rPr>
            <w:rStyle w:val="Hyperlink"/>
            <w:color w:val="auto"/>
            <w:sz w:val="24"/>
            <w:szCs w:val="24"/>
            <w:u w:val="none"/>
          </w:rPr>
          <w:t xml:space="preserve">. </w:t>
        </w:r>
        <w:r w:rsidRPr="00B85381">
          <w:rPr>
            <w:rStyle w:val="Hyperlink"/>
            <w:color w:val="auto"/>
            <w:sz w:val="24"/>
            <w:szCs w:val="24"/>
            <w:u w:val="none"/>
          </w:rPr>
          <w:t>org</w:t>
        </w:r>
      </w:hyperlink>
    </w:p>
    <w:p w:rsidRPr="00B85381" w:rsidR="002B402B" w:rsidP="002B402B" w:rsidRDefault="002B402B" w14:paraId="1933488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Pr="00B85381" w:rsidR="002B402B" w:rsidP="002B402B" w:rsidRDefault="002B402B" w14:paraId="5F7349B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B85381">
        <w:rPr>
          <w:rStyle w:val="BodyTextFi"/>
          <w:sz w:val="24"/>
          <w:szCs w:val="24"/>
        </w:rPr>
        <w:t>HRSA RWHAP Part B</w:t>
      </w:r>
    </w:p>
    <w:p w:rsidRPr="00B85381" w:rsidR="002B402B" w:rsidP="002B402B" w:rsidRDefault="002B402B" w14:paraId="64E02BC0" w14:textId="2A6E2DF5">
      <w:pPr>
        <w:rPr>
          <w:sz w:val="24"/>
          <w:szCs w:val="24"/>
        </w:rPr>
      </w:pPr>
      <w:r w:rsidRPr="00B85381">
        <w:rPr>
          <w:sz w:val="24"/>
          <w:szCs w:val="24"/>
        </w:rPr>
        <w:t>Dennis London, Ph</w:t>
      </w:r>
      <w:r w:rsidR="00097FC8">
        <w:rPr>
          <w:sz w:val="24"/>
          <w:szCs w:val="24"/>
        </w:rPr>
        <w:t xml:space="preserve">. </w:t>
      </w:r>
      <w:r w:rsidRPr="00B85381">
        <w:rPr>
          <w:sz w:val="24"/>
          <w:szCs w:val="24"/>
        </w:rPr>
        <w:t>D</w:t>
      </w:r>
      <w:r w:rsidR="00097FC8">
        <w:rPr>
          <w:sz w:val="24"/>
          <w:szCs w:val="24"/>
        </w:rPr>
        <w:t xml:space="preserve">. </w:t>
      </w:r>
    </w:p>
    <w:p w:rsidRPr="00B85381" w:rsidR="002B402B" w:rsidP="002B402B" w:rsidRDefault="002B402B" w14:paraId="06FB5406" w14:textId="77777777">
      <w:pPr>
        <w:rPr>
          <w:sz w:val="24"/>
          <w:szCs w:val="24"/>
        </w:rPr>
      </w:pPr>
      <w:r w:rsidRPr="00B85381">
        <w:rPr>
          <w:sz w:val="24"/>
          <w:szCs w:val="24"/>
        </w:rPr>
        <w:t>Federal Compliance Specialist | HIV/AIDS Unit</w:t>
      </w:r>
    </w:p>
    <w:p w:rsidRPr="00B85381" w:rsidR="002B402B" w:rsidP="002B402B" w:rsidRDefault="002B402B" w14:paraId="72D3138A" w14:textId="77777777">
      <w:pPr>
        <w:rPr>
          <w:sz w:val="24"/>
          <w:szCs w:val="24"/>
        </w:rPr>
      </w:pPr>
      <w:r w:rsidRPr="00B85381">
        <w:rPr>
          <w:sz w:val="24"/>
          <w:szCs w:val="24"/>
        </w:rPr>
        <w:t>Minnesota Department of Human Services</w:t>
      </w:r>
    </w:p>
    <w:p w:rsidRPr="00B85381" w:rsidR="002B402B" w:rsidP="002B402B" w:rsidRDefault="002B402B" w14:paraId="26A1792A" w14:textId="77777777">
      <w:pPr>
        <w:rPr>
          <w:sz w:val="24"/>
          <w:szCs w:val="24"/>
        </w:rPr>
      </w:pPr>
      <w:r w:rsidRPr="00B85381">
        <w:rPr>
          <w:sz w:val="24"/>
          <w:szCs w:val="24"/>
        </w:rPr>
        <w:t>Tel: 651-431-2373</w:t>
      </w:r>
    </w:p>
    <w:p w:rsidRPr="00B85381" w:rsidR="002B402B" w:rsidP="002B402B" w:rsidRDefault="002B402B" w14:paraId="1BB2069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Pr="00B85381" w:rsidR="002B402B" w:rsidP="002B402B" w:rsidRDefault="002B402B" w14:paraId="17B4A46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B85381">
        <w:rPr>
          <w:rStyle w:val="BodyTextFi"/>
          <w:sz w:val="24"/>
          <w:szCs w:val="24"/>
        </w:rPr>
        <w:t>HRSA RWHAP Part C</w:t>
      </w:r>
    </w:p>
    <w:p w:rsidRPr="00B85381" w:rsidR="002B402B" w:rsidP="002B402B" w:rsidRDefault="002B402B" w14:paraId="0812F3EF" w14:textId="77777777">
      <w:pPr>
        <w:rPr>
          <w:sz w:val="24"/>
          <w:szCs w:val="24"/>
        </w:rPr>
      </w:pPr>
      <w:r w:rsidRPr="00B85381">
        <w:rPr>
          <w:sz w:val="24"/>
          <w:szCs w:val="24"/>
        </w:rPr>
        <w:t>Amanda Hurley</w:t>
      </w:r>
    </w:p>
    <w:p w:rsidRPr="00B85381" w:rsidR="002B402B" w:rsidP="002B402B" w:rsidRDefault="002B402B" w14:paraId="5A24D15E" w14:textId="77777777">
      <w:pPr>
        <w:rPr>
          <w:sz w:val="24"/>
          <w:szCs w:val="24"/>
        </w:rPr>
      </w:pPr>
      <w:r w:rsidRPr="00B85381">
        <w:rPr>
          <w:sz w:val="24"/>
          <w:szCs w:val="24"/>
        </w:rPr>
        <w:t>HIV Grant Administration &amp; Planning Manager</w:t>
      </w:r>
    </w:p>
    <w:p w:rsidRPr="00B85381" w:rsidR="002B402B" w:rsidP="002B402B" w:rsidRDefault="002B402B" w14:paraId="5180F02B" w14:textId="77777777">
      <w:pPr>
        <w:rPr>
          <w:sz w:val="24"/>
          <w:szCs w:val="24"/>
        </w:rPr>
      </w:pPr>
      <w:r w:rsidRPr="00B85381">
        <w:rPr>
          <w:sz w:val="24"/>
          <w:szCs w:val="24"/>
        </w:rPr>
        <w:t>HIV Grant Administration &amp; Planning, Public Health</w:t>
      </w:r>
    </w:p>
    <w:p w:rsidRPr="00B85381" w:rsidR="002B402B" w:rsidP="002B402B" w:rsidRDefault="002B402B" w14:paraId="5A8A8679" w14:textId="38529E8D">
      <w:pPr>
        <w:rPr>
          <w:sz w:val="24"/>
          <w:szCs w:val="24"/>
        </w:rPr>
      </w:pPr>
      <w:r w:rsidRPr="00B85381">
        <w:rPr>
          <w:sz w:val="24"/>
          <w:szCs w:val="24"/>
        </w:rPr>
        <w:t>Tel: 503</w:t>
      </w:r>
      <w:r w:rsidR="00097FC8">
        <w:rPr>
          <w:sz w:val="24"/>
          <w:szCs w:val="24"/>
        </w:rPr>
        <w:t xml:space="preserve">. </w:t>
      </w:r>
      <w:r w:rsidRPr="00B85381">
        <w:rPr>
          <w:sz w:val="24"/>
          <w:szCs w:val="24"/>
        </w:rPr>
        <w:t>988</w:t>
      </w:r>
      <w:r w:rsidR="00097FC8">
        <w:rPr>
          <w:sz w:val="24"/>
          <w:szCs w:val="24"/>
        </w:rPr>
        <w:t xml:space="preserve">. </w:t>
      </w:r>
      <w:r w:rsidRPr="00B85381">
        <w:rPr>
          <w:sz w:val="24"/>
          <w:szCs w:val="24"/>
        </w:rPr>
        <w:t>9944  </w:t>
      </w:r>
    </w:p>
    <w:p w:rsidRPr="00B85381" w:rsidR="002B402B" w:rsidP="002B402B" w:rsidRDefault="002B402B" w14:paraId="0F55BC88" w14:textId="1B8F301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B85381">
        <w:rPr>
          <w:rStyle w:val="BodyTextFi"/>
          <w:sz w:val="24"/>
          <w:szCs w:val="24"/>
        </w:rPr>
        <w:t>Email: kbennett@cintihealthnetwork</w:t>
      </w:r>
      <w:r w:rsidR="00097FC8">
        <w:rPr>
          <w:rStyle w:val="BodyTextFi"/>
          <w:sz w:val="24"/>
          <w:szCs w:val="24"/>
        </w:rPr>
        <w:t xml:space="preserve">. </w:t>
      </w:r>
      <w:r w:rsidRPr="00B85381">
        <w:rPr>
          <w:rStyle w:val="BodyTextFi"/>
          <w:sz w:val="24"/>
          <w:szCs w:val="24"/>
        </w:rPr>
        <w:t>org</w:t>
      </w:r>
    </w:p>
    <w:p w:rsidRPr="00B85381" w:rsidR="002B402B" w:rsidP="002B402B" w:rsidRDefault="002B402B" w14:paraId="672E687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Pr="00B85381" w:rsidR="002B402B" w:rsidP="002B402B" w:rsidRDefault="002B402B" w14:paraId="7A69E2B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B85381">
        <w:rPr>
          <w:rStyle w:val="BodyTextFi"/>
          <w:sz w:val="24"/>
          <w:szCs w:val="24"/>
        </w:rPr>
        <w:t>HRSA RWHAP Part D</w:t>
      </w:r>
    </w:p>
    <w:p w:rsidRPr="00B85381" w:rsidR="002B402B" w:rsidP="002B402B" w:rsidRDefault="002B402B" w14:paraId="4B2B3F47" w14:textId="77777777">
      <w:pPr>
        <w:rPr>
          <w:sz w:val="24"/>
          <w:szCs w:val="24"/>
        </w:rPr>
      </w:pPr>
      <w:r w:rsidRPr="00B85381">
        <w:rPr>
          <w:sz w:val="24"/>
          <w:szCs w:val="24"/>
        </w:rPr>
        <w:t>Anne Gallacher</w:t>
      </w:r>
    </w:p>
    <w:p w:rsidRPr="00B85381" w:rsidR="002B402B" w:rsidP="002B402B" w:rsidRDefault="002B402B" w14:paraId="552754A4" w14:textId="77777777">
      <w:pPr>
        <w:rPr>
          <w:sz w:val="24"/>
          <w:szCs w:val="24"/>
        </w:rPr>
      </w:pPr>
      <w:r w:rsidRPr="00B85381">
        <w:rPr>
          <w:sz w:val="24"/>
          <w:szCs w:val="24"/>
        </w:rPr>
        <w:t>Director</w:t>
      </w:r>
    </w:p>
    <w:p w:rsidRPr="00B85381" w:rsidR="002B402B" w:rsidP="002B402B" w:rsidRDefault="002B402B" w14:paraId="60E70D37" w14:textId="77777777">
      <w:pPr>
        <w:rPr>
          <w:sz w:val="24"/>
          <w:szCs w:val="24"/>
        </w:rPr>
      </w:pPr>
      <w:r w:rsidRPr="00B85381">
        <w:rPr>
          <w:sz w:val="24"/>
          <w:szCs w:val="24"/>
        </w:rPr>
        <w:t>University of South Florida</w:t>
      </w:r>
    </w:p>
    <w:p w:rsidRPr="00B85381" w:rsidR="002B402B" w:rsidP="002B402B" w:rsidRDefault="002B402B" w14:paraId="1AF2D791" w14:textId="015347D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B85381">
        <w:rPr>
          <w:sz w:val="24"/>
          <w:szCs w:val="24"/>
        </w:rPr>
        <w:t xml:space="preserve">Email: </w:t>
      </w:r>
      <w:hyperlink w:history="1" r:id="rId9">
        <w:r w:rsidRPr="00B85381">
          <w:rPr>
            <w:rStyle w:val="Hyperlink"/>
            <w:color w:val="auto"/>
            <w:sz w:val="24"/>
            <w:szCs w:val="24"/>
            <w:u w:val="none"/>
          </w:rPr>
          <w:t>agallach@usf</w:t>
        </w:r>
        <w:r w:rsidR="00097FC8">
          <w:rPr>
            <w:rStyle w:val="Hyperlink"/>
            <w:color w:val="auto"/>
            <w:sz w:val="24"/>
            <w:szCs w:val="24"/>
            <w:u w:val="none"/>
          </w:rPr>
          <w:t xml:space="preserve">. </w:t>
        </w:r>
        <w:r w:rsidRPr="00B85381">
          <w:rPr>
            <w:rStyle w:val="Hyperlink"/>
            <w:color w:val="auto"/>
            <w:sz w:val="24"/>
            <w:szCs w:val="24"/>
            <w:u w:val="none"/>
          </w:rPr>
          <w:t>edu</w:t>
        </w:r>
      </w:hyperlink>
    </w:p>
    <w:p w:rsidR="009A0EC4" w:rsidP="00FC2A9E" w:rsidRDefault="009A0EC4" w14:paraId="43ACD8DB" w14:textId="590814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00FC2A9E" w:rsidRDefault="00FC2A9E" w14:paraId="6F49946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A50FCD" w:rsidR="00533918" w:rsidRDefault="00533918" w14:paraId="74CE9AFD" w14:textId="791773A2">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name="_Toc209407060" w:id="11"/>
      <w:r w:rsidRPr="00863839">
        <w:rPr>
          <w:b/>
          <w:bCs/>
          <w:sz w:val="24"/>
          <w:szCs w:val="24"/>
        </w:rPr>
        <w:lastRenderedPageBreak/>
        <w:t>9</w:t>
      </w:r>
      <w:r w:rsidR="00097FC8">
        <w:rPr>
          <w:b/>
          <w:bCs/>
          <w:sz w:val="24"/>
          <w:szCs w:val="24"/>
        </w:rPr>
        <w:t xml:space="preserve">. </w:t>
      </w:r>
      <w:r w:rsidRPr="00A12E52" w:rsidR="00A12E52">
        <w:rPr>
          <w:b/>
          <w:sz w:val="24"/>
        </w:rPr>
        <w:tab/>
      </w:r>
      <w:r w:rsidRPr="00863839" w:rsidR="00A12E52">
        <w:rPr>
          <w:b/>
          <w:bCs/>
          <w:sz w:val="24"/>
          <w:szCs w:val="24"/>
          <w:u w:val="single"/>
        </w:rPr>
        <w:t xml:space="preserve">Explanation of any Payment/Gift to </w:t>
      </w:r>
      <w:r w:rsidRPr="00863839">
        <w:rPr>
          <w:b/>
          <w:bCs/>
          <w:sz w:val="24"/>
          <w:szCs w:val="24"/>
          <w:u w:val="single"/>
        </w:rPr>
        <w:t>Respondents</w:t>
      </w:r>
      <w:bookmarkEnd w:id="11"/>
    </w:p>
    <w:p w:rsidR="00533918" w:rsidRDefault="00533918" w14:paraId="351CD40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A50FCD" w:rsidR="00533918" w:rsidRDefault="00533918" w14:paraId="2DFEA440" w14:textId="4C7B6E6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The proposed collection of information does not involve any remuneration </w:t>
      </w:r>
      <w:r w:rsidRPr="00863839" w:rsidR="00AC07E2">
        <w:rPr>
          <w:rStyle w:val="BodyTextFi"/>
          <w:sz w:val="24"/>
          <w:szCs w:val="24"/>
        </w:rPr>
        <w:t>to respondents</w:t>
      </w:r>
      <w:r w:rsidR="00097FC8">
        <w:rPr>
          <w:rStyle w:val="BodyTextFi"/>
          <w:sz w:val="24"/>
          <w:szCs w:val="24"/>
        </w:rPr>
        <w:t xml:space="preserve">. </w:t>
      </w:r>
    </w:p>
    <w:p w:rsidR="00533918" w:rsidRDefault="00533918" w14:paraId="1CEFFC53" w14:textId="55939379">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rStyle w:val="BodyTextFi"/>
          <w:sz w:val="24"/>
        </w:rPr>
      </w:pPr>
      <w:bookmarkStart w:name="_Toc209407061" w:id="12"/>
    </w:p>
    <w:p w:rsidR="00443083" w:rsidRDefault="00443083" w14:paraId="198D7981"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rStyle w:val="BodyTextFi"/>
          <w:sz w:val="24"/>
        </w:rPr>
      </w:pPr>
    </w:p>
    <w:p w:rsidRPr="00A50FCD" w:rsidR="00533918" w:rsidRDefault="00533918" w14:paraId="1B0521BA" w14:textId="735342E3">
      <w:pPr>
        <w:pStyle w:val="ColorfulList-Accent1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r w:rsidRPr="00863839">
        <w:rPr>
          <w:b/>
          <w:bCs/>
          <w:sz w:val="24"/>
          <w:szCs w:val="24"/>
        </w:rPr>
        <w:t>1</w:t>
      </w:r>
      <w:r w:rsidRPr="00863839" w:rsidR="00974BA6">
        <w:rPr>
          <w:b/>
          <w:bCs/>
          <w:sz w:val="24"/>
          <w:szCs w:val="24"/>
        </w:rPr>
        <w:t>0</w:t>
      </w:r>
      <w:r w:rsidR="00097FC8">
        <w:rPr>
          <w:b/>
          <w:bCs/>
          <w:sz w:val="24"/>
          <w:szCs w:val="24"/>
        </w:rPr>
        <w:t xml:space="preserve">. </w:t>
      </w:r>
      <w:r w:rsidRPr="00974BA6" w:rsidR="00974BA6">
        <w:rPr>
          <w:b/>
          <w:sz w:val="24"/>
        </w:rPr>
        <w:tab/>
      </w:r>
      <w:r w:rsidRPr="00863839">
        <w:rPr>
          <w:b/>
          <w:bCs/>
          <w:sz w:val="24"/>
          <w:szCs w:val="24"/>
          <w:u w:val="single"/>
        </w:rPr>
        <w:t>Assurance of Confidentiality</w:t>
      </w:r>
      <w:bookmarkEnd w:id="12"/>
      <w:r w:rsidRPr="00E720BF" w:rsidR="00974BA6">
        <w:rPr>
          <w:b/>
          <w:bCs/>
          <w:sz w:val="24"/>
          <w:szCs w:val="24"/>
          <w:u w:val="single"/>
        </w:rPr>
        <w:t xml:space="preserve"> Provided to Respondents</w:t>
      </w:r>
    </w:p>
    <w:p w:rsidR="00533918" w:rsidRDefault="00533918" w14:paraId="2EEBA55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DC0BEE" w:rsidR="00DB6190" w:rsidP="00DB6190" w:rsidRDefault="00DB6190" w14:paraId="77415922" w14:textId="6EB4485D">
      <w:pPr>
        <w:pStyle w:val="BodyText2"/>
      </w:pPr>
      <w:r w:rsidRPr="00DC0BEE">
        <w:t>The A</w:t>
      </w:r>
      <w:r>
        <w:t xml:space="preserve">&amp;E Forms </w:t>
      </w:r>
      <w:r w:rsidRPr="00DC0BEE">
        <w:t>are financial reports and do not require any information that could identify individual clients</w:t>
      </w:r>
      <w:r w:rsidR="00097FC8">
        <w:t xml:space="preserve">.  </w:t>
      </w:r>
      <w:r w:rsidRPr="00DC0BEE">
        <w:t>Names and personal identifiers are not included in these financial reports</w:t>
      </w:r>
      <w:r w:rsidR="00097FC8">
        <w:t xml:space="preserve">. </w:t>
      </w:r>
      <w:r>
        <w:t xml:space="preserve"> </w:t>
      </w:r>
      <w:r w:rsidRPr="00DC0BEE">
        <w:t xml:space="preserve"> </w:t>
      </w:r>
      <w:r>
        <w:t>The Privacy Act is not applicable to this activity</w:t>
      </w:r>
      <w:r w:rsidR="00097FC8">
        <w:t xml:space="preserve">. </w:t>
      </w:r>
    </w:p>
    <w:p w:rsidR="00443083" w:rsidRDefault="00443083" w14:paraId="6546B8F9" w14:textId="77777777">
      <w:pPr>
        <w:rPr>
          <w:sz w:val="24"/>
          <w:szCs w:val="24"/>
        </w:rPr>
      </w:pPr>
    </w:p>
    <w:p w:rsidRPr="00A50FCD" w:rsidR="00533918" w:rsidP="00A50FCD" w:rsidRDefault="00974BA6" w14:paraId="40F56A8E" w14:textId="69EBEA14">
      <w:pPr>
        <w:pStyle w:val="Heading2"/>
        <w:pBdr>
          <w:bottom w:val="none" w:color="auto" w:sz="0" w:space="0"/>
        </w:pBdr>
        <w:tabs>
          <w:tab w:val="left" w:pos="360"/>
        </w:tabs>
        <w:spacing w:before="0" w:after="0"/>
        <w:rPr>
          <w:b/>
          <w:bCs/>
          <w:color w:val="auto"/>
          <w:u w:val="single"/>
        </w:rPr>
      </w:pPr>
      <w:bookmarkStart w:name="_Toc209407062" w:id="13"/>
      <w:r w:rsidRPr="00863839">
        <w:rPr>
          <w:b/>
          <w:bCs/>
          <w:color w:val="auto"/>
        </w:rPr>
        <w:t>11</w:t>
      </w:r>
      <w:r w:rsidR="00097FC8">
        <w:rPr>
          <w:b/>
          <w:bCs/>
          <w:color w:val="auto"/>
        </w:rPr>
        <w:t xml:space="preserve">. </w:t>
      </w:r>
      <w:r w:rsidRPr="00D93AE0">
        <w:rPr>
          <w:b/>
          <w:color w:val="auto"/>
        </w:rPr>
        <w:tab/>
      </w:r>
      <w:r w:rsidRPr="00863839">
        <w:rPr>
          <w:b/>
          <w:bCs/>
          <w:color w:val="auto"/>
          <w:u w:val="single"/>
        </w:rPr>
        <w:t xml:space="preserve">Justification for </w:t>
      </w:r>
      <w:r w:rsidRPr="00863839" w:rsidR="00533918">
        <w:rPr>
          <w:b/>
          <w:bCs/>
          <w:color w:val="auto"/>
          <w:u w:val="single"/>
        </w:rPr>
        <w:t xml:space="preserve">Sensitive </w:t>
      </w:r>
      <w:bookmarkEnd w:id="13"/>
      <w:r w:rsidRPr="00E720BF">
        <w:rPr>
          <w:b/>
          <w:bCs/>
          <w:color w:val="auto"/>
          <w:u w:val="single"/>
        </w:rPr>
        <w:t>Questions</w:t>
      </w:r>
    </w:p>
    <w:p w:rsidRPr="00D93AE0" w:rsidR="00533918" w:rsidRDefault="00533918" w14:paraId="2205A18E" w14:textId="77777777">
      <w:pPr>
        <w:rPr>
          <w:sz w:val="24"/>
          <w:szCs w:val="24"/>
        </w:rPr>
      </w:pPr>
    </w:p>
    <w:p w:rsidRPr="00BC20EE" w:rsidR="00DB6190" w:rsidP="00DB6190" w:rsidRDefault="00DB6190" w14:paraId="0942BF03" w14:textId="7C42B1DB">
      <w:pPr>
        <w:pStyle w:val="BodyText2"/>
      </w:pPr>
      <w:r w:rsidRPr="00BC20EE">
        <w:t>There are no qu</w:t>
      </w:r>
      <w:r>
        <w:t>estions of a sensitive nature</w:t>
      </w:r>
      <w:r w:rsidR="00097FC8">
        <w:t xml:space="preserve">. </w:t>
      </w:r>
      <w:r>
        <w:t xml:space="preserve"> </w:t>
      </w:r>
    </w:p>
    <w:p w:rsidR="00533918" w:rsidRDefault="00533918" w14:paraId="005BFF32" w14:textId="4952CF3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A50FCD" w:rsidR="00533918" w:rsidP="00A50FCD" w:rsidRDefault="00533918" w14:paraId="621A8D76" w14:textId="22D340AE">
      <w:pPr>
        <w:pStyle w:val="Heading2"/>
        <w:pBdr>
          <w:bottom w:val="none" w:color="auto" w:sz="0" w:space="0"/>
        </w:pBdr>
        <w:tabs>
          <w:tab w:val="left" w:pos="360"/>
        </w:tabs>
        <w:spacing w:before="0" w:after="0"/>
        <w:rPr>
          <w:b/>
          <w:bCs/>
          <w:color w:val="auto"/>
          <w:u w:val="single"/>
        </w:rPr>
      </w:pPr>
      <w:bookmarkStart w:name="_Toc209407063" w:id="14"/>
      <w:r w:rsidRPr="00863839">
        <w:rPr>
          <w:b/>
          <w:bCs/>
          <w:color w:val="auto"/>
        </w:rPr>
        <w:t>12</w:t>
      </w:r>
      <w:r w:rsidR="00097FC8">
        <w:rPr>
          <w:b/>
          <w:bCs/>
          <w:color w:val="auto"/>
        </w:rPr>
        <w:t xml:space="preserve">. </w:t>
      </w:r>
      <w:r w:rsidRPr="00FF037F" w:rsidR="00974BA6">
        <w:rPr>
          <w:b/>
          <w:color w:val="auto"/>
        </w:rPr>
        <w:tab/>
      </w:r>
      <w:r w:rsidRPr="00863839">
        <w:rPr>
          <w:b/>
          <w:bCs/>
          <w:color w:val="auto"/>
        </w:rPr>
        <w:t xml:space="preserve"> </w:t>
      </w:r>
      <w:r w:rsidRPr="00863839">
        <w:rPr>
          <w:b/>
          <w:bCs/>
          <w:color w:val="auto"/>
          <w:u w:val="single"/>
        </w:rPr>
        <w:t xml:space="preserve">Estimates of Annualized Hour </w:t>
      </w:r>
      <w:r w:rsidRPr="00E720BF" w:rsidR="00974BA6">
        <w:rPr>
          <w:b/>
          <w:bCs/>
          <w:color w:val="auto"/>
          <w:u w:val="single"/>
        </w:rPr>
        <w:t xml:space="preserve">and Cost </w:t>
      </w:r>
      <w:r w:rsidRPr="00E720BF">
        <w:rPr>
          <w:b/>
          <w:bCs/>
          <w:color w:val="auto"/>
          <w:u w:val="single"/>
        </w:rPr>
        <w:t>Burden</w:t>
      </w:r>
      <w:bookmarkEnd w:id="14"/>
    </w:p>
    <w:p w:rsidRPr="005A123F" w:rsidR="00533918" w:rsidRDefault="00533918" w14:paraId="2FB1D2A4" w14:textId="77777777">
      <w:pPr>
        <w:rPr>
          <w:b/>
          <w:sz w:val="24"/>
          <w:szCs w:val="24"/>
          <w:highlight w:val="yellow"/>
        </w:rPr>
      </w:pPr>
    </w:p>
    <w:p w:rsidRPr="00D1048D" w:rsidR="00D1048D" w:rsidP="00D1048D" w:rsidRDefault="00D1048D" w14:paraId="12BD480C" w14:textId="1324D158">
      <w:pPr>
        <w:rPr>
          <w:sz w:val="24"/>
          <w:szCs w:val="24"/>
        </w:rPr>
      </w:pPr>
      <w:r w:rsidRPr="00D1048D">
        <w:rPr>
          <w:sz w:val="24"/>
          <w:szCs w:val="24"/>
        </w:rPr>
        <w:t>The</w:t>
      </w:r>
      <w:r w:rsidRPr="00D1048D" w:rsidR="00E715F4">
        <w:rPr>
          <w:sz w:val="24"/>
          <w:szCs w:val="24"/>
        </w:rPr>
        <w:t xml:space="preserve"> </w:t>
      </w:r>
      <w:r w:rsidRPr="00D1048D" w:rsidR="00DB6190">
        <w:rPr>
          <w:sz w:val="24"/>
          <w:szCs w:val="24"/>
        </w:rPr>
        <w:t>estimated average annualized hour burden</w:t>
      </w:r>
      <w:r w:rsidRPr="00D1048D" w:rsidR="00E715F4">
        <w:rPr>
          <w:sz w:val="24"/>
          <w:szCs w:val="24"/>
        </w:rPr>
        <w:t xml:space="preserve"> collected </w:t>
      </w:r>
      <w:r w:rsidRPr="00D1048D">
        <w:rPr>
          <w:sz w:val="24"/>
          <w:szCs w:val="24"/>
        </w:rPr>
        <w:t xml:space="preserve">in November 2019 </w:t>
      </w:r>
      <w:r w:rsidRPr="00D1048D" w:rsidR="00DB6190">
        <w:rPr>
          <w:sz w:val="24"/>
          <w:szCs w:val="24"/>
        </w:rPr>
        <w:t>is shown in Table 1</w:t>
      </w:r>
      <w:r w:rsidR="00097FC8">
        <w:rPr>
          <w:sz w:val="24"/>
          <w:szCs w:val="24"/>
        </w:rPr>
        <w:t xml:space="preserve">. </w:t>
      </w:r>
      <w:r w:rsidRPr="00D1048D" w:rsidR="00DB6190">
        <w:rPr>
          <w:sz w:val="24"/>
          <w:szCs w:val="24"/>
        </w:rPr>
        <w:t xml:space="preserve">  </w:t>
      </w:r>
    </w:p>
    <w:p w:rsidRPr="003E02F4" w:rsidR="00D1048D" w:rsidP="00D1048D" w:rsidRDefault="00D1048D" w14:paraId="38FBE851" w14:textId="0281BEC4">
      <w:pPr>
        <w:ind w:right="158"/>
      </w:pPr>
    </w:p>
    <w:p w:rsidRPr="00793E02" w:rsidR="00D1048D" w:rsidP="00D1048D" w:rsidRDefault="00D1048D" w14:paraId="5704EF89" w14:textId="09B32ACE">
      <w:pPr>
        <w:rPr>
          <w:rStyle w:val="BodyTextFi"/>
          <w:b/>
          <w:bCs/>
          <w:sz w:val="24"/>
          <w:szCs w:val="24"/>
        </w:rPr>
      </w:pPr>
      <w:r w:rsidRPr="00793E02">
        <w:rPr>
          <w:rStyle w:val="BodyTextFi"/>
          <w:b/>
          <w:bCs/>
          <w:sz w:val="24"/>
          <w:szCs w:val="24"/>
        </w:rPr>
        <w:t>12A</w:t>
      </w:r>
      <w:r w:rsidR="00C0593C">
        <w:rPr>
          <w:rStyle w:val="BodyTextFi"/>
          <w:b/>
          <w:bCs/>
          <w:sz w:val="24"/>
          <w:szCs w:val="24"/>
        </w:rPr>
        <w:t xml:space="preserve">. </w:t>
      </w:r>
      <w:r w:rsidRPr="00793E02" w:rsidR="00C0593C">
        <w:rPr>
          <w:rStyle w:val="BodyTextFi"/>
          <w:b/>
          <w:bCs/>
          <w:sz w:val="24"/>
          <w:szCs w:val="24"/>
        </w:rPr>
        <w:t>Estimated</w:t>
      </w:r>
      <w:r w:rsidRPr="00793E02">
        <w:rPr>
          <w:rStyle w:val="BodyTextFi"/>
          <w:b/>
          <w:bCs/>
          <w:sz w:val="24"/>
          <w:szCs w:val="24"/>
        </w:rPr>
        <w:t xml:space="preserve"> Annualized Burden Hours</w:t>
      </w:r>
    </w:p>
    <w:p w:rsidR="00E715F4" w:rsidRDefault="00E715F4" w14:paraId="12A6DCD7" w14:textId="2672DAA8">
      <w:pPr>
        <w:rPr>
          <w:sz w:val="24"/>
          <w:szCs w:val="24"/>
        </w:rPr>
      </w:pPr>
    </w:p>
    <w:tbl>
      <w:tblPr>
        <w:tblW w:w="9710" w:type="dxa"/>
        <w:tblInd w:w="97" w:type="dxa"/>
        <w:tblLayout w:type="fixed"/>
        <w:tblCellMar>
          <w:left w:w="97" w:type="dxa"/>
          <w:right w:w="97" w:type="dxa"/>
        </w:tblCellMar>
        <w:tblLook w:val="0000" w:firstRow="0" w:lastRow="0" w:firstColumn="0" w:lastColumn="0" w:noHBand="0" w:noVBand="0"/>
      </w:tblPr>
      <w:tblGrid>
        <w:gridCol w:w="2870"/>
        <w:gridCol w:w="1440"/>
        <w:gridCol w:w="1260"/>
        <w:gridCol w:w="1340"/>
        <w:gridCol w:w="1360"/>
        <w:gridCol w:w="1440"/>
      </w:tblGrid>
      <w:tr w:rsidRPr="0030062C" w:rsidR="00E715F4" w:rsidTr="00A32A45" w14:paraId="00617381" w14:textId="77777777">
        <w:tc>
          <w:tcPr>
            <w:tcW w:w="2870" w:type="dxa"/>
            <w:tcBorders>
              <w:top w:val="single" w:color="auto" w:sz="2" w:space="0"/>
              <w:left w:val="single" w:color="auto" w:sz="2" w:space="0"/>
              <w:bottom w:val="single" w:color="auto" w:sz="2" w:space="0"/>
              <w:right w:val="single" w:color="auto" w:sz="2" w:space="0"/>
            </w:tcBorders>
            <w:vAlign w:val="bottom"/>
          </w:tcPr>
          <w:p w:rsidRPr="00A32A45" w:rsidR="00E715F4" w:rsidP="00C151CD" w:rsidRDefault="00E715F4" w14:paraId="399AC761" w14:textId="77777777">
            <w:pPr>
              <w:pStyle w:val="BodyText"/>
              <w:tabs>
                <w:tab w:val="left" w:pos="10080"/>
              </w:tabs>
              <w:jc w:val="center"/>
              <w:rPr>
                <w:sz w:val="22"/>
                <w:szCs w:val="22"/>
              </w:rPr>
            </w:pPr>
          </w:p>
          <w:p w:rsidRPr="00A32A45" w:rsidR="00E715F4" w:rsidP="00C151CD" w:rsidRDefault="00E715F4" w14:paraId="01DFB1D4" w14:textId="77777777">
            <w:pPr>
              <w:pStyle w:val="BodyText"/>
              <w:tabs>
                <w:tab w:val="left" w:pos="10080"/>
              </w:tabs>
              <w:jc w:val="center"/>
              <w:rPr>
                <w:sz w:val="22"/>
                <w:szCs w:val="22"/>
              </w:rPr>
            </w:pPr>
            <w:r w:rsidRPr="00A32A45">
              <w:rPr>
                <w:sz w:val="22"/>
                <w:szCs w:val="22"/>
              </w:rPr>
              <w:t>Form Name</w:t>
            </w:r>
          </w:p>
        </w:tc>
        <w:tc>
          <w:tcPr>
            <w:tcW w:w="1440" w:type="dxa"/>
            <w:tcBorders>
              <w:top w:val="single" w:color="auto" w:sz="2" w:space="0"/>
              <w:left w:val="single" w:color="auto" w:sz="2" w:space="0"/>
              <w:bottom w:val="single" w:color="auto" w:sz="2" w:space="0"/>
              <w:right w:val="single" w:color="auto" w:sz="2" w:space="0"/>
            </w:tcBorders>
            <w:vAlign w:val="bottom"/>
          </w:tcPr>
          <w:p w:rsidRPr="00A32A45" w:rsidR="00E715F4" w:rsidP="00C151CD" w:rsidRDefault="00E715F4" w14:paraId="7DB5C078" w14:textId="77777777">
            <w:pPr>
              <w:pStyle w:val="BodyText"/>
              <w:jc w:val="center"/>
              <w:rPr>
                <w:sz w:val="22"/>
                <w:szCs w:val="22"/>
              </w:rPr>
            </w:pPr>
            <w:r w:rsidRPr="00A32A45">
              <w:rPr>
                <w:sz w:val="22"/>
                <w:szCs w:val="22"/>
              </w:rPr>
              <w:t>Number of Respondents</w:t>
            </w:r>
          </w:p>
        </w:tc>
        <w:tc>
          <w:tcPr>
            <w:tcW w:w="1260" w:type="dxa"/>
            <w:tcBorders>
              <w:top w:val="single" w:color="auto" w:sz="2" w:space="0"/>
              <w:left w:val="single" w:color="auto" w:sz="2" w:space="0"/>
              <w:bottom w:val="single" w:color="auto" w:sz="2" w:space="0"/>
              <w:right w:val="single" w:color="auto" w:sz="2" w:space="0"/>
            </w:tcBorders>
            <w:vAlign w:val="bottom"/>
          </w:tcPr>
          <w:p w:rsidRPr="00A32A45" w:rsidR="00E715F4" w:rsidP="00C151CD" w:rsidRDefault="00E715F4" w14:paraId="2EEF0322" w14:textId="77777777">
            <w:pPr>
              <w:pStyle w:val="BodyText"/>
              <w:jc w:val="center"/>
              <w:rPr>
                <w:sz w:val="22"/>
                <w:szCs w:val="22"/>
              </w:rPr>
            </w:pPr>
            <w:r w:rsidRPr="00A32A45">
              <w:rPr>
                <w:sz w:val="22"/>
                <w:szCs w:val="22"/>
              </w:rPr>
              <w:t>Number of Responses per Respondent</w:t>
            </w:r>
          </w:p>
        </w:tc>
        <w:tc>
          <w:tcPr>
            <w:tcW w:w="1340" w:type="dxa"/>
            <w:tcBorders>
              <w:top w:val="single" w:color="auto" w:sz="2" w:space="0"/>
              <w:left w:val="single" w:color="auto" w:sz="2" w:space="0"/>
              <w:bottom w:val="single" w:color="auto" w:sz="2" w:space="0"/>
              <w:right w:val="single" w:color="auto" w:sz="2" w:space="0"/>
            </w:tcBorders>
            <w:vAlign w:val="bottom"/>
          </w:tcPr>
          <w:p w:rsidRPr="00A32A45" w:rsidR="00E715F4" w:rsidP="00C151CD" w:rsidRDefault="00E715F4" w14:paraId="2548DB47" w14:textId="77777777">
            <w:pPr>
              <w:pStyle w:val="BodyText"/>
              <w:jc w:val="center"/>
              <w:rPr>
                <w:sz w:val="22"/>
                <w:szCs w:val="22"/>
              </w:rPr>
            </w:pPr>
            <w:r w:rsidRPr="00A32A45">
              <w:rPr>
                <w:sz w:val="22"/>
                <w:szCs w:val="22"/>
              </w:rPr>
              <w:t>Total Responses</w:t>
            </w:r>
          </w:p>
        </w:tc>
        <w:tc>
          <w:tcPr>
            <w:tcW w:w="1360" w:type="dxa"/>
            <w:tcBorders>
              <w:top w:val="single" w:color="auto" w:sz="2" w:space="0"/>
              <w:left w:val="single" w:color="auto" w:sz="2" w:space="0"/>
              <w:bottom w:val="single" w:color="auto" w:sz="2" w:space="0"/>
              <w:right w:val="single" w:color="auto" w:sz="2" w:space="0"/>
            </w:tcBorders>
            <w:vAlign w:val="bottom"/>
          </w:tcPr>
          <w:p w:rsidRPr="00A32A45" w:rsidR="00E715F4" w:rsidP="00C151CD" w:rsidRDefault="00E715F4" w14:paraId="61F3AD7B" w14:textId="77777777">
            <w:pPr>
              <w:pStyle w:val="BodyText"/>
              <w:jc w:val="center"/>
              <w:rPr>
                <w:sz w:val="22"/>
                <w:szCs w:val="22"/>
              </w:rPr>
            </w:pPr>
            <w:r w:rsidRPr="00A32A45">
              <w:rPr>
                <w:sz w:val="22"/>
                <w:szCs w:val="22"/>
              </w:rPr>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A32A45" w:rsidR="00E715F4" w:rsidP="00C151CD" w:rsidRDefault="00E715F4" w14:paraId="5C533D3F" w14:textId="77777777">
            <w:pPr>
              <w:pStyle w:val="BodyText"/>
              <w:jc w:val="center"/>
              <w:rPr>
                <w:sz w:val="22"/>
                <w:szCs w:val="22"/>
              </w:rPr>
            </w:pPr>
            <w:r w:rsidRPr="00A32A45">
              <w:rPr>
                <w:sz w:val="22"/>
                <w:szCs w:val="22"/>
              </w:rPr>
              <w:t>Total Burden Hours</w:t>
            </w:r>
          </w:p>
        </w:tc>
      </w:tr>
      <w:tr w:rsidRPr="007A3EA6" w:rsidR="00E715F4" w:rsidTr="00A32A45" w14:paraId="454E46C6"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2A3EF9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A Allocations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4CE4FE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52</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80CF6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745360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52</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3DA88E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4</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67158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208</w:t>
            </w:r>
          </w:p>
        </w:tc>
      </w:tr>
      <w:tr w:rsidRPr="007A3EA6" w:rsidR="00E715F4" w:rsidTr="00A32A45" w14:paraId="58A52902"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66FDE5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A Expenditures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355B76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52</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10E9CC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74505F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52</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4A7CBD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4</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2E7BA6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208</w:t>
            </w:r>
          </w:p>
        </w:tc>
      </w:tr>
      <w:tr w:rsidRPr="007A3EA6" w:rsidR="00E715F4" w:rsidTr="00A32A45" w14:paraId="72CBF2BF"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53230A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A CLC</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2460D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52</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549168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697279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52</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67A75A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2</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1A4F64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104</w:t>
            </w:r>
          </w:p>
        </w:tc>
      </w:tr>
      <w:tr w:rsidRPr="007A3EA6" w:rsidR="00E715F4" w:rsidTr="00A32A45" w14:paraId="226F6DFE"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152C8B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B Allocations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68E0B5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54</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F8D35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373B91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54</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34987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6</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36E24B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324</w:t>
            </w:r>
          </w:p>
        </w:tc>
      </w:tr>
      <w:tr w:rsidRPr="007A3EA6" w:rsidR="00E715F4" w:rsidTr="00A32A45" w14:paraId="3C0DF119"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27DB69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B Expenditures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2767CD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54</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544607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1D8CFD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54</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44EA74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6</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718FFD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324</w:t>
            </w:r>
          </w:p>
        </w:tc>
      </w:tr>
      <w:tr w:rsidRPr="007A3EA6" w:rsidR="00E715F4" w:rsidTr="00A32A45" w14:paraId="2B654282"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7DE731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B CLC</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295B8C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54</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38336E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282AB7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54</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9D8EC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2</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61EBBA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108</w:t>
            </w:r>
          </w:p>
        </w:tc>
      </w:tr>
      <w:tr w:rsidRPr="007A3EA6" w:rsidR="00E715F4" w:rsidTr="00A32A45" w14:paraId="6D7ED29A"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66B54F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C Allocations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54C6AF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346</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6544BB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18C781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346</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38B2F3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4</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443983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1,384</w:t>
            </w:r>
          </w:p>
        </w:tc>
      </w:tr>
      <w:tr w:rsidRPr="007A3EA6" w:rsidR="00E715F4" w:rsidTr="00A32A45" w14:paraId="23011A40"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35625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C Expenditures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18AEB5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346</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187B1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4DA118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346</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384002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4</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AACD2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1,384</w:t>
            </w:r>
          </w:p>
        </w:tc>
      </w:tr>
      <w:tr w:rsidRPr="007A3EA6" w:rsidR="00E715F4" w:rsidTr="00A32A45" w14:paraId="6FAE2874"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7C58D1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D Allocations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766379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116</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613FCC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67A542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116</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4A05DC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4</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5DF3DE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464</w:t>
            </w:r>
          </w:p>
        </w:tc>
      </w:tr>
      <w:tr w:rsidRPr="007A3EA6" w:rsidR="00E715F4" w:rsidTr="00A32A45" w14:paraId="3A349890"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0752EA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3EA6">
              <w:rPr>
                <w:sz w:val="24"/>
              </w:rPr>
              <w:t>Part D Expenditures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130642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116</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7242DF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A78DA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116</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596065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4</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6210D1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464</w:t>
            </w:r>
          </w:p>
        </w:tc>
      </w:tr>
      <w:tr w:rsidRPr="007A3EA6" w:rsidR="00E715F4" w:rsidTr="00A32A45" w14:paraId="790EBF2E"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0ECDAC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EHE Allocations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3604C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47</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2070F5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287B93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47</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27DA27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4</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7739A2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188</w:t>
            </w:r>
          </w:p>
        </w:tc>
      </w:tr>
      <w:tr w:rsidRPr="007A3EA6" w:rsidR="00E715F4" w:rsidTr="00A32A45" w14:paraId="19B86544"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45C942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EHE Expenditures Report</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54FE37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47</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37A735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1</w:t>
            </w: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24C70D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47</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3638A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4</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1CD45B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188</w:t>
            </w:r>
          </w:p>
        </w:tc>
      </w:tr>
      <w:tr w:rsidRPr="007A3EA6" w:rsidR="00E715F4" w:rsidTr="00A32A45" w14:paraId="548EB872" w14:textId="77777777">
        <w:tc>
          <w:tcPr>
            <w:tcW w:w="2870" w:type="dxa"/>
            <w:tcBorders>
              <w:top w:val="single" w:color="auto" w:sz="2" w:space="0"/>
              <w:left w:val="single" w:color="auto" w:sz="2" w:space="0"/>
              <w:bottom w:val="single" w:color="auto" w:sz="2" w:space="0"/>
              <w:right w:val="single" w:color="auto" w:sz="2" w:space="0"/>
            </w:tcBorders>
          </w:tcPr>
          <w:p w:rsidRPr="007A3EA6" w:rsidR="00E715F4" w:rsidP="00C151CD" w:rsidRDefault="00E715F4" w14:paraId="5211B3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740985">
              <w:rPr>
                <w:sz w:val="24"/>
                <w:lang w:val="fr-FR"/>
              </w:rPr>
              <w:t>Total</w:t>
            </w: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C23E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r>
              <w:rPr>
                <w:sz w:val="24"/>
                <w:lang w:val="fr-FR"/>
              </w:rPr>
              <w:t>336</w:t>
            </w:r>
          </w:p>
        </w:tc>
        <w:tc>
          <w:tcPr>
            <w:tcW w:w="12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57C393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3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050247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7A3EA6">
              <w:rPr>
                <w:sz w:val="24"/>
                <w:lang w:val="fr-FR"/>
              </w:rPr>
              <w:t>1,</w:t>
            </w:r>
            <w:r>
              <w:rPr>
                <w:sz w:val="24"/>
                <w:lang w:val="fr-FR"/>
              </w:rPr>
              <w:t>336</w:t>
            </w:r>
          </w:p>
        </w:tc>
        <w:tc>
          <w:tcPr>
            <w:tcW w:w="136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438A2B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440" w:type="dxa"/>
            <w:tcBorders>
              <w:top w:val="single" w:color="auto" w:sz="2" w:space="0"/>
              <w:left w:val="single" w:color="auto" w:sz="2" w:space="0"/>
              <w:bottom w:val="single" w:color="auto" w:sz="2" w:space="0"/>
              <w:right w:val="single" w:color="auto" w:sz="2" w:space="0"/>
            </w:tcBorders>
          </w:tcPr>
          <w:p w:rsidRPr="007A3EA6" w:rsidR="00E715F4" w:rsidP="0060075B" w:rsidRDefault="00E715F4" w14:paraId="26A2F4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5,348</w:t>
            </w:r>
          </w:p>
        </w:tc>
      </w:tr>
    </w:tbl>
    <w:p w:rsidRPr="00E715F4" w:rsidR="00E715F4" w:rsidRDefault="00E715F4" w14:paraId="1F3B1B80" w14:textId="77777777">
      <w:pPr>
        <w:rPr>
          <w:sz w:val="24"/>
          <w:szCs w:val="24"/>
        </w:rPr>
      </w:pPr>
    </w:p>
    <w:p w:rsidRPr="00A50FCD" w:rsidR="004B4FAE" w:rsidP="00A50FCD" w:rsidRDefault="00C40614" w14:paraId="6371A17F" w14:textId="613AD520">
      <w:pPr>
        <w:pStyle w:val="BodyText"/>
        <w:spacing w:after="0"/>
        <w:rPr>
          <w:rFonts w:eastAsia="MS Mincho"/>
          <w:b/>
          <w:bCs/>
          <w:sz w:val="24"/>
          <w:szCs w:val="24"/>
        </w:rPr>
      </w:pPr>
      <w:bookmarkStart w:name="OLE_LINK2" w:id="15"/>
      <w:r w:rsidRPr="00863839">
        <w:rPr>
          <w:rFonts w:eastAsia="MS Mincho"/>
          <w:b/>
          <w:bCs/>
          <w:sz w:val="24"/>
          <w:szCs w:val="24"/>
        </w:rPr>
        <w:t>12A</w:t>
      </w:r>
      <w:r w:rsidR="00C0593C">
        <w:rPr>
          <w:rFonts w:eastAsia="MS Mincho"/>
          <w:b/>
          <w:bCs/>
          <w:sz w:val="24"/>
          <w:szCs w:val="24"/>
        </w:rPr>
        <w:t xml:space="preserve">. </w:t>
      </w:r>
      <w:r w:rsidRPr="00863839" w:rsidR="00C0593C">
        <w:rPr>
          <w:rFonts w:eastAsia="MS Mincho"/>
          <w:b/>
          <w:bCs/>
          <w:sz w:val="24"/>
          <w:szCs w:val="24"/>
        </w:rPr>
        <w:t>Estimated</w:t>
      </w:r>
      <w:r w:rsidRPr="00863839">
        <w:rPr>
          <w:rFonts w:eastAsia="MS Mincho"/>
          <w:b/>
          <w:bCs/>
          <w:sz w:val="24"/>
          <w:szCs w:val="24"/>
        </w:rPr>
        <w:t xml:space="preserve"> Annualized Burden Hours</w:t>
      </w:r>
    </w:p>
    <w:p w:rsidRPr="00376584" w:rsidR="00AA65DB" w:rsidP="004B4FAE" w:rsidRDefault="00AA65DB" w14:paraId="05BE71B8" w14:textId="761D4C59">
      <w:pPr>
        <w:pStyle w:val="BodyText"/>
        <w:spacing w:after="0"/>
        <w:rPr>
          <w:rFonts w:eastAsia="MS Mincho"/>
          <w:b/>
          <w:sz w:val="24"/>
          <w:szCs w:val="24"/>
        </w:rPr>
      </w:pPr>
    </w:p>
    <w:p w:rsidRPr="00376584" w:rsidR="00CD36FE" w:rsidP="00CD36FE" w:rsidRDefault="00CD36FE" w14:paraId="4B1F38D4" w14:textId="4CC021C3">
      <w:pPr>
        <w:spacing w:before="120"/>
        <w:rPr>
          <w:rStyle w:val="Hyperlink"/>
          <w:bCs/>
          <w:sz w:val="24"/>
          <w:szCs w:val="24"/>
        </w:rPr>
      </w:pPr>
      <w:r w:rsidRPr="00376584">
        <w:rPr>
          <w:sz w:val="24"/>
          <w:szCs w:val="24"/>
        </w:rPr>
        <w:t>The annualized burden costs for recipients is based on the Bureau of Labor Statistic</w:t>
      </w:r>
      <w:r w:rsidRPr="00376584" w:rsidR="00376584">
        <w:rPr>
          <w:sz w:val="24"/>
          <w:szCs w:val="24"/>
        </w:rPr>
        <w:t xml:space="preserve">s, </w:t>
      </w:r>
      <w:r w:rsidR="00376584">
        <w:rPr>
          <w:sz w:val="24"/>
          <w:szCs w:val="24"/>
        </w:rPr>
        <w:t xml:space="preserve">2018 </w:t>
      </w:r>
      <w:r w:rsidRPr="00376584" w:rsidR="00376584">
        <w:rPr>
          <w:sz w:val="24"/>
          <w:szCs w:val="24"/>
        </w:rPr>
        <w:t>Occupational Employment and Wages, for Budget Analysts</w:t>
      </w:r>
      <w:r w:rsidR="00F57C57">
        <w:rPr>
          <w:sz w:val="24"/>
          <w:szCs w:val="24"/>
        </w:rPr>
        <w:t xml:space="preserve">, </w:t>
      </w:r>
      <w:hyperlink w:history="1" r:id="rId10">
        <w:r w:rsidRPr="00030163" w:rsidR="00376584">
          <w:rPr>
            <w:rStyle w:val="Hyperlink"/>
            <w:sz w:val="24"/>
            <w:szCs w:val="24"/>
          </w:rPr>
          <w:t>https://www</w:t>
        </w:r>
        <w:r w:rsidR="00097FC8">
          <w:rPr>
            <w:rStyle w:val="Hyperlink"/>
            <w:sz w:val="24"/>
            <w:szCs w:val="24"/>
          </w:rPr>
          <w:t xml:space="preserve">. </w:t>
        </w:r>
        <w:r w:rsidRPr="00030163" w:rsidR="00376584">
          <w:rPr>
            <w:rStyle w:val="Hyperlink"/>
            <w:sz w:val="24"/>
            <w:szCs w:val="24"/>
          </w:rPr>
          <w:t>bls</w:t>
        </w:r>
        <w:r w:rsidR="00097FC8">
          <w:rPr>
            <w:rStyle w:val="Hyperlink"/>
            <w:sz w:val="24"/>
            <w:szCs w:val="24"/>
          </w:rPr>
          <w:t xml:space="preserve">. </w:t>
        </w:r>
        <w:r w:rsidRPr="00030163" w:rsidR="00376584">
          <w:rPr>
            <w:rStyle w:val="Hyperlink"/>
            <w:sz w:val="24"/>
            <w:szCs w:val="24"/>
          </w:rPr>
          <w:t>gov/oes/current/oes132031</w:t>
        </w:r>
        <w:r w:rsidR="00097FC8">
          <w:rPr>
            <w:rStyle w:val="Hyperlink"/>
            <w:sz w:val="24"/>
            <w:szCs w:val="24"/>
          </w:rPr>
          <w:t xml:space="preserve">. </w:t>
        </w:r>
        <w:r w:rsidRPr="00030163" w:rsidR="00376584">
          <w:rPr>
            <w:rStyle w:val="Hyperlink"/>
            <w:sz w:val="24"/>
            <w:szCs w:val="24"/>
          </w:rPr>
          <w:t>htm</w:t>
        </w:r>
      </w:hyperlink>
      <w:r w:rsidR="00097FC8">
        <w:rPr>
          <w:rStyle w:val="Hyperlink"/>
          <w:sz w:val="24"/>
          <w:szCs w:val="24"/>
        </w:rPr>
        <w:t xml:space="preserve">. </w:t>
      </w:r>
      <w:r w:rsidRPr="00376584" w:rsidR="00376584">
        <w:rPr>
          <w:rStyle w:val="Hyperlink"/>
          <w:bCs/>
          <w:sz w:val="24"/>
          <w:szCs w:val="24"/>
        </w:rPr>
        <w:t xml:space="preserve"> </w:t>
      </w:r>
      <w:r w:rsidR="00F57C57">
        <w:rPr>
          <w:rStyle w:val="Hyperlink"/>
          <w:bCs/>
          <w:sz w:val="24"/>
          <w:szCs w:val="24"/>
        </w:rPr>
        <w:t>The net total hour cost, $205,256</w:t>
      </w:r>
      <w:r w:rsidR="00097FC8">
        <w:rPr>
          <w:rStyle w:val="Hyperlink"/>
          <w:bCs/>
          <w:sz w:val="24"/>
          <w:szCs w:val="24"/>
        </w:rPr>
        <w:t xml:space="preserve">. </w:t>
      </w:r>
      <w:r w:rsidR="00F57C57">
        <w:rPr>
          <w:rStyle w:val="Hyperlink"/>
          <w:bCs/>
          <w:sz w:val="24"/>
          <w:szCs w:val="24"/>
        </w:rPr>
        <w:t>24, is doubled to account for employer overhead and fringe benefits, yielding a total hour cost of $410,512</w:t>
      </w:r>
      <w:r w:rsidR="00097FC8">
        <w:rPr>
          <w:rStyle w:val="Hyperlink"/>
          <w:bCs/>
          <w:sz w:val="24"/>
          <w:szCs w:val="24"/>
        </w:rPr>
        <w:t xml:space="preserve">. </w:t>
      </w:r>
      <w:r w:rsidR="00F57C57">
        <w:rPr>
          <w:rStyle w:val="Hyperlink"/>
          <w:bCs/>
          <w:sz w:val="24"/>
          <w:szCs w:val="24"/>
        </w:rPr>
        <w:t>48</w:t>
      </w:r>
      <w:r w:rsidR="00097FC8">
        <w:rPr>
          <w:rStyle w:val="Hyperlink"/>
          <w:bCs/>
          <w:sz w:val="24"/>
          <w:szCs w:val="24"/>
        </w:rPr>
        <w:t xml:space="preserve">. </w:t>
      </w:r>
    </w:p>
    <w:p w:rsidR="00CD36FE" w:rsidP="00CD36FE" w:rsidRDefault="00CD36FE" w14:paraId="2DD2F482" w14:textId="77777777">
      <w:pPr>
        <w:spacing w:before="120"/>
        <w:rPr>
          <w:bCs/>
          <w:sz w:val="22"/>
          <w:szCs w:val="22"/>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58"/>
        <w:gridCol w:w="2160"/>
        <w:gridCol w:w="1890"/>
        <w:gridCol w:w="3937"/>
      </w:tblGrid>
      <w:tr w:rsidRPr="00376584" w:rsidR="00CD36FE" w:rsidTr="00EC1BA8" w14:paraId="3A4D2AD9" w14:textId="77777777">
        <w:trPr>
          <w:trHeight w:val="1133"/>
        </w:trPr>
        <w:tc>
          <w:tcPr>
            <w:tcW w:w="1458" w:type="dxa"/>
            <w:vAlign w:val="center"/>
          </w:tcPr>
          <w:p w:rsidRPr="00376584" w:rsidR="00CD36FE" w:rsidP="00C151CD" w:rsidRDefault="00CD36FE" w14:paraId="07D40CE3" w14:textId="77777777">
            <w:pPr>
              <w:jc w:val="center"/>
              <w:rPr>
                <w:b/>
                <w:sz w:val="24"/>
                <w:szCs w:val="24"/>
              </w:rPr>
            </w:pPr>
            <w:r w:rsidRPr="00376584">
              <w:rPr>
                <w:b/>
                <w:sz w:val="24"/>
                <w:szCs w:val="24"/>
              </w:rPr>
              <w:t>Type of Respondent</w:t>
            </w:r>
          </w:p>
        </w:tc>
        <w:tc>
          <w:tcPr>
            <w:tcW w:w="2160" w:type="dxa"/>
            <w:vAlign w:val="center"/>
          </w:tcPr>
          <w:p w:rsidRPr="00376584" w:rsidR="00CD36FE" w:rsidP="00C151CD" w:rsidRDefault="00CD36FE" w14:paraId="6CFF1B35" w14:textId="77777777">
            <w:pPr>
              <w:jc w:val="center"/>
              <w:rPr>
                <w:b/>
                <w:sz w:val="24"/>
                <w:szCs w:val="24"/>
              </w:rPr>
            </w:pPr>
            <w:r w:rsidRPr="00376584">
              <w:rPr>
                <w:b/>
                <w:sz w:val="24"/>
                <w:szCs w:val="24"/>
              </w:rPr>
              <w:t>Total Burden Hours</w:t>
            </w:r>
          </w:p>
        </w:tc>
        <w:tc>
          <w:tcPr>
            <w:tcW w:w="1890" w:type="dxa"/>
            <w:vAlign w:val="center"/>
          </w:tcPr>
          <w:p w:rsidRPr="00376584" w:rsidR="00CD36FE" w:rsidP="00C151CD" w:rsidRDefault="00CD36FE" w14:paraId="11C3A9AE" w14:textId="77777777">
            <w:pPr>
              <w:jc w:val="center"/>
              <w:rPr>
                <w:b/>
                <w:sz w:val="24"/>
                <w:szCs w:val="24"/>
              </w:rPr>
            </w:pPr>
            <w:r w:rsidRPr="00376584">
              <w:rPr>
                <w:b/>
                <w:sz w:val="24"/>
                <w:szCs w:val="24"/>
              </w:rPr>
              <w:t>Hourly Wage Rate</w:t>
            </w:r>
          </w:p>
        </w:tc>
        <w:tc>
          <w:tcPr>
            <w:tcW w:w="3937" w:type="dxa"/>
            <w:vAlign w:val="center"/>
          </w:tcPr>
          <w:p w:rsidRPr="00376584" w:rsidR="00CD36FE" w:rsidP="00C151CD" w:rsidRDefault="00CD36FE" w14:paraId="1A514192" w14:textId="77777777">
            <w:pPr>
              <w:jc w:val="center"/>
              <w:rPr>
                <w:b/>
                <w:sz w:val="24"/>
                <w:szCs w:val="24"/>
              </w:rPr>
            </w:pPr>
            <w:r w:rsidRPr="00376584">
              <w:rPr>
                <w:b/>
                <w:sz w:val="24"/>
                <w:szCs w:val="24"/>
              </w:rPr>
              <w:t>Total Respondent Costs</w:t>
            </w:r>
          </w:p>
        </w:tc>
      </w:tr>
      <w:tr w:rsidRPr="00376584" w:rsidR="00CD36FE" w:rsidTr="00EC1BA8" w14:paraId="075A798A" w14:textId="77777777">
        <w:tc>
          <w:tcPr>
            <w:tcW w:w="1458" w:type="dxa"/>
            <w:vAlign w:val="center"/>
          </w:tcPr>
          <w:p w:rsidRPr="00376584" w:rsidR="00CD36FE" w:rsidP="00C151CD" w:rsidRDefault="00376584" w14:paraId="3D719223" w14:textId="37CC61CA">
            <w:pPr>
              <w:rPr>
                <w:sz w:val="24"/>
                <w:szCs w:val="24"/>
              </w:rPr>
            </w:pPr>
            <w:r w:rsidRPr="00376584">
              <w:rPr>
                <w:sz w:val="24"/>
                <w:szCs w:val="24"/>
              </w:rPr>
              <w:t>Budget Analysts</w:t>
            </w:r>
          </w:p>
        </w:tc>
        <w:tc>
          <w:tcPr>
            <w:tcW w:w="2160" w:type="dxa"/>
            <w:vAlign w:val="center"/>
          </w:tcPr>
          <w:p w:rsidRPr="00376584" w:rsidR="00CD36FE" w:rsidP="00C151CD" w:rsidRDefault="00376584" w14:paraId="4900113F" w14:textId="402C1669">
            <w:pPr>
              <w:jc w:val="center"/>
              <w:rPr>
                <w:sz w:val="24"/>
                <w:szCs w:val="24"/>
              </w:rPr>
            </w:pPr>
            <w:r w:rsidRPr="00376584">
              <w:rPr>
                <w:sz w:val="24"/>
                <w:szCs w:val="24"/>
              </w:rPr>
              <w:t>5,348</w:t>
            </w:r>
          </w:p>
        </w:tc>
        <w:tc>
          <w:tcPr>
            <w:tcW w:w="1890" w:type="dxa"/>
            <w:vAlign w:val="center"/>
          </w:tcPr>
          <w:p w:rsidRPr="00376584" w:rsidR="00CD36FE" w:rsidP="00C151CD" w:rsidRDefault="00376584" w14:paraId="22A27122" w14:textId="738BC0C9">
            <w:pPr>
              <w:jc w:val="center"/>
              <w:rPr>
                <w:sz w:val="24"/>
                <w:szCs w:val="24"/>
              </w:rPr>
            </w:pPr>
            <w:r w:rsidRPr="00376584">
              <w:rPr>
                <w:sz w:val="24"/>
                <w:szCs w:val="24"/>
              </w:rPr>
              <w:t>38</w:t>
            </w:r>
            <w:r w:rsidR="00097FC8">
              <w:rPr>
                <w:sz w:val="24"/>
                <w:szCs w:val="24"/>
              </w:rPr>
              <w:t xml:space="preserve">. </w:t>
            </w:r>
            <w:r w:rsidRPr="00376584">
              <w:rPr>
                <w:sz w:val="24"/>
                <w:szCs w:val="24"/>
              </w:rPr>
              <w:t>38</w:t>
            </w:r>
          </w:p>
        </w:tc>
        <w:tc>
          <w:tcPr>
            <w:tcW w:w="3937" w:type="dxa"/>
            <w:vAlign w:val="center"/>
          </w:tcPr>
          <w:p w:rsidRPr="00376584" w:rsidR="00CD36FE" w:rsidP="00C151CD" w:rsidRDefault="00F57C57" w14:paraId="4CDAF79F" w14:textId="0CBC009C">
            <w:pPr>
              <w:jc w:val="center"/>
              <w:rPr>
                <w:sz w:val="24"/>
                <w:szCs w:val="24"/>
              </w:rPr>
            </w:pPr>
            <w:r>
              <w:rPr>
                <w:sz w:val="24"/>
                <w:szCs w:val="24"/>
              </w:rPr>
              <w:t>$</w:t>
            </w:r>
            <w:r w:rsidRPr="00376584" w:rsidR="00376584">
              <w:rPr>
                <w:sz w:val="24"/>
                <w:szCs w:val="24"/>
              </w:rPr>
              <w:t>205,256</w:t>
            </w:r>
            <w:r w:rsidR="00097FC8">
              <w:rPr>
                <w:sz w:val="24"/>
                <w:szCs w:val="24"/>
              </w:rPr>
              <w:t xml:space="preserve">. </w:t>
            </w:r>
            <w:r w:rsidRPr="00376584" w:rsidR="00376584">
              <w:rPr>
                <w:sz w:val="24"/>
                <w:szCs w:val="24"/>
              </w:rPr>
              <w:t>24</w:t>
            </w:r>
            <w:r>
              <w:rPr>
                <w:sz w:val="24"/>
                <w:szCs w:val="24"/>
              </w:rPr>
              <w:t xml:space="preserve"> x 2 (overhead/fringe)= $410,512</w:t>
            </w:r>
            <w:r w:rsidR="00097FC8">
              <w:rPr>
                <w:sz w:val="24"/>
                <w:szCs w:val="24"/>
              </w:rPr>
              <w:t xml:space="preserve">. </w:t>
            </w:r>
            <w:r>
              <w:rPr>
                <w:sz w:val="24"/>
                <w:szCs w:val="24"/>
              </w:rPr>
              <w:t>48</w:t>
            </w:r>
          </w:p>
        </w:tc>
      </w:tr>
    </w:tbl>
    <w:p w:rsidRPr="00376584" w:rsidR="00CD36FE" w:rsidP="00CD36FE" w:rsidRDefault="00CD36FE" w14:paraId="34F55064" w14:textId="77777777">
      <w:pPr>
        <w:rPr>
          <w:sz w:val="24"/>
          <w:szCs w:val="24"/>
        </w:rPr>
      </w:pPr>
    </w:p>
    <w:p w:rsidRPr="00A50FCD" w:rsidR="00D17563" w:rsidP="00A50FCD" w:rsidRDefault="00533918" w14:paraId="5E23E15D" w14:textId="21457F00">
      <w:pPr>
        <w:tabs>
          <w:tab w:val="left" w:pos="360"/>
        </w:tabs>
        <w:autoSpaceDE w:val="0"/>
        <w:autoSpaceDN w:val="0"/>
        <w:adjustRightInd w:val="0"/>
        <w:spacing w:before="240"/>
        <w:rPr>
          <w:b/>
          <w:bCs/>
          <w:sz w:val="24"/>
          <w:szCs w:val="24"/>
        </w:rPr>
      </w:pPr>
      <w:bookmarkStart w:name="_Toc209407064" w:id="16"/>
      <w:bookmarkEnd w:id="15"/>
      <w:r w:rsidRPr="00863839">
        <w:rPr>
          <w:b/>
          <w:bCs/>
          <w:sz w:val="24"/>
          <w:szCs w:val="24"/>
        </w:rPr>
        <w:t>13</w:t>
      </w:r>
      <w:r w:rsidR="00097FC8">
        <w:rPr>
          <w:b/>
          <w:bCs/>
          <w:sz w:val="24"/>
          <w:szCs w:val="24"/>
        </w:rPr>
        <w:t xml:space="preserve">. </w:t>
      </w:r>
      <w:bookmarkEnd w:id="16"/>
      <w:r w:rsidRPr="00D17563" w:rsidR="00D17563">
        <w:rPr>
          <w:b/>
          <w:sz w:val="24"/>
        </w:rPr>
        <w:tab/>
      </w:r>
      <w:r w:rsidRPr="00863839" w:rsidR="00D17563">
        <w:rPr>
          <w:b/>
          <w:bCs/>
          <w:sz w:val="24"/>
          <w:szCs w:val="24"/>
          <w:u w:val="single"/>
        </w:rPr>
        <w:t>Estimates of other Total Annual Cost Burden to Respondents or Recordkeepers/Capital Costs</w:t>
      </w:r>
    </w:p>
    <w:p w:rsidR="00533918" w:rsidP="008647FE" w:rsidRDefault="00533918" w14:paraId="2189A054" w14:textId="77777777">
      <w:pPr>
        <w:rPr>
          <w:b/>
          <w:sz w:val="24"/>
          <w:szCs w:val="24"/>
          <w:u w:val="single"/>
        </w:rPr>
      </w:pPr>
    </w:p>
    <w:p w:rsidRPr="00A50FCD" w:rsidR="00533918" w:rsidRDefault="00F504C9" w14:paraId="37D86D70" w14:textId="598D65A2">
      <w:pPr>
        <w:widowControl/>
        <w:rPr>
          <w:rStyle w:val="BodyTextFi"/>
          <w:sz w:val="24"/>
          <w:szCs w:val="24"/>
        </w:rPr>
      </w:pPr>
      <w:r w:rsidRPr="00863839">
        <w:rPr>
          <w:rStyle w:val="BodyTextFi"/>
          <w:sz w:val="24"/>
          <w:szCs w:val="24"/>
        </w:rPr>
        <w:t>Grant recipients</w:t>
      </w:r>
      <w:r w:rsidRPr="00863839" w:rsidR="00533918">
        <w:rPr>
          <w:rStyle w:val="BodyTextFi"/>
          <w:sz w:val="24"/>
          <w:szCs w:val="24"/>
        </w:rPr>
        <w:t xml:space="preserve"> are responsible for maintaining their own data system</w:t>
      </w:r>
      <w:r w:rsidR="00097FC8">
        <w:rPr>
          <w:rStyle w:val="BodyTextFi"/>
          <w:sz w:val="24"/>
          <w:szCs w:val="24"/>
        </w:rPr>
        <w:t xml:space="preserve">. </w:t>
      </w:r>
      <w:r w:rsidR="007E47C7">
        <w:rPr>
          <w:rStyle w:val="BodyTextFi"/>
          <w:sz w:val="24"/>
          <w:szCs w:val="24"/>
        </w:rPr>
        <w:t xml:space="preserve"> T</w:t>
      </w:r>
      <w:r w:rsidRPr="00E720BF" w:rsidR="00533918">
        <w:rPr>
          <w:rStyle w:val="BodyTextFi"/>
          <w:sz w:val="24"/>
          <w:szCs w:val="24"/>
        </w:rPr>
        <w:t>here are no direct costs to respondents other than their time in participating in the data collection and quality assurance</w:t>
      </w:r>
      <w:r w:rsidR="00097FC8">
        <w:rPr>
          <w:rStyle w:val="BodyTextFi"/>
          <w:sz w:val="24"/>
          <w:szCs w:val="24"/>
        </w:rPr>
        <w:t xml:space="preserve">. </w:t>
      </w:r>
    </w:p>
    <w:p w:rsidR="00FE24BC" w:rsidRDefault="00FE24BC" w14:paraId="04EB4100" w14:textId="4A5A9E4B">
      <w:pPr>
        <w:widowControl/>
        <w:rPr>
          <w:rStyle w:val="BodyTextFi"/>
          <w:sz w:val="24"/>
        </w:rPr>
      </w:pPr>
    </w:p>
    <w:p w:rsidR="00443083" w:rsidRDefault="00443083" w14:paraId="11778C99" w14:textId="77777777">
      <w:pPr>
        <w:widowControl/>
        <w:rPr>
          <w:rStyle w:val="BodyTextFi"/>
          <w:sz w:val="24"/>
        </w:rPr>
      </w:pPr>
    </w:p>
    <w:p w:rsidRPr="00A50FCD" w:rsidR="00533918" w:rsidRDefault="00D17563" w14:paraId="5C4626E3" w14:textId="09B9DC50">
      <w:pPr>
        <w:pStyle w:val="ColorfulList-Accent11"/>
        <w:widowControl/>
        <w:tabs>
          <w:tab w:val="left" w:pos="360"/>
        </w:tabs>
        <w:ind w:left="0"/>
        <w:outlineLvl w:val="1"/>
        <w:rPr>
          <w:b/>
          <w:bCs/>
          <w:sz w:val="24"/>
          <w:szCs w:val="24"/>
          <w:u w:val="single"/>
        </w:rPr>
      </w:pPr>
      <w:bookmarkStart w:name="_Toc209407065" w:id="17"/>
      <w:r w:rsidRPr="00863839">
        <w:rPr>
          <w:b/>
          <w:bCs/>
          <w:sz w:val="24"/>
          <w:szCs w:val="24"/>
        </w:rPr>
        <w:t>14</w:t>
      </w:r>
      <w:r w:rsidR="00097FC8">
        <w:rPr>
          <w:b/>
          <w:bCs/>
          <w:sz w:val="24"/>
          <w:szCs w:val="24"/>
        </w:rPr>
        <w:t xml:space="preserve">. </w:t>
      </w:r>
      <w:r w:rsidRPr="00D17563">
        <w:rPr>
          <w:b/>
          <w:sz w:val="24"/>
        </w:rPr>
        <w:tab/>
      </w:r>
      <w:r w:rsidRPr="00863839" w:rsidR="00533918">
        <w:rPr>
          <w:b/>
          <w:bCs/>
          <w:sz w:val="24"/>
          <w:szCs w:val="24"/>
          <w:u w:val="single"/>
        </w:rPr>
        <w:t>Annualized Cost to the Federal Government</w:t>
      </w:r>
      <w:bookmarkEnd w:id="17"/>
    </w:p>
    <w:p w:rsidR="00362132" w:rsidRDefault="00362132" w14:paraId="44B06BF2" w14:textId="77777777">
      <w:pPr>
        <w:widowControl/>
        <w:rPr>
          <w:sz w:val="24"/>
          <w:szCs w:val="24"/>
        </w:rPr>
      </w:pPr>
    </w:p>
    <w:p w:rsidR="00AD6D08" w:rsidRDefault="003F14B3" w14:paraId="5FB5F749" w14:textId="3839E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HRSA maintain</w:t>
      </w:r>
      <w:r w:rsidR="003A1179">
        <w:rPr>
          <w:rStyle w:val="BodyTextFi"/>
          <w:sz w:val="24"/>
          <w:szCs w:val="24"/>
        </w:rPr>
        <w:t>s</w:t>
      </w:r>
      <w:r w:rsidRPr="00863839">
        <w:rPr>
          <w:rStyle w:val="BodyTextFi"/>
          <w:sz w:val="24"/>
          <w:szCs w:val="24"/>
        </w:rPr>
        <w:t xml:space="preserve"> a contract to provide technical assistance, the distribution of OMB-approved forms, data entry and analysis</w:t>
      </w:r>
      <w:r w:rsidR="003A1179">
        <w:rPr>
          <w:rStyle w:val="BodyTextFi"/>
          <w:sz w:val="24"/>
          <w:szCs w:val="24"/>
        </w:rPr>
        <w:t xml:space="preserve"> </w:t>
      </w:r>
      <w:r w:rsidR="00AD6D08">
        <w:rPr>
          <w:rStyle w:val="BodyTextFi"/>
          <w:sz w:val="24"/>
          <w:szCs w:val="24"/>
        </w:rPr>
        <w:t xml:space="preserve">combined </w:t>
      </w:r>
      <w:r w:rsidR="00A7186C">
        <w:rPr>
          <w:rStyle w:val="BodyTextFi"/>
          <w:sz w:val="24"/>
          <w:szCs w:val="24"/>
        </w:rPr>
        <w:t>f</w:t>
      </w:r>
      <w:r w:rsidR="003A1179">
        <w:rPr>
          <w:rStyle w:val="BodyTextFi"/>
          <w:sz w:val="24"/>
          <w:szCs w:val="24"/>
        </w:rPr>
        <w:t xml:space="preserve">or </w:t>
      </w:r>
      <w:r w:rsidR="00A7186C">
        <w:rPr>
          <w:rStyle w:val="BodyTextFi"/>
          <w:sz w:val="24"/>
          <w:szCs w:val="24"/>
        </w:rPr>
        <w:t xml:space="preserve">the A&amp;E and other </w:t>
      </w:r>
      <w:r w:rsidR="001A3EA7">
        <w:rPr>
          <w:rStyle w:val="BodyTextFi"/>
          <w:sz w:val="24"/>
          <w:szCs w:val="24"/>
        </w:rPr>
        <w:t xml:space="preserve">RWHAP </w:t>
      </w:r>
      <w:r w:rsidR="003A1179">
        <w:rPr>
          <w:rStyle w:val="BodyTextFi"/>
          <w:sz w:val="24"/>
          <w:szCs w:val="24"/>
        </w:rPr>
        <w:t xml:space="preserve">data collection </w:t>
      </w:r>
      <w:r w:rsidR="00AD6D08">
        <w:rPr>
          <w:rStyle w:val="BodyTextFi"/>
          <w:sz w:val="24"/>
          <w:szCs w:val="24"/>
        </w:rPr>
        <w:t xml:space="preserve">support </w:t>
      </w:r>
      <w:r w:rsidR="003A1179">
        <w:rPr>
          <w:rStyle w:val="BodyTextFi"/>
          <w:sz w:val="24"/>
          <w:szCs w:val="24"/>
        </w:rPr>
        <w:t>activities</w:t>
      </w:r>
      <w:r w:rsidR="00097FC8">
        <w:rPr>
          <w:rStyle w:val="BodyTextFi"/>
          <w:sz w:val="24"/>
          <w:szCs w:val="24"/>
        </w:rPr>
        <w:t xml:space="preserve">. </w:t>
      </w:r>
      <w:r w:rsidR="001A3EA7">
        <w:rPr>
          <w:rStyle w:val="BodyTextFi"/>
          <w:sz w:val="24"/>
          <w:szCs w:val="24"/>
        </w:rPr>
        <w:t xml:space="preserve"> </w:t>
      </w:r>
      <w:r w:rsidR="00AD6D08">
        <w:rPr>
          <w:rStyle w:val="BodyTextFi"/>
          <w:sz w:val="24"/>
          <w:szCs w:val="24"/>
        </w:rPr>
        <w:t>While not a separate budget line item, t</w:t>
      </w:r>
      <w:r w:rsidR="001A3EA7">
        <w:rPr>
          <w:rStyle w:val="BodyTextFi"/>
          <w:sz w:val="24"/>
          <w:szCs w:val="24"/>
        </w:rPr>
        <w:t xml:space="preserve">he </w:t>
      </w:r>
      <w:r w:rsidR="00AD6D08">
        <w:rPr>
          <w:rStyle w:val="BodyTextFi"/>
          <w:sz w:val="24"/>
          <w:szCs w:val="24"/>
        </w:rPr>
        <w:t xml:space="preserve">contract </w:t>
      </w:r>
      <w:r w:rsidR="001A3EA7">
        <w:rPr>
          <w:rStyle w:val="BodyTextFi"/>
          <w:sz w:val="24"/>
          <w:szCs w:val="24"/>
        </w:rPr>
        <w:t xml:space="preserve">cost to support the A&amp;E data collection is estimated to be </w:t>
      </w:r>
      <w:r w:rsidR="000E3ED9">
        <w:rPr>
          <w:rStyle w:val="BodyTextFi"/>
          <w:sz w:val="24"/>
          <w:szCs w:val="24"/>
        </w:rPr>
        <w:t xml:space="preserve">approximately </w:t>
      </w:r>
      <w:r w:rsidR="001A3EA7">
        <w:rPr>
          <w:rStyle w:val="BodyTextFi"/>
          <w:sz w:val="24"/>
          <w:szCs w:val="24"/>
        </w:rPr>
        <w:t xml:space="preserve">25% of </w:t>
      </w:r>
      <w:r w:rsidR="000E3ED9">
        <w:rPr>
          <w:rStyle w:val="BodyTextFi"/>
          <w:sz w:val="24"/>
          <w:szCs w:val="24"/>
        </w:rPr>
        <w:t xml:space="preserve">the </w:t>
      </w:r>
      <w:r w:rsidR="005F72D5">
        <w:rPr>
          <w:rStyle w:val="BodyTextFi"/>
          <w:sz w:val="24"/>
          <w:szCs w:val="24"/>
        </w:rPr>
        <w:t xml:space="preserve">itemized </w:t>
      </w:r>
      <w:r w:rsidR="000E3ED9">
        <w:rPr>
          <w:rStyle w:val="BodyTextFi"/>
          <w:sz w:val="24"/>
          <w:szCs w:val="24"/>
        </w:rPr>
        <w:t>cost for supporting data collection of the P</w:t>
      </w:r>
      <w:r w:rsidR="001A3EA7">
        <w:rPr>
          <w:rStyle w:val="BodyTextFi"/>
          <w:sz w:val="24"/>
          <w:szCs w:val="24"/>
        </w:rPr>
        <w:t>rogram Terms Report (PTR)</w:t>
      </w:r>
      <w:r w:rsidR="00AD6D08">
        <w:rPr>
          <w:rStyle w:val="BodyTextFi"/>
          <w:sz w:val="24"/>
          <w:szCs w:val="24"/>
        </w:rPr>
        <w:t>,</w:t>
      </w:r>
      <w:r w:rsidR="00A7186C">
        <w:rPr>
          <w:rStyle w:val="BodyTextFi"/>
          <w:sz w:val="24"/>
          <w:szCs w:val="24"/>
        </w:rPr>
        <w:t xml:space="preserve"> as shown below</w:t>
      </w:r>
      <w:r w:rsidR="00097FC8">
        <w:rPr>
          <w:rStyle w:val="BodyTextFi"/>
          <w:sz w:val="24"/>
          <w:szCs w:val="24"/>
        </w:rPr>
        <w:t xml:space="preserve">.  </w:t>
      </w:r>
      <w:r w:rsidR="00AD6D08">
        <w:rPr>
          <w:rStyle w:val="BodyTextFi"/>
          <w:sz w:val="24"/>
          <w:szCs w:val="24"/>
        </w:rPr>
        <w:t xml:space="preserve">The estimated average annual cost is </w:t>
      </w:r>
      <w:r w:rsidR="005F72D5">
        <w:rPr>
          <w:rStyle w:val="BodyTextFi"/>
          <w:sz w:val="24"/>
          <w:szCs w:val="24"/>
        </w:rPr>
        <w:t xml:space="preserve">$781,302 x 25% = </w:t>
      </w:r>
      <w:r w:rsidR="00AD6D08">
        <w:rPr>
          <w:rStyle w:val="BodyTextFi"/>
          <w:sz w:val="24"/>
          <w:szCs w:val="24"/>
        </w:rPr>
        <w:t>$195,326</w:t>
      </w:r>
      <w:r w:rsidR="00097FC8">
        <w:rPr>
          <w:rStyle w:val="BodyTextFi"/>
          <w:sz w:val="24"/>
          <w:szCs w:val="24"/>
        </w:rPr>
        <w:t xml:space="preserve">. </w:t>
      </w:r>
    </w:p>
    <w:p w:rsidR="00CB5F6B" w:rsidRDefault="00AD6D08" w14:paraId="5510144E" w14:textId="7251E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Pr>
          <w:rStyle w:val="BodyTextFi"/>
          <w:sz w:val="24"/>
          <w:szCs w:val="24"/>
        </w:rPr>
        <w:t xml:space="preserve"> </w:t>
      </w:r>
      <w:r w:rsidR="001A3EA7">
        <w:rPr>
          <w:rStyle w:val="BodyTextFi"/>
          <w:sz w:val="24"/>
          <w:szCs w:val="24"/>
        </w:rPr>
        <w:t xml:space="preserve">  </w:t>
      </w:r>
    </w:p>
    <w:tbl>
      <w:tblPr>
        <w:tblW w:w="9090" w:type="dxa"/>
        <w:tblLayout w:type="fixed"/>
        <w:tblLook w:val="04A0" w:firstRow="1" w:lastRow="0" w:firstColumn="1" w:lastColumn="0" w:noHBand="0" w:noVBand="1"/>
      </w:tblPr>
      <w:tblGrid>
        <w:gridCol w:w="2340"/>
        <w:gridCol w:w="1710"/>
        <w:gridCol w:w="1890"/>
        <w:gridCol w:w="1890"/>
        <w:gridCol w:w="1260"/>
      </w:tblGrid>
      <w:tr w:rsidRPr="008851A7" w:rsidR="00CB5F6B" w:rsidTr="00EC1BA8" w14:paraId="3A7DFAAF" w14:textId="77777777">
        <w:trPr>
          <w:trHeight w:val="423"/>
        </w:trPr>
        <w:tc>
          <w:tcPr>
            <w:tcW w:w="2340" w:type="dxa"/>
            <w:shd w:val="clear" w:color="auto" w:fill="6C6F71"/>
            <w:noWrap/>
            <w:vAlign w:val="bottom"/>
            <w:hideMark/>
          </w:tcPr>
          <w:p w:rsidRPr="008851A7" w:rsidR="00CB5F6B" w:rsidP="00B223C9" w:rsidRDefault="00591598" w14:paraId="64E7D717" w14:textId="30C160D0">
            <w:pPr>
              <w:pStyle w:val="TableHeaderLeft"/>
            </w:pPr>
            <w:r>
              <w:t>Contract</w:t>
            </w:r>
            <w:r w:rsidR="00CB5F6B">
              <w:t xml:space="preserve"> y</w:t>
            </w:r>
            <w:r w:rsidRPr="008851A7" w:rsidR="00CB5F6B">
              <w:t>ear</w:t>
            </w:r>
          </w:p>
        </w:tc>
        <w:tc>
          <w:tcPr>
            <w:tcW w:w="1710" w:type="dxa"/>
            <w:shd w:val="clear" w:color="auto" w:fill="6C6F71"/>
          </w:tcPr>
          <w:p w:rsidRPr="008851A7" w:rsidR="00CB5F6B" w:rsidP="00B223C9" w:rsidRDefault="00CB5F6B" w14:paraId="2D3376A2" w14:textId="40B03E35">
            <w:pPr>
              <w:pStyle w:val="TableHeaderCenter"/>
            </w:pPr>
          </w:p>
        </w:tc>
        <w:tc>
          <w:tcPr>
            <w:tcW w:w="1890" w:type="dxa"/>
            <w:shd w:val="clear" w:color="auto" w:fill="6C6F71"/>
            <w:noWrap/>
            <w:vAlign w:val="bottom"/>
            <w:hideMark/>
          </w:tcPr>
          <w:p w:rsidRPr="00854373" w:rsidR="00CB5F6B" w:rsidP="00B223C9" w:rsidRDefault="00CB5F6B" w14:paraId="2A5AE032" w14:textId="06DCCC19">
            <w:pPr>
              <w:pStyle w:val="TableHeaderCenter"/>
            </w:pPr>
            <w:r>
              <w:t xml:space="preserve">Task 2 </w:t>
            </w:r>
            <w:r w:rsidR="00591598">
              <w:t>(</w:t>
            </w:r>
            <w:r>
              <w:t>PTR</w:t>
            </w:r>
            <w:r w:rsidR="00591598">
              <w:t>)</w:t>
            </w:r>
            <w:r>
              <w:t xml:space="preserve"> </w:t>
            </w:r>
            <w:r w:rsidRPr="00854373">
              <w:t>cost</w:t>
            </w:r>
          </w:p>
        </w:tc>
        <w:tc>
          <w:tcPr>
            <w:tcW w:w="1890" w:type="dxa"/>
            <w:shd w:val="clear" w:color="auto" w:fill="6C6F71"/>
            <w:noWrap/>
            <w:vAlign w:val="bottom"/>
            <w:hideMark/>
          </w:tcPr>
          <w:p w:rsidRPr="008851A7" w:rsidR="00CB5F6B" w:rsidP="00A7186C" w:rsidRDefault="00CB5F6B" w14:paraId="7B57B29B" w14:textId="4DE3A504">
            <w:pPr>
              <w:pStyle w:val="TableHeaderCenter"/>
              <w:ind w:right="-103"/>
            </w:pPr>
            <w:r>
              <w:t>A&amp;E</w:t>
            </w:r>
            <w:r w:rsidRPr="008851A7">
              <w:t xml:space="preserve"> </w:t>
            </w:r>
            <w:r w:rsidR="00591598">
              <w:t xml:space="preserve">estimated </w:t>
            </w:r>
            <w:r w:rsidRPr="008851A7">
              <w:t>cost</w:t>
            </w:r>
            <w:r>
              <w:t xml:space="preserve"> (25%)</w:t>
            </w:r>
          </w:p>
        </w:tc>
        <w:tc>
          <w:tcPr>
            <w:tcW w:w="1260" w:type="dxa"/>
            <w:shd w:val="clear" w:color="auto" w:fill="6C6F71"/>
            <w:noWrap/>
            <w:vAlign w:val="bottom"/>
          </w:tcPr>
          <w:p w:rsidRPr="008851A7" w:rsidR="00CB5F6B" w:rsidP="00B223C9" w:rsidRDefault="00CB5F6B" w14:paraId="6E6BD958" w14:textId="4B4E4263">
            <w:pPr>
              <w:pStyle w:val="TableHeaderCenter"/>
            </w:pPr>
          </w:p>
        </w:tc>
      </w:tr>
      <w:tr w:rsidRPr="008851A7" w:rsidR="00CB5F6B" w:rsidTr="00EC1BA8" w14:paraId="7F3E76D2" w14:textId="77777777">
        <w:trPr>
          <w:trHeight w:val="300"/>
        </w:trPr>
        <w:tc>
          <w:tcPr>
            <w:tcW w:w="2340" w:type="dxa"/>
            <w:tcBorders>
              <w:bottom w:val="single" w:color="BFBFBF" w:themeColor="background1" w:themeShade="BF" w:sz="2" w:space="0"/>
            </w:tcBorders>
            <w:shd w:val="clear" w:color="auto" w:fill="auto"/>
            <w:noWrap/>
            <w:vAlign w:val="center"/>
            <w:hideMark/>
          </w:tcPr>
          <w:p w:rsidRPr="008851A7" w:rsidR="00CB5F6B" w:rsidP="00B223C9" w:rsidRDefault="00CB5F6B" w14:paraId="0E06CCD7" w14:textId="0387C7C1">
            <w:pPr>
              <w:spacing w:before="40" w:after="40"/>
            </w:pPr>
            <w:r>
              <w:t>Base year (2018-19)</w:t>
            </w:r>
          </w:p>
        </w:tc>
        <w:tc>
          <w:tcPr>
            <w:tcW w:w="1710" w:type="dxa"/>
            <w:tcBorders>
              <w:bottom w:val="single" w:color="BFBFBF" w:themeColor="background1" w:themeShade="BF" w:sz="2" w:space="0"/>
            </w:tcBorders>
            <w:vAlign w:val="center"/>
          </w:tcPr>
          <w:p w:rsidRPr="008851A7" w:rsidR="00CB5F6B" w:rsidP="00B223C9" w:rsidRDefault="00CB5F6B" w14:paraId="35ED0F99" w14:textId="444F52D1">
            <w:pPr>
              <w:tabs>
                <w:tab w:val="decimal" w:pos="702"/>
              </w:tabs>
              <w:spacing w:before="40" w:after="40"/>
              <w:jc w:val="center"/>
            </w:pPr>
          </w:p>
        </w:tc>
        <w:tc>
          <w:tcPr>
            <w:tcW w:w="1890" w:type="dxa"/>
            <w:tcBorders>
              <w:bottom w:val="single" w:color="BFBFBF" w:themeColor="background1" w:themeShade="BF" w:sz="2" w:space="0"/>
            </w:tcBorders>
            <w:shd w:val="clear" w:color="auto" w:fill="auto"/>
            <w:noWrap/>
            <w:vAlign w:val="center"/>
          </w:tcPr>
          <w:p w:rsidRPr="008851A7" w:rsidR="00CB5F6B" w:rsidP="00CB5F6B" w:rsidRDefault="00CB5F6B" w14:paraId="627C42F6" w14:textId="4CF19665">
            <w:pPr>
              <w:tabs>
                <w:tab w:val="decimal" w:pos="702"/>
              </w:tabs>
              <w:spacing w:before="40" w:after="40"/>
              <w:jc w:val="center"/>
            </w:pPr>
            <w:r w:rsidRPr="008851A7">
              <w:t>$</w:t>
            </w:r>
            <w:r>
              <w:t>725,595</w:t>
            </w:r>
          </w:p>
        </w:tc>
        <w:tc>
          <w:tcPr>
            <w:tcW w:w="1890" w:type="dxa"/>
            <w:tcBorders>
              <w:bottom w:val="single" w:color="BFBFBF" w:themeColor="background1" w:themeShade="BF" w:sz="2" w:space="0"/>
            </w:tcBorders>
            <w:shd w:val="clear" w:color="auto" w:fill="auto"/>
            <w:noWrap/>
            <w:vAlign w:val="center"/>
            <w:hideMark/>
          </w:tcPr>
          <w:p w:rsidRPr="008851A7" w:rsidR="00CB5F6B" w:rsidP="00591598" w:rsidRDefault="00CB5F6B" w14:paraId="5421C42A" w14:textId="5F9202CF">
            <w:pPr>
              <w:tabs>
                <w:tab w:val="decimal" w:pos="702"/>
              </w:tabs>
              <w:spacing w:before="40" w:after="40"/>
              <w:jc w:val="center"/>
            </w:pPr>
            <w:r w:rsidRPr="008851A7">
              <w:t>$</w:t>
            </w:r>
            <w:r w:rsidR="00591598">
              <w:t>181</w:t>
            </w:r>
            <w:r w:rsidRPr="008851A7">
              <w:t>,</w:t>
            </w:r>
            <w:r w:rsidR="00591598">
              <w:t>399</w:t>
            </w:r>
          </w:p>
        </w:tc>
        <w:tc>
          <w:tcPr>
            <w:tcW w:w="1260" w:type="dxa"/>
            <w:tcBorders>
              <w:bottom w:val="single" w:color="BFBFBF" w:themeColor="background1" w:themeShade="BF" w:sz="2" w:space="0"/>
            </w:tcBorders>
            <w:shd w:val="clear" w:color="auto" w:fill="auto"/>
            <w:noWrap/>
            <w:vAlign w:val="center"/>
          </w:tcPr>
          <w:p w:rsidRPr="008851A7" w:rsidR="00CB5F6B" w:rsidP="00B223C9" w:rsidRDefault="00CB5F6B" w14:paraId="2E6F4F35" w14:textId="1455B100">
            <w:pPr>
              <w:tabs>
                <w:tab w:val="decimal" w:pos="702"/>
              </w:tabs>
              <w:spacing w:before="40" w:after="40"/>
              <w:jc w:val="center"/>
            </w:pPr>
          </w:p>
        </w:tc>
      </w:tr>
      <w:tr w:rsidRPr="008851A7" w:rsidR="00CB5F6B" w:rsidTr="00EC1BA8" w14:paraId="659FC0D8" w14:textId="77777777">
        <w:trPr>
          <w:trHeight w:val="300"/>
        </w:trPr>
        <w:tc>
          <w:tcPr>
            <w:tcW w:w="2340" w:type="dxa"/>
            <w:tcBorders>
              <w:top w:val="single" w:color="BFBFBF" w:themeColor="background1" w:themeShade="BF" w:sz="2" w:space="0"/>
              <w:bottom w:val="single" w:color="BFBFBF" w:themeColor="background1" w:themeShade="BF" w:sz="2" w:space="0"/>
            </w:tcBorders>
            <w:shd w:val="clear" w:color="auto" w:fill="auto"/>
            <w:noWrap/>
            <w:vAlign w:val="center"/>
            <w:hideMark/>
          </w:tcPr>
          <w:p w:rsidRPr="008851A7" w:rsidR="00CB5F6B" w:rsidP="00B223C9" w:rsidRDefault="00CB5F6B" w14:paraId="1A615CF0" w14:textId="6732E601">
            <w:pPr>
              <w:spacing w:before="40" w:after="40"/>
            </w:pPr>
            <w:r>
              <w:t>Option year 1 (2019-20)</w:t>
            </w:r>
          </w:p>
        </w:tc>
        <w:tc>
          <w:tcPr>
            <w:tcW w:w="1710" w:type="dxa"/>
            <w:tcBorders>
              <w:top w:val="single" w:color="BFBFBF" w:themeColor="background1" w:themeShade="BF" w:sz="2" w:space="0"/>
              <w:bottom w:val="single" w:color="BFBFBF" w:themeColor="background1" w:themeShade="BF" w:sz="2" w:space="0"/>
            </w:tcBorders>
            <w:vAlign w:val="center"/>
          </w:tcPr>
          <w:p w:rsidRPr="008851A7" w:rsidR="00CB5F6B" w:rsidP="00B223C9" w:rsidRDefault="00CB5F6B" w14:paraId="24372666" w14:textId="3228F46B">
            <w:pPr>
              <w:tabs>
                <w:tab w:val="decimal" w:pos="702"/>
              </w:tabs>
              <w:spacing w:before="40" w:after="40"/>
              <w:jc w:val="center"/>
            </w:pPr>
          </w:p>
        </w:tc>
        <w:tc>
          <w:tcPr>
            <w:tcW w:w="1890" w:type="dxa"/>
            <w:tcBorders>
              <w:top w:val="single" w:color="BFBFBF" w:themeColor="background1" w:themeShade="BF" w:sz="2" w:space="0"/>
              <w:bottom w:val="single" w:color="BFBFBF" w:themeColor="background1" w:themeShade="BF" w:sz="2" w:space="0"/>
            </w:tcBorders>
            <w:shd w:val="clear" w:color="auto" w:fill="auto"/>
            <w:noWrap/>
            <w:vAlign w:val="center"/>
          </w:tcPr>
          <w:p w:rsidRPr="008851A7" w:rsidR="00CB5F6B" w:rsidP="00CB5F6B" w:rsidRDefault="00CB5F6B" w14:paraId="72C8EE45" w14:textId="676F02CB">
            <w:pPr>
              <w:tabs>
                <w:tab w:val="decimal" w:pos="702"/>
              </w:tabs>
              <w:spacing w:before="40" w:after="40"/>
              <w:jc w:val="center"/>
            </w:pPr>
            <w:r w:rsidRPr="008851A7">
              <w:t>$</w:t>
            </w:r>
            <w:r>
              <w:t>818,100</w:t>
            </w:r>
          </w:p>
        </w:tc>
        <w:tc>
          <w:tcPr>
            <w:tcW w:w="1890" w:type="dxa"/>
            <w:tcBorders>
              <w:top w:val="single" w:color="BFBFBF" w:themeColor="background1" w:themeShade="BF" w:sz="2" w:space="0"/>
              <w:bottom w:val="single" w:color="BFBFBF" w:themeColor="background1" w:themeShade="BF" w:sz="2" w:space="0"/>
            </w:tcBorders>
            <w:shd w:val="clear" w:color="auto" w:fill="auto"/>
            <w:noWrap/>
            <w:vAlign w:val="center"/>
            <w:hideMark/>
          </w:tcPr>
          <w:p w:rsidRPr="008851A7" w:rsidR="00CB5F6B" w:rsidP="00B223C9" w:rsidRDefault="00CB5F6B" w14:paraId="2169B764" w14:textId="0ED7C663">
            <w:pPr>
              <w:tabs>
                <w:tab w:val="decimal" w:pos="702"/>
              </w:tabs>
              <w:spacing w:before="40" w:after="40"/>
              <w:jc w:val="center"/>
            </w:pPr>
            <w:r w:rsidRPr="008851A7">
              <w:t>$</w:t>
            </w:r>
            <w:r w:rsidR="00591598">
              <w:t>204,525</w:t>
            </w:r>
          </w:p>
        </w:tc>
        <w:tc>
          <w:tcPr>
            <w:tcW w:w="1260" w:type="dxa"/>
            <w:tcBorders>
              <w:top w:val="single" w:color="BFBFBF" w:themeColor="background1" w:themeShade="BF" w:sz="2" w:space="0"/>
              <w:bottom w:val="single" w:color="BFBFBF" w:themeColor="background1" w:themeShade="BF" w:sz="2" w:space="0"/>
            </w:tcBorders>
            <w:shd w:val="clear" w:color="auto" w:fill="auto"/>
            <w:noWrap/>
            <w:vAlign w:val="center"/>
          </w:tcPr>
          <w:p w:rsidRPr="008851A7" w:rsidR="00CB5F6B" w:rsidP="00A7186C" w:rsidRDefault="00CB5F6B" w14:paraId="6FAD4793" w14:textId="36740918">
            <w:pPr>
              <w:tabs>
                <w:tab w:val="decimal" w:pos="702"/>
              </w:tabs>
              <w:spacing w:before="40" w:after="40"/>
              <w:ind w:left="609"/>
              <w:jc w:val="center"/>
            </w:pPr>
          </w:p>
        </w:tc>
      </w:tr>
      <w:tr w:rsidRPr="008851A7" w:rsidR="00CB5F6B" w:rsidTr="00EC1BA8" w14:paraId="00AA2AAB" w14:textId="77777777">
        <w:trPr>
          <w:trHeight w:val="300"/>
        </w:trPr>
        <w:tc>
          <w:tcPr>
            <w:tcW w:w="2340" w:type="dxa"/>
            <w:tcBorders>
              <w:top w:val="single" w:color="BFBFBF" w:themeColor="background1" w:themeShade="BF" w:sz="2" w:space="0"/>
              <w:bottom w:val="single" w:color="BFBFBF" w:themeColor="background1" w:themeShade="BF" w:sz="2" w:space="0"/>
            </w:tcBorders>
            <w:shd w:val="clear" w:color="auto" w:fill="auto"/>
            <w:noWrap/>
            <w:vAlign w:val="center"/>
            <w:hideMark/>
          </w:tcPr>
          <w:p w:rsidRPr="008851A7" w:rsidR="00CB5F6B" w:rsidP="00B223C9" w:rsidRDefault="00CB5F6B" w14:paraId="3CB614C8" w14:textId="526D031B">
            <w:pPr>
              <w:spacing w:before="40" w:after="40"/>
            </w:pPr>
            <w:r>
              <w:t>Option year 2 (2020-21)</w:t>
            </w:r>
          </w:p>
        </w:tc>
        <w:tc>
          <w:tcPr>
            <w:tcW w:w="1710" w:type="dxa"/>
            <w:tcBorders>
              <w:top w:val="single" w:color="BFBFBF" w:themeColor="background1" w:themeShade="BF" w:sz="2" w:space="0"/>
              <w:bottom w:val="single" w:color="BFBFBF" w:themeColor="background1" w:themeShade="BF" w:sz="2" w:space="0"/>
            </w:tcBorders>
            <w:vAlign w:val="center"/>
          </w:tcPr>
          <w:p w:rsidRPr="008851A7" w:rsidR="00CB5F6B" w:rsidP="00B223C9" w:rsidRDefault="00CB5F6B" w14:paraId="30480F3A" w14:textId="68357433">
            <w:pPr>
              <w:tabs>
                <w:tab w:val="decimal" w:pos="702"/>
              </w:tabs>
              <w:spacing w:before="40" w:after="40"/>
              <w:jc w:val="center"/>
            </w:pPr>
          </w:p>
        </w:tc>
        <w:tc>
          <w:tcPr>
            <w:tcW w:w="1890" w:type="dxa"/>
            <w:tcBorders>
              <w:top w:val="single" w:color="BFBFBF" w:themeColor="background1" w:themeShade="BF" w:sz="2" w:space="0"/>
              <w:bottom w:val="single" w:color="BFBFBF" w:themeColor="background1" w:themeShade="BF" w:sz="2" w:space="0"/>
            </w:tcBorders>
            <w:shd w:val="clear" w:color="auto" w:fill="auto"/>
            <w:noWrap/>
            <w:vAlign w:val="center"/>
          </w:tcPr>
          <w:p w:rsidRPr="008851A7" w:rsidR="00CB5F6B" w:rsidP="00CB5F6B" w:rsidRDefault="00CB5F6B" w14:paraId="577D045A" w14:textId="190BB51B">
            <w:pPr>
              <w:tabs>
                <w:tab w:val="decimal" w:pos="702"/>
              </w:tabs>
              <w:spacing w:before="40" w:after="40"/>
              <w:jc w:val="center"/>
            </w:pPr>
            <w:r w:rsidRPr="008851A7">
              <w:t>$</w:t>
            </w:r>
            <w:r>
              <w:t>761,443</w:t>
            </w:r>
          </w:p>
        </w:tc>
        <w:tc>
          <w:tcPr>
            <w:tcW w:w="1890" w:type="dxa"/>
            <w:tcBorders>
              <w:top w:val="single" w:color="BFBFBF" w:themeColor="background1" w:themeShade="BF" w:sz="2" w:space="0"/>
              <w:bottom w:val="single" w:color="BFBFBF" w:themeColor="background1" w:themeShade="BF" w:sz="2" w:space="0"/>
            </w:tcBorders>
            <w:shd w:val="clear" w:color="auto" w:fill="auto"/>
            <w:noWrap/>
            <w:vAlign w:val="center"/>
            <w:hideMark/>
          </w:tcPr>
          <w:p w:rsidRPr="008851A7" w:rsidR="00CB5F6B" w:rsidP="00B223C9" w:rsidRDefault="00CB5F6B" w14:paraId="721CDA31" w14:textId="697B5BDF">
            <w:pPr>
              <w:tabs>
                <w:tab w:val="decimal" w:pos="702"/>
              </w:tabs>
              <w:spacing w:before="40" w:after="40"/>
              <w:jc w:val="center"/>
            </w:pPr>
            <w:r w:rsidRPr="008851A7">
              <w:t>$</w:t>
            </w:r>
            <w:r w:rsidR="00591598">
              <w:t>190,361</w:t>
            </w:r>
          </w:p>
        </w:tc>
        <w:tc>
          <w:tcPr>
            <w:tcW w:w="1260" w:type="dxa"/>
            <w:tcBorders>
              <w:top w:val="single" w:color="BFBFBF" w:themeColor="background1" w:themeShade="BF" w:sz="2" w:space="0"/>
              <w:bottom w:val="single" w:color="BFBFBF" w:themeColor="background1" w:themeShade="BF" w:sz="2" w:space="0"/>
            </w:tcBorders>
            <w:shd w:val="clear" w:color="auto" w:fill="auto"/>
            <w:noWrap/>
            <w:vAlign w:val="center"/>
          </w:tcPr>
          <w:p w:rsidRPr="008851A7" w:rsidR="00CB5F6B" w:rsidP="00B223C9" w:rsidRDefault="00CB5F6B" w14:paraId="57EB8069" w14:textId="1C8DAB1F">
            <w:pPr>
              <w:tabs>
                <w:tab w:val="decimal" w:pos="702"/>
              </w:tabs>
              <w:spacing w:before="40" w:after="40"/>
              <w:jc w:val="center"/>
            </w:pPr>
          </w:p>
        </w:tc>
      </w:tr>
      <w:tr w:rsidRPr="008851A7" w:rsidR="00CB5F6B" w:rsidTr="00EC1BA8" w14:paraId="16DA9F8C" w14:textId="77777777">
        <w:trPr>
          <w:trHeight w:val="300"/>
        </w:trPr>
        <w:tc>
          <w:tcPr>
            <w:tcW w:w="2340" w:type="dxa"/>
            <w:tcBorders>
              <w:top w:val="single" w:color="BFBFBF" w:themeColor="background1" w:themeShade="BF" w:sz="2" w:space="0"/>
              <w:bottom w:val="single" w:color="BFBFBF" w:themeColor="background1" w:themeShade="BF" w:sz="2" w:space="0"/>
            </w:tcBorders>
            <w:shd w:val="clear" w:color="auto" w:fill="auto"/>
            <w:noWrap/>
            <w:vAlign w:val="center"/>
            <w:hideMark/>
          </w:tcPr>
          <w:p w:rsidRPr="008851A7" w:rsidR="00CB5F6B" w:rsidP="00B223C9" w:rsidRDefault="00CB5F6B" w14:paraId="1B339287" w14:textId="27176B97">
            <w:pPr>
              <w:spacing w:before="40" w:after="40"/>
            </w:pPr>
            <w:r>
              <w:t>Option year 3 (2021-22)</w:t>
            </w:r>
          </w:p>
        </w:tc>
        <w:tc>
          <w:tcPr>
            <w:tcW w:w="1710" w:type="dxa"/>
            <w:tcBorders>
              <w:top w:val="single" w:color="BFBFBF" w:themeColor="background1" w:themeShade="BF" w:sz="2" w:space="0"/>
              <w:bottom w:val="single" w:color="BFBFBF" w:themeColor="background1" w:themeShade="BF" w:sz="2" w:space="0"/>
            </w:tcBorders>
            <w:vAlign w:val="center"/>
          </w:tcPr>
          <w:p w:rsidRPr="008851A7" w:rsidR="00CB5F6B" w:rsidP="00B223C9" w:rsidRDefault="00CB5F6B" w14:paraId="2489058F" w14:textId="65B7C5BB">
            <w:pPr>
              <w:tabs>
                <w:tab w:val="decimal" w:pos="702"/>
              </w:tabs>
              <w:spacing w:before="40" w:after="40"/>
              <w:jc w:val="center"/>
            </w:pPr>
          </w:p>
        </w:tc>
        <w:tc>
          <w:tcPr>
            <w:tcW w:w="1890" w:type="dxa"/>
            <w:tcBorders>
              <w:top w:val="single" w:color="BFBFBF" w:themeColor="background1" w:themeShade="BF" w:sz="2" w:space="0"/>
              <w:bottom w:val="single" w:color="BFBFBF" w:themeColor="background1" w:themeShade="BF" w:sz="2" w:space="0"/>
            </w:tcBorders>
            <w:shd w:val="clear" w:color="auto" w:fill="auto"/>
            <w:noWrap/>
            <w:vAlign w:val="center"/>
          </w:tcPr>
          <w:p w:rsidRPr="008851A7" w:rsidR="00CB5F6B" w:rsidP="00B223C9" w:rsidRDefault="00CB5F6B" w14:paraId="37A70CFD" w14:textId="6D93CD14">
            <w:pPr>
              <w:tabs>
                <w:tab w:val="decimal" w:pos="702"/>
              </w:tabs>
              <w:spacing w:before="40" w:after="40"/>
              <w:jc w:val="center"/>
            </w:pPr>
            <w:r>
              <w:t>$780,068</w:t>
            </w:r>
          </w:p>
        </w:tc>
        <w:tc>
          <w:tcPr>
            <w:tcW w:w="1890" w:type="dxa"/>
            <w:tcBorders>
              <w:top w:val="single" w:color="BFBFBF" w:themeColor="background1" w:themeShade="BF" w:sz="2" w:space="0"/>
              <w:bottom w:val="single" w:color="BFBFBF" w:themeColor="background1" w:themeShade="BF" w:sz="2" w:space="0"/>
            </w:tcBorders>
            <w:shd w:val="clear" w:color="auto" w:fill="auto"/>
            <w:noWrap/>
            <w:vAlign w:val="center"/>
            <w:hideMark/>
          </w:tcPr>
          <w:p w:rsidRPr="008851A7" w:rsidR="00CB5F6B" w:rsidP="00B223C9" w:rsidRDefault="00591598" w14:paraId="1EAA136D" w14:textId="67A99116">
            <w:pPr>
              <w:tabs>
                <w:tab w:val="decimal" w:pos="702"/>
              </w:tabs>
              <w:spacing w:before="40" w:after="40"/>
              <w:jc w:val="center"/>
            </w:pPr>
            <w:r>
              <w:t>$195,017</w:t>
            </w:r>
          </w:p>
        </w:tc>
        <w:tc>
          <w:tcPr>
            <w:tcW w:w="1260" w:type="dxa"/>
            <w:tcBorders>
              <w:top w:val="single" w:color="BFBFBF" w:themeColor="background1" w:themeShade="BF" w:sz="2" w:space="0"/>
              <w:bottom w:val="single" w:color="BFBFBF" w:themeColor="background1" w:themeShade="BF" w:sz="2" w:space="0"/>
            </w:tcBorders>
            <w:shd w:val="clear" w:color="auto" w:fill="auto"/>
            <w:noWrap/>
            <w:vAlign w:val="center"/>
          </w:tcPr>
          <w:p w:rsidRPr="008851A7" w:rsidR="00CB5F6B" w:rsidP="00B223C9" w:rsidRDefault="00CB5F6B" w14:paraId="7DB7FFBB" w14:textId="01EA9018">
            <w:pPr>
              <w:tabs>
                <w:tab w:val="decimal" w:pos="702"/>
              </w:tabs>
              <w:spacing w:before="40" w:after="40"/>
              <w:jc w:val="center"/>
            </w:pPr>
          </w:p>
        </w:tc>
      </w:tr>
      <w:tr w:rsidRPr="008851A7" w:rsidR="00A7186C" w:rsidTr="00EC1BA8" w14:paraId="1F26FF7F" w14:textId="77777777">
        <w:trPr>
          <w:trHeight w:val="300"/>
        </w:trPr>
        <w:tc>
          <w:tcPr>
            <w:tcW w:w="2340" w:type="dxa"/>
            <w:tcBorders>
              <w:top w:val="single" w:color="BFBFBF" w:themeColor="background1" w:themeShade="BF" w:sz="2" w:space="0"/>
              <w:bottom w:val="single" w:color="auto" w:sz="4" w:space="0"/>
            </w:tcBorders>
            <w:shd w:val="clear" w:color="auto" w:fill="auto"/>
            <w:noWrap/>
            <w:vAlign w:val="center"/>
          </w:tcPr>
          <w:p w:rsidR="00A7186C" w:rsidP="00B223C9" w:rsidRDefault="00A7186C" w14:paraId="7A8627D6" w14:textId="65BAC0BA">
            <w:pPr>
              <w:spacing w:before="40" w:after="40"/>
            </w:pPr>
            <w:r>
              <w:t>Total cost</w:t>
            </w:r>
          </w:p>
        </w:tc>
        <w:tc>
          <w:tcPr>
            <w:tcW w:w="1710" w:type="dxa"/>
            <w:tcBorders>
              <w:top w:val="single" w:color="BFBFBF" w:themeColor="background1" w:themeShade="BF" w:sz="2" w:space="0"/>
              <w:bottom w:val="single" w:color="auto" w:sz="4" w:space="0"/>
            </w:tcBorders>
            <w:vAlign w:val="center"/>
          </w:tcPr>
          <w:p w:rsidRPr="008851A7" w:rsidR="00A7186C" w:rsidP="00B223C9" w:rsidRDefault="00A7186C" w14:paraId="07B333BB" w14:textId="77777777">
            <w:pPr>
              <w:tabs>
                <w:tab w:val="decimal" w:pos="702"/>
              </w:tabs>
              <w:spacing w:before="40" w:after="40"/>
              <w:jc w:val="center"/>
            </w:pPr>
          </w:p>
        </w:tc>
        <w:tc>
          <w:tcPr>
            <w:tcW w:w="1890" w:type="dxa"/>
            <w:tcBorders>
              <w:top w:val="single" w:color="BFBFBF" w:themeColor="background1" w:themeShade="BF" w:sz="2" w:space="0"/>
              <w:bottom w:val="single" w:color="auto" w:sz="4" w:space="0"/>
            </w:tcBorders>
            <w:shd w:val="clear" w:color="auto" w:fill="auto"/>
            <w:noWrap/>
            <w:vAlign w:val="center"/>
          </w:tcPr>
          <w:p w:rsidR="00A7186C" w:rsidP="00B223C9" w:rsidRDefault="00A7186C" w14:paraId="00D4517F" w14:textId="77777777">
            <w:pPr>
              <w:tabs>
                <w:tab w:val="decimal" w:pos="702"/>
              </w:tabs>
              <w:spacing w:before="40" w:after="40"/>
              <w:jc w:val="center"/>
            </w:pPr>
          </w:p>
        </w:tc>
        <w:tc>
          <w:tcPr>
            <w:tcW w:w="1890" w:type="dxa"/>
            <w:tcBorders>
              <w:top w:val="single" w:color="BFBFBF" w:themeColor="background1" w:themeShade="BF" w:sz="2" w:space="0"/>
              <w:bottom w:val="single" w:color="auto" w:sz="4" w:space="0"/>
            </w:tcBorders>
            <w:shd w:val="clear" w:color="auto" w:fill="auto"/>
            <w:noWrap/>
            <w:vAlign w:val="center"/>
          </w:tcPr>
          <w:p w:rsidR="00A7186C" w:rsidP="00B223C9" w:rsidRDefault="00A7186C" w14:paraId="6C473054" w14:textId="18AD7D85">
            <w:pPr>
              <w:tabs>
                <w:tab w:val="decimal" w:pos="702"/>
              </w:tabs>
              <w:spacing w:before="40" w:after="40"/>
              <w:jc w:val="center"/>
            </w:pPr>
            <w:r>
              <w:t>$781,302</w:t>
            </w:r>
          </w:p>
        </w:tc>
        <w:tc>
          <w:tcPr>
            <w:tcW w:w="1260" w:type="dxa"/>
            <w:tcBorders>
              <w:top w:val="single" w:color="BFBFBF" w:themeColor="background1" w:themeShade="BF" w:sz="2" w:space="0"/>
              <w:bottom w:val="single" w:color="auto" w:sz="4" w:space="0"/>
            </w:tcBorders>
            <w:shd w:val="clear" w:color="auto" w:fill="auto"/>
            <w:noWrap/>
            <w:vAlign w:val="center"/>
          </w:tcPr>
          <w:p w:rsidR="00A7186C" w:rsidP="00B223C9" w:rsidRDefault="00A7186C" w14:paraId="0215F364" w14:textId="77777777">
            <w:pPr>
              <w:tabs>
                <w:tab w:val="decimal" w:pos="702"/>
              </w:tabs>
              <w:spacing w:before="40" w:after="40"/>
              <w:jc w:val="center"/>
            </w:pPr>
          </w:p>
        </w:tc>
      </w:tr>
    </w:tbl>
    <w:p w:rsidRPr="008851A7" w:rsidR="00CB5F6B" w:rsidP="00CB5F6B" w:rsidRDefault="00CB5F6B" w14:paraId="5C278604" w14:textId="77777777"/>
    <w:p w:rsidRPr="008851A7" w:rsidR="00CB5F6B" w:rsidP="00EC1BA8" w:rsidRDefault="00CB5F6B" w14:paraId="734D1E38" w14:textId="7E0AA513">
      <w:pPr>
        <w:pStyle w:val="NormalSS"/>
        <w:ind w:firstLine="0"/>
      </w:pPr>
      <w:r w:rsidRPr="008851A7">
        <w:t>In addition, there will be the cost for a GS 1</w:t>
      </w:r>
      <w:r w:rsidR="00D4753D">
        <w:t>3</w:t>
      </w:r>
      <w:r w:rsidRPr="008851A7">
        <w:t xml:space="preserve"> (Step </w:t>
      </w:r>
      <w:r w:rsidR="00D4753D">
        <w:t>5</w:t>
      </w:r>
      <w:r w:rsidRPr="008851A7">
        <w:t>) at 1</w:t>
      </w:r>
      <w:r w:rsidR="00D4753D">
        <w:t xml:space="preserve">0% </w:t>
      </w:r>
      <w:r w:rsidRPr="008851A7">
        <w:t>time</w:t>
      </w:r>
      <w:r w:rsidR="00D4753D">
        <w:t xml:space="preserve"> of 1 </w:t>
      </w:r>
      <w:r w:rsidR="00FF473A">
        <w:t xml:space="preserve">FTE </w:t>
      </w:r>
      <w:r w:rsidRPr="008851A7" w:rsidR="00FF473A">
        <w:t>(</w:t>
      </w:r>
      <w:r w:rsidR="00E20EFB">
        <w:t>$116,353 per year x 10</w:t>
      </w:r>
      <w:r w:rsidR="005F72D5">
        <w:t>%</w:t>
      </w:r>
      <w:r w:rsidR="00E20EFB">
        <w:t xml:space="preserve"> = </w:t>
      </w:r>
      <w:r w:rsidRPr="008851A7">
        <w:t xml:space="preserve">approximately </w:t>
      </w:r>
      <w:r w:rsidR="00D4753D">
        <w:t xml:space="preserve">$11,635 </w:t>
      </w:r>
      <w:r w:rsidRPr="008851A7">
        <w:t>per year) to monitor the project</w:t>
      </w:r>
      <w:r w:rsidR="00097FC8">
        <w:t xml:space="preserve">.  </w:t>
      </w:r>
      <w:r w:rsidRPr="008851A7">
        <w:t xml:space="preserve">The average annual total cost of the project is </w:t>
      </w:r>
      <w:r w:rsidR="00B27B1E">
        <w:t>$209</w:t>
      </w:r>
      <w:r w:rsidR="00FF473A">
        <w:t>,96</w:t>
      </w:r>
      <w:r w:rsidRPr="008851A7">
        <w:t xml:space="preserve"> and the total cost of the </w:t>
      </w:r>
      <w:r w:rsidR="00E20EFB">
        <w:t>four</w:t>
      </w:r>
      <w:r w:rsidRPr="008851A7">
        <w:t xml:space="preserve">-year project is </w:t>
      </w:r>
      <w:r w:rsidRPr="0036238D">
        <w:t>$</w:t>
      </w:r>
      <w:r w:rsidR="00B27B1E">
        <w:t>827,842</w:t>
      </w:r>
      <w:r w:rsidR="00097FC8">
        <w:t xml:space="preserve">. </w:t>
      </w:r>
    </w:p>
    <w:p w:rsidRPr="00A50FCD" w:rsidR="00533918" w:rsidRDefault="00D17563" w14:paraId="69D6B8EA" w14:textId="520480E2">
      <w:pPr>
        <w:pStyle w:val="ColorfulList-Accent11"/>
        <w:widowControl/>
        <w:tabs>
          <w:tab w:val="left" w:pos="360"/>
        </w:tabs>
        <w:ind w:left="0"/>
        <w:outlineLvl w:val="1"/>
        <w:rPr>
          <w:b/>
          <w:bCs/>
          <w:sz w:val="24"/>
          <w:szCs w:val="24"/>
          <w:u w:val="single"/>
        </w:rPr>
      </w:pPr>
      <w:bookmarkStart w:name="_Toc209407066" w:id="18"/>
      <w:r w:rsidRPr="00863839">
        <w:rPr>
          <w:b/>
          <w:bCs/>
          <w:sz w:val="24"/>
          <w:szCs w:val="24"/>
        </w:rPr>
        <w:t>15</w:t>
      </w:r>
      <w:r w:rsidR="00097FC8">
        <w:rPr>
          <w:b/>
          <w:bCs/>
          <w:sz w:val="24"/>
          <w:szCs w:val="24"/>
        </w:rPr>
        <w:t xml:space="preserve">. </w:t>
      </w:r>
      <w:r w:rsidRPr="00D17563">
        <w:rPr>
          <w:b/>
          <w:sz w:val="24"/>
        </w:rPr>
        <w:tab/>
      </w:r>
      <w:r w:rsidRPr="00863839">
        <w:rPr>
          <w:b/>
          <w:bCs/>
          <w:sz w:val="24"/>
          <w:szCs w:val="24"/>
          <w:u w:val="single"/>
        </w:rPr>
        <w:t xml:space="preserve">Explanation for Program Changes or Adjustments </w:t>
      </w:r>
      <w:bookmarkEnd w:id="18"/>
    </w:p>
    <w:p w:rsidRPr="00743C52" w:rsidR="00533918" w:rsidRDefault="00533918" w14:paraId="6D80C7DD" w14:textId="77777777">
      <w:pPr>
        <w:widowControl/>
        <w:rPr>
          <w:sz w:val="24"/>
          <w:szCs w:val="24"/>
        </w:rPr>
      </w:pPr>
    </w:p>
    <w:p w:rsidRPr="00D1048D" w:rsidR="0036238D" w:rsidP="0036238D" w:rsidRDefault="0036238D" w14:paraId="19D3CE13" w14:textId="4550695E">
      <w:pPr>
        <w:rPr>
          <w:sz w:val="24"/>
          <w:szCs w:val="24"/>
        </w:rPr>
      </w:pPr>
      <w:r w:rsidRPr="00B81DDC">
        <w:rPr>
          <w:sz w:val="24"/>
        </w:rPr>
        <w:t>The current hour burden inventory is 2692 hours while this revision is requesting 5348 hours</w:t>
      </w:r>
      <w:r w:rsidR="00097FC8">
        <w:rPr>
          <w:sz w:val="24"/>
        </w:rPr>
        <w:t xml:space="preserve">. </w:t>
      </w:r>
      <w:r w:rsidRPr="00B81DDC">
        <w:rPr>
          <w:sz w:val="24"/>
        </w:rPr>
        <w:t xml:space="preserve">  This increase is a result</w:t>
      </w:r>
      <w:r w:rsidRPr="00B81DDC">
        <w:rPr>
          <w:sz w:val="24"/>
          <w:szCs w:val="24"/>
        </w:rPr>
        <w:t xml:space="preserve"> of current recipients reporting a higher</w:t>
      </w:r>
      <w:r w:rsidRPr="00B81DDC" w:rsidR="001C476C">
        <w:rPr>
          <w:sz w:val="24"/>
          <w:szCs w:val="24"/>
        </w:rPr>
        <w:t xml:space="preserve"> </w:t>
      </w:r>
      <w:r w:rsidRPr="00B81DDC">
        <w:rPr>
          <w:sz w:val="24"/>
          <w:szCs w:val="24"/>
        </w:rPr>
        <w:t>burden estimate than the previous recipients</w:t>
      </w:r>
      <w:r w:rsidR="00097FC8">
        <w:rPr>
          <w:sz w:val="24"/>
          <w:szCs w:val="24"/>
        </w:rPr>
        <w:t xml:space="preserve">. </w:t>
      </w:r>
      <w:r w:rsidRPr="00B81DDC">
        <w:rPr>
          <w:sz w:val="24"/>
          <w:szCs w:val="24"/>
        </w:rPr>
        <w:t xml:space="preserve"> </w:t>
      </w:r>
      <w:r w:rsidRPr="00B81DDC" w:rsidR="001C476C">
        <w:rPr>
          <w:sz w:val="24"/>
          <w:szCs w:val="24"/>
        </w:rPr>
        <w:t>The</w:t>
      </w:r>
      <w:r w:rsidRPr="00B81DDC">
        <w:rPr>
          <w:sz w:val="24"/>
          <w:szCs w:val="24"/>
        </w:rPr>
        <w:t xml:space="preserve"> new EHE Allocations and Expenditures Reports added </w:t>
      </w:r>
      <w:r w:rsidRPr="00B81DDC" w:rsidR="001C476C">
        <w:rPr>
          <w:sz w:val="24"/>
          <w:szCs w:val="24"/>
        </w:rPr>
        <w:t xml:space="preserve">to this revision also </w:t>
      </w:r>
      <w:r w:rsidRPr="00B81DDC" w:rsidR="00640AF3">
        <w:rPr>
          <w:sz w:val="24"/>
          <w:szCs w:val="24"/>
        </w:rPr>
        <w:t xml:space="preserve">increased the </w:t>
      </w:r>
      <w:r w:rsidRPr="00B81DDC" w:rsidR="001C476C">
        <w:rPr>
          <w:sz w:val="24"/>
          <w:szCs w:val="24"/>
        </w:rPr>
        <w:t>burden estimate</w:t>
      </w:r>
      <w:r w:rsidR="00097FC8">
        <w:rPr>
          <w:sz w:val="24"/>
          <w:szCs w:val="24"/>
        </w:rPr>
        <w:t xml:space="preserve">. </w:t>
      </w:r>
      <w:r w:rsidR="001C476C">
        <w:rPr>
          <w:sz w:val="24"/>
          <w:szCs w:val="24"/>
        </w:rPr>
        <w:t xml:space="preserve"> </w:t>
      </w:r>
    </w:p>
    <w:p w:rsidR="0036238D" w:rsidP="007E47C7" w:rsidRDefault="0036238D" w14:paraId="4A9AAE72" w14:textId="58F342F7">
      <w:pPr>
        <w:rPr>
          <w:sz w:val="24"/>
        </w:rPr>
      </w:pPr>
    </w:p>
    <w:p w:rsidRPr="00D41F62" w:rsidR="007E47C7" w:rsidP="007E47C7" w:rsidRDefault="007E47C7" w14:paraId="00585B9E" w14:textId="70F91B61">
      <w:pPr>
        <w:rPr>
          <w:sz w:val="24"/>
        </w:rPr>
      </w:pPr>
      <w:r w:rsidRPr="00D41F62">
        <w:rPr>
          <w:sz w:val="24"/>
        </w:rPr>
        <w:t>HRSA propos</w:t>
      </w:r>
      <w:r w:rsidR="00C35EFE">
        <w:rPr>
          <w:sz w:val="24"/>
        </w:rPr>
        <w:t>es</w:t>
      </w:r>
      <w:r w:rsidR="000009EE">
        <w:rPr>
          <w:sz w:val="24"/>
        </w:rPr>
        <w:t xml:space="preserve"> to revise the A&amp;E </w:t>
      </w:r>
      <w:r>
        <w:rPr>
          <w:sz w:val="24"/>
        </w:rPr>
        <w:t xml:space="preserve">forms </w:t>
      </w:r>
      <w:r w:rsidR="000009EE">
        <w:rPr>
          <w:sz w:val="24"/>
        </w:rPr>
        <w:t xml:space="preserve">to require </w:t>
      </w:r>
      <w:r w:rsidRPr="00D41F62">
        <w:rPr>
          <w:sz w:val="24"/>
        </w:rPr>
        <w:t>RWHAP Parts A and B recipients funded under the Ending the HIV Epidemic Initiative (EHE)</w:t>
      </w:r>
      <w:r w:rsidR="000009EE">
        <w:rPr>
          <w:sz w:val="24"/>
        </w:rPr>
        <w:t xml:space="preserve"> </w:t>
      </w:r>
      <w:r w:rsidRPr="00D41F62">
        <w:rPr>
          <w:sz w:val="24"/>
        </w:rPr>
        <w:t>to report EHE service</w:t>
      </w:r>
      <w:r>
        <w:rPr>
          <w:sz w:val="24"/>
        </w:rPr>
        <w:t xml:space="preserve"> </w:t>
      </w:r>
      <w:r w:rsidRPr="00D41F62">
        <w:rPr>
          <w:sz w:val="24"/>
        </w:rPr>
        <w:t xml:space="preserve">allocations and </w:t>
      </w:r>
      <w:r w:rsidRPr="00D41F62">
        <w:rPr>
          <w:sz w:val="24"/>
        </w:rPr>
        <w:lastRenderedPageBreak/>
        <w:t>corresponding EHE award expenditures in the A&amp;E Reports</w:t>
      </w:r>
      <w:r w:rsidR="00097FC8">
        <w:rPr>
          <w:sz w:val="24"/>
        </w:rPr>
        <w:t>.</w:t>
      </w:r>
      <w:r w:rsidRPr="001F3942">
        <w:rPr>
          <w:rStyle w:val="FootnoteReference"/>
        </w:rPr>
        <w:footnoteReference w:id="3"/>
      </w:r>
      <w:r w:rsidRPr="00D41F62">
        <w:rPr>
          <w:sz w:val="24"/>
        </w:rPr>
        <w:t xml:space="preserve"> </w:t>
      </w:r>
      <w:r w:rsidRPr="00D41F62">
        <w:rPr>
          <w:sz w:val="24"/>
          <w:vertAlign w:val="superscript"/>
        </w:rPr>
        <w:t xml:space="preserve"> </w:t>
      </w:r>
      <w:r w:rsidRPr="00D41F62">
        <w:rPr>
          <w:sz w:val="24"/>
        </w:rPr>
        <w:t>This addition allows HRSA to track and report progress toward meeting the EHE goals</w:t>
      </w:r>
      <w:r w:rsidR="00097FC8">
        <w:rPr>
          <w:sz w:val="24"/>
        </w:rPr>
        <w:t xml:space="preserve">. </w:t>
      </w:r>
      <w:r w:rsidR="0036238D">
        <w:rPr>
          <w:sz w:val="24"/>
        </w:rPr>
        <w:t xml:space="preserve"> </w:t>
      </w:r>
      <w:r w:rsidRPr="00D41F62">
        <w:rPr>
          <w:sz w:val="24"/>
        </w:rPr>
        <w:t>In addition, minor changes are proposed to (1) the layout of the A&amp;E Reports that affects how already required data is reported; (2) align service categories with HRSA Policy Clarification Notice #16–02: RWHAP Services: Eligible Individuals &amp; Allowable Uses of Funds, updated October 22, 2019; and (3) add clarity to language used</w:t>
      </w:r>
      <w:r w:rsidR="00097FC8">
        <w:rPr>
          <w:sz w:val="24"/>
        </w:rPr>
        <w:t xml:space="preserve">. </w:t>
      </w:r>
    </w:p>
    <w:p w:rsidR="00533918" w:rsidRDefault="00533918" w14:paraId="1478B5AF" w14:textId="7FBA3EFD">
      <w:pPr>
        <w:widowControl/>
        <w:rPr>
          <w:sz w:val="24"/>
          <w:szCs w:val="24"/>
        </w:rPr>
      </w:pPr>
    </w:p>
    <w:p w:rsidRPr="00A50FCD" w:rsidR="00533918" w:rsidRDefault="00D17563" w14:paraId="75DEBC82" w14:textId="50FF9D7F">
      <w:pPr>
        <w:pStyle w:val="ColorfulList-Accent11"/>
        <w:widowControl/>
        <w:tabs>
          <w:tab w:val="left" w:pos="360"/>
        </w:tabs>
        <w:ind w:left="0"/>
        <w:outlineLvl w:val="1"/>
        <w:rPr>
          <w:b/>
          <w:bCs/>
          <w:sz w:val="24"/>
          <w:szCs w:val="24"/>
          <w:u w:val="single"/>
        </w:rPr>
      </w:pPr>
      <w:bookmarkStart w:name="_Toc209407067" w:id="19"/>
      <w:r w:rsidRPr="00863839">
        <w:rPr>
          <w:b/>
          <w:bCs/>
          <w:sz w:val="24"/>
          <w:szCs w:val="24"/>
        </w:rPr>
        <w:t>16</w:t>
      </w:r>
      <w:r w:rsidR="00097FC8">
        <w:rPr>
          <w:b/>
          <w:bCs/>
          <w:sz w:val="24"/>
          <w:szCs w:val="24"/>
        </w:rPr>
        <w:t xml:space="preserve">. </w:t>
      </w:r>
      <w:r w:rsidRPr="00D17563">
        <w:rPr>
          <w:b/>
          <w:sz w:val="24"/>
        </w:rPr>
        <w:tab/>
      </w:r>
      <w:r w:rsidRPr="00863839">
        <w:rPr>
          <w:b/>
          <w:bCs/>
          <w:sz w:val="24"/>
          <w:szCs w:val="24"/>
          <w:u w:val="single"/>
        </w:rPr>
        <w:t xml:space="preserve">Plans for Tabulation, Publication, and Project Time Schedule </w:t>
      </w:r>
      <w:bookmarkEnd w:id="19"/>
    </w:p>
    <w:p w:rsidR="00533918" w:rsidRDefault="00533918" w14:paraId="7CF2C16E" w14:textId="77777777">
      <w:pPr>
        <w:widowControl/>
        <w:rPr>
          <w:sz w:val="24"/>
          <w:szCs w:val="24"/>
        </w:rPr>
      </w:pPr>
    </w:p>
    <w:p w:rsidRPr="007E47C7" w:rsidR="00DB6190" w:rsidP="00DB6190" w:rsidRDefault="00DB6190" w14:paraId="690944D9" w14:textId="46E6BC37">
      <w:pPr>
        <w:rPr>
          <w:sz w:val="24"/>
          <w:szCs w:val="24"/>
        </w:rPr>
      </w:pPr>
      <w:r w:rsidRPr="007E47C7">
        <w:rPr>
          <w:sz w:val="24"/>
          <w:szCs w:val="24"/>
        </w:rPr>
        <w:t>There are no plans for formal publication</w:t>
      </w:r>
      <w:r w:rsidR="00097FC8">
        <w:rPr>
          <w:sz w:val="24"/>
          <w:szCs w:val="24"/>
        </w:rPr>
        <w:t>.  T</w:t>
      </w:r>
      <w:r w:rsidRPr="007E47C7">
        <w:rPr>
          <w:sz w:val="24"/>
          <w:szCs w:val="24"/>
        </w:rPr>
        <w:t>he information in these reports is reviewed and analyzed to track and monitor spending requirements to ensure compliance with the statute</w:t>
      </w:r>
      <w:r w:rsidR="00097FC8">
        <w:rPr>
          <w:sz w:val="24"/>
          <w:szCs w:val="24"/>
        </w:rPr>
        <w:t xml:space="preserve">. </w:t>
      </w:r>
      <w:r w:rsidRPr="007E47C7">
        <w:rPr>
          <w:sz w:val="24"/>
          <w:szCs w:val="24"/>
        </w:rPr>
        <w:t xml:space="preserve"> HAB project officers review and evaluate the recipient submission and analyze the information to prepare summary reports</w:t>
      </w:r>
      <w:r w:rsidR="00AD7F72">
        <w:rPr>
          <w:sz w:val="24"/>
          <w:szCs w:val="24"/>
        </w:rPr>
        <w:t xml:space="preserve"> for internal use</w:t>
      </w:r>
      <w:r w:rsidR="00097FC8">
        <w:rPr>
          <w:sz w:val="24"/>
          <w:szCs w:val="24"/>
        </w:rPr>
        <w:t xml:space="preserve">. </w:t>
      </w:r>
      <w:r w:rsidRPr="007E47C7">
        <w:rPr>
          <w:sz w:val="24"/>
          <w:szCs w:val="24"/>
        </w:rPr>
        <w:t xml:space="preserve"> </w:t>
      </w:r>
      <w:r w:rsidRPr="00D41F62" w:rsidR="00AD7F72">
        <w:rPr>
          <w:sz w:val="24"/>
          <w:szCs w:val="24"/>
        </w:rPr>
        <w:t>RWHAP recipients are r</w:t>
      </w:r>
      <w:r w:rsidRPr="00D41F62" w:rsidR="00AD7F72">
        <w:rPr>
          <w:bCs/>
          <w:spacing w:val="-4"/>
          <w:sz w:val="24"/>
          <w:szCs w:val="24"/>
        </w:rPr>
        <w:t>equired to report financial data at the beginning (Allocations Report) and at the end of their grant budget period (Expenditures Report)</w:t>
      </w:r>
      <w:r w:rsidR="00097FC8">
        <w:rPr>
          <w:bCs/>
          <w:spacing w:val="-4"/>
          <w:sz w:val="24"/>
          <w:szCs w:val="24"/>
        </w:rPr>
        <w:t xml:space="preserve">. </w:t>
      </w:r>
      <w:r w:rsidRPr="00D41F62" w:rsidR="00AD7F72">
        <w:rPr>
          <w:bCs/>
          <w:spacing w:val="-4"/>
          <w:sz w:val="24"/>
          <w:szCs w:val="24"/>
        </w:rPr>
        <w:t xml:space="preserve">  </w:t>
      </w:r>
    </w:p>
    <w:p w:rsidR="00533918" w:rsidRDefault="00533918" w14:paraId="24D5CE14" w14:textId="61CA8237">
      <w:pPr>
        <w:widowControl/>
        <w:rPr>
          <w:rStyle w:val="BodyTextFi"/>
          <w:sz w:val="24"/>
        </w:rPr>
      </w:pPr>
    </w:p>
    <w:p w:rsidR="00443083" w:rsidRDefault="00443083" w14:paraId="30F26261" w14:textId="77777777">
      <w:pPr>
        <w:widowControl/>
        <w:rPr>
          <w:rStyle w:val="BodyTextFi"/>
          <w:sz w:val="24"/>
        </w:rPr>
      </w:pPr>
    </w:p>
    <w:p w:rsidRPr="00A50FCD" w:rsidR="00533918" w:rsidRDefault="00D17563" w14:paraId="3E42EFE8" w14:textId="6D9435DD">
      <w:pPr>
        <w:pStyle w:val="ColorfulList-Accent11"/>
        <w:widowControl/>
        <w:tabs>
          <w:tab w:val="left" w:pos="360"/>
        </w:tabs>
        <w:ind w:left="0"/>
        <w:outlineLvl w:val="1"/>
        <w:rPr>
          <w:b/>
          <w:bCs/>
          <w:sz w:val="24"/>
          <w:szCs w:val="24"/>
          <w:u w:val="single"/>
        </w:rPr>
      </w:pPr>
      <w:bookmarkStart w:name="_Toc209407068" w:id="20"/>
      <w:r w:rsidRPr="00863839">
        <w:rPr>
          <w:b/>
          <w:bCs/>
          <w:sz w:val="24"/>
          <w:szCs w:val="24"/>
        </w:rPr>
        <w:t>17</w:t>
      </w:r>
      <w:r w:rsidR="00097FC8">
        <w:rPr>
          <w:b/>
          <w:bCs/>
          <w:sz w:val="24"/>
          <w:szCs w:val="24"/>
        </w:rPr>
        <w:t xml:space="preserve">. </w:t>
      </w:r>
      <w:r w:rsidRPr="00D17563">
        <w:rPr>
          <w:b/>
          <w:sz w:val="24"/>
        </w:rPr>
        <w:tab/>
      </w:r>
      <w:r w:rsidRPr="00863839">
        <w:rPr>
          <w:b/>
          <w:bCs/>
          <w:sz w:val="24"/>
          <w:szCs w:val="24"/>
          <w:u w:val="single"/>
        </w:rPr>
        <w:t>Reason(s) Display of OMB E</w:t>
      </w:r>
      <w:r w:rsidRPr="00863839" w:rsidR="00533918">
        <w:rPr>
          <w:b/>
          <w:bCs/>
          <w:sz w:val="24"/>
          <w:szCs w:val="24"/>
          <w:u w:val="single"/>
        </w:rPr>
        <w:t>xpiration Date</w:t>
      </w:r>
      <w:bookmarkEnd w:id="20"/>
      <w:r w:rsidRPr="00E720BF">
        <w:rPr>
          <w:b/>
          <w:bCs/>
          <w:sz w:val="24"/>
          <w:szCs w:val="24"/>
          <w:u w:val="single"/>
        </w:rPr>
        <w:t xml:space="preserve"> is Inappropriate</w:t>
      </w:r>
    </w:p>
    <w:p w:rsidR="00533918" w:rsidRDefault="00533918" w14:paraId="28FA74A5" w14:textId="77777777">
      <w:pPr>
        <w:widowControl/>
        <w:rPr>
          <w:sz w:val="24"/>
        </w:rPr>
      </w:pPr>
    </w:p>
    <w:p w:rsidRPr="005A123F" w:rsidR="005A123F" w:rsidP="005A123F" w:rsidRDefault="005A123F" w14:paraId="2B599DDB" w14:textId="3310545F">
      <w:pPr>
        <w:rPr>
          <w:sz w:val="24"/>
          <w:szCs w:val="24"/>
        </w:rPr>
      </w:pPr>
      <w:r w:rsidRPr="005A123F">
        <w:rPr>
          <w:sz w:val="24"/>
          <w:szCs w:val="24"/>
        </w:rPr>
        <w:t>The expiration date will be displayed</w:t>
      </w:r>
      <w:r>
        <w:rPr>
          <w:sz w:val="24"/>
          <w:szCs w:val="24"/>
        </w:rPr>
        <w:t xml:space="preserve"> appropriately</w:t>
      </w:r>
      <w:r w:rsidR="00097FC8">
        <w:rPr>
          <w:sz w:val="24"/>
          <w:szCs w:val="24"/>
        </w:rPr>
        <w:t xml:space="preserve">. </w:t>
      </w:r>
    </w:p>
    <w:p w:rsidR="00533918" w:rsidRDefault="00533918" w14:paraId="2809B214" w14:textId="77777777">
      <w:pPr>
        <w:widowControl/>
        <w:rPr>
          <w:rStyle w:val="BodyTextFi"/>
          <w:sz w:val="24"/>
        </w:rPr>
      </w:pPr>
    </w:p>
    <w:p w:rsidR="00533918" w:rsidRDefault="00533918" w14:paraId="170162BD" w14:textId="77777777">
      <w:pPr>
        <w:widowControl/>
        <w:rPr>
          <w:rStyle w:val="BodyTextFi"/>
          <w:sz w:val="24"/>
        </w:rPr>
      </w:pPr>
    </w:p>
    <w:p w:rsidRPr="00A50FCD" w:rsidR="00533918" w:rsidRDefault="00D17563" w14:paraId="2B35AC5A" w14:textId="478788D9">
      <w:pPr>
        <w:pStyle w:val="ColorfulList-Accent11"/>
        <w:widowControl/>
        <w:tabs>
          <w:tab w:val="left" w:pos="360"/>
        </w:tabs>
        <w:ind w:left="0"/>
        <w:outlineLvl w:val="1"/>
        <w:rPr>
          <w:b/>
          <w:bCs/>
          <w:sz w:val="24"/>
          <w:szCs w:val="24"/>
          <w:u w:val="single"/>
        </w:rPr>
      </w:pPr>
      <w:bookmarkStart w:name="_Toc209407069" w:id="21"/>
      <w:r w:rsidRPr="00D17563">
        <w:rPr>
          <w:b/>
          <w:bCs/>
          <w:sz w:val="24"/>
          <w:szCs w:val="24"/>
        </w:rPr>
        <w:t>18</w:t>
      </w:r>
      <w:r w:rsidR="00097FC8">
        <w:rPr>
          <w:b/>
          <w:bCs/>
          <w:sz w:val="24"/>
          <w:szCs w:val="24"/>
        </w:rPr>
        <w:t xml:space="preserve">. </w:t>
      </w:r>
      <w:r w:rsidRPr="00D17563">
        <w:rPr>
          <w:b/>
          <w:bCs/>
          <w:sz w:val="24"/>
          <w:szCs w:val="24"/>
        </w:rPr>
        <w:tab/>
      </w:r>
      <w:r w:rsidR="00533918">
        <w:rPr>
          <w:b/>
          <w:bCs/>
          <w:sz w:val="24"/>
          <w:szCs w:val="24"/>
          <w:u w:val="single"/>
        </w:rPr>
        <w:t>Exceptions to Certifications for P</w:t>
      </w:r>
      <w:r>
        <w:rPr>
          <w:b/>
          <w:bCs/>
          <w:sz w:val="24"/>
          <w:szCs w:val="24"/>
          <w:u w:val="single"/>
        </w:rPr>
        <w:t xml:space="preserve">aperwork </w:t>
      </w:r>
      <w:r w:rsidR="00533918">
        <w:rPr>
          <w:b/>
          <w:bCs/>
          <w:sz w:val="24"/>
          <w:szCs w:val="24"/>
          <w:u w:val="single"/>
        </w:rPr>
        <w:t>R</w:t>
      </w:r>
      <w:r>
        <w:rPr>
          <w:b/>
          <w:bCs/>
          <w:sz w:val="24"/>
          <w:szCs w:val="24"/>
          <w:u w:val="single"/>
        </w:rPr>
        <w:t xml:space="preserve">eduction </w:t>
      </w:r>
      <w:r w:rsidR="00533918">
        <w:rPr>
          <w:b/>
          <w:bCs/>
          <w:sz w:val="24"/>
          <w:szCs w:val="24"/>
          <w:u w:val="single"/>
        </w:rPr>
        <w:t>A</w:t>
      </w:r>
      <w:r>
        <w:rPr>
          <w:b/>
          <w:bCs/>
          <w:sz w:val="24"/>
          <w:szCs w:val="24"/>
          <w:u w:val="single"/>
        </w:rPr>
        <w:t>ct</w:t>
      </w:r>
      <w:r w:rsidR="00533918">
        <w:rPr>
          <w:b/>
          <w:bCs/>
          <w:sz w:val="24"/>
          <w:szCs w:val="24"/>
          <w:u w:val="single"/>
        </w:rPr>
        <w:t xml:space="preserve"> Submissions</w:t>
      </w:r>
      <w:bookmarkEnd w:id="21"/>
    </w:p>
    <w:p w:rsidR="00533918" w:rsidRDefault="00533918" w14:paraId="4521BB4E" w14:textId="77777777">
      <w:pPr>
        <w:widowControl/>
        <w:rPr>
          <w:sz w:val="24"/>
        </w:rPr>
      </w:pPr>
    </w:p>
    <w:p w:rsidRPr="007F2636" w:rsidR="007E47C7" w:rsidP="007E47C7" w:rsidRDefault="007E47C7" w14:paraId="5FC06BAA" w14:textId="601A48F6">
      <w:pPr>
        <w:pStyle w:val="BodyText2"/>
        <w:rPr>
          <w:b/>
          <w:bCs/>
        </w:rPr>
      </w:pPr>
      <w:bookmarkStart w:name="_Toc209407070" w:id="22"/>
      <w:r>
        <w:rPr>
          <w:rStyle w:val="BodyTextFi"/>
        </w:rPr>
        <w:t>There are no exceptions to the certification</w:t>
      </w:r>
      <w:r w:rsidR="00097FC8">
        <w:rPr>
          <w:rStyle w:val="BodyTextFi"/>
        </w:rPr>
        <w:t xml:space="preserve">. </w:t>
      </w:r>
    </w:p>
    <w:bookmarkEnd w:id="22"/>
    <w:p w:rsidRPr="007E47C7" w:rsidR="00F342B3" w:rsidRDefault="00F342B3" w14:paraId="600A793D" w14:textId="329C5F34">
      <w:pPr>
        <w:pStyle w:val="ColorfulList-Accent11"/>
        <w:ind w:left="0"/>
        <w:outlineLvl w:val="0"/>
        <w:rPr>
          <w:rStyle w:val="BodyTextFi"/>
          <w:b/>
          <w:bCs/>
          <w:sz w:val="24"/>
        </w:rPr>
      </w:pPr>
    </w:p>
    <w:sectPr w:rsidRPr="007E47C7" w:rsidR="00F342B3" w:rsidSect="008A43F9">
      <w:footerReference w:type="default" r:id="rId11"/>
      <w:type w:val="continuous"/>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7FBFD0" w16cid:durableId="2202127E"/>
  <w16cid:commentId w16cid:paraId="58E091D9" w16cid:durableId="2202206C"/>
  <w16cid:commentId w16cid:paraId="661CE2D3" w16cid:durableId="220222B8"/>
  <w16cid:commentId w16cid:paraId="28E4D01E" w16cid:durableId="220222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E6756" w14:textId="77777777" w:rsidR="001B6C2D" w:rsidRDefault="001B6C2D">
      <w:r>
        <w:separator/>
      </w:r>
    </w:p>
  </w:endnote>
  <w:endnote w:type="continuationSeparator" w:id="0">
    <w:p w14:paraId="44907C24" w14:textId="77777777" w:rsidR="001B6C2D" w:rsidRDefault="001B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Melior">
    <w:altName w:val="Cambria"/>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42608"/>
      <w:docPartObj>
        <w:docPartGallery w:val="Page Numbers (Bottom of Page)"/>
        <w:docPartUnique/>
      </w:docPartObj>
    </w:sdtPr>
    <w:sdtEndPr>
      <w:rPr>
        <w:noProof/>
      </w:rPr>
    </w:sdtEndPr>
    <w:sdtContent>
      <w:p w14:paraId="66385DA0" w14:textId="719A276C" w:rsidR="00D33229" w:rsidRDefault="00D33229">
        <w:pPr>
          <w:pStyle w:val="Footer"/>
          <w:jc w:val="center"/>
        </w:pPr>
        <w:r>
          <w:fldChar w:fldCharType="begin"/>
        </w:r>
        <w:r>
          <w:instrText xml:space="preserve"> PAGE   \* MERGEFORMAT </w:instrText>
        </w:r>
        <w:r>
          <w:fldChar w:fldCharType="separate"/>
        </w:r>
        <w:r w:rsidR="00A23E2B">
          <w:rPr>
            <w:noProof/>
          </w:rPr>
          <w:t>5</w:t>
        </w:r>
        <w:r>
          <w:rPr>
            <w:noProof/>
          </w:rPr>
          <w:fldChar w:fldCharType="end"/>
        </w:r>
      </w:p>
    </w:sdtContent>
  </w:sdt>
  <w:p w14:paraId="5BF6A9EA" w14:textId="77777777" w:rsidR="00D33229" w:rsidRDefault="00D3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1EA4A" w14:textId="77777777" w:rsidR="001B6C2D" w:rsidRDefault="001B6C2D">
      <w:r>
        <w:separator/>
      </w:r>
    </w:p>
  </w:footnote>
  <w:footnote w:type="continuationSeparator" w:id="0">
    <w:p w14:paraId="6E5D856E" w14:textId="77777777" w:rsidR="001B6C2D" w:rsidRDefault="001B6C2D">
      <w:r>
        <w:continuationSeparator/>
      </w:r>
    </w:p>
  </w:footnote>
  <w:footnote w:id="1">
    <w:p w14:paraId="158E7917" w14:textId="77E43ED4" w:rsidR="00D33229" w:rsidRPr="002A3B85" w:rsidRDefault="00D33229" w:rsidP="16CFCEB2">
      <w:pPr>
        <w:pStyle w:val="FootnoteText"/>
        <w:rPr>
          <w:sz w:val="16"/>
          <w:szCs w:val="16"/>
        </w:rPr>
      </w:pPr>
      <w:r w:rsidRPr="002A3B85">
        <w:rPr>
          <w:rStyle w:val="FootnoteReference"/>
          <w:sz w:val="16"/>
          <w:szCs w:val="16"/>
        </w:rPr>
        <w:footnoteRef/>
      </w:r>
      <w:r w:rsidRPr="002A3B85">
        <w:rPr>
          <w:sz w:val="16"/>
          <w:szCs w:val="16"/>
        </w:rPr>
        <w:t xml:space="preserve"> Health Resources and Services Administration</w:t>
      </w:r>
      <w:r w:rsidR="00097FC8">
        <w:rPr>
          <w:sz w:val="16"/>
          <w:szCs w:val="16"/>
        </w:rPr>
        <w:t xml:space="preserve">. </w:t>
      </w:r>
      <w:r w:rsidRPr="002A3B85">
        <w:rPr>
          <w:sz w:val="16"/>
          <w:szCs w:val="16"/>
        </w:rPr>
        <w:t xml:space="preserve"> Ryan White HIV/AIDS Program Annual Client-Level Data Report 201</w:t>
      </w:r>
      <w:r w:rsidR="00F309A2" w:rsidRPr="002A3B85">
        <w:rPr>
          <w:sz w:val="16"/>
          <w:szCs w:val="16"/>
        </w:rPr>
        <w:t>8</w:t>
      </w:r>
      <w:r w:rsidR="00097FC8">
        <w:rPr>
          <w:sz w:val="16"/>
          <w:szCs w:val="16"/>
        </w:rPr>
        <w:t xml:space="preserve">. </w:t>
      </w:r>
      <w:r w:rsidRPr="002A3B85">
        <w:rPr>
          <w:sz w:val="16"/>
          <w:szCs w:val="16"/>
        </w:rPr>
        <w:t xml:space="preserve"> </w:t>
      </w:r>
      <w:hyperlink r:id="rId1" w:history="1">
        <w:r w:rsidRPr="002A3B85">
          <w:rPr>
            <w:rStyle w:val="Hyperlink"/>
            <w:sz w:val="16"/>
            <w:szCs w:val="16"/>
          </w:rPr>
          <w:t>http://hab</w:t>
        </w:r>
        <w:r w:rsidR="00097FC8">
          <w:rPr>
            <w:rStyle w:val="Hyperlink"/>
            <w:sz w:val="16"/>
            <w:szCs w:val="16"/>
          </w:rPr>
          <w:t xml:space="preserve">. </w:t>
        </w:r>
        <w:r w:rsidRPr="002A3B85">
          <w:rPr>
            <w:rStyle w:val="Hyperlink"/>
            <w:sz w:val="16"/>
            <w:szCs w:val="16"/>
          </w:rPr>
          <w:t>hrsa</w:t>
        </w:r>
        <w:r w:rsidR="00097FC8">
          <w:rPr>
            <w:rStyle w:val="Hyperlink"/>
            <w:sz w:val="16"/>
            <w:szCs w:val="16"/>
          </w:rPr>
          <w:t xml:space="preserve">. </w:t>
        </w:r>
        <w:r w:rsidRPr="002A3B85">
          <w:rPr>
            <w:rStyle w:val="Hyperlink"/>
            <w:sz w:val="16"/>
            <w:szCs w:val="16"/>
          </w:rPr>
          <w:t>gov/data/data-reports</w:t>
        </w:r>
      </w:hyperlink>
      <w:r w:rsidR="00097FC8">
        <w:rPr>
          <w:sz w:val="16"/>
          <w:szCs w:val="16"/>
        </w:rPr>
        <w:t xml:space="preserve">. </w:t>
      </w:r>
      <w:r w:rsidRPr="002A3B85">
        <w:rPr>
          <w:sz w:val="16"/>
          <w:szCs w:val="16"/>
        </w:rPr>
        <w:t xml:space="preserve"> Published </w:t>
      </w:r>
      <w:r w:rsidR="00F309A2" w:rsidRPr="002A3B85">
        <w:rPr>
          <w:sz w:val="16"/>
          <w:szCs w:val="16"/>
        </w:rPr>
        <w:t>December</w:t>
      </w:r>
      <w:r w:rsidRPr="002A3B85">
        <w:rPr>
          <w:sz w:val="16"/>
          <w:szCs w:val="16"/>
        </w:rPr>
        <w:t xml:space="preserve"> 201</w:t>
      </w:r>
      <w:r w:rsidR="00F309A2" w:rsidRPr="002A3B85">
        <w:rPr>
          <w:sz w:val="16"/>
          <w:szCs w:val="16"/>
        </w:rPr>
        <w:t>8</w:t>
      </w:r>
      <w:r w:rsidR="00097FC8">
        <w:rPr>
          <w:sz w:val="16"/>
          <w:szCs w:val="16"/>
        </w:rPr>
        <w:t xml:space="preserve">. </w:t>
      </w:r>
      <w:r w:rsidRPr="002A3B85">
        <w:rPr>
          <w:sz w:val="16"/>
          <w:szCs w:val="16"/>
        </w:rPr>
        <w:t xml:space="preserve"> Accessed </w:t>
      </w:r>
      <w:r w:rsidR="00F309A2" w:rsidRPr="002A3B85">
        <w:rPr>
          <w:sz w:val="16"/>
          <w:szCs w:val="16"/>
        </w:rPr>
        <w:t>February 26, 2020</w:t>
      </w:r>
      <w:r w:rsidR="00097FC8">
        <w:rPr>
          <w:sz w:val="16"/>
          <w:szCs w:val="16"/>
        </w:rPr>
        <w:t xml:space="preserve">. </w:t>
      </w:r>
      <w:r w:rsidRPr="002A3B85">
        <w:rPr>
          <w:sz w:val="16"/>
          <w:szCs w:val="16"/>
        </w:rPr>
        <w:t xml:space="preserve"> </w:t>
      </w:r>
    </w:p>
  </w:footnote>
  <w:footnote w:id="2">
    <w:p w14:paraId="617B7E98" w14:textId="0307D252" w:rsidR="00D41F62" w:rsidRPr="002A3B85" w:rsidRDefault="00D41F62" w:rsidP="00D41F62">
      <w:pPr>
        <w:widowControl/>
        <w:rPr>
          <w:sz w:val="16"/>
          <w:szCs w:val="16"/>
        </w:rPr>
      </w:pPr>
      <w:r w:rsidRPr="002A3B85">
        <w:rPr>
          <w:rStyle w:val="FootnoteReference"/>
          <w:sz w:val="16"/>
          <w:szCs w:val="16"/>
        </w:rPr>
        <w:footnoteRef/>
      </w:r>
      <w:r w:rsidRPr="002A3B85">
        <w:rPr>
          <w:sz w:val="16"/>
          <w:szCs w:val="16"/>
        </w:rPr>
        <w:t xml:space="preserve"> OMB granted HRSA approval to collect these data under OMB Control Number 0915–0318, ICR Reference Number 201909–0915–004</w:t>
      </w:r>
      <w:r w:rsidR="00097FC8">
        <w:rPr>
          <w:sz w:val="16"/>
          <w:szCs w:val="16"/>
        </w:rPr>
        <w:t xml:space="preserve">. </w:t>
      </w:r>
    </w:p>
  </w:footnote>
  <w:footnote w:id="3">
    <w:p w14:paraId="58BF5A12" w14:textId="00790FC4" w:rsidR="007E47C7" w:rsidRPr="00097FC8" w:rsidRDefault="007E47C7" w:rsidP="007E47C7">
      <w:pPr>
        <w:widowControl/>
        <w:rPr>
          <w:sz w:val="16"/>
          <w:szCs w:val="16"/>
        </w:rPr>
      </w:pPr>
      <w:r w:rsidRPr="00097FC8">
        <w:rPr>
          <w:rStyle w:val="FootnoteReference"/>
          <w:sz w:val="16"/>
          <w:szCs w:val="16"/>
        </w:rPr>
        <w:footnoteRef/>
      </w:r>
      <w:r w:rsidRPr="00097FC8">
        <w:rPr>
          <w:sz w:val="16"/>
          <w:szCs w:val="16"/>
        </w:rPr>
        <w:t xml:space="preserve"> OMB granted HRSA approval to collect these data under OMB Control Number 0915–0318, ICR Reference Number 201909–0915–004</w:t>
      </w:r>
      <w:r w:rsidR="00097FC8" w:rsidRPr="00097FC8">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D21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B2F4B"/>
    <w:multiLevelType w:val="hybridMultilevel"/>
    <w:tmpl w:val="F9F2698A"/>
    <w:lvl w:ilvl="0" w:tplc="B97C6FB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483770"/>
    <w:multiLevelType w:val="hybridMultilevel"/>
    <w:tmpl w:val="00528DF2"/>
    <w:lvl w:ilvl="0" w:tplc="B97C6FB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80574"/>
    <w:multiLevelType w:val="hybridMultilevel"/>
    <w:tmpl w:val="C9F2C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D02B37"/>
    <w:multiLevelType w:val="hybridMultilevel"/>
    <w:tmpl w:val="35FE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E5556"/>
    <w:multiLevelType w:val="hybridMultilevel"/>
    <w:tmpl w:val="2AC88274"/>
    <w:lvl w:ilvl="0" w:tplc="3C2A7B7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6" w15:restartNumberingAfterBreak="0">
    <w:nsid w:val="22A5415A"/>
    <w:multiLevelType w:val="hybridMultilevel"/>
    <w:tmpl w:val="AFFA9440"/>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B77FF3"/>
    <w:multiLevelType w:val="hybridMultilevel"/>
    <w:tmpl w:val="C2B8C6FE"/>
    <w:lvl w:ilvl="0" w:tplc="EC5ABFEA">
      <w:start w:val="1"/>
      <w:numFmt w:val="bullet"/>
      <w:lvlText w:val=""/>
      <w:lvlJc w:val="left"/>
      <w:pPr>
        <w:tabs>
          <w:tab w:val="num" w:pos="720"/>
        </w:tabs>
        <w:ind w:left="720" w:hanging="432"/>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13BFB"/>
    <w:multiLevelType w:val="hybridMultilevel"/>
    <w:tmpl w:val="5EE020EC"/>
    <w:lvl w:ilvl="0" w:tplc="49FEE8F4">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F01CCA"/>
    <w:multiLevelType w:val="hybridMultilevel"/>
    <w:tmpl w:val="8FEE460A"/>
    <w:lvl w:ilvl="0" w:tplc="9AE4BA96">
      <w:start w:val="1"/>
      <w:numFmt w:val="upperLetter"/>
      <w:lvlText w:val="Tab %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700F1"/>
    <w:multiLevelType w:val="hybridMultilevel"/>
    <w:tmpl w:val="9BA4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46BF8"/>
    <w:multiLevelType w:val="hybridMultilevel"/>
    <w:tmpl w:val="D502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B2A25"/>
    <w:multiLevelType w:val="hybridMultilevel"/>
    <w:tmpl w:val="9F1ECB3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B5569BC"/>
    <w:multiLevelType w:val="hybridMultilevel"/>
    <w:tmpl w:val="791E0524"/>
    <w:lvl w:ilvl="0" w:tplc="BEDC7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096E84"/>
    <w:multiLevelType w:val="hybridMultilevel"/>
    <w:tmpl w:val="17709D2C"/>
    <w:lvl w:ilvl="0" w:tplc="49FEE8F4">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B22310"/>
    <w:multiLevelType w:val="hybridMultilevel"/>
    <w:tmpl w:val="C2BE6836"/>
    <w:lvl w:ilvl="0" w:tplc="B97C6FB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A7208DE"/>
    <w:multiLevelType w:val="hybridMultilevel"/>
    <w:tmpl w:val="3642E2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E419A8"/>
    <w:multiLevelType w:val="hybridMultilevel"/>
    <w:tmpl w:val="F462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15DA8"/>
    <w:multiLevelType w:val="hybridMultilevel"/>
    <w:tmpl w:val="988A52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002A30"/>
    <w:multiLevelType w:val="hybridMultilevel"/>
    <w:tmpl w:val="58402314"/>
    <w:lvl w:ilvl="0" w:tplc="0409000F">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7350D7"/>
    <w:multiLevelType w:val="hybridMultilevel"/>
    <w:tmpl w:val="3642E2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E1F67"/>
    <w:multiLevelType w:val="hybridMultilevel"/>
    <w:tmpl w:val="F440CC54"/>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C6B15E8"/>
    <w:multiLevelType w:val="hybridMultilevel"/>
    <w:tmpl w:val="3C307816"/>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5" w15:restartNumberingAfterBreak="0">
    <w:nsid w:val="704961EB"/>
    <w:multiLevelType w:val="hybridMultilevel"/>
    <w:tmpl w:val="9D400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CE4ADE"/>
    <w:multiLevelType w:val="hybridMultilevel"/>
    <w:tmpl w:val="C56C75A4"/>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0"/>
  </w:num>
  <w:num w:numId="3">
    <w:abstractNumId w:val="9"/>
  </w:num>
  <w:num w:numId="4">
    <w:abstractNumId w:val="15"/>
  </w:num>
  <w:num w:numId="5">
    <w:abstractNumId w:val="13"/>
  </w:num>
  <w:num w:numId="6">
    <w:abstractNumId w:val="11"/>
  </w:num>
  <w:num w:numId="7">
    <w:abstractNumId w:val="3"/>
  </w:num>
  <w:num w:numId="8">
    <w:abstractNumId w:val="22"/>
  </w:num>
  <w:num w:numId="9">
    <w:abstractNumId w:val="16"/>
  </w:num>
  <w:num w:numId="10">
    <w:abstractNumId w:val="2"/>
  </w:num>
  <w:num w:numId="11">
    <w:abstractNumId w:val="5"/>
  </w:num>
  <w:num w:numId="12">
    <w:abstractNumId w:val="26"/>
  </w:num>
  <w:num w:numId="13">
    <w:abstractNumId w:val="23"/>
  </w:num>
  <w:num w:numId="14">
    <w:abstractNumId w:val="1"/>
  </w:num>
  <w:num w:numId="15">
    <w:abstractNumId w:val="6"/>
  </w:num>
  <w:num w:numId="16">
    <w:abstractNumId w:val="25"/>
  </w:num>
  <w:num w:numId="17">
    <w:abstractNumId w:val="24"/>
  </w:num>
  <w:num w:numId="18">
    <w:abstractNumId w:val="19"/>
  </w:num>
  <w:num w:numId="19">
    <w:abstractNumId w:val="14"/>
  </w:num>
  <w:num w:numId="20">
    <w:abstractNumId w:val="12"/>
  </w:num>
  <w:num w:numId="21">
    <w:abstractNumId w:val="0"/>
  </w:num>
  <w:num w:numId="22">
    <w:abstractNumId w:val="10"/>
  </w:num>
  <w:num w:numId="23">
    <w:abstractNumId w:val="18"/>
  </w:num>
  <w:num w:numId="24">
    <w:abstractNumId w:val="4"/>
  </w:num>
  <w:num w:numId="25">
    <w:abstractNumId w:val="21"/>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B2"/>
    <w:rsid w:val="000009EE"/>
    <w:rsid w:val="00004873"/>
    <w:rsid w:val="000050B2"/>
    <w:rsid w:val="000234B0"/>
    <w:rsid w:val="000244D4"/>
    <w:rsid w:val="00037163"/>
    <w:rsid w:val="00041CAC"/>
    <w:rsid w:val="00044E53"/>
    <w:rsid w:val="00050AE7"/>
    <w:rsid w:val="00051659"/>
    <w:rsid w:val="0005265F"/>
    <w:rsid w:val="00070125"/>
    <w:rsid w:val="00077629"/>
    <w:rsid w:val="00080C15"/>
    <w:rsid w:val="00083E9B"/>
    <w:rsid w:val="00084A65"/>
    <w:rsid w:val="00097FC8"/>
    <w:rsid w:val="000A3D39"/>
    <w:rsid w:val="000A5DEC"/>
    <w:rsid w:val="000B5924"/>
    <w:rsid w:val="000C11AA"/>
    <w:rsid w:val="000C2ACD"/>
    <w:rsid w:val="000C3CAA"/>
    <w:rsid w:val="000D6589"/>
    <w:rsid w:val="000D6B11"/>
    <w:rsid w:val="000E3ED9"/>
    <w:rsid w:val="000E650C"/>
    <w:rsid w:val="000F01B0"/>
    <w:rsid w:val="000F37A7"/>
    <w:rsid w:val="001012F9"/>
    <w:rsid w:val="00110BF3"/>
    <w:rsid w:val="001273CD"/>
    <w:rsid w:val="00132CCD"/>
    <w:rsid w:val="001417F7"/>
    <w:rsid w:val="00151679"/>
    <w:rsid w:val="00153F13"/>
    <w:rsid w:val="00154129"/>
    <w:rsid w:val="0016317F"/>
    <w:rsid w:val="0018222C"/>
    <w:rsid w:val="001945F7"/>
    <w:rsid w:val="001A3AD2"/>
    <w:rsid w:val="001A3EA7"/>
    <w:rsid w:val="001A4FDF"/>
    <w:rsid w:val="001B4A42"/>
    <w:rsid w:val="001B6C2D"/>
    <w:rsid w:val="001C476C"/>
    <w:rsid w:val="001E6F07"/>
    <w:rsid w:val="001F099A"/>
    <w:rsid w:val="002176D7"/>
    <w:rsid w:val="002242A1"/>
    <w:rsid w:val="0024498F"/>
    <w:rsid w:val="00246B6F"/>
    <w:rsid w:val="00252C5E"/>
    <w:rsid w:val="002561B2"/>
    <w:rsid w:val="00267DBA"/>
    <w:rsid w:val="00277DCF"/>
    <w:rsid w:val="00285083"/>
    <w:rsid w:val="00290775"/>
    <w:rsid w:val="002A3B85"/>
    <w:rsid w:val="002A4EDC"/>
    <w:rsid w:val="002B2029"/>
    <w:rsid w:val="002B361A"/>
    <w:rsid w:val="002B402B"/>
    <w:rsid w:val="002B5F5B"/>
    <w:rsid w:val="002D42DD"/>
    <w:rsid w:val="002E2AEA"/>
    <w:rsid w:val="002E56C2"/>
    <w:rsid w:val="002E748C"/>
    <w:rsid w:val="0030062C"/>
    <w:rsid w:val="00301020"/>
    <w:rsid w:val="00301AE9"/>
    <w:rsid w:val="00303EAB"/>
    <w:rsid w:val="00305C12"/>
    <w:rsid w:val="00325490"/>
    <w:rsid w:val="00337EA3"/>
    <w:rsid w:val="00360232"/>
    <w:rsid w:val="00362132"/>
    <w:rsid w:val="0036238D"/>
    <w:rsid w:val="00373079"/>
    <w:rsid w:val="00376584"/>
    <w:rsid w:val="003849FF"/>
    <w:rsid w:val="003A1179"/>
    <w:rsid w:val="003A3A29"/>
    <w:rsid w:val="003A5209"/>
    <w:rsid w:val="003A642A"/>
    <w:rsid w:val="003B7839"/>
    <w:rsid w:val="003C7C85"/>
    <w:rsid w:val="003D0A1D"/>
    <w:rsid w:val="003D1F2F"/>
    <w:rsid w:val="003D2616"/>
    <w:rsid w:val="003D6BAE"/>
    <w:rsid w:val="003E32B8"/>
    <w:rsid w:val="003E4D4D"/>
    <w:rsid w:val="003F124C"/>
    <w:rsid w:val="003F14B3"/>
    <w:rsid w:val="00404078"/>
    <w:rsid w:val="004108A0"/>
    <w:rsid w:val="00416FFC"/>
    <w:rsid w:val="00423520"/>
    <w:rsid w:val="00435362"/>
    <w:rsid w:val="00435AFC"/>
    <w:rsid w:val="00440FE9"/>
    <w:rsid w:val="00443083"/>
    <w:rsid w:val="004610D3"/>
    <w:rsid w:val="00470743"/>
    <w:rsid w:val="004732F0"/>
    <w:rsid w:val="0047772D"/>
    <w:rsid w:val="004867AB"/>
    <w:rsid w:val="00492249"/>
    <w:rsid w:val="0049269E"/>
    <w:rsid w:val="00495746"/>
    <w:rsid w:val="004B081A"/>
    <w:rsid w:val="004B4FAE"/>
    <w:rsid w:val="004C06A9"/>
    <w:rsid w:val="004C25D4"/>
    <w:rsid w:val="004F3B52"/>
    <w:rsid w:val="004F5E47"/>
    <w:rsid w:val="00501347"/>
    <w:rsid w:val="00522782"/>
    <w:rsid w:val="0053101B"/>
    <w:rsid w:val="00533918"/>
    <w:rsid w:val="005421D1"/>
    <w:rsid w:val="00552404"/>
    <w:rsid w:val="00557AFF"/>
    <w:rsid w:val="00573CF5"/>
    <w:rsid w:val="00580310"/>
    <w:rsid w:val="00586F00"/>
    <w:rsid w:val="00591598"/>
    <w:rsid w:val="00596F08"/>
    <w:rsid w:val="005A123F"/>
    <w:rsid w:val="005A14CD"/>
    <w:rsid w:val="005B1AFF"/>
    <w:rsid w:val="005C4E82"/>
    <w:rsid w:val="005C5541"/>
    <w:rsid w:val="005F3575"/>
    <w:rsid w:val="005F72D5"/>
    <w:rsid w:val="005F7BC9"/>
    <w:rsid w:val="0060075B"/>
    <w:rsid w:val="0060089D"/>
    <w:rsid w:val="006022FD"/>
    <w:rsid w:val="00602441"/>
    <w:rsid w:val="00603E06"/>
    <w:rsid w:val="00610028"/>
    <w:rsid w:val="00621EF2"/>
    <w:rsid w:val="00640AF3"/>
    <w:rsid w:val="00644361"/>
    <w:rsid w:val="00650264"/>
    <w:rsid w:val="00656804"/>
    <w:rsid w:val="006747C8"/>
    <w:rsid w:val="00687BF2"/>
    <w:rsid w:val="00691432"/>
    <w:rsid w:val="006A0E1F"/>
    <w:rsid w:val="006A4043"/>
    <w:rsid w:val="006A74E1"/>
    <w:rsid w:val="006B1A70"/>
    <w:rsid w:val="006C73C4"/>
    <w:rsid w:val="006D39F6"/>
    <w:rsid w:val="006E58D1"/>
    <w:rsid w:val="006F123E"/>
    <w:rsid w:val="007000BA"/>
    <w:rsid w:val="00700B22"/>
    <w:rsid w:val="007010C3"/>
    <w:rsid w:val="00704FF6"/>
    <w:rsid w:val="007064AC"/>
    <w:rsid w:val="00710371"/>
    <w:rsid w:val="00717CC7"/>
    <w:rsid w:val="00720D87"/>
    <w:rsid w:val="0072532C"/>
    <w:rsid w:val="007301DC"/>
    <w:rsid w:val="00731FBB"/>
    <w:rsid w:val="00737652"/>
    <w:rsid w:val="00743C52"/>
    <w:rsid w:val="007515C6"/>
    <w:rsid w:val="0076672E"/>
    <w:rsid w:val="00772BFE"/>
    <w:rsid w:val="00773C3B"/>
    <w:rsid w:val="0078735A"/>
    <w:rsid w:val="00790992"/>
    <w:rsid w:val="00793E02"/>
    <w:rsid w:val="007A39A5"/>
    <w:rsid w:val="007A643B"/>
    <w:rsid w:val="007C3A26"/>
    <w:rsid w:val="007C7935"/>
    <w:rsid w:val="007D2E4F"/>
    <w:rsid w:val="007D5EB3"/>
    <w:rsid w:val="007E4461"/>
    <w:rsid w:val="007E47C7"/>
    <w:rsid w:val="007E7A38"/>
    <w:rsid w:val="007F4A59"/>
    <w:rsid w:val="0080286A"/>
    <w:rsid w:val="008200F5"/>
    <w:rsid w:val="0082077F"/>
    <w:rsid w:val="0082308C"/>
    <w:rsid w:val="00823D7D"/>
    <w:rsid w:val="00825F9D"/>
    <w:rsid w:val="00831DC2"/>
    <w:rsid w:val="00842348"/>
    <w:rsid w:val="00857D7F"/>
    <w:rsid w:val="00863839"/>
    <w:rsid w:val="008647FE"/>
    <w:rsid w:val="00864896"/>
    <w:rsid w:val="00865036"/>
    <w:rsid w:val="00872F45"/>
    <w:rsid w:val="008848B8"/>
    <w:rsid w:val="008976FE"/>
    <w:rsid w:val="008A3266"/>
    <w:rsid w:val="008A35EF"/>
    <w:rsid w:val="008A43F9"/>
    <w:rsid w:val="008B4095"/>
    <w:rsid w:val="008B5B75"/>
    <w:rsid w:val="008D2FC0"/>
    <w:rsid w:val="008D4615"/>
    <w:rsid w:val="008E7E5D"/>
    <w:rsid w:val="0090444B"/>
    <w:rsid w:val="00925C55"/>
    <w:rsid w:val="00926385"/>
    <w:rsid w:val="0092677D"/>
    <w:rsid w:val="00934C0B"/>
    <w:rsid w:val="009419E2"/>
    <w:rsid w:val="00960E1F"/>
    <w:rsid w:val="00961154"/>
    <w:rsid w:val="009612C3"/>
    <w:rsid w:val="00964867"/>
    <w:rsid w:val="00974BA6"/>
    <w:rsid w:val="0098333D"/>
    <w:rsid w:val="00994A05"/>
    <w:rsid w:val="00997B7D"/>
    <w:rsid w:val="009A0EC4"/>
    <w:rsid w:val="009B2BC3"/>
    <w:rsid w:val="009B2D5A"/>
    <w:rsid w:val="009C0445"/>
    <w:rsid w:val="009D7F6A"/>
    <w:rsid w:val="009E3F19"/>
    <w:rsid w:val="009F2A88"/>
    <w:rsid w:val="00A03809"/>
    <w:rsid w:val="00A12E52"/>
    <w:rsid w:val="00A207F5"/>
    <w:rsid w:val="00A21EAB"/>
    <w:rsid w:val="00A23E2B"/>
    <w:rsid w:val="00A32A45"/>
    <w:rsid w:val="00A34CF3"/>
    <w:rsid w:val="00A37AA8"/>
    <w:rsid w:val="00A50FCD"/>
    <w:rsid w:val="00A55D65"/>
    <w:rsid w:val="00A70EA5"/>
    <w:rsid w:val="00A7186C"/>
    <w:rsid w:val="00A75B55"/>
    <w:rsid w:val="00A87057"/>
    <w:rsid w:val="00A87D4F"/>
    <w:rsid w:val="00A9410D"/>
    <w:rsid w:val="00A96F1B"/>
    <w:rsid w:val="00AA65DB"/>
    <w:rsid w:val="00AC07E2"/>
    <w:rsid w:val="00AC1B20"/>
    <w:rsid w:val="00AC3E7E"/>
    <w:rsid w:val="00AC40BF"/>
    <w:rsid w:val="00AD6373"/>
    <w:rsid w:val="00AD6D08"/>
    <w:rsid w:val="00AD7F72"/>
    <w:rsid w:val="00AF1060"/>
    <w:rsid w:val="00B01C2C"/>
    <w:rsid w:val="00B0215A"/>
    <w:rsid w:val="00B1321D"/>
    <w:rsid w:val="00B1402A"/>
    <w:rsid w:val="00B17A71"/>
    <w:rsid w:val="00B25E16"/>
    <w:rsid w:val="00B27B1E"/>
    <w:rsid w:val="00B40F4B"/>
    <w:rsid w:val="00B5182C"/>
    <w:rsid w:val="00B57761"/>
    <w:rsid w:val="00B624AF"/>
    <w:rsid w:val="00B63FC6"/>
    <w:rsid w:val="00B7445E"/>
    <w:rsid w:val="00B81DDC"/>
    <w:rsid w:val="00B85381"/>
    <w:rsid w:val="00B859C9"/>
    <w:rsid w:val="00B9137A"/>
    <w:rsid w:val="00B92F6A"/>
    <w:rsid w:val="00B950A9"/>
    <w:rsid w:val="00B962FD"/>
    <w:rsid w:val="00BA00D9"/>
    <w:rsid w:val="00BA2B5B"/>
    <w:rsid w:val="00BA4255"/>
    <w:rsid w:val="00BA71EB"/>
    <w:rsid w:val="00BA7A9E"/>
    <w:rsid w:val="00BB052F"/>
    <w:rsid w:val="00BB437C"/>
    <w:rsid w:val="00BD736A"/>
    <w:rsid w:val="00BE4C9E"/>
    <w:rsid w:val="00BF47FD"/>
    <w:rsid w:val="00C0593C"/>
    <w:rsid w:val="00C10380"/>
    <w:rsid w:val="00C1071E"/>
    <w:rsid w:val="00C1181C"/>
    <w:rsid w:val="00C16F4F"/>
    <w:rsid w:val="00C22AC5"/>
    <w:rsid w:val="00C2667F"/>
    <w:rsid w:val="00C27BA2"/>
    <w:rsid w:val="00C320F8"/>
    <w:rsid w:val="00C35EFE"/>
    <w:rsid w:val="00C3689D"/>
    <w:rsid w:val="00C37A1E"/>
    <w:rsid w:val="00C40614"/>
    <w:rsid w:val="00C40C4D"/>
    <w:rsid w:val="00C4288E"/>
    <w:rsid w:val="00C5603A"/>
    <w:rsid w:val="00C56751"/>
    <w:rsid w:val="00C67704"/>
    <w:rsid w:val="00C7029E"/>
    <w:rsid w:val="00C76CB2"/>
    <w:rsid w:val="00C84C92"/>
    <w:rsid w:val="00CA381A"/>
    <w:rsid w:val="00CA3A3E"/>
    <w:rsid w:val="00CB5F6B"/>
    <w:rsid w:val="00CC1443"/>
    <w:rsid w:val="00CC459A"/>
    <w:rsid w:val="00CD1A11"/>
    <w:rsid w:val="00CD36FE"/>
    <w:rsid w:val="00CD7E32"/>
    <w:rsid w:val="00CE5930"/>
    <w:rsid w:val="00CE746F"/>
    <w:rsid w:val="00CF4EB1"/>
    <w:rsid w:val="00D01035"/>
    <w:rsid w:val="00D1048D"/>
    <w:rsid w:val="00D17563"/>
    <w:rsid w:val="00D17E73"/>
    <w:rsid w:val="00D25F89"/>
    <w:rsid w:val="00D31E08"/>
    <w:rsid w:val="00D33229"/>
    <w:rsid w:val="00D41F62"/>
    <w:rsid w:val="00D4753D"/>
    <w:rsid w:val="00D60B92"/>
    <w:rsid w:val="00D61292"/>
    <w:rsid w:val="00D7210B"/>
    <w:rsid w:val="00D85C49"/>
    <w:rsid w:val="00D86E12"/>
    <w:rsid w:val="00D9371A"/>
    <w:rsid w:val="00D93AE0"/>
    <w:rsid w:val="00DB6190"/>
    <w:rsid w:val="00DB7038"/>
    <w:rsid w:val="00DC2884"/>
    <w:rsid w:val="00DD3F96"/>
    <w:rsid w:val="00DF09E5"/>
    <w:rsid w:val="00DF7413"/>
    <w:rsid w:val="00E028DE"/>
    <w:rsid w:val="00E06F57"/>
    <w:rsid w:val="00E1658E"/>
    <w:rsid w:val="00E20EFB"/>
    <w:rsid w:val="00E22C04"/>
    <w:rsid w:val="00E2566F"/>
    <w:rsid w:val="00E30510"/>
    <w:rsid w:val="00E7077F"/>
    <w:rsid w:val="00E715F4"/>
    <w:rsid w:val="00E720BF"/>
    <w:rsid w:val="00E93613"/>
    <w:rsid w:val="00E94501"/>
    <w:rsid w:val="00EA16A9"/>
    <w:rsid w:val="00EA18B4"/>
    <w:rsid w:val="00EB6FC3"/>
    <w:rsid w:val="00EB78EB"/>
    <w:rsid w:val="00EC1BA8"/>
    <w:rsid w:val="00EC3F41"/>
    <w:rsid w:val="00EE56F5"/>
    <w:rsid w:val="00EF0CA8"/>
    <w:rsid w:val="00F0783F"/>
    <w:rsid w:val="00F11BEA"/>
    <w:rsid w:val="00F24298"/>
    <w:rsid w:val="00F309A2"/>
    <w:rsid w:val="00F33553"/>
    <w:rsid w:val="00F342B3"/>
    <w:rsid w:val="00F504C9"/>
    <w:rsid w:val="00F5618F"/>
    <w:rsid w:val="00F57C57"/>
    <w:rsid w:val="00F62781"/>
    <w:rsid w:val="00F63203"/>
    <w:rsid w:val="00F71F92"/>
    <w:rsid w:val="00F822D6"/>
    <w:rsid w:val="00F91680"/>
    <w:rsid w:val="00F951EA"/>
    <w:rsid w:val="00FA3CA7"/>
    <w:rsid w:val="00FA6AE6"/>
    <w:rsid w:val="00FC2A9E"/>
    <w:rsid w:val="00FC32D1"/>
    <w:rsid w:val="00FD6E39"/>
    <w:rsid w:val="00FE24BC"/>
    <w:rsid w:val="00FE5224"/>
    <w:rsid w:val="00FF037F"/>
    <w:rsid w:val="00FF0C5D"/>
    <w:rsid w:val="00FF16F1"/>
    <w:rsid w:val="00FF473A"/>
    <w:rsid w:val="16CFCEB2"/>
    <w:rsid w:val="5A79AB68"/>
    <w:rsid w:val="62B7671B"/>
    <w:rsid w:val="79DB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4BC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lang w:eastAsia="ja-JP"/>
    </w:rPr>
  </w:style>
  <w:style w:type="paragraph" w:styleId="Heading1">
    <w:name w:val="heading 1"/>
    <w:basedOn w:val="Normal"/>
    <w:next w:val="Normal"/>
    <w:qFormat/>
    <w:pPr>
      <w:pBdr>
        <w:bottom w:val="single" w:sz="12" w:space="1" w:color="365F91"/>
      </w:pBdr>
      <w:spacing w:before="600" w:after="80"/>
      <w:outlineLvl w:val="0"/>
    </w:pPr>
    <w:rPr>
      <w:b/>
      <w:bCs/>
      <w:color w:val="365F91"/>
      <w:sz w:val="24"/>
      <w:szCs w:val="24"/>
    </w:rPr>
  </w:style>
  <w:style w:type="paragraph" w:styleId="Heading2">
    <w:name w:val="heading 2"/>
    <w:basedOn w:val="Normal"/>
    <w:next w:val="Normal"/>
    <w:qFormat/>
    <w:pPr>
      <w:pBdr>
        <w:bottom w:val="single" w:sz="8" w:space="1" w:color="4F81BD"/>
      </w:pBdr>
      <w:spacing w:before="200" w:after="80"/>
      <w:outlineLvl w:val="1"/>
    </w:pPr>
    <w:rPr>
      <w:color w:val="365F91"/>
      <w:sz w:val="24"/>
      <w:szCs w:val="24"/>
    </w:rPr>
  </w:style>
  <w:style w:type="paragraph" w:styleId="Heading3">
    <w:name w:val="heading 3"/>
    <w:basedOn w:val="Normal"/>
    <w:next w:val="Normal"/>
    <w:qFormat/>
    <w:pPr>
      <w:pBdr>
        <w:bottom w:val="single" w:sz="4" w:space="1" w:color="95B3D7"/>
      </w:pBdr>
      <w:spacing w:before="200" w:after="80"/>
      <w:outlineLvl w:val="2"/>
    </w:pPr>
    <w:rPr>
      <w:color w:val="4F81BD"/>
      <w:sz w:val="24"/>
      <w:szCs w:val="24"/>
    </w:rPr>
  </w:style>
  <w:style w:type="paragraph" w:styleId="Heading4">
    <w:name w:val="heading 4"/>
    <w:basedOn w:val="Normal"/>
    <w:next w:val="Normal"/>
    <w:qFormat/>
    <w:pPr>
      <w:pBdr>
        <w:bottom w:val="single" w:sz="4" w:space="2" w:color="B8CCE4"/>
      </w:pBdr>
      <w:spacing w:before="200" w:after="80"/>
      <w:outlineLvl w:val="3"/>
    </w:pPr>
    <w:rPr>
      <w:i/>
      <w:iCs/>
      <w:color w:val="4F81BD"/>
      <w:sz w:val="24"/>
      <w:szCs w:val="24"/>
    </w:rPr>
  </w:style>
  <w:style w:type="paragraph" w:styleId="Heading5">
    <w:name w:val="heading 5"/>
    <w:basedOn w:val="Normal"/>
    <w:next w:val="Normal"/>
    <w:qFormat/>
    <w:pPr>
      <w:spacing w:before="200" w:after="80"/>
      <w:outlineLvl w:val="4"/>
    </w:pPr>
    <w:rPr>
      <w:color w:val="4F81BD"/>
    </w:rPr>
  </w:style>
  <w:style w:type="paragraph" w:styleId="Heading6">
    <w:name w:val="heading 6"/>
    <w:basedOn w:val="Normal"/>
    <w:next w:val="Normal"/>
    <w:qFormat/>
    <w:pPr>
      <w:spacing w:before="280" w:after="100"/>
      <w:outlineLvl w:val="5"/>
    </w:pPr>
    <w:rPr>
      <w:i/>
      <w:iCs/>
      <w:color w:val="4F81BD"/>
    </w:rPr>
  </w:style>
  <w:style w:type="paragraph" w:styleId="Heading7">
    <w:name w:val="heading 7"/>
    <w:basedOn w:val="Normal"/>
    <w:next w:val="Normal"/>
    <w:qFormat/>
    <w:pPr>
      <w:spacing w:before="320" w:after="100"/>
      <w:outlineLvl w:val="6"/>
    </w:pPr>
    <w:rPr>
      <w:b/>
      <w:bCs/>
      <w:color w:val="9BBB59"/>
    </w:rPr>
  </w:style>
  <w:style w:type="paragraph" w:styleId="Heading8">
    <w:name w:val="heading 8"/>
    <w:basedOn w:val="Normal"/>
    <w:next w:val="Normal"/>
    <w:qFormat/>
    <w:pPr>
      <w:spacing w:before="320" w:after="100"/>
      <w:outlineLvl w:val="7"/>
    </w:pPr>
    <w:rPr>
      <w:b/>
      <w:bCs/>
      <w:i/>
      <w:iCs/>
      <w:color w:val="9BBB59"/>
    </w:rPr>
  </w:style>
  <w:style w:type="paragraph" w:styleId="Heading9">
    <w:name w:val="heading 9"/>
    <w:basedOn w:val="Normal"/>
    <w:next w:val="Normal"/>
    <w:qFormat/>
    <w:pPr>
      <w:spacing w:before="320" w:after="100"/>
      <w:outlineLvl w:val="8"/>
    </w:pPr>
    <w:rPr>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6">
    <w:name w:val="Char Char16"/>
    <w:rPr>
      <w:rFonts w:ascii="Times New Roman" w:eastAsia="Times New Roman" w:hAnsi="Times New Roman" w:cs="Times New Roman"/>
      <w:b/>
      <w:bCs/>
      <w:color w:val="365F91"/>
      <w:sz w:val="24"/>
      <w:szCs w:val="24"/>
    </w:rPr>
  </w:style>
  <w:style w:type="character" w:customStyle="1" w:styleId="CharChar15">
    <w:name w:val="Char Char15"/>
    <w:semiHidden/>
    <w:rPr>
      <w:rFonts w:ascii="Times New Roman" w:eastAsia="Times New Roman" w:hAnsi="Times New Roman" w:cs="Times New Roman"/>
      <w:color w:val="365F91"/>
      <w:sz w:val="24"/>
      <w:szCs w:val="24"/>
    </w:rPr>
  </w:style>
  <w:style w:type="character" w:customStyle="1" w:styleId="CharChar14">
    <w:name w:val="Char Char14"/>
    <w:semiHidden/>
    <w:rPr>
      <w:rFonts w:ascii="Times New Roman" w:eastAsia="Times New Roman" w:hAnsi="Times New Roman" w:cs="Times New Roman"/>
      <w:color w:val="4F81BD"/>
      <w:sz w:val="24"/>
      <w:szCs w:val="24"/>
    </w:rPr>
  </w:style>
  <w:style w:type="character" w:customStyle="1" w:styleId="CharChar13">
    <w:name w:val="Char Char13"/>
    <w:semiHidden/>
    <w:rPr>
      <w:rFonts w:ascii="Times New Roman" w:eastAsia="Times New Roman" w:hAnsi="Times New Roman" w:cs="Times New Roman"/>
      <w:i/>
      <w:iCs/>
      <w:color w:val="4F81BD"/>
      <w:sz w:val="24"/>
      <w:szCs w:val="24"/>
    </w:rPr>
  </w:style>
  <w:style w:type="character" w:customStyle="1" w:styleId="CharChar12">
    <w:name w:val="Char Char12"/>
    <w:semiHidden/>
    <w:rPr>
      <w:rFonts w:ascii="Times New Roman" w:eastAsia="Times New Roman" w:hAnsi="Times New Roman" w:cs="Times New Roman"/>
      <w:color w:val="4F81BD"/>
    </w:rPr>
  </w:style>
  <w:style w:type="character" w:customStyle="1" w:styleId="CharChar11">
    <w:name w:val="Char Char11"/>
    <w:semiHidden/>
    <w:rPr>
      <w:rFonts w:ascii="Times New Roman" w:eastAsia="Times New Roman" w:hAnsi="Times New Roman" w:cs="Times New Roman"/>
      <w:i/>
      <w:iCs/>
      <w:color w:val="4F81BD"/>
    </w:rPr>
  </w:style>
  <w:style w:type="character" w:customStyle="1" w:styleId="CharChar10">
    <w:name w:val="Char Char10"/>
    <w:semiHidden/>
    <w:rPr>
      <w:rFonts w:ascii="Times New Roman" w:eastAsia="Times New Roman" w:hAnsi="Times New Roman" w:cs="Times New Roman"/>
      <w:b/>
      <w:bCs/>
      <w:color w:val="9BBB59"/>
      <w:sz w:val="20"/>
      <w:szCs w:val="20"/>
    </w:rPr>
  </w:style>
  <w:style w:type="character" w:customStyle="1" w:styleId="CharChar9">
    <w:name w:val="Char Char9"/>
    <w:semiHidden/>
    <w:rPr>
      <w:rFonts w:ascii="Times New Roman" w:eastAsia="Times New Roman" w:hAnsi="Times New Roman" w:cs="Times New Roman"/>
      <w:b/>
      <w:bCs/>
      <w:i/>
      <w:iCs/>
      <w:color w:val="9BBB59"/>
      <w:sz w:val="20"/>
      <w:szCs w:val="20"/>
    </w:rPr>
  </w:style>
  <w:style w:type="character" w:customStyle="1" w:styleId="CharChar8">
    <w:name w:val="Char Char8"/>
    <w:semiHidden/>
    <w:rPr>
      <w:rFonts w:ascii="Times New Roman" w:eastAsia="Times New Roman" w:hAnsi="Times New Roman" w:cs="Times New Roman"/>
      <w:i/>
      <w:iCs/>
      <w:color w:val="9BBB59"/>
      <w:sz w:val="20"/>
      <w:szCs w:val="20"/>
    </w:rPr>
  </w:style>
  <w:style w:type="paragraph" w:styleId="Caption">
    <w:name w:val="caption"/>
    <w:basedOn w:val="Normal"/>
    <w:next w:val="Normal"/>
    <w:qFormat/>
    <w:rPr>
      <w:b/>
      <w:bCs/>
      <w:sz w:val="18"/>
      <w:szCs w:val="18"/>
    </w:rPr>
  </w:style>
  <w:style w:type="paragraph" w:styleId="Title">
    <w:name w:val="Title"/>
    <w:basedOn w:val="Normal"/>
    <w:next w:val="Normal"/>
    <w:qFormat/>
    <w:pPr>
      <w:pBdr>
        <w:top w:val="single" w:sz="8" w:space="10" w:color="A7BFDE"/>
        <w:bottom w:val="single" w:sz="24" w:space="15" w:color="9BBB59"/>
      </w:pBdr>
      <w:jc w:val="center"/>
    </w:pPr>
    <w:rPr>
      <w:i/>
      <w:iCs/>
      <w:color w:val="243F60"/>
      <w:sz w:val="60"/>
      <w:szCs w:val="60"/>
    </w:rPr>
  </w:style>
  <w:style w:type="character" w:customStyle="1" w:styleId="CharChar7">
    <w:name w:val="Char Char7"/>
    <w:rPr>
      <w:rFonts w:ascii="Times New Roman" w:eastAsia="Times New Roman" w:hAnsi="Times New Roman" w:cs="Times New Roman"/>
      <w:i/>
      <w:iCs/>
      <w:color w:val="243F60"/>
      <w:sz w:val="60"/>
      <w:szCs w:val="60"/>
    </w:rPr>
  </w:style>
  <w:style w:type="paragraph" w:styleId="Subtitle">
    <w:name w:val="Subtitle"/>
    <w:basedOn w:val="Normal"/>
    <w:next w:val="Normal"/>
    <w:qFormat/>
    <w:pPr>
      <w:spacing w:before="200" w:after="900"/>
      <w:jc w:val="right"/>
    </w:pPr>
    <w:rPr>
      <w:i/>
      <w:iCs/>
      <w:sz w:val="24"/>
      <w:szCs w:val="24"/>
    </w:rPr>
  </w:style>
  <w:style w:type="character" w:customStyle="1" w:styleId="CharChar6">
    <w:name w:val="Char Char6"/>
    <w:rPr>
      <w:rFonts w:ascii="Times New Roman"/>
      <w:i/>
      <w:iCs/>
      <w:sz w:val="24"/>
      <w:szCs w:val="24"/>
    </w:rPr>
  </w:style>
  <w:style w:type="character" w:styleId="Strong">
    <w:name w:val="Strong"/>
    <w:qFormat/>
    <w:rPr>
      <w:b/>
      <w:bCs/>
      <w:spacing w:val="0"/>
    </w:rPr>
  </w:style>
  <w:style w:type="character" w:styleId="Emphasis">
    <w:name w:val="Emphasis"/>
    <w:qFormat/>
    <w:rPr>
      <w:b/>
      <w:bCs/>
      <w:i/>
      <w:iCs/>
      <w:color w:val="5A5A5A"/>
    </w:rPr>
  </w:style>
  <w:style w:type="paragraph" w:styleId="NoSpacing">
    <w:name w:val="No Spacing"/>
    <w:basedOn w:val="Normal"/>
    <w:qFormat/>
  </w:style>
  <w:style w:type="character" w:customStyle="1" w:styleId="NoSpacingChar">
    <w:name w:val="No Spacing Char"/>
    <w:basedOn w:val="DefaultParagraphFont"/>
  </w:style>
  <w:style w:type="paragraph" w:customStyle="1" w:styleId="ColorfulList-Accent11">
    <w:name w:val="Colorful List - Accent 11"/>
    <w:basedOn w:val="Normal"/>
    <w:uiPriority w:val="34"/>
    <w:qFormat/>
    <w:pPr>
      <w:ind w:left="720"/>
      <w:contextualSpacing/>
    </w:pPr>
  </w:style>
  <w:style w:type="paragraph" w:customStyle="1" w:styleId="ColorfulGrid-Accent11">
    <w:name w:val="Colorful Grid - Accent 11"/>
    <w:basedOn w:val="Normal"/>
    <w:next w:val="Normal"/>
    <w:qFormat/>
    <w:rPr>
      <w:i/>
      <w:iCs/>
      <w:color w:val="5A5A5A"/>
    </w:rPr>
  </w:style>
  <w:style w:type="character" w:customStyle="1" w:styleId="QuoteChar">
    <w:name w:val="Quote Char"/>
    <w:rPr>
      <w:rFonts w:ascii="Times New Roman" w:eastAsia="Times New Roman" w:hAnsi="Times New Roman" w:cs="Times New Roman"/>
      <w:i/>
      <w:iCs/>
      <w:color w:val="5A5A5A"/>
    </w:rPr>
  </w:style>
  <w:style w:type="paragraph" w:customStyle="1" w:styleId="LightShading-Accent21">
    <w:name w:val="Light Shading - Accent 21"/>
    <w:basedOn w:val="Normal"/>
    <w:next w:val="Normal"/>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i/>
      <w:iCs/>
      <w:color w:val="FFFFFF"/>
      <w:sz w:val="24"/>
      <w:szCs w:val="24"/>
    </w:rPr>
  </w:style>
  <w:style w:type="character" w:customStyle="1" w:styleId="IntenseQuoteChar">
    <w:name w:val="Intense Quote Char"/>
    <w:rPr>
      <w:rFonts w:ascii="Times New Roman" w:eastAsia="Times New Roman" w:hAnsi="Times New Roman" w:cs="Times New Roman"/>
      <w:i/>
      <w:iCs/>
      <w:color w:val="FFFFFF"/>
      <w:sz w:val="24"/>
      <w:szCs w:val="24"/>
      <w:shd w:val="clear" w:color="auto" w:fill="4F81BD"/>
    </w:rPr>
  </w:style>
  <w:style w:type="character" w:styleId="SubtleEmphasis">
    <w:name w:val="Subtle Emphasis"/>
    <w:qFormat/>
    <w:rPr>
      <w:i/>
      <w:iCs/>
      <w:color w:val="5A5A5A"/>
    </w:rPr>
  </w:style>
  <w:style w:type="character" w:styleId="IntenseEmphasis">
    <w:name w:val="Intense Emphasis"/>
    <w:qFormat/>
    <w:rPr>
      <w:b/>
      <w:bCs/>
      <w:i/>
      <w:iCs/>
      <w:color w:val="4F81BD"/>
      <w:sz w:val="22"/>
      <w:szCs w:val="22"/>
    </w:rPr>
  </w:style>
  <w:style w:type="character" w:styleId="SubtleReference">
    <w:name w:val="Subtle Reference"/>
    <w:qFormat/>
    <w:rPr>
      <w:color w:val="auto"/>
      <w:u w:val="single" w:color="9BBB59"/>
    </w:rPr>
  </w:style>
  <w:style w:type="character" w:styleId="IntenseReference">
    <w:name w:val="Intense Reference"/>
    <w:qFormat/>
    <w:rPr>
      <w:b/>
      <w:bCs/>
      <w:color w:val="76923C"/>
      <w:u w:val="single" w:color="9BBB59"/>
    </w:rPr>
  </w:style>
  <w:style w:type="character" w:styleId="BookTitle">
    <w:name w:val="Book Title"/>
    <w:qFormat/>
    <w:rPr>
      <w:rFonts w:ascii="Times New Roman" w:eastAsia="Times New Roman" w:hAnsi="Times New Roman" w:cs="Times New Roman"/>
      <w:b/>
      <w:bCs/>
      <w:i/>
      <w:iCs/>
      <w:color w:val="auto"/>
    </w:rPr>
  </w:style>
  <w:style w:type="paragraph" w:styleId="TOCHeading">
    <w:name w:val="TOC Heading"/>
    <w:basedOn w:val="Heading1"/>
    <w:next w:val="Normal"/>
    <w:qFormat/>
    <w:pPr>
      <w:outlineLvl w:val="9"/>
    </w:pPr>
  </w:style>
  <w:style w:type="character" w:customStyle="1" w:styleId="BodyTextFi">
    <w:name w:val="Body Text Fi"/>
  </w:style>
  <w:style w:type="paragraph" w:styleId="Header">
    <w:name w:val="header"/>
    <w:basedOn w:val="Normal"/>
    <w:unhideWhenUsed/>
    <w:pPr>
      <w:tabs>
        <w:tab w:val="center" w:pos="4680"/>
        <w:tab w:val="right" w:pos="9360"/>
      </w:tabs>
    </w:pPr>
  </w:style>
  <w:style w:type="character" w:customStyle="1" w:styleId="CharChar5">
    <w:name w:val="Char Char5"/>
    <w:semiHidden/>
    <w:rPr>
      <w:rFonts w:ascii="Times New Roman" w:eastAsia="Times New Roman" w:hAnsi="Times New Roman" w:cs="Times New Roman"/>
      <w:sz w:val="20"/>
      <w:szCs w:val="20"/>
      <w:lang w:eastAsia="ja-JP" w:bidi="ar-SA"/>
    </w:rPr>
  </w:style>
  <w:style w:type="paragraph" w:styleId="Footer">
    <w:name w:val="footer"/>
    <w:basedOn w:val="Normal"/>
    <w:link w:val="FooterChar"/>
    <w:uiPriority w:val="99"/>
    <w:unhideWhenUsed/>
    <w:pPr>
      <w:tabs>
        <w:tab w:val="center" w:pos="4680"/>
        <w:tab w:val="right" w:pos="9360"/>
      </w:tabs>
    </w:pPr>
  </w:style>
  <w:style w:type="character" w:customStyle="1" w:styleId="CharChar4">
    <w:name w:val="Char Char4"/>
    <w:rPr>
      <w:rFonts w:ascii="Times New Roman" w:eastAsia="Times New Roman" w:hAnsi="Times New Roman" w:cs="Times New Roman"/>
      <w:sz w:val="20"/>
      <w:szCs w:val="20"/>
      <w:lang w:eastAsia="ja-JP" w:bidi="ar-SA"/>
    </w:rPr>
  </w:style>
  <w:style w:type="paragraph" w:styleId="TOC1">
    <w:name w:val="toc 1"/>
    <w:basedOn w:val="Normal"/>
    <w:next w:val="Normal"/>
    <w:autoRedefine/>
    <w:semiHidden/>
    <w:unhideWhenUsed/>
    <w:pPr>
      <w:spacing w:after="100"/>
    </w:pPr>
    <w:rPr>
      <w:sz w:val="24"/>
    </w:rPr>
  </w:style>
  <w:style w:type="character" w:styleId="Hyperlink">
    <w:name w:val="Hyperlink"/>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CharChar3">
    <w:name w:val="Char Char3"/>
    <w:semiHidden/>
    <w:rPr>
      <w:rFonts w:ascii="Tahoma" w:eastAsia="Times New Roman" w:hAnsi="Tahoma" w:cs="Tahoma"/>
      <w:sz w:val="16"/>
      <w:szCs w:val="16"/>
      <w:lang w:eastAsia="ja-JP" w:bidi="ar-SA"/>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pPr>
  </w:style>
  <w:style w:type="character" w:customStyle="1" w:styleId="CharChar2">
    <w:name w:val="Char Char2"/>
    <w:semiHidden/>
    <w:rPr>
      <w:rFonts w:ascii="Times New Roman" w:eastAsia="Times New Roman" w:hAnsi="Times New Roman" w:cs="Times New Roman"/>
      <w:sz w:val="20"/>
      <w:szCs w:val="20"/>
      <w:lang w:eastAsia="ja-JP" w:bidi="ar-SA"/>
    </w:rPr>
  </w:style>
  <w:style w:type="character" w:customStyle="1" w:styleId="BulletInden">
    <w:name w:val="Bullet Inden"/>
  </w:style>
  <w:style w:type="character" w:styleId="FootnoteReference">
    <w:name w:val="footnote reference"/>
    <w:rPr>
      <w:vertAlign w:val="superscript"/>
    </w:rPr>
  </w:style>
  <w:style w:type="paragraph" w:styleId="BodyText">
    <w:name w:val="Body Text"/>
    <w:basedOn w:val="Normal"/>
    <w:pPr>
      <w:spacing w:after="120"/>
    </w:pPr>
  </w:style>
  <w:style w:type="character" w:customStyle="1" w:styleId="CharChar1">
    <w:name w:val="Char Char1"/>
    <w:rPr>
      <w:rFonts w:ascii="Times New Roman" w:eastAsia="Times New Roman" w:hAnsi="Times New Roman" w:cs="Times New Roman"/>
      <w:sz w:val="20"/>
      <w:szCs w:val="20"/>
      <w:lang w:eastAsia="ja-JP" w:bidi="ar-SA"/>
    </w:rPr>
  </w:style>
  <w:style w:type="character" w:customStyle="1" w:styleId="TableText">
    <w:name w:val="Table Text"/>
    <w:rPr>
      <w:rFonts w:ascii="Arial" w:hAnsi="Arial"/>
      <w:sz w:val="20"/>
    </w:rPr>
  </w:style>
  <w:style w:type="paragraph" w:customStyle="1" w:styleId="ColorfulShading-Accent11">
    <w:name w:val="Colorful Shading - Accent 11"/>
    <w:hidden/>
    <w:semiHidden/>
    <w:rPr>
      <w:lang w:eastAsia="ja-JP"/>
    </w:rPr>
  </w:style>
  <w:style w:type="paragraph" w:styleId="CommentSubject">
    <w:name w:val="annotation subject"/>
    <w:basedOn w:val="CommentText"/>
    <w:next w:val="CommentText"/>
    <w:link w:val="CommentSubjectChar"/>
    <w:semiHidden/>
    <w:unhideWhenUsed/>
    <w:pPr>
      <w:widowControl w:val="0"/>
    </w:pPr>
    <w:rPr>
      <w:b/>
      <w:bCs/>
    </w:rPr>
  </w:style>
  <w:style w:type="character" w:customStyle="1" w:styleId="CharChar">
    <w:name w:val="Char Char"/>
    <w:semiHidden/>
    <w:rPr>
      <w:rFonts w:ascii="Times New Roman" w:eastAsia="Times New Roman" w:hAnsi="Times New Roman" w:cs="Times New Roman"/>
      <w:b/>
      <w:bCs/>
      <w:sz w:val="20"/>
      <w:szCs w:val="20"/>
      <w:lang w:eastAsia="ja-JP" w:bidi="ar-SA"/>
    </w:rPr>
  </w:style>
  <w:style w:type="paragraph" w:styleId="DocumentMap">
    <w:name w:val="Document Map"/>
    <w:basedOn w:val="Normal"/>
    <w:semiHidden/>
    <w:pPr>
      <w:shd w:val="clear" w:color="auto" w:fill="000080"/>
    </w:pPr>
    <w:rPr>
      <w:rFonts w:ascii="Tahoma" w:hAnsi="Tahoma" w:cs="Tahoma"/>
    </w:rPr>
  </w:style>
  <w:style w:type="paragraph" w:styleId="TOC2">
    <w:name w:val="toc 2"/>
    <w:basedOn w:val="Normal"/>
    <w:next w:val="Normal"/>
    <w:autoRedefine/>
    <w:semiHidden/>
    <w:unhideWhenUsed/>
    <w:pPr>
      <w:tabs>
        <w:tab w:val="left" w:pos="720"/>
        <w:tab w:val="left" w:pos="880"/>
        <w:tab w:val="right" w:leader="dot" w:pos="9350"/>
      </w:tabs>
      <w:ind w:left="200"/>
    </w:p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szCs w:val="24"/>
    </w:rPr>
  </w:style>
  <w:style w:type="table" w:styleId="TableGrid">
    <w:name w:val="Table Grid"/>
    <w:basedOn w:val="TableNormal"/>
    <w:rsid w:val="00B6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DB"/>
    <w:pPr>
      <w:widowControl/>
      <w:ind w:left="720"/>
      <w:contextualSpacing/>
    </w:pPr>
    <w:rPr>
      <w:rFonts w:ascii="Calibri" w:eastAsiaTheme="minorHAnsi" w:hAnsi="Calibri" w:cs="Calibri"/>
      <w:sz w:val="22"/>
      <w:szCs w:val="22"/>
      <w:lang w:eastAsia="en-US"/>
    </w:rPr>
  </w:style>
  <w:style w:type="paragraph" w:styleId="FootnoteText">
    <w:name w:val="footnote text"/>
    <w:aliases w:val="Char,F1, Char"/>
    <w:basedOn w:val="Normal"/>
    <w:link w:val="FootnoteTextChar"/>
    <w:uiPriority w:val="99"/>
    <w:unhideWhenUsed/>
    <w:qFormat/>
    <w:rsid w:val="00337EA3"/>
    <w:pPr>
      <w:widowControl/>
    </w:pPr>
    <w:rPr>
      <w:rFonts w:eastAsiaTheme="minorHAnsi" w:cstheme="minorBidi"/>
      <w:lang w:eastAsia="en-US"/>
    </w:rPr>
  </w:style>
  <w:style w:type="character" w:customStyle="1" w:styleId="FootnoteTextChar">
    <w:name w:val="Footnote Text Char"/>
    <w:aliases w:val="Char Char17,F1 Char, Char Char"/>
    <w:basedOn w:val="DefaultParagraphFont"/>
    <w:link w:val="FootnoteText"/>
    <w:uiPriority w:val="99"/>
    <w:rsid w:val="00337EA3"/>
    <w:rPr>
      <w:rFonts w:eastAsiaTheme="minorHAnsi" w:cstheme="minorBidi"/>
    </w:rPr>
  </w:style>
  <w:style w:type="character" w:customStyle="1" w:styleId="CommentSubjectChar">
    <w:name w:val="Comment Subject Char"/>
    <w:basedOn w:val="DefaultParagraphFont"/>
    <w:link w:val="CommentSubject"/>
    <w:semiHidden/>
    <w:rsid w:val="00337EA3"/>
    <w:rPr>
      <w:b/>
      <w:bCs/>
      <w:lang w:eastAsia="ja-JP"/>
    </w:rPr>
  </w:style>
  <w:style w:type="character" w:customStyle="1" w:styleId="FooterChar">
    <w:name w:val="Footer Char"/>
    <w:basedOn w:val="DefaultParagraphFont"/>
    <w:link w:val="Footer"/>
    <w:uiPriority w:val="99"/>
    <w:rsid w:val="00BF47FD"/>
    <w:rPr>
      <w:lang w:eastAsia="ja-JP"/>
    </w:rPr>
  </w:style>
  <w:style w:type="paragraph" w:styleId="Revision">
    <w:name w:val="Revision"/>
    <w:hidden/>
    <w:uiPriority w:val="99"/>
    <w:semiHidden/>
    <w:rsid w:val="000C2ACD"/>
    <w:rPr>
      <w:lang w:eastAsia="ja-JP"/>
    </w:rPr>
  </w:style>
  <w:style w:type="character" w:customStyle="1" w:styleId="CommentTextChar">
    <w:name w:val="Comment Text Char"/>
    <w:basedOn w:val="DefaultParagraphFont"/>
    <w:link w:val="CommentText"/>
    <w:semiHidden/>
    <w:rsid w:val="003C7C85"/>
    <w:rPr>
      <w:lang w:eastAsia="ja-JP"/>
    </w:rPr>
  </w:style>
  <w:style w:type="character" w:customStyle="1" w:styleId="1">
    <w:name w:val="1"/>
    <w:rsid w:val="009E3F19"/>
    <w:rPr>
      <w:rFonts w:ascii="Arial" w:hAnsi="Arial"/>
    </w:rPr>
  </w:style>
  <w:style w:type="paragraph" w:customStyle="1" w:styleId="Default">
    <w:name w:val="Default"/>
    <w:rsid w:val="009E3F19"/>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rsid w:val="00F309A2"/>
    <w:rPr>
      <w:color w:val="954F72" w:themeColor="followedHyperlink"/>
      <w:u w:val="single"/>
    </w:rPr>
  </w:style>
  <w:style w:type="character" w:customStyle="1" w:styleId="UnresolvedMention">
    <w:name w:val="Unresolved Mention"/>
    <w:basedOn w:val="DefaultParagraphFont"/>
    <w:uiPriority w:val="99"/>
    <w:semiHidden/>
    <w:unhideWhenUsed/>
    <w:rsid w:val="00B85381"/>
    <w:rPr>
      <w:color w:val="605E5C"/>
      <w:shd w:val="clear" w:color="auto" w:fill="E1DFDD"/>
    </w:rPr>
  </w:style>
  <w:style w:type="paragraph" w:customStyle="1" w:styleId="NormalSS">
    <w:name w:val="NormalSS"/>
    <w:basedOn w:val="Normal"/>
    <w:link w:val="NormalSSChar"/>
    <w:qFormat/>
    <w:rsid w:val="00CB5F6B"/>
    <w:pPr>
      <w:widowControl/>
      <w:spacing w:after="240"/>
      <w:ind w:firstLine="432"/>
    </w:pPr>
    <w:rPr>
      <w:sz w:val="24"/>
      <w:lang w:eastAsia="en-US"/>
    </w:rPr>
  </w:style>
  <w:style w:type="paragraph" w:customStyle="1" w:styleId="TableHeaderCenter">
    <w:name w:val="Table Header Center"/>
    <w:basedOn w:val="TableHeaderLeft"/>
    <w:qFormat/>
    <w:rsid w:val="00CB5F6B"/>
    <w:pPr>
      <w:jc w:val="center"/>
    </w:pPr>
  </w:style>
  <w:style w:type="paragraph" w:customStyle="1" w:styleId="TableHeaderLeft">
    <w:name w:val="Table Header Left"/>
    <w:qFormat/>
    <w:rsid w:val="00CB5F6B"/>
    <w:pPr>
      <w:spacing w:before="120" w:after="60"/>
    </w:pPr>
    <w:rPr>
      <w:rFonts w:ascii="Arial" w:hAnsi="Arial"/>
      <w:b/>
      <w:color w:val="FFFFFF" w:themeColor="background1"/>
      <w:sz w:val="18"/>
    </w:rPr>
  </w:style>
  <w:style w:type="character" w:customStyle="1" w:styleId="NormalSSChar">
    <w:name w:val="NormalSS Char"/>
    <w:basedOn w:val="DefaultParagraphFont"/>
    <w:link w:val="NormalSS"/>
    <w:locked/>
    <w:rsid w:val="00CB5F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41041">
      <w:bodyDiv w:val="1"/>
      <w:marLeft w:val="0"/>
      <w:marRight w:val="0"/>
      <w:marTop w:val="0"/>
      <w:marBottom w:val="0"/>
      <w:divBdr>
        <w:top w:val="none" w:sz="0" w:space="0" w:color="auto"/>
        <w:left w:val="none" w:sz="0" w:space="0" w:color="auto"/>
        <w:bottom w:val="none" w:sz="0" w:space="0" w:color="auto"/>
        <w:right w:val="none" w:sz="0" w:space="0" w:color="auto"/>
      </w:divBdr>
    </w:div>
    <w:div w:id="784664504">
      <w:bodyDiv w:val="1"/>
      <w:marLeft w:val="0"/>
      <w:marRight w:val="0"/>
      <w:marTop w:val="0"/>
      <w:marBottom w:val="0"/>
      <w:divBdr>
        <w:top w:val="none" w:sz="0" w:space="0" w:color="auto"/>
        <w:left w:val="none" w:sz="0" w:space="0" w:color="auto"/>
        <w:bottom w:val="none" w:sz="0" w:space="0" w:color="auto"/>
        <w:right w:val="none" w:sz="0" w:space="0" w:color="auto"/>
      </w:divBdr>
    </w:div>
    <w:div w:id="1593968967">
      <w:bodyDiv w:val="1"/>
      <w:marLeft w:val="0"/>
      <w:marRight w:val="0"/>
      <w:marTop w:val="0"/>
      <w:marBottom w:val="0"/>
      <w:divBdr>
        <w:top w:val="none" w:sz="0" w:space="0" w:color="auto"/>
        <w:left w:val="none" w:sz="0" w:space="0" w:color="auto"/>
        <w:bottom w:val="none" w:sz="0" w:space="0" w:color="auto"/>
        <w:right w:val="none" w:sz="0" w:space="0" w:color="auto"/>
      </w:divBdr>
    </w:div>
    <w:div w:id="18521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yla.Karamustafa@cityofchicago.org"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oes/current/oes132031.htm" TargetMode="External"/><Relationship Id="rId4" Type="http://schemas.openxmlformats.org/officeDocument/2006/relationships/settings" Target="settings.xml"/><Relationship Id="rId9" Type="http://schemas.openxmlformats.org/officeDocument/2006/relationships/hyperlink" Target="mailto:agallach@usf.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ab.hrsa.gov/data/dat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2193D-D0D9-48CC-A32B-4C0CE7A1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2020-06-25T14:07:00Z</dcterms:created>
  <dcterms:modified xsi:type="dcterms:W3CDTF">2020-08-26T20:25:00Z</dcterms:modified>
</cp:coreProperties>
</file>