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4D" w:rsidP="00FE654D" w:rsidRDefault="00094178" w14:paraId="763BE5CD" w14:textId="1D4AC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54D">
        <w:rPr>
          <w:rFonts w:ascii="Times New Roman" w:hAnsi="Times New Roman" w:cs="Times New Roman"/>
          <w:b/>
          <w:sz w:val="24"/>
          <w:szCs w:val="24"/>
        </w:rPr>
        <w:t>High Level Summary of Revisions to</w:t>
      </w:r>
    </w:p>
    <w:p w:rsidRPr="00FE654D" w:rsidR="000D357D" w:rsidP="00FE654D" w:rsidRDefault="00094178" w14:paraId="2E454EBD" w14:textId="47D29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54D">
        <w:rPr>
          <w:rFonts w:ascii="Times New Roman" w:hAnsi="Times New Roman" w:cs="Times New Roman"/>
          <w:b/>
          <w:sz w:val="24"/>
          <w:szCs w:val="24"/>
        </w:rPr>
        <w:t>OPTN Membership Application forms (0915-0184)</w:t>
      </w:r>
    </w:p>
    <w:p w:rsidRPr="00FE654D" w:rsidR="00094178" w:rsidP="00EE6FE5" w:rsidRDefault="00FE654D" w14:paraId="15C6FA6D" w14:textId="028330EE">
      <w:pPr>
        <w:ind w:left="360"/>
        <w:rPr>
          <w:rFonts w:ascii="Times New Roman" w:hAnsi="Times New Roman" w:cs="Times New Roman"/>
          <w:sz w:val="24"/>
          <w:szCs w:val="24"/>
        </w:rPr>
      </w:pPr>
      <w:r w:rsidRPr="00FE654D">
        <w:rPr>
          <w:rFonts w:ascii="Times New Roman" w:hAnsi="Times New Roman" w:cs="Times New Roman"/>
          <w:sz w:val="24"/>
          <w:szCs w:val="24"/>
        </w:rPr>
        <w:t xml:space="preserve">HRSA is submitting this summary of revisions to </w:t>
      </w:r>
      <w:r w:rsidRPr="00FE654D" w:rsidR="00094178">
        <w:rPr>
          <w:rFonts w:ascii="Times New Roman" w:hAnsi="Times New Roman" w:cs="Times New Roman"/>
          <w:sz w:val="24"/>
          <w:szCs w:val="24"/>
        </w:rPr>
        <w:t>forms in the OPTN Membership Application ICR package (0915-0184)</w:t>
      </w:r>
      <w:r w:rsidRPr="00FE654D">
        <w:rPr>
          <w:rFonts w:ascii="Times New Roman" w:hAnsi="Times New Roman" w:cs="Times New Roman"/>
          <w:sz w:val="24"/>
          <w:szCs w:val="24"/>
        </w:rPr>
        <w:t xml:space="preserve"> rather than submitting </w:t>
      </w:r>
      <w:r w:rsidR="00EE6FE5">
        <w:rPr>
          <w:rFonts w:ascii="Times New Roman" w:hAnsi="Times New Roman" w:cs="Times New Roman"/>
          <w:sz w:val="24"/>
          <w:szCs w:val="24"/>
        </w:rPr>
        <w:t xml:space="preserve">individual redlines of </w:t>
      </w:r>
      <w:r w:rsidRPr="00FE654D">
        <w:rPr>
          <w:rFonts w:ascii="Times New Roman" w:hAnsi="Times New Roman" w:cs="Times New Roman"/>
          <w:sz w:val="24"/>
          <w:szCs w:val="24"/>
        </w:rPr>
        <w:t>forms.  The revisions</w:t>
      </w:r>
      <w:r w:rsidRPr="00FE654D" w:rsidR="00094178">
        <w:rPr>
          <w:rFonts w:ascii="Times New Roman" w:hAnsi="Times New Roman" w:cs="Times New Roman"/>
          <w:sz w:val="24"/>
          <w:szCs w:val="24"/>
        </w:rPr>
        <w:t xml:space="preserve"> are proposed to make </w:t>
      </w:r>
      <w:r w:rsidRPr="00FE654D">
        <w:rPr>
          <w:rFonts w:ascii="Times New Roman" w:hAnsi="Times New Roman" w:cs="Times New Roman"/>
          <w:sz w:val="24"/>
          <w:szCs w:val="24"/>
        </w:rPr>
        <w:t xml:space="preserve">OPTN membership </w:t>
      </w:r>
      <w:r w:rsidRPr="00FE654D" w:rsidR="00094178">
        <w:rPr>
          <w:rFonts w:ascii="Times New Roman" w:hAnsi="Times New Roman" w:cs="Times New Roman"/>
          <w:sz w:val="24"/>
          <w:szCs w:val="24"/>
        </w:rPr>
        <w:t xml:space="preserve">application requirements more clear and organized, and thus less cumbersome for applicants to complete. </w:t>
      </w:r>
      <w:r w:rsidR="00E46552">
        <w:rPr>
          <w:rFonts w:ascii="Times New Roman" w:hAnsi="Times New Roman" w:cs="Times New Roman"/>
          <w:sz w:val="24"/>
          <w:szCs w:val="24"/>
        </w:rPr>
        <w:t xml:space="preserve"> </w:t>
      </w:r>
      <w:r w:rsidRPr="00FE654D" w:rsidR="00094178">
        <w:rPr>
          <w:rFonts w:ascii="Times New Roman" w:hAnsi="Times New Roman" w:cs="Times New Roman"/>
          <w:sz w:val="24"/>
          <w:szCs w:val="24"/>
        </w:rPr>
        <w:t xml:space="preserve">Proposed revisions include changes to wording to make questions more consistent with the language of the OPTN Bylaws (Bylaws). </w:t>
      </w:r>
      <w:r w:rsidR="00EB6F5A">
        <w:rPr>
          <w:rFonts w:ascii="Times New Roman" w:hAnsi="Times New Roman" w:cs="Times New Roman"/>
          <w:sz w:val="24"/>
          <w:szCs w:val="24"/>
        </w:rPr>
        <w:t xml:space="preserve"> </w:t>
      </w:r>
      <w:r w:rsidR="00EE6FE5">
        <w:rPr>
          <w:rFonts w:ascii="Times New Roman" w:hAnsi="Times New Roman" w:cs="Times New Roman"/>
          <w:sz w:val="24"/>
          <w:szCs w:val="24"/>
        </w:rPr>
        <w:t xml:space="preserve">The </w:t>
      </w:r>
      <w:r w:rsidRPr="00FE654D" w:rsidR="00EE6FE5">
        <w:rPr>
          <w:rFonts w:ascii="Times New Roman" w:hAnsi="Times New Roman" w:cs="Times New Roman"/>
          <w:sz w:val="24"/>
          <w:szCs w:val="24"/>
        </w:rPr>
        <w:t xml:space="preserve">Bylaws </w:t>
      </w:r>
      <w:r w:rsidRPr="00FE654D" w:rsidR="00EE6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outline membership requirements for organizations and individuals to participate the in U.S. transplant network.</w:t>
      </w:r>
      <w:r w:rsidR="00EE6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654D" w:rsidR="00EE6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654D" w:rsidR="00094178">
        <w:rPr>
          <w:rFonts w:ascii="Times New Roman" w:hAnsi="Times New Roman" w:cs="Times New Roman"/>
          <w:sz w:val="24"/>
          <w:szCs w:val="24"/>
        </w:rPr>
        <w:t xml:space="preserve">In addition, the applications </w:t>
      </w:r>
      <w:proofErr w:type="gramStart"/>
      <w:r w:rsidRPr="00FE654D" w:rsidR="00094178">
        <w:rPr>
          <w:rFonts w:ascii="Times New Roman" w:hAnsi="Times New Roman" w:cs="Times New Roman"/>
          <w:sz w:val="24"/>
          <w:szCs w:val="24"/>
        </w:rPr>
        <w:t>have been revised</w:t>
      </w:r>
      <w:proofErr w:type="gramEnd"/>
      <w:r w:rsidRPr="00FE654D" w:rsidR="00094178">
        <w:rPr>
          <w:rFonts w:ascii="Times New Roman" w:hAnsi="Times New Roman" w:cs="Times New Roman"/>
          <w:sz w:val="24"/>
          <w:szCs w:val="24"/>
        </w:rPr>
        <w:t xml:space="preserve"> so that the sequence of questions is </w:t>
      </w:r>
      <w:r w:rsidR="00EE6FE5">
        <w:rPr>
          <w:rFonts w:ascii="Times New Roman" w:hAnsi="Times New Roman" w:cs="Times New Roman"/>
          <w:sz w:val="24"/>
          <w:szCs w:val="24"/>
        </w:rPr>
        <w:t>parallel to that of the Bylaws</w:t>
      </w:r>
      <w:r w:rsidRPr="00FE654D" w:rsidR="00094178">
        <w:rPr>
          <w:rFonts w:ascii="Times New Roman" w:hAnsi="Times New Roman" w:cs="Times New Roman"/>
          <w:sz w:val="24"/>
          <w:szCs w:val="24"/>
        </w:rPr>
        <w:t xml:space="preserve"> so that an applicant can have the application and Bylaws side-by-side for easy reference.  </w:t>
      </w:r>
    </w:p>
    <w:p w:rsidR="00094178" w:rsidP="00572464" w:rsidRDefault="00094178" w14:paraId="7845A775" w14:textId="6F51A01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E654D">
        <w:rPr>
          <w:rFonts w:ascii="Times New Roman" w:hAnsi="Times New Roman" w:cs="Times New Roman"/>
          <w:sz w:val="24"/>
          <w:szCs w:val="24"/>
        </w:rPr>
        <w:t xml:space="preserve">In addition, </w:t>
      </w:r>
      <w:r w:rsidRPr="00FE654D">
        <w:rPr>
          <w:rFonts w:ascii="Times New Roman" w:hAnsi="Times New Roman" w:cs="Times New Roman"/>
          <w:color w:val="000000"/>
          <w:sz w:val="24"/>
          <w:szCs w:val="24"/>
        </w:rPr>
        <w:t xml:space="preserve">the 2020 OPTN Membership Application revisions will coincide with the introduction of a </w:t>
      </w:r>
      <w:proofErr w:type="gramStart"/>
      <w:r w:rsidRPr="00FE654D">
        <w:rPr>
          <w:rFonts w:ascii="Times New Roman" w:hAnsi="Times New Roman" w:cs="Times New Roman"/>
          <w:color w:val="000000"/>
          <w:sz w:val="24"/>
          <w:szCs w:val="24"/>
        </w:rPr>
        <w:t>web based</w:t>
      </w:r>
      <w:proofErr w:type="gramEnd"/>
      <w:r w:rsidRPr="00FE654D">
        <w:rPr>
          <w:rFonts w:ascii="Times New Roman" w:hAnsi="Times New Roman" w:cs="Times New Roman"/>
          <w:color w:val="000000"/>
          <w:sz w:val="24"/>
          <w:szCs w:val="24"/>
        </w:rPr>
        <w:t xml:space="preserve"> tool that will assist users to fill out the application forms and submit them electronically. </w:t>
      </w:r>
      <w:r w:rsidR="00E46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654D">
        <w:rPr>
          <w:rFonts w:ascii="Times New Roman" w:hAnsi="Times New Roman" w:cs="Times New Roman"/>
          <w:color w:val="000000"/>
          <w:sz w:val="24"/>
          <w:szCs w:val="24"/>
        </w:rPr>
        <w:t xml:space="preserve">Approval signatures required for application submission </w:t>
      </w:r>
      <w:proofErr w:type="gramStart"/>
      <w:r w:rsidRPr="00FE654D">
        <w:rPr>
          <w:rFonts w:ascii="Times New Roman" w:hAnsi="Times New Roman" w:cs="Times New Roman"/>
          <w:color w:val="000000"/>
          <w:sz w:val="24"/>
          <w:szCs w:val="24"/>
        </w:rPr>
        <w:t>will also be captured</w:t>
      </w:r>
      <w:proofErr w:type="gramEnd"/>
      <w:r w:rsidRPr="00FE654D">
        <w:rPr>
          <w:rFonts w:ascii="Times New Roman" w:hAnsi="Times New Roman" w:cs="Times New Roman"/>
          <w:color w:val="000000"/>
          <w:sz w:val="24"/>
          <w:szCs w:val="24"/>
        </w:rPr>
        <w:t xml:space="preserve"> electronically using a web based application tool.</w:t>
      </w:r>
    </w:p>
    <w:p w:rsidR="00EE6FE5" w:rsidP="00EE6FE5" w:rsidRDefault="00EE6FE5" w14:paraId="55B442B4" w14:textId="487D2A85">
      <w:pPr>
        <w:pStyle w:val="BodyTextIndent"/>
        <w:spacing w:before="120"/>
        <w:ind w:left="360"/>
        <w:rPr>
          <w:rFonts w:ascii="Times New Roman" w:hAnsi="Times New Roman"/>
        </w:rPr>
      </w:pPr>
      <w:r w:rsidRPr="00E04691">
        <w:rPr>
          <w:rFonts w:ascii="Times New Roman" w:hAnsi="Times New Roman"/>
        </w:rPr>
        <w:t>Given these changes, the overall burden has decreased signi</w:t>
      </w:r>
      <w:r w:rsidR="00182835">
        <w:rPr>
          <w:rFonts w:ascii="Times New Roman" w:hAnsi="Times New Roman"/>
        </w:rPr>
        <w:t>ficantly from an estimated 7,020</w:t>
      </w:r>
      <w:bookmarkStart w:name="_GoBack" w:id="0"/>
      <w:bookmarkEnd w:id="0"/>
      <w:r w:rsidRPr="00E04691">
        <w:rPr>
          <w:rFonts w:ascii="Times New Roman" w:hAnsi="Times New Roman"/>
        </w:rPr>
        <w:t xml:space="preserve"> total burden hours </w:t>
      </w:r>
      <w:r w:rsidR="004A6338">
        <w:rPr>
          <w:rFonts w:ascii="Times New Roman" w:hAnsi="Times New Roman"/>
        </w:rPr>
        <w:t xml:space="preserve">in 2017 </w:t>
      </w:r>
      <w:r w:rsidRPr="00E04691">
        <w:rPr>
          <w:rFonts w:ascii="Times New Roman" w:hAnsi="Times New Roman"/>
        </w:rPr>
        <w:t xml:space="preserve">to 4,755 hours in this current proposed revision package, although some forms </w:t>
      </w:r>
      <w:proofErr w:type="gramStart"/>
      <w:r w:rsidRPr="00E04691">
        <w:rPr>
          <w:rFonts w:ascii="Times New Roman" w:hAnsi="Times New Roman"/>
        </w:rPr>
        <w:t>have been combined</w:t>
      </w:r>
      <w:proofErr w:type="gramEnd"/>
      <w:r w:rsidRPr="00E04691">
        <w:rPr>
          <w:rFonts w:ascii="Times New Roman" w:hAnsi="Times New Roman"/>
        </w:rPr>
        <w:t xml:space="preserve"> into one more comprehensive form resulting in increased burden hours for a particular form.</w:t>
      </w:r>
    </w:p>
    <w:p w:rsidR="00EE6FE5" w:rsidP="00EE6FE5" w:rsidRDefault="00572464" w14:paraId="1ED05EA4" w14:textId="77777777">
      <w:pPr>
        <w:pStyle w:val="BodyTextIndent"/>
        <w:spacing w:before="120"/>
        <w:ind w:left="360"/>
        <w:rPr>
          <w:rFonts w:ascii="Times New Roman" w:hAnsi="Times New Roman"/>
        </w:rPr>
      </w:pPr>
      <w:r w:rsidRPr="00FE654D">
        <w:rPr>
          <w:rFonts w:ascii="Times New Roman" w:hAnsi="Times New Roman"/>
        </w:rPr>
        <w:t>Other changes include the following:</w:t>
      </w:r>
    </w:p>
    <w:p w:rsidR="00EE6FE5" w:rsidP="00094178" w:rsidRDefault="00404CA2" w14:paraId="076A4C31" w14:textId="7A5398E4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 w:rsidRPr="00FE654D">
        <w:rPr>
          <w:rFonts w:ascii="Times New Roman" w:hAnsi="Times New Roman"/>
        </w:rPr>
        <w:t xml:space="preserve">The </w:t>
      </w:r>
      <w:r w:rsidRPr="00FE654D" w:rsidR="00572464">
        <w:rPr>
          <w:rFonts w:ascii="Times New Roman" w:hAnsi="Times New Roman"/>
        </w:rPr>
        <w:t xml:space="preserve">“Membership – Surgeon or Physician </w:t>
      </w:r>
      <w:r w:rsidRPr="00FE654D">
        <w:rPr>
          <w:rFonts w:ascii="Times New Roman" w:hAnsi="Times New Roman"/>
        </w:rPr>
        <w:t>t</w:t>
      </w:r>
      <w:r w:rsidRPr="00FE654D" w:rsidR="00572464">
        <w:rPr>
          <w:rFonts w:ascii="Times New Roman" w:hAnsi="Times New Roman"/>
        </w:rPr>
        <w:t xml:space="preserve">ransplant log,” previously included in other forms, is now a separate form that will be attached to each </w:t>
      </w:r>
      <w:r w:rsidRPr="00FE654D">
        <w:rPr>
          <w:rFonts w:ascii="Times New Roman" w:hAnsi="Times New Roman"/>
        </w:rPr>
        <w:t>application.</w:t>
      </w:r>
      <w:r w:rsidRPr="00FE654D" w:rsidR="00D57D48">
        <w:rPr>
          <w:rFonts w:ascii="Times New Roman" w:hAnsi="Times New Roman"/>
        </w:rPr>
        <w:t xml:space="preserve"> </w:t>
      </w:r>
      <w:r w:rsidR="00E46552">
        <w:rPr>
          <w:rFonts w:ascii="Times New Roman" w:hAnsi="Times New Roman"/>
        </w:rPr>
        <w:t xml:space="preserve"> </w:t>
      </w:r>
      <w:r w:rsidRPr="00FE654D" w:rsidR="00D57D48">
        <w:rPr>
          <w:rFonts w:ascii="Times New Roman" w:hAnsi="Times New Roman"/>
        </w:rPr>
        <w:t xml:space="preserve">This new </w:t>
      </w:r>
      <w:r w:rsidRPr="00FE654D" w:rsidR="00E17F02">
        <w:rPr>
          <w:rFonts w:ascii="Times New Roman" w:hAnsi="Times New Roman"/>
        </w:rPr>
        <w:t>separ</w:t>
      </w:r>
      <w:r w:rsidRPr="00FE654D" w:rsidR="00572464">
        <w:rPr>
          <w:rFonts w:ascii="Times New Roman" w:hAnsi="Times New Roman"/>
        </w:rPr>
        <w:t xml:space="preserve">ate form </w:t>
      </w:r>
      <w:r w:rsidRPr="00FE654D" w:rsidR="00D57D48">
        <w:rPr>
          <w:rFonts w:ascii="Times New Roman" w:hAnsi="Times New Roman"/>
        </w:rPr>
        <w:t xml:space="preserve">will provide applicants with all requirements for a log per </w:t>
      </w:r>
      <w:r w:rsidRPr="00FE654D" w:rsidR="00E17F02">
        <w:rPr>
          <w:rFonts w:ascii="Times New Roman" w:hAnsi="Times New Roman"/>
        </w:rPr>
        <w:t xml:space="preserve">OPTN </w:t>
      </w:r>
      <w:r w:rsidRPr="00FE654D" w:rsidR="00D57D48">
        <w:rPr>
          <w:rFonts w:ascii="Times New Roman" w:hAnsi="Times New Roman"/>
        </w:rPr>
        <w:t xml:space="preserve">Bylaws for each organ and pathway. </w:t>
      </w:r>
      <w:r w:rsidR="00E46552">
        <w:rPr>
          <w:rFonts w:ascii="Times New Roman" w:hAnsi="Times New Roman"/>
        </w:rPr>
        <w:t xml:space="preserve"> </w:t>
      </w:r>
    </w:p>
    <w:p w:rsidR="00EE6FE5" w:rsidP="00094178" w:rsidRDefault="0094793E" w14:paraId="1D92ADA8" w14:textId="78DEB961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 w:rsidRPr="00EE6FE5">
        <w:rPr>
          <w:rFonts w:ascii="Times New Roman" w:hAnsi="Times New Roman"/>
        </w:rPr>
        <w:t xml:space="preserve">Also within the applications, </w:t>
      </w:r>
      <w:r w:rsidRPr="00EE6FE5" w:rsidR="00E17F02">
        <w:rPr>
          <w:rFonts w:ascii="Times New Roman" w:hAnsi="Times New Roman"/>
        </w:rPr>
        <w:t xml:space="preserve">what </w:t>
      </w:r>
      <w:proofErr w:type="gramStart"/>
      <w:r w:rsidRPr="00EE6FE5" w:rsidR="00E17F02">
        <w:rPr>
          <w:rFonts w:ascii="Times New Roman" w:hAnsi="Times New Roman"/>
        </w:rPr>
        <w:t>were formerly known</w:t>
      </w:r>
      <w:proofErr w:type="gramEnd"/>
      <w:r w:rsidRPr="00EE6FE5" w:rsidR="00E17F02">
        <w:rPr>
          <w:rFonts w:ascii="Times New Roman" w:hAnsi="Times New Roman"/>
        </w:rPr>
        <w:t xml:space="preserve"> as </w:t>
      </w:r>
      <w:r w:rsidRPr="00EE6FE5" w:rsidR="00666E2A">
        <w:rPr>
          <w:rFonts w:ascii="Times New Roman" w:hAnsi="Times New Roman"/>
        </w:rPr>
        <w:t>“</w:t>
      </w:r>
      <w:r w:rsidRPr="00EE6FE5">
        <w:rPr>
          <w:rFonts w:ascii="Times New Roman" w:hAnsi="Times New Roman"/>
        </w:rPr>
        <w:t>c</w:t>
      </w:r>
      <w:r w:rsidRPr="00EE6FE5" w:rsidR="00666E2A">
        <w:rPr>
          <w:rFonts w:ascii="Times New Roman" w:hAnsi="Times New Roman"/>
        </w:rPr>
        <w:t xml:space="preserve">heckboxes”—fillable tables that </w:t>
      </w:r>
      <w:r w:rsidRPr="00EE6FE5" w:rsidR="00F907F9">
        <w:rPr>
          <w:rFonts w:ascii="Times New Roman" w:hAnsi="Times New Roman"/>
        </w:rPr>
        <w:t>were not</w:t>
      </w:r>
      <w:r w:rsidRPr="00EE6FE5" w:rsidR="00666E2A">
        <w:rPr>
          <w:rFonts w:ascii="Times New Roman" w:hAnsi="Times New Roman"/>
        </w:rPr>
        <w:t xml:space="preserve"> really checkboxes at all—were removed and real checkboxes were put in</w:t>
      </w:r>
      <w:r w:rsidR="006E35F2">
        <w:rPr>
          <w:rFonts w:ascii="Times New Roman" w:hAnsi="Times New Roman"/>
        </w:rPr>
        <w:t xml:space="preserve"> to reduce the burden to applicants</w:t>
      </w:r>
      <w:r w:rsidRPr="00EE6FE5" w:rsidR="00666E2A">
        <w:rPr>
          <w:rFonts w:ascii="Times New Roman" w:hAnsi="Times New Roman"/>
        </w:rPr>
        <w:t xml:space="preserve">. </w:t>
      </w:r>
      <w:r w:rsidR="00E46552">
        <w:rPr>
          <w:rFonts w:ascii="Times New Roman" w:hAnsi="Times New Roman"/>
        </w:rPr>
        <w:t xml:space="preserve"> </w:t>
      </w:r>
      <w:r w:rsidRPr="00EE6FE5" w:rsidR="00666E2A">
        <w:rPr>
          <w:rFonts w:ascii="Times New Roman" w:hAnsi="Times New Roman"/>
        </w:rPr>
        <w:t xml:space="preserve">The “narrative” section </w:t>
      </w:r>
      <w:proofErr w:type="gramStart"/>
      <w:r w:rsidRPr="00EE6FE5" w:rsidR="00666E2A">
        <w:rPr>
          <w:rFonts w:ascii="Times New Roman" w:hAnsi="Times New Roman"/>
        </w:rPr>
        <w:t>was replaced</w:t>
      </w:r>
      <w:proofErr w:type="gramEnd"/>
      <w:r w:rsidRPr="00EE6FE5" w:rsidR="00666E2A">
        <w:rPr>
          <w:rFonts w:ascii="Times New Roman" w:hAnsi="Times New Roman"/>
        </w:rPr>
        <w:t xml:space="preserve"> by checkbox </w:t>
      </w:r>
      <w:r w:rsidR="00EE6FE5">
        <w:rPr>
          <w:rFonts w:ascii="Times New Roman" w:hAnsi="Times New Roman"/>
        </w:rPr>
        <w:t>“</w:t>
      </w:r>
      <w:r w:rsidRPr="00EE6FE5" w:rsidR="00F907F9">
        <w:rPr>
          <w:rFonts w:ascii="Times New Roman" w:hAnsi="Times New Roman"/>
        </w:rPr>
        <w:t>attestations,</w:t>
      </w:r>
      <w:r w:rsidR="00EE6FE5">
        <w:rPr>
          <w:rFonts w:ascii="Times New Roman" w:hAnsi="Times New Roman"/>
        </w:rPr>
        <w:t>”</w:t>
      </w:r>
      <w:r w:rsidRPr="00EE6FE5" w:rsidR="00F907F9">
        <w:rPr>
          <w:rFonts w:ascii="Times New Roman" w:hAnsi="Times New Roman"/>
        </w:rPr>
        <w:t xml:space="preserve"> which</w:t>
      </w:r>
      <w:r w:rsidRPr="00EE6FE5" w:rsidR="00666E2A">
        <w:rPr>
          <w:rFonts w:ascii="Times New Roman" w:hAnsi="Times New Roman"/>
        </w:rPr>
        <w:t xml:space="preserve"> will serve the same purpose</w:t>
      </w:r>
      <w:r w:rsidRPr="00EE6FE5" w:rsidR="00A213FE">
        <w:rPr>
          <w:rFonts w:ascii="Times New Roman" w:hAnsi="Times New Roman"/>
        </w:rPr>
        <w:t xml:space="preserve">: </w:t>
      </w:r>
      <w:r w:rsidRPr="00EE6FE5" w:rsidR="00CD10DD">
        <w:rPr>
          <w:rFonts w:ascii="Times New Roman" w:hAnsi="Times New Roman"/>
        </w:rPr>
        <w:t xml:space="preserve">understanding </w:t>
      </w:r>
      <w:r w:rsidRPr="00EE6FE5" w:rsidR="00D8255A">
        <w:rPr>
          <w:rFonts w:ascii="Times New Roman" w:hAnsi="Times New Roman"/>
        </w:rPr>
        <w:t>relevant and recent</w:t>
      </w:r>
      <w:r w:rsidRPr="00EE6FE5" w:rsidR="00CD10DD">
        <w:rPr>
          <w:rFonts w:ascii="Times New Roman" w:hAnsi="Times New Roman"/>
        </w:rPr>
        <w:t xml:space="preserve"> surgeon and physician applicant experience</w:t>
      </w:r>
      <w:r w:rsidRPr="00EE6FE5" w:rsidR="00666E2A">
        <w:rPr>
          <w:rFonts w:ascii="Times New Roman" w:hAnsi="Times New Roman"/>
        </w:rPr>
        <w:t xml:space="preserve">. </w:t>
      </w:r>
      <w:r w:rsidR="00E46552">
        <w:rPr>
          <w:rFonts w:ascii="Times New Roman" w:hAnsi="Times New Roman"/>
        </w:rPr>
        <w:t xml:space="preserve"> </w:t>
      </w:r>
      <w:r w:rsidRPr="00EE6FE5" w:rsidR="00666E2A">
        <w:rPr>
          <w:rFonts w:ascii="Times New Roman" w:hAnsi="Times New Roman"/>
        </w:rPr>
        <w:t>The previous membership applications had several places for the applicants to sign; the new application requests only one signature from each indivi</w:t>
      </w:r>
      <w:r w:rsidRPr="00EE6FE5" w:rsidR="00CD10DD">
        <w:rPr>
          <w:rFonts w:ascii="Times New Roman" w:hAnsi="Times New Roman"/>
        </w:rPr>
        <w:t>dual member applicant involved.</w:t>
      </w:r>
    </w:p>
    <w:p w:rsidR="006E35F2" w:rsidP="00094178" w:rsidRDefault="006E35F2" w14:paraId="36B51E3B" w14:textId="77777777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E6FE5" w:rsidR="006733C5">
        <w:rPr>
          <w:rFonts w:ascii="Times New Roman" w:hAnsi="Times New Roman"/>
        </w:rPr>
        <w:t xml:space="preserve">revious application attachments for key personnel and living donor components </w:t>
      </w:r>
      <w:proofErr w:type="gramStart"/>
      <w:r>
        <w:rPr>
          <w:rFonts w:ascii="Times New Roman" w:hAnsi="Times New Roman"/>
        </w:rPr>
        <w:t>have been streamlined</w:t>
      </w:r>
      <w:proofErr w:type="gramEnd"/>
      <w:r>
        <w:rPr>
          <w:rFonts w:ascii="Times New Roman" w:hAnsi="Times New Roman"/>
        </w:rPr>
        <w:t xml:space="preserve"> into one form for each</w:t>
      </w:r>
      <w:r w:rsidRPr="00EE6FE5" w:rsidR="006733C5">
        <w:rPr>
          <w:rFonts w:ascii="Times New Roman" w:hAnsi="Times New Roman"/>
        </w:rPr>
        <w:t xml:space="preserve"> respective organ application</w:t>
      </w:r>
      <w:r w:rsidRPr="00EE6FE5" w:rsidR="00DE5A35">
        <w:rPr>
          <w:rFonts w:ascii="Times New Roman" w:hAnsi="Times New Roman"/>
        </w:rPr>
        <w:t xml:space="preserve">. </w:t>
      </w:r>
    </w:p>
    <w:p w:rsidR="006E35F2" w:rsidP="00094178" w:rsidRDefault="00DE5A35" w14:paraId="2D834A29" w14:textId="77777777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 w:rsidRPr="00EE6FE5">
        <w:rPr>
          <w:rFonts w:ascii="Times New Roman" w:hAnsi="Times New Roman"/>
        </w:rPr>
        <w:t>Pediatric Bylaw Requirements—where applicable—</w:t>
      </w:r>
      <w:proofErr w:type="gramStart"/>
      <w:r w:rsidRPr="00EE6FE5">
        <w:rPr>
          <w:rFonts w:ascii="Times New Roman" w:hAnsi="Times New Roman"/>
        </w:rPr>
        <w:t xml:space="preserve">were </w:t>
      </w:r>
      <w:r w:rsidRPr="00EE6FE5" w:rsidR="006733C5">
        <w:rPr>
          <w:rFonts w:ascii="Times New Roman" w:hAnsi="Times New Roman"/>
        </w:rPr>
        <w:t xml:space="preserve">also </w:t>
      </w:r>
      <w:r w:rsidRPr="00EE6FE5">
        <w:rPr>
          <w:rFonts w:ascii="Times New Roman" w:hAnsi="Times New Roman"/>
        </w:rPr>
        <w:t>given</w:t>
      </w:r>
      <w:proofErr w:type="gramEnd"/>
      <w:r w:rsidRPr="00EE6FE5">
        <w:rPr>
          <w:rFonts w:ascii="Times New Roman" w:hAnsi="Times New Roman"/>
        </w:rPr>
        <w:t xml:space="preserve"> their own sections </w:t>
      </w:r>
      <w:r w:rsidRPr="00EE6FE5" w:rsidR="006733C5">
        <w:rPr>
          <w:rFonts w:ascii="Times New Roman" w:hAnsi="Times New Roman"/>
        </w:rPr>
        <w:t>i</w:t>
      </w:r>
      <w:r w:rsidRPr="00EE6FE5">
        <w:rPr>
          <w:rFonts w:ascii="Times New Roman" w:hAnsi="Times New Roman"/>
        </w:rPr>
        <w:t xml:space="preserve">n the organ applications. </w:t>
      </w:r>
    </w:p>
    <w:p w:rsidR="00EE6FE5" w:rsidP="00094178" w:rsidRDefault="006E35F2" w14:paraId="5CBED8EA" w14:textId="0A4A33CF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EE6FE5" w:rsidR="00DE5A35">
        <w:rPr>
          <w:rFonts w:ascii="Times New Roman" w:hAnsi="Times New Roman"/>
        </w:rPr>
        <w:t>Certificate of Assessment (formerly known as Certificate of Investigation) and the Primary Coverage Plan</w:t>
      </w:r>
      <w:r w:rsidRPr="00EE6FE5" w:rsidR="006127B8">
        <w:rPr>
          <w:rFonts w:ascii="Times New Roman" w:hAnsi="Times New Roman"/>
        </w:rPr>
        <w:t xml:space="preserve"> Checklist</w:t>
      </w:r>
      <w:r w:rsidRPr="00EE6FE5" w:rsidR="00DE5A35">
        <w:rPr>
          <w:rFonts w:ascii="Times New Roman" w:hAnsi="Times New Roman"/>
        </w:rPr>
        <w:t xml:space="preserve"> </w:t>
      </w:r>
      <w:proofErr w:type="gramStart"/>
      <w:r w:rsidRPr="00EE6FE5" w:rsidR="00DE5A35">
        <w:rPr>
          <w:rFonts w:ascii="Times New Roman" w:hAnsi="Times New Roman"/>
        </w:rPr>
        <w:t xml:space="preserve">were pulled out of the </w:t>
      </w:r>
      <w:r w:rsidRPr="00EE6FE5" w:rsidR="006127B8">
        <w:rPr>
          <w:rFonts w:ascii="Times New Roman" w:hAnsi="Times New Roman"/>
        </w:rPr>
        <w:t>previous organ specific</w:t>
      </w:r>
      <w:r w:rsidRPr="00EE6FE5" w:rsidR="00325FC1">
        <w:rPr>
          <w:rFonts w:ascii="Times New Roman" w:hAnsi="Times New Roman"/>
        </w:rPr>
        <w:t xml:space="preserve"> application</w:t>
      </w:r>
      <w:r w:rsidRPr="00EE6FE5" w:rsidR="006127B8">
        <w:rPr>
          <w:rFonts w:ascii="Times New Roman" w:hAnsi="Times New Roman"/>
        </w:rPr>
        <w:t>s</w:t>
      </w:r>
      <w:r w:rsidRPr="00EE6FE5" w:rsidR="00325FC1">
        <w:rPr>
          <w:rFonts w:ascii="Times New Roman" w:hAnsi="Times New Roman"/>
        </w:rPr>
        <w:t xml:space="preserve"> and given their own</w:t>
      </w:r>
      <w:r>
        <w:rPr>
          <w:rFonts w:ascii="Times New Roman" w:hAnsi="Times New Roman"/>
        </w:rPr>
        <w:t>, separate form</w:t>
      </w:r>
      <w:proofErr w:type="gramEnd"/>
      <w:r w:rsidRPr="00EE6FE5" w:rsidR="00325FC1">
        <w:rPr>
          <w:rFonts w:ascii="Times New Roman" w:hAnsi="Times New Roman"/>
        </w:rPr>
        <w:t xml:space="preserve">. </w:t>
      </w:r>
    </w:p>
    <w:p w:rsidR="006E35F2" w:rsidP="00094178" w:rsidRDefault="00325FC1" w14:paraId="563F2B26" w14:textId="77777777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</w:pPr>
      <w:r w:rsidRPr="00EE6FE5">
        <w:rPr>
          <w:rFonts w:ascii="Times New Roman" w:hAnsi="Times New Roman"/>
        </w:rPr>
        <w:t>VCA Transplant</w:t>
      </w:r>
      <w:r w:rsidRPr="00EE6FE5" w:rsidR="005B0870">
        <w:rPr>
          <w:rFonts w:ascii="Times New Roman" w:hAnsi="Times New Roman"/>
        </w:rPr>
        <w:t xml:space="preserve"> program</w:t>
      </w:r>
      <w:r w:rsidRPr="00EE6FE5" w:rsidR="006127B8">
        <w:rPr>
          <w:rFonts w:ascii="Times New Roman" w:hAnsi="Times New Roman"/>
        </w:rPr>
        <w:t xml:space="preserve"> applications</w:t>
      </w:r>
      <w:r w:rsidRPr="00EE6FE5">
        <w:rPr>
          <w:rFonts w:ascii="Times New Roman" w:hAnsi="Times New Roman"/>
        </w:rPr>
        <w:t xml:space="preserve">, </w:t>
      </w:r>
      <w:r w:rsidRPr="00EE6FE5" w:rsidR="006127B8">
        <w:rPr>
          <w:rFonts w:ascii="Times New Roman" w:hAnsi="Times New Roman"/>
        </w:rPr>
        <w:t xml:space="preserve">which </w:t>
      </w:r>
      <w:proofErr w:type="gramStart"/>
      <w:r w:rsidRPr="00EE6FE5" w:rsidR="006127B8">
        <w:rPr>
          <w:rFonts w:ascii="Times New Roman" w:hAnsi="Times New Roman"/>
        </w:rPr>
        <w:t>were previously submitted</w:t>
      </w:r>
      <w:proofErr w:type="gramEnd"/>
      <w:r w:rsidRPr="00EE6FE5" w:rsidR="006127B8">
        <w:rPr>
          <w:rFonts w:ascii="Times New Roman" w:hAnsi="Times New Roman"/>
        </w:rPr>
        <w:t xml:space="preserve"> as</w:t>
      </w:r>
      <w:r w:rsidRPr="00EE6FE5">
        <w:rPr>
          <w:rFonts w:ascii="Times New Roman" w:hAnsi="Times New Roman"/>
        </w:rPr>
        <w:t xml:space="preserve"> separate </w:t>
      </w:r>
      <w:r w:rsidRPr="00EE6FE5">
        <w:rPr>
          <w:rFonts w:ascii="Times New Roman" w:hAnsi="Times New Roman"/>
        </w:rPr>
        <w:lastRenderedPageBreak/>
        <w:t xml:space="preserve">applications based on </w:t>
      </w:r>
      <w:r w:rsidR="006E35F2">
        <w:rPr>
          <w:rFonts w:ascii="Times New Roman" w:hAnsi="Times New Roman"/>
        </w:rPr>
        <w:t xml:space="preserve">the type of VCA </w:t>
      </w:r>
      <w:r w:rsidRPr="00EE6FE5">
        <w:rPr>
          <w:rFonts w:ascii="Times New Roman" w:hAnsi="Times New Roman"/>
        </w:rPr>
        <w:t>body part transplanted</w:t>
      </w:r>
      <w:r w:rsidRPr="00EE6FE5" w:rsidR="00A213FE">
        <w:rPr>
          <w:rFonts w:ascii="Times New Roman" w:hAnsi="Times New Roman"/>
        </w:rPr>
        <w:t>,</w:t>
      </w:r>
      <w:r w:rsidRPr="00EE6FE5">
        <w:rPr>
          <w:rFonts w:ascii="Times New Roman" w:hAnsi="Times New Roman"/>
        </w:rPr>
        <w:t xml:space="preserve"> is now one single application</w:t>
      </w:r>
      <w:r w:rsidRPr="00EE6FE5" w:rsidR="006127B8">
        <w:rPr>
          <w:rFonts w:ascii="Times New Roman" w:hAnsi="Times New Roman"/>
        </w:rPr>
        <w:t xml:space="preserve"> with sections for each VCA organ type</w:t>
      </w:r>
      <w:r w:rsidRPr="00EE6FE5" w:rsidR="005F4BB8">
        <w:rPr>
          <w:rFonts w:ascii="Times New Roman" w:hAnsi="Times New Roman"/>
        </w:rPr>
        <w:t>.</w:t>
      </w:r>
      <w:r w:rsidRPr="00EE6FE5">
        <w:rPr>
          <w:rFonts w:ascii="Times New Roman" w:hAnsi="Times New Roman"/>
        </w:rPr>
        <w:t xml:space="preserve"> </w:t>
      </w:r>
    </w:p>
    <w:p w:rsidRPr="00EB6F5A" w:rsidR="007810EB" w:rsidP="00094178" w:rsidRDefault="00A213FE" w14:paraId="1166CD8A" w14:textId="1D42D5EB">
      <w:pPr>
        <w:pStyle w:val="BodyTextIndent"/>
        <w:numPr>
          <w:ilvl w:val="0"/>
          <w:numId w:val="2"/>
        </w:numPr>
        <w:spacing w:before="120"/>
        <w:rPr>
          <w:rFonts w:ascii="Times New Roman" w:hAnsi="Times New Roman"/>
        </w:rPr>
        <w:sectPr w:rsidRPr="00EB6F5A" w:rsidR="007810EB" w:rsidSect="00484A60">
          <w:footerReference w:type="default" r:id="rId13"/>
          <w:pgSz w:w="12240" w:h="15840"/>
          <w:pgMar w:top="1440" w:right="1440" w:bottom="1530" w:left="1170" w:header="720" w:footer="720" w:gutter="0"/>
          <w:cols w:space="720"/>
          <w:docGrid w:linePitch="360"/>
        </w:sectPr>
      </w:pPr>
      <w:r w:rsidRPr="00EE6FE5">
        <w:rPr>
          <w:rFonts w:ascii="Times New Roman" w:hAnsi="Times New Roman"/>
        </w:rPr>
        <w:t xml:space="preserve">Personnel </w:t>
      </w:r>
      <w:r w:rsidRPr="00EE6FE5" w:rsidR="00325FC1">
        <w:rPr>
          <w:rFonts w:ascii="Times New Roman" w:hAnsi="Times New Roman"/>
        </w:rPr>
        <w:t xml:space="preserve">changes for </w:t>
      </w:r>
      <w:r w:rsidRPr="00EE6FE5" w:rsidR="005F4BB8">
        <w:rPr>
          <w:rFonts w:ascii="Times New Roman" w:hAnsi="Times New Roman"/>
        </w:rPr>
        <w:t>O</w:t>
      </w:r>
      <w:r w:rsidRPr="00EE6FE5" w:rsidR="00325FC1">
        <w:rPr>
          <w:rFonts w:ascii="Times New Roman" w:hAnsi="Times New Roman"/>
        </w:rPr>
        <w:t xml:space="preserve">rgan </w:t>
      </w:r>
      <w:r w:rsidRPr="00EE6FE5" w:rsidR="005F4BB8">
        <w:rPr>
          <w:rFonts w:ascii="Times New Roman" w:hAnsi="Times New Roman"/>
        </w:rPr>
        <w:t>P</w:t>
      </w:r>
      <w:r w:rsidRPr="00EE6FE5" w:rsidR="00325FC1">
        <w:rPr>
          <w:rFonts w:ascii="Times New Roman" w:hAnsi="Times New Roman"/>
        </w:rPr>
        <w:t xml:space="preserve">rocurement </w:t>
      </w:r>
      <w:r w:rsidRPr="00EE6FE5" w:rsidR="005F4BB8">
        <w:rPr>
          <w:rFonts w:ascii="Times New Roman" w:hAnsi="Times New Roman"/>
        </w:rPr>
        <w:t>O</w:t>
      </w:r>
      <w:r w:rsidRPr="00EE6FE5" w:rsidR="00325FC1">
        <w:rPr>
          <w:rFonts w:ascii="Times New Roman" w:hAnsi="Times New Roman"/>
        </w:rPr>
        <w:t>rganizations (OPOs) and Histocompatibility Laboratories</w:t>
      </w:r>
      <w:r w:rsidRPr="00EE6FE5">
        <w:rPr>
          <w:rFonts w:ascii="Times New Roman" w:hAnsi="Times New Roman"/>
        </w:rPr>
        <w:t xml:space="preserve"> </w:t>
      </w:r>
      <w:proofErr w:type="gramStart"/>
      <w:r w:rsidRPr="00EE6FE5">
        <w:rPr>
          <w:rFonts w:ascii="Times New Roman" w:hAnsi="Times New Roman"/>
        </w:rPr>
        <w:t xml:space="preserve">have also been </w:t>
      </w:r>
      <w:r w:rsidR="006E35F2">
        <w:rPr>
          <w:rFonts w:ascii="Times New Roman" w:hAnsi="Times New Roman"/>
        </w:rPr>
        <w:t>combined</w:t>
      </w:r>
      <w:proofErr w:type="gramEnd"/>
      <w:r w:rsidR="006E35F2">
        <w:rPr>
          <w:rFonts w:ascii="Times New Roman" w:hAnsi="Times New Roman"/>
        </w:rPr>
        <w:t xml:space="preserve"> with</w:t>
      </w:r>
      <w:r w:rsidRPr="00EE6FE5">
        <w:rPr>
          <w:rFonts w:ascii="Times New Roman" w:hAnsi="Times New Roman"/>
        </w:rPr>
        <w:t xml:space="preserve"> organization application</w:t>
      </w:r>
      <w:r w:rsidRPr="00EE6FE5" w:rsidR="005B0870">
        <w:rPr>
          <w:rFonts w:ascii="Times New Roman" w:hAnsi="Times New Roman"/>
        </w:rPr>
        <w:t>s</w:t>
      </w:r>
      <w:r w:rsidR="006E35F2">
        <w:rPr>
          <w:rFonts w:ascii="Times New Roman" w:hAnsi="Times New Roman"/>
        </w:rPr>
        <w:t xml:space="preserve">, so that </w:t>
      </w:r>
      <w:r w:rsidR="00E46552">
        <w:rPr>
          <w:rFonts w:ascii="Times New Roman" w:hAnsi="Times New Roman"/>
        </w:rPr>
        <w:t>OPO and l</w:t>
      </w:r>
      <w:r w:rsidRPr="00EE6FE5" w:rsidR="005B0870">
        <w:rPr>
          <w:rFonts w:ascii="Times New Roman" w:hAnsi="Times New Roman"/>
        </w:rPr>
        <w:t xml:space="preserve">ab </w:t>
      </w:r>
      <w:r w:rsidRPr="00EE6FE5" w:rsidR="00325FC1">
        <w:rPr>
          <w:rFonts w:ascii="Times New Roman" w:hAnsi="Times New Roman"/>
        </w:rPr>
        <w:t xml:space="preserve">applicants will </w:t>
      </w:r>
      <w:r w:rsidRPr="00EE6FE5" w:rsidR="005B0870">
        <w:rPr>
          <w:rFonts w:ascii="Times New Roman" w:hAnsi="Times New Roman"/>
        </w:rPr>
        <w:t xml:space="preserve">be able to </w:t>
      </w:r>
      <w:r w:rsidRPr="00EE6FE5" w:rsidR="00325FC1">
        <w:rPr>
          <w:rFonts w:ascii="Times New Roman" w:hAnsi="Times New Roman"/>
        </w:rPr>
        <w:t xml:space="preserve">use </w:t>
      </w:r>
      <w:r w:rsidRPr="00EE6FE5" w:rsidR="005B0870">
        <w:rPr>
          <w:rFonts w:ascii="Times New Roman" w:hAnsi="Times New Roman"/>
        </w:rPr>
        <w:t>one respective</w:t>
      </w:r>
      <w:r w:rsidRPr="00EE6FE5" w:rsidR="00325FC1">
        <w:rPr>
          <w:rFonts w:ascii="Times New Roman" w:hAnsi="Times New Roman"/>
        </w:rPr>
        <w:t xml:space="preserve"> application for new and</w:t>
      </w:r>
      <w:r w:rsidRPr="00EE6FE5" w:rsidR="00443E95">
        <w:rPr>
          <w:rFonts w:ascii="Times New Roman" w:hAnsi="Times New Roman"/>
        </w:rPr>
        <w:t xml:space="preserve"> </w:t>
      </w:r>
      <w:r w:rsidRPr="00EE6FE5" w:rsidR="005B0870">
        <w:rPr>
          <w:rFonts w:ascii="Times New Roman" w:hAnsi="Times New Roman"/>
        </w:rPr>
        <w:t>personnel changes</w:t>
      </w:r>
      <w:r w:rsidRPr="00EE6FE5" w:rsidR="00325FC1">
        <w:rPr>
          <w:rFonts w:ascii="Times New Roman" w:hAnsi="Times New Roman"/>
        </w:rPr>
        <w:t>.</w:t>
      </w:r>
    </w:p>
    <w:p w:rsidRPr="00FE654D" w:rsidR="00A213FE" w:rsidP="00094178" w:rsidRDefault="00EE6FE5" w14:paraId="4B3CC72C" w14:textId="4441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provides more detail regarding the difference in the 2017 ICR package and the current 2020 package</w:t>
      </w:r>
      <w:r w:rsidR="000C7B68">
        <w:rPr>
          <w:rFonts w:ascii="Times New Roman" w:hAnsi="Times New Roman" w:cs="Times New Roman"/>
          <w:sz w:val="24"/>
          <w:szCs w:val="24"/>
        </w:rPr>
        <w:t xml:space="preserve">, and demonstrates which forms </w:t>
      </w:r>
      <w:proofErr w:type="gramStart"/>
      <w:r w:rsidR="000C7B68">
        <w:rPr>
          <w:rFonts w:ascii="Times New Roman" w:hAnsi="Times New Roman" w:cs="Times New Roman"/>
          <w:sz w:val="24"/>
          <w:szCs w:val="24"/>
        </w:rPr>
        <w:t>have been combined</w:t>
      </w:r>
      <w:proofErr w:type="gramEnd"/>
      <w:r w:rsidR="000C7B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Again, the overall purpose of t</w:t>
      </w:r>
      <w:r w:rsidRPr="00FE654D" w:rsidR="00D8255A">
        <w:rPr>
          <w:rFonts w:ascii="Times New Roman" w:hAnsi="Times New Roman" w:cs="Times New Roman"/>
          <w:sz w:val="24"/>
          <w:szCs w:val="24"/>
        </w:rPr>
        <w:t xml:space="preserve">hese </w:t>
      </w:r>
      <w:r w:rsidRPr="00FE654D" w:rsidR="00E17F02">
        <w:rPr>
          <w:rFonts w:ascii="Times New Roman" w:hAnsi="Times New Roman" w:cs="Times New Roman"/>
          <w:sz w:val="24"/>
          <w:szCs w:val="24"/>
        </w:rPr>
        <w:t xml:space="preserve">modifications </w:t>
      </w:r>
      <w:r>
        <w:rPr>
          <w:rFonts w:ascii="Times New Roman" w:hAnsi="Times New Roman" w:cs="Times New Roman"/>
          <w:sz w:val="24"/>
          <w:szCs w:val="24"/>
        </w:rPr>
        <w:t xml:space="preserve">is to </w:t>
      </w:r>
      <w:r w:rsidRPr="00FE654D" w:rsidR="00D8255A">
        <w:rPr>
          <w:rFonts w:ascii="Times New Roman" w:hAnsi="Times New Roman" w:cs="Times New Roman"/>
          <w:sz w:val="24"/>
          <w:szCs w:val="24"/>
        </w:rPr>
        <w:t xml:space="preserve">make </w:t>
      </w:r>
      <w:r w:rsidRPr="00FE654D" w:rsidR="00E17F02">
        <w:rPr>
          <w:rFonts w:ascii="Times New Roman" w:hAnsi="Times New Roman" w:cs="Times New Roman"/>
          <w:sz w:val="24"/>
          <w:szCs w:val="24"/>
        </w:rPr>
        <w:t xml:space="preserve">OPTN </w:t>
      </w:r>
      <w:r w:rsidRPr="00FE654D" w:rsidR="00D8255A">
        <w:rPr>
          <w:rFonts w:ascii="Times New Roman" w:hAnsi="Times New Roman" w:cs="Times New Roman"/>
          <w:sz w:val="24"/>
          <w:szCs w:val="24"/>
        </w:rPr>
        <w:t xml:space="preserve">application requirements more clear and organized, </w:t>
      </w:r>
      <w:r>
        <w:rPr>
          <w:rFonts w:ascii="Times New Roman" w:hAnsi="Times New Roman" w:cs="Times New Roman"/>
          <w:sz w:val="24"/>
          <w:szCs w:val="24"/>
        </w:rPr>
        <w:t xml:space="preserve">more user-friendly, and less burdensome.  </w:t>
      </w:r>
    </w:p>
    <w:p w:rsidR="00253A3B" w:rsidP="00094178" w:rsidRDefault="00253A3B" w14:paraId="67A2CCD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060"/>
        <w:gridCol w:w="2700"/>
        <w:gridCol w:w="3330"/>
        <w:gridCol w:w="3600"/>
      </w:tblGrid>
      <w:tr w:rsidRPr="00B668D5" w:rsidR="00487108" w:rsidTr="00937262" w14:paraId="65841B89" w14:textId="77777777">
        <w:trPr>
          <w:trHeight w:val="645"/>
          <w:tblHeader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  <w:hideMark/>
          </w:tcPr>
          <w:p w:rsidRPr="00B668D5" w:rsidR="00487108" w:rsidP="00B668D5" w:rsidRDefault="00487108" w14:paraId="1F839224" w14:textId="53ECEC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bookmarkStart w:name="RANGE!A1" w:id="1"/>
            <w:r w:rsidRPr="00575EE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Current Cycle File</w:t>
            </w:r>
            <w:r w:rsidR="00FF4AD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HRSA SWIFT File Names</w:t>
            </w:r>
            <w:r w:rsidRPr="00B668D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: Expiring 7/31/2020</w:t>
            </w:r>
            <w:bookmarkEnd w:id="1"/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000000" w:fill="D9D9D9"/>
            <w:vAlign w:val="center"/>
            <w:hideMark/>
          </w:tcPr>
          <w:p w:rsidRPr="00B668D5" w:rsidR="00487108" w:rsidP="00FF4ADA" w:rsidRDefault="00487108" w14:paraId="158A4147" w14:textId="20C2A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New</w:t>
            </w:r>
            <w:r w:rsidRPr="00B668D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F4AD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HRSA File Na</w:t>
            </w:r>
            <w:r w:rsidRPr="00B668D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D9D9D9"/>
          </w:tcPr>
          <w:p w:rsidR="00FF4ADA" w:rsidP="00B668D5" w:rsidRDefault="00FF4ADA" w14:paraId="6F6C143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60 Days FRN Supporting Statement</w:t>
            </w:r>
          </w:p>
          <w:p w:rsidRPr="00B668D5" w:rsidR="00487108" w:rsidP="00B668D5" w:rsidRDefault="00FF4ADA" w14:paraId="6D9F483D" w14:textId="1D183C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Names and Draft 30 Days FRN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  <w:hideMark/>
          </w:tcPr>
          <w:p w:rsidRPr="00B668D5" w:rsidR="00487108" w:rsidP="00B668D5" w:rsidRDefault="00487108" w14:paraId="73F6FE3B" w14:textId="46BD77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668D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Notes</w:t>
            </w:r>
          </w:p>
        </w:tc>
      </w:tr>
      <w:tr w:rsidRPr="00B668D5" w:rsidR="00487108" w:rsidTr="00D97828" w14:paraId="40B1D7A5" w14:textId="77777777">
        <w:trPr>
          <w:trHeight w:val="385"/>
        </w:trPr>
        <w:tc>
          <w:tcPr>
            <w:tcW w:w="3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8214B96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A1_NewTransplantHospital_Cover</w:t>
            </w:r>
          </w:p>
        </w:tc>
        <w:tc>
          <w:tcPr>
            <w:tcW w:w="2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05D73C9" w14:textId="235A0A3D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Membership_Transplant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53A3B">
              <w:rPr>
                <w:rFonts w:cstheme="minorHAnsi"/>
                <w:sz w:val="16"/>
                <w:szCs w:val="16"/>
              </w:rPr>
              <w:t>Hospital_General</w:t>
            </w:r>
            <w:proofErr w:type="spellEnd"/>
          </w:p>
        </w:tc>
        <w:tc>
          <w:tcPr>
            <w:tcW w:w="33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1973EE79" w14:textId="0BFFFDA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Transplant Hospitals</w:t>
            </w:r>
          </w:p>
        </w:tc>
        <w:tc>
          <w:tcPr>
            <w:tcW w:w="36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C2FCC00" w14:textId="12A32FF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937262" w14:paraId="6AB49183" w14:textId="77777777">
        <w:trPr>
          <w:trHeight w:val="403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1AA9EE6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A2_NewTransplant_General</w:t>
            </w:r>
          </w:p>
        </w:tc>
        <w:tc>
          <w:tcPr>
            <w:tcW w:w="27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099E9BC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253A3B" w:rsidR="00487108" w:rsidP="00253A3B" w:rsidRDefault="00487108" w14:paraId="31B2A49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24C9BF17" w14:textId="0F906656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Pr="00B668D5" w:rsidR="00487108" w:rsidTr="00856FF3" w14:paraId="057FF273" w14:textId="77777777">
        <w:trPr>
          <w:trHeight w:val="619"/>
        </w:trPr>
        <w:tc>
          <w:tcPr>
            <w:tcW w:w="3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C3F3A13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B1_NewTransplantProgram_Cover_Clean_HRSA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0A3C738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856FF3" w:rsidRDefault="00856FF3" w14:paraId="5F6EE58F" w14:textId="7274DC5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61E5A6D" w14:textId="2D6038C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No longer needed. Information is captured in new Kidney, Liver, Pancreas, Pancreas Islet,  Heart, Lung and Intestine</w:t>
            </w:r>
          </w:p>
        </w:tc>
      </w:tr>
      <w:tr w:rsidRPr="00B668D5" w:rsidR="00487108" w:rsidTr="00D97828" w14:paraId="5EA7044D" w14:textId="77777777">
        <w:trPr>
          <w:trHeight w:val="421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884DA28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B3_Kidney_LDKidney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BB1E2BC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Membership_Kidney_LDKidney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3931222E" w14:textId="4620F61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Kidney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2541499" w14:textId="3C6992C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6A1D29D0" w14:textId="77777777">
        <w:trPr>
          <w:trHeight w:val="430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85CEC31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B4_Liver_LDLiver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FDDF50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Membership_Liver_LDLiver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69891DE7" w14:textId="631F2C3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Liver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10F1172" w14:textId="2CF90D8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68D48C5E" w14:textId="77777777">
        <w:trPr>
          <w:trHeight w:val="430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BDA03E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B5_Pancreas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5D3971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Membership_Pancreas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459DD08C" w14:textId="3703B82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Pancreas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15945B8" w14:textId="4C4D1EA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3CE537E4" w14:textId="77777777">
        <w:trPr>
          <w:trHeight w:val="430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D19DAE6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B6_Heart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3EF80D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Membership_Heart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581CD04B" w14:textId="59D8E99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Heart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62ECFC3" w14:textId="5256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2FB067DC" w14:textId="77777777">
        <w:trPr>
          <w:trHeight w:val="430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09E0DA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B7_Lung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A7F9C9D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Membership_Lung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2A726847" w14:textId="0B9685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Lung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CA7E2B0" w14:textId="646FA74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75BF3C0D" w14:textId="77777777">
        <w:trPr>
          <w:trHeight w:val="439"/>
        </w:trPr>
        <w:tc>
          <w:tcPr>
            <w:tcW w:w="3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D8D284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B8_PancreasIslet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B5019D1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Membership_PancreasIslet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4FEB9FA3" w14:textId="43DCB9F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Islet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AFB4CD4" w14:textId="021738D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D97828" w14:paraId="499BC22D" w14:textId="77777777">
        <w:trPr>
          <w:trHeight w:val="43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46FB32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B9_NewLiving Donor Recoveries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C39103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253A3B" w:rsidR="00487108" w:rsidP="00D97828" w:rsidRDefault="00D97828" w14:paraId="5794AC18" w14:textId="214A9839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4303CDE" w14:textId="1D5817C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No longer needed. Information is captured in new Kidney and Liver Applications</w:t>
            </w:r>
          </w:p>
        </w:tc>
      </w:tr>
      <w:tr w:rsidRPr="00B668D5" w:rsidR="00487108" w:rsidTr="00D97828" w14:paraId="4C154D19" w14:textId="77777777">
        <w:trPr>
          <w:trHeight w:val="340"/>
        </w:trPr>
        <w:tc>
          <w:tcPr>
            <w:tcW w:w="3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77514A8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C_OPO_New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1A668D7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Membership_OPO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3C48AF6A" w14:textId="75FB898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Organ Procurement Organizations (OPOs)</w:t>
            </w:r>
          </w:p>
        </w:tc>
        <w:tc>
          <w:tcPr>
            <w:tcW w:w="3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810EB07" w14:textId="7D9AF22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New Form will serve as new program and key personnel change request</w:t>
            </w:r>
          </w:p>
        </w:tc>
      </w:tr>
      <w:tr w:rsidRPr="00B668D5" w:rsidR="00487108" w:rsidTr="00937262" w14:paraId="049308B7" w14:textId="77777777">
        <w:trPr>
          <w:trHeight w:val="331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83BA4F3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G_OPO_DirectorChange</w:t>
            </w:r>
            <w:proofErr w:type="spellEnd"/>
          </w:p>
        </w:tc>
        <w:tc>
          <w:tcPr>
            <w:tcW w:w="27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5333FB8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253A3B" w:rsidR="00487108" w:rsidP="00253A3B" w:rsidRDefault="00487108" w14:paraId="46C565D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0C466B67" w14:textId="4B7E490D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Pr="00B668D5" w:rsidR="00487108" w:rsidTr="00D97828" w14:paraId="04688C3D" w14:textId="77777777">
        <w:trPr>
          <w:trHeight w:val="376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7C2141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D_HistoLab_New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B89BEB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Membership_HistoLab</w:t>
            </w:r>
            <w:proofErr w:type="spellEnd"/>
          </w:p>
        </w:tc>
        <w:tc>
          <w:tcPr>
            <w:tcW w:w="33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7AF2FF4E" w14:textId="4BDE8B7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Histocompatibility Laboratories</w:t>
            </w:r>
          </w:p>
        </w:tc>
        <w:tc>
          <w:tcPr>
            <w:tcW w:w="36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E66AF86" w14:textId="1DE1CFF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New Form will serve as new program and key personnel change request</w:t>
            </w:r>
          </w:p>
        </w:tc>
      </w:tr>
      <w:tr w:rsidRPr="00B668D5" w:rsidR="00487108" w:rsidTr="00937262" w14:paraId="64BADD0B" w14:textId="77777777">
        <w:trPr>
          <w:trHeight w:val="349"/>
        </w:trPr>
        <w:tc>
          <w:tcPr>
            <w:tcW w:w="3060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9D8AA7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F_HistoLab_PersonnelChange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481195A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253A3B" w:rsidR="00487108" w:rsidP="00253A3B" w:rsidRDefault="00487108" w14:paraId="4980D255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253A3B" w:rsidR="00487108" w:rsidP="00253A3B" w:rsidRDefault="00487108" w14:paraId="65A77831" w14:textId="57393A5C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Pr="00B668D5" w:rsidR="00487108" w:rsidTr="00D97828" w14:paraId="1F2DCE29" w14:textId="77777777">
        <w:trPr>
          <w:trHeight w:val="574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FBEE8C1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E_PersonnelChange_Cover</w:t>
            </w:r>
            <w:proofErr w:type="spellEnd"/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9F41453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406AD30F" w14:textId="3FE2EB2E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53A3B" w:rsidR="00487108" w:rsidP="00253A3B" w:rsidRDefault="00487108" w14:paraId="73BC7051" w14:textId="6E11EAD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No longer needed: Members will use relevant portions of their respective organ applications to apply for a key personnel change</w:t>
            </w:r>
          </w:p>
        </w:tc>
      </w:tr>
      <w:tr w:rsidRPr="00B668D5" w:rsidR="00487108" w:rsidTr="00D97828" w14:paraId="043F129D" w14:textId="77777777">
        <w:trPr>
          <w:trHeight w:val="430"/>
        </w:trPr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B4AC2C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H_MedicalScientific</w:t>
            </w:r>
            <w:proofErr w:type="spellEnd"/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E1E210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Membership_MedicalScientific</w:t>
            </w:r>
            <w:proofErr w:type="spellEnd"/>
            <w:r w:rsidRPr="00253A3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08FF8A71" w14:textId="4036A71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Medical/Scientific Membership Application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4E51ABA" w14:textId="5D2FACA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6A079E49" w14:textId="77777777">
        <w:trPr>
          <w:trHeight w:val="493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2B9B7A1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lastRenderedPageBreak/>
              <w:t>I_PublicOrg</w:t>
            </w:r>
            <w:proofErr w:type="spellEnd"/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9C63D8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Membership_PublicOrg</w:t>
            </w:r>
            <w:proofErr w:type="spellEnd"/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253A3B" w:rsidR="00487108" w:rsidP="00856FF3" w:rsidRDefault="00856FF3" w14:paraId="0B39B7ED" w14:textId="32CA6B4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56FF3">
              <w:rPr>
                <w:rFonts w:cstheme="minorHAnsi"/>
                <w:sz w:val="16"/>
                <w:szCs w:val="16"/>
              </w:rPr>
              <w:t>OPTN Public Organization Membership Application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532698A" w14:textId="4E6EC99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27ABD0A9" w14:textId="77777777">
        <w:trPr>
          <w:trHeight w:val="511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150377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J_Business</w:t>
            </w:r>
            <w:proofErr w:type="spellEnd"/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D6D1EC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Membership_Business</w:t>
            </w:r>
            <w:proofErr w:type="spellEnd"/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856FF3" w:rsidRDefault="00856FF3" w14:paraId="176AD807" w14:textId="7826666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56FF3">
              <w:rPr>
                <w:rFonts w:cstheme="minorHAnsi"/>
                <w:sz w:val="16"/>
                <w:szCs w:val="16"/>
              </w:rPr>
              <w:t>OPTN Business Membership Application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E43BCB9" w14:textId="4051A66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3941B4A6" w14:textId="77777777">
        <w:trPr>
          <w:trHeight w:val="529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570B9D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K_Individual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0971E4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Membership_Individual</w:t>
            </w:r>
            <w:proofErr w:type="spellEnd"/>
          </w:p>
        </w:tc>
        <w:tc>
          <w:tcPr>
            <w:tcW w:w="3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856FF3" w:rsidRDefault="00856FF3" w14:paraId="6826CF9F" w14:textId="391B1A3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56FF3">
              <w:rPr>
                <w:rFonts w:cstheme="minorHAnsi"/>
                <w:sz w:val="16"/>
                <w:szCs w:val="16"/>
              </w:rPr>
              <w:t>OPTN Individual Membership Application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071CFE7" w14:textId="78EE470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1ED3D1CA" w14:textId="77777777">
        <w:trPr>
          <w:trHeight w:val="515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8BC1514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L_Intestine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28172C3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Membership_Intestine</w:t>
            </w:r>
            <w:proofErr w:type="spellEnd"/>
          </w:p>
        </w:tc>
        <w:tc>
          <w:tcPr>
            <w:tcW w:w="3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4A5BA3FE" w14:textId="5BB4F3B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Intestine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B1C7C27" w14:textId="33F7F41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937262" w14:paraId="43C355BF" w14:textId="77777777">
        <w:trPr>
          <w:trHeight w:val="511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F24024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M1_VCA_NewTransplantProgram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3776994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31EC6354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71A372B" w14:textId="38AF235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937262" w14:paraId="69523E96" w14:textId="77777777">
        <w:trPr>
          <w:trHeight w:val="439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7BD543B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M2_VCA_AW_Intestine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5553F16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4D4FEF4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2621F28" w14:textId="54AB5E5D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937262" w14:paraId="540B47AF" w14:textId="77777777">
        <w:trPr>
          <w:trHeight w:val="511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337E067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M3_VCA_AW_Kidney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61A89613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4E80C00C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B923BC2" w14:textId="0E9A3F7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315B0827" w14:textId="77777777">
        <w:trPr>
          <w:trHeight w:val="443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FC9E5FB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M4_VCA_AW_Liver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F88AD1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0ADC1B7B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9663710" w14:textId="3C5458B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7D515B55" w14:textId="77777777">
        <w:trPr>
          <w:trHeight w:val="425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C54818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M5_VCA_AW_Pancreas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0F91AB1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420BAE1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F81B033" w14:textId="3916FD9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6A618BB6" w14:textId="77777777">
        <w:trPr>
          <w:trHeight w:val="425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529BEAC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M6_VCA_Head and Neck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D848A74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Membership_VCA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253A3B" w:rsidR="00487108" w:rsidP="00D97828" w:rsidRDefault="00D97828" w14:paraId="344EFB10" w14:textId="6ABC411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Membership Application for Vascularized Composite Allograft (VCA) Transplant Programs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0C03FF0" w14:textId="5522D4E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All requests for VCA have been combined into one form</w:t>
            </w:r>
          </w:p>
        </w:tc>
      </w:tr>
      <w:tr w:rsidRPr="00B668D5" w:rsidR="00487108" w:rsidTr="00856FF3" w14:paraId="6FF7C629" w14:textId="77777777">
        <w:trPr>
          <w:trHeight w:val="443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B39C7CB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M7_VCA_Upper Limb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32B293A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55E0B66E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07D776DE" w14:textId="5502576C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7F44371D" w14:textId="77777777">
        <w:trPr>
          <w:trHeight w:val="443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F7A16D9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N1_VCA_Other_NewTransplantProgram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59CB315C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6EE7BE0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63318EE8" w14:textId="28C37EE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590CAF6B" w14:textId="77777777">
        <w:trPr>
          <w:trHeight w:val="425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770355C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N2_VCA_Other_PersonnelChange_Cover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55FDE7FD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4A8C04B0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08B9C023" w14:textId="4B7109A6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70C45F0C" w14:textId="77777777">
        <w:trPr>
          <w:trHeight w:val="425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56B27842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N3_VCA_Other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17BC5465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253A3B" w:rsidR="00487108" w:rsidP="00253A3B" w:rsidRDefault="00487108" w14:paraId="2F13CDD6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2EFE670E" w14:textId="789CB68A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937262" w14:paraId="7042609C" w14:textId="77777777">
        <w:trPr>
          <w:trHeight w:val="394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87F3CD5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O_VCA_PersonnelChange_Cover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044D7965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</w:tcPr>
          <w:p w:rsidRPr="00253A3B" w:rsidR="00487108" w:rsidP="00253A3B" w:rsidRDefault="00487108" w14:paraId="29E8A015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2B36CC25" w14:textId="25CC4E6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Pr="00B668D5" w:rsidR="00487108" w:rsidTr="00856FF3" w14:paraId="2841D961" w14:textId="77777777">
        <w:trPr>
          <w:trHeight w:val="650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3D813137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049DE3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Membership_SurgeonOrPhysicianLog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:rsidRPr="00253A3B" w:rsidR="00487108" w:rsidP="00856FF3" w:rsidRDefault="00856FF3" w14:paraId="5451DE7E" w14:textId="6EBA968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856FF3">
              <w:rPr>
                <w:rFonts w:cstheme="minorHAnsi"/>
                <w:sz w:val="16"/>
                <w:szCs w:val="16"/>
              </w:rPr>
              <w:t>OPTN Membership Appli</w:t>
            </w:r>
            <w:r>
              <w:rPr>
                <w:rFonts w:cstheme="minorHAnsi"/>
                <w:sz w:val="16"/>
                <w:szCs w:val="16"/>
              </w:rPr>
              <w:t>cation Surgeon or Physician Log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hideMark/>
          </w:tcPr>
          <w:p w:rsidRPr="00253A3B" w:rsidR="00487108" w:rsidP="00253A3B" w:rsidRDefault="00487108" w14:paraId="4CDF2957" w14:textId="5C52173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 xml:space="preserve">New Independent Form. Information </w:t>
            </w:r>
            <w:proofErr w:type="gramStart"/>
            <w:r w:rsidRPr="00253A3B">
              <w:rPr>
                <w:rFonts w:cstheme="minorHAnsi"/>
                <w:sz w:val="16"/>
                <w:szCs w:val="16"/>
              </w:rPr>
              <w:t>was previously collected</w:t>
            </w:r>
            <w:proofErr w:type="gramEnd"/>
            <w:r w:rsidRPr="00253A3B">
              <w:rPr>
                <w:rFonts w:cstheme="minorHAnsi"/>
                <w:sz w:val="16"/>
                <w:szCs w:val="16"/>
              </w:rPr>
              <w:t xml:space="preserve"> within organ application. This form will accompany every application and must be filled out as part of membership application</w:t>
            </w:r>
          </w:p>
        </w:tc>
      </w:tr>
      <w:tr w:rsidRPr="00B668D5" w:rsidR="00487108" w:rsidTr="00856FF3" w14:paraId="46ECFEAA" w14:textId="77777777">
        <w:trPr>
          <w:trHeight w:val="79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13D31DD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23AE93AC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Membership_CertificateAssessment_ProgramCoveragePlan</w:t>
            </w:r>
            <w:proofErr w:type="spellEnd"/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856FF3" w:rsidRDefault="00D97828" w14:paraId="717B22A3" w14:textId="10C74FE8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Certificate of Assessment and Program Coverage Plan Membership Application</w:t>
            </w:r>
          </w:p>
        </w:tc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253A3B" w:rsidR="00487108" w:rsidP="00253A3B" w:rsidRDefault="00487108" w14:paraId="7B6403A6" w14:textId="63D15A1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 xml:space="preserve">New Independent Form. Information </w:t>
            </w:r>
            <w:proofErr w:type="gramStart"/>
            <w:r w:rsidRPr="00253A3B">
              <w:rPr>
                <w:rFonts w:cstheme="minorHAnsi"/>
                <w:sz w:val="16"/>
                <w:szCs w:val="16"/>
              </w:rPr>
              <w:t>was previously collected</w:t>
            </w:r>
            <w:proofErr w:type="gramEnd"/>
            <w:r w:rsidRPr="00253A3B">
              <w:rPr>
                <w:rFonts w:cstheme="minorHAnsi"/>
                <w:sz w:val="16"/>
                <w:szCs w:val="16"/>
              </w:rPr>
              <w:t xml:space="preserve"> within organ application. This form will accompany every application and must be filled out as part of membership application</w:t>
            </w:r>
          </w:p>
        </w:tc>
      </w:tr>
      <w:tr w:rsidRPr="00B668D5" w:rsidR="00487108" w:rsidTr="00856FF3" w14:paraId="7E927DDF" w14:textId="77777777">
        <w:trPr>
          <w:trHeight w:val="511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0CF28BAA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4FE4AC4F" w14:textId="77777777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53A3B">
              <w:rPr>
                <w:rFonts w:cstheme="minorHAnsi"/>
                <w:sz w:val="16"/>
                <w:szCs w:val="16"/>
              </w:rPr>
              <w:t>Membership_Representative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253A3B" w:rsidR="00487108" w:rsidP="00D97828" w:rsidRDefault="00D97828" w14:paraId="641E7777" w14:textId="203BFFD3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D97828">
              <w:rPr>
                <w:rFonts w:cstheme="minorHAnsi"/>
                <w:sz w:val="16"/>
                <w:szCs w:val="16"/>
              </w:rPr>
              <w:t>OPTN Representative Form</w:t>
            </w: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3A3B" w:rsidR="00487108" w:rsidP="00253A3B" w:rsidRDefault="00487108" w14:paraId="12B32B58" w14:textId="1BECBD1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3A3B">
              <w:rPr>
                <w:rFonts w:cstheme="minorHAnsi"/>
                <w:sz w:val="16"/>
                <w:szCs w:val="16"/>
              </w:rPr>
              <w:t>New Form. Information is routinely collected from member</w:t>
            </w:r>
          </w:p>
        </w:tc>
      </w:tr>
      <w:tr w:rsidRPr="00B668D5" w:rsidR="00487108" w:rsidTr="00937262" w14:paraId="799FC426" w14:textId="77777777">
        <w:trPr>
          <w:trHeight w:val="331"/>
        </w:trPr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  <w:hideMark/>
          </w:tcPr>
          <w:p w:rsidRPr="00253A3B" w:rsidR="00487108" w:rsidP="00253A3B" w:rsidRDefault="00487108" w14:paraId="54F3C8F9" w14:textId="71F4BA12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 Forms</w:t>
            </w:r>
            <w:r w:rsidRPr="00253A3B">
              <w:rPr>
                <w:rFonts w:cstheme="minorHAnsi"/>
                <w:b/>
                <w:bCs/>
                <w:sz w:val="16"/>
                <w:szCs w:val="16"/>
              </w:rPr>
              <w:t xml:space="preserve"> = 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  <w:hideMark/>
          </w:tcPr>
          <w:p w:rsidRPr="00253A3B" w:rsidR="00487108" w:rsidP="00253A3B" w:rsidRDefault="00487108" w14:paraId="2771E721" w14:textId="3F586268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 Forms</w:t>
            </w:r>
            <w:r w:rsidRPr="00253A3B">
              <w:rPr>
                <w:rFonts w:cstheme="minorHAnsi"/>
                <w:b/>
                <w:bCs/>
                <w:sz w:val="16"/>
                <w:szCs w:val="16"/>
              </w:rPr>
              <w:t xml:space="preserve"> = 18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D9D9D9"/>
          </w:tcPr>
          <w:p w:rsidRPr="00253A3B" w:rsidR="00487108" w:rsidP="00253A3B" w:rsidRDefault="00487108" w14:paraId="65ECE699" w14:textId="77777777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  <w:hideMark/>
          </w:tcPr>
          <w:p w:rsidRPr="00253A3B" w:rsidR="00487108" w:rsidP="00253A3B" w:rsidRDefault="00487108" w14:paraId="57BC9B54" w14:textId="7FD9E9D7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 w:rsidRPr="00253A3B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:rsidRPr="00443E95" w:rsidR="00B668D5" w:rsidP="00484A60" w:rsidRDefault="00B668D5" w14:paraId="4BC23586" w14:textId="77777777">
      <w:pPr>
        <w:ind w:left="-90"/>
        <w:rPr>
          <w:rFonts w:ascii="Times New Roman" w:hAnsi="Times New Roman" w:cs="Times New Roman"/>
          <w:sz w:val="24"/>
          <w:szCs w:val="24"/>
        </w:rPr>
      </w:pPr>
    </w:p>
    <w:sectPr w:rsidRPr="00443E95" w:rsidR="00B668D5" w:rsidSect="007810EB">
      <w:pgSz w:w="15840" w:h="12240" w:orient="landscape" w:code="1"/>
      <w:pgMar w:top="1166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8F8A5" w14:textId="77777777" w:rsidR="00EB6F5A" w:rsidRDefault="00EB6F5A" w:rsidP="00EB6F5A">
      <w:pPr>
        <w:spacing w:after="0" w:line="240" w:lineRule="auto"/>
      </w:pPr>
      <w:r>
        <w:separator/>
      </w:r>
    </w:p>
  </w:endnote>
  <w:endnote w:type="continuationSeparator" w:id="0">
    <w:p w14:paraId="3D02517E" w14:textId="77777777" w:rsidR="00EB6F5A" w:rsidRDefault="00EB6F5A" w:rsidP="00EB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409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2D84D" w14:textId="462BF7BE" w:rsidR="00EB6F5A" w:rsidRDefault="00EB6F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8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159F22" w14:textId="77777777" w:rsidR="00EB6F5A" w:rsidRDefault="00EB6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6F605" w14:textId="77777777" w:rsidR="00EB6F5A" w:rsidRDefault="00EB6F5A" w:rsidP="00EB6F5A">
      <w:pPr>
        <w:spacing w:after="0" w:line="240" w:lineRule="auto"/>
      </w:pPr>
      <w:r>
        <w:separator/>
      </w:r>
    </w:p>
  </w:footnote>
  <w:footnote w:type="continuationSeparator" w:id="0">
    <w:p w14:paraId="09018C22" w14:textId="77777777" w:rsidR="00EB6F5A" w:rsidRDefault="00EB6F5A" w:rsidP="00EB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2BC"/>
    <w:multiLevelType w:val="hybridMultilevel"/>
    <w:tmpl w:val="AC7A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2C0E"/>
    <w:multiLevelType w:val="hybridMultilevel"/>
    <w:tmpl w:val="A40A9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C0"/>
    <w:rsid w:val="000044A0"/>
    <w:rsid w:val="0003647B"/>
    <w:rsid w:val="00094178"/>
    <w:rsid w:val="000967D5"/>
    <w:rsid w:val="000C7B68"/>
    <w:rsid w:val="000D0296"/>
    <w:rsid w:val="000D357D"/>
    <w:rsid w:val="00152405"/>
    <w:rsid w:val="00182835"/>
    <w:rsid w:val="00253A3B"/>
    <w:rsid w:val="00266F65"/>
    <w:rsid w:val="002740EB"/>
    <w:rsid w:val="00325FC1"/>
    <w:rsid w:val="003C52AB"/>
    <w:rsid w:val="00404CA2"/>
    <w:rsid w:val="00443E95"/>
    <w:rsid w:val="00484A60"/>
    <w:rsid w:val="00486699"/>
    <w:rsid w:val="00487108"/>
    <w:rsid w:val="004A6338"/>
    <w:rsid w:val="004E1B48"/>
    <w:rsid w:val="004E66C9"/>
    <w:rsid w:val="00572464"/>
    <w:rsid w:val="00575EE3"/>
    <w:rsid w:val="0058123F"/>
    <w:rsid w:val="005B0870"/>
    <w:rsid w:val="005F4BB8"/>
    <w:rsid w:val="006127B8"/>
    <w:rsid w:val="00666E2A"/>
    <w:rsid w:val="006733C5"/>
    <w:rsid w:val="00673E66"/>
    <w:rsid w:val="006D086C"/>
    <w:rsid w:val="006E35F2"/>
    <w:rsid w:val="007810EB"/>
    <w:rsid w:val="00856FF3"/>
    <w:rsid w:val="00882E63"/>
    <w:rsid w:val="008B2B73"/>
    <w:rsid w:val="00937262"/>
    <w:rsid w:val="0094793E"/>
    <w:rsid w:val="009E6F40"/>
    <w:rsid w:val="00A213FE"/>
    <w:rsid w:val="00A25EC7"/>
    <w:rsid w:val="00A97CC0"/>
    <w:rsid w:val="00AA2A10"/>
    <w:rsid w:val="00B041CB"/>
    <w:rsid w:val="00B651F8"/>
    <w:rsid w:val="00B668D5"/>
    <w:rsid w:val="00B74B91"/>
    <w:rsid w:val="00BD0D20"/>
    <w:rsid w:val="00C53DF6"/>
    <w:rsid w:val="00C7627A"/>
    <w:rsid w:val="00CD10DD"/>
    <w:rsid w:val="00D20025"/>
    <w:rsid w:val="00D57D48"/>
    <w:rsid w:val="00D768E9"/>
    <w:rsid w:val="00D8255A"/>
    <w:rsid w:val="00D97828"/>
    <w:rsid w:val="00DE5A35"/>
    <w:rsid w:val="00E17F02"/>
    <w:rsid w:val="00E46552"/>
    <w:rsid w:val="00E47C47"/>
    <w:rsid w:val="00E816B4"/>
    <w:rsid w:val="00EB6F5A"/>
    <w:rsid w:val="00EE6FE5"/>
    <w:rsid w:val="00F907F9"/>
    <w:rsid w:val="00FB319B"/>
    <w:rsid w:val="00FC26B8"/>
    <w:rsid w:val="00FE654D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BBBD"/>
  <w15:chartTrackingRefBased/>
  <w15:docId w15:val="{7739E31D-163C-4318-A25C-C713DEB0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7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D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27B8"/>
    <w:pPr>
      <w:spacing w:after="0" w:line="240" w:lineRule="auto"/>
    </w:pPr>
  </w:style>
  <w:style w:type="paragraph" w:styleId="NoSpacing">
    <w:name w:val="No Spacing"/>
    <w:uiPriority w:val="1"/>
    <w:qFormat/>
    <w:rsid w:val="00253A3B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E6FE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Baskerville Old Face" w:eastAsia="Times New Roman" w:hAnsi="Baskerville Old Fac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E6FE5"/>
    <w:rPr>
      <w:rFonts w:ascii="Baskerville Old Face" w:eastAsia="Times New Roman" w:hAnsi="Baskerville Old Fac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5A"/>
  </w:style>
  <w:style w:type="paragraph" w:styleId="Footer">
    <w:name w:val="footer"/>
    <w:basedOn w:val="Normal"/>
    <w:link w:val="FooterChar"/>
    <w:uiPriority w:val="99"/>
    <w:unhideWhenUsed/>
    <w:rsid w:val="00EB6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2515-BEDE-4EA7-BD10-D0C1D44A9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B93E5-658F-4247-8FA8-A15E3DF5C9E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CDF5E7-58DC-48B0-A40E-2966635B8A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D60FA2-6C1F-4F4C-B291-280C3ADFD4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286CB5-5F36-448E-93DA-AD1FE65BD8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889A99-F0DE-42DC-A890-BFBBE6C1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 to OPTN Membership Applications</vt:lpstr>
    </vt:vector>
  </TitlesOfParts>
  <Company>UNOS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 to OPTN Membership Applications</dc:title>
  <dc:subject/>
  <dc:creator>Roger Vacovsky</dc:creator>
  <cp:keywords/>
  <dc:description/>
  <cp:lastModifiedBy>Wright-Solomon, Lisa (HRSA)</cp:lastModifiedBy>
  <cp:revision>5</cp:revision>
  <dcterms:created xsi:type="dcterms:W3CDTF">2020-05-14T21:06:00Z</dcterms:created>
  <dcterms:modified xsi:type="dcterms:W3CDTF">2020-06-25T18:17:00Z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</Properties>
</file>