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734F" w:rsidR="00E12355" w:rsidP="00E12355" w:rsidRDefault="00E12355" w14:paraId="39F9D9D8" w14:textId="77777777">
      <w:pPr>
        <w:tabs>
          <w:tab w:val="center" w:pos="4680"/>
        </w:tabs>
        <w:spacing w:before="120"/>
        <w:jc w:val="center"/>
        <w:rPr>
          <w:b/>
          <w:bCs/>
          <w:sz w:val="32"/>
          <w:szCs w:val="32"/>
        </w:rPr>
      </w:pPr>
      <w:r w:rsidRPr="00AF734F">
        <w:rPr>
          <w:b/>
          <w:bCs/>
          <w:sz w:val="32"/>
          <w:szCs w:val="32"/>
        </w:rPr>
        <w:t>Supporting Statement A</w:t>
      </w:r>
    </w:p>
    <w:p w:rsidRPr="00AF734F" w:rsidR="00E12355" w:rsidP="00E12355" w:rsidRDefault="00E12355" w14:paraId="41270AC3" w14:textId="77777777">
      <w:pPr>
        <w:tabs>
          <w:tab w:val="center" w:pos="4680"/>
        </w:tabs>
        <w:spacing w:before="120"/>
        <w:jc w:val="center"/>
        <w:rPr>
          <w:b/>
          <w:bCs/>
          <w:sz w:val="32"/>
          <w:szCs w:val="32"/>
        </w:rPr>
      </w:pPr>
    </w:p>
    <w:p w:rsidRPr="00AF734F" w:rsidR="00E12355" w:rsidP="00E12355" w:rsidRDefault="00E12355" w14:paraId="11D4A5C5" w14:textId="77777777">
      <w:pPr>
        <w:tabs>
          <w:tab w:val="center" w:pos="4680"/>
        </w:tabs>
        <w:spacing w:before="120"/>
        <w:jc w:val="center"/>
        <w:rPr>
          <w:b/>
          <w:bCs/>
          <w:sz w:val="32"/>
          <w:szCs w:val="32"/>
        </w:rPr>
      </w:pPr>
      <w:r w:rsidRPr="00AF734F">
        <w:rPr>
          <w:b/>
          <w:bCs/>
          <w:sz w:val="32"/>
          <w:szCs w:val="32"/>
        </w:rPr>
        <w:t>OPTN Application Form</w:t>
      </w:r>
    </w:p>
    <w:p w:rsidRPr="00AF734F" w:rsidR="00E12355" w:rsidP="00E12355" w:rsidRDefault="00E12355" w14:paraId="25E8429F" w14:textId="77777777">
      <w:pPr>
        <w:tabs>
          <w:tab w:val="center" w:pos="4680"/>
        </w:tabs>
        <w:spacing w:before="120"/>
        <w:jc w:val="center"/>
        <w:rPr>
          <w:b/>
          <w:bCs/>
          <w:sz w:val="32"/>
          <w:szCs w:val="32"/>
        </w:rPr>
      </w:pPr>
    </w:p>
    <w:p w:rsidRPr="00AF734F" w:rsidR="00E12355" w:rsidP="00E12355" w:rsidRDefault="00E12355" w14:paraId="5A508F3F" w14:textId="77777777">
      <w:pPr>
        <w:tabs>
          <w:tab w:val="center" w:pos="4680"/>
        </w:tabs>
        <w:spacing w:before="120"/>
        <w:jc w:val="center"/>
        <w:rPr>
          <w:b/>
          <w:bCs/>
          <w:sz w:val="32"/>
          <w:szCs w:val="32"/>
        </w:rPr>
      </w:pPr>
      <w:r w:rsidRPr="00AF734F">
        <w:rPr>
          <w:b/>
          <w:bCs/>
          <w:sz w:val="32"/>
          <w:szCs w:val="32"/>
        </w:rPr>
        <w:t>OMB Control No. 0915-</w:t>
      </w:r>
      <w:r w:rsidRPr="00990525">
        <w:rPr>
          <w:b/>
          <w:bCs/>
          <w:sz w:val="32"/>
          <w:szCs w:val="32"/>
        </w:rPr>
        <w:t>0184 - Revision</w:t>
      </w:r>
    </w:p>
    <w:p w:rsidRPr="006E2B41" w:rsidR="00E12355" w:rsidP="00E12355" w:rsidRDefault="00E12355" w14:paraId="5F945AA5" w14:textId="77777777">
      <w:pPr>
        <w:tabs>
          <w:tab w:val="center" w:pos="4680"/>
        </w:tabs>
        <w:spacing w:before="120"/>
        <w:jc w:val="center"/>
        <w:rPr>
          <w:b/>
          <w:bCs/>
          <w:sz w:val="24"/>
        </w:rPr>
      </w:pPr>
    </w:p>
    <w:p w:rsidRPr="006E2B41" w:rsidR="00E12355" w:rsidP="00E12355" w:rsidRDefault="00E12355" w14:paraId="59666852" w14:textId="77777777">
      <w:pPr>
        <w:tabs>
          <w:tab w:val="center" w:pos="4680"/>
        </w:tabs>
        <w:spacing w:before="120"/>
        <w:jc w:val="center"/>
        <w:rPr>
          <w:b/>
          <w:bCs/>
          <w:sz w:val="24"/>
        </w:rPr>
      </w:pPr>
    </w:p>
    <w:p w:rsidRPr="00990525" w:rsidR="00E12355" w:rsidP="00990525" w:rsidRDefault="00E12355" w14:paraId="48BCFFB5" w14:textId="77777777">
      <w:pPr>
        <w:spacing w:before="120"/>
        <w:rPr>
          <w:b/>
          <w:bCs/>
          <w:sz w:val="24"/>
        </w:rPr>
      </w:pPr>
      <w:r w:rsidRPr="00990525">
        <w:rPr>
          <w:b/>
          <w:bCs/>
          <w:sz w:val="24"/>
        </w:rPr>
        <w:t>Terms of Clearance:</w:t>
      </w:r>
      <w:r w:rsidRPr="74DB0542">
        <w:rPr>
          <w:sz w:val="24"/>
        </w:rPr>
        <w:t xml:space="preserve">  </w:t>
      </w:r>
      <w:r w:rsidRPr="00990525">
        <w:rPr>
          <w:b/>
          <w:bCs/>
          <w:sz w:val="24"/>
        </w:rPr>
        <w:t>None</w:t>
      </w:r>
    </w:p>
    <w:p w:rsidRPr="00990525" w:rsidR="00E12355" w:rsidP="00990525" w:rsidRDefault="00E12355" w14:paraId="15AAAE81" w14:textId="77777777">
      <w:pPr>
        <w:spacing w:before="120"/>
        <w:rPr>
          <w:b/>
          <w:bCs/>
          <w:sz w:val="24"/>
        </w:rPr>
      </w:pPr>
      <w:r w:rsidRPr="74DB0542">
        <w:rPr>
          <w:b/>
          <w:bCs/>
          <w:sz w:val="24"/>
        </w:rPr>
        <w:t>A.</w:t>
      </w:r>
      <w:r w:rsidRPr="00AF734F">
        <w:rPr>
          <w:b/>
          <w:bCs/>
          <w:sz w:val="24"/>
        </w:rPr>
        <w:tab/>
      </w:r>
      <w:r w:rsidRPr="74DB0542">
        <w:rPr>
          <w:b/>
          <w:bCs/>
          <w:sz w:val="24"/>
        </w:rPr>
        <w:t>Justification</w:t>
      </w:r>
    </w:p>
    <w:p w:rsidRPr="00990525" w:rsidR="00E12355" w:rsidP="00990525" w:rsidRDefault="00E12355" w14:paraId="4FF545FB" w14:textId="77777777">
      <w:pPr>
        <w:numPr>
          <w:ilvl w:val="0"/>
          <w:numId w:val="1"/>
        </w:numPr>
        <w:spacing w:before="240"/>
        <w:rPr>
          <w:b/>
          <w:bCs/>
          <w:sz w:val="24"/>
        </w:rPr>
      </w:pPr>
      <w:r w:rsidRPr="00990525">
        <w:rPr>
          <w:b/>
          <w:bCs/>
          <w:sz w:val="24"/>
          <w:u w:val="single"/>
        </w:rPr>
        <w:t>Circumstances Making the Collection of Information Necessary</w:t>
      </w:r>
    </w:p>
    <w:p w:rsidRPr="00990525" w:rsidR="00E12355" w:rsidRDefault="00E12355" w14:paraId="0F8A9417" w14:textId="34B6C619">
      <w:pPr>
        <w:ind w:left="360"/>
        <w:rPr>
          <w:sz w:val="24"/>
        </w:rPr>
      </w:pPr>
      <w:r w:rsidRPr="74DB0542">
        <w:rPr>
          <w:sz w:val="24"/>
        </w:rPr>
        <w:t xml:space="preserve">This is a request for OMB approval for a revision to the information collection activities for the application and membership requirements contained in the Final Rule Governing the Operation of the Organ Procurement and Transplantation Network (OPTN), (final rule).  This packet contains the membership application documents used to collect information required for membership in and designation of transplant programs by the OPTN. </w:t>
      </w:r>
      <w:r w:rsidR="00990525">
        <w:rPr>
          <w:sz w:val="24"/>
        </w:rPr>
        <w:t xml:space="preserve"> </w:t>
      </w:r>
      <w:r w:rsidRPr="74DB0542">
        <w:rPr>
          <w:sz w:val="24"/>
        </w:rPr>
        <w:t xml:space="preserve">These documents are approved under OMB No. 0915-0184, and currently have an expiration date of </w:t>
      </w:r>
      <w:r w:rsidRPr="74DB0542" w:rsidR="00430C75">
        <w:rPr>
          <w:sz w:val="24"/>
        </w:rPr>
        <w:t>July</w:t>
      </w:r>
      <w:r w:rsidRPr="74DB0542" w:rsidR="00CC6E9D">
        <w:rPr>
          <w:sz w:val="24"/>
        </w:rPr>
        <w:t xml:space="preserve"> 31, 20</w:t>
      </w:r>
      <w:r w:rsidRPr="74DB0542" w:rsidR="00430C75">
        <w:rPr>
          <w:sz w:val="24"/>
        </w:rPr>
        <w:t>20</w:t>
      </w:r>
      <w:r w:rsidRPr="74DB0542">
        <w:rPr>
          <w:sz w:val="24"/>
        </w:rPr>
        <w:t xml:space="preserve">. </w:t>
      </w:r>
      <w:r w:rsidR="00990525">
        <w:rPr>
          <w:sz w:val="24"/>
        </w:rPr>
        <w:t xml:space="preserve"> </w:t>
      </w:r>
      <w:r w:rsidRPr="74DB0542">
        <w:rPr>
          <w:sz w:val="24"/>
        </w:rPr>
        <w:t xml:space="preserve">The OPTN </w:t>
      </w:r>
      <w:r w:rsidRPr="74DB0542" w:rsidR="006D3FDC">
        <w:rPr>
          <w:sz w:val="24"/>
        </w:rPr>
        <w:t>patient</w:t>
      </w:r>
      <w:r w:rsidR="006D3FDC">
        <w:rPr>
          <w:sz w:val="24"/>
        </w:rPr>
        <w:t>-</w:t>
      </w:r>
      <w:r w:rsidRPr="74DB0542">
        <w:rPr>
          <w:sz w:val="24"/>
        </w:rPr>
        <w:t xml:space="preserve">level forms associated with the registration, transplantation and follow-up of transplant recipients are approved as a </w:t>
      </w:r>
      <w:r w:rsidRPr="00990525">
        <w:rPr>
          <w:b/>
          <w:bCs/>
          <w:sz w:val="24"/>
        </w:rPr>
        <w:t>separate activity</w:t>
      </w:r>
      <w:r w:rsidRPr="74DB0542">
        <w:rPr>
          <w:sz w:val="24"/>
        </w:rPr>
        <w:t xml:space="preserve"> under OMB No. 0915-0157</w:t>
      </w:r>
      <w:r w:rsidR="006D3FDC">
        <w:rPr>
          <w:sz w:val="24"/>
        </w:rPr>
        <w:t xml:space="preserve">. </w:t>
      </w:r>
    </w:p>
    <w:p w:rsidRPr="00AF734F" w:rsidR="00E12355" w:rsidP="00E12355" w:rsidRDefault="00E12355" w14:paraId="525FEB07" w14:textId="57EF716C">
      <w:pPr>
        <w:ind w:left="360"/>
        <w:rPr>
          <w:sz w:val="24"/>
        </w:rPr>
      </w:pPr>
    </w:p>
    <w:p w:rsidRPr="00990525" w:rsidR="00E12355" w:rsidRDefault="00E12355" w14:paraId="44C85FFB" w14:textId="79F45EF6">
      <w:pPr>
        <w:ind w:left="360"/>
        <w:rPr>
          <w:sz w:val="24"/>
        </w:rPr>
      </w:pPr>
      <w:r w:rsidRPr="74DB0542">
        <w:rPr>
          <w:sz w:val="24"/>
        </w:rPr>
        <w:t xml:space="preserve">The National Organ Transplant Act of 1984, as amended, required the establishment of a unified transplant network to be operated by a private, non-profit organization under federal contract.  42 U.S.C. 273, et seq.  Following task force recommendations and extensive public comment, a Final Rule (42 CFR Part 121) was published establishing a regulatory framework for the structure and operation of the OPTN.  Policies of the OPTN are developed by professionals in the transplant community in an open environment that includes the public, including transplant patients and donor families.  </w:t>
      </w:r>
      <w:r w:rsidRPr="74DB0542" w:rsidR="00FB7F47">
        <w:rPr>
          <w:sz w:val="24"/>
        </w:rPr>
        <w:t>The Department of Health and Human Services (HHS) contracted with t</w:t>
      </w:r>
      <w:r w:rsidRPr="74DB0542">
        <w:rPr>
          <w:sz w:val="24"/>
        </w:rPr>
        <w:t>he United Network for Organ Sharing (UNOS), a private corporation,</w:t>
      </w:r>
      <w:r w:rsidRPr="74DB0542" w:rsidR="00FB7F47">
        <w:rPr>
          <w:sz w:val="24"/>
        </w:rPr>
        <w:t xml:space="preserve"> to be </w:t>
      </w:r>
      <w:r w:rsidRPr="74DB0542">
        <w:rPr>
          <w:sz w:val="24"/>
        </w:rPr>
        <w:t>the OPTN.</w:t>
      </w:r>
    </w:p>
    <w:p w:rsidRPr="00AF734F" w:rsidR="00E12355" w:rsidP="00E12355" w:rsidRDefault="00E12355" w14:paraId="5617045D" w14:textId="77777777">
      <w:pPr>
        <w:ind w:left="360"/>
        <w:rPr>
          <w:sz w:val="24"/>
        </w:rPr>
      </w:pPr>
    </w:p>
    <w:p w:rsidRPr="00990525" w:rsidR="00E12355" w:rsidRDefault="00E12355" w14:paraId="4C0F3801" w14:textId="063BC887">
      <w:pPr>
        <w:ind w:left="360"/>
        <w:rPr>
          <w:sz w:val="24"/>
        </w:rPr>
      </w:pPr>
      <w:r w:rsidRPr="74DB0542">
        <w:rPr>
          <w:sz w:val="24"/>
        </w:rPr>
        <w:t>Membership in the OPTN is determined by submission of application materials to the OPTN (</w:t>
      </w:r>
      <w:r w:rsidRPr="00990525">
        <w:rPr>
          <w:b/>
          <w:bCs/>
          <w:sz w:val="24"/>
        </w:rPr>
        <w:t>not</w:t>
      </w:r>
      <w:r w:rsidRPr="74DB0542">
        <w:rPr>
          <w:sz w:val="24"/>
        </w:rPr>
        <w:t xml:space="preserve"> to HRSA)</w:t>
      </w:r>
      <w:r w:rsidR="006D3FDC">
        <w:rPr>
          <w:sz w:val="24"/>
        </w:rPr>
        <w:t>,</w:t>
      </w:r>
      <w:r w:rsidRPr="74DB0542">
        <w:rPr>
          <w:sz w:val="24"/>
        </w:rPr>
        <w:t xml:space="preserve"> demonstrating that the applicant meets all required criteria for membership and will agree to comply with all applicable provisions of the National Organ Transplant Act, as amended, 42 U.S.C. 273, et seq.  Section 1138 of the Social Security Act, as amended, 42 U.S.C. 1320b-8 (section 1138) requires that hospitals in which transplants are performed be members of, and abide by, the rules and requirements of the OPTN as a condition of participation in Medicare a</w:t>
      </w:r>
      <w:r w:rsidR="00990525">
        <w:rPr>
          <w:sz w:val="24"/>
        </w:rPr>
        <w:t xml:space="preserve">nd Medicaid for the hospital.  </w:t>
      </w:r>
      <w:r w:rsidRPr="74DB0542">
        <w:rPr>
          <w:sz w:val="24"/>
        </w:rPr>
        <w:t xml:space="preserve">Section 1138 contains a similar </w:t>
      </w:r>
      <w:r w:rsidRPr="74DB0542">
        <w:rPr>
          <w:sz w:val="24"/>
        </w:rPr>
        <w:lastRenderedPageBreak/>
        <w:t xml:space="preserve">provision </w:t>
      </w:r>
      <w:r w:rsidRPr="74DB0542" w:rsidR="00F4302A">
        <w:rPr>
          <w:sz w:val="24"/>
        </w:rPr>
        <w:t>requiring</w:t>
      </w:r>
      <w:r w:rsidRPr="74DB0542">
        <w:rPr>
          <w:sz w:val="24"/>
        </w:rPr>
        <w:t xml:space="preserve"> organ procurement organizations (OPOs)</w:t>
      </w:r>
      <w:r w:rsidRPr="74DB0542" w:rsidR="00F4302A">
        <w:rPr>
          <w:sz w:val="24"/>
        </w:rPr>
        <w:t xml:space="preserve"> to be members of and abide by the rules and requirements of the OPTN.</w:t>
      </w:r>
      <w:r w:rsidRPr="74DB0542">
        <w:rPr>
          <w:sz w:val="24"/>
        </w:rPr>
        <w:t xml:space="preserve">  In addition, hospitals wishing to obtain designation for specific (e.g., </w:t>
      </w:r>
      <w:r w:rsidRPr="74DB0542" w:rsidR="006D3FDC">
        <w:rPr>
          <w:sz w:val="24"/>
        </w:rPr>
        <w:t>organ</w:t>
      </w:r>
      <w:r w:rsidR="006D3FDC">
        <w:rPr>
          <w:sz w:val="24"/>
        </w:rPr>
        <w:t>-</w:t>
      </w:r>
      <w:r w:rsidRPr="74DB0542">
        <w:rPr>
          <w:sz w:val="24"/>
        </w:rPr>
        <w:t>specific) transplant programs must submit applications to the OPTN.</w:t>
      </w:r>
    </w:p>
    <w:p w:rsidRPr="00AF734F" w:rsidR="00E12355" w:rsidP="00E12355" w:rsidRDefault="00E12355" w14:paraId="7EE45E7E" w14:textId="77777777">
      <w:pPr>
        <w:rPr>
          <w:sz w:val="24"/>
        </w:rPr>
      </w:pPr>
    </w:p>
    <w:p w:rsidRPr="00990525" w:rsidR="00E12355" w:rsidRDefault="00E12355" w14:paraId="1A0A09B4" w14:textId="1074F808">
      <w:pPr>
        <w:ind w:left="360"/>
        <w:rPr>
          <w:sz w:val="24"/>
        </w:rPr>
      </w:pPr>
      <w:r w:rsidRPr="74DB0542">
        <w:rPr>
          <w:sz w:val="24"/>
        </w:rPr>
        <w:t xml:space="preserve">Under Federal law, all U.S. transplant centers and organ procurement organizations must be members of the OPTN to receive any funds through Medicare.  Other members of the OPTN include: histocompatibility laboratories involved in organ transplantation; relevant medical, scientific, and professional organizations; relevant voluntary health and patient advocacy organizations; and members of the general public with a particular interest in donation and/or transplantation.  </w:t>
      </w:r>
    </w:p>
    <w:p w:rsidRPr="00AF734F" w:rsidR="00E12355" w:rsidP="00E12355" w:rsidRDefault="00E12355" w14:paraId="0E22F0AC" w14:textId="77777777">
      <w:pPr>
        <w:ind w:left="360"/>
        <w:rPr>
          <w:sz w:val="24"/>
        </w:rPr>
      </w:pPr>
    </w:p>
    <w:p w:rsidR="00E12355" w:rsidP="00990525" w:rsidRDefault="00E12355" w14:paraId="2210BBEE" w14:textId="7A099128">
      <w:pPr>
        <w:ind w:left="360"/>
        <w:rPr>
          <w:sz w:val="24"/>
        </w:rPr>
      </w:pPr>
      <w:r w:rsidRPr="74DB0542">
        <w:rPr>
          <w:sz w:val="24"/>
        </w:rPr>
        <w:t xml:space="preserve">The applications associated with this request provide the OPTN with information required to make determinations regarding compliance with membership and designated transplant program requirements established in OPTN policies and bylaws. </w:t>
      </w:r>
    </w:p>
    <w:p w:rsidR="006F3AE9" w:rsidP="00990525" w:rsidRDefault="006F3AE9" w14:paraId="5C129C86" w14:textId="79B67E2E">
      <w:pPr>
        <w:ind w:left="360"/>
        <w:rPr>
          <w:sz w:val="24"/>
        </w:rPr>
      </w:pPr>
    </w:p>
    <w:p w:rsidRPr="006F3AE9" w:rsidR="006F3AE9" w:rsidP="006F3AE9" w:rsidRDefault="006F3AE9" w14:paraId="6CC4A01D" w14:textId="3757A7E5">
      <w:pPr>
        <w:pStyle w:val="BodyTextIndent"/>
        <w:spacing w:before="120"/>
        <w:ind w:left="360"/>
        <w:rPr>
          <w:rFonts w:ascii="Times New Roman" w:hAnsi="Times New Roman"/>
          <w:i/>
        </w:rPr>
      </w:pPr>
      <w:r w:rsidRPr="006F3AE9">
        <w:rPr>
          <w:rFonts w:ascii="Times New Roman" w:hAnsi="Times New Roman"/>
          <w:i/>
        </w:rPr>
        <w:t>For this revision, changes to the forms are proposed to make application requirements more clear and organized, and thus less cumber</w:t>
      </w:r>
      <w:r w:rsidR="000E12C3">
        <w:rPr>
          <w:rFonts w:ascii="Times New Roman" w:hAnsi="Times New Roman"/>
          <w:i/>
        </w:rPr>
        <w:t xml:space="preserve">some for applicants to complete (see attachment).  </w:t>
      </w:r>
      <w:r w:rsidRPr="006F3AE9">
        <w:rPr>
          <w:rFonts w:ascii="Times New Roman" w:hAnsi="Times New Roman"/>
          <w:i/>
        </w:rPr>
        <w:t xml:space="preserve"> Proposed revisions include changes to wording to make questions more consistent with the language of the OPTN Bylaws (Bylaws).  In addition, the applications have been revised so that the sequence of questions is parallel to that of the Bylaws.  Using the Bylaws as a baseline, the revamped applications have been constructed in parallel order of the Bylaws so that an applicant can have the application and Bylaws side-by-side for easy reference.  Additional proposed changes to the application include: </w:t>
      </w:r>
    </w:p>
    <w:p w:rsidRPr="006F3AE9" w:rsidR="006F3AE9" w:rsidP="006F3AE9" w:rsidRDefault="006F3AE9" w14:paraId="4E3F645B" w14:textId="77777777">
      <w:pPr>
        <w:pStyle w:val="BodyTextIndent"/>
        <w:numPr>
          <w:ilvl w:val="0"/>
          <w:numId w:val="9"/>
        </w:numPr>
        <w:spacing w:before="120"/>
        <w:rPr>
          <w:rFonts w:ascii="Times New Roman" w:hAnsi="Times New Roman"/>
          <w:i/>
        </w:rPr>
      </w:pPr>
      <w:r w:rsidRPr="006F3AE9">
        <w:rPr>
          <w:rFonts w:ascii="Times New Roman" w:hAnsi="Times New Roman"/>
          <w:i/>
        </w:rPr>
        <w:t>A few major changes were made to the application order of documentation and attachments.  The embedded transplant logs were revised in the form of a '''universal' surgeon and physician log that will be provided as a separate attachment to the application.  This new log will provide applicants with all OPTN Bylaws requirements.  We hope the added technology utilized in the log will help applicants complete the log with limited errors.</w:t>
      </w:r>
    </w:p>
    <w:p w:rsidRPr="006F3AE9" w:rsidR="006F3AE9" w:rsidP="006F3AE9" w:rsidRDefault="006F3AE9" w14:paraId="70F9DF95" w14:textId="77777777">
      <w:pPr>
        <w:pStyle w:val="BodyTextIndent"/>
        <w:numPr>
          <w:ilvl w:val="0"/>
          <w:numId w:val="9"/>
        </w:numPr>
        <w:spacing w:before="120"/>
        <w:rPr>
          <w:rFonts w:ascii="Times New Roman" w:hAnsi="Times New Roman"/>
          <w:i/>
        </w:rPr>
      </w:pPr>
      <w:r w:rsidRPr="006F3AE9">
        <w:rPr>
          <w:rFonts w:ascii="Times New Roman" w:hAnsi="Times New Roman"/>
          <w:i/>
        </w:rPr>
        <w:t>Also, within the applications, "checkboxes"—fillable tables that were not checkboxes at all—were removed, and working checkboxes were inserted.  The "narrative" section was replaced by checkbox attestations, which will serve the same purpose—understanding relevant and recent surgeon and physician applicant experience.</w:t>
      </w:r>
    </w:p>
    <w:p w:rsidRPr="006F3AE9" w:rsidR="006F3AE9" w:rsidP="006F3AE9" w:rsidRDefault="006F3AE9" w14:paraId="3D033FE1" w14:textId="77777777">
      <w:pPr>
        <w:pStyle w:val="BodyTextIndent"/>
        <w:numPr>
          <w:ilvl w:val="0"/>
          <w:numId w:val="9"/>
        </w:numPr>
        <w:spacing w:before="120"/>
        <w:rPr>
          <w:rFonts w:ascii="Times New Roman" w:hAnsi="Times New Roman"/>
          <w:i/>
        </w:rPr>
      </w:pPr>
      <w:r w:rsidRPr="006F3AE9">
        <w:rPr>
          <w:rFonts w:ascii="Times New Roman" w:hAnsi="Times New Roman"/>
          <w:i/>
        </w:rPr>
        <w:t>The previous membership applications had several places for the applicants to sign.  The new application requests only one signature from each member applicant involved (which will be electronically captured if using the new web based application tool).</w:t>
      </w:r>
    </w:p>
    <w:p w:rsidRPr="006F3AE9" w:rsidR="006F3AE9" w:rsidP="006F3AE9" w:rsidRDefault="006F3AE9" w14:paraId="40B6722E" w14:textId="77777777">
      <w:pPr>
        <w:pStyle w:val="BodyTextIndent"/>
        <w:numPr>
          <w:ilvl w:val="0"/>
          <w:numId w:val="9"/>
        </w:numPr>
        <w:spacing w:before="120"/>
        <w:rPr>
          <w:rFonts w:ascii="Times New Roman" w:hAnsi="Times New Roman"/>
          <w:i/>
        </w:rPr>
      </w:pPr>
      <w:r w:rsidRPr="006F3AE9">
        <w:rPr>
          <w:rFonts w:ascii="Times New Roman" w:hAnsi="Times New Roman"/>
          <w:i/>
        </w:rPr>
        <w:t>Additional changes to the application process include streamlining previous application attachments for key personnel and living donor components into one form for the respective organ application.</w:t>
      </w:r>
    </w:p>
    <w:p w:rsidRPr="006F3AE9" w:rsidR="006F3AE9" w:rsidP="006F3AE9" w:rsidRDefault="006F3AE9" w14:paraId="32472794" w14:textId="77777777">
      <w:pPr>
        <w:pStyle w:val="BodyTextIndent"/>
        <w:numPr>
          <w:ilvl w:val="0"/>
          <w:numId w:val="9"/>
        </w:numPr>
        <w:spacing w:before="120"/>
        <w:rPr>
          <w:rFonts w:ascii="Times New Roman" w:hAnsi="Times New Roman"/>
          <w:i/>
        </w:rPr>
      </w:pPr>
      <w:r w:rsidRPr="006F3AE9">
        <w:rPr>
          <w:rFonts w:ascii="Times New Roman" w:hAnsi="Times New Roman"/>
          <w:i/>
        </w:rPr>
        <w:t xml:space="preserve">Pediatric Bylaw Requirements, where applicable, were also given their own sections </w:t>
      </w:r>
      <w:r w:rsidRPr="006F3AE9">
        <w:rPr>
          <w:rFonts w:ascii="Times New Roman" w:hAnsi="Times New Roman"/>
          <w:i/>
        </w:rPr>
        <w:lastRenderedPageBreak/>
        <w:t>within the organ applications.  Conversely, the Certificate of Assessment (formerly known as Certificate of Investigation) and the Primary Coverage Plan Checklist was pulled out of the previous organ-specific applications and given their own, separate attachment.  These changes will allow OPTN application reviewers to give these application components to applicants in as few attachments as possible.  These changes will also allow the UNOS Membership Team to give these important application components to applicants in as few attachments as possible, but are inclusive of all possible changes within a program.</w:t>
      </w:r>
    </w:p>
    <w:p w:rsidRPr="006F3AE9" w:rsidR="006F3AE9" w:rsidP="006F3AE9" w:rsidRDefault="006F3AE9" w14:paraId="6EC61C93" w14:textId="77777777">
      <w:pPr>
        <w:pStyle w:val="BodyTextIndent"/>
        <w:numPr>
          <w:ilvl w:val="0"/>
          <w:numId w:val="9"/>
        </w:numPr>
        <w:spacing w:before="120"/>
        <w:rPr>
          <w:rFonts w:ascii="Times New Roman" w:hAnsi="Times New Roman"/>
          <w:i/>
        </w:rPr>
      </w:pPr>
      <w:r w:rsidRPr="006F3AE9">
        <w:rPr>
          <w:rFonts w:ascii="Times New Roman" w:hAnsi="Times New Roman"/>
          <w:i/>
        </w:rPr>
        <w:t>Further changes have been made to the Vascularized Composite Allograft (VCA) Transplant program applications, which were previously submitted as separate applications for OMB approval based on body part transplanted.  These forms have been revised into one single application with sections for each VCA organ type.</w:t>
      </w:r>
    </w:p>
    <w:p w:rsidRPr="006F3AE9" w:rsidR="006F3AE9" w:rsidP="006F3AE9" w:rsidRDefault="006F3AE9" w14:paraId="41431C01" w14:textId="77777777">
      <w:pPr>
        <w:pStyle w:val="BodyTextIndent"/>
        <w:numPr>
          <w:ilvl w:val="0"/>
          <w:numId w:val="9"/>
        </w:numPr>
        <w:spacing w:before="120"/>
        <w:rPr>
          <w:rFonts w:ascii="Times New Roman" w:hAnsi="Times New Roman"/>
          <w:i/>
        </w:rPr>
      </w:pPr>
      <w:r w:rsidRPr="006F3AE9">
        <w:rPr>
          <w:rFonts w:ascii="Times New Roman" w:hAnsi="Times New Roman"/>
          <w:i/>
        </w:rPr>
        <w:t>Changes have been made to the Islet Transplant program application based on updates to OPTN Bylaws, notably the change in requirement for key personnel.</w:t>
      </w:r>
    </w:p>
    <w:p w:rsidRPr="006F3AE9" w:rsidR="006F3AE9" w:rsidP="006F3AE9" w:rsidRDefault="006F3AE9" w14:paraId="46961BB8" w14:textId="77777777">
      <w:pPr>
        <w:pStyle w:val="BodyTextIndent"/>
        <w:numPr>
          <w:ilvl w:val="0"/>
          <w:numId w:val="9"/>
        </w:numPr>
        <w:spacing w:before="120"/>
        <w:rPr>
          <w:rFonts w:ascii="Times New Roman" w:hAnsi="Times New Roman"/>
          <w:i/>
        </w:rPr>
      </w:pPr>
      <w:r w:rsidRPr="006F3AE9">
        <w:rPr>
          <w:rFonts w:ascii="Times New Roman" w:hAnsi="Times New Roman"/>
          <w:i/>
        </w:rPr>
        <w:t>Personnel changes for Organ Procurement Organizations (OPOs) and Histocompatibility Laboratories have also been consolidated into organization applications.  OPO and Lab applicants will be able to use one respective application for new program and/or personnel changes.</w:t>
      </w:r>
    </w:p>
    <w:p w:rsidRPr="006F3AE9" w:rsidR="006F3AE9" w:rsidP="00990525" w:rsidRDefault="006F3AE9" w14:paraId="5C966D7C" w14:textId="77777777">
      <w:pPr>
        <w:ind w:left="360"/>
        <w:rPr>
          <w:i/>
          <w:sz w:val="24"/>
        </w:rPr>
      </w:pPr>
    </w:p>
    <w:p w:rsidRPr="00990525" w:rsidR="00E12355" w:rsidP="00990525" w:rsidRDefault="00E12355" w14:paraId="4AE180E8" w14:textId="3AF29781">
      <w:pPr>
        <w:numPr>
          <w:ilvl w:val="0"/>
          <w:numId w:val="1"/>
        </w:numPr>
        <w:spacing w:before="240"/>
        <w:rPr>
          <w:b/>
          <w:bCs/>
          <w:sz w:val="24"/>
        </w:rPr>
      </w:pPr>
      <w:r w:rsidRPr="00990525">
        <w:rPr>
          <w:b/>
          <w:bCs/>
          <w:sz w:val="24"/>
          <w:u w:val="single"/>
        </w:rPr>
        <w:t>Purpose and Use of Information Collection</w:t>
      </w:r>
    </w:p>
    <w:p w:rsidRPr="00990525" w:rsidR="00E12355" w:rsidRDefault="00E12355" w14:paraId="481B22EA" w14:textId="77777777">
      <w:pPr>
        <w:ind w:left="360"/>
        <w:rPr>
          <w:color w:val="000000"/>
          <w:sz w:val="24"/>
        </w:rPr>
      </w:pPr>
      <w:r w:rsidRPr="74DB0542">
        <w:rPr>
          <w:color w:val="000000"/>
          <w:sz w:val="24"/>
        </w:rPr>
        <w:t>The application materials are needed to ensure that all members and prospective members of the OPTN submit in an organized manner verifiable evidence that they meet the required qualifications, and the OPTN provides written confirmation of their rights and obligations as members.  These materials provide the OPTN with information used for the following purposes:</w:t>
      </w:r>
    </w:p>
    <w:p w:rsidRPr="00AF734F" w:rsidR="00E12355" w:rsidP="00E12355" w:rsidRDefault="00E12355" w14:paraId="541754A8" w14:textId="53C73F4C">
      <w:pPr>
        <w:pStyle w:val="Level1"/>
        <w:numPr>
          <w:ilvl w:val="0"/>
          <w:numId w:val="3"/>
        </w:numPr>
        <w:tabs>
          <w:tab w:val="left" w:pos="-1440"/>
        </w:tabs>
        <w:rPr>
          <w:color w:val="000000"/>
        </w:rPr>
      </w:pPr>
      <w:r w:rsidRPr="00AF734F">
        <w:rPr>
          <w:color w:val="000000"/>
        </w:rPr>
        <w:t>Application requirements are met</w:t>
      </w:r>
      <w:r w:rsidR="006D3FDC">
        <w:rPr>
          <w:color w:val="000000"/>
        </w:rPr>
        <w:t>,</w:t>
      </w:r>
      <w:r w:rsidRPr="00AF734F">
        <w:rPr>
          <w:color w:val="000000"/>
        </w:rPr>
        <w:t xml:space="preserve"> and the OPTN demonstrates that all qualified entities are accepted for membership in the OPTN and designation of transplant programs, and that only qualified entities are accepted for membership or designation.</w:t>
      </w:r>
    </w:p>
    <w:p w:rsidRPr="00AF734F" w:rsidR="00E12355" w:rsidP="00E12355" w:rsidRDefault="00E12355" w14:paraId="1E178F38" w14:textId="24671AB5">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qualification can be documented</w:t>
      </w:r>
      <w:r w:rsidR="006D3FDC">
        <w:rPr>
          <w:color w:val="000000"/>
        </w:rPr>
        <w:t>,</w:t>
      </w:r>
      <w:r w:rsidRPr="00AF734F">
        <w:rPr>
          <w:color w:val="000000"/>
        </w:rPr>
        <w:t xml:space="preserve"> and specific remedial or alternative action can be requested from the member.</w:t>
      </w:r>
    </w:p>
    <w:p w:rsidRPr="00AF734F" w:rsidR="00E12355" w:rsidP="00E12355" w:rsidRDefault="00E12355" w14:paraId="08DE1730" w14:textId="6A1A2D62">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qualification is collected and documented</w:t>
      </w:r>
      <w:r w:rsidR="006D3FDC">
        <w:rPr>
          <w:color w:val="000000"/>
        </w:rPr>
        <w:t>,</w:t>
      </w:r>
      <w:r w:rsidRPr="00AF734F">
        <w:rPr>
          <w:color w:val="000000"/>
        </w:rPr>
        <w:t xml:space="preserve"> so a record exists of the application review process and resulting actions for consideration by the Secretary of HHS if an applicant subsequently appeals the rejection.</w:t>
      </w:r>
    </w:p>
    <w:p w:rsidRPr="006E2B41" w:rsidR="006E2B41" w:rsidP="006E2B41" w:rsidRDefault="006E2B41" w14:paraId="4B2C369F" w14:textId="77777777">
      <w:pPr>
        <w:ind w:left="360"/>
        <w:rPr>
          <w:sz w:val="24"/>
        </w:rPr>
      </w:pPr>
    </w:p>
    <w:p w:rsidRPr="00990525" w:rsidR="00E12355" w:rsidRDefault="00E12355" w14:paraId="7A3855B6" w14:textId="77777777">
      <w:pPr>
        <w:numPr>
          <w:ilvl w:val="0"/>
          <w:numId w:val="1"/>
        </w:numPr>
        <w:rPr>
          <w:sz w:val="24"/>
        </w:rPr>
      </w:pPr>
      <w:r w:rsidRPr="00990525">
        <w:rPr>
          <w:b/>
          <w:bCs/>
          <w:sz w:val="24"/>
          <w:u w:val="single"/>
        </w:rPr>
        <w:t>Use of Improved Information Technology and Burden Reduction</w:t>
      </w:r>
    </w:p>
    <w:p w:rsidRPr="00990525" w:rsidR="00BF3B1A" w:rsidRDefault="00E12355" w14:paraId="71FEC720" w14:textId="51BF3606">
      <w:pPr>
        <w:ind w:left="360"/>
        <w:rPr>
          <w:color w:val="000000"/>
          <w:sz w:val="24"/>
        </w:rPr>
      </w:pPr>
      <w:r w:rsidRPr="74DB0542">
        <w:rPr>
          <w:color w:val="000000"/>
          <w:sz w:val="24"/>
        </w:rPr>
        <w:t xml:space="preserve">The OPTN membership criteria, bylaws, and application materials are available online at </w:t>
      </w:r>
      <w:hyperlink w:history="1" r:id="rId13">
        <w:r w:rsidRPr="74DB0542">
          <w:rPr>
            <w:rStyle w:val="Hyperlink"/>
            <w:sz w:val="24"/>
          </w:rPr>
          <w:t>http://optn.transplant.hrsa.gov/</w:t>
        </w:r>
      </w:hyperlink>
      <w:r w:rsidRPr="74DB0542">
        <w:rPr>
          <w:color w:val="000000"/>
          <w:sz w:val="24"/>
        </w:rPr>
        <w:t xml:space="preserve">.  </w:t>
      </w:r>
      <w:r w:rsidRPr="74DB0542" w:rsidR="00BF3B1A">
        <w:rPr>
          <w:color w:val="000000"/>
          <w:sz w:val="24"/>
        </w:rPr>
        <w:t xml:space="preserve">This current cycle of OPTN Membership Application revisions will coincide with the introduction of a </w:t>
      </w:r>
      <w:r w:rsidRPr="74DB0542" w:rsidR="004243B3">
        <w:rPr>
          <w:color w:val="000000"/>
          <w:sz w:val="24"/>
        </w:rPr>
        <w:t xml:space="preserve">web based </w:t>
      </w:r>
      <w:r w:rsidRPr="74DB0542" w:rsidR="00BF3B1A">
        <w:rPr>
          <w:color w:val="000000"/>
          <w:sz w:val="24"/>
        </w:rPr>
        <w:t xml:space="preserve">tool that will </w:t>
      </w:r>
      <w:r w:rsidRPr="74DB0542" w:rsidR="004243B3">
        <w:rPr>
          <w:color w:val="000000"/>
          <w:sz w:val="24"/>
        </w:rPr>
        <w:t>assist</w:t>
      </w:r>
      <w:r w:rsidRPr="74DB0542" w:rsidR="00BF3B1A">
        <w:rPr>
          <w:color w:val="000000"/>
          <w:sz w:val="24"/>
        </w:rPr>
        <w:t xml:space="preserve"> users </w:t>
      </w:r>
      <w:r w:rsidR="006D3FDC">
        <w:rPr>
          <w:color w:val="000000"/>
          <w:sz w:val="24"/>
        </w:rPr>
        <w:t>in filling</w:t>
      </w:r>
      <w:r w:rsidRPr="74DB0542" w:rsidR="00BF3B1A">
        <w:rPr>
          <w:color w:val="000000"/>
          <w:sz w:val="24"/>
        </w:rPr>
        <w:t xml:space="preserve"> out the application and submit</w:t>
      </w:r>
      <w:r w:rsidR="0044502B">
        <w:rPr>
          <w:color w:val="000000"/>
          <w:sz w:val="24"/>
        </w:rPr>
        <w:t>ting</w:t>
      </w:r>
      <w:r w:rsidRPr="74DB0542" w:rsidR="00BF3B1A">
        <w:rPr>
          <w:color w:val="000000"/>
          <w:sz w:val="24"/>
        </w:rPr>
        <w:t xml:space="preserve"> </w:t>
      </w:r>
      <w:r w:rsidR="0044502B">
        <w:rPr>
          <w:color w:val="000000"/>
          <w:sz w:val="24"/>
        </w:rPr>
        <w:t xml:space="preserve">it </w:t>
      </w:r>
      <w:r w:rsidRPr="74DB0542" w:rsidR="00BF3B1A">
        <w:rPr>
          <w:color w:val="000000"/>
          <w:sz w:val="24"/>
        </w:rPr>
        <w:t xml:space="preserve">electronically. </w:t>
      </w:r>
      <w:r w:rsidR="00990525">
        <w:rPr>
          <w:color w:val="000000"/>
          <w:sz w:val="24"/>
        </w:rPr>
        <w:t xml:space="preserve"> </w:t>
      </w:r>
      <w:r w:rsidRPr="74DB0542" w:rsidR="00C2642F">
        <w:rPr>
          <w:color w:val="000000"/>
          <w:sz w:val="24"/>
        </w:rPr>
        <w:t>Approval signatures required for application submission will also be captured electronically using the web based application tool.</w:t>
      </w:r>
    </w:p>
    <w:p w:rsidR="00BF3B1A" w:rsidP="00E12355" w:rsidRDefault="00BF3B1A" w14:paraId="4EC87B8F" w14:textId="77777777">
      <w:pPr>
        <w:ind w:left="360"/>
        <w:rPr>
          <w:color w:val="000000"/>
          <w:sz w:val="24"/>
        </w:rPr>
      </w:pPr>
    </w:p>
    <w:p w:rsidRPr="00990525" w:rsidR="00C2642F" w:rsidRDefault="00C2642F" w14:paraId="5BDCD76E" w14:textId="6919A5BC">
      <w:pPr>
        <w:ind w:left="360"/>
        <w:rPr>
          <w:color w:val="000000"/>
          <w:sz w:val="24"/>
        </w:rPr>
      </w:pPr>
      <w:r w:rsidRPr="74DB0542">
        <w:rPr>
          <w:color w:val="000000"/>
          <w:sz w:val="24"/>
        </w:rPr>
        <w:t>A static version of the OPTN Membership Application will still be available to users to print out and complete</w:t>
      </w:r>
      <w:r w:rsidRPr="74DB0542" w:rsidR="00BB3325">
        <w:rPr>
          <w:color w:val="000000"/>
          <w:sz w:val="24"/>
        </w:rPr>
        <w:t xml:space="preserve"> if they choose</w:t>
      </w:r>
      <w:r w:rsidRPr="74DB0542">
        <w:rPr>
          <w:color w:val="000000"/>
          <w:sz w:val="24"/>
        </w:rPr>
        <w:t>.</w:t>
      </w:r>
    </w:p>
    <w:p w:rsidR="00C2642F" w:rsidP="00BF3B1A" w:rsidRDefault="00C2642F" w14:paraId="7016B190" w14:textId="77777777">
      <w:pPr>
        <w:ind w:left="360"/>
        <w:rPr>
          <w:color w:val="000000"/>
          <w:sz w:val="24"/>
        </w:rPr>
      </w:pPr>
    </w:p>
    <w:p w:rsidRPr="00990525" w:rsidR="00E12355" w:rsidRDefault="00C2642F" w14:paraId="6CE0721A" w14:textId="3AFBB17E">
      <w:pPr>
        <w:ind w:left="360"/>
        <w:rPr>
          <w:color w:val="000000"/>
          <w:sz w:val="24"/>
        </w:rPr>
      </w:pPr>
      <w:r w:rsidRPr="74DB0542">
        <w:rPr>
          <w:color w:val="000000"/>
          <w:sz w:val="24"/>
        </w:rPr>
        <w:t>T</w:t>
      </w:r>
      <w:r w:rsidRPr="74DB0542" w:rsidR="00E12355">
        <w:rPr>
          <w:color w:val="000000"/>
          <w:sz w:val="24"/>
        </w:rPr>
        <w:t xml:space="preserve">he </w:t>
      </w:r>
      <w:r w:rsidRPr="74DB0542" w:rsidR="00BB3325">
        <w:rPr>
          <w:color w:val="000000"/>
          <w:sz w:val="24"/>
        </w:rPr>
        <w:t xml:space="preserve">final </w:t>
      </w:r>
      <w:r w:rsidRPr="74DB0542" w:rsidR="00E12355">
        <w:rPr>
          <w:color w:val="000000"/>
          <w:sz w:val="24"/>
        </w:rPr>
        <w:t>application</w:t>
      </w:r>
      <w:r w:rsidRPr="74DB0542" w:rsidR="00BB3325">
        <w:rPr>
          <w:color w:val="000000"/>
          <w:sz w:val="24"/>
        </w:rPr>
        <w:t xml:space="preserve">, whether submitted via the web-based tool or the printed, as well as supporting </w:t>
      </w:r>
      <w:r w:rsidRPr="74DB0542" w:rsidR="008551B9">
        <w:rPr>
          <w:color w:val="000000"/>
          <w:sz w:val="24"/>
        </w:rPr>
        <w:t>documentation</w:t>
      </w:r>
      <w:r w:rsidRPr="74DB0542" w:rsidR="00BB3325">
        <w:rPr>
          <w:color w:val="000000"/>
          <w:sz w:val="24"/>
        </w:rPr>
        <w:t>,</w:t>
      </w:r>
      <w:r w:rsidRPr="74DB0542" w:rsidR="00E12355">
        <w:rPr>
          <w:color w:val="000000"/>
          <w:sz w:val="24"/>
        </w:rPr>
        <w:t xml:space="preserve"> </w:t>
      </w:r>
      <w:r w:rsidRPr="74DB0542" w:rsidR="00BB3325">
        <w:rPr>
          <w:color w:val="000000"/>
          <w:sz w:val="24"/>
        </w:rPr>
        <w:t>will be</w:t>
      </w:r>
      <w:r w:rsidRPr="74DB0542" w:rsidR="00E12355">
        <w:rPr>
          <w:color w:val="000000"/>
          <w:sz w:val="24"/>
        </w:rPr>
        <w:t xml:space="preserve"> retained in the database and available in electronic format.  </w:t>
      </w:r>
    </w:p>
    <w:p w:rsidRPr="00990525" w:rsidR="00E12355" w:rsidP="00990525" w:rsidRDefault="0050541B" w14:paraId="798630D9" w14:textId="56C203BA">
      <w:pPr>
        <w:numPr>
          <w:ilvl w:val="0"/>
          <w:numId w:val="1"/>
        </w:numPr>
        <w:spacing w:before="240"/>
        <w:rPr>
          <w:b/>
          <w:bCs/>
          <w:sz w:val="24"/>
        </w:rPr>
      </w:pPr>
      <w:r w:rsidRPr="00990525">
        <w:rPr>
          <w:b/>
          <w:bCs/>
          <w:sz w:val="24"/>
          <w:u w:val="single"/>
        </w:rPr>
        <w:t>Efforts to</w:t>
      </w:r>
      <w:r w:rsidRPr="00990525" w:rsidR="00E12355">
        <w:rPr>
          <w:b/>
          <w:bCs/>
          <w:sz w:val="24"/>
          <w:u w:val="single"/>
        </w:rPr>
        <w:t xml:space="preserve"> Identify Duplication and Use of Similar Information</w:t>
      </w:r>
    </w:p>
    <w:p w:rsidRPr="00990525" w:rsidR="00E12355" w:rsidRDefault="00E12355" w14:paraId="2C0CFA22" w14:textId="6A85D620">
      <w:pPr>
        <w:ind w:left="360"/>
        <w:rPr>
          <w:color w:val="000000"/>
          <w:sz w:val="24"/>
        </w:rPr>
      </w:pPr>
      <w:r w:rsidRPr="00990525">
        <w:rPr>
          <w:color w:val="000000"/>
          <w:sz w:val="24"/>
        </w:rPr>
        <w:t xml:space="preserve">The information and supporting documentation provided for application for membership (and transplant program designation) in the OPTN does not exist in any current database or system. </w:t>
      </w:r>
      <w:r w:rsidRPr="00990525" w:rsidR="00990525">
        <w:rPr>
          <w:color w:val="000000"/>
          <w:sz w:val="24"/>
        </w:rPr>
        <w:t xml:space="preserve"> </w:t>
      </w:r>
      <w:r w:rsidRPr="00990525">
        <w:rPr>
          <w:color w:val="000000"/>
          <w:sz w:val="24"/>
        </w:rPr>
        <w:t>There is no other source available that could be used to determine whether applicants meet the required membership and designation criteria or compliance with current policies and bylaws.</w:t>
      </w:r>
      <w:r w:rsidRPr="00990525" w:rsidDel="009C656E">
        <w:rPr>
          <w:color w:val="000000"/>
          <w:sz w:val="24"/>
        </w:rPr>
        <w:t xml:space="preserve"> </w:t>
      </w:r>
      <w:r w:rsidRPr="00990525" w:rsidR="00990525">
        <w:rPr>
          <w:color w:val="000000"/>
          <w:sz w:val="24"/>
        </w:rPr>
        <w:t xml:space="preserve"> </w:t>
      </w:r>
    </w:p>
    <w:p w:rsidRPr="00990525" w:rsidR="00E12355" w:rsidP="00990525" w:rsidRDefault="00E12355" w14:paraId="08E4A33A" w14:textId="77777777">
      <w:pPr>
        <w:numPr>
          <w:ilvl w:val="0"/>
          <w:numId w:val="1"/>
        </w:numPr>
        <w:spacing w:before="240"/>
        <w:rPr>
          <w:color w:val="000000"/>
          <w:sz w:val="24"/>
        </w:rPr>
      </w:pPr>
      <w:r w:rsidRPr="00990525">
        <w:rPr>
          <w:b/>
          <w:bCs/>
          <w:sz w:val="24"/>
          <w:u w:val="single"/>
        </w:rPr>
        <w:t>Impact on Small Businesses or Other Small Entities</w:t>
      </w:r>
    </w:p>
    <w:p w:rsidRPr="00990525" w:rsidR="00E12355" w:rsidRDefault="00E12355" w14:paraId="46569660" w14:textId="0DFFB227">
      <w:pPr>
        <w:ind w:left="360"/>
        <w:rPr>
          <w:color w:val="000000"/>
          <w:sz w:val="24"/>
        </w:rPr>
      </w:pPr>
      <w:r w:rsidRPr="00990525">
        <w:rPr>
          <w:color w:val="000000"/>
          <w:sz w:val="24"/>
        </w:rPr>
        <w:t>This activity will not be collecting any data from small businesses.  The data collected will not have any significant impact on small busines</w:t>
      </w:r>
      <w:r w:rsidR="006D3FDC">
        <w:rPr>
          <w:color w:val="000000"/>
          <w:sz w:val="24"/>
        </w:rPr>
        <w:t>se</w:t>
      </w:r>
      <w:r w:rsidRPr="00990525">
        <w:rPr>
          <w:color w:val="000000"/>
          <w:sz w:val="24"/>
        </w:rPr>
        <w:t xml:space="preserve">s or other small entities.  </w:t>
      </w:r>
    </w:p>
    <w:p w:rsidRPr="00990525" w:rsidR="00E12355" w:rsidP="00990525" w:rsidRDefault="00E12355" w14:paraId="02D3C475" w14:textId="77777777">
      <w:pPr>
        <w:numPr>
          <w:ilvl w:val="0"/>
          <w:numId w:val="1"/>
        </w:numPr>
        <w:spacing w:before="240"/>
        <w:rPr>
          <w:b/>
          <w:bCs/>
          <w:sz w:val="24"/>
        </w:rPr>
      </w:pPr>
      <w:r w:rsidRPr="00990525">
        <w:rPr>
          <w:b/>
          <w:bCs/>
          <w:sz w:val="24"/>
          <w:u w:val="single"/>
        </w:rPr>
        <w:t>Consequences of Collecting the Information Less Frequently</w:t>
      </w:r>
    </w:p>
    <w:p w:rsidRPr="00990525" w:rsidR="00E12355" w:rsidRDefault="00E12355" w14:paraId="11247F58" w14:textId="77777777">
      <w:pPr>
        <w:ind w:left="360"/>
        <w:rPr>
          <w:color w:val="000000"/>
          <w:sz w:val="24"/>
        </w:rPr>
      </w:pPr>
      <w:r w:rsidRPr="00990525">
        <w:rPr>
          <w:color w:val="000000"/>
          <w:sz w:val="24"/>
        </w:rPr>
        <w:t>Organizations and institutions required by the Final Rule to be members of the OPTN and organizations interested in membership (and transplant program designation) in the OPTN must submit the application materials.  Without this information, the OPTN cannot determine if the required criteria for membership and designation have been met or if members are compliant with OPTN bylaws and policies.</w:t>
      </w:r>
    </w:p>
    <w:p w:rsidRPr="00990525" w:rsidR="00E12355" w:rsidP="00990525" w:rsidRDefault="00E12355" w14:paraId="40360759" w14:textId="77777777">
      <w:pPr>
        <w:numPr>
          <w:ilvl w:val="0"/>
          <w:numId w:val="1"/>
        </w:numPr>
        <w:spacing w:before="240"/>
        <w:rPr>
          <w:b/>
          <w:bCs/>
          <w:sz w:val="24"/>
        </w:rPr>
      </w:pPr>
      <w:r w:rsidRPr="00990525">
        <w:rPr>
          <w:b/>
          <w:bCs/>
          <w:sz w:val="24"/>
          <w:u w:val="single"/>
        </w:rPr>
        <w:t>Special Circumstances Relating to the Guidelines of 5 CFR 1320.5</w:t>
      </w:r>
    </w:p>
    <w:p w:rsidRPr="00990525" w:rsidR="00E12355" w:rsidRDefault="00E12355" w14:paraId="73C4AA89" w14:textId="29D4DD1A">
      <w:pPr>
        <w:widowControl/>
        <w:ind w:left="360"/>
        <w:rPr>
          <w:color w:val="000000"/>
          <w:sz w:val="24"/>
        </w:rPr>
      </w:pPr>
      <w:r w:rsidRPr="00990525">
        <w:rPr>
          <w:color w:val="000000"/>
          <w:sz w:val="24"/>
        </w:rPr>
        <w:t xml:space="preserve">This data collection is consistent with the guidelines under 5 CFR 1320.5(d)(2). </w:t>
      </w:r>
      <w:r w:rsidRPr="00990525" w:rsidR="00990525">
        <w:rPr>
          <w:color w:val="000000"/>
          <w:sz w:val="24"/>
        </w:rPr>
        <w:t xml:space="preserve"> </w:t>
      </w:r>
      <w:r w:rsidRPr="00990525">
        <w:rPr>
          <w:color w:val="000000"/>
          <w:sz w:val="24"/>
        </w:rPr>
        <w:t>It fully complies with this regulation.</w:t>
      </w:r>
    </w:p>
    <w:p w:rsidRPr="00990525" w:rsidR="00E12355" w:rsidP="00E12355" w:rsidRDefault="00E12355" w14:paraId="5ACF355E" w14:textId="77777777">
      <w:pPr>
        <w:widowControl/>
        <w:rPr>
          <w:b/>
          <w:sz w:val="24"/>
        </w:rPr>
      </w:pPr>
    </w:p>
    <w:p w:rsidRPr="00990525" w:rsidR="00E12355" w:rsidRDefault="00E12355" w14:paraId="5A3F2AB1" w14:textId="77777777">
      <w:pPr>
        <w:numPr>
          <w:ilvl w:val="0"/>
          <w:numId w:val="1"/>
        </w:numPr>
        <w:rPr>
          <w:b/>
          <w:bCs/>
          <w:sz w:val="24"/>
        </w:rPr>
      </w:pPr>
      <w:r w:rsidRPr="00990525">
        <w:rPr>
          <w:b/>
          <w:bCs/>
          <w:sz w:val="24"/>
          <w:u w:val="single"/>
        </w:rPr>
        <w:t>Comments in Response to the Federal Register Notice/Outside Consultation</w:t>
      </w:r>
    </w:p>
    <w:p w:rsidRPr="00990525" w:rsidR="007210AC" w:rsidP="00990525" w:rsidRDefault="007210AC" w14:paraId="1F2B8783" w14:textId="339299A2">
      <w:pPr>
        <w:spacing w:before="120"/>
        <w:ind w:left="720"/>
        <w:rPr>
          <w:sz w:val="24"/>
        </w:rPr>
      </w:pPr>
      <w:r w:rsidRPr="00990525">
        <w:rPr>
          <w:sz w:val="24"/>
        </w:rPr>
        <w:t xml:space="preserve">A 60-day Federal Register Notice published in the </w:t>
      </w:r>
      <w:r w:rsidRPr="00990525">
        <w:rPr>
          <w:i/>
          <w:iCs/>
          <w:sz w:val="24"/>
        </w:rPr>
        <w:t xml:space="preserve">Federal Register </w:t>
      </w:r>
      <w:r w:rsidRPr="00990525">
        <w:rPr>
          <w:sz w:val="24"/>
        </w:rPr>
        <w:t xml:space="preserve">on </w:t>
      </w:r>
      <w:r w:rsidRPr="00990525" w:rsidR="004971E5">
        <w:rPr>
          <w:sz w:val="24"/>
        </w:rPr>
        <w:t>Thursday</w:t>
      </w:r>
      <w:r w:rsidRPr="00990525">
        <w:rPr>
          <w:sz w:val="24"/>
        </w:rPr>
        <w:t>,</w:t>
      </w:r>
      <w:r w:rsidRPr="00990525" w:rsidR="004971E5">
        <w:rPr>
          <w:sz w:val="24"/>
        </w:rPr>
        <w:t xml:space="preserve"> February 13, 2020, V</w:t>
      </w:r>
      <w:r w:rsidRPr="00990525">
        <w:rPr>
          <w:sz w:val="24"/>
        </w:rPr>
        <w:t xml:space="preserve">ol. </w:t>
      </w:r>
      <w:r w:rsidRPr="00990525" w:rsidR="00CC6E9D">
        <w:rPr>
          <w:sz w:val="24"/>
        </w:rPr>
        <w:t>8</w:t>
      </w:r>
      <w:r w:rsidRPr="00990525" w:rsidR="004971E5">
        <w:rPr>
          <w:sz w:val="24"/>
        </w:rPr>
        <w:t>5</w:t>
      </w:r>
      <w:r w:rsidRPr="00990525">
        <w:rPr>
          <w:sz w:val="24"/>
        </w:rPr>
        <w:t xml:space="preserve">, No. </w:t>
      </w:r>
      <w:r w:rsidRPr="00990525" w:rsidR="004971E5">
        <w:rPr>
          <w:sz w:val="24"/>
        </w:rPr>
        <w:t>30</w:t>
      </w:r>
      <w:r w:rsidRPr="00990525">
        <w:rPr>
          <w:sz w:val="24"/>
        </w:rPr>
        <w:t>; pp.</w:t>
      </w:r>
      <w:r w:rsidRPr="00990525" w:rsidR="004971E5">
        <w:rPr>
          <w:sz w:val="24"/>
        </w:rPr>
        <w:t>8300</w:t>
      </w:r>
      <w:r w:rsidRPr="00990525" w:rsidR="00CC6E9D">
        <w:rPr>
          <w:sz w:val="24"/>
        </w:rPr>
        <w:t>-</w:t>
      </w:r>
      <w:r w:rsidRPr="00990525" w:rsidR="004971E5">
        <w:rPr>
          <w:sz w:val="24"/>
        </w:rPr>
        <w:t>8302</w:t>
      </w:r>
      <w:r w:rsidRPr="00990525" w:rsidR="00990525">
        <w:rPr>
          <w:sz w:val="24"/>
        </w:rPr>
        <w:t xml:space="preserve"> and available at </w:t>
      </w:r>
      <w:hyperlink w:history="1" r:id="rId14">
        <w:r w:rsidRPr="00990525" w:rsidR="00990525">
          <w:rPr>
            <w:rStyle w:val="Hyperlink"/>
            <w:sz w:val="24"/>
          </w:rPr>
          <w:t>https://www.govinfo.gov/content/pkg/FR-2020-02-13/pdf/2020-02870.pdf</w:t>
        </w:r>
      </w:hyperlink>
      <w:r w:rsidRPr="00990525" w:rsidR="00990525">
        <w:rPr>
          <w:sz w:val="24"/>
        </w:rPr>
        <w:t xml:space="preserve">. </w:t>
      </w:r>
      <w:r w:rsidRPr="00990525">
        <w:rPr>
          <w:sz w:val="24"/>
        </w:rPr>
        <w:t xml:space="preserve"> </w:t>
      </w:r>
      <w:r w:rsidRPr="00990525" w:rsidR="00990525">
        <w:rPr>
          <w:sz w:val="24"/>
        </w:rPr>
        <w:t xml:space="preserve">No public comments were received.  </w:t>
      </w:r>
    </w:p>
    <w:p w:rsidRPr="00990525" w:rsidR="00E12355" w:rsidP="00990525" w:rsidRDefault="00E12355" w14:paraId="63FA6D40" w14:textId="3D52E66C">
      <w:pPr>
        <w:spacing w:before="120"/>
        <w:ind w:left="360"/>
        <w:rPr>
          <w:b/>
          <w:bCs/>
          <w:sz w:val="24"/>
        </w:rPr>
      </w:pPr>
      <w:r w:rsidRPr="00990525">
        <w:rPr>
          <w:sz w:val="24"/>
        </w:rPr>
        <w:t xml:space="preserve">The OPTN Charter </w:t>
      </w:r>
      <w:r w:rsidRPr="00990525" w:rsidR="00BB3325">
        <w:rPr>
          <w:sz w:val="24"/>
        </w:rPr>
        <w:t xml:space="preserve">became effective May 1, 2004. </w:t>
      </w:r>
      <w:r w:rsidR="00990525">
        <w:rPr>
          <w:sz w:val="24"/>
        </w:rPr>
        <w:t xml:space="preserve"> </w:t>
      </w:r>
      <w:r w:rsidRPr="00990525" w:rsidR="00BB3325">
        <w:rPr>
          <w:sz w:val="24"/>
        </w:rPr>
        <w:t xml:space="preserve">OPTN Policies </w:t>
      </w:r>
      <w:r w:rsidRPr="00990525">
        <w:rPr>
          <w:sz w:val="24"/>
        </w:rPr>
        <w:t xml:space="preserve">and Bylaws </w:t>
      </w:r>
      <w:r w:rsidRPr="00990525" w:rsidR="00BB3325">
        <w:rPr>
          <w:sz w:val="24"/>
        </w:rPr>
        <w:t>are approved by the OPTN Board of Directors after being</w:t>
      </w:r>
      <w:r w:rsidRPr="00990525">
        <w:rPr>
          <w:sz w:val="24"/>
        </w:rPr>
        <w:t xml:space="preserve"> developed </w:t>
      </w:r>
      <w:r w:rsidRPr="00990525" w:rsidR="00BB3325">
        <w:rPr>
          <w:sz w:val="24"/>
        </w:rPr>
        <w:t>by</w:t>
      </w:r>
      <w:r w:rsidRPr="00990525">
        <w:rPr>
          <w:sz w:val="24"/>
        </w:rPr>
        <w:t xml:space="preserve"> OPTN Committees, OPTN members, and the general public through the </w:t>
      </w:r>
      <w:r w:rsidRPr="00990525" w:rsidR="00BB3325">
        <w:rPr>
          <w:sz w:val="24"/>
        </w:rPr>
        <w:t xml:space="preserve">OPTN </w:t>
      </w:r>
      <w:r w:rsidRPr="00990525">
        <w:rPr>
          <w:sz w:val="24"/>
        </w:rPr>
        <w:t xml:space="preserve">public comment process.  The </w:t>
      </w:r>
      <w:r w:rsidRPr="00990525" w:rsidR="00BB3325">
        <w:rPr>
          <w:sz w:val="24"/>
        </w:rPr>
        <w:t>OPTN Policies and</w:t>
      </w:r>
      <w:r w:rsidRPr="00990525">
        <w:rPr>
          <w:sz w:val="24"/>
        </w:rPr>
        <w:t xml:space="preserve"> Bylaws are amended periodically.  The membership application forms incorporate applicable provisions of the OPTN Bylaws and Charter.  </w:t>
      </w:r>
    </w:p>
    <w:p w:rsidRPr="00AF734F" w:rsidR="00E12355" w:rsidP="00E12355" w:rsidRDefault="00E12355" w14:paraId="193E2717" w14:textId="77777777">
      <w:pPr>
        <w:rPr>
          <w:sz w:val="24"/>
        </w:rPr>
      </w:pPr>
    </w:p>
    <w:p w:rsidRPr="00990525" w:rsidR="00E12355" w:rsidRDefault="00E12355" w14:paraId="006E53FB" w14:textId="4BD5162D">
      <w:pPr>
        <w:numPr>
          <w:ilvl w:val="0"/>
          <w:numId w:val="2"/>
        </w:numPr>
        <w:tabs>
          <w:tab w:val="clear" w:pos="1080"/>
          <w:tab w:val="num" w:pos="720"/>
        </w:tabs>
        <w:ind w:left="720"/>
        <w:rPr>
          <w:color w:val="000000"/>
          <w:sz w:val="24"/>
        </w:rPr>
      </w:pPr>
      <w:r w:rsidRPr="74DB0542">
        <w:rPr>
          <w:color w:val="000000"/>
          <w:sz w:val="24"/>
        </w:rPr>
        <w:t xml:space="preserve">Currently, every transplant hospital program, organ procurement organization, and histocompatibility laboratory in the United States is an OPTN member.  Membership means that their </w:t>
      </w:r>
      <w:r w:rsidRPr="74DB0542" w:rsidR="00BB3325">
        <w:rPr>
          <w:color w:val="000000"/>
          <w:sz w:val="24"/>
        </w:rPr>
        <w:t>organizations</w:t>
      </w:r>
      <w:r w:rsidRPr="74DB0542">
        <w:rPr>
          <w:color w:val="000000"/>
          <w:sz w:val="24"/>
        </w:rPr>
        <w:t xml:space="preserve"> are approved by the OPTN,</w:t>
      </w:r>
      <w:r w:rsidRPr="74DB0542" w:rsidR="00BB3325">
        <w:rPr>
          <w:color w:val="000000"/>
          <w:sz w:val="24"/>
        </w:rPr>
        <w:t xml:space="preserve"> that they abide by OPTN </w:t>
      </w:r>
      <w:r w:rsidRPr="74DB0542" w:rsidR="00BB3325">
        <w:rPr>
          <w:color w:val="000000"/>
          <w:sz w:val="24"/>
        </w:rPr>
        <w:lastRenderedPageBreak/>
        <w:t>Obligations,</w:t>
      </w:r>
      <w:r w:rsidRPr="74DB0542">
        <w:rPr>
          <w:color w:val="000000"/>
          <w:sz w:val="24"/>
        </w:rPr>
        <w:t xml:space="preserve"> and that they play an active role in forming the policies that govern the transplant community.  Individuals from member organizations participate in the </w:t>
      </w:r>
      <w:r w:rsidRPr="74DB0542" w:rsidR="006D3FDC">
        <w:rPr>
          <w:color w:val="000000"/>
          <w:sz w:val="24"/>
        </w:rPr>
        <w:t>decision</w:t>
      </w:r>
      <w:r w:rsidR="006D3FDC">
        <w:rPr>
          <w:color w:val="000000"/>
          <w:sz w:val="24"/>
        </w:rPr>
        <w:t>-</w:t>
      </w:r>
      <w:r w:rsidRPr="74DB0542">
        <w:rPr>
          <w:color w:val="000000"/>
          <w:sz w:val="24"/>
        </w:rPr>
        <w:t>making process through representation on committees and on the Board of Directors.  Designation by transplant programs (e.g., kidney transplant programs) within transplant hospitals means that such programs can receive particular organs for transplantation.</w:t>
      </w:r>
    </w:p>
    <w:p w:rsidRPr="00AF734F" w:rsidR="00E12355" w:rsidP="00E12355" w:rsidRDefault="00E12355" w14:paraId="2398879F" w14:textId="77777777">
      <w:pPr>
        <w:ind w:left="720"/>
        <w:rPr>
          <w:color w:val="000000"/>
          <w:sz w:val="24"/>
        </w:rPr>
      </w:pPr>
    </w:p>
    <w:p w:rsidRPr="00990525" w:rsidR="00E12355" w:rsidRDefault="00E12355" w14:paraId="2D97A486" w14:textId="04AEFDE4">
      <w:pPr>
        <w:numPr>
          <w:ilvl w:val="0"/>
          <w:numId w:val="2"/>
        </w:numPr>
        <w:tabs>
          <w:tab w:val="clear" w:pos="1080"/>
          <w:tab w:val="num" w:pos="720"/>
        </w:tabs>
        <w:ind w:left="720"/>
        <w:rPr>
          <w:color w:val="000000"/>
          <w:sz w:val="24"/>
        </w:rPr>
      </w:pPr>
      <w:r w:rsidRPr="74DB0542">
        <w:rPr>
          <w:color w:val="000000"/>
          <w:sz w:val="24"/>
        </w:rPr>
        <w:t xml:space="preserve">The following committees, comprised of transplant surgeons, transplant physicians, </w:t>
      </w:r>
      <w:r w:rsidRPr="74DB0542" w:rsidR="005B32FC">
        <w:rPr>
          <w:color w:val="000000"/>
          <w:sz w:val="24"/>
        </w:rPr>
        <w:t xml:space="preserve">other transplant professionals, </w:t>
      </w:r>
      <w:r w:rsidRPr="74DB0542">
        <w:rPr>
          <w:color w:val="000000"/>
          <w:sz w:val="24"/>
        </w:rPr>
        <w:t xml:space="preserve">patients, organ procurement representatives, health policy analysts, and computer science specialists, have provided significant input to this process. </w:t>
      </w:r>
      <w:r w:rsidR="00990525">
        <w:rPr>
          <w:color w:val="000000"/>
          <w:sz w:val="24"/>
        </w:rPr>
        <w:t xml:space="preserve"> </w:t>
      </w:r>
    </w:p>
    <w:p w:rsidRPr="00AF734F" w:rsidR="00E12355" w:rsidP="00E12355" w:rsidRDefault="00E12355" w14:paraId="2D8F6BC8" w14:textId="77777777">
      <w:pPr>
        <w:ind w:left="720"/>
        <w:rPr>
          <w:color w:val="000000"/>
          <w:sz w:val="24"/>
        </w:rPr>
      </w:pPr>
    </w:p>
    <w:p w:rsidRPr="00990525" w:rsidR="00E12355" w:rsidRDefault="00E12355" w14:paraId="7226913C" w14:textId="77777777">
      <w:pPr>
        <w:ind w:left="720"/>
        <w:rPr>
          <w:sz w:val="24"/>
          <w:u w:val="single"/>
        </w:rPr>
      </w:pPr>
      <w:r w:rsidRPr="74DB0542">
        <w:rPr>
          <w:sz w:val="24"/>
          <w:u w:val="single"/>
        </w:rPr>
        <w:t>Board of Directors and Executive Committee</w:t>
      </w:r>
    </w:p>
    <w:p w:rsidRPr="00990525" w:rsidR="00E12355" w:rsidRDefault="00E12355" w14:paraId="4C9EAE7C" w14:textId="0267B20A">
      <w:pPr>
        <w:ind w:left="720"/>
        <w:rPr>
          <w:sz w:val="24"/>
        </w:rPr>
      </w:pPr>
      <w:r w:rsidRPr="74DB0542">
        <w:rPr>
          <w:sz w:val="24"/>
        </w:rPr>
        <w:t xml:space="preserve">President, </w:t>
      </w:r>
      <w:r w:rsidRPr="74DB0542" w:rsidR="00CD630F">
        <w:rPr>
          <w:rStyle w:val="Hypertext"/>
          <w:color w:val="auto"/>
          <w:sz w:val="24"/>
          <w:u w:val="none"/>
        </w:rPr>
        <w:t>Maryl Johnson, MD</w:t>
      </w:r>
    </w:p>
    <w:p w:rsidRPr="00990525" w:rsidR="00E12355" w:rsidRDefault="00CD630F" w14:paraId="7E989AB1" w14:textId="07947EF2">
      <w:pPr>
        <w:widowControl/>
        <w:autoSpaceDE/>
        <w:autoSpaceDN/>
        <w:adjustRightInd/>
        <w:ind w:left="720"/>
        <w:rPr>
          <w:sz w:val="24"/>
          <w:lang w:bidi="hi-IN"/>
        </w:rPr>
      </w:pPr>
      <w:r w:rsidRPr="74DB0542">
        <w:rPr>
          <w:sz w:val="24"/>
          <w:lang w:bidi="hi-IN"/>
        </w:rPr>
        <w:t>University of Wisconsin</w:t>
      </w:r>
      <w:r w:rsidRPr="74DB0542" w:rsidR="00C343E0">
        <w:rPr>
          <w:sz w:val="24"/>
          <w:lang w:bidi="hi-IN"/>
        </w:rPr>
        <w:t xml:space="preserve"> Hospital</w:t>
      </w:r>
    </w:p>
    <w:p w:rsidRPr="00990525" w:rsidR="00E12355" w:rsidRDefault="00662CEF" w14:paraId="3F737BBA" w14:textId="04570D38">
      <w:pPr>
        <w:widowControl/>
        <w:ind w:left="720"/>
        <w:rPr>
          <w:sz w:val="24"/>
        </w:rPr>
      </w:pPr>
      <w:hyperlink w:history="1" r:id="rId15">
        <w:r w:rsidRPr="003E7802" w:rsidR="00990525">
          <w:rPr>
            <w:rStyle w:val="Hyperlink"/>
            <w:sz w:val="24"/>
          </w:rPr>
          <w:t>mrj@medicine.wisc.edu</w:t>
        </w:r>
      </w:hyperlink>
      <w:r w:rsidR="00990525">
        <w:rPr>
          <w:sz w:val="24"/>
        </w:rPr>
        <w:t xml:space="preserve"> </w:t>
      </w:r>
    </w:p>
    <w:p w:rsidRPr="00AF734F" w:rsidR="00E12355" w:rsidP="00E12355" w:rsidRDefault="00E12355" w14:paraId="4C5E5920" w14:textId="77777777">
      <w:pPr>
        <w:widowControl/>
        <w:ind w:left="720"/>
        <w:rPr>
          <w:sz w:val="24"/>
        </w:rPr>
      </w:pPr>
    </w:p>
    <w:p w:rsidRPr="00990525" w:rsidR="00E12355" w:rsidRDefault="00E12355" w14:paraId="5A8DF033" w14:textId="77777777">
      <w:pPr>
        <w:ind w:left="720"/>
        <w:rPr>
          <w:sz w:val="24"/>
        </w:rPr>
      </w:pPr>
      <w:r w:rsidRPr="74DB0542">
        <w:rPr>
          <w:sz w:val="24"/>
          <w:u w:val="single"/>
        </w:rPr>
        <w:t>Membership and Professional Standards Committee</w:t>
      </w:r>
    </w:p>
    <w:p w:rsidRPr="00990525" w:rsidR="00E12355" w:rsidRDefault="00E12355" w14:paraId="1244AAA0" w14:textId="098E7F73">
      <w:pPr>
        <w:widowControl/>
        <w:ind w:left="720"/>
        <w:rPr>
          <w:sz w:val="24"/>
        </w:rPr>
      </w:pPr>
      <w:r w:rsidRPr="74DB0542">
        <w:rPr>
          <w:sz w:val="24"/>
        </w:rPr>
        <w:t xml:space="preserve">Chairman, </w:t>
      </w:r>
      <w:r w:rsidRPr="74DB0542" w:rsidR="00CD630F">
        <w:rPr>
          <w:sz w:val="24"/>
        </w:rPr>
        <w:t>Lisa Stocks, RN, MSN, FNP</w:t>
      </w:r>
    </w:p>
    <w:p w:rsidRPr="00990525" w:rsidR="00E12355" w:rsidRDefault="00C343E0" w14:paraId="6F526449" w14:textId="79465C65">
      <w:pPr>
        <w:ind w:left="720"/>
        <w:rPr>
          <w:sz w:val="24"/>
        </w:rPr>
      </w:pPr>
      <w:r w:rsidRPr="74DB0542">
        <w:rPr>
          <w:sz w:val="24"/>
        </w:rPr>
        <w:t>LifeShar</w:t>
      </w:r>
      <w:r w:rsidRPr="74DB0542" w:rsidR="00CD630F">
        <w:rPr>
          <w:sz w:val="24"/>
        </w:rPr>
        <w:t>ing</w:t>
      </w:r>
      <w:r w:rsidRPr="74DB0542">
        <w:rPr>
          <w:sz w:val="24"/>
        </w:rPr>
        <w:t xml:space="preserve"> </w:t>
      </w:r>
      <w:r w:rsidRPr="74DB0542" w:rsidR="00CD630F">
        <w:rPr>
          <w:sz w:val="24"/>
        </w:rPr>
        <w:t>(San Diego, CA)</w:t>
      </w:r>
    </w:p>
    <w:p w:rsidRPr="00990525" w:rsidR="00E12355" w:rsidRDefault="00662CEF" w14:paraId="46DE2C25" w14:textId="19174517">
      <w:pPr>
        <w:ind w:left="720"/>
        <w:rPr>
          <w:sz w:val="24"/>
          <w:u w:val="single"/>
        </w:rPr>
      </w:pPr>
      <w:hyperlink w:history="1" r:id="rId16">
        <w:r w:rsidRPr="003E7802" w:rsidR="00990525">
          <w:rPr>
            <w:rStyle w:val="Hyperlink"/>
            <w:sz w:val="24"/>
          </w:rPr>
          <w:t>lstocks@health.ucsd.edu</w:t>
        </w:r>
      </w:hyperlink>
      <w:r w:rsidR="00990525">
        <w:rPr>
          <w:color w:val="000000"/>
          <w:sz w:val="24"/>
        </w:rPr>
        <w:t xml:space="preserve"> </w:t>
      </w:r>
    </w:p>
    <w:p w:rsidRPr="00AF734F" w:rsidR="00E12355" w:rsidP="00E12355" w:rsidRDefault="00E12355" w14:paraId="5450695F" w14:textId="77777777">
      <w:pPr>
        <w:widowControl/>
        <w:ind w:left="720"/>
        <w:rPr>
          <w:color w:val="FF0000"/>
          <w:sz w:val="24"/>
        </w:rPr>
      </w:pPr>
    </w:p>
    <w:p w:rsidRPr="00990525" w:rsidR="00E12355" w:rsidRDefault="00E12355" w14:paraId="2BE74ADD" w14:textId="2EDBC01F">
      <w:pPr>
        <w:widowControl/>
        <w:ind w:left="720"/>
        <w:rPr>
          <w:color w:val="FF0000"/>
          <w:sz w:val="24"/>
        </w:rPr>
      </w:pPr>
      <w:r w:rsidRPr="74DB0542">
        <w:rPr>
          <w:color w:val="000000"/>
          <w:sz w:val="24"/>
        </w:rPr>
        <w:t xml:space="preserve">Additionally, </w:t>
      </w:r>
      <w:r w:rsidRPr="74DB0542" w:rsidR="005B32FC">
        <w:rPr>
          <w:color w:val="000000"/>
          <w:sz w:val="24"/>
        </w:rPr>
        <w:t xml:space="preserve">UNOS </w:t>
      </w:r>
      <w:r w:rsidRPr="74DB0542">
        <w:rPr>
          <w:color w:val="000000"/>
          <w:sz w:val="24"/>
        </w:rPr>
        <w:t>membership staff reviewed the forms extensively.  They integrated improvement suggestions along with incorporated revised elements from the current bylaws into these forms.</w:t>
      </w:r>
    </w:p>
    <w:p w:rsidRPr="00AF734F" w:rsidR="00E12355" w:rsidP="00E12355" w:rsidRDefault="00E12355" w14:paraId="632FC298" w14:textId="77777777">
      <w:pPr>
        <w:ind w:left="720"/>
        <w:rPr>
          <w:color w:val="000000"/>
          <w:sz w:val="24"/>
        </w:rPr>
      </w:pPr>
    </w:p>
    <w:p w:rsidRPr="00990525" w:rsidR="00E12355" w:rsidRDefault="00E12355" w14:paraId="3A4937E8" w14:textId="7717F9C1">
      <w:pPr>
        <w:ind w:left="720"/>
        <w:rPr>
          <w:color w:val="000000"/>
          <w:sz w:val="24"/>
        </w:rPr>
      </w:pPr>
      <w:r w:rsidRPr="74DB0542">
        <w:rPr>
          <w:color w:val="000000"/>
          <w:sz w:val="24"/>
        </w:rPr>
        <w:t>UNOS may be contacted at the following address:</w:t>
      </w:r>
    </w:p>
    <w:p w:rsidRPr="00AF734F" w:rsidR="00E12355" w:rsidP="00E12355" w:rsidRDefault="00E12355" w14:paraId="25F28E55" w14:textId="77777777">
      <w:pPr>
        <w:ind w:left="720"/>
        <w:rPr>
          <w:sz w:val="24"/>
        </w:rPr>
      </w:pPr>
    </w:p>
    <w:p w:rsidRPr="00990525" w:rsidR="00E12355" w:rsidRDefault="00E12355" w14:paraId="654B1E8E" w14:textId="77777777">
      <w:pPr>
        <w:ind w:left="720"/>
        <w:rPr>
          <w:sz w:val="24"/>
        </w:rPr>
      </w:pPr>
      <w:r w:rsidRPr="74DB0542">
        <w:rPr>
          <w:color w:val="000000"/>
          <w:sz w:val="24"/>
        </w:rPr>
        <w:t>United Network for Organ Sharing (UNOS)</w:t>
      </w:r>
    </w:p>
    <w:p w:rsidRPr="00990525" w:rsidR="00E12355" w:rsidRDefault="00E12355" w14:paraId="0DE018F6" w14:textId="68E8741B">
      <w:pPr>
        <w:widowControl/>
        <w:ind w:left="720"/>
        <w:rPr>
          <w:color w:val="000000"/>
          <w:sz w:val="24"/>
        </w:rPr>
      </w:pPr>
      <w:r w:rsidRPr="74DB0542">
        <w:rPr>
          <w:color w:val="000000"/>
          <w:sz w:val="24"/>
        </w:rPr>
        <w:t xml:space="preserve">Contact Person: </w:t>
      </w:r>
      <w:r w:rsidRPr="74DB0542" w:rsidR="00D84963">
        <w:rPr>
          <w:color w:val="000000"/>
          <w:sz w:val="24"/>
        </w:rPr>
        <w:t>Roger Vacovsky</w:t>
      </w:r>
    </w:p>
    <w:p w:rsidRPr="00990525" w:rsidR="00E12355" w:rsidRDefault="00E12355" w14:paraId="692A5401" w14:textId="77777777">
      <w:pPr>
        <w:widowControl/>
        <w:ind w:left="720"/>
        <w:rPr>
          <w:color w:val="000000"/>
          <w:sz w:val="24"/>
        </w:rPr>
      </w:pPr>
      <w:r w:rsidRPr="74DB0542">
        <w:rPr>
          <w:color w:val="000000"/>
          <w:sz w:val="24"/>
        </w:rPr>
        <w:t>700 North 4</w:t>
      </w:r>
      <w:r w:rsidRPr="74DB0542">
        <w:rPr>
          <w:color w:val="000000"/>
          <w:sz w:val="24"/>
          <w:vertAlign w:val="superscript"/>
        </w:rPr>
        <w:t>th</w:t>
      </w:r>
      <w:r w:rsidRPr="74DB0542">
        <w:rPr>
          <w:color w:val="000000"/>
          <w:sz w:val="24"/>
        </w:rPr>
        <w:t xml:space="preserve"> Street</w:t>
      </w:r>
    </w:p>
    <w:p w:rsidRPr="00990525" w:rsidR="00E12355" w:rsidRDefault="00E12355" w14:paraId="17E5A4E0" w14:textId="77777777">
      <w:pPr>
        <w:widowControl/>
        <w:ind w:left="720"/>
        <w:rPr>
          <w:color w:val="000000"/>
          <w:sz w:val="24"/>
        </w:rPr>
      </w:pPr>
      <w:r w:rsidRPr="74DB0542">
        <w:rPr>
          <w:color w:val="000000"/>
          <w:sz w:val="24"/>
        </w:rPr>
        <w:t>Richmond, Virginia 23218</w:t>
      </w:r>
    </w:p>
    <w:p w:rsidRPr="00990525" w:rsidR="00E12355" w:rsidRDefault="00990525" w14:paraId="5FF2D82D" w14:textId="14B1C459">
      <w:pPr>
        <w:widowControl/>
        <w:ind w:left="720"/>
        <w:rPr>
          <w:color w:val="000000"/>
          <w:sz w:val="24"/>
        </w:rPr>
      </w:pPr>
      <w:r>
        <w:rPr>
          <w:color w:val="000000"/>
          <w:sz w:val="24"/>
        </w:rPr>
        <w:t>Phone: 804-</w:t>
      </w:r>
      <w:r w:rsidRPr="74DB0542" w:rsidR="00E12355">
        <w:rPr>
          <w:color w:val="000000"/>
          <w:sz w:val="24"/>
        </w:rPr>
        <w:t>782-4800</w:t>
      </w:r>
    </w:p>
    <w:p w:rsidRPr="00990525" w:rsidR="00E12355" w:rsidRDefault="00990525" w14:paraId="025C1609" w14:textId="45E98876">
      <w:pPr>
        <w:widowControl/>
        <w:ind w:left="720"/>
        <w:rPr>
          <w:color w:val="000000"/>
          <w:sz w:val="24"/>
        </w:rPr>
      </w:pPr>
      <w:r>
        <w:rPr>
          <w:color w:val="000000"/>
          <w:sz w:val="24"/>
        </w:rPr>
        <w:t>Fax:     804-</w:t>
      </w:r>
      <w:r w:rsidRPr="74DB0542" w:rsidR="00E12355">
        <w:rPr>
          <w:color w:val="000000"/>
          <w:sz w:val="24"/>
        </w:rPr>
        <w:t>782-4896</w:t>
      </w:r>
    </w:p>
    <w:p w:rsidRPr="00AF734F" w:rsidR="00E12355" w:rsidP="00E12355" w:rsidRDefault="00E12355" w14:paraId="21C60906" w14:textId="77777777">
      <w:pPr>
        <w:widowControl/>
        <w:ind w:left="720"/>
        <w:rPr>
          <w:color w:val="000000"/>
          <w:sz w:val="24"/>
        </w:rPr>
      </w:pPr>
    </w:p>
    <w:p w:rsidRPr="00990525" w:rsidR="00E12355" w:rsidP="00990525" w:rsidRDefault="00E12355" w14:paraId="0E2547A1" w14:textId="77777777">
      <w:pPr>
        <w:numPr>
          <w:ilvl w:val="0"/>
          <w:numId w:val="1"/>
        </w:numPr>
        <w:spacing w:before="240"/>
        <w:rPr>
          <w:b/>
          <w:bCs/>
          <w:sz w:val="24"/>
        </w:rPr>
      </w:pPr>
      <w:r w:rsidRPr="00990525">
        <w:rPr>
          <w:b/>
          <w:bCs/>
          <w:sz w:val="24"/>
          <w:u w:val="single"/>
        </w:rPr>
        <w:t>Explanation of any Payment/Gift to Respondents</w:t>
      </w:r>
    </w:p>
    <w:p w:rsidRPr="00990525" w:rsidR="00E12355" w:rsidRDefault="00E12355" w14:paraId="4739B31F" w14:textId="77777777">
      <w:pPr>
        <w:widowControl/>
        <w:ind w:left="360"/>
        <w:rPr>
          <w:color w:val="000000"/>
          <w:sz w:val="24"/>
        </w:rPr>
      </w:pPr>
      <w:r w:rsidRPr="74DB0542">
        <w:rPr>
          <w:color w:val="000000"/>
          <w:sz w:val="24"/>
        </w:rPr>
        <w:t>There is no remuneration to respondents.</w:t>
      </w:r>
    </w:p>
    <w:p w:rsidRPr="00AF734F" w:rsidR="00E12355" w:rsidP="00E12355" w:rsidRDefault="00E12355" w14:paraId="0B99789E" w14:textId="77777777">
      <w:pPr>
        <w:widowControl/>
        <w:ind w:left="360"/>
        <w:rPr>
          <w:color w:val="000000"/>
          <w:sz w:val="24"/>
        </w:rPr>
      </w:pPr>
    </w:p>
    <w:p w:rsidRPr="00990525" w:rsidR="00E12355" w:rsidRDefault="00E12355" w14:paraId="19B4FC66" w14:textId="77777777">
      <w:pPr>
        <w:numPr>
          <w:ilvl w:val="0"/>
          <w:numId w:val="1"/>
        </w:numPr>
        <w:rPr>
          <w:b/>
          <w:bCs/>
          <w:sz w:val="24"/>
        </w:rPr>
      </w:pPr>
      <w:r w:rsidRPr="00990525">
        <w:rPr>
          <w:b/>
          <w:bCs/>
          <w:sz w:val="24"/>
          <w:u w:val="single"/>
        </w:rPr>
        <w:t>Assurance of Confidentiality Provided to Respondents</w:t>
      </w:r>
    </w:p>
    <w:p w:rsidRPr="00990525" w:rsidR="00E12355" w:rsidRDefault="00E12355" w14:paraId="4F4394F8" w14:textId="48C09F8D">
      <w:pPr>
        <w:ind w:left="360"/>
        <w:rPr>
          <w:b/>
          <w:bCs/>
          <w:sz w:val="24"/>
        </w:rPr>
      </w:pPr>
      <w:r w:rsidRPr="74DB0542">
        <w:rPr>
          <w:color w:val="000000"/>
          <w:sz w:val="24"/>
        </w:rPr>
        <w:t xml:space="preserve">The information required by the OPTN to apply for membership can include personally identifiable information on individuals.  The application materials collect information on interested individuals seeking membership, organ procurement organizations, transplant hospitals, histocompatibility laboratories, and other organizations and institutions. All application materials received are stored electronically. Processes and protocols to maintain </w:t>
      </w:r>
      <w:r w:rsidRPr="74DB0542">
        <w:rPr>
          <w:color w:val="000000"/>
          <w:sz w:val="24"/>
        </w:rPr>
        <w:lastRenderedPageBreak/>
        <w:t xml:space="preserve">confidentiality </w:t>
      </w:r>
      <w:r w:rsidR="006D3FDC">
        <w:rPr>
          <w:color w:val="000000"/>
          <w:sz w:val="24"/>
        </w:rPr>
        <w:t>is</w:t>
      </w:r>
      <w:r w:rsidRPr="74DB0542" w:rsidR="006D3FDC">
        <w:rPr>
          <w:color w:val="000000"/>
          <w:sz w:val="24"/>
        </w:rPr>
        <w:t xml:space="preserve"> </w:t>
      </w:r>
      <w:r w:rsidRPr="74DB0542">
        <w:rPr>
          <w:color w:val="000000"/>
          <w:sz w:val="24"/>
        </w:rPr>
        <w:t xml:space="preserve">imposed and adhered to by the </w:t>
      </w:r>
      <w:r w:rsidRPr="74DB0542" w:rsidR="005B32FC">
        <w:rPr>
          <w:color w:val="000000"/>
          <w:sz w:val="24"/>
        </w:rPr>
        <w:t>UNOS</w:t>
      </w:r>
      <w:r w:rsidRPr="74DB0542">
        <w:rPr>
          <w:color w:val="000000"/>
          <w:sz w:val="24"/>
        </w:rPr>
        <w:t xml:space="preserve">. </w:t>
      </w:r>
    </w:p>
    <w:p w:rsidRPr="00AF734F" w:rsidR="00E12355" w:rsidP="00E12355" w:rsidRDefault="00E12355" w14:paraId="6EB6C59C" w14:textId="77777777">
      <w:pPr>
        <w:widowControl/>
        <w:rPr>
          <w:color w:val="000000"/>
          <w:sz w:val="24"/>
        </w:rPr>
      </w:pPr>
    </w:p>
    <w:p w:rsidRPr="00990525" w:rsidR="00E12355" w:rsidRDefault="00E12355" w14:paraId="74C7D181" w14:textId="1C856516">
      <w:pPr>
        <w:widowControl/>
        <w:ind w:left="360"/>
        <w:rPr>
          <w:color w:val="000000"/>
          <w:sz w:val="24"/>
        </w:rPr>
      </w:pPr>
      <w:r w:rsidRPr="74DB0542">
        <w:rPr>
          <w:color w:val="000000"/>
          <w:sz w:val="24"/>
        </w:rPr>
        <w:t xml:space="preserve">Data collected under the OPTN contract is well protected by a number of security features.  HRSA certifies that </w:t>
      </w:r>
      <w:r w:rsidR="006D3FDC">
        <w:rPr>
          <w:color w:val="000000"/>
          <w:sz w:val="24"/>
        </w:rPr>
        <w:t>'</w:t>
      </w:r>
      <w:r w:rsidRPr="74DB0542" w:rsidR="006D3FDC">
        <w:rPr>
          <w:color w:val="000000"/>
          <w:sz w:val="24"/>
        </w:rPr>
        <w:t>UNOS</w:t>
      </w:r>
      <w:r w:rsidR="006D3FDC">
        <w:rPr>
          <w:color w:val="000000"/>
          <w:sz w:val="24"/>
        </w:rPr>
        <w:t>'</w:t>
      </w:r>
      <w:r w:rsidRPr="74DB0542" w:rsidR="006D3FDC">
        <w:rPr>
          <w:color w:val="000000"/>
          <w:sz w:val="24"/>
        </w:rPr>
        <w:t xml:space="preserve"> </w:t>
      </w:r>
      <w:r w:rsidRPr="74DB0542">
        <w:rPr>
          <w:color w:val="000000"/>
          <w:sz w:val="24"/>
        </w:rPr>
        <w:t xml:space="preserve">security systems meet or exceed the requirements as prescribed by OMB Circular A-130, Appendix III, Security of Federal Automated Information Systems, and the </w:t>
      </w:r>
      <w:r w:rsidR="006D3FDC">
        <w:rPr>
          <w:color w:val="000000"/>
          <w:sz w:val="24"/>
        </w:rPr>
        <w:t>'</w:t>
      </w:r>
      <w:r w:rsidRPr="74DB0542" w:rsidR="006D3FDC">
        <w:rPr>
          <w:color w:val="000000"/>
          <w:sz w:val="24"/>
        </w:rPr>
        <w:t>Department</w:t>
      </w:r>
      <w:r w:rsidR="006D3FDC">
        <w:rPr>
          <w:color w:val="000000"/>
          <w:sz w:val="24"/>
        </w:rPr>
        <w:t>'</w:t>
      </w:r>
      <w:r w:rsidRPr="74DB0542" w:rsidR="006D3FDC">
        <w:rPr>
          <w:color w:val="000000"/>
          <w:sz w:val="24"/>
        </w:rPr>
        <w:t xml:space="preserve">s </w:t>
      </w:r>
      <w:r w:rsidRPr="74DB0542">
        <w:rPr>
          <w:color w:val="000000"/>
          <w:sz w:val="24"/>
        </w:rPr>
        <w:t>Automated Information Systems Security Program Handbook.  These security features include:</w:t>
      </w:r>
    </w:p>
    <w:p w:rsidRPr="00AF734F" w:rsidR="00E12355" w:rsidP="00E12355" w:rsidRDefault="00E12355" w14:paraId="30BD27FE" w14:textId="77777777">
      <w:pPr>
        <w:widowControl/>
        <w:rPr>
          <w:color w:val="000000"/>
          <w:sz w:val="24"/>
        </w:rPr>
      </w:pPr>
    </w:p>
    <w:p w:rsidRPr="00990525" w:rsidR="00E12355" w:rsidRDefault="00E12355" w14:paraId="63B404ED" w14:textId="77777777">
      <w:pPr>
        <w:widowControl/>
        <w:numPr>
          <w:ilvl w:val="0"/>
          <w:numId w:val="4"/>
        </w:numPr>
        <w:rPr>
          <w:color w:val="000000"/>
          <w:sz w:val="24"/>
        </w:rPr>
      </w:pPr>
      <w:r w:rsidRPr="74DB0542">
        <w:rPr>
          <w:color w:val="000000"/>
          <w:sz w:val="24"/>
          <w:u w:val="single"/>
        </w:rPr>
        <w:t>Captured Accounts</w:t>
      </w:r>
    </w:p>
    <w:p w:rsidRPr="00990525" w:rsidR="00E12355" w:rsidRDefault="00E12355" w14:paraId="0C2DE725" w14:textId="60CE09D3">
      <w:pPr>
        <w:widowControl/>
        <w:ind w:left="1080"/>
        <w:rPr>
          <w:color w:val="000000"/>
          <w:sz w:val="24"/>
        </w:rPr>
      </w:pPr>
      <w:r w:rsidRPr="74DB0542">
        <w:rPr>
          <w:color w:val="000000"/>
          <w:sz w:val="24"/>
        </w:rPr>
        <w:t xml:space="preserve">All accounts utilized by organ procurement organizations, transplant centers, or histocompatibility laboratories are captured accounts.  This means that, once an authorized individual gains access to the </w:t>
      </w:r>
      <w:r w:rsidR="006D3FDC">
        <w:rPr>
          <w:color w:val="000000"/>
          <w:sz w:val="24"/>
        </w:rPr>
        <w:t>'</w:t>
      </w:r>
      <w:r w:rsidRPr="74DB0542" w:rsidR="006D3FDC">
        <w:rPr>
          <w:color w:val="000000"/>
          <w:sz w:val="24"/>
        </w:rPr>
        <w:t>contractor</w:t>
      </w:r>
      <w:r w:rsidR="006D3FDC">
        <w:rPr>
          <w:color w:val="000000"/>
          <w:sz w:val="24"/>
        </w:rPr>
        <w:t>'</w:t>
      </w:r>
      <w:r w:rsidRPr="74DB0542" w:rsidR="006D3FDC">
        <w:rPr>
          <w:color w:val="000000"/>
          <w:sz w:val="24"/>
        </w:rPr>
        <w:t xml:space="preserve">s </w:t>
      </w:r>
      <w:r w:rsidRPr="74DB0542">
        <w:rPr>
          <w:color w:val="000000"/>
          <w:sz w:val="24"/>
        </w:rPr>
        <w:t xml:space="preserve">computer system, he/she cannot execute any commands except those for which they are authorized.  When he/she exits the </w:t>
      </w:r>
      <w:r w:rsidR="006D3FDC">
        <w:rPr>
          <w:color w:val="000000"/>
          <w:sz w:val="24"/>
        </w:rPr>
        <w:t>'</w:t>
      </w:r>
      <w:r w:rsidRPr="74DB0542" w:rsidR="006D3FDC">
        <w:rPr>
          <w:color w:val="000000"/>
          <w:sz w:val="24"/>
        </w:rPr>
        <w:t>contractor</w:t>
      </w:r>
      <w:r w:rsidR="006D3FDC">
        <w:rPr>
          <w:color w:val="000000"/>
          <w:sz w:val="24"/>
        </w:rPr>
        <w:t>'</w:t>
      </w:r>
      <w:r w:rsidRPr="74DB0542" w:rsidR="006D3FDC">
        <w:rPr>
          <w:color w:val="000000"/>
          <w:sz w:val="24"/>
        </w:rPr>
        <w:t xml:space="preserve">s </w:t>
      </w:r>
      <w:r w:rsidRPr="74DB0542">
        <w:rPr>
          <w:color w:val="000000"/>
          <w:sz w:val="24"/>
        </w:rPr>
        <w:t>software, he/she is automatically logged off the system.  In addition to captured accounts, the user can gain access by an account/password combination.</w:t>
      </w:r>
    </w:p>
    <w:p w:rsidRPr="00AF734F" w:rsidR="00E12355" w:rsidP="00E12355" w:rsidRDefault="00E12355" w14:paraId="58093142" w14:textId="77777777">
      <w:pPr>
        <w:widowControl/>
        <w:ind w:left="1080"/>
        <w:rPr>
          <w:color w:val="000000"/>
          <w:sz w:val="24"/>
        </w:rPr>
      </w:pPr>
    </w:p>
    <w:p w:rsidRPr="00990525" w:rsidR="00E12355" w:rsidRDefault="00E12355" w14:paraId="73B3A15E" w14:textId="77777777">
      <w:pPr>
        <w:widowControl/>
        <w:numPr>
          <w:ilvl w:val="0"/>
          <w:numId w:val="4"/>
        </w:numPr>
        <w:rPr>
          <w:color w:val="000000"/>
          <w:sz w:val="24"/>
        </w:rPr>
      </w:pPr>
      <w:r w:rsidRPr="74DB0542">
        <w:rPr>
          <w:color w:val="000000"/>
          <w:sz w:val="24"/>
          <w:u w:val="single"/>
        </w:rPr>
        <w:t>Limited Access</w:t>
      </w:r>
    </w:p>
    <w:p w:rsidRPr="00990525" w:rsidR="00E12355" w:rsidRDefault="00E12355" w14:paraId="4D427EAC" w14:textId="659DAE95">
      <w:pPr>
        <w:widowControl/>
        <w:ind w:left="1080"/>
        <w:rPr>
          <w:color w:val="000000"/>
          <w:sz w:val="24"/>
        </w:rPr>
      </w:pPr>
      <w:r w:rsidRPr="74DB0542">
        <w:rPr>
          <w:color w:val="000000"/>
          <w:sz w:val="24"/>
        </w:rPr>
        <w:t xml:space="preserve">There is extremely limited physical access to the </w:t>
      </w:r>
      <w:r w:rsidR="006D3FDC">
        <w:rPr>
          <w:color w:val="000000"/>
          <w:sz w:val="24"/>
        </w:rPr>
        <w:t>'</w:t>
      </w:r>
      <w:r w:rsidRPr="74DB0542" w:rsidR="006D3FDC">
        <w:rPr>
          <w:color w:val="000000"/>
          <w:sz w:val="24"/>
        </w:rPr>
        <w:t>contractor</w:t>
      </w:r>
      <w:r w:rsidR="006D3FDC">
        <w:rPr>
          <w:color w:val="000000"/>
          <w:sz w:val="24"/>
        </w:rPr>
        <w:t>'</w:t>
      </w:r>
      <w:r w:rsidRPr="74DB0542" w:rsidR="006D3FDC">
        <w:rPr>
          <w:color w:val="000000"/>
          <w:sz w:val="24"/>
        </w:rPr>
        <w:t xml:space="preserve">s </w:t>
      </w:r>
      <w:r w:rsidRPr="74DB0542">
        <w:rPr>
          <w:color w:val="000000"/>
          <w:sz w:val="24"/>
        </w:rPr>
        <w:t xml:space="preserve">computer system.  The </w:t>
      </w:r>
      <w:r w:rsidR="006D3FDC">
        <w:rPr>
          <w:color w:val="000000"/>
          <w:sz w:val="24"/>
        </w:rPr>
        <w:t>'</w:t>
      </w:r>
      <w:r w:rsidRPr="74DB0542" w:rsidR="006D3FDC">
        <w:rPr>
          <w:color w:val="000000"/>
          <w:sz w:val="24"/>
        </w:rPr>
        <w:t>UNOS</w:t>
      </w:r>
      <w:r w:rsidR="006D3FDC">
        <w:rPr>
          <w:color w:val="000000"/>
          <w:sz w:val="24"/>
        </w:rPr>
        <w:t>'</w:t>
      </w:r>
      <w:r w:rsidRPr="74DB0542" w:rsidR="006D3FDC">
        <w:rPr>
          <w:color w:val="000000"/>
          <w:sz w:val="24"/>
        </w:rPr>
        <w:t xml:space="preserve"> </w:t>
      </w:r>
      <w:r w:rsidRPr="74DB0542">
        <w:rPr>
          <w:color w:val="000000"/>
          <w:sz w:val="24"/>
        </w:rPr>
        <w:t>premises are personally monitored 24 hours a day, 7 days a week.  No one can enter the computer area without authorization.  There is an electronic pass-card-activated system in place.  Card readers have been placed at the main building entrances, elevators, data center</w:t>
      </w:r>
      <w:r w:rsidR="006D3FDC">
        <w:rPr>
          <w:color w:val="000000"/>
          <w:sz w:val="24"/>
        </w:rPr>
        <w:t>,</w:t>
      </w:r>
      <w:r w:rsidRPr="74DB0542">
        <w:rPr>
          <w:color w:val="000000"/>
          <w:sz w:val="24"/>
        </w:rPr>
        <w:t xml:space="preserve"> and all telecommunication access panels.  In addition, for the data center and telecommunications panels, a pin code must be provided in addition to the pass card.  </w:t>
      </w:r>
    </w:p>
    <w:p w:rsidRPr="00AF734F" w:rsidR="00E12355" w:rsidP="00E12355" w:rsidRDefault="00E12355" w14:paraId="0B025924" w14:textId="77777777">
      <w:pPr>
        <w:widowControl/>
        <w:ind w:left="1080"/>
        <w:rPr>
          <w:color w:val="000000"/>
          <w:sz w:val="24"/>
          <w:u w:val="single"/>
        </w:rPr>
      </w:pPr>
    </w:p>
    <w:p w:rsidRPr="00990525" w:rsidR="00E12355" w:rsidRDefault="00E12355" w14:paraId="74226695" w14:textId="77777777">
      <w:pPr>
        <w:widowControl/>
        <w:numPr>
          <w:ilvl w:val="0"/>
          <w:numId w:val="4"/>
        </w:numPr>
        <w:rPr>
          <w:color w:val="000000"/>
          <w:sz w:val="24"/>
          <w:u w:val="single"/>
        </w:rPr>
      </w:pPr>
      <w:r w:rsidRPr="74DB0542">
        <w:rPr>
          <w:color w:val="000000"/>
          <w:sz w:val="24"/>
          <w:u w:val="single"/>
        </w:rPr>
        <w:t>Encrypted Identifiers</w:t>
      </w:r>
    </w:p>
    <w:p w:rsidRPr="00990525" w:rsidR="00E12355" w:rsidRDefault="00E12355" w14:paraId="66C65E48" w14:textId="77777777">
      <w:pPr>
        <w:widowControl/>
        <w:ind w:left="1080"/>
        <w:rPr>
          <w:color w:val="000000"/>
          <w:sz w:val="24"/>
        </w:rPr>
      </w:pPr>
      <w:r w:rsidRPr="74DB0542">
        <w:rPr>
          <w:color w:val="000000"/>
          <w:sz w:val="24"/>
        </w:rPr>
        <w:t xml:space="preserve">All data are encrypted in motion.  All tapes sent offsite are encrypted.  </w:t>
      </w:r>
    </w:p>
    <w:p w:rsidRPr="00AF734F" w:rsidR="00E12355" w:rsidP="00E12355" w:rsidRDefault="00E12355" w14:paraId="631BEF9C" w14:textId="77777777">
      <w:pPr>
        <w:widowControl/>
        <w:ind w:left="1080"/>
        <w:rPr>
          <w:color w:val="000000"/>
          <w:sz w:val="24"/>
          <w:u w:val="single"/>
        </w:rPr>
      </w:pPr>
    </w:p>
    <w:p w:rsidRPr="00990525" w:rsidR="00E12355" w:rsidRDefault="00E12355" w14:paraId="41C40C63" w14:textId="77777777">
      <w:pPr>
        <w:widowControl/>
        <w:numPr>
          <w:ilvl w:val="0"/>
          <w:numId w:val="4"/>
        </w:numPr>
        <w:rPr>
          <w:color w:val="000000"/>
          <w:sz w:val="24"/>
          <w:u w:val="single"/>
        </w:rPr>
      </w:pPr>
      <w:r w:rsidRPr="74DB0542">
        <w:rPr>
          <w:color w:val="000000"/>
          <w:sz w:val="24"/>
          <w:u w:val="single"/>
        </w:rPr>
        <w:t>Disaster Recovery</w:t>
      </w:r>
    </w:p>
    <w:p w:rsidRPr="00990525" w:rsidR="00E12355" w:rsidRDefault="00E12355" w14:paraId="191C0E34" w14:textId="32090EEF">
      <w:pPr>
        <w:widowControl/>
        <w:ind w:left="1080"/>
        <w:rPr>
          <w:color w:val="000000"/>
          <w:sz w:val="24"/>
        </w:rPr>
      </w:pPr>
      <w:r w:rsidRPr="74DB0542">
        <w:rPr>
          <w:color w:val="000000"/>
          <w:sz w:val="24"/>
        </w:rPr>
        <w:t>The contractor maintains a</w:t>
      </w:r>
      <w:r w:rsidR="006D3FDC">
        <w:rPr>
          <w:color w:val="000000"/>
          <w:sz w:val="24"/>
        </w:rPr>
        <w:t xml:space="preserve"> current</w:t>
      </w:r>
      <w:r w:rsidRPr="74DB0542">
        <w:rPr>
          <w:color w:val="000000"/>
          <w:sz w:val="24"/>
        </w:rPr>
        <w:t xml:space="preserve"> Continuity of Operations Plan (COOP), which contains emergency operations, backup operations, and recovery plans to ensure continuous operation of the </w:t>
      </w:r>
      <w:r w:rsidR="006D3FDC">
        <w:rPr>
          <w:color w:val="000000"/>
          <w:sz w:val="24"/>
        </w:rPr>
        <w:t>'</w:t>
      </w:r>
      <w:r w:rsidRPr="74DB0542" w:rsidR="006D3FDC">
        <w:rPr>
          <w:color w:val="000000"/>
          <w:sz w:val="24"/>
        </w:rPr>
        <w:t>system</w:t>
      </w:r>
      <w:r w:rsidR="006D3FDC">
        <w:rPr>
          <w:color w:val="000000"/>
          <w:sz w:val="24"/>
        </w:rPr>
        <w:t>'</w:t>
      </w:r>
      <w:r w:rsidRPr="74DB0542" w:rsidR="006D3FDC">
        <w:rPr>
          <w:color w:val="000000"/>
          <w:sz w:val="24"/>
        </w:rPr>
        <w:t xml:space="preserve">s </w:t>
      </w:r>
      <w:r w:rsidRPr="74DB0542">
        <w:rPr>
          <w:color w:val="000000"/>
          <w:sz w:val="24"/>
        </w:rPr>
        <w:t>facility.  T</w:t>
      </w:r>
      <w:r w:rsidR="006D3FDC">
        <w:rPr>
          <w:color w:val="000000"/>
          <w:sz w:val="24"/>
        </w:rPr>
        <w:t>he t</w:t>
      </w:r>
      <w:r w:rsidRPr="74DB0542">
        <w:rPr>
          <w:color w:val="000000"/>
          <w:sz w:val="24"/>
        </w:rPr>
        <w:t>esting of this system occurs every other week.  The contractor uses a third-party co-location site for its COOP.</w:t>
      </w:r>
    </w:p>
    <w:p w:rsidR="002800C4" w:rsidP="00144DE2" w:rsidRDefault="002800C4" w14:paraId="0F07AFF9" w14:textId="54A6A621">
      <w:pPr>
        <w:widowControl/>
        <w:rPr>
          <w:color w:val="000000"/>
          <w:sz w:val="24"/>
        </w:rPr>
      </w:pPr>
    </w:p>
    <w:p w:rsidRPr="00990525" w:rsidR="002800C4" w:rsidRDefault="002800C4" w14:paraId="184018DB" w14:textId="48F6DB4F">
      <w:pPr>
        <w:widowControl/>
        <w:rPr>
          <w:color w:val="000000"/>
          <w:sz w:val="24"/>
        </w:rPr>
      </w:pPr>
      <w:r w:rsidRPr="74DB0542">
        <w:rPr>
          <w:color w:val="000000"/>
          <w:sz w:val="24"/>
        </w:rPr>
        <w:t xml:space="preserve">Application materials are also reviewed by OPTN Membership and Professional Standards Committee (MPSC) members, who are volunteer transplant professionals from the transplant community. </w:t>
      </w:r>
      <w:r w:rsidR="00990525">
        <w:rPr>
          <w:color w:val="000000"/>
          <w:sz w:val="24"/>
        </w:rPr>
        <w:t xml:space="preserve"> </w:t>
      </w:r>
      <w:r w:rsidRPr="74DB0542">
        <w:rPr>
          <w:color w:val="000000"/>
          <w:sz w:val="24"/>
        </w:rPr>
        <w:t>The MPSC members sign confidentiality agreements, and the applications are reviewed under peer review and are subject to applicable peer review protections and laws.</w:t>
      </w:r>
    </w:p>
    <w:p w:rsidRPr="00990525" w:rsidR="00E12355" w:rsidP="00990525" w:rsidRDefault="00E12355" w14:paraId="6459AB5E" w14:textId="77777777">
      <w:pPr>
        <w:numPr>
          <w:ilvl w:val="0"/>
          <w:numId w:val="1"/>
        </w:numPr>
        <w:spacing w:before="240"/>
        <w:rPr>
          <w:b/>
          <w:bCs/>
          <w:sz w:val="24"/>
        </w:rPr>
      </w:pPr>
      <w:r w:rsidRPr="00990525">
        <w:rPr>
          <w:b/>
          <w:bCs/>
          <w:sz w:val="24"/>
          <w:u w:val="single"/>
        </w:rPr>
        <w:t>Justification for Sensitive Questions</w:t>
      </w:r>
    </w:p>
    <w:p w:rsidRPr="00990525" w:rsidR="00E12355" w:rsidRDefault="00E12355" w14:paraId="5F10241E" w14:textId="2F6A3DA1">
      <w:pPr>
        <w:widowControl/>
        <w:ind w:left="360"/>
        <w:rPr>
          <w:color w:val="000000"/>
          <w:sz w:val="24"/>
        </w:rPr>
      </w:pPr>
      <w:r w:rsidRPr="74DB0542">
        <w:rPr>
          <w:color w:val="000000"/>
          <w:sz w:val="24"/>
        </w:rPr>
        <w:t xml:space="preserve">Questions of a sensitive nature </w:t>
      </w:r>
      <w:r w:rsidRPr="74DB0542" w:rsidR="00C343E0">
        <w:rPr>
          <w:color w:val="000000"/>
          <w:sz w:val="24"/>
        </w:rPr>
        <w:t xml:space="preserve">that </w:t>
      </w:r>
      <w:r w:rsidRPr="74DB0542">
        <w:rPr>
          <w:color w:val="000000"/>
          <w:sz w:val="24"/>
        </w:rPr>
        <w:t xml:space="preserve">may exist involving membership application materials are generally related to personnel moving between transplant programs or concern regarding </w:t>
      </w:r>
      <w:r w:rsidRPr="74DB0542">
        <w:rPr>
          <w:color w:val="000000"/>
          <w:sz w:val="24"/>
        </w:rPr>
        <w:lastRenderedPageBreak/>
        <w:t xml:space="preserve">potential competition for transplant business within regions. </w:t>
      </w:r>
      <w:r w:rsidR="00990525">
        <w:rPr>
          <w:color w:val="000000"/>
          <w:sz w:val="24"/>
        </w:rPr>
        <w:t xml:space="preserve"> </w:t>
      </w:r>
      <w:r w:rsidRPr="74DB0542">
        <w:rPr>
          <w:color w:val="000000"/>
          <w:sz w:val="24"/>
        </w:rPr>
        <w:t>All membership information is handled with care</w:t>
      </w:r>
      <w:r w:rsidR="006D3FDC">
        <w:rPr>
          <w:color w:val="000000"/>
          <w:sz w:val="24"/>
        </w:rPr>
        <w:t>,</w:t>
      </w:r>
      <w:r w:rsidRPr="74DB0542">
        <w:rPr>
          <w:color w:val="000000"/>
          <w:sz w:val="24"/>
        </w:rPr>
        <w:t xml:space="preserve"> and attention is given to the need for confidentiality. </w:t>
      </w:r>
      <w:r w:rsidR="00990525">
        <w:rPr>
          <w:color w:val="000000"/>
          <w:sz w:val="24"/>
        </w:rPr>
        <w:t xml:space="preserve"> </w:t>
      </w:r>
      <w:r w:rsidRPr="74DB0542">
        <w:rPr>
          <w:color w:val="000000"/>
          <w:sz w:val="24"/>
        </w:rPr>
        <w:t xml:space="preserve">All staff and reviewing parties exposed </w:t>
      </w:r>
      <w:r w:rsidRPr="74DB0542" w:rsidR="002800C4">
        <w:rPr>
          <w:color w:val="000000"/>
          <w:sz w:val="24"/>
        </w:rPr>
        <w:t xml:space="preserve">to </w:t>
      </w:r>
      <w:r w:rsidRPr="74DB0542">
        <w:rPr>
          <w:color w:val="000000"/>
          <w:sz w:val="24"/>
        </w:rPr>
        <w:t>application related information sign confidentiality agreements and will receive training on keeping privileged information confidential.</w:t>
      </w:r>
    </w:p>
    <w:p w:rsidRPr="00990525" w:rsidR="00E12355" w:rsidP="00990525" w:rsidRDefault="00E12355" w14:paraId="09466D1E" w14:textId="77777777">
      <w:pPr>
        <w:numPr>
          <w:ilvl w:val="0"/>
          <w:numId w:val="1"/>
        </w:numPr>
        <w:spacing w:before="240"/>
        <w:rPr>
          <w:sz w:val="24"/>
        </w:rPr>
      </w:pPr>
      <w:r w:rsidRPr="00990525">
        <w:rPr>
          <w:b/>
          <w:bCs/>
          <w:sz w:val="24"/>
          <w:u w:val="single"/>
        </w:rPr>
        <w:t xml:space="preserve">Estimates of Annualized Hour and Cost Burden  </w:t>
      </w:r>
    </w:p>
    <w:p w:rsidRPr="00990525" w:rsidR="00E12355" w:rsidP="00990525" w:rsidRDefault="00E12355" w14:paraId="6DD4BFAF" w14:textId="77777777">
      <w:pPr>
        <w:spacing w:before="120"/>
        <w:ind w:left="360"/>
        <w:rPr>
          <w:sz w:val="24"/>
        </w:rPr>
      </w:pPr>
      <w:r w:rsidRPr="00990525">
        <w:rPr>
          <w:b/>
          <w:bCs/>
          <w:sz w:val="24"/>
        </w:rPr>
        <w:t>12A.</w:t>
      </w:r>
      <w:r w:rsidRPr="74DB0542">
        <w:rPr>
          <w:sz w:val="24"/>
        </w:rPr>
        <w:t xml:space="preserve"> </w:t>
      </w:r>
      <w:r w:rsidRPr="00990525">
        <w:rPr>
          <w:b/>
          <w:bCs/>
          <w:sz w:val="24"/>
        </w:rPr>
        <w:t>Estimated Annualized Burden Hours</w:t>
      </w:r>
      <w:r w:rsidRPr="74DB0542">
        <w:rPr>
          <w:sz w:val="24"/>
        </w:rPr>
        <w:t xml:space="preserve"> </w:t>
      </w:r>
    </w:p>
    <w:tbl>
      <w:tblPr>
        <w:tblW w:w="10880" w:type="dxa"/>
        <w:jc w:val="center"/>
        <w:tblLayout w:type="fixed"/>
        <w:tblCellMar>
          <w:left w:w="97" w:type="dxa"/>
          <w:right w:w="97" w:type="dxa"/>
        </w:tblCellMar>
        <w:tblLook w:val="0000" w:firstRow="0" w:lastRow="0" w:firstColumn="0" w:lastColumn="0" w:noHBand="0" w:noVBand="0"/>
      </w:tblPr>
      <w:tblGrid>
        <w:gridCol w:w="1440"/>
        <w:gridCol w:w="2780"/>
        <w:gridCol w:w="1564"/>
        <w:gridCol w:w="1350"/>
        <w:gridCol w:w="1350"/>
        <w:gridCol w:w="1350"/>
        <w:gridCol w:w="1046"/>
      </w:tblGrid>
      <w:tr w:rsidRPr="00E4584D" w:rsidR="00662CEF" w:rsidTr="00662CEF" w14:paraId="5318B382" w14:textId="77777777">
        <w:trPr>
          <w:trHeight w:val="1030"/>
          <w:tblHeader/>
          <w:jc w:val="center"/>
        </w:trPr>
        <w:tc>
          <w:tcPr>
            <w:tcW w:w="1440" w:type="dxa"/>
            <w:tcBorders>
              <w:top w:val="single" w:color="auto" w:sz="2" w:space="0"/>
              <w:left w:val="single" w:color="auto" w:sz="2" w:space="0"/>
              <w:bottom w:val="single" w:color="auto" w:sz="2" w:space="0"/>
              <w:right w:val="single" w:color="auto" w:sz="2" w:space="0"/>
            </w:tcBorders>
            <w:vAlign w:val="bottom"/>
          </w:tcPr>
          <w:p w:rsidRPr="00E4584D" w:rsidR="00662CEF" w:rsidP="00662CEF" w:rsidRDefault="00662CEF" w14:paraId="720C5223" w14:textId="09FC3E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0"/>
              </w:rPr>
            </w:pPr>
            <w:r w:rsidRPr="00990525">
              <w:t>Type of Respondent</w:t>
            </w:r>
          </w:p>
        </w:tc>
        <w:tc>
          <w:tcPr>
            <w:tcW w:w="2780" w:type="dxa"/>
            <w:tcBorders>
              <w:top w:val="single" w:color="auto" w:sz="2" w:space="0"/>
              <w:left w:val="single" w:color="auto" w:sz="2" w:space="0"/>
              <w:bottom w:val="single" w:color="auto" w:sz="2" w:space="0"/>
              <w:right w:val="single" w:color="auto" w:sz="2" w:space="0"/>
            </w:tcBorders>
            <w:vAlign w:val="bottom"/>
          </w:tcPr>
          <w:p w:rsidRPr="00E4584D" w:rsidR="00662CEF" w:rsidP="00662CEF" w:rsidRDefault="00662CEF" w14:paraId="76EE18A3" w14:textId="1E20F9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0"/>
              </w:rPr>
            </w:pPr>
            <w:r w:rsidRPr="00990525">
              <w:t>Form Name</w:t>
            </w:r>
          </w:p>
        </w:tc>
        <w:tc>
          <w:tcPr>
            <w:tcW w:w="1564" w:type="dxa"/>
            <w:tcBorders>
              <w:top w:val="single" w:color="auto" w:sz="2" w:space="0"/>
              <w:left w:val="single" w:color="auto" w:sz="2" w:space="0"/>
              <w:bottom w:val="single" w:color="auto" w:sz="2" w:space="0"/>
              <w:right w:val="single" w:color="auto" w:sz="2" w:space="0"/>
            </w:tcBorders>
            <w:vAlign w:val="bottom"/>
          </w:tcPr>
          <w:p w:rsidRPr="00E4584D" w:rsidR="00662CEF" w:rsidP="00662CEF" w:rsidRDefault="00662CEF" w14:paraId="27340CB1" w14:textId="595E0FD2">
            <w:pPr>
              <w:widowControl/>
              <w:jc w:val="center"/>
              <w:rPr>
                <w:szCs w:val="20"/>
              </w:rPr>
            </w:pPr>
            <w:r w:rsidRPr="00990525">
              <w:t>Number of Respondents</w:t>
            </w:r>
          </w:p>
        </w:tc>
        <w:tc>
          <w:tcPr>
            <w:tcW w:w="1350" w:type="dxa"/>
            <w:tcBorders>
              <w:top w:val="single" w:color="auto" w:sz="2" w:space="0"/>
              <w:left w:val="single" w:color="auto" w:sz="2" w:space="0"/>
              <w:bottom w:val="single" w:color="auto" w:sz="2" w:space="0"/>
              <w:right w:val="single" w:color="auto" w:sz="2" w:space="0"/>
            </w:tcBorders>
            <w:vAlign w:val="bottom"/>
          </w:tcPr>
          <w:p w:rsidRPr="00E4584D" w:rsidR="00662CEF" w:rsidP="00662CEF" w:rsidRDefault="00662CEF" w14:paraId="12D7B64C" w14:textId="77777777">
            <w:pPr>
              <w:widowControl/>
              <w:jc w:val="center"/>
              <w:rPr>
                <w:szCs w:val="20"/>
              </w:rPr>
            </w:pPr>
          </w:p>
          <w:p w:rsidRPr="00E4584D" w:rsidR="00662CEF" w:rsidP="00662CEF" w:rsidRDefault="00662CEF" w14:paraId="78794CD6" w14:textId="691157B1">
            <w:pPr>
              <w:widowControl/>
              <w:jc w:val="center"/>
              <w:rPr>
                <w:szCs w:val="20"/>
              </w:rPr>
            </w:pPr>
            <w:r w:rsidRPr="00990525">
              <w:t>Number of Responses per Respondent</w:t>
            </w:r>
          </w:p>
        </w:tc>
        <w:tc>
          <w:tcPr>
            <w:tcW w:w="1350" w:type="dxa"/>
            <w:tcBorders>
              <w:top w:val="single" w:color="auto" w:sz="2" w:space="0"/>
              <w:left w:val="single" w:color="auto" w:sz="2" w:space="0"/>
              <w:bottom w:val="single" w:color="auto" w:sz="2" w:space="0"/>
              <w:right w:val="single" w:color="auto" w:sz="2" w:space="0"/>
            </w:tcBorders>
            <w:vAlign w:val="bottom"/>
          </w:tcPr>
          <w:p w:rsidRPr="00990525" w:rsidR="00662CEF" w:rsidP="00662CEF" w:rsidRDefault="00662CEF" w14:paraId="67765309" w14:textId="659A5827">
            <w:pPr>
              <w:widowControl/>
              <w:jc w:val="center"/>
            </w:pPr>
            <w:r>
              <w:t>Total Number of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E4584D" w:rsidR="00662CEF" w:rsidP="00662CEF" w:rsidRDefault="00662CEF" w14:paraId="20D599AC" w14:textId="17CB25D0">
            <w:pPr>
              <w:widowControl/>
              <w:jc w:val="center"/>
              <w:rPr>
                <w:szCs w:val="20"/>
              </w:rPr>
            </w:pPr>
            <w:r w:rsidRPr="00990525">
              <w:t>Average Burden per Response (in hours)</w:t>
            </w:r>
          </w:p>
        </w:tc>
        <w:tc>
          <w:tcPr>
            <w:tcW w:w="1046" w:type="dxa"/>
            <w:tcBorders>
              <w:top w:val="single" w:color="auto" w:sz="2" w:space="0"/>
              <w:left w:val="single" w:color="auto" w:sz="2" w:space="0"/>
              <w:bottom w:val="single" w:color="auto" w:sz="2" w:space="0"/>
              <w:right w:val="single" w:color="auto" w:sz="2" w:space="0"/>
            </w:tcBorders>
            <w:vAlign w:val="bottom"/>
          </w:tcPr>
          <w:p w:rsidRPr="00E4584D" w:rsidR="00662CEF" w:rsidP="00662CEF" w:rsidRDefault="00662CEF" w14:paraId="3D752BA8" w14:textId="77777777">
            <w:pPr>
              <w:widowControl/>
              <w:jc w:val="center"/>
              <w:rPr>
                <w:szCs w:val="20"/>
              </w:rPr>
            </w:pPr>
            <w:r w:rsidRPr="00990525">
              <w:t>Total Burden Hours</w:t>
            </w:r>
          </w:p>
        </w:tc>
      </w:tr>
      <w:tr w:rsidRPr="00E4584D" w:rsidR="00662CEF" w:rsidTr="00662CEF" w14:paraId="0BD0D93F"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741640E9" w14:textId="756E9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857B1B" w:rsidR="00662CEF" w:rsidP="74DB0542" w:rsidRDefault="00662CEF" w14:paraId="6F817D74" w14:textId="27166C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OPTN Membership</w:t>
            </w:r>
          </w:p>
          <w:p w:rsidRPr="00857B1B" w:rsidR="00662CEF" w:rsidP="74DB0542" w:rsidRDefault="00662CEF" w14:paraId="5F02F38B" w14:textId="25C3EE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Application for Transplant</w:t>
            </w:r>
          </w:p>
          <w:p w:rsidRPr="00E4584D" w:rsidR="00662CEF" w:rsidP="74DB0542" w:rsidRDefault="00662CEF" w14:paraId="3A4CB5EF" w14:textId="0F45F2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Hospitals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BEC6FC9" w14:textId="5B2D9E50">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8894352" w14:textId="4B5605BC">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0F47525B" w14:textId="70E47141">
            <w:pPr>
              <w:widowControl/>
              <w:jc w:val="right"/>
            </w:pPr>
            <w:r>
              <w:t>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06B6112" w14:textId="415C5C22">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277DFC8" w14:textId="41062A9B">
            <w:pPr>
              <w:widowControl/>
              <w:jc w:val="right"/>
              <w:rPr>
                <w:szCs w:val="20"/>
              </w:rPr>
            </w:pPr>
            <w:r w:rsidRPr="00990525">
              <w:t>6</w:t>
            </w:r>
          </w:p>
        </w:tc>
      </w:tr>
      <w:tr w:rsidRPr="00E4584D" w:rsidR="00662CEF" w:rsidTr="00662CEF" w14:paraId="6CD0132F" w14:textId="77777777">
        <w:trPr>
          <w:trHeight w:val="895"/>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6AFB394C" w14:textId="3BC4FE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8EC9F20" w14:textId="4CEB3E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Certificate of Assessment and Program Coverage Plan Membership Application</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8A14938" w14:textId="40EAB27C">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E82C4D4" w14:textId="4C3D7DFA">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3181539F" w14:textId="60A3F181">
            <w:pPr>
              <w:widowControl/>
              <w:jc w:val="right"/>
            </w:pPr>
            <w:r>
              <w:t>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9B7995F" w14:textId="3E2F23E8">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383A7FC" w14:textId="699D3B2F">
            <w:pPr>
              <w:widowControl/>
              <w:jc w:val="right"/>
              <w:rPr>
                <w:szCs w:val="20"/>
              </w:rPr>
            </w:pPr>
            <w:r w:rsidRPr="00990525">
              <w:t>6</w:t>
            </w:r>
          </w:p>
        </w:tc>
      </w:tr>
      <w:tr w:rsidRPr="00E4584D" w:rsidR="00662CEF" w:rsidTr="00662CEF" w14:paraId="2FE17E3B"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06ADCC2" w14:textId="0F7654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2461CB3C" w14:textId="161E01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Kidney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6BE8D92" w14:textId="0907A0E5">
            <w:pPr>
              <w:widowControl/>
              <w:jc w:val="right"/>
              <w:rPr>
                <w:szCs w:val="20"/>
              </w:rPr>
            </w:pPr>
            <w:r w:rsidRPr="00990525">
              <w:t>189</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749EC88" w14:textId="4950C3CA">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2FD8FF67" w14:textId="0EB36C96">
            <w:pPr>
              <w:widowControl/>
              <w:jc w:val="right"/>
            </w:pPr>
            <w:r>
              <w:t>378</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ADC9C40" w14:textId="4971DA85">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C63131F" w14:textId="4EE962BF">
            <w:pPr>
              <w:widowControl/>
              <w:jc w:val="right"/>
              <w:rPr>
                <w:szCs w:val="20"/>
              </w:rPr>
            </w:pPr>
            <w:r w:rsidRPr="00990525">
              <w:t>1,134</w:t>
            </w:r>
          </w:p>
        </w:tc>
      </w:tr>
      <w:tr w:rsidRPr="00E4584D" w:rsidR="00662CEF" w:rsidTr="00662CEF" w14:paraId="3F53FF99"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BA92FE4" w14:textId="498EB5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5109D54A" w14:textId="00A44B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Liver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14854F3" w14:textId="15807E92">
            <w:pPr>
              <w:widowControl/>
              <w:jc w:val="right"/>
              <w:rPr>
                <w:szCs w:val="20"/>
              </w:rPr>
            </w:pPr>
            <w:r w:rsidRPr="00990525">
              <w:t>110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EEF9251"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2AF972A1" w14:textId="3340E74F">
            <w:pPr>
              <w:widowControl/>
              <w:jc w:val="right"/>
            </w:pPr>
            <w:r>
              <w:t>220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1BBE065" w14:textId="32CAD927">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F9C6ED0" w14:textId="6FCE3740">
            <w:pPr>
              <w:widowControl/>
              <w:jc w:val="right"/>
              <w:rPr>
                <w:szCs w:val="20"/>
              </w:rPr>
            </w:pPr>
            <w:r w:rsidRPr="00990525">
              <w:t>660</w:t>
            </w:r>
          </w:p>
        </w:tc>
      </w:tr>
      <w:tr w:rsidRPr="00E4584D" w:rsidR="00662CEF" w:rsidTr="00662CEF" w14:paraId="55685D15"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FF55683" w14:textId="02D68B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43A0259F" w14:textId="22F7C8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Membership Application for Pancreas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1D027F7" w14:textId="6137CDBC">
            <w:pPr>
              <w:widowControl/>
              <w:jc w:val="right"/>
              <w:rPr>
                <w:szCs w:val="20"/>
              </w:rPr>
            </w:pPr>
            <w:r w:rsidRPr="00990525">
              <w:t>120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99A1B73"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6619852F" w14:textId="1471FBC6">
            <w:pPr>
              <w:widowControl/>
              <w:jc w:val="right"/>
            </w:pPr>
            <w:r>
              <w:t>240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45A2DD3" w14:textId="3EAF4C93">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29CD372" w14:textId="4CEF3E00">
            <w:pPr>
              <w:widowControl/>
              <w:jc w:val="right"/>
              <w:rPr>
                <w:szCs w:val="20"/>
              </w:rPr>
            </w:pPr>
            <w:r w:rsidRPr="00990525">
              <w:t>720</w:t>
            </w:r>
          </w:p>
        </w:tc>
      </w:tr>
      <w:tr w:rsidRPr="00E4584D" w:rsidR="00662CEF" w:rsidTr="00662CEF" w14:paraId="58BF76E9"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25CCB65D" w14:textId="7BABF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4F81FF56" w14:textId="0AC0C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Membership Application for Heart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92D6075" w14:textId="2084D95C">
            <w:pPr>
              <w:widowControl/>
              <w:jc w:val="right"/>
              <w:rPr>
                <w:szCs w:val="20"/>
              </w:rPr>
            </w:pPr>
            <w:r w:rsidRPr="00990525">
              <w:t>142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CDA36A7"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21B880F7" w14:textId="29EB0052">
            <w:pPr>
              <w:widowControl/>
              <w:jc w:val="right"/>
            </w:pPr>
            <w:r>
              <w:t>284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4ED152C" w14:textId="7C17377C">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652276E" w14:textId="56FBAA1F">
            <w:pPr>
              <w:widowControl/>
              <w:jc w:val="right"/>
              <w:rPr>
                <w:szCs w:val="20"/>
              </w:rPr>
            </w:pPr>
            <w:r w:rsidRPr="00990525">
              <w:t>852</w:t>
            </w:r>
          </w:p>
        </w:tc>
      </w:tr>
      <w:tr w:rsidRPr="00E4584D" w:rsidR="00662CEF" w:rsidTr="00662CEF" w14:paraId="3A15F3B0"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078F79A5" w14:textId="0E5AC4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23EC6D44" w14:textId="1DC661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Membership Application for Lung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0288CD7" w14:textId="4620F076">
            <w:pPr>
              <w:widowControl/>
              <w:jc w:val="right"/>
              <w:rPr>
                <w:szCs w:val="20"/>
              </w:rPr>
            </w:pPr>
            <w:r w:rsidRPr="00990525">
              <w:t>60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EAFE45A"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11E38D4D" w14:textId="311C4F8F">
            <w:pPr>
              <w:widowControl/>
              <w:jc w:val="right"/>
            </w:pPr>
            <w:r>
              <w:t>120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EFB1807" w14:textId="3E385361">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1D59730" w14:textId="5D156B98">
            <w:pPr>
              <w:widowControl/>
              <w:jc w:val="right"/>
              <w:rPr>
                <w:szCs w:val="20"/>
              </w:rPr>
            </w:pPr>
            <w:r w:rsidRPr="00990525">
              <w:t>360</w:t>
            </w:r>
          </w:p>
        </w:tc>
      </w:tr>
      <w:tr w:rsidRPr="00E4584D" w:rsidR="00662CEF" w:rsidTr="00662CEF" w14:paraId="0786E672"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2AE3DD44" w14:textId="4B2256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03634749" w14:textId="754BDB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Membership Application for Islet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12B276B7" w14:textId="4526F0E1">
            <w:pPr>
              <w:widowControl/>
              <w:jc w:val="right"/>
              <w:rPr>
                <w:szCs w:val="20"/>
              </w:rPr>
            </w:pPr>
            <w:r w:rsidRPr="00990525">
              <w:t>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38110FC"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4D2C83E0" w14:textId="6A4496BD">
            <w:pPr>
              <w:widowControl/>
              <w:jc w:val="right"/>
            </w:pPr>
            <w:r>
              <w:t>8</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E41E377" w14:textId="61B08D60">
            <w:pPr>
              <w:widowControl/>
              <w:jc w:val="right"/>
              <w:rPr>
                <w:szCs w:val="20"/>
              </w:rPr>
            </w:pPr>
            <w:r w:rsidRPr="00990525">
              <w:t>2</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0C02CE4" w14:textId="3077195E">
            <w:pPr>
              <w:widowControl/>
              <w:jc w:val="right"/>
              <w:rPr>
                <w:szCs w:val="20"/>
              </w:rPr>
            </w:pPr>
            <w:r w:rsidRPr="00990525">
              <w:t>16</w:t>
            </w:r>
          </w:p>
        </w:tc>
      </w:tr>
      <w:tr w:rsidRPr="00E4584D" w:rsidR="00662CEF" w:rsidTr="00662CEF" w14:paraId="44578DEC"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260E2431" w14:textId="7F57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5D435F0E" w14:textId="6CFF5E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Vascularized Composite Allograft (VCA)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CA28C66" w14:textId="388C281D">
            <w:pPr>
              <w:widowControl/>
              <w:jc w:val="right"/>
              <w:rPr>
                <w:szCs w:val="20"/>
              </w:rPr>
            </w:pPr>
            <w:r w:rsidRPr="00990525">
              <w:t>53</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2F12FFA"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112A41E5" w14:textId="2C1A90C3">
            <w:pPr>
              <w:widowControl/>
              <w:jc w:val="right"/>
            </w:pPr>
            <w:r>
              <w:t>106</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D456DCD" w14:textId="3FCC06B6">
            <w:pPr>
              <w:widowControl/>
              <w:jc w:val="right"/>
              <w:rPr>
                <w:szCs w:val="20"/>
              </w:rPr>
            </w:pPr>
            <w:r w:rsidRPr="00990525">
              <w:t>2</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B923DBE" w14:textId="2D19372A">
            <w:pPr>
              <w:widowControl/>
              <w:jc w:val="right"/>
              <w:rPr>
                <w:szCs w:val="20"/>
              </w:rPr>
            </w:pPr>
            <w:r w:rsidRPr="00990525">
              <w:t>212</w:t>
            </w:r>
          </w:p>
        </w:tc>
      </w:tr>
      <w:tr w:rsidRPr="00E4584D" w:rsidR="00662CEF" w:rsidTr="00662CEF" w14:paraId="7EDCE29C"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950C83A" w14:textId="4C2F49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6DEC5FC9" w14:textId="5AD363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Intestine Transplant Programs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023A60C" w14:textId="48EDEB3E">
            <w:pPr>
              <w:widowControl/>
              <w:jc w:val="right"/>
              <w:rPr>
                <w:szCs w:val="20"/>
              </w:rPr>
            </w:pPr>
            <w:r w:rsidRPr="00990525">
              <w:t>90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12A5CFF0"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241C0AD8" w14:textId="09B1B222">
            <w:pPr>
              <w:widowControl/>
              <w:jc w:val="right"/>
            </w:pPr>
            <w:r>
              <w:t>180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357BCD6" w14:textId="1D2EB680">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7F43688" w14:textId="53516FF0">
            <w:pPr>
              <w:widowControl/>
              <w:jc w:val="right"/>
              <w:rPr>
                <w:szCs w:val="20"/>
              </w:rPr>
            </w:pPr>
            <w:r w:rsidRPr="00990525">
              <w:t>540</w:t>
            </w:r>
          </w:p>
        </w:tc>
      </w:tr>
      <w:tr w:rsidRPr="00E4584D" w:rsidR="00662CEF" w:rsidTr="00662CEF" w14:paraId="31D61539"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43AAF51E" w14:textId="5C7C6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OPO Director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6B2A771E" w14:textId="5AD254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cyan"/>
              </w:rPr>
            </w:pPr>
            <w:r w:rsidRPr="007C4999">
              <w:t>OPTN Membership Application for Organ Procurement Organizations (OPOs)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728A1BF" w14:textId="6EBE4E16">
            <w:pPr>
              <w:widowControl/>
              <w:jc w:val="right"/>
              <w:rPr>
                <w:szCs w:val="20"/>
              </w:rPr>
            </w:pPr>
            <w:r w:rsidRPr="00990525">
              <w:t>10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CD2134C" w14:textId="7D73BFDE">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2F34144F" w14:textId="2C653840">
            <w:pPr>
              <w:widowControl/>
              <w:jc w:val="right"/>
            </w:pPr>
            <w:r>
              <w:t>10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3762FFE" w14:textId="62D8B8BD">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81BE969" w14:textId="1B4DA4E5">
            <w:pPr>
              <w:widowControl/>
              <w:jc w:val="right"/>
              <w:rPr>
                <w:szCs w:val="20"/>
              </w:rPr>
            </w:pPr>
            <w:r w:rsidRPr="00990525">
              <w:t>30</w:t>
            </w:r>
          </w:p>
        </w:tc>
      </w:tr>
      <w:tr w:rsidRPr="00E4584D" w:rsidR="00662CEF" w:rsidTr="00662CEF" w14:paraId="29C77E68"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285665AD" w14:textId="6F2605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Lab Director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7CF8E865" w14:textId="22EF70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Membership Application for Histocompatibility Laboratories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3F86FD6" w14:textId="23A1AFAF">
            <w:pPr>
              <w:widowControl/>
              <w:jc w:val="right"/>
              <w:rPr>
                <w:szCs w:val="20"/>
              </w:rPr>
            </w:pPr>
            <w:r w:rsidRPr="00990525">
              <w:t>27</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1CE75C68" w14:textId="77777777">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0C87DC4F" w14:textId="1FFAB6A4">
            <w:pPr>
              <w:widowControl/>
              <w:jc w:val="right"/>
            </w:pPr>
            <w:r>
              <w:t>54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C3F3137" w14:textId="7BFBF8E1">
            <w:pPr>
              <w:widowControl/>
              <w:jc w:val="right"/>
              <w:rPr>
                <w:szCs w:val="20"/>
              </w:rPr>
            </w:pPr>
            <w:r w:rsidRPr="00990525">
              <w:t>3</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F4FF71A" w14:textId="6DE9ACA6">
            <w:pPr>
              <w:widowControl/>
              <w:jc w:val="right"/>
              <w:rPr>
                <w:szCs w:val="20"/>
              </w:rPr>
            </w:pPr>
            <w:r w:rsidRPr="00990525">
              <w:t>162</w:t>
            </w:r>
          </w:p>
        </w:tc>
      </w:tr>
      <w:tr w:rsidRPr="00E4584D" w:rsidR="00662CEF" w:rsidTr="00662CEF" w14:paraId="1A02A34B"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0713431E" w14:textId="177227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lastRenderedPageBreak/>
              <w:t>Organization Director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4353352D" w14:textId="66B687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Representative Form</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A2BE22D" w14:textId="6ACBF32D">
            <w:pPr>
              <w:widowControl/>
              <w:jc w:val="right"/>
              <w:rPr>
                <w:szCs w:val="20"/>
              </w:rPr>
            </w:pPr>
            <w:r w:rsidRPr="00990525">
              <w:t>20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090C897" w14:textId="2014A3A5">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5E2CFE0E" w14:textId="6FE71B9A">
            <w:pPr>
              <w:widowControl/>
              <w:jc w:val="right"/>
            </w:pPr>
            <w:r>
              <w:t>40</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90B91DE" w14:textId="531B6CE2">
            <w:pPr>
              <w:widowControl/>
              <w:jc w:val="right"/>
              <w:rPr>
                <w:szCs w:val="20"/>
              </w:rPr>
            </w:pPr>
            <w:r w:rsidRPr="00990525">
              <w:t>1</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BE7E32A" w14:textId="725E2FD4">
            <w:pPr>
              <w:widowControl/>
              <w:jc w:val="right"/>
              <w:rPr>
                <w:szCs w:val="20"/>
              </w:rPr>
            </w:pPr>
            <w:r w:rsidRPr="00990525">
              <w:t>40</w:t>
            </w:r>
          </w:p>
        </w:tc>
      </w:tr>
      <w:tr w:rsidRPr="00E4584D" w:rsidR="00662CEF" w:rsidTr="00662CEF" w14:paraId="3E3E9F4B"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3F858EC2" w14:textId="29635F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bookmarkStart w:name="OLE_LINK1" w:id="0"/>
            <w:bookmarkStart w:name="OLE_LINK2" w:id="1"/>
            <w:r w:rsidRPr="00990525">
              <w:t>Organization Director or Designee</w:t>
            </w:r>
            <w:bookmarkEnd w:id="0"/>
            <w:bookmarkEnd w:id="1"/>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7D2E4701" w14:textId="58249B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Medical/Scientific Membership Application</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366E3A0" w14:textId="3D5AC5EC">
            <w:pPr>
              <w:widowControl/>
              <w:jc w:val="right"/>
              <w:rPr>
                <w:szCs w:val="20"/>
              </w:rPr>
            </w:pPr>
            <w:r w:rsidRPr="00990525">
              <w:t>7</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D37717A" w14:textId="69E96FFA">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5429D956" w14:textId="67F7D97F">
            <w:pPr>
              <w:widowControl/>
              <w:jc w:val="right"/>
            </w:pPr>
            <w:r>
              <w:t>7</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3433F7A" w14:textId="7F1B44C3">
            <w:pPr>
              <w:widowControl/>
              <w:jc w:val="right"/>
              <w:rPr>
                <w:szCs w:val="20"/>
              </w:rPr>
            </w:pPr>
            <w:r w:rsidRPr="00990525">
              <w:t>1</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5E71C89" w14:textId="2435C364">
            <w:pPr>
              <w:widowControl/>
              <w:jc w:val="right"/>
              <w:rPr>
                <w:szCs w:val="20"/>
              </w:rPr>
            </w:pPr>
            <w:r w:rsidRPr="00990525">
              <w:t>7</w:t>
            </w:r>
          </w:p>
        </w:tc>
      </w:tr>
      <w:tr w:rsidRPr="00E4584D" w:rsidR="00662CEF" w:rsidTr="00662CEF" w14:paraId="3ACCF8BF"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BC98939" w14:textId="46712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Organization Director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3FCE666D" w14:textId="7271DE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Public Organization Membership Application</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C3C3963" w14:textId="0EA30FB2">
            <w:pPr>
              <w:widowControl/>
              <w:jc w:val="right"/>
              <w:rPr>
                <w:szCs w:val="20"/>
              </w:rPr>
            </w:pPr>
            <w:r w:rsidRPr="00990525">
              <w:t>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D728A57" w14:textId="68F15D23">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269F0045" w14:textId="7B0DBE79">
            <w:pPr>
              <w:widowControl/>
              <w:jc w:val="right"/>
            </w:pPr>
            <w:r>
              <w:t>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49103D7" w14:textId="648392AE">
            <w:pPr>
              <w:widowControl/>
              <w:jc w:val="right"/>
              <w:rPr>
                <w:szCs w:val="20"/>
              </w:rPr>
            </w:pPr>
            <w:r w:rsidRPr="00990525">
              <w:t>1</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A4D1936" w14:textId="7C1D454C">
            <w:pPr>
              <w:widowControl/>
              <w:jc w:val="right"/>
              <w:rPr>
                <w:szCs w:val="20"/>
              </w:rPr>
            </w:pPr>
            <w:r w:rsidRPr="00990525">
              <w:t>4</w:t>
            </w:r>
          </w:p>
        </w:tc>
      </w:tr>
      <w:tr w:rsidRPr="00E4584D" w:rsidR="00662CEF" w:rsidTr="00662CEF" w14:paraId="29B7C8CE"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6F54DD39" w14:textId="2916B6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Organization Director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C1B6EC8" w14:textId="197A97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7C4999">
              <w:t>OPTN Business Membership Application</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375B2B0" w14:textId="15C9D952">
            <w:pPr>
              <w:widowControl/>
              <w:jc w:val="right"/>
              <w:rPr>
                <w:szCs w:val="20"/>
              </w:rPr>
            </w:pPr>
            <w:r w:rsidRPr="00990525">
              <w:t>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5550772" w14:textId="012A8928">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1490FFA3" w14:textId="001DFF89">
            <w:pPr>
              <w:widowControl/>
              <w:jc w:val="right"/>
            </w:pPr>
            <w:r>
              <w:t>2</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410B3313" w14:textId="3CDA0F7D">
            <w:pPr>
              <w:widowControl/>
              <w:jc w:val="right"/>
              <w:rPr>
                <w:szCs w:val="20"/>
              </w:rPr>
            </w:pPr>
            <w:r w:rsidRPr="00990525">
              <w:t>1</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5B34700" w14:textId="23FB7ACA">
            <w:pPr>
              <w:widowControl/>
              <w:jc w:val="right"/>
              <w:rPr>
                <w:szCs w:val="20"/>
              </w:rPr>
            </w:pPr>
            <w:r w:rsidRPr="00990525">
              <w:t>2</w:t>
            </w:r>
          </w:p>
        </w:tc>
      </w:tr>
      <w:tr w:rsidRPr="00E4584D" w:rsidR="00662CEF" w:rsidTr="00662CEF" w14:paraId="238CB699"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17F04754" w14:textId="1B267C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Organization Director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1F274034" w14:textId="176D8D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Individual Membership Application</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FD6CD21" w14:textId="1561D3B9">
            <w:pPr>
              <w:widowControl/>
              <w:jc w:val="right"/>
              <w:rPr>
                <w:szCs w:val="20"/>
              </w:rPr>
            </w:pPr>
            <w:r w:rsidRPr="00990525">
              <w:t>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2E883458" w14:textId="77777777">
            <w:pPr>
              <w:widowControl/>
              <w:jc w:val="right"/>
              <w:rPr>
                <w:szCs w:val="20"/>
              </w:rPr>
            </w:pPr>
            <w:r w:rsidRPr="00990525">
              <w:t>1</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6CE9B5B2" w14:textId="1314CAA2">
            <w:pPr>
              <w:widowControl/>
              <w:jc w:val="right"/>
            </w:pPr>
            <w:r>
              <w:t>4</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334C1B62" w14:textId="19ABBFCC">
            <w:pPr>
              <w:widowControl/>
              <w:jc w:val="right"/>
              <w:rPr>
                <w:szCs w:val="20"/>
              </w:rPr>
            </w:pPr>
            <w:r w:rsidRPr="00990525">
              <w:t>1</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9C34723" w14:textId="4F4E373B">
            <w:pPr>
              <w:widowControl/>
              <w:jc w:val="right"/>
              <w:rPr>
                <w:szCs w:val="20"/>
              </w:rPr>
            </w:pPr>
            <w:r w:rsidRPr="00990525">
              <w:t>4</w:t>
            </w:r>
          </w:p>
        </w:tc>
      </w:tr>
      <w:tr w:rsidRPr="00E4584D" w:rsidR="00662CEF" w:rsidTr="00662CEF" w14:paraId="5E491A08"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74DB0542" w:rsidRDefault="00662CEF" w14:paraId="5F1FB0DD" w14:textId="2B558A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90525">
              <w:t>Transplant administrator or designee</w:t>
            </w: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5B5CDEF7" w14:textId="656B6C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7C4999">
              <w:t>OPTN Membership Application Surgeon or Physician Log</w:t>
            </w:r>
            <w:r>
              <w:t>*</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14E2A3B7" w14:textId="681EC53F">
            <w:pPr>
              <w:widowControl/>
              <w:jc w:val="right"/>
              <w:rPr>
                <w:szCs w:val="20"/>
              </w:rPr>
            </w:pPr>
            <w:r w:rsidRPr="00990525">
              <w:t>-</w:t>
            </w: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5AF723B" w14:textId="7FFEC749">
            <w:pPr>
              <w:widowControl/>
              <w:jc w:val="right"/>
              <w:rPr>
                <w:szCs w:val="20"/>
              </w:rPr>
            </w:pPr>
            <w:r w:rsidRPr="00990525">
              <w:t>-</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662CEF" w:rsidRDefault="00662CEF" w14:paraId="72CD0B96" w14:textId="77777777">
            <w:pPr>
              <w:widowControl/>
              <w:jc w:val="right"/>
            </w:pPr>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059C4471" w14:textId="5CEC5D88">
            <w:pPr>
              <w:widowControl/>
              <w:jc w:val="right"/>
              <w:rPr>
                <w:szCs w:val="20"/>
              </w:rPr>
            </w:pPr>
            <w:r w:rsidRPr="00990525">
              <w:t>-</w:t>
            </w: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56FA6031" w14:textId="29D3B0FE">
            <w:pPr>
              <w:widowControl/>
              <w:jc w:val="right"/>
              <w:rPr>
                <w:szCs w:val="20"/>
              </w:rPr>
            </w:pPr>
            <w:r w:rsidRPr="00990525">
              <w:t>-</w:t>
            </w:r>
          </w:p>
        </w:tc>
      </w:tr>
      <w:tr w:rsidRPr="00E4584D" w:rsidR="00662CEF" w:rsidTr="00662CEF" w14:paraId="7D824D22" w14:textId="77777777">
        <w:trPr>
          <w:jc w:val="center"/>
        </w:trPr>
        <w:tc>
          <w:tcPr>
            <w:tcW w:w="1440" w:type="dxa"/>
            <w:tcBorders>
              <w:top w:val="single" w:color="auto" w:sz="2" w:space="0"/>
              <w:left w:val="single" w:color="auto" w:sz="2" w:space="0"/>
              <w:bottom w:val="single" w:color="auto" w:sz="2" w:space="0"/>
              <w:right w:val="single" w:color="auto" w:sz="2" w:space="0"/>
            </w:tcBorders>
            <w:vAlign w:val="center"/>
          </w:tcPr>
          <w:p w:rsidRPr="00E4584D" w:rsidR="00662CEF" w:rsidP="00E4584D" w:rsidRDefault="00662CEF" w14:paraId="3529057C" w14:textId="6B351F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tc>
        <w:tc>
          <w:tcPr>
            <w:tcW w:w="2780" w:type="dxa"/>
            <w:tcBorders>
              <w:top w:val="single" w:color="auto" w:sz="2" w:space="0"/>
              <w:left w:val="single" w:color="auto" w:sz="2" w:space="0"/>
              <w:bottom w:val="single" w:color="auto" w:sz="2" w:space="0"/>
              <w:right w:val="single" w:color="auto" w:sz="2" w:space="0"/>
            </w:tcBorders>
            <w:vAlign w:val="center"/>
          </w:tcPr>
          <w:p w:rsidRPr="00990525" w:rsidR="00662CEF" w:rsidRDefault="00662CEF" w14:paraId="357883C4" w14:textId="0C8227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990525">
              <w:rPr>
                <w:lang w:val="fr-FR"/>
              </w:rPr>
              <w:t>Total =</w:t>
            </w:r>
            <w:r w:rsidRPr="00990525">
              <w:rPr>
                <w:color w:val="FF0000"/>
                <w:lang w:val="fr-FR"/>
              </w:rPr>
              <w:t xml:space="preserve"> </w:t>
            </w:r>
            <w:r w:rsidRPr="00990525">
              <w:rPr>
                <w:color w:val="FF0000"/>
              </w:rPr>
              <w:t xml:space="preserve">   </w:t>
            </w:r>
            <w:r w:rsidRPr="00990525">
              <w:t>18 forms</w:t>
            </w:r>
          </w:p>
        </w:tc>
        <w:tc>
          <w:tcPr>
            <w:tcW w:w="1564"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6B63CE64" w14:textId="78639418">
            <w:pPr>
              <w:widowControl/>
              <w:jc w:val="right"/>
              <w:rPr>
                <w:szCs w:val="20"/>
              </w:rPr>
            </w:pPr>
            <w:r w:rsidRPr="00990525">
              <w:rPr>
                <w:lang w:val="fr-FR"/>
              </w:rPr>
              <w:t>846</w:t>
            </w:r>
          </w:p>
        </w:tc>
        <w:tc>
          <w:tcPr>
            <w:tcW w:w="1350" w:type="dxa"/>
            <w:tcBorders>
              <w:top w:val="single" w:color="auto" w:sz="2" w:space="0"/>
              <w:left w:val="single" w:color="auto" w:sz="2" w:space="0"/>
              <w:bottom w:val="single" w:color="auto" w:sz="2" w:space="0"/>
              <w:right w:val="single" w:color="auto" w:sz="2" w:space="0"/>
            </w:tcBorders>
            <w:vAlign w:val="center"/>
          </w:tcPr>
          <w:p w:rsidRPr="00990525" w:rsidR="00662CEF" w:rsidP="00B15D89" w:rsidRDefault="00662CEF" w14:paraId="6EF1CA83" w14:textId="3E563FA8">
            <w:pPr>
              <w:widowControl/>
              <w:jc w:val="right"/>
              <w:rPr>
                <w:lang w:val="fr-FR"/>
              </w:rPr>
            </w:pPr>
          </w:p>
        </w:tc>
        <w:tc>
          <w:tcPr>
            <w:tcW w:w="1350" w:type="dxa"/>
            <w:tcBorders>
              <w:top w:val="single" w:color="auto" w:sz="2" w:space="0"/>
              <w:left w:val="single" w:color="auto" w:sz="2" w:space="0"/>
              <w:bottom w:val="single" w:color="auto" w:sz="2" w:space="0"/>
              <w:right w:val="single" w:color="auto" w:sz="2" w:space="0"/>
            </w:tcBorders>
          </w:tcPr>
          <w:p w:rsidRPr="00E4584D" w:rsidR="00662CEF" w:rsidP="00B15D89" w:rsidRDefault="00662CEF" w14:paraId="71E4EE9F" w14:textId="4278E3A2">
            <w:pPr>
              <w:widowControl/>
              <w:jc w:val="right"/>
              <w:rPr>
                <w:szCs w:val="20"/>
              </w:rPr>
            </w:pPr>
            <w:r>
              <w:rPr>
                <w:szCs w:val="20"/>
              </w:rPr>
              <w:t>1,661</w:t>
            </w:r>
            <w:bookmarkStart w:name="_GoBack" w:id="2"/>
            <w:bookmarkEnd w:id="2"/>
          </w:p>
        </w:tc>
        <w:tc>
          <w:tcPr>
            <w:tcW w:w="1350"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1E2AFF6E" w14:textId="3F4269E3">
            <w:pPr>
              <w:widowControl/>
              <w:jc w:val="right"/>
              <w:rPr>
                <w:szCs w:val="20"/>
              </w:rPr>
            </w:pPr>
          </w:p>
        </w:tc>
        <w:tc>
          <w:tcPr>
            <w:tcW w:w="1046" w:type="dxa"/>
            <w:tcBorders>
              <w:top w:val="single" w:color="auto" w:sz="2" w:space="0"/>
              <w:left w:val="single" w:color="auto" w:sz="2" w:space="0"/>
              <w:bottom w:val="single" w:color="auto" w:sz="2" w:space="0"/>
              <w:right w:val="single" w:color="auto" w:sz="2" w:space="0"/>
            </w:tcBorders>
            <w:vAlign w:val="center"/>
          </w:tcPr>
          <w:p w:rsidRPr="00E4584D" w:rsidR="00662CEF" w:rsidP="00B15D89" w:rsidRDefault="00662CEF" w14:paraId="7295F26E" w14:textId="15EC23C3">
            <w:pPr>
              <w:widowControl/>
              <w:jc w:val="right"/>
              <w:rPr>
                <w:szCs w:val="20"/>
              </w:rPr>
            </w:pPr>
            <w:r w:rsidRPr="00990525">
              <w:rPr>
                <w:lang w:val="fr-FR"/>
              </w:rPr>
              <w:t>4</w:t>
            </w:r>
            <w:r>
              <w:rPr>
                <w:lang w:val="fr-FR"/>
              </w:rPr>
              <w:t>,</w:t>
            </w:r>
            <w:r w:rsidRPr="00990525">
              <w:rPr>
                <w:lang w:val="fr-FR"/>
              </w:rPr>
              <w:t>755</w:t>
            </w:r>
          </w:p>
        </w:tc>
      </w:tr>
    </w:tbl>
    <w:p w:rsidRPr="007C4999" w:rsidR="00A24D39" w:rsidP="0099785F" w:rsidRDefault="00A24D39" w14:paraId="366CD562" w14:textId="17F92BC4">
      <w:pPr>
        <w:rPr>
          <w:highlight w:val="yellow"/>
        </w:rPr>
      </w:pPr>
      <w:r w:rsidRPr="007C4999">
        <w:t xml:space="preserve">*The OPTN Membership Application Surgeon or Physician Log accompanies every individual organ application. </w:t>
      </w:r>
      <w:r w:rsidR="00990525">
        <w:t xml:space="preserve"> </w:t>
      </w:r>
      <w:r w:rsidRPr="007C4999">
        <w:t>The burden to complete is built into the organ application data.</w:t>
      </w:r>
    </w:p>
    <w:p w:rsidRPr="00CC2500" w:rsidR="00E12355" w:rsidP="00CC2500" w:rsidRDefault="00E12355" w14:paraId="44AE7D9A" w14:textId="208EC4B6">
      <w:pPr>
        <w:widowControl/>
        <w:tabs>
          <w:tab w:val="num" w:pos="720"/>
        </w:tabs>
        <w:spacing w:before="120"/>
        <w:rPr>
          <w:sz w:val="24"/>
        </w:rPr>
      </w:pPr>
      <w:r w:rsidRPr="00990525">
        <w:rPr>
          <w:sz w:val="24"/>
        </w:rPr>
        <w:t xml:space="preserve">The burden estimates are derived from prior experience reported by applicants. </w:t>
      </w:r>
      <w:r w:rsidR="00CC2500">
        <w:rPr>
          <w:sz w:val="24"/>
        </w:rPr>
        <w:t xml:space="preserve"> </w:t>
      </w:r>
      <w:r w:rsidRPr="00990525">
        <w:rPr>
          <w:sz w:val="24"/>
        </w:rPr>
        <w:t>These revised forms are streamlined and</w:t>
      </w:r>
      <w:r w:rsidR="006D3FDC">
        <w:rPr>
          <w:sz w:val="24"/>
        </w:rPr>
        <w:t>,</w:t>
      </w:r>
      <w:r w:rsidRPr="00990525">
        <w:rPr>
          <w:sz w:val="24"/>
        </w:rPr>
        <w:t xml:space="preserve"> in some instances</w:t>
      </w:r>
      <w:r w:rsidR="006D3FDC">
        <w:rPr>
          <w:sz w:val="24"/>
        </w:rPr>
        <w:t>,</w:t>
      </w:r>
      <w:r w:rsidRPr="00990525">
        <w:rPr>
          <w:sz w:val="24"/>
        </w:rPr>
        <w:t xml:space="preserve"> rearrangements of previously approved OMB application documents. </w:t>
      </w:r>
      <w:r w:rsidR="00CC2500">
        <w:rPr>
          <w:sz w:val="24"/>
        </w:rPr>
        <w:t xml:space="preserve"> </w:t>
      </w:r>
      <w:r w:rsidRPr="00990525">
        <w:rPr>
          <w:sz w:val="24"/>
        </w:rPr>
        <w:t xml:space="preserve">There is no formal pretest performed. </w:t>
      </w:r>
      <w:r w:rsidR="00CC2500">
        <w:rPr>
          <w:sz w:val="24"/>
        </w:rPr>
        <w:t xml:space="preserve"> </w:t>
      </w:r>
      <w:r w:rsidRPr="00990525" w:rsidR="00037488">
        <w:rPr>
          <w:sz w:val="24"/>
        </w:rPr>
        <w:t>There is</w:t>
      </w:r>
      <w:r w:rsidRPr="00990525">
        <w:rPr>
          <w:sz w:val="24"/>
        </w:rPr>
        <w:t xml:space="preserve"> no requirement for prescreening respondents to submit these application materials.  </w:t>
      </w:r>
    </w:p>
    <w:p w:rsidRPr="00CC2500" w:rsidR="00E12355" w:rsidP="00CC2500" w:rsidRDefault="00E12355" w14:paraId="751550DD" w14:textId="77777777">
      <w:pPr>
        <w:widowControl/>
        <w:spacing w:before="120"/>
        <w:rPr>
          <w:b/>
          <w:bCs/>
          <w:sz w:val="24"/>
        </w:rPr>
      </w:pPr>
      <w:r w:rsidRPr="00990525">
        <w:rPr>
          <w:b/>
          <w:bCs/>
          <w:sz w:val="24"/>
        </w:rPr>
        <w:t>12B</w:t>
      </w:r>
      <w:r w:rsidRPr="74DB0542">
        <w:rPr>
          <w:sz w:val="24"/>
        </w:rPr>
        <w:t>.</w:t>
      </w:r>
      <w:r w:rsidRPr="00990525">
        <w:rPr>
          <w:b/>
          <w:bCs/>
          <w:sz w:val="24"/>
        </w:rPr>
        <w:t xml:space="preserve"> Annualized cost to respondents for the hour burdens for collections of information</w:t>
      </w:r>
    </w:p>
    <w:p w:rsidRPr="00F439DB" w:rsidR="00037488" w:rsidP="007B4FFB" w:rsidRDefault="00E12355" w14:paraId="3A861561" w14:textId="12B4BB26">
      <w:pPr>
        <w:widowControl/>
        <w:rPr>
          <w:sz w:val="24"/>
        </w:rPr>
      </w:pPr>
      <w:r w:rsidRPr="00E41E5E">
        <w:rPr>
          <w:sz w:val="24"/>
        </w:rPr>
        <w:t xml:space="preserve">        </w:t>
      </w:r>
    </w:p>
    <w:p w:rsidRPr="00CC2500" w:rsidR="00292662" w:rsidRDefault="00037488" w14:paraId="12469868" w14:textId="52C25F29">
      <w:pPr>
        <w:autoSpaceDE/>
        <w:autoSpaceDN/>
        <w:adjustRightInd/>
        <w:rPr>
          <w:snapToGrid w:val="0"/>
          <w:sz w:val="24"/>
        </w:rPr>
      </w:pPr>
      <w:r w:rsidRPr="74DB0542">
        <w:rPr>
          <w:snapToGrid w:val="0"/>
          <w:sz w:val="24"/>
        </w:rPr>
        <w:t xml:space="preserve">Member application information is collected and submitted by a wide range of individuals </w:t>
      </w:r>
      <w:r w:rsidRPr="74DB0542" w:rsidR="007207AB">
        <w:rPr>
          <w:snapToGrid w:val="0"/>
          <w:sz w:val="24"/>
        </w:rPr>
        <w:t>who represent various medical occupations</w:t>
      </w:r>
      <w:r w:rsidRPr="74DB0542">
        <w:rPr>
          <w:snapToGrid w:val="0"/>
          <w:sz w:val="24"/>
        </w:rPr>
        <w:t>.</w:t>
      </w:r>
      <w:r w:rsidRPr="74DB0542" w:rsidR="002C7695">
        <w:rPr>
          <w:snapToGrid w:val="0"/>
          <w:sz w:val="24"/>
        </w:rPr>
        <w:t xml:space="preserve"> T</w:t>
      </w:r>
      <w:r w:rsidRPr="74DB0542" w:rsidR="00292662">
        <w:rPr>
          <w:snapToGrid w:val="0"/>
          <w:sz w:val="24"/>
        </w:rPr>
        <w:t>he Bureau of Labor Statistics</w:t>
      </w:r>
      <w:r w:rsidR="006D3FDC">
        <w:rPr>
          <w:snapToGrid w:val="0"/>
          <w:sz w:val="24"/>
        </w:rPr>
        <w:t>'</w:t>
      </w:r>
      <w:r w:rsidRPr="74DB0542" w:rsidR="00292662">
        <w:rPr>
          <w:snapToGrid w:val="0"/>
          <w:sz w:val="24"/>
        </w:rPr>
        <w:t xml:space="preserve"> most recent report </w:t>
      </w:r>
      <w:r w:rsidRPr="74DB0542" w:rsidR="00292662">
        <w:rPr>
          <w:i/>
          <w:iCs/>
          <w:snapToGrid w:val="0"/>
          <w:sz w:val="24"/>
        </w:rPr>
        <w:t>May 201</w:t>
      </w:r>
      <w:r w:rsidRPr="74DB0542" w:rsidR="005F7D5F">
        <w:rPr>
          <w:i/>
          <w:iCs/>
          <w:snapToGrid w:val="0"/>
          <w:sz w:val="24"/>
        </w:rPr>
        <w:t>8</w:t>
      </w:r>
      <w:r w:rsidRPr="74DB0542" w:rsidR="00292662">
        <w:rPr>
          <w:i/>
          <w:iCs/>
          <w:snapToGrid w:val="0"/>
          <w:sz w:val="24"/>
        </w:rPr>
        <w:t xml:space="preserve"> National Industry-Specific Occupational Employment and Wage Estimates</w:t>
      </w:r>
      <w:r w:rsidRPr="74DB0542" w:rsidR="00292662">
        <w:rPr>
          <w:snapToGrid w:val="0"/>
          <w:sz w:val="24"/>
        </w:rPr>
        <w:t xml:space="preserve">, </w:t>
      </w:r>
      <w:hyperlink w:history="1" w:anchor="11-0000" r:id="rId17">
        <w:r w:rsidRPr="74DB0542" w:rsidR="00292662">
          <w:rPr>
            <w:snapToGrid w:val="0"/>
            <w:color w:val="3366FF"/>
            <w:sz w:val="24"/>
            <w:u w:val="single"/>
          </w:rPr>
          <w:t>http://www.bls.gov/OES/current/naics4_622100.htm#11-0000</w:t>
        </w:r>
      </w:hyperlink>
      <w:r w:rsidRPr="74DB0542" w:rsidR="00345E34">
        <w:rPr>
          <w:snapToGrid w:val="0"/>
          <w:sz w:val="24"/>
        </w:rPr>
        <w:t>, contains</w:t>
      </w:r>
      <w:r w:rsidRPr="74DB0542" w:rsidR="00292662">
        <w:rPr>
          <w:snapToGrid w:val="0"/>
          <w:sz w:val="24"/>
        </w:rPr>
        <w:t xml:space="preserve"> </w:t>
      </w:r>
      <w:r w:rsidRPr="74DB0542" w:rsidR="002C7695">
        <w:rPr>
          <w:snapToGrid w:val="0"/>
          <w:sz w:val="24"/>
        </w:rPr>
        <w:t xml:space="preserve">hourly wage data </w:t>
      </w:r>
      <w:r w:rsidRPr="74DB0542" w:rsidR="00B56F3F">
        <w:rPr>
          <w:snapToGrid w:val="0"/>
          <w:sz w:val="24"/>
        </w:rPr>
        <w:t>for hospital staff positions</w:t>
      </w:r>
      <w:r w:rsidRPr="74DB0542" w:rsidR="008E634D">
        <w:rPr>
          <w:snapToGrid w:val="0"/>
          <w:sz w:val="24"/>
        </w:rPr>
        <w:t>, which are typical organ transplantation occupations designated to collect information.</w:t>
      </w:r>
      <w:r w:rsidRPr="74DB0542" w:rsidR="00B56F3F">
        <w:rPr>
          <w:snapToGrid w:val="0"/>
          <w:sz w:val="24"/>
        </w:rPr>
        <w:t xml:space="preserve">  </w:t>
      </w:r>
      <w:r w:rsidRPr="74DB0542" w:rsidR="00292662">
        <w:rPr>
          <w:snapToGrid w:val="0"/>
          <w:sz w:val="24"/>
        </w:rPr>
        <w:t>Examples include:</w:t>
      </w:r>
    </w:p>
    <w:p w:rsidRPr="00F439DB" w:rsidR="00292662" w:rsidP="00F439DB" w:rsidRDefault="00292662" w14:paraId="39519231" w14:textId="77777777">
      <w:pPr>
        <w:autoSpaceDE/>
        <w:autoSpaceDN/>
        <w:adjustRightInd/>
        <w:ind w:left="495"/>
        <w:rPr>
          <w:snapToGrid w:val="0"/>
          <w:sz w:val="24"/>
        </w:rPr>
      </w:pPr>
    </w:p>
    <w:p w:rsidRPr="00CC2500" w:rsidR="00292662" w:rsidRDefault="00292662" w14:paraId="0962356D" w14:textId="1597C293">
      <w:pPr>
        <w:widowControl/>
        <w:numPr>
          <w:ilvl w:val="0"/>
          <w:numId w:val="8"/>
        </w:numPr>
        <w:autoSpaceDE/>
        <w:autoSpaceDN/>
        <w:adjustRightInd/>
        <w:ind w:left="1215"/>
        <w:rPr>
          <w:rFonts w:eastAsiaTheme="minorEastAsia"/>
          <w:sz w:val="24"/>
        </w:rPr>
      </w:pPr>
      <w:r w:rsidRPr="00CC2500">
        <w:rPr>
          <w:rFonts w:eastAsiaTheme="minorEastAsia"/>
          <w:sz w:val="24"/>
        </w:rPr>
        <w:t>Program primary administrator         mean hourly wage   $</w:t>
      </w:r>
      <w:r w:rsidRPr="00CC2500" w:rsidR="008E3E9C">
        <w:rPr>
          <w:rFonts w:eastAsiaTheme="minorEastAsia"/>
          <w:sz w:val="24"/>
        </w:rPr>
        <w:t>5</w:t>
      </w:r>
      <w:r w:rsidRPr="00CC2500" w:rsidR="003F3140">
        <w:rPr>
          <w:rFonts w:eastAsiaTheme="minorEastAsia"/>
          <w:sz w:val="24"/>
        </w:rPr>
        <w:t>8.88</w:t>
      </w:r>
      <w:r w:rsidRPr="00CC2500">
        <w:rPr>
          <w:rFonts w:eastAsiaTheme="minorEastAsia"/>
          <w:sz w:val="24"/>
        </w:rPr>
        <w:t xml:space="preserve">  </w:t>
      </w:r>
    </w:p>
    <w:p w:rsidRPr="00CC2500" w:rsidR="00292662" w:rsidRDefault="00292662" w14:paraId="17A83EFD" w14:textId="069B02CB">
      <w:pPr>
        <w:widowControl/>
        <w:numPr>
          <w:ilvl w:val="0"/>
          <w:numId w:val="8"/>
        </w:numPr>
        <w:autoSpaceDE/>
        <w:autoSpaceDN/>
        <w:adjustRightInd/>
        <w:ind w:left="1215"/>
        <w:rPr>
          <w:rFonts w:eastAsiaTheme="minorEastAsia"/>
          <w:sz w:val="24"/>
        </w:rPr>
      </w:pPr>
      <w:r w:rsidRPr="00CC2500">
        <w:rPr>
          <w:rFonts w:eastAsiaTheme="minorEastAsia"/>
          <w:sz w:val="24"/>
        </w:rPr>
        <w:t>Medical administrative assistant       mean hourly wage   $</w:t>
      </w:r>
      <w:r w:rsidRPr="00CC2500" w:rsidR="00A449F2">
        <w:rPr>
          <w:rFonts w:eastAsiaTheme="minorEastAsia"/>
          <w:sz w:val="24"/>
        </w:rPr>
        <w:t>1</w:t>
      </w:r>
      <w:r w:rsidRPr="00CC2500" w:rsidR="003F3140">
        <w:rPr>
          <w:rFonts w:eastAsiaTheme="minorEastAsia"/>
          <w:sz w:val="24"/>
        </w:rPr>
        <w:t>8.11</w:t>
      </w:r>
    </w:p>
    <w:p w:rsidRPr="00CC2500" w:rsidR="00292662" w:rsidRDefault="00292662" w14:paraId="2C851FB7" w14:textId="63C39904">
      <w:pPr>
        <w:widowControl/>
        <w:numPr>
          <w:ilvl w:val="0"/>
          <w:numId w:val="8"/>
        </w:numPr>
        <w:autoSpaceDE/>
        <w:autoSpaceDN/>
        <w:adjustRightInd/>
        <w:ind w:left="1215"/>
        <w:rPr>
          <w:rFonts w:eastAsiaTheme="minorEastAsia"/>
          <w:sz w:val="24"/>
        </w:rPr>
      </w:pPr>
      <w:r w:rsidRPr="00CC2500">
        <w:rPr>
          <w:rFonts w:eastAsiaTheme="minorEastAsia"/>
          <w:sz w:val="24"/>
        </w:rPr>
        <w:t xml:space="preserve">Registered nurse                               </w:t>
      </w:r>
      <w:r w:rsidRPr="00CC2500" w:rsidR="00CE5037">
        <w:rPr>
          <w:rFonts w:eastAsiaTheme="minorEastAsia"/>
          <w:sz w:val="24"/>
        </w:rPr>
        <w:t xml:space="preserve"> </w:t>
      </w:r>
      <w:r w:rsidRPr="00CC2500">
        <w:rPr>
          <w:rFonts w:eastAsiaTheme="minorEastAsia"/>
          <w:sz w:val="24"/>
        </w:rPr>
        <w:t>mean hourly wage   $</w:t>
      </w:r>
      <w:r w:rsidRPr="00CC2500" w:rsidR="00A449F2">
        <w:rPr>
          <w:rFonts w:eastAsiaTheme="minorEastAsia"/>
          <w:sz w:val="24"/>
        </w:rPr>
        <w:t>3</w:t>
      </w:r>
      <w:r w:rsidRPr="00CC2500" w:rsidR="003F3140">
        <w:rPr>
          <w:rFonts w:eastAsiaTheme="minorEastAsia"/>
          <w:sz w:val="24"/>
        </w:rPr>
        <w:t>7.37</w:t>
      </w:r>
    </w:p>
    <w:p w:rsidRPr="00F439DB" w:rsidR="00C40195" w:rsidP="00F439DB" w:rsidRDefault="00C40195" w14:paraId="099CF5DE" w14:textId="77777777">
      <w:pPr>
        <w:ind w:left="495"/>
        <w:rPr>
          <w:sz w:val="24"/>
        </w:rPr>
      </w:pPr>
    </w:p>
    <w:p w:rsidRPr="00CC2500" w:rsidR="00292662" w:rsidRDefault="00C40195" w14:paraId="1D676FC7" w14:textId="6D7BFE03">
      <w:pPr>
        <w:rPr>
          <w:sz w:val="24"/>
        </w:rPr>
      </w:pPr>
      <w:r w:rsidRPr="74DB0542">
        <w:rPr>
          <w:sz w:val="24"/>
        </w:rPr>
        <w:t>The $25.00 hourly rate used for administrative designees seemed defensible and appropriate.</w:t>
      </w:r>
    </w:p>
    <w:p w:rsidRPr="00F439DB" w:rsidR="009E3803" w:rsidP="00F439DB" w:rsidRDefault="00037488" w14:paraId="71128DCF" w14:textId="12058094">
      <w:pPr>
        <w:rPr>
          <w:sz w:val="24"/>
        </w:rPr>
      </w:pPr>
      <w:r w:rsidRPr="00F439DB">
        <w:rPr>
          <w:sz w:val="24"/>
        </w:rPr>
        <w:t xml:space="preserve"> </w:t>
      </w:r>
    </w:p>
    <w:p w:rsidRPr="00037488" w:rsidR="00E41E5E" w:rsidRDefault="00530EEF" w14:paraId="2A83A124" w14:textId="76E3594C">
      <w:r w:rsidRPr="74DB0542">
        <w:rPr>
          <w:sz w:val="24"/>
        </w:rPr>
        <w:t>I</w:t>
      </w:r>
      <w:r w:rsidRPr="74DB0542" w:rsidR="009E3803">
        <w:rPr>
          <w:sz w:val="24"/>
        </w:rPr>
        <w:t>ndividual applicants are mainly employed</w:t>
      </w:r>
      <w:r w:rsidR="006D3FDC">
        <w:rPr>
          <w:sz w:val="24"/>
        </w:rPr>
        <w:t>,</w:t>
      </w:r>
      <w:r w:rsidRPr="74DB0542" w:rsidR="009E3803">
        <w:rPr>
          <w:sz w:val="24"/>
        </w:rPr>
        <w:t xml:space="preserve"> </w:t>
      </w:r>
      <w:r w:rsidRPr="74DB0542">
        <w:rPr>
          <w:sz w:val="24"/>
        </w:rPr>
        <w:t>professionals.</w:t>
      </w:r>
      <w:r w:rsidRPr="74DB0542" w:rsidR="009661E2">
        <w:rPr>
          <w:sz w:val="24"/>
        </w:rPr>
        <w:t xml:space="preserve"> </w:t>
      </w:r>
      <w:r w:rsidR="00CC2500">
        <w:rPr>
          <w:sz w:val="24"/>
        </w:rPr>
        <w:t xml:space="preserve"> </w:t>
      </w:r>
      <w:r w:rsidRPr="74DB0542" w:rsidR="005E5E41">
        <w:rPr>
          <w:sz w:val="24"/>
        </w:rPr>
        <w:t xml:space="preserve">Individual applicant wages are not </w:t>
      </w:r>
      <w:r w:rsidRPr="74DB0542" w:rsidR="0059602D">
        <w:rPr>
          <w:sz w:val="24"/>
        </w:rPr>
        <w:t>easily identifiable.</w:t>
      </w:r>
      <w:r w:rsidRPr="74DB0542" w:rsidR="004C519F">
        <w:rPr>
          <w:sz w:val="24"/>
        </w:rPr>
        <w:t xml:space="preserve"> These applicants are in positions covered by the Federal minimum wage. </w:t>
      </w:r>
      <w:r w:rsidR="00CC2500">
        <w:rPr>
          <w:sz w:val="24"/>
        </w:rPr>
        <w:t xml:space="preserve"> </w:t>
      </w:r>
      <w:r w:rsidRPr="74DB0542" w:rsidR="004C519F">
        <w:rPr>
          <w:sz w:val="24"/>
        </w:rPr>
        <w:t xml:space="preserve">The </w:t>
      </w:r>
      <w:r w:rsidRPr="74DB0542" w:rsidR="004C519F">
        <w:rPr>
          <w:sz w:val="24"/>
        </w:rPr>
        <w:lastRenderedPageBreak/>
        <w:t>$10.00 hourly rate used for individual applicants is slightly above the Federal minimum wage.</w:t>
      </w:r>
    </w:p>
    <w:p w:rsidRPr="00AF734F" w:rsidR="00E12355" w:rsidP="00E41E5E" w:rsidRDefault="00E12355" w14:paraId="3F125D0B" w14:textId="77777777">
      <w:pPr>
        <w:widowControl/>
        <w:rPr>
          <w:b/>
          <w:sz w:val="24"/>
        </w:rPr>
      </w:pPr>
    </w:p>
    <w:tbl>
      <w:tblPr>
        <w:tblpPr w:leftFromText="180" w:rightFromText="180" w:vertAnchor="text" w:horzAnchor="margin" w:tblpXSpec="center" w:tblpYSpec="inside"/>
        <w:tblW w:w="7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2070"/>
        <w:gridCol w:w="1980"/>
        <w:gridCol w:w="1710"/>
      </w:tblGrid>
      <w:tr w:rsidRPr="00AF734F" w:rsidR="007210AC" w:rsidTr="74DB0542" w14:paraId="468D5057" w14:textId="77777777">
        <w:trPr>
          <w:trHeight w:val="926"/>
        </w:trPr>
        <w:tc>
          <w:tcPr>
            <w:tcW w:w="2160" w:type="dxa"/>
          </w:tcPr>
          <w:p w:rsidRPr="00CC2500" w:rsidR="007210AC" w:rsidRDefault="007210AC" w14:paraId="3E8838E0" w14:textId="77777777">
            <w:pPr>
              <w:widowControl/>
              <w:jc w:val="center"/>
              <w:rPr>
                <w:b/>
                <w:bCs/>
                <w:sz w:val="24"/>
              </w:rPr>
            </w:pPr>
            <w:r w:rsidRPr="74DB0542">
              <w:rPr>
                <w:b/>
                <w:bCs/>
                <w:sz w:val="24"/>
              </w:rPr>
              <w:t>Type of</w:t>
            </w:r>
          </w:p>
          <w:p w:rsidRPr="00CC2500" w:rsidR="007210AC" w:rsidRDefault="007210AC" w14:paraId="0AFAC6F7" w14:textId="77777777">
            <w:pPr>
              <w:widowControl/>
              <w:jc w:val="center"/>
              <w:rPr>
                <w:b/>
                <w:bCs/>
                <w:sz w:val="24"/>
              </w:rPr>
            </w:pPr>
            <w:r w:rsidRPr="74DB0542">
              <w:rPr>
                <w:b/>
                <w:bCs/>
                <w:sz w:val="24"/>
              </w:rPr>
              <w:t>Respondent</w:t>
            </w:r>
          </w:p>
        </w:tc>
        <w:tc>
          <w:tcPr>
            <w:tcW w:w="2070" w:type="dxa"/>
          </w:tcPr>
          <w:p w:rsidRPr="00CC2500" w:rsidR="007210AC" w:rsidRDefault="007210AC" w14:paraId="51AFA02F" w14:textId="77777777">
            <w:pPr>
              <w:widowControl/>
              <w:jc w:val="center"/>
              <w:rPr>
                <w:b/>
                <w:bCs/>
                <w:sz w:val="24"/>
              </w:rPr>
            </w:pPr>
            <w:r w:rsidRPr="74DB0542">
              <w:rPr>
                <w:b/>
                <w:bCs/>
                <w:sz w:val="24"/>
              </w:rPr>
              <w:t>Total Burden</w:t>
            </w:r>
          </w:p>
          <w:p w:rsidRPr="00CC2500" w:rsidR="007210AC" w:rsidRDefault="007210AC" w14:paraId="59A11C97" w14:textId="77777777">
            <w:pPr>
              <w:widowControl/>
              <w:jc w:val="center"/>
              <w:rPr>
                <w:sz w:val="24"/>
              </w:rPr>
            </w:pPr>
            <w:r w:rsidRPr="74DB0542">
              <w:rPr>
                <w:b/>
                <w:bCs/>
                <w:sz w:val="24"/>
              </w:rPr>
              <w:t>Hours</w:t>
            </w:r>
          </w:p>
        </w:tc>
        <w:tc>
          <w:tcPr>
            <w:tcW w:w="1980" w:type="dxa"/>
          </w:tcPr>
          <w:p w:rsidRPr="00CC2500" w:rsidR="007210AC" w:rsidRDefault="007210AC" w14:paraId="14D2ADD1" w14:textId="77777777">
            <w:pPr>
              <w:widowControl/>
              <w:jc w:val="center"/>
              <w:rPr>
                <w:b/>
                <w:bCs/>
                <w:sz w:val="24"/>
              </w:rPr>
            </w:pPr>
            <w:r w:rsidRPr="74DB0542">
              <w:rPr>
                <w:b/>
                <w:bCs/>
                <w:sz w:val="24"/>
              </w:rPr>
              <w:t>Hourly</w:t>
            </w:r>
          </w:p>
          <w:p w:rsidRPr="00CC2500" w:rsidR="007210AC" w:rsidRDefault="007210AC" w14:paraId="7162E00C" w14:textId="77777777">
            <w:pPr>
              <w:widowControl/>
              <w:jc w:val="center"/>
              <w:rPr>
                <w:b/>
                <w:bCs/>
                <w:sz w:val="24"/>
              </w:rPr>
            </w:pPr>
            <w:r w:rsidRPr="74DB0542">
              <w:rPr>
                <w:b/>
                <w:bCs/>
                <w:sz w:val="24"/>
              </w:rPr>
              <w:t>Wage Rate</w:t>
            </w:r>
          </w:p>
        </w:tc>
        <w:tc>
          <w:tcPr>
            <w:tcW w:w="1710" w:type="dxa"/>
          </w:tcPr>
          <w:p w:rsidRPr="00CC2500" w:rsidR="007210AC" w:rsidRDefault="007210AC" w14:paraId="793A243E" w14:textId="77777777">
            <w:pPr>
              <w:widowControl/>
              <w:jc w:val="center"/>
              <w:rPr>
                <w:b/>
                <w:bCs/>
                <w:sz w:val="24"/>
              </w:rPr>
            </w:pPr>
            <w:r w:rsidRPr="74DB0542">
              <w:rPr>
                <w:b/>
                <w:bCs/>
                <w:sz w:val="24"/>
              </w:rPr>
              <w:t>Total Respondent Costs</w:t>
            </w:r>
          </w:p>
        </w:tc>
      </w:tr>
      <w:tr w:rsidRPr="00AF734F" w:rsidR="007210AC" w:rsidTr="74DB0542" w14:paraId="5627E888" w14:textId="77777777">
        <w:trPr>
          <w:trHeight w:val="767"/>
        </w:trPr>
        <w:tc>
          <w:tcPr>
            <w:tcW w:w="2160" w:type="dxa"/>
          </w:tcPr>
          <w:p w:rsidRPr="00CC2500" w:rsidR="007210AC" w:rsidRDefault="007210AC" w14:paraId="364FF026" w14:textId="77777777">
            <w:pPr>
              <w:rPr>
                <w:sz w:val="24"/>
              </w:rPr>
            </w:pPr>
            <w:r w:rsidRPr="74DB0542">
              <w:rPr>
                <w:sz w:val="24"/>
              </w:rPr>
              <w:t xml:space="preserve">Administrative    designees </w:t>
            </w:r>
          </w:p>
        </w:tc>
        <w:tc>
          <w:tcPr>
            <w:tcW w:w="2070" w:type="dxa"/>
          </w:tcPr>
          <w:p w:rsidRPr="00CC2500" w:rsidR="007210AC" w:rsidRDefault="005F7D5F" w14:paraId="33BCB3C7" w14:textId="51FD79E3">
            <w:pPr>
              <w:jc w:val="center"/>
              <w:rPr>
                <w:sz w:val="24"/>
              </w:rPr>
            </w:pPr>
            <w:r w:rsidRPr="74DB0542">
              <w:rPr>
                <w:sz w:val="24"/>
              </w:rPr>
              <w:t>4</w:t>
            </w:r>
            <w:r w:rsidR="00CC2500">
              <w:rPr>
                <w:sz w:val="24"/>
              </w:rPr>
              <w:t>,</w:t>
            </w:r>
            <w:r w:rsidRPr="74DB0542">
              <w:rPr>
                <w:sz w:val="24"/>
              </w:rPr>
              <w:t>751</w:t>
            </w:r>
          </w:p>
        </w:tc>
        <w:tc>
          <w:tcPr>
            <w:tcW w:w="1980" w:type="dxa"/>
          </w:tcPr>
          <w:p w:rsidRPr="00CC2500" w:rsidR="007210AC" w:rsidRDefault="00CC2500" w14:paraId="6949A831" w14:textId="755D8FC3">
            <w:pPr>
              <w:jc w:val="center"/>
              <w:rPr>
                <w:sz w:val="24"/>
              </w:rPr>
            </w:pPr>
            <w:r>
              <w:rPr>
                <w:sz w:val="24"/>
              </w:rPr>
              <w:t>$25.00</w:t>
            </w:r>
          </w:p>
        </w:tc>
        <w:tc>
          <w:tcPr>
            <w:tcW w:w="1710" w:type="dxa"/>
          </w:tcPr>
          <w:p w:rsidRPr="00CC2500" w:rsidR="007210AC" w:rsidRDefault="007210AC" w14:paraId="49C643E8" w14:textId="763DEDCA">
            <w:pPr>
              <w:jc w:val="right"/>
              <w:rPr>
                <w:sz w:val="24"/>
              </w:rPr>
            </w:pPr>
            <w:r w:rsidRPr="74DB0542">
              <w:rPr>
                <w:sz w:val="24"/>
              </w:rPr>
              <w:t xml:space="preserve"> $</w:t>
            </w:r>
            <w:r w:rsidRPr="74DB0542" w:rsidR="005F7D5F">
              <w:rPr>
                <w:sz w:val="24"/>
              </w:rPr>
              <w:t>118,775</w:t>
            </w:r>
            <w:r w:rsidRPr="74DB0542">
              <w:rPr>
                <w:sz w:val="24"/>
              </w:rPr>
              <w:t>.00</w:t>
            </w:r>
          </w:p>
        </w:tc>
      </w:tr>
      <w:tr w:rsidRPr="00AF734F" w:rsidR="007210AC" w:rsidTr="74DB0542" w14:paraId="6F52BE6B" w14:textId="77777777">
        <w:trPr>
          <w:trHeight w:val="440"/>
        </w:trPr>
        <w:tc>
          <w:tcPr>
            <w:tcW w:w="2160" w:type="dxa"/>
          </w:tcPr>
          <w:p w:rsidRPr="00CC2500" w:rsidR="007210AC" w:rsidRDefault="007210AC" w14:paraId="54108DA9" w14:textId="77777777">
            <w:pPr>
              <w:rPr>
                <w:sz w:val="24"/>
              </w:rPr>
            </w:pPr>
            <w:r w:rsidRPr="74DB0542">
              <w:rPr>
                <w:sz w:val="24"/>
              </w:rPr>
              <w:t xml:space="preserve">Individuals </w:t>
            </w:r>
          </w:p>
        </w:tc>
        <w:tc>
          <w:tcPr>
            <w:tcW w:w="2070" w:type="dxa"/>
          </w:tcPr>
          <w:p w:rsidRPr="00CC2500" w:rsidR="007210AC" w:rsidRDefault="00DA517F" w14:paraId="1A176796" w14:textId="5B057204">
            <w:pPr>
              <w:jc w:val="center"/>
              <w:rPr>
                <w:sz w:val="24"/>
              </w:rPr>
            </w:pPr>
            <w:r w:rsidRPr="74DB0542">
              <w:rPr>
                <w:sz w:val="24"/>
              </w:rPr>
              <w:t>4</w:t>
            </w:r>
          </w:p>
        </w:tc>
        <w:tc>
          <w:tcPr>
            <w:tcW w:w="1980" w:type="dxa"/>
          </w:tcPr>
          <w:p w:rsidRPr="00CC2500" w:rsidR="007210AC" w:rsidRDefault="007210AC" w14:paraId="0EED9B25" w14:textId="77777777">
            <w:pPr>
              <w:jc w:val="center"/>
              <w:rPr>
                <w:sz w:val="24"/>
              </w:rPr>
            </w:pPr>
            <w:r w:rsidRPr="74DB0542">
              <w:rPr>
                <w:sz w:val="24"/>
              </w:rPr>
              <w:t>$10.00</w:t>
            </w:r>
          </w:p>
        </w:tc>
        <w:tc>
          <w:tcPr>
            <w:tcW w:w="1710" w:type="dxa"/>
          </w:tcPr>
          <w:p w:rsidRPr="00CC2500" w:rsidR="007210AC" w:rsidRDefault="007210AC" w14:paraId="4C659004" w14:textId="7AF3E275">
            <w:pPr>
              <w:jc w:val="center"/>
              <w:rPr>
                <w:sz w:val="24"/>
              </w:rPr>
            </w:pPr>
            <w:r w:rsidRPr="74DB0542">
              <w:rPr>
                <w:sz w:val="24"/>
              </w:rPr>
              <w:t xml:space="preserve">            $ </w:t>
            </w:r>
            <w:r w:rsidRPr="74DB0542" w:rsidR="00DA517F">
              <w:rPr>
                <w:sz w:val="24"/>
              </w:rPr>
              <w:t>4</w:t>
            </w:r>
            <w:r w:rsidRPr="74DB0542">
              <w:rPr>
                <w:sz w:val="24"/>
              </w:rPr>
              <w:t>0.00</w:t>
            </w:r>
          </w:p>
        </w:tc>
      </w:tr>
      <w:tr w:rsidRPr="00AF734F" w:rsidR="007210AC" w:rsidTr="74DB0542" w14:paraId="1DB528BA" w14:textId="77777777">
        <w:trPr>
          <w:trHeight w:val="503"/>
        </w:trPr>
        <w:tc>
          <w:tcPr>
            <w:tcW w:w="2160" w:type="dxa"/>
          </w:tcPr>
          <w:p w:rsidRPr="00CC2500" w:rsidR="007210AC" w:rsidRDefault="007210AC" w14:paraId="54600E53" w14:textId="77777777">
            <w:pPr>
              <w:widowControl/>
              <w:rPr>
                <w:sz w:val="24"/>
              </w:rPr>
            </w:pPr>
            <w:r w:rsidRPr="74DB0542">
              <w:rPr>
                <w:sz w:val="24"/>
              </w:rPr>
              <w:t>Total</w:t>
            </w:r>
          </w:p>
        </w:tc>
        <w:tc>
          <w:tcPr>
            <w:tcW w:w="2070" w:type="dxa"/>
          </w:tcPr>
          <w:p w:rsidRPr="00CC2500" w:rsidR="007210AC" w:rsidRDefault="005F7D5F" w14:paraId="04125EF2" w14:textId="21C70697">
            <w:pPr>
              <w:widowControl/>
              <w:jc w:val="center"/>
              <w:rPr>
                <w:sz w:val="24"/>
              </w:rPr>
            </w:pPr>
            <w:r w:rsidRPr="74DB0542">
              <w:rPr>
                <w:sz w:val="24"/>
              </w:rPr>
              <w:t>4</w:t>
            </w:r>
            <w:r w:rsidR="00CC2500">
              <w:rPr>
                <w:sz w:val="24"/>
              </w:rPr>
              <w:t>,</w:t>
            </w:r>
            <w:r w:rsidRPr="74DB0542">
              <w:rPr>
                <w:sz w:val="24"/>
              </w:rPr>
              <w:t>755</w:t>
            </w:r>
          </w:p>
        </w:tc>
        <w:tc>
          <w:tcPr>
            <w:tcW w:w="1980" w:type="dxa"/>
          </w:tcPr>
          <w:p w:rsidRPr="00AF734F" w:rsidR="007210AC" w:rsidP="007210AC" w:rsidRDefault="007210AC" w14:paraId="4FD126C1" w14:textId="77777777">
            <w:pPr>
              <w:widowControl/>
              <w:jc w:val="center"/>
              <w:rPr>
                <w:sz w:val="24"/>
              </w:rPr>
            </w:pPr>
          </w:p>
        </w:tc>
        <w:tc>
          <w:tcPr>
            <w:tcW w:w="1710" w:type="dxa"/>
          </w:tcPr>
          <w:p w:rsidRPr="00CC2500" w:rsidR="007210AC" w:rsidRDefault="007210AC" w14:paraId="25C8A6D6" w14:textId="6647044B">
            <w:pPr>
              <w:widowControl/>
              <w:jc w:val="right"/>
              <w:rPr>
                <w:sz w:val="24"/>
              </w:rPr>
            </w:pPr>
            <w:r w:rsidRPr="74DB0542">
              <w:rPr>
                <w:sz w:val="24"/>
              </w:rPr>
              <w:t>$</w:t>
            </w:r>
            <w:r w:rsidRPr="74DB0542" w:rsidR="00DA517F">
              <w:rPr>
                <w:sz w:val="24"/>
              </w:rPr>
              <w:t>1</w:t>
            </w:r>
            <w:r w:rsidRPr="74DB0542" w:rsidR="005F7D5F">
              <w:rPr>
                <w:sz w:val="24"/>
              </w:rPr>
              <w:t>18,815</w:t>
            </w:r>
            <w:r w:rsidRPr="74DB0542">
              <w:rPr>
                <w:sz w:val="24"/>
              </w:rPr>
              <w:t>.00</w:t>
            </w:r>
          </w:p>
        </w:tc>
      </w:tr>
    </w:tbl>
    <w:p w:rsidRPr="00AF734F" w:rsidR="00E12355" w:rsidP="00E12355" w:rsidRDefault="00E12355" w14:paraId="49E817E6" w14:textId="77777777">
      <w:pPr>
        <w:widowControl/>
        <w:rPr>
          <w:b/>
          <w:sz w:val="24"/>
        </w:rPr>
      </w:pPr>
    </w:p>
    <w:p w:rsidRPr="00AF734F" w:rsidR="00E12355" w:rsidP="00E12355" w:rsidRDefault="00E12355" w14:paraId="67E9B276" w14:textId="77777777">
      <w:pPr>
        <w:widowControl/>
        <w:rPr>
          <w:b/>
          <w:sz w:val="24"/>
        </w:rPr>
      </w:pPr>
    </w:p>
    <w:p w:rsidRPr="00CC2500" w:rsidR="00E12355" w:rsidP="00CC2500" w:rsidRDefault="00E12355" w14:paraId="0B7045E4" w14:textId="77777777">
      <w:pPr>
        <w:numPr>
          <w:ilvl w:val="0"/>
          <w:numId w:val="1"/>
        </w:numPr>
        <w:spacing w:before="240"/>
        <w:rPr>
          <w:b/>
          <w:bCs/>
          <w:sz w:val="24"/>
        </w:rPr>
      </w:pPr>
      <w:r w:rsidRPr="00990525">
        <w:rPr>
          <w:b/>
          <w:bCs/>
          <w:sz w:val="24"/>
          <w:u w:val="single"/>
        </w:rPr>
        <w:t>Estimates of other Total Annual Cost Burden to Respondents or Record keepers/Capital Costs</w:t>
      </w:r>
    </w:p>
    <w:p w:rsidRPr="00CC2500" w:rsidR="00E12355" w:rsidRDefault="00E12355" w14:paraId="6D35FA51" w14:textId="77777777">
      <w:pPr>
        <w:widowControl/>
        <w:ind w:firstLine="360"/>
        <w:rPr>
          <w:color w:val="000000"/>
          <w:sz w:val="24"/>
        </w:rPr>
      </w:pPr>
      <w:r w:rsidRPr="74DB0542">
        <w:rPr>
          <w:color w:val="000000"/>
          <w:sz w:val="24"/>
        </w:rPr>
        <w:t xml:space="preserve">There are no capital or start-up costs for application to the network.  </w:t>
      </w:r>
    </w:p>
    <w:p w:rsidRPr="00CC2500" w:rsidR="00680D65" w:rsidP="00CC2500" w:rsidRDefault="00E12355" w14:paraId="67961141" w14:textId="2700BDC4">
      <w:pPr>
        <w:numPr>
          <w:ilvl w:val="0"/>
          <w:numId w:val="1"/>
        </w:numPr>
        <w:spacing w:before="240"/>
        <w:rPr>
          <w:b/>
          <w:bCs/>
          <w:sz w:val="24"/>
        </w:rPr>
      </w:pPr>
      <w:r w:rsidRPr="00990525">
        <w:rPr>
          <w:b/>
          <w:bCs/>
          <w:sz w:val="24"/>
          <w:u w:val="single"/>
        </w:rPr>
        <w:t>Annualized Cost to Federal Government</w:t>
      </w:r>
    </w:p>
    <w:p w:rsidRPr="00CC2500" w:rsidR="00DB3F22" w:rsidP="00CC2500" w:rsidRDefault="0034265D" w14:paraId="36831B4F" w14:textId="75B2B9DE">
      <w:pPr>
        <w:rPr>
          <w:sz w:val="24"/>
        </w:rPr>
      </w:pPr>
      <w:r w:rsidRPr="00CC2500">
        <w:rPr>
          <w:sz w:val="24"/>
        </w:rPr>
        <w:t xml:space="preserve">HRSA Division of Transplantation is responsible for coordinating </w:t>
      </w:r>
      <w:r w:rsidR="006D3FDC">
        <w:rPr>
          <w:sz w:val="24"/>
        </w:rPr>
        <w:t>'</w:t>
      </w:r>
      <w:r w:rsidRPr="00CC2500" w:rsidR="006D3FDC">
        <w:rPr>
          <w:sz w:val="24"/>
        </w:rPr>
        <w:t>UNOS</w:t>
      </w:r>
      <w:r w:rsidR="006D3FDC">
        <w:rPr>
          <w:sz w:val="24"/>
        </w:rPr>
        <w:t>'</w:t>
      </w:r>
      <w:r w:rsidRPr="00CC2500" w:rsidR="006D3FDC">
        <w:rPr>
          <w:sz w:val="24"/>
        </w:rPr>
        <w:t xml:space="preserve">s </w:t>
      </w:r>
      <w:r w:rsidRPr="00CC2500">
        <w:rPr>
          <w:sz w:val="24"/>
        </w:rPr>
        <w:t xml:space="preserve">preparation of OMB 0915-0184, monitoring and reviewing the OPTN membership application compliance with the National Organ Transplant Act and the OPTN Final Rule, </w:t>
      </w:r>
      <w:r w:rsidRPr="00CC2500" w:rsidR="001D2681">
        <w:rPr>
          <w:sz w:val="24"/>
        </w:rPr>
        <w:t xml:space="preserve">reviewing and responding to </w:t>
      </w:r>
      <w:r w:rsidRPr="00CC2500" w:rsidR="0081793A">
        <w:rPr>
          <w:sz w:val="24"/>
        </w:rPr>
        <w:t xml:space="preserve">public comments, </w:t>
      </w:r>
      <w:r w:rsidRPr="00CC2500">
        <w:rPr>
          <w:sz w:val="24"/>
        </w:rPr>
        <w:t xml:space="preserve">and other activities related to submitting the OPTN membership application for OMB review. </w:t>
      </w:r>
      <w:r w:rsidRPr="00CC2500" w:rsidR="00CC2500">
        <w:rPr>
          <w:sz w:val="24"/>
        </w:rPr>
        <w:t xml:space="preserve"> </w:t>
      </w:r>
      <w:r w:rsidRPr="00CC2500">
        <w:rPr>
          <w:sz w:val="24"/>
        </w:rPr>
        <w:t>Costs associated with Federal staff conducting Pre-OMB approval activities are specified in Table 14-1.</w:t>
      </w:r>
    </w:p>
    <w:p w:rsidRPr="00CC2500" w:rsidR="00CC2500" w:rsidP="00CC2500" w:rsidRDefault="00CC2500" w14:paraId="143A7023" w14:textId="77777777">
      <w:pPr>
        <w:rPr>
          <w:sz w:val="24"/>
        </w:rPr>
      </w:pPr>
    </w:p>
    <w:p w:rsidRPr="00CC2500" w:rsidR="00215AD9" w:rsidP="00CC2500" w:rsidRDefault="00215AD9" w14:paraId="680D4888" w14:textId="5D03610F">
      <w:pPr>
        <w:rPr>
          <w:sz w:val="24"/>
        </w:rPr>
      </w:pPr>
      <w:r w:rsidRPr="00CC2500">
        <w:rPr>
          <w:sz w:val="24"/>
        </w:rPr>
        <w:t>Since t</w:t>
      </w:r>
      <w:r w:rsidRPr="00CC2500" w:rsidR="00F439DB">
        <w:rPr>
          <w:sz w:val="24"/>
        </w:rPr>
        <w:t xml:space="preserve">his is a </w:t>
      </w:r>
      <w:r w:rsidRPr="00CC2500" w:rsidR="00FE058F">
        <w:rPr>
          <w:sz w:val="24"/>
        </w:rPr>
        <w:t xml:space="preserve">federal </w:t>
      </w:r>
      <w:r w:rsidRPr="00CC2500" w:rsidR="00F439DB">
        <w:rPr>
          <w:sz w:val="24"/>
        </w:rPr>
        <w:t>cost-sharing contract</w:t>
      </w:r>
      <w:r w:rsidRPr="00CC2500" w:rsidR="00FE058F">
        <w:rPr>
          <w:sz w:val="24"/>
        </w:rPr>
        <w:t>,</w:t>
      </w:r>
      <w:r w:rsidRPr="00CC2500" w:rsidR="00B2264D">
        <w:rPr>
          <w:sz w:val="24"/>
        </w:rPr>
        <w:t xml:space="preserve"> it is </w:t>
      </w:r>
      <w:r w:rsidRPr="00CC2500">
        <w:rPr>
          <w:sz w:val="24"/>
        </w:rPr>
        <w:t>based on</w:t>
      </w:r>
      <w:r w:rsidRPr="00CC2500" w:rsidR="00B2264D">
        <w:rPr>
          <w:sz w:val="24"/>
        </w:rPr>
        <w:t xml:space="preserve"> cost-reimbursement </w:t>
      </w:r>
      <w:r w:rsidRPr="00CC2500" w:rsidR="00347EB7">
        <w:rPr>
          <w:sz w:val="24"/>
        </w:rPr>
        <w:t xml:space="preserve">with </w:t>
      </w:r>
      <w:r w:rsidRPr="00CC2500" w:rsidR="00FE058F">
        <w:rPr>
          <w:sz w:val="24"/>
        </w:rPr>
        <w:t xml:space="preserve">UNOS </w:t>
      </w:r>
      <w:r w:rsidRPr="00CC2500" w:rsidR="00347EB7">
        <w:rPr>
          <w:sz w:val="24"/>
        </w:rPr>
        <w:t>receiving</w:t>
      </w:r>
      <w:r w:rsidRPr="00CC2500" w:rsidR="00B2264D">
        <w:rPr>
          <w:sz w:val="24"/>
        </w:rPr>
        <w:t xml:space="preserve"> no fee and </w:t>
      </w:r>
      <w:r w:rsidRPr="00CC2500" w:rsidR="00347EB7">
        <w:rPr>
          <w:sz w:val="24"/>
        </w:rPr>
        <w:t>being</w:t>
      </w:r>
      <w:r w:rsidRPr="00CC2500" w:rsidR="00B2264D">
        <w:rPr>
          <w:sz w:val="24"/>
        </w:rPr>
        <w:t xml:space="preserve"> reimbursed only for an agreed-upon portion of its allowable costs. </w:t>
      </w:r>
      <w:r w:rsidR="00CC2500">
        <w:rPr>
          <w:sz w:val="24"/>
        </w:rPr>
        <w:t xml:space="preserve"> </w:t>
      </w:r>
      <w:r w:rsidRPr="00CC2500" w:rsidR="00D22CA8">
        <w:rPr>
          <w:sz w:val="24"/>
        </w:rPr>
        <w:t>Costs related to membership application are 100</w:t>
      </w:r>
      <w:r w:rsidR="00CC2500">
        <w:rPr>
          <w:sz w:val="24"/>
        </w:rPr>
        <w:t xml:space="preserve"> percent</w:t>
      </w:r>
      <w:r w:rsidRPr="00CC2500" w:rsidR="00D22CA8">
        <w:rPr>
          <w:sz w:val="24"/>
        </w:rPr>
        <w:t xml:space="preserve"> reimbursable. </w:t>
      </w:r>
      <w:r w:rsidR="006D3FDC">
        <w:rPr>
          <w:sz w:val="24"/>
        </w:rPr>
        <w:t xml:space="preserve"> </w:t>
      </w:r>
      <w:r w:rsidRPr="00CC2500" w:rsidR="00B2264D">
        <w:rPr>
          <w:sz w:val="24"/>
        </w:rPr>
        <w:t>As such</w:t>
      </w:r>
      <w:r w:rsidR="006D3FDC">
        <w:rPr>
          <w:sz w:val="24"/>
        </w:rPr>
        <w:t>,</w:t>
      </w:r>
      <w:r w:rsidRPr="00CC2500" w:rsidR="00B2264D">
        <w:rPr>
          <w:sz w:val="24"/>
        </w:rPr>
        <w:t xml:space="preserve"> the cost </w:t>
      </w:r>
      <w:r w:rsidRPr="00CC2500" w:rsidR="005116AD">
        <w:rPr>
          <w:sz w:val="24"/>
        </w:rPr>
        <w:t>given below</w:t>
      </w:r>
      <w:r w:rsidRPr="00CC2500" w:rsidR="00B2264D">
        <w:rPr>
          <w:sz w:val="24"/>
        </w:rPr>
        <w:t xml:space="preserve"> under </w:t>
      </w:r>
      <w:r w:rsidR="006D3FDC">
        <w:rPr>
          <w:sz w:val="24"/>
        </w:rPr>
        <w:t>"</w:t>
      </w:r>
      <w:r w:rsidRPr="00CC2500" w:rsidR="00B2264D">
        <w:rPr>
          <w:sz w:val="24"/>
        </w:rPr>
        <w:t>Contractor Costs</w:t>
      </w:r>
      <w:r w:rsidR="006D3FDC">
        <w:rPr>
          <w:sz w:val="24"/>
        </w:rPr>
        <w:t>"</w:t>
      </w:r>
      <w:r w:rsidRPr="00CC2500" w:rsidR="006D3FDC">
        <w:rPr>
          <w:sz w:val="24"/>
        </w:rPr>
        <w:t xml:space="preserve"> </w:t>
      </w:r>
      <w:r w:rsidRPr="00CC2500" w:rsidR="00B2264D">
        <w:rPr>
          <w:sz w:val="24"/>
        </w:rPr>
        <w:t xml:space="preserve">represents </w:t>
      </w:r>
      <w:r w:rsidRPr="00CC2500" w:rsidR="00D22CA8">
        <w:rPr>
          <w:sz w:val="24"/>
        </w:rPr>
        <w:t>the estimated cost charged for</w:t>
      </w:r>
      <w:r w:rsidRPr="00CC2500">
        <w:rPr>
          <w:sz w:val="24"/>
        </w:rPr>
        <w:t xml:space="preserve"> membership application work</w:t>
      </w:r>
      <w:r w:rsidRPr="00CC2500" w:rsidR="00D22CA8">
        <w:rPr>
          <w:sz w:val="24"/>
        </w:rPr>
        <w:t xml:space="preserve">. </w:t>
      </w:r>
      <w:r w:rsidRPr="00CC2500" w:rsidR="00CC2500">
        <w:rPr>
          <w:sz w:val="24"/>
        </w:rPr>
        <w:t xml:space="preserve"> </w:t>
      </w:r>
      <w:r w:rsidRPr="00CC2500">
        <w:rPr>
          <w:sz w:val="24"/>
        </w:rPr>
        <w:t>It is an aggregate</w:t>
      </w:r>
      <w:r w:rsidRPr="00CC2500" w:rsidR="005116AD">
        <w:rPr>
          <w:sz w:val="24"/>
        </w:rPr>
        <w:t xml:space="preserve"> amount. </w:t>
      </w:r>
    </w:p>
    <w:p w:rsidR="00215AD9" w:rsidP="00215AD9" w:rsidRDefault="00215AD9" w14:paraId="20E73260" w14:textId="77777777">
      <w:pPr>
        <w:rPr>
          <w:color w:val="FF0000"/>
        </w:rPr>
      </w:pPr>
    </w:p>
    <w:p w:rsidRPr="00CC2500" w:rsidR="00DB62BC" w:rsidRDefault="00DB62BC" w14:paraId="5A7D9AB5" w14:textId="65AF5516">
      <w:pPr>
        <w:autoSpaceDE/>
        <w:autoSpaceDN/>
        <w:adjustRightInd/>
        <w:rPr>
          <w:rFonts w:ascii="CG Times" w:hAnsi="CG Times"/>
          <w:snapToGrid w:val="0"/>
          <w:color w:val="000000"/>
          <w:sz w:val="24"/>
        </w:rPr>
      </w:pPr>
      <w:r w:rsidRPr="74DB0542">
        <w:rPr>
          <w:rFonts w:ascii="CG Times" w:hAnsi="CG Times"/>
          <w:snapToGrid w:val="0"/>
          <w:color w:val="000000"/>
          <w:sz w:val="24"/>
        </w:rPr>
        <w:t>Contractor tasks include developing and maintaini</w:t>
      </w:r>
      <w:r w:rsidRPr="74DB0542" w:rsidR="00F036C9">
        <w:rPr>
          <w:rFonts w:ascii="CG Times" w:hAnsi="CG Times"/>
          <w:snapToGrid w:val="0"/>
          <w:color w:val="000000"/>
          <w:sz w:val="24"/>
        </w:rPr>
        <w:t>ng membership application forms</w:t>
      </w:r>
      <w:r w:rsidRPr="74DB0542">
        <w:rPr>
          <w:rFonts w:ascii="CG Times" w:hAnsi="CG Times"/>
          <w:snapToGrid w:val="0"/>
          <w:color w:val="000000"/>
          <w:sz w:val="24"/>
        </w:rPr>
        <w:t>, providing application forms</w:t>
      </w:r>
      <w:r w:rsidRPr="74DB0542" w:rsidR="00D22CA8">
        <w:rPr>
          <w:rFonts w:ascii="CG Times" w:hAnsi="CG Times"/>
          <w:snapToGrid w:val="0"/>
          <w:color w:val="000000"/>
          <w:sz w:val="24"/>
        </w:rPr>
        <w:t xml:space="preserve"> with instruction </w:t>
      </w:r>
      <w:r w:rsidRPr="74DB0542">
        <w:rPr>
          <w:rFonts w:ascii="CG Times" w:hAnsi="CG Times"/>
          <w:snapToGrid w:val="0"/>
          <w:color w:val="000000"/>
          <w:sz w:val="24"/>
        </w:rPr>
        <w:t>as requested, assist</w:t>
      </w:r>
      <w:r w:rsidRPr="74DB0542" w:rsidR="00347EB7">
        <w:rPr>
          <w:rFonts w:ascii="CG Times" w:hAnsi="CG Times"/>
          <w:snapToGrid w:val="0"/>
          <w:color w:val="000000"/>
          <w:sz w:val="24"/>
        </w:rPr>
        <w:t>ing</w:t>
      </w:r>
      <w:r w:rsidRPr="74DB0542">
        <w:rPr>
          <w:rFonts w:ascii="CG Times" w:hAnsi="CG Times"/>
          <w:snapToGrid w:val="0"/>
          <w:color w:val="000000"/>
          <w:sz w:val="24"/>
        </w:rPr>
        <w:t xml:space="preserve"> applicants</w:t>
      </w:r>
      <w:r w:rsidRPr="74DB0542" w:rsidR="00D22CA8">
        <w:rPr>
          <w:rFonts w:ascii="CG Times" w:hAnsi="CG Times"/>
          <w:snapToGrid w:val="0"/>
          <w:color w:val="000000"/>
          <w:sz w:val="24"/>
        </w:rPr>
        <w:t xml:space="preserve"> i</w:t>
      </w:r>
      <w:r w:rsidRPr="74DB0542" w:rsidR="00347EB7">
        <w:rPr>
          <w:rFonts w:ascii="CG Times" w:hAnsi="CG Times"/>
          <w:snapToGrid w:val="0"/>
          <w:color w:val="000000"/>
          <w:sz w:val="24"/>
        </w:rPr>
        <w:t>n completing the forms</w:t>
      </w:r>
      <w:r w:rsidRPr="74DB0542">
        <w:rPr>
          <w:rFonts w:ascii="CG Times" w:hAnsi="CG Times"/>
          <w:snapToGrid w:val="0"/>
          <w:color w:val="000000"/>
          <w:sz w:val="24"/>
        </w:rPr>
        <w:t xml:space="preserve">, </w:t>
      </w:r>
      <w:r w:rsidRPr="74DB0542" w:rsidR="00D22CA8">
        <w:rPr>
          <w:rFonts w:ascii="CG Times" w:hAnsi="CG Times"/>
          <w:snapToGrid w:val="0"/>
          <w:color w:val="000000"/>
          <w:sz w:val="24"/>
        </w:rPr>
        <w:t>securing</w:t>
      </w:r>
      <w:r w:rsidRPr="74DB0542">
        <w:rPr>
          <w:rFonts w:ascii="CG Times" w:hAnsi="CG Times"/>
          <w:snapToGrid w:val="0"/>
          <w:color w:val="000000"/>
          <w:sz w:val="24"/>
        </w:rPr>
        <w:t xml:space="preserve"> application form completion, </w:t>
      </w:r>
      <w:r w:rsidRPr="74DB0542" w:rsidR="00D22CA8">
        <w:rPr>
          <w:rFonts w:ascii="CG Times" w:hAnsi="CG Times"/>
          <w:snapToGrid w:val="0"/>
          <w:color w:val="000000"/>
          <w:sz w:val="24"/>
        </w:rPr>
        <w:t>packaging and releasing application</w:t>
      </w:r>
      <w:r w:rsidRPr="74DB0542">
        <w:rPr>
          <w:rFonts w:ascii="CG Times" w:hAnsi="CG Times"/>
          <w:snapToGrid w:val="0"/>
          <w:color w:val="000000"/>
          <w:sz w:val="24"/>
        </w:rPr>
        <w:t xml:space="preserve"> for peer review, present</w:t>
      </w:r>
      <w:r w:rsidRPr="74DB0542" w:rsidR="00D22CA8">
        <w:rPr>
          <w:rFonts w:ascii="CG Times" w:hAnsi="CG Times"/>
          <w:snapToGrid w:val="0"/>
          <w:color w:val="000000"/>
          <w:sz w:val="24"/>
        </w:rPr>
        <w:t>ing</w:t>
      </w:r>
      <w:r w:rsidRPr="74DB0542">
        <w:rPr>
          <w:rFonts w:ascii="CG Times" w:hAnsi="CG Times"/>
          <w:snapToGrid w:val="0"/>
          <w:color w:val="000000"/>
          <w:sz w:val="24"/>
        </w:rPr>
        <w:t xml:space="preserve"> </w:t>
      </w:r>
      <w:r w:rsidRPr="74DB0542" w:rsidR="00347EB7">
        <w:rPr>
          <w:rFonts w:ascii="CG Times" w:hAnsi="CG Times"/>
          <w:snapToGrid w:val="0"/>
          <w:color w:val="000000"/>
          <w:sz w:val="24"/>
        </w:rPr>
        <w:t xml:space="preserve">application as required </w:t>
      </w:r>
      <w:r w:rsidRPr="74DB0542" w:rsidR="00D22CA8">
        <w:rPr>
          <w:rFonts w:ascii="CG Times" w:hAnsi="CG Times"/>
          <w:snapToGrid w:val="0"/>
          <w:color w:val="000000"/>
          <w:sz w:val="24"/>
        </w:rPr>
        <w:t>to achieve</w:t>
      </w:r>
      <w:r w:rsidRPr="74DB0542">
        <w:rPr>
          <w:rFonts w:ascii="CG Times" w:hAnsi="CG Times"/>
          <w:snapToGrid w:val="0"/>
          <w:color w:val="000000"/>
          <w:sz w:val="24"/>
        </w:rPr>
        <w:t xml:space="preserve"> final decision on the application</w:t>
      </w:r>
      <w:r w:rsidRPr="74DB0542" w:rsidR="00D22CA8">
        <w:rPr>
          <w:rFonts w:ascii="CG Times" w:hAnsi="CG Times"/>
          <w:snapToGrid w:val="0"/>
          <w:color w:val="000000"/>
          <w:sz w:val="24"/>
        </w:rPr>
        <w:t xml:space="preserve"> </w:t>
      </w:r>
      <w:r w:rsidRPr="74DB0542" w:rsidR="00347EB7">
        <w:rPr>
          <w:rFonts w:ascii="CG Times" w:hAnsi="CG Times"/>
          <w:snapToGrid w:val="0"/>
          <w:color w:val="000000"/>
          <w:sz w:val="24"/>
        </w:rPr>
        <w:t>and always be</w:t>
      </w:r>
      <w:r w:rsidRPr="74DB0542" w:rsidR="00D22CA8">
        <w:rPr>
          <w:rFonts w:ascii="CG Times" w:hAnsi="CG Times"/>
          <w:snapToGrid w:val="0"/>
          <w:color w:val="000000"/>
          <w:sz w:val="24"/>
        </w:rPr>
        <w:t>ing</w:t>
      </w:r>
      <w:r w:rsidRPr="74DB0542" w:rsidR="00347EB7">
        <w:rPr>
          <w:rFonts w:ascii="CG Times" w:hAnsi="CG Times"/>
          <w:snapToGrid w:val="0"/>
          <w:color w:val="000000"/>
          <w:sz w:val="24"/>
        </w:rPr>
        <w:t xml:space="preserve"> available as an application subject matter expert for anyone needing assistance</w:t>
      </w:r>
      <w:r w:rsidRPr="74DB0542">
        <w:rPr>
          <w:rFonts w:ascii="CG Times" w:hAnsi="CG Times"/>
          <w:snapToGrid w:val="0"/>
          <w:color w:val="000000"/>
          <w:sz w:val="24"/>
        </w:rPr>
        <w:t>.</w:t>
      </w:r>
    </w:p>
    <w:p w:rsidR="006C61A3" w:rsidP="00CC2500" w:rsidRDefault="006C61A3" w14:paraId="7BCF6148" w14:textId="77777777">
      <w:pPr>
        <w:spacing w:line="480" w:lineRule="auto"/>
        <w:rPr>
          <w:b/>
          <w:bCs/>
          <w:sz w:val="24"/>
        </w:rPr>
      </w:pPr>
    </w:p>
    <w:p w:rsidR="006C61A3" w:rsidRDefault="006C61A3" w14:paraId="144C4699" w14:textId="77777777">
      <w:pPr>
        <w:widowControl/>
        <w:autoSpaceDE/>
        <w:autoSpaceDN/>
        <w:adjustRightInd/>
        <w:spacing w:after="200" w:line="276" w:lineRule="auto"/>
        <w:rPr>
          <w:b/>
          <w:bCs/>
          <w:sz w:val="24"/>
        </w:rPr>
      </w:pPr>
      <w:r>
        <w:rPr>
          <w:b/>
          <w:bCs/>
          <w:sz w:val="24"/>
        </w:rPr>
        <w:br w:type="page"/>
      </w:r>
    </w:p>
    <w:p w:rsidRPr="00CC2500" w:rsidR="00C66862" w:rsidP="00CC2500" w:rsidRDefault="00C66862" w14:paraId="6257FAE8" w14:textId="27196534">
      <w:pPr>
        <w:spacing w:line="480" w:lineRule="auto"/>
        <w:rPr>
          <w:b/>
          <w:bCs/>
          <w:sz w:val="24"/>
        </w:rPr>
      </w:pPr>
      <w:r w:rsidRPr="74DB0542">
        <w:rPr>
          <w:b/>
          <w:bCs/>
          <w:sz w:val="24"/>
        </w:rPr>
        <w:lastRenderedPageBreak/>
        <w:t>Table 14-1   Cost to Federal Government</w:t>
      </w:r>
    </w:p>
    <w:tbl>
      <w:tblPr>
        <w:tblpPr w:leftFromText="180" w:rightFromText="180" w:vertAnchor="text" w:horzAnchor="margin" w:tblpXSpec="center" w:tblpY="150"/>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20"/>
        <w:gridCol w:w="18"/>
        <w:gridCol w:w="2052"/>
        <w:gridCol w:w="18"/>
        <w:gridCol w:w="1422"/>
        <w:gridCol w:w="18"/>
        <w:gridCol w:w="1782"/>
      </w:tblGrid>
      <w:tr w:rsidRPr="00480258" w:rsidR="00C66862" w:rsidTr="00CC2500" w14:paraId="23AC3DCE" w14:textId="77777777">
        <w:trPr>
          <w:trHeight w:val="443"/>
        </w:trPr>
        <w:tc>
          <w:tcPr>
            <w:tcW w:w="4320" w:type="dxa"/>
            <w:vAlign w:val="center"/>
          </w:tcPr>
          <w:p w:rsidRPr="00CC2500" w:rsidR="00C66862" w:rsidP="00CC2500" w:rsidRDefault="00C66862" w14:paraId="64418566" w14:textId="77777777">
            <w:pPr>
              <w:pStyle w:val="P1-StandPara"/>
              <w:spacing w:line="240" w:lineRule="auto"/>
              <w:rPr>
                <w:sz w:val="24"/>
                <w:szCs w:val="24"/>
              </w:rPr>
            </w:pPr>
            <w:r w:rsidRPr="00990525">
              <w:rPr>
                <w:sz w:val="24"/>
                <w:szCs w:val="24"/>
              </w:rPr>
              <w:t>Tasks/Personnel</w:t>
            </w:r>
          </w:p>
        </w:tc>
        <w:tc>
          <w:tcPr>
            <w:tcW w:w="2070" w:type="dxa"/>
            <w:gridSpan w:val="2"/>
          </w:tcPr>
          <w:p w:rsidRPr="00CC2500" w:rsidR="00C66862" w:rsidP="00CC2500" w:rsidRDefault="00C66862" w14:paraId="40A78235" w14:textId="77777777">
            <w:pPr>
              <w:pStyle w:val="P1-StandPara"/>
              <w:spacing w:line="240" w:lineRule="auto"/>
              <w:ind w:firstLine="72"/>
              <w:rPr>
                <w:sz w:val="24"/>
                <w:szCs w:val="24"/>
              </w:rPr>
            </w:pPr>
            <w:r w:rsidRPr="00990525">
              <w:rPr>
                <w:sz w:val="24"/>
                <w:szCs w:val="24"/>
              </w:rPr>
              <w:t>Annual Salary</w:t>
            </w:r>
          </w:p>
        </w:tc>
        <w:tc>
          <w:tcPr>
            <w:tcW w:w="1440" w:type="dxa"/>
            <w:gridSpan w:val="2"/>
          </w:tcPr>
          <w:p w:rsidRPr="00CC2500" w:rsidR="00C66862" w:rsidP="00CC2500" w:rsidRDefault="00C66862" w14:paraId="753AF129" w14:textId="77777777">
            <w:pPr>
              <w:pStyle w:val="P1-StandPara"/>
              <w:spacing w:line="240" w:lineRule="auto"/>
              <w:ind w:firstLine="0"/>
              <w:rPr>
                <w:sz w:val="24"/>
                <w:szCs w:val="24"/>
              </w:rPr>
            </w:pPr>
            <w:r w:rsidRPr="00990525">
              <w:rPr>
                <w:sz w:val="24"/>
                <w:szCs w:val="24"/>
              </w:rPr>
              <w:t>% of Time</w:t>
            </w:r>
          </w:p>
        </w:tc>
        <w:tc>
          <w:tcPr>
            <w:tcW w:w="1800" w:type="dxa"/>
            <w:gridSpan w:val="2"/>
            <w:vAlign w:val="center"/>
          </w:tcPr>
          <w:p w:rsidRPr="00CC2500" w:rsidR="00C66862" w:rsidP="00CC2500" w:rsidRDefault="00C66862" w14:paraId="71429DCA" w14:textId="77777777">
            <w:pPr>
              <w:pStyle w:val="P1-StandPara"/>
              <w:spacing w:line="240" w:lineRule="auto"/>
              <w:rPr>
                <w:sz w:val="24"/>
                <w:szCs w:val="24"/>
              </w:rPr>
            </w:pPr>
            <w:r w:rsidRPr="00990525">
              <w:rPr>
                <w:sz w:val="24"/>
                <w:szCs w:val="24"/>
              </w:rPr>
              <w:t>Cost</w:t>
            </w:r>
          </w:p>
        </w:tc>
      </w:tr>
      <w:tr w:rsidRPr="00480258" w:rsidR="00831C62" w:rsidTr="00CC2500" w14:paraId="49018E53" w14:textId="77777777">
        <w:trPr>
          <w:trHeight w:val="443"/>
        </w:trPr>
        <w:tc>
          <w:tcPr>
            <w:tcW w:w="9630" w:type="dxa"/>
            <w:gridSpan w:val="7"/>
            <w:vAlign w:val="center"/>
          </w:tcPr>
          <w:p w:rsidRPr="00CC2500" w:rsidR="00831C62" w:rsidP="00CC2500" w:rsidRDefault="00831C62" w14:paraId="57934D19" w14:textId="76988006">
            <w:pPr>
              <w:pStyle w:val="P1-StandPara"/>
              <w:spacing w:line="240" w:lineRule="auto"/>
              <w:rPr>
                <w:sz w:val="24"/>
                <w:szCs w:val="24"/>
              </w:rPr>
            </w:pPr>
            <w:r w:rsidRPr="00990525">
              <w:rPr>
                <w:sz w:val="24"/>
                <w:szCs w:val="24"/>
              </w:rPr>
              <w:t>Pre-OMB Approval</w:t>
            </w:r>
          </w:p>
        </w:tc>
      </w:tr>
      <w:tr w:rsidRPr="00480258" w:rsidR="00C66862" w:rsidTr="00CC2500" w14:paraId="77EEAEB4" w14:textId="77777777">
        <w:trPr>
          <w:trHeight w:val="418"/>
        </w:trPr>
        <w:tc>
          <w:tcPr>
            <w:tcW w:w="9630" w:type="dxa"/>
            <w:gridSpan w:val="7"/>
            <w:shd w:val="clear" w:color="auto" w:fill="D9D9D9" w:themeFill="background1" w:themeFillShade="D9"/>
            <w:vAlign w:val="center"/>
          </w:tcPr>
          <w:p w:rsidRPr="00CC2500" w:rsidR="00C66862" w:rsidP="00CC2500" w:rsidRDefault="00C66862" w14:paraId="7F1230FF" w14:textId="77777777">
            <w:pPr>
              <w:pStyle w:val="P1-StandPara"/>
              <w:spacing w:line="240" w:lineRule="auto"/>
              <w:ind w:firstLine="0"/>
              <w:jc w:val="center"/>
              <w:rPr>
                <w:sz w:val="24"/>
                <w:szCs w:val="24"/>
              </w:rPr>
            </w:pPr>
            <w:r w:rsidRPr="00990525">
              <w:rPr>
                <w:sz w:val="24"/>
                <w:szCs w:val="24"/>
              </w:rPr>
              <w:t>Government Personnel Costs:</w:t>
            </w:r>
          </w:p>
        </w:tc>
      </w:tr>
      <w:tr w:rsidRPr="00480258" w:rsidR="00695F9D" w:rsidTr="00CC2500" w14:paraId="79A28CCC" w14:textId="77777777">
        <w:trPr>
          <w:trHeight w:val="452"/>
        </w:trPr>
        <w:tc>
          <w:tcPr>
            <w:tcW w:w="4338" w:type="dxa"/>
            <w:gridSpan w:val="2"/>
            <w:vAlign w:val="center"/>
          </w:tcPr>
          <w:p w:rsidRPr="00CC2500" w:rsidR="00695F9D" w:rsidRDefault="00831C62" w14:paraId="77C79EEC" w14:textId="0643E63C">
            <w:pPr>
              <w:jc w:val="both"/>
              <w:rPr>
                <w:sz w:val="24"/>
              </w:rPr>
            </w:pPr>
            <w:r w:rsidRPr="74DB0542">
              <w:rPr>
                <w:sz w:val="24"/>
              </w:rPr>
              <w:t>Public Health Analyst-GS13, Step 4</w:t>
            </w:r>
            <w:r w:rsidRPr="74DB0542" w:rsidR="00477A86">
              <w:rPr>
                <w:rStyle w:val="FootnoteReference"/>
                <w:sz w:val="24"/>
              </w:rPr>
              <w:footnoteReference w:id="1"/>
            </w:r>
          </w:p>
        </w:tc>
        <w:tc>
          <w:tcPr>
            <w:tcW w:w="2070" w:type="dxa"/>
            <w:gridSpan w:val="2"/>
            <w:vAlign w:val="center"/>
          </w:tcPr>
          <w:p w:rsidRPr="00CC2500" w:rsidR="00695F9D" w:rsidP="00CC2500" w:rsidRDefault="00477A86" w14:paraId="4028B148" w14:textId="6D476455">
            <w:pPr>
              <w:pStyle w:val="P1-StandPara"/>
              <w:spacing w:line="240" w:lineRule="auto"/>
              <w:ind w:firstLine="0"/>
              <w:jc w:val="center"/>
              <w:rPr>
                <w:sz w:val="24"/>
                <w:szCs w:val="24"/>
              </w:rPr>
            </w:pPr>
            <w:r w:rsidRPr="00990525">
              <w:rPr>
                <w:sz w:val="24"/>
                <w:szCs w:val="24"/>
              </w:rPr>
              <w:t>$98,916</w:t>
            </w:r>
          </w:p>
        </w:tc>
        <w:tc>
          <w:tcPr>
            <w:tcW w:w="1440" w:type="dxa"/>
            <w:gridSpan w:val="2"/>
            <w:vAlign w:val="center"/>
          </w:tcPr>
          <w:p w:rsidRPr="00CC2500" w:rsidR="00695F9D" w:rsidP="00CC2500" w:rsidRDefault="00831C62" w14:paraId="7425E00F" w14:textId="718D385D">
            <w:pPr>
              <w:pStyle w:val="P1-StandPara"/>
              <w:spacing w:line="240" w:lineRule="auto"/>
              <w:ind w:firstLine="0"/>
              <w:jc w:val="center"/>
              <w:rPr>
                <w:sz w:val="24"/>
                <w:szCs w:val="24"/>
              </w:rPr>
            </w:pPr>
            <w:r w:rsidRPr="00990525">
              <w:rPr>
                <w:sz w:val="24"/>
                <w:szCs w:val="24"/>
              </w:rPr>
              <w:t>2%</w:t>
            </w:r>
          </w:p>
        </w:tc>
        <w:tc>
          <w:tcPr>
            <w:tcW w:w="1782" w:type="dxa"/>
            <w:vAlign w:val="center"/>
          </w:tcPr>
          <w:p w:rsidRPr="00CC2500" w:rsidR="00695F9D" w:rsidP="00CC2500" w:rsidRDefault="00A5481E" w14:paraId="6C119589" w14:textId="5157878C">
            <w:pPr>
              <w:pStyle w:val="P1-StandPara"/>
              <w:spacing w:line="240" w:lineRule="auto"/>
              <w:ind w:firstLine="0"/>
              <w:jc w:val="right"/>
              <w:rPr>
                <w:sz w:val="24"/>
                <w:szCs w:val="24"/>
              </w:rPr>
            </w:pPr>
            <w:r w:rsidRPr="00990525">
              <w:rPr>
                <w:sz w:val="24"/>
                <w:szCs w:val="24"/>
              </w:rPr>
              <w:t>$1</w:t>
            </w:r>
            <w:r w:rsidR="00CC2500">
              <w:rPr>
                <w:sz w:val="24"/>
                <w:szCs w:val="24"/>
              </w:rPr>
              <w:t>,</w:t>
            </w:r>
            <w:r w:rsidRPr="00990525">
              <w:rPr>
                <w:sz w:val="24"/>
                <w:szCs w:val="24"/>
              </w:rPr>
              <w:t>978.00</w:t>
            </w:r>
          </w:p>
        </w:tc>
      </w:tr>
      <w:tr w:rsidRPr="00480258" w:rsidR="00C66862" w:rsidTr="00CC2500" w14:paraId="14421B68" w14:textId="77777777">
        <w:trPr>
          <w:trHeight w:val="373"/>
        </w:trPr>
        <w:tc>
          <w:tcPr>
            <w:tcW w:w="9630" w:type="dxa"/>
            <w:gridSpan w:val="7"/>
            <w:shd w:val="clear" w:color="auto" w:fill="D9D9D9" w:themeFill="background1" w:themeFillShade="D9"/>
            <w:vAlign w:val="center"/>
          </w:tcPr>
          <w:p w:rsidRPr="00CC2500" w:rsidR="00C66862" w:rsidP="00CC2500" w:rsidRDefault="00DB62BC" w14:paraId="4FE80CDB" w14:textId="05749996">
            <w:pPr>
              <w:pStyle w:val="P1-StandPara"/>
              <w:spacing w:line="240" w:lineRule="auto"/>
              <w:ind w:firstLine="0"/>
              <w:jc w:val="center"/>
              <w:rPr>
                <w:sz w:val="24"/>
                <w:szCs w:val="24"/>
              </w:rPr>
            </w:pPr>
            <w:r w:rsidRPr="00990525">
              <w:rPr>
                <w:sz w:val="24"/>
                <w:szCs w:val="24"/>
              </w:rPr>
              <w:t xml:space="preserve">Government </w:t>
            </w:r>
            <w:r w:rsidRPr="00990525" w:rsidR="00C66862">
              <w:rPr>
                <w:sz w:val="24"/>
                <w:szCs w:val="24"/>
              </w:rPr>
              <w:t>Non-Personnel Costs:</w:t>
            </w:r>
          </w:p>
        </w:tc>
      </w:tr>
      <w:tr w:rsidRPr="00480258" w:rsidR="00C66862" w:rsidTr="00CC2500" w14:paraId="0BE77E75" w14:textId="77777777">
        <w:trPr>
          <w:trHeight w:val="452"/>
        </w:trPr>
        <w:tc>
          <w:tcPr>
            <w:tcW w:w="4338" w:type="dxa"/>
            <w:gridSpan w:val="2"/>
            <w:vAlign w:val="center"/>
          </w:tcPr>
          <w:p w:rsidRPr="00480258" w:rsidR="00C66862" w:rsidP="00331F43" w:rsidRDefault="00C66862" w14:paraId="47222332" w14:textId="7FE5193C">
            <w:pPr>
              <w:pStyle w:val="P1-StandPara"/>
              <w:spacing w:line="240" w:lineRule="auto"/>
              <w:ind w:firstLine="270"/>
              <w:jc w:val="both"/>
              <w:rPr>
                <w:bCs/>
                <w:sz w:val="24"/>
                <w:szCs w:val="24"/>
              </w:rPr>
            </w:pPr>
          </w:p>
        </w:tc>
        <w:tc>
          <w:tcPr>
            <w:tcW w:w="2070" w:type="dxa"/>
            <w:gridSpan w:val="2"/>
            <w:vAlign w:val="center"/>
          </w:tcPr>
          <w:p w:rsidRPr="00CC2500" w:rsidR="00C66862" w:rsidP="00CC2500" w:rsidRDefault="00C66862" w14:paraId="03AD1AC5" w14:textId="77777777">
            <w:pPr>
              <w:pStyle w:val="P1-StandPara"/>
              <w:spacing w:line="240" w:lineRule="auto"/>
              <w:ind w:firstLine="0"/>
              <w:jc w:val="center"/>
              <w:rPr>
                <w:sz w:val="24"/>
                <w:szCs w:val="24"/>
              </w:rPr>
            </w:pPr>
            <w:r w:rsidRPr="00990525">
              <w:rPr>
                <w:sz w:val="24"/>
                <w:szCs w:val="24"/>
              </w:rPr>
              <w:t>NA</w:t>
            </w:r>
          </w:p>
        </w:tc>
        <w:tc>
          <w:tcPr>
            <w:tcW w:w="1440" w:type="dxa"/>
            <w:gridSpan w:val="2"/>
            <w:vAlign w:val="center"/>
          </w:tcPr>
          <w:p w:rsidRPr="00CC2500" w:rsidR="00C66862" w:rsidP="00CC2500" w:rsidRDefault="00C66862" w14:paraId="22E8B6BC" w14:textId="77777777">
            <w:pPr>
              <w:pStyle w:val="P1-StandPara"/>
              <w:spacing w:line="240" w:lineRule="auto"/>
              <w:ind w:firstLine="0"/>
              <w:jc w:val="center"/>
              <w:rPr>
                <w:sz w:val="24"/>
                <w:szCs w:val="24"/>
              </w:rPr>
            </w:pPr>
            <w:r w:rsidRPr="00990525">
              <w:rPr>
                <w:sz w:val="24"/>
                <w:szCs w:val="24"/>
              </w:rPr>
              <w:t>NA</w:t>
            </w:r>
          </w:p>
        </w:tc>
        <w:tc>
          <w:tcPr>
            <w:tcW w:w="1782" w:type="dxa"/>
            <w:vAlign w:val="center"/>
          </w:tcPr>
          <w:p w:rsidRPr="00480258" w:rsidR="00C66862" w:rsidP="00331F43" w:rsidRDefault="00C66862" w14:paraId="54B7027E" w14:textId="136224E5">
            <w:pPr>
              <w:pStyle w:val="P1-StandPara"/>
              <w:spacing w:line="240" w:lineRule="auto"/>
              <w:ind w:firstLine="0"/>
              <w:jc w:val="right"/>
              <w:rPr>
                <w:bCs/>
                <w:sz w:val="24"/>
                <w:szCs w:val="24"/>
              </w:rPr>
            </w:pPr>
          </w:p>
        </w:tc>
      </w:tr>
      <w:tr w:rsidRPr="00480258" w:rsidR="00C66862" w:rsidTr="00CC2500" w14:paraId="280DE66B" w14:textId="77777777">
        <w:trPr>
          <w:trHeight w:val="364"/>
        </w:trPr>
        <w:tc>
          <w:tcPr>
            <w:tcW w:w="9630" w:type="dxa"/>
            <w:gridSpan w:val="7"/>
            <w:shd w:val="clear" w:color="auto" w:fill="D9D9D9" w:themeFill="background1" w:themeFillShade="D9"/>
            <w:vAlign w:val="center"/>
          </w:tcPr>
          <w:p w:rsidRPr="00CC2500" w:rsidR="00C66862" w:rsidP="00CC2500" w:rsidRDefault="00C66862" w14:paraId="21DCA0B4" w14:textId="6D18B54E">
            <w:pPr>
              <w:pStyle w:val="P1-StandPara"/>
              <w:spacing w:line="240" w:lineRule="auto"/>
              <w:ind w:firstLine="0"/>
              <w:jc w:val="center"/>
              <w:rPr>
                <w:sz w:val="24"/>
                <w:szCs w:val="24"/>
              </w:rPr>
            </w:pPr>
            <w:r w:rsidRPr="00990525">
              <w:rPr>
                <w:sz w:val="24"/>
                <w:szCs w:val="24"/>
              </w:rPr>
              <w:t xml:space="preserve">Contractor Costs:  </w:t>
            </w:r>
          </w:p>
        </w:tc>
      </w:tr>
      <w:tr w:rsidRPr="00480258" w:rsidR="00DB62BC" w:rsidTr="00CC2500" w14:paraId="4213DE84" w14:textId="77777777">
        <w:trPr>
          <w:trHeight w:val="452"/>
        </w:trPr>
        <w:tc>
          <w:tcPr>
            <w:tcW w:w="7830" w:type="dxa"/>
            <w:gridSpan w:val="5"/>
            <w:vAlign w:val="center"/>
          </w:tcPr>
          <w:p w:rsidRPr="00CC2500" w:rsidR="00DB62BC" w:rsidP="00CC2500" w:rsidRDefault="00DB62BC" w14:paraId="5EC985C7" w14:textId="1D88FA68">
            <w:pPr>
              <w:pStyle w:val="P1-StandPara"/>
              <w:spacing w:line="240" w:lineRule="auto"/>
              <w:ind w:firstLine="0"/>
              <w:rPr>
                <w:sz w:val="24"/>
                <w:szCs w:val="24"/>
              </w:rPr>
            </w:pPr>
            <w:r w:rsidRPr="00990525">
              <w:rPr>
                <w:sz w:val="24"/>
                <w:szCs w:val="24"/>
              </w:rPr>
              <w:t>Estimated Membership Application</w:t>
            </w:r>
            <w:r w:rsidRPr="00990525" w:rsidR="005B4C63">
              <w:rPr>
                <w:sz w:val="24"/>
                <w:szCs w:val="24"/>
              </w:rPr>
              <w:t xml:space="preserve"> </w:t>
            </w:r>
            <w:r w:rsidRPr="00CC2500">
              <w:rPr>
                <w:sz w:val="24"/>
                <w:szCs w:val="24"/>
              </w:rPr>
              <w:t>Work Effort</w:t>
            </w:r>
          </w:p>
        </w:tc>
        <w:tc>
          <w:tcPr>
            <w:tcW w:w="1800" w:type="dxa"/>
            <w:gridSpan w:val="2"/>
            <w:vAlign w:val="center"/>
          </w:tcPr>
          <w:p w:rsidRPr="00CC2500" w:rsidR="00DB62BC" w:rsidP="00CC2500" w:rsidRDefault="00DB62BC" w14:paraId="741E1B8D" w14:textId="78C0B01E">
            <w:pPr>
              <w:pStyle w:val="P1-StandPara"/>
              <w:spacing w:line="240" w:lineRule="auto"/>
              <w:ind w:firstLine="0"/>
              <w:jc w:val="right"/>
              <w:rPr>
                <w:sz w:val="24"/>
                <w:szCs w:val="24"/>
              </w:rPr>
            </w:pPr>
            <w:r w:rsidRPr="00990525">
              <w:rPr>
                <w:sz w:val="24"/>
                <w:szCs w:val="24"/>
              </w:rPr>
              <w:t>$345,000</w:t>
            </w:r>
          </w:p>
        </w:tc>
      </w:tr>
    </w:tbl>
    <w:p w:rsidRPr="00AF734F" w:rsidR="00C66862" w:rsidP="00E12355" w:rsidRDefault="00C66862" w14:paraId="1FCA08F4" w14:textId="77777777">
      <w:pPr>
        <w:widowControl/>
        <w:ind w:left="360"/>
        <w:rPr>
          <w:color w:val="000000"/>
          <w:sz w:val="24"/>
        </w:rPr>
      </w:pPr>
    </w:p>
    <w:p w:rsidRPr="00AF734F" w:rsidR="00E12355" w:rsidP="00E12355" w:rsidRDefault="00E12355" w14:paraId="654EC5CD" w14:textId="77777777">
      <w:pPr>
        <w:widowControl/>
        <w:ind w:left="360"/>
        <w:rPr>
          <w:color w:val="000000"/>
          <w:sz w:val="24"/>
        </w:rPr>
      </w:pPr>
    </w:p>
    <w:p w:rsidRPr="00CC2500" w:rsidR="00E12355" w:rsidRDefault="00E12355" w14:paraId="1A072483" w14:textId="77777777">
      <w:pPr>
        <w:numPr>
          <w:ilvl w:val="0"/>
          <w:numId w:val="1"/>
        </w:numPr>
        <w:rPr>
          <w:b/>
          <w:bCs/>
          <w:sz w:val="24"/>
        </w:rPr>
      </w:pPr>
      <w:r w:rsidRPr="00990525">
        <w:rPr>
          <w:b/>
          <w:bCs/>
          <w:sz w:val="24"/>
          <w:u w:val="single"/>
        </w:rPr>
        <w:t>Explanation for Program Changes or Adjustments</w:t>
      </w:r>
    </w:p>
    <w:p w:rsidRPr="00AF734F" w:rsidR="00E12355" w:rsidP="00E04691" w:rsidRDefault="00ED75BF" w14:paraId="47ACFBA1" w14:textId="64B96A3C">
      <w:pPr>
        <w:pStyle w:val="BodyTextIndent"/>
        <w:spacing w:before="120"/>
        <w:ind w:left="360"/>
        <w:rPr>
          <w:rFonts w:ascii="Times New Roman" w:hAnsi="Times New Roman"/>
        </w:rPr>
      </w:pPr>
      <w:r>
        <w:rPr>
          <w:rFonts w:ascii="Times New Roman" w:hAnsi="Times New Roman"/>
        </w:rPr>
        <w:t>Given the proposed changes in this revision request</w:t>
      </w:r>
      <w:r w:rsidRPr="00E04691" w:rsidR="00E04691">
        <w:rPr>
          <w:rFonts w:ascii="Times New Roman" w:hAnsi="Times New Roman"/>
        </w:rPr>
        <w:t xml:space="preserve">, the overall </w:t>
      </w:r>
      <w:r w:rsidR="00C7324E">
        <w:rPr>
          <w:rFonts w:ascii="Times New Roman" w:hAnsi="Times New Roman"/>
        </w:rPr>
        <w:t xml:space="preserve">estimated </w:t>
      </w:r>
      <w:r w:rsidRPr="00E04691" w:rsidR="00E04691">
        <w:rPr>
          <w:rFonts w:ascii="Times New Roman" w:hAnsi="Times New Roman"/>
        </w:rPr>
        <w:t xml:space="preserve">burden has decreased </w:t>
      </w:r>
      <w:r>
        <w:rPr>
          <w:rFonts w:ascii="Times New Roman" w:hAnsi="Times New Roman"/>
        </w:rPr>
        <w:t xml:space="preserve">from 7,020 </w:t>
      </w:r>
      <w:r w:rsidRPr="00E04691" w:rsidR="00E04691">
        <w:rPr>
          <w:rFonts w:ascii="Times New Roman" w:hAnsi="Times New Roman"/>
        </w:rPr>
        <w:t>total burden hours to 4,755 hours</w:t>
      </w:r>
      <w:r w:rsidR="00C7324E">
        <w:rPr>
          <w:rFonts w:ascii="Times New Roman" w:hAnsi="Times New Roman"/>
        </w:rPr>
        <w:t xml:space="preserve">.  </w:t>
      </w:r>
    </w:p>
    <w:p w:rsidRPr="00AF734F" w:rsidR="00E12355" w:rsidP="00E12355" w:rsidRDefault="00E12355" w14:paraId="523E26B4" w14:textId="77777777">
      <w:pPr>
        <w:numPr>
          <w:ilvl w:val="0"/>
          <w:numId w:val="1"/>
        </w:numPr>
        <w:spacing w:before="240"/>
        <w:rPr>
          <w:b/>
          <w:sz w:val="24"/>
        </w:rPr>
      </w:pPr>
      <w:r w:rsidRPr="00AF734F">
        <w:rPr>
          <w:b/>
          <w:sz w:val="24"/>
          <w:u w:val="single"/>
        </w:rPr>
        <w:t>Plans for Tabulation, Publication, and Project Time Schedule</w:t>
      </w:r>
    </w:p>
    <w:p w:rsidRPr="00AF734F" w:rsidR="00E12355" w:rsidP="00E12355" w:rsidRDefault="00E12355" w14:paraId="355FB1B7" w14:textId="09BDE9EA">
      <w:pPr>
        <w:ind w:left="360"/>
        <w:rPr>
          <w:color w:val="000000"/>
          <w:sz w:val="24"/>
        </w:rPr>
      </w:pPr>
      <w:r w:rsidRPr="00AF734F">
        <w:rPr>
          <w:color w:val="000000"/>
          <w:sz w:val="24"/>
        </w:rPr>
        <w:t xml:space="preserve">The OPTN accepts applications for membership throughout the year. </w:t>
      </w:r>
      <w:r w:rsidR="00CC2500">
        <w:rPr>
          <w:color w:val="000000"/>
          <w:sz w:val="24"/>
        </w:rPr>
        <w:t xml:space="preserve"> </w:t>
      </w:r>
      <w:r w:rsidRPr="00AF734F">
        <w:rPr>
          <w:color w:val="000000"/>
          <w:sz w:val="24"/>
        </w:rPr>
        <w:t xml:space="preserve">There are no plans for analysis or publication of the OPTN application materials.  </w:t>
      </w:r>
    </w:p>
    <w:p w:rsidRPr="00AF734F" w:rsidR="00E12355" w:rsidP="00E12355" w:rsidRDefault="00E12355" w14:paraId="333189A8" w14:textId="77777777">
      <w:pPr>
        <w:numPr>
          <w:ilvl w:val="0"/>
          <w:numId w:val="1"/>
        </w:numPr>
        <w:spacing w:before="240"/>
        <w:rPr>
          <w:b/>
          <w:sz w:val="24"/>
        </w:rPr>
      </w:pPr>
      <w:r w:rsidRPr="00AF734F">
        <w:rPr>
          <w:b/>
          <w:sz w:val="24"/>
          <w:u w:val="single"/>
        </w:rPr>
        <w:t>Reason(s) Display of OMB Expiration Date is Inappropriate</w:t>
      </w:r>
    </w:p>
    <w:p w:rsidRPr="00AF734F" w:rsidR="00E12355" w:rsidP="00E12355" w:rsidRDefault="00E12355" w14:paraId="0E7AB326" w14:textId="77777777">
      <w:pPr>
        <w:widowControl/>
        <w:ind w:left="360"/>
        <w:rPr>
          <w:color w:val="000000"/>
          <w:sz w:val="24"/>
        </w:rPr>
      </w:pPr>
      <w:r w:rsidRPr="00AF734F">
        <w:rPr>
          <w:color w:val="000000"/>
          <w:sz w:val="24"/>
        </w:rPr>
        <w:t>No exemption is requested.  The expiration date will be displayed.</w:t>
      </w:r>
      <w:r w:rsidRPr="00AF734F">
        <w:t xml:space="preserve"> </w:t>
      </w:r>
    </w:p>
    <w:p w:rsidRPr="00AF734F" w:rsidR="00E12355" w:rsidP="00E12355" w:rsidRDefault="00E12355" w14:paraId="1437665D" w14:textId="77777777">
      <w:pPr>
        <w:numPr>
          <w:ilvl w:val="0"/>
          <w:numId w:val="1"/>
        </w:numPr>
        <w:spacing w:before="240"/>
        <w:rPr>
          <w:b/>
          <w:sz w:val="24"/>
        </w:rPr>
      </w:pPr>
      <w:r w:rsidRPr="00AF734F">
        <w:rPr>
          <w:b/>
          <w:sz w:val="24"/>
          <w:u w:val="single"/>
        </w:rPr>
        <w:t>Exceptions to Certification for Paperwork Reduction Act Submissions</w:t>
      </w:r>
    </w:p>
    <w:p w:rsidRPr="00AF734F" w:rsidR="00E12355" w:rsidP="00E12355" w:rsidRDefault="00E12355" w14:paraId="2C5EC20C" w14:textId="6F35987C">
      <w:pPr>
        <w:widowControl/>
        <w:ind w:left="360"/>
      </w:pPr>
      <w:r w:rsidRPr="00AF734F">
        <w:rPr>
          <w:color w:val="000000"/>
          <w:sz w:val="24"/>
        </w:rPr>
        <w:t xml:space="preserve">This information collection fully complies with the guidelines </w:t>
      </w:r>
      <w:r w:rsidR="006D3FDC">
        <w:rPr>
          <w:color w:val="000000"/>
          <w:sz w:val="24"/>
        </w:rPr>
        <w:t>outlined</w:t>
      </w:r>
      <w:r w:rsidRPr="00AF734F">
        <w:rPr>
          <w:color w:val="000000"/>
          <w:sz w:val="24"/>
        </w:rPr>
        <w:t xml:space="preserve"> in 5 CFR 1320.9.  The certifications are included in the package.</w:t>
      </w:r>
      <w:r w:rsidRPr="00AF734F">
        <w:t xml:space="preserve"> </w:t>
      </w:r>
    </w:p>
    <w:p w:rsidR="00132088" w:rsidRDefault="00132088" w14:paraId="4A470C0B" w14:textId="77777777"/>
    <w:sectPr w:rsidR="00132088" w:rsidSect="00990525">
      <w:footerReference w:type="default" r:id="rId1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D7C74" w14:textId="77777777" w:rsidR="00FE6DD9" w:rsidRDefault="00FE6DD9">
      <w:r>
        <w:separator/>
      </w:r>
    </w:p>
  </w:endnote>
  <w:endnote w:type="continuationSeparator" w:id="0">
    <w:p w14:paraId="084FC5D0" w14:textId="77777777" w:rsidR="00FE6DD9" w:rsidRDefault="00FE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41FA" w14:textId="77777777" w:rsidR="006C0F5C" w:rsidRDefault="00662CEF">
    <w:pPr>
      <w:spacing w:line="240" w:lineRule="exact"/>
    </w:pPr>
  </w:p>
  <w:p w14:paraId="2F48E1AC" w14:textId="3C712111" w:rsidR="006C0F5C" w:rsidRDefault="00E12355">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62CEF">
      <w:rPr>
        <w:noProof/>
        <w:sz w:val="24"/>
      </w:rPr>
      <w:t>10</w:t>
    </w:r>
    <w:r>
      <w:rPr>
        <w:sz w:val="24"/>
      </w:rPr>
      <w:fldChar w:fldCharType="end"/>
    </w:r>
  </w:p>
  <w:p w14:paraId="1A0652C3" w14:textId="77777777" w:rsidR="006C0F5C" w:rsidRDefault="00662CE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D427" w14:textId="77777777" w:rsidR="00FE6DD9" w:rsidRDefault="00FE6DD9">
      <w:r>
        <w:separator/>
      </w:r>
    </w:p>
  </w:footnote>
  <w:footnote w:type="continuationSeparator" w:id="0">
    <w:p w14:paraId="6E871842" w14:textId="77777777" w:rsidR="00FE6DD9" w:rsidRDefault="00FE6DD9">
      <w:r>
        <w:continuationSeparator/>
      </w:r>
    </w:p>
  </w:footnote>
  <w:footnote w:id="1">
    <w:p w14:paraId="75E42DF6" w14:textId="048E971A" w:rsidR="00477A86" w:rsidRPr="00912E9F" w:rsidRDefault="00477A86">
      <w:pPr>
        <w:pStyle w:val="FootnoteText"/>
        <w:rPr>
          <w:sz w:val="16"/>
          <w:szCs w:val="16"/>
        </w:rPr>
      </w:pPr>
      <w:r w:rsidRPr="00912E9F">
        <w:rPr>
          <w:rStyle w:val="FootnoteReference"/>
          <w:sz w:val="16"/>
          <w:szCs w:val="16"/>
        </w:rPr>
        <w:footnoteRef/>
      </w:r>
      <w:r w:rsidRPr="00912E9F">
        <w:rPr>
          <w:sz w:val="16"/>
          <w:szCs w:val="16"/>
        </w:rPr>
        <w:t xml:space="preserve"> Based on 2014 OPM Pay Schedule for Washington D.C. Metro area, https://www.opm.gov/policy-data-oversight/pay-leave/salaries-wages/salary-tables/pdf/2014/DCB.pdf.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11F39"/>
    <w:multiLevelType w:val="hybridMultilevel"/>
    <w:tmpl w:val="EBD02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513A97"/>
    <w:multiLevelType w:val="hybridMultilevel"/>
    <w:tmpl w:val="C63C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D77EB"/>
    <w:multiLevelType w:val="hybridMultilevel"/>
    <w:tmpl w:val="946EE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7B2EC8"/>
    <w:multiLevelType w:val="hybridMultilevel"/>
    <w:tmpl w:val="C87C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B974A1"/>
    <w:multiLevelType w:val="hybridMultilevel"/>
    <w:tmpl w:val="1E76D49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FD0D8C"/>
    <w:multiLevelType w:val="hybridMultilevel"/>
    <w:tmpl w:val="CD50315A"/>
    <w:lvl w:ilvl="0" w:tplc="A7E208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D7C89"/>
    <w:multiLevelType w:val="hybridMultilevel"/>
    <w:tmpl w:val="C1742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NTYyMzUzMTU3NTVU0lEKTi0uzszPAykwrAUAESgfvywAAAA="/>
  </w:docVars>
  <w:rsids>
    <w:rsidRoot w:val="00E12355"/>
    <w:rsid w:val="00037488"/>
    <w:rsid w:val="00070568"/>
    <w:rsid w:val="00093EED"/>
    <w:rsid w:val="000D6723"/>
    <w:rsid w:val="000E12C3"/>
    <w:rsid w:val="000F4728"/>
    <w:rsid w:val="00132088"/>
    <w:rsid w:val="00144DE2"/>
    <w:rsid w:val="00162DA4"/>
    <w:rsid w:val="001D2681"/>
    <w:rsid w:val="001E7EF9"/>
    <w:rsid w:val="00215AD9"/>
    <w:rsid w:val="0023676B"/>
    <w:rsid w:val="00252FD5"/>
    <w:rsid w:val="00256CF7"/>
    <w:rsid w:val="00263659"/>
    <w:rsid w:val="002721AF"/>
    <w:rsid w:val="002800C4"/>
    <w:rsid w:val="00292662"/>
    <w:rsid w:val="002B2F0F"/>
    <w:rsid w:val="002C7695"/>
    <w:rsid w:val="002E7714"/>
    <w:rsid w:val="00302791"/>
    <w:rsid w:val="00316021"/>
    <w:rsid w:val="0034265D"/>
    <w:rsid w:val="00345E34"/>
    <w:rsid w:val="00347EB7"/>
    <w:rsid w:val="00361F4C"/>
    <w:rsid w:val="003B235B"/>
    <w:rsid w:val="003B5A29"/>
    <w:rsid w:val="003D365F"/>
    <w:rsid w:val="003F3140"/>
    <w:rsid w:val="004243B3"/>
    <w:rsid w:val="00430C75"/>
    <w:rsid w:val="004370D2"/>
    <w:rsid w:val="00442257"/>
    <w:rsid w:val="00444D21"/>
    <w:rsid w:val="0044502B"/>
    <w:rsid w:val="0045100A"/>
    <w:rsid w:val="00477A86"/>
    <w:rsid w:val="004913EC"/>
    <w:rsid w:val="004971E5"/>
    <w:rsid w:val="004C519F"/>
    <w:rsid w:val="0050541B"/>
    <w:rsid w:val="005116AD"/>
    <w:rsid w:val="00512E8D"/>
    <w:rsid w:val="00530EEF"/>
    <w:rsid w:val="005768CE"/>
    <w:rsid w:val="00592EEA"/>
    <w:rsid w:val="0059602D"/>
    <w:rsid w:val="005B32FC"/>
    <w:rsid w:val="005B390C"/>
    <w:rsid w:val="005B4C63"/>
    <w:rsid w:val="005E5E41"/>
    <w:rsid w:val="005F7D5F"/>
    <w:rsid w:val="00636375"/>
    <w:rsid w:val="00647B60"/>
    <w:rsid w:val="00651FAB"/>
    <w:rsid w:val="00662CEF"/>
    <w:rsid w:val="00680D65"/>
    <w:rsid w:val="006941C5"/>
    <w:rsid w:val="00695F9D"/>
    <w:rsid w:val="006B59AA"/>
    <w:rsid w:val="006C61A3"/>
    <w:rsid w:val="006C7C19"/>
    <w:rsid w:val="006D3FDC"/>
    <w:rsid w:val="006E2B41"/>
    <w:rsid w:val="006F3AE9"/>
    <w:rsid w:val="007207AB"/>
    <w:rsid w:val="007210AC"/>
    <w:rsid w:val="00752BFC"/>
    <w:rsid w:val="007B0C30"/>
    <w:rsid w:val="007B4FFB"/>
    <w:rsid w:val="007D5F88"/>
    <w:rsid w:val="0081793A"/>
    <w:rsid w:val="00831C62"/>
    <w:rsid w:val="008551B9"/>
    <w:rsid w:val="00857B1B"/>
    <w:rsid w:val="0087496C"/>
    <w:rsid w:val="00895AD8"/>
    <w:rsid w:val="008B17E8"/>
    <w:rsid w:val="008D3F30"/>
    <w:rsid w:val="008E3E9C"/>
    <w:rsid w:val="008E634D"/>
    <w:rsid w:val="00912E9F"/>
    <w:rsid w:val="009661E2"/>
    <w:rsid w:val="00990525"/>
    <w:rsid w:val="0099785F"/>
    <w:rsid w:val="009A14FE"/>
    <w:rsid w:val="009B0BC4"/>
    <w:rsid w:val="009B406D"/>
    <w:rsid w:val="009C081D"/>
    <w:rsid w:val="009E3803"/>
    <w:rsid w:val="00A24D39"/>
    <w:rsid w:val="00A449F2"/>
    <w:rsid w:val="00A5481E"/>
    <w:rsid w:val="00AB0AA7"/>
    <w:rsid w:val="00AB594D"/>
    <w:rsid w:val="00AE2989"/>
    <w:rsid w:val="00AE7FDD"/>
    <w:rsid w:val="00AF3A0F"/>
    <w:rsid w:val="00AF7A8C"/>
    <w:rsid w:val="00B15D89"/>
    <w:rsid w:val="00B176FF"/>
    <w:rsid w:val="00B2264D"/>
    <w:rsid w:val="00B53098"/>
    <w:rsid w:val="00B5495C"/>
    <w:rsid w:val="00B56F3F"/>
    <w:rsid w:val="00B613B7"/>
    <w:rsid w:val="00B71180"/>
    <w:rsid w:val="00B9423C"/>
    <w:rsid w:val="00BB3325"/>
    <w:rsid w:val="00BF3B1A"/>
    <w:rsid w:val="00BF3E31"/>
    <w:rsid w:val="00C2642F"/>
    <w:rsid w:val="00C343E0"/>
    <w:rsid w:val="00C40195"/>
    <w:rsid w:val="00C66862"/>
    <w:rsid w:val="00C7324E"/>
    <w:rsid w:val="00CA79B2"/>
    <w:rsid w:val="00CC2500"/>
    <w:rsid w:val="00CC6E9D"/>
    <w:rsid w:val="00CD630F"/>
    <w:rsid w:val="00CE5037"/>
    <w:rsid w:val="00CF4273"/>
    <w:rsid w:val="00CF4F5C"/>
    <w:rsid w:val="00D22CA8"/>
    <w:rsid w:val="00D625DB"/>
    <w:rsid w:val="00D6596E"/>
    <w:rsid w:val="00D819E8"/>
    <w:rsid w:val="00D84963"/>
    <w:rsid w:val="00D85921"/>
    <w:rsid w:val="00DA517F"/>
    <w:rsid w:val="00DB3F22"/>
    <w:rsid w:val="00DB62BC"/>
    <w:rsid w:val="00DC391B"/>
    <w:rsid w:val="00DD12CC"/>
    <w:rsid w:val="00DE4F61"/>
    <w:rsid w:val="00E04691"/>
    <w:rsid w:val="00E110F2"/>
    <w:rsid w:val="00E12355"/>
    <w:rsid w:val="00E278DC"/>
    <w:rsid w:val="00E35956"/>
    <w:rsid w:val="00E41E5E"/>
    <w:rsid w:val="00E4584D"/>
    <w:rsid w:val="00E578C3"/>
    <w:rsid w:val="00EC0AFE"/>
    <w:rsid w:val="00EC708C"/>
    <w:rsid w:val="00ED493F"/>
    <w:rsid w:val="00ED75BF"/>
    <w:rsid w:val="00EE14A2"/>
    <w:rsid w:val="00EF2C65"/>
    <w:rsid w:val="00EF4F09"/>
    <w:rsid w:val="00F036C9"/>
    <w:rsid w:val="00F36EEF"/>
    <w:rsid w:val="00F4302A"/>
    <w:rsid w:val="00F439DB"/>
    <w:rsid w:val="00F642C0"/>
    <w:rsid w:val="00F82BCE"/>
    <w:rsid w:val="00FA23EE"/>
    <w:rsid w:val="00FB7F47"/>
    <w:rsid w:val="00FE058F"/>
    <w:rsid w:val="00FE6DD9"/>
    <w:rsid w:val="74DB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4581"/>
  <w15:docId w15:val="{CED54D74-E216-438D-8DAD-A3F9E3A2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235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12355"/>
    <w:rPr>
      <w:rFonts w:ascii="Baskerville Old Face" w:eastAsia="Times New Roman" w:hAnsi="Baskerville Old Face" w:cs="Times New Roman"/>
      <w:sz w:val="24"/>
      <w:szCs w:val="24"/>
    </w:rPr>
  </w:style>
  <w:style w:type="character" w:styleId="Hyperlink">
    <w:name w:val="Hyperlink"/>
    <w:rsid w:val="00E12355"/>
    <w:rPr>
      <w:color w:val="0000FF"/>
      <w:u w:val="single"/>
    </w:rPr>
  </w:style>
  <w:style w:type="paragraph" w:customStyle="1" w:styleId="Level1">
    <w:name w:val="Level 1"/>
    <w:basedOn w:val="Normal"/>
    <w:rsid w:val="00E12355"/>
    <w:pPr>
      <w:ind w:left="720" w:hanging="720"/>
    </w:pPr>
    <w:rPr>
      <w:sz w:val="24"/>
    </w:rPr>
  </w:style>
  <w:style w:type="character" w:customStyle="1" w:styleId="Hypertext">
    <w:name w:val="Hypertext"/>
    <w:rsid w:val="00E12355"/>
    <w:rPr>
      <w:color w:val="0000FF"/>
      <w:u w:val="single"/>
    </w:rPr>
  </w:style>
  <w:style w:type="paragraph" w:styleId="BodyText">
    <w:name w:val="Body Text"/>
    <w:basedOn w:val="Normal"/>
    <w:link w:val="BodyTextChar"/>
    <w:rsid w:val="00E12355"/>
    <w:rPr>
      <w:sz w:val="24"/>
      <w:lang w:val="x-none" w:eastAsia="x-none"/>
    </w:rPr>
  </w:style>
  <w:style w:type="character" w:customStyle="1" w:styleId="BodyTextChar">
    <w:name w:val="Body Text Char"/>
    <w:basedOn w:val="DefaultParagraphFont"/>
    <w:link w:val="BodyText"/>
    <w:rsid w:val="00E12355"/>
    <w:rPr>
      <w:rFonts w:ascii="Times New Roman" w:eastAsia="Times New Roman" w:hAnsi="Times New Roman" w:cs="Times New Roman"/>
      <w:sz w:val="24"/>
      <w:szCs w:val="24"/>
      <w:lang w:val="x-none" w:eastAsia="x-none"/>
    </w:rPr>
  </w:style>
  <w:style w:type="paragraph" w:styleId="Caption">
    <w:name w:val="caption"/>
    <w:basedOn w:val="Normal"/>
    <w:next w:val="Normal"/>
    <w:unhideWhenUsed/>
    <w:qFormat/>
    <w:rsid w:val="00E12355"/>
    <w:rPr>
      <w:b/>
      <w:bCs/>
      <w:szCs w:val="20"/>
    </w:rPr>
  </w:style>
  <w:style w:type="character" w:styleId="CommentReference">
    <w:name w:val="annotation reference"/>
    <w:basedOn w:val="DefaultParagraphFont"/>
    <w:uiPriority w:val="99"/>
    <w:semiHidden/>
    <w:unhideWhenUsed/>
    <w:rsid w:val="008D3F30"/>
    <w:rPr>
      <w:sz w:val="16"/>
      <w:szCs w:val="16"/>
    </w:rPr>
  </w:style>
  <w:style w:type="paragraph" w:styleId="CommentText">
    <w:name w:val="annotation text"/>
    <w:basedOn w:val="Normal"/>
    <w:link w:val="CommentTextChar"/>
    <w:uiPriority w:val="99"/>
    <w:semiHidden/>
    <w:unhideWhenUsed/>
    <w:rsid w:val="008D3F30"/>
    <w:rPr>
      <w:szCs w:val="20"/>
    </w:rPr>
  </w:style>
  <w:style w:type="character" w:customStyle="1" w:styleId="CommentTextChar">
    <w:name w:val="Comment Text Char"/>
    <w:basedOn w:val="DefaultParagraphFont"/>
    <w:link w:val="CommentText"/>
    <w:uiPriority w:val="99"/>
    <w:semiHidden/>
    <w:rsid w:val="008D3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F30"/>
    <w:rPr>
      <w:b/>
      <w:bCs/>
    </w:rPr>
  </w:style>
  <w:style w:type="character" w:customStyle="1" w:styleId="CommentSubjectChar">
    <w:name w:val="Comment Subject Char"/>
    <w:basedOn w:val="CommentTextChar"/>
    <w:link w:val="CommentSubject"/>
    <w:uiPriority w:val="99"/>
    <w:semiHidden/>
    <w:rsid w:val="008D3F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3F30"/>
    <w:rPr>
      <w:rFonts w:ascii="Tahoma" w:hAnsi="Tahoma" w:cs="Tahoma"/>
      <w:sz w:val="16"/>
      <w:szCs w:val="16"/>
    </w:rPr>
  </w:style>
  <w:style w:type="character" w:customStyle="1" w:styleId="BalloonTextChar">
    <w:name w:val="Balloon Text Char"/>
    <w:basedOn w:val="DefaultParagraphFont"/>
    <w:link w:val="BalloonText"/>
    <w:uiPriority w:val="99"/>
    <w:semiHidden/>
    <w:rsid w:val="008D3F30"/>
    <w:rPr>
      <w:rFonts w:ascii="Tahoma" w:eastAsia="Times New Roman" w:hAnsi="Tahoma" w:cs="Tahoma"/>
      <w:sz w:val="16"/>
      <w:szCs w:val="16"/>
    </w:rPr>
  </w:style>
  <w:style w:type="paragraph" w:styleId="ListParagraph">
    <w:name w:val="List Paragraph"/>
    <w:basedOn w:val="Normal"/>
    <w:uiPriority w:val="34"/>
    <w:qFormat/>
    <w:rsid w:val="007210AC"/>
    <w:pPr>
      <w:ind w:left="720"/>
      <w:contextualSpacing/>
    </w:pPr>
  </w:style>
  <w:style w:type="paragraph" w:customStyle="1" w:styleId="P1-StandPara">
    <w:name w:val="P1-Stand Para"/>
    <w:link w:val="P1-StandParaChar"/>
    <w:rsid w:val="00C66862"/>
    <w:pPr>
      <w:spacing w:after="0" w:line="480" w:lineRule="auto"/>
      <w:ind w:firstLine="720"/>
    </w:pPr>
    <w:rPr>
      <w:rFonts w:ascii="Times New Roman" w:eastAsia="Times New Roman" w:hAnsi="Times New Roman" w:cs="Times New Roman"/>
      <w:szCs w:val="20"/>
    </w:rPr>
  </w:style>
  <w:style w:type="character" w:styleId="FootnoteReference">
    <w:name w:val="footnote reference"/>
    <w:uiPriority w:val="99"/>
    <w:semiHidden/>
    <w:rsid w:val="00C66862"/>
    <w:rPr>
      <w:vertAlign w:val="superscript"/>
    </w:rPr>
  </w:style>
  <w:style w:type="character" w:customStyle="1" w:styleId="P1-StandParaChar">
    <w:name w:val="P1-Stand Para Char"/>
    <w:link w:val="P1-StandPara"/>
    <w:rsid w:val="00C66862"/>
    <w:rPr>
      <w:rFonts w:ascii="Times New Roman" w:eastAsia="Times New Roman" w:hAnsi="Times New Roman" w:cs="Times New Roman"/>
      <w:szCs w:val="20"/>
    </w:rPr>
  </w:style>
  <w:style w:type="paragraph" w:customStyle="1" w:styleId="Default">
    <w:name w:val="Default"/>
    <w:rsid w:val="00F439D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77A86"/>
    <w:rPr>
      <w:szCs w:val="20"/>
    </w:rPr>
  </w:style>
  <w:style w:type="character" w:customStyle="1" w:styleId="FootnoteTextChar">
    <w:name w:val="Footnote Text Char"/>
    <w:basedOn w:val="DefaultParagraphFont"/>
    <w:link w:val="FootnoteText"/>
    <w:uiPriority w:val="99"/>
    <w:semiHidden/>
    <w:rsid w:val="00477A86"/>
    <w:rPr>
      <w:rFonts w:ascii="Times New Roman" w:eastAsia="Times New Roman" w:hAnsi="Times New Roman" w:cs="Times New Roman"/>
      <w:sz w:val="20"/>
      <w:szCs w:val="20"/>
    </w:rPr>
  </w:style>
  <w:style w:type="paragraph" w:styleId="Revision">
    <w:name w:val="Revision"/>
    <w:hidden/>
    <w:uiPriority w:val="99"/>
    <w:semiHidden/>
    <w:rsid w:val="00C343E0"/>
    <w:pPr>
      <w:spacing w:after="0" w:line="240" w:lineRule="auto"/>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302791"/>
    <w:rPr>
      <w:color w:val="808080"/>
    </w:rPr>
  </w:style>
  <w:style w:type="character" w:styleId="FollowedHyperlink">
    <w:name w:val="FollowedHyperlink"/>
    <w:basedOn w:val="DefaultParagraphFont"/>
    <w:uiPriority w:val="99"/>
    <w:semiHidden/>
    <w:unhideWhenUsed/>
    <w:rsid w:val="00990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83881">
      <w:bodyDiv w:val="1"/>
      <w:marLeft w:val="0"/>
      <w:marRight w:val="0"/>
      <w:marTop w:val="0"/>
      <w:marBottom w:val="0"/>
      <w:divBdr>
        <w:top w:val="none" w:sz="0" w:space="0" w:color="auto"/>
        <w:left w:val="none" w:sz="0" w:space="0" w:color="auto"/>
        <w:bottom w:val="none" w:sz="0" w:space="0" w:color="auto"/>
        <w:right w:val="none" w:sz="0" w:space="0" w:color="auto"/>
      </w:divBdr>
    </w:div>
    <w:div w:id="1509563139">
      <w:bodyDiv w:val="1"/>
      <w:marLeft w:val="0"/>
      <w:marRight w:val="0"/>
      <w:marTop w:val="0"/>
      <w:marBottom w:val="0"/>
      <w:divBdr>
        <w:top w:val="none" w:sz="0" w:space="0" w:color="auto"/>
        <w:left w:val="none" w:sz="0" w:space="0" w:color="auto"/>
        <w:bottom w:val="none" w:sz="0" w:space="0" w:color="auto"/>
        <w:right w:val="none" w:sz="0" w:space="0" w:color="auto"/>
      </w:divBdr>
    </w:div>
    <w:div w:id="17006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optn.transplant.hrs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ls.gov/OES/current/naics4_622100.htm" TargetMode="External"/><Relationship Id="rId2" Type="http://schemas.openxmlformats.org/officeDocument/2006/relationships/customXml" Target="../customXml/item2.xml"/><Relationship Id="rId16" Type="http://schemas.openxmlformats.org/officeDocument/2006/relationships/hyperlink" Target="mailto:lstocks@health.ucs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rj@medicine.wisc.ed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info.gov/content/pkg/FR-2020-02-13/pdf/2020-028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C6AB-0A4C-4955-BFDB-0B15B6B804A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12F523B-F881-4BD4-A6AD-CD1163B7B6E6}">
  <ds:schemaRefs>
    <ds:schemaRef ds:uri="Microsoft.SharePoint.Taxonomy.ContentTypeSync"/>
  </ds:schemaRefs>
</ds:datastoreItem>
</file>

<file path=customXml/itemProps3.xml><?xml version="1.0" encoding="utf-8"?>
<ds:datastoreItem xmlns:ds="http://schemas.openxmlformats.org/officeDocument/2006/customXml" ds:itemID="{4A6E3EB2-9C5D-4A44-99B4-0082342B89B8}">
  <ds:schemaRefs>
    <ds:schemaRef ds:uri="http://schemas.microsoft.com/sharepoint/events"/>
  </ds:schemaRefs>
</ds:datastoreItem>
</file>

<file path=customXml/itemProps4.xml><?xml version="1.0" encoding="utf-8"?>
<ds:datastoreItem xmlns:ds="http://schemas.openxmlformats.org/officeDocument/2006/customXml" ds:itemID="{4A94DEF4-432E-457D-A2F7-2F0A4C21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04F3328-89B7-49BD-9F04-0A5D36C5188F}">
  <ds:schemaRefs>
    <ds:schemaRef ds:uri="http://schemas.microsoft.com/sharepoint/v3/contenttype/forms"/>
  </ds:schemaRefs>
</ds:datastoreItem>
</file>

<file path=customXml/itemProps6.xml><?xml version="1.0" encoding="utf-8"?>
<ds:datastoreItem xmlns:ds="http://schemas.openxmlformats.org/officeDocument/2006/customXml" ds:itemID="{C3B839CD-92F3-4DBE-B462-F3E5A4A9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05.19.2020 Supporting Statement - OPTN Forms 0915-0184</vt:lpstr>
    </vt:vector>
  </TitlesOfParts>
  <Company>HRSA</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05.19.2020 Supporting Statement - OPTN Forms 0915-0184</dc:title>
  <dc:creator>Windows User</dc:creator>
  <cp:lastModifiedBy>Elyana N.  Bowman</cp:lastModifiedBy>
  <cp:revision>19</cp:revision>
  <cp:lastPrinted>2014-02-05T19:31:00Z</cp:lastPrinted>
  <dcterms:created xsi:type="dcterms:W3CDTF">2020-06-25T18:03:00Z</dcterms:created>
  <dcterms:modified xsi:type="dcterms:W3CDTF">2020-06-26T19:01:00Z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14500</vt:r8>
  </property>
  <property fmtid="{D5CDD505-2E9C-101B-9397-08002B2CF9AE}" pid="4" name="xd_ProgID">
    <vt:lpwstr/>
  </property>
  <property fmtid="{D5CDD505-2E9C-101B-9397-08002B2CF9AE}" pid="5" name="TemplateUrl">
    <vt:lpwstr/>
  </property>
  <property fmtid="{D5CDD505-2E9C-101B-9397-08002B2CF9AE}" pid="6" name="Owner">
    <vt:lpwstr/>
  </property>
</Properties>
</file>