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965" w:rsidP="00265198" w:rsidRDefault="00FE5965" w14:paraId="1B1850EB" w14:textId="45FEC262">
      <w:pPr>
        <w:spacing w:after="0" w:line="240" w:lineRule="auto"/>
        <w:contextualSpacing/>
        <w:jc w:val="center"/>
        <w:rPr>
          <w:rFonts w:ascii="Times New Roman" w:hAnsi="Times New Roman" w:cs="Times New Roman"/>
          <w:b/>
          <w:sz w:val="24"/>
          <w:szCs w:val="24"/>
        </w:rPr>
      </w:pPr>
      <w:r w:rsidRPr="004B6F57">
        <w:rPr>
          <w:rFonts w:ascii="Times New Roman" w:hAnsi="Times New Roman" w:cs="Times New Roman"/>
          <w:b/>
          <w:sz w:val="24"/>
          <w:szCs w:val="24"/>
        </w:rPr>
        <w:t>Change Request</w:t>
      </w:r>
    </w:p>
    <w:p w:rsidR="004D1D01" w:rsidP="00265198" w:rsidRDefault="004D1D01" w14:paraId="024735BC" w14:textId="77777777">
      <w:pPr>
        <w:spacing w:after="0" w:line="240" w:lineRule="auto"/>
        <w:contextualSpacing/>
        <w:jc w:val="center"/>
        <w:rPr>
          <w:rFonts w:ascii="Times New Roman" w:hAnsi="Times New Roman" w:cs="Times New Roman"/>
          <w:b/>
          <w:sz w:val="24"/>
          <w:szCs w:val="24"/>
        </w:rPr>
      </w:pPr>
    </w:p>
    <w:p w:rsidRPr="007354C5" w:rsidR="004D1D01" w:rsidP="00265198" w:rsidRDefault="004D1D01" w14:paraId="5B241DC8" w14:textId="77777777">
      <w:pPr>
        <w:autoSpaceDE w:val="0"/>
        <w:autoSpaceDN w:val="0"/>
        <w:adjustRightInd w:val="0"/>
        <w:spacing w:after="0" w:line="240" w:lineRule="auto"/>
        <w:contextualSpacing/>
        <w:jc w:val="center"/>
        <w:rPr>
          <w:rFonts w:ascii="Times New Roman" w:hAnsi="Times New Roman" w:cs="Times New Roman"/>
          <w:b/>
          <w:sz w:val="28"/>
          <w:szCs w:val="28"/>
        </w:rPr>
      </w:pPr>
      <w:r w:rsidRPr="007354C5">
        <w:rPr>
          <w:rFonts w:ascii="Times New Roman" w:hAnsi="Times New Roman" w:cs="Times New Roman"/>
          <w:b/>
          <w:sz w:val="28"/>
          <w:szCs w:val="28"/>
        </w:rPr>
        <w:t xml:space="preserve">Women’s Health Needs Study: </w:t>
      </w:r>
      <w:r w:rsidRPr="007354C5">
        <w:rPr>
          <w:rFonts w:ascii="Times New Roman" w:hAnsi="Times New Roman" w:cs="Times New Roman"/>
          <w:b/>
          <w:sz w:val="28"/>
          <w:szCs w:val="28"/>
        </w:rPr>
        <w:br/>
        <w:t>The Health of US-Resident Women from Countries with Prevalent Female Genital Mutilation/Cutting (FGM/C)</w:t>
      </w:r>
    </w:p>
    <w:p w:rsidRPr="003A4757" w:rsidR="004D1D01" w:rsidP="00265198" w:rsidRDefault="004D1D01" w14:paraId="1BC35EB3" w14:textId="77777777">
      <w:pPr>
        <w:spacing w:after="0" w:line="240" w:lineRule="auto"/>
        <w:contextualSpacing/>
        <w:jc w:val="center"/>
        <w:rPr>
          <w:rFonts w:ascii="Times New Roman" w:hAnsi="Times New Roman" w:cs="Times New Roman"/>
          <w:sz w:val="24"/>
          <w:szCs w:val="24"/>
        </w:rPr>
      </w:pPr>
    </w:p>
    <w:p w:rsidRPr="003A4757" w:rsidR="00FE5965" w:rsidP="00265198" w:rsidRDefault="004D1D01" w14:paraId="032D14DA" w14:textId="379A6C31">
      <w:pPr>
        <w:spacing w:after="0" w:line="240" w:lineRule="auto"/>
        <w:contextualSpacing/>
        <w:jc w:val="center"/>
        <w:rPr>
          <w:rFonts w:ascii="Times New Roman" w:hAnsi="Times New Roman" w:cs="Times New Roman"/>
          <w:sz w:val="24"/>
          <w:szCs w:val="24"/>
        </w:rPr>
      </w:pPr>
      <w:r w:rsidRPr="003A4757">
        <w:rPr>
          <w:rFonts w:ascii="Times New Roman" w:hAnsi="Times New Roman" w:cs="Times New Roman"/>
          <w:sz w:val="24"/>
          <w:szCs w:val="24"/>
        </w:rPr>
        <w:t xml:space="preserve"> </w:t>
      </w:r>
      <w:r w:rsidRPr="003A4757" w:rsidR="00FE5965">
        <w:rPr>
          <w:rFonts w:ascii="Times New Roman" w:hAnsi="Times New Roman" w:cs="Times New Roman"/>
          <w:sz w:val="24"/>
          <w:szCs w:val="24"/>
        </w:rPr>
        <w:t>(OMB Control No.</w:t>
      </w:r>
      <w:r w:rsidRPr="007354C5">
        <w:rPr>
          <w:rFonts w:ascii="Times New Roman" w:hAnsi="Times New Roman" w:cs="Times New Roman"/>
          <w:sz w:val="20"/>
          <w:szCs w:val="20"/>
        </w:rPr>
        <w:t xml:space="preserve"> </w:t>
      </w:r>
      <w:r w:rsidRPr="007354C5">
        <w:rPr>
          <w:rFonts w:ascii="Times New Roman" w:hAnsi="Times New Roman" w:cs="Times New Roman"/>
          <w:sz w:val="24"/>
          <w:szCs w:val="24"/>
        </w:rPr>
        <w:t>0920-1264 expires 05/31/2022</w:t>
      </w:r>
      <w:r w:rsidRPr="003A4757" w:rsidR="00FE5965">
        <w:rPr>
          <w:rFonts w:ascii="Times New Roman" w:hAnsi="Times New Roman" w:cs="Times New Roman"/>
          <w:sz w:val="24"/>
          <w:szCs w:val="24"/>
        </w:rPr>
        <w:t>)</w:t>
      </w:r>
    </w:p>
    <w:p w:rsidR="00FE5965" w:rsidP="00265198" w:rsidRDefault="00AD52D9" w14:paraId="738595A1" w14:textId="2669DC8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May 5</w:t>
      </w:r>
      <w:r w:rsidR="00FE5965">
        <w:rPr>
          <w:rFonts w:ascii="Times New Roman" w:hAnsi="Times New Roman" w:cs="Times New Roman"/>
          <w:sz w:val="24"/>
          <w:szCs w:val="24"/>
        </w:rPr>
        <w:t xml:space="preserve">, </w:t>
      </w:r>
      <w:r w:rsidR="00B56A3D">
        <w:rPr>
          <w:rFonts w:ascii="Times New Roman" w:hAnsi="Times New Roman" w:cs="Times New Roman"/>
          <w:sz w:val="24"/>
          <w:szCs w:val="24"/>
        </w:rPr>
        <w:t>2020</w:t>
      </w:r>
    </w:p>
    <w:p w:rsidR="00FE5965" w:rsidP="00265198" w:rsidRDefault="00FE5965" w14:paraId="66CA48A9" w14:textId="77777777">
      <w:pPr>
        <w:spacing w:after="0" w:line="240" w:lineRule="auto"/>
        <w:contextualSpacing/>
        <w:jc w:val="center"/>
        <w:rPr>
          <w:rFonts w:ascii="Times New Roman" w:hAnsi="Times New Roman" w:cs="Times New Roman"/>
          <w:sz w:val="24"/>
          <w:szCs w:val="24"/>
        </w:rPr>
      </w:pPr>
    </w:p>
    <w:p w:rsidR="00FE5965" w:rsidP="00265198" w:rsidRDefault="00FE5965" w14:paraId="79526005" w14:textId="77777777">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Summary</w:t>
      </w:r>
    </w:p>
    <w:p w:rsidR="00FE5965" w:rsidP="00265198" w:rsidRDefault="00FE5965" w14:paraId="683A9DD8" w14:textId="77777777">
      <w:pPr>
        <w:spacing w:after="0" w:line="240" w:lineRule="auto"/>
        <w:contextualSpacing/>
        <w:rPr>
          <w:rFonts w:ascii="Times New Roman" w:hAnsi="Times New Roman" w:cs="Times New Roman"/>
          <w:b/>
          <w:sz w:val="24"/>
          <w:szCs w:val="24"/>
        </w:rPr>
      </w:pPr>
    </w:p>
    <w:p w:rsidR="006C5C1C" w:rsidP="006C5C1C" w:rsidRDefault="006C5C1C" w14:paraId="1B18CE0E" w14:textId="1FD981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CDC was previously approved to conduct the Women’s Health Needs Study (WHNS), a study of women living in the United States who have experienced Female Genital Mutilation/Cutting (FGM/C).  As planned, CDC completed a pilot study and used the results to refine the planned methodology of the primary WHNS.  The purpose of this change request is to seek approval for changes based on the pilot results.  These changes include</w:t>
      </w:r>
      <w:r w:rsidR="008819C3">
        <w:rPr>
          <w:rFonts w:ascii="Times New Roman" w:hAnsi="Times New Roman" w:cs="Times New Roman"/>
          <w:sz w:val="24"/>
          <w:szCs w:val="24"/>
        </w:rPr>
        <w:t>:</w:t>
      </w:r>
      <w:r>
        <w:rPr>
          <w:rFonts w:ascii="Times New Roman" w:hAnsi="Times New Roman" w:cs="Times New Roman"/>
          <w:sz w:val="24"/>
          <w:szCs w:val="24"/>
        </w:rPr>
        <w:t xml:space="preserve"> </w:t>
      </w:r>
      <w:r w:rsidR="00F33ADC">
        <w:rPr>
          <w:rFonts w:ascii="Times New Roman" w:hAnsi="Times New Roman" w:cs="Times New Roman"/>
          <w:sz w:val="24"/>
          <w:szCs w:val="24"/>
        </w:rPr>
        <w:t>1</w:t>
      </w:r>
      <w:r>
        <w:rPr>
          <w:rFonts w:ascii="Times New Roman" w:hAnsi="Times New Roman" w:cs="Times New Roman"/>
          <w:sz w:val="24"/>
          <w:szCs w:val="24"/>
        </w:rPr>
        <w:t xml:space="preserve">) </w:t>
      </w:r>
      <w:r w:rsidR="004458F8">
        <w:rPr>
          <w:rFonts w:ascii="Times New Roman" w:hAnsi="Times New Roman" w:cs="Times New Roman"/>
          <w:sz w:val="24"/>
          <w:szCs w:val="24"/>
        </w:rPr>
        <w:t>changes in the language</w:t>
      </w:r>
      <w:r w:rsidR="009B7F12">
        <w:rPr>
          <w:rFonts w:ascii="Times New Roman" w:hAnsi="Times New Roman" w:cs="Times New Roman"/>
          <w:sz w:val="24"/>
          <w:szCs w:val="24"/>
        </w:rPr>
        <w:t xml:space="preserve"> translations</w:t>
      </w:r>
      <w:r w:rsidR="004458F8">
        <w:rPr>
          <w:rFonts w:ascii="Times New Roman" w:hAnsi="Times New Roman" w:cs="Times New Roman"/>
          <w:sz w:val="24"/>
          <w:szCs w:val="24"/>
        </w:rPr>
        <w:t xml:space="preserve"> in which study materials will be provided; 2) </w:t>
      </w:r>
      <w:r>
        <w:rPr>
          <w:rFonts w:ascii="Times New Roman" w:hAnsi="Times New Roman" w:cs="Times New Roman"/>
          <w:sz w:val="24"/>
          <w:szCs w:val="24"/>
        </w:rPr>
        <w:t>modifications to the screening instrument</w:t>
      </w:r>
      <w:r w:rsidR="007001BC">
        <w:rPr>
          <w:rFonts w:ascii="Times New Roman" w:hAnsi="Times New Roman" w:cs="Times New Roman"/>
          <w:sz w:val="24"/>
          <w:szCs w:val="24"/>
        </w:rPr>
        <w:t xml:space="preserve"> and </w:t>
      </w:r>
      <w:r>
        <w:rPr>
          <w:rFonts w:ascii="Times New Roman" w:hAnsi="Times New Roman" w:cs="Times New Roman"/>
          <w:sz w:val="24"/>
          <w:szCs w:val="24"/>
        </w:rPr>
        <w:t>study questionnaire</w:t>
      </w:r>
      <w:r w:rsidR="007001BC">
        <w:rPr>
          <w:rFonts w:ascii="Times New Roman" w:hAnsi="Times New Roman" w:cs="Times New Roman"/>
          <w:sz w:val="24"/>
          <w:szCs w:val="24"/>
        </w:rPr>
        <w:t xml:space="preserve"> based on pilot feedback</w:t>
      </w:r>
      <w:r w:rsidR="004458F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6071B">
        <w:rPr>
          <w:rFonts w:ascii="Times New Roman" w:hAnsi="Times New Roman" w:cs="Times New Roman"/>
          <w:sz w:val="24"/>
          <w:szCs w:val="24"/>
        </w:rPr>
        <w:t>3</w:t>
      </w:r>
      <w:r>
        <w:rPr>
          <w:rFonts w:ascii="Times New Roman" w:hAnsi="Times New Roman" w:cs="Times New Roman"/>
          <w:sz w:val="24"/>
          <w:szCs w:val="24"/>
        </w:rPr>
        <w:t>) an increase in the sample size</w:t>
      </w:r>
      <w:r w:rsidR="007001BC">
        <w:rPr>
          <w:rFonts w:ascii="Times New Roman" w:hAnsi="Times New Roman" w:cs="Times New Roman"/>
          <w:sz w:val="24"/>
          <w:szCs w:val="24"/>
        </w:rPr>
        <w:t xml:space="preserve"> and burden estimates</w:t>
      </w:r>
      <w:r>
        <w:rPr>
          <w:rFonts w:ascii="Times New Roman" w:hAnsi="Times New Roman" w:cs="Times New Roman"/>
          <w:sz w:val="24"/>
          <w:szCs w:val="24"/>
        </w:rPr>
        <w:t xml:space="preserve">. </w:t>
      </w:r>
      <w:r w:rsidR="003C29F4">
        <w:rPr>
          <w:rFonts w:ascii="Times New Roman" w:hAnsi="Times New Roman" w:cs="Times New Roman"/>
          <w:sz w:val="24"/>
          <w:szCs w:val="24"/>
        </w:rPr>
        <w:t xml:space="preserve">Additionally, </w:t>
      </w:r>
      <w:r w:rsidR="00C63268">
        <w:rPr>
          <w:rFonts w:ascii="Times New Roman" w:hAnsi="Times New Roman" w:cs="Times New Roman"/>
          <w:sz w:val="24"/>
          <w:szCs w:val="24"/>
        </w:rPr>
        <w:t>because</w:t>
      </w:r>
      <w:r w:rsidR="003C29F4">
        <w:rPr>
          <w:rFonts w:ascii="Times New Roman" w:hAnsi="Times New Roman" w:cs="Times New Roman"/>
          <w:sz w:val="24"/>
          <w:szCs w:val="24"/>
        </w:rPr>
        <w:t xml:space="preserve"> current COVID-19-related social distancing measures may be in place through Summer 2020 when data collection is planned to begin, we have added language to support measures to achieve social distancing in the event those are necessary.  </w:t>
      </w:r>
      <w:r w:rsidR="009C069B">
        <w:rPr>
          <w:rFonts w:ascii="Times New Roman" w:hAnsi="Times New Roman" w:cs="Times New Roman"/>
          <w:sz w:val="24"/>
          <w:szCs w:val="24"/>
        </w:rPr>
        <w:t>These changes, as well as a previously approved change in reimbursement amounts</w:t>
      </w:r>
      <w:r w:rsidR="00366307">
        <w:rPr>
          <w:rFonts w:ascii="Times New Roman" w:hAnsi="Times New Roman" w:cs="Times New Roman"/>
          <w:sz w:val="24"/>
          <w:szCs w:val="24"/>
        </w:rPr>
        <w:t xml:space="preserve"> and an update to the total cost of the study</w:t>
      </w:r>
      <w:r w:rsidR="007C2E22">
        <w:rPr>
          <w:rFonts w:ascii="Times New Roman" w:hAnsi="Times New Roman" w:cs="Times New Roman"/>
          <w:sz w:val="24"/>
          <w:szCs w:val="24"/>
        </w:rPr>
        <w:t>,</w:t>
      </w:r>
      <w:r w:rsidR="009C069B">
        <w:rPr>
          <w:rFonts w:ascii="Times New Roman" w:hAnsi="Times New Roman" w:cs="Times New Roman"/>
          <w:sz w:val="24"/>
          <w:szCs w:val="24"/>
        </w:rPr>
        <w:t xml:space="preserve"> </w:t>
      </w:r>
      <w:r w:rsidR="007C2E22">
        <w:rPr>
          <w:rFonts w:ascii="Times New Roman" w:hAnsi="Times New Roman" w:cs="Times New Roman"/>
          <w:sz w:val="24"/>
          <w:szCs w:val="24"/>
        </w:rPr>
        <w:t>are</w:t>
      </w:r>
      <w:r w:rsidR="009C069B">
        <w:rPr>
          <w:rFonts w:ascii="Times New Roman" w:hAnsi="Times New Roman" w:cs="Times New Roman"/>
          <w:sz w:val="24"/>
          <w:szCs w:val="24"/>
        </w:rPr>
        <w:t xml:space="preserve"> reflected in Supporting Statements A and B which are included with </w:t>
      </w:r>
      <w:r w:rsidR="003C29F4">
        <w:rPr>
          <w:rFonts w:ascii="Times New Roman" w:hAnsi="Times New Roman" w:cs="Times New Roman"/>
          <w:sz w:val="24"/>
          <w:szCs w:val="24"/>
        </w:rPr>
        <w:t>this</w:t>
      </w:r>
      <w:r w:rsidR="009C069B">
        <w:rPr>
          <w:rFonts w:ascii="Times New Roman" w:hAnsi="Times New Roman" w:cs="Times New Roman"/>
          <w:sz w:val="24"/>
          <w:szCs w:val="24"/>
        </w:rPr>
        <w:t xml:space="preserve"> change request.</w:t>
      </w:r>
      <w:r w:rsidR="003C29F4">
        <w:rPr>
          <w:rFonts w:ascii="Times New Roman" w:hAnsi="Times New Roman" w:cs="Times New Roman"/>
          <w:sz w:val="24"/>
          <w:szCs w:val="24"/>
        </w:rPr>
        <w:t xml:space="preserve">  </w:t>
      </w:r>
    </w:p>
    <w:p w:rsidR="00296B10" w:rsidP="006C5C1C" w:rsidRDefault="00296B10" w14:paraId="00F242DC" w14:textId="68FBA240">
      <w:pPr>
        <w:spacing w:after="0" w:line="240" w:lineRule="auto"/>
        <w:contextualSpacing/>
        <w:rPr>
          <w:rFonts w:ascii="Times New Roman" w:hAnsi="Times New Roman" w:cs="Times New Roman"/>
          <w:sz w:val="24"/>
          <w:szCs w:val="24"/>
        </w:rPr>
      </w:pPr>
    </w:p>
    <w:p w:rsidR="006C5C1C" w:rsidP="006C5C1C" w:rsidRDefault="006C5C1C" w14:paraId="21A5BDD6" w14:textId="77777777">
      <w:pPr>
        <w:spacing w:after="0" w:line="240" w:lineRule="auto"/>
        <w:contextualSpacing/>
        <w:jc w:val="center"/>
        <w:rPr>
          <w:rFonts w:ascii="Times New Roman" w:hAnsi="Times New Roman" w:cs="Times New Roman"/>
          <w:sz w:val="24"/>
          <w:szCs w:val="24"/>
        </w:rPr>
      </w:pPr>
    </w:p>
    <w:p w:rsidR="007379FA" w:rsidP="00265198" w:rsidRDefault="007379FA" w14:paraId="63033CBD" w14:textId="025FB212">
      <w:pPr>
        <w:spacing w:after="0" w:line="240" w:lineRule="auto"/>
        <w:contextualSpacing/>
        <w:rPr>
          <w:rFonts w:ascii="Times New Roman" w:hAnsi="Times New Roman" w:cs="Times New Roman"/>
          <w:b/>
          <w:sz w:val="24"/>
          <w:szCs w:val="24"/>
        </w:rPr>
      </w:pPr>
      <w:r w:rsidRPr="00023CC4">
        <w:rPr>
          <w:rFonts w:ascii="Times New Roman" w:hAnsi="Times New Roman" w:cs="Times New Roman"/>
          <w:b/>
          <w:sz w:val="24"/>
          <w:szCs w:val="24"/>
        </w:rPr>
        <w:t xml:space="preserve">Background </w:t>
      </w:r>
      <w:r w:rsidR="00FE5965">
        <w:rPr>
          <w:rFonts w:ascii="Times New Roman" w:hAnsi="Times New Roman" w:cs="Times New Roman"/>
          <w:b/>
          <w:sz w:val="24"/>
          <w:szCs w:val="24"/>
        </w:rPr>
        <w:t>and Justification</w:t>
      </w:r>
      <w:r w:rsidR="00BB60D1">
        <w:rPr>
          <w:rFonts w:ascii="Times New Roman" w:hAnsi="Times New Roman" w:cs="Times New Roman"/>
          <w:b/>
          <w:sz w:val="24"/>
          <w:szCs w:val="24"/>
        </w:rPr>
        <w:t xml:space="preserve"> </w:t>
      </w:r>
    </w:p>
    <w:p w:rsidRPr="00023CC4" w:rsidR="00A8125C" w:rsidP="00265198" w:rsidRDefault="00A8125C" w14:paraId="2C3F1A0F" w14:textId="77777777">
      <w:pPr>
        <w:spacing w:after="0" w:line="240" w:lineRule="auto"/>
        <w:contextualSpacing/>
        <w:rPr>
          <w:rFonts w:ascii="Times New Roman" w:hAnsi="Times New Roman" w:cs="Times New Roman"/>
          <w:b/>
          <w:sz w:val="24"/>
          <w:szCs w:val="24"/>
        </w:rPr>
      </w:pPr>
    </w:p>
    <w:p w:rsidR="00224ED4" w:rsidP="00265198" w:rsidRDefault="007379FA" w14:paraId="2346822C" w14:textId="13CBD7AB">
      <w:pPr>
        <w:spacing w:after="0" w:line="240" w:lineRule="auto"/>
        <w:contextualSpacing/>
        <w:rPr>
          <w:rStyle w:val="aBold"/>
          <w:rFonts w:ascii="Times New Roman" w:hAnsi="Times New Roman" w:eastAsia="Arial"/>
          <w:b w:val="0"/>
          <w:sz w:val="24"/>
          <w:szCs w:val="24"/>
        </w:rPr>
      </w:pPr>
      <w:r w:rsidRPr="00FE32F2">
        <w:rPr>
          <w:rFonts w:ascii="Times New Roman" w:hAnsi="Times New Roman" w:cs="Times New Roman"/>
          <w:sz w:val="24"/>
          <w:szCs w:val="24"/>
        </w:rPr>
        <w:t xml:space="preserve">CDC is </w:t>
      </w:r>
      <w:r w:rsidR="00B347EC">
        <w:rPr>
          <w:rFonts w:ascii="Times New Roman" w:hAnsi="Times New Roman" w:cs="Times New Roman"/>
          <w:sz w:val="24"/>
          <w:szCs w:val="24"/>
        </w:rPr>
        <w:t xml:space="preserve">currently </w:t>
      </w:r>
      <w:r w:rsidRPr="00FE32F2">
        <w:rPr>
          <w:rFonts w:ascii="Times New Roman" w:hAnsi="Times New Roman" w:cs="Times New Roman"/>
          <w:sz w:val="24"/>
          <w:szCs w:val="24"/>
        </w:rPr>
        <w:t>approved to collect information to</w:t>
      </w:r>
      <w:r w:rsidRPr="00FE32F2" w:rsidR="004D1D01">
        <w:rPr>
          <w:rStyle w:val="aBold"/>
          <w:rFonts w:ascii="Times New Roman" w:hAnsi="Times New Roman"/>
          <w:sz w:val="24"/>
          <w:szCs w:val="24"/>
        </w:rPr>
        <w:t xml:space="preserve"> </w:t>
      </w:r>
      <w:r w:rsidRPr="00FD681E" w:rsidR="004D1D01">
        <w:rPr>
          <w:rStyle w:val="aBold"/>
          <w:rFonts w:ascii="Times New Roman" w:hAnsi="Times New Roman"/>
          <w:b w:val="0"/>
          <w:sz w:val="24"/>
          <w:szCs w:val="24"/>
        </w:rPr>
        <w:t xml:space="preserve">assess </w:t>
      </w:r>
      <w:r w:rsidRPr="00FE32F2" w:rsidR="004D1D01">
        <w:rPr>
          <w:rFonts w:ascii="Times New Roman" w:hAnsi="Times New Roman"/>
          <w:sz w:val="24"/>
          <w:szCs w:val="24"/>
        </w:rPr>
        <w:t>the health characteristics, experiences, and needs of women living in the United States who have experienced Female Genital Mutilation/Cutting (FGM/C</w:t>
      </w:r>
      <w:r w:rsidRPr="00FE32F2" w:rsidR="00EE1257">
        <w:rPr>
          <w:rFonts w:ascii="Times New Roman" w:hAnsi="Times New Roman"/>
          <w:sz w:val="24"/>
          <w:szCs w:val="24"/>
        </w:rPr>
        <w:t>) or</w:t>
      </w:r>
      <w:r w:rsidRPr="00FE32F2" w:rsidR="004D1D01">
        <w:rPr>
          <w:rFonts w:ascii="Times New Roman" w:hAnsi="Times New Roman"/>
          <w:sz w:val="24"/>
          <w:szCs w:val="24"/>
        </w:rPr>
        <w:t xml:space="preserve"> may be at risk for FGM/C because they or their mothers were born in a country where FGM/C is prevalent. </w:t>
      </w:r>
      <w:r w:rsidRPr="00FE32F2" w:rsidR="004D1D01">
        <w:rPr>
          <w:rStyle w:val="aBold"/>
          <w:rFonts w:ascii="Times New Roman" w:hAnsi="Times New Roman"/>
          <w:b w:val="0"/>
          <w:sz w:val="24"/>
          <w:szCs w:val="24"/>
        </w:rPr>
        <w:t xml:space="preserve">Data from this study will be used to: identify public health needs of women and communities in the United States affected by FGM/C; formulate public health strategies for meeting identified needs; and inform efforts to prevent continuation of the practice of FGM/C on women who may be at risk. Eligible respondents who consent to participate will complete a one-time, face-to-face interview using a standardized questionnaire. </w:t>
      </w:r>
      <w:r w:rsidRPr="00FE32F2" w:rsidR="004D1D01">
        <w:rPr>
          <w:rStyle w:val="aBold"/>
          <w:rFonts w:ascii="Times New Roman" w:hAnsi="Times New Roman" w:eastAsia="Arial"/>
          <w:b w:val="0"/>
          <w:sz w:val="24"/>
          <w:szCs w:val="24"/>
        </w:rPr>
        <w:t>The study population includes US resident women aged 18 to 49 years who were born, or whose mother was born, in a country where FGM/C is prevalent.</w:t>
      </w:r>
      <w:r w:rsidR="003A4757">
        <w:rPr>
          <w:rStyle w:val="aBold"/>
          <w:rFonts w:ascii="Times New Roman" w:hAnsi="Times New Roman" w:eastAsia="Arial"/>
          <w:b w:val="0"/>
          <w:sz w:val="24"/>
          <w:szCs w:val="24"/>
        </w:rPr>
        <w:t xml:space="preserve">  </w:t>
      </w:r>
    </w:p>
    <w:p w:rsidR="00224ED4" w:rsidP="00265198" w:rsidRDefault="00224ED4" w14:paraId="0C9031EE" w14:textId="77777777">
      <w:pPr>
        <w:spacing w:after="0" w:line="240" w:lineRule="auto"/>
        <w:contextualSpacing/>
        <w:rPr>
          <w:rStyle w:val="aBold"/>
          <w:rFonts w:ascii="Times New Roman" w:hAnsi="Times New Roman" w:eastAsia="Arial"/>
          <w:b w:val="0"/>
          <w:sz w:val="24"/>
          <w:szCs w:val="24"/>
        </w:rPr>
      </w:pPr>
    </w:p>
    <w:p w:rsidR="00F33ADC" w:rsidP="00F33ADC" w:rsidRDefault="0046071B" w14:paraId="05F6FC7D" w14:textId="768084A0">
      <w:pPr>
        <w:spacing w:after="0" w:line="240" w:lineRule="auto"/>
        <w:rPr>
          <w:rFonts w:ascii="Times New Roman" w:hAnsi="Times New Roman" w:cs="Times New Roman"/>
          <w:sz w:val="24"/>
          <w:szCs w:val="24"/>
        </w:rPr>
      </w:pPr>
      <w:r>
        <w:rPr>
          <w:rFonts w:ascii="Times New Roman" w:hAnsi="Times New Roman" w:cs="Times New Roman"/>
          <w:sz w:val="24"/>
          <w:szCs w:val="24"/>
        </w:rPr>
        <w:t>As outline</w:t>
      </w:r>
      <w:r w:rsidR="00C86E01">
        <w:rPr>
          <w:rFonts w:ascii="Times New Roman" w:hAnsi="Times New Roman" w:cs="Times New Roman"/>
          <w:sz w:val="24"/>
          <w:szCs w:val="24"/>
        </w:rPr>
        <w:t>d</w:t>
      </w:r>
      <w:r>
        <w:rPr>
          <w:rFonts w:ascii="Times New Roman" w:hAnsi="Times New Roman" w:cs="Times New Roman"/>
          <w:sz w:val="24"/>
          <w:szCs w:val="24"/>
        </w:rPr>
        <w:t xml:space="preserve"> in </w:t>
      </w:r>
      <w:r w:rsidR="00F61841">
        <w:rPr>
          <w:rFonts w:ascii="Times New Roman" w:hAnsi="Times New Roman" w:cs="Times New Roman"/>
          <w:sz w:val="24"/>
          <w:szCs w:val="24"/>
        </w:rPr>
        <w:t xml:space="preserve">the </w:t>
      </w:r>
      <w:r>
        <w:rPr>
          <w:rFonts w:ascii="Times New Roman" w:hAnsi="Times New Roman" w:cs="Times New Roman"/>
          <w:sz w:val="24"/>
          <w:szCs w:val="24"/>
        </w:rPr>
        <w:t>current approval, o</w:t>
      </w:r>
      <w:r w:rsidR="00657D08">
        <w:rPr>
          <w:rFonts w:ascii="Times New Roman" w:hAnsi="Times New Roman" w:cs="Times New Roman"/>
          <w:sz w:val="24"/>
          <w:szCs w:val="24"/>
        </w:rPr>
        <w:t>ver</w:t>
      </w:r>
      <w:r w:rsidRPr="00EE33DE" w:rsidR="00657D08">
        <w:rPr>
          <w:rFonts w:ascii="Times New Roman" w:hAnsi="Times New Roman" w:cs="Times New Roman"/>
          <w:sz w:val="24"/>
          <w:szCs w:val="24"/>
        </w:rPr>
        <w:t xml:space="preserve"> a six-week period in September-November 2019</w:t>
      </w:r>
      <w:r w:rsidR="00657D08">
        <w:rPr>
          <w:rFonts w:ascii="Times New Roman" w:hAnsi="Times New Roman" w:cs="Times New Roman"/>
          <w:sz w:val="24"/>
          <w:szCs w:val="24"/>
        </w:rPr>
        <w:t>, a</w:t>
      </w:r>
      <w:r w:rsidR="008819C3">
        <w:rPr>
          <w:rFonts w:ascii="Times New Roman" w:hAnsi="Times New Roman" w:cs="Times New Roman"/>
          <w:sz w:val="24"/>
          <w:szCs w:val="24"/>
        </w:rPr>
        <w:t xml:space="preserve"> pilot study </w:t>
      </w:r>
      <w:r w:rsidRPr="00EE33DE" w:rsidR="008819C3">
        <w:rPr>
          <w:rFonts w:ascii="Times New Roman" w:hAnsi="Times New Roman" w:cs="Times New Roman"/>
          <w:sz w:val="24"/>
          <w:szCs w:val="24"/>
        </w:rPr>
        <w:t>was conducted by</w:t>
      </w:r>
      <w:r w:rsidR="00657D08">
        <w:rPr>
          <w:rFonts w:ascii="Times New Roman" w:hAnsi="Times New Roman" w:cs="Times New Roman"/>
          <w:sz w:val="24"/>
          <w:szCs w:val="24"/>
        </w:rPr>
        <w:t xml:space="preserve"> </w:t>
      </w:r>
      <w:r w:rsidRPr="00454A45" w:rsidR="00657D08">
        <w:rPr>
          <w:rFonts w:ascii="Times New Roman" w:hAnsi="Times New Roman" w:cs="Times New Roman"/>
          <w:sz w:val="24"/>
          <w:szCs w:val="24"/>
        </w:rPr>
        <w:t>the National Opinion Research Center at the University of Chicago (NORC)</w:t>
      </w:r>
      <w:r w:rsidR="00657D08">
        <w:rPr>
          <w:rFonts w:ascii="Times New Roman" w:hAnsi="Times New Roman" w:cs="Times New Roman"/>
          <w:sz w:val="24"/>
          <w:szCs w:val="24"/>
        </w:rPr>
        <w:t xml:space="preserve">, </w:t>
      </w:r>
      <w:r w:rsidRPr="00454A45" w:rsidR="00657D08">
        <w:rPr>
          <w:rFonts w:ascii="Times New Roman" w:hAnsi="Times New Roman" w:cs="Times New Roman"/>
          <w:sz w:val="24"/>
          <w:szCs w:val="24"/>
        </w:rPr>
        <w:t>the contractor engaged by CDC to carry out fieldwork</w:t>
      </w:r>
      <w:r w:rsidR="00657D08">
        <w:rPr>
          <w:rFonts w:ascii="Times New Roman" w:hAnsi="Times New Roman" w:cs="Times New Roman"/>
          <w:sz w:val="24"/>
          <w:szCs w:val="24"/>
        </w:rPr>
        <w:t>.</w:t>
      </w:r>
      <w:r w:rsidR="00DD025E">
        <w:rPr>
          <w:rFonts w:ascii="Times New Roman" w:hAnsi="Times New Roman" w:cs="Times New Roman"/>
          <w:sz w:val="24"/>
          <w:szCs w:val="24"/>
        </w:rPr>
        <w:t xml:space="preserve"> </w:t>
      </w:r>
      <w:r w:rsidR="00657D08">
        <w:rPr>
          <w:rFonts w:ascii="Times New Roman" w:hAnsi="Times New Roman" w:cs="Times New Roman"/>
          <w:sz w:val="24"/>
          <w:szCs w:val="24"/>
        </w:rPr>
        <w:t xml:space="preserve"> </w:t>
      </w:r>
      <w:r w:rsidRPr="00EE33DE" w:rsidR="008819C3">
        <w:rPr>
          <w:rFonts w:ascii="Times New Roman" w:hAnsi="Times New Roman" w:cs="Times New Roman"/>
          <w:sz w:val="24"/>
          <w:szCs w:val="24"/>
        </w:rPr>
        <w:t>NORC and local implementing partners in the Atlanta Metropolitan Area</w:t>
      </w:r>
      <w:r w:rsidR="00657D08">
        <w:rPr>
          <w:rFonts w:ascii="Times New Roman" w:hAnsi="Times New Roman" w:cs="Times New Roman"/>
          <w:sz w:val="24"/>
          <w:szCs w:val="24"/>
        </w:rPr>
        <w:t xml:space="preserve"> </w:t>
      </w:r>
      <w:r w:rsidRPr="00EE33DE" w:rsidR="008819C3">
        <w:rPr>
          <w:rFonts w:ascii="Times New Roman" w:hAnsi="Times New Roman" w:cs="Times New Roman"/>
          <w:sz w:val="24"/>
          <w:szCs w:val="24"/>
        </w:rPr>
        <w:t>successfully recruit</w:t>
      </w:r>
      <w:r w:rsidR="00F33ADC">
        <w:rPr>
          <w:rFonts w:ascii="Times New Roman" w:hAnsi="Times New Roman" w:cs="Times New Roman"/>
          <w:sz w:val="24"/>
          <w:szCs w:val="24"/>
        </w:rPr>
        <w:t>ed</w:t>
      </w:r>
      <w:r w:rsidRPr="00EE33DE" w:rsidR="008819C3">
        <w:rPr>
          <w:rFonts w:ascii="Times New Roman" w:hAnsi="Times New Roman" w:cs="Times New Roman"/>
          <w:sz w:val="24"/>
          <w:szCs w:val="24"/>
        </w:rPr>
        <w:t>, consent</w:t>
      </w:r>
      <w:r w:rsidR="00F33ADC">
        <w:rPr>
          <w:rFonts w:ascii="Times New Roman" w:hAnsi="Times New Roman" w:cs="Times New Roman"/>
          <w:sz w:val="24"/>
          <w:szCs w:val="24"/>
        </w:rPr>
        <w:t>ed</w:t>
      </w:r>
      <w:r w:rsidRPr="00EE33DE" w:rsidR="008819C3">
        <w:rPr>
          <w:rFonts w:ascii="Times New Roman" w:hAnsi="Times New Roman" w:cs="Times New Roman"/>
          <w:sz w:val="24"/>
          <w:szCs w:val="24"/>
        </w:rPr>
        <w:t>, and interview</w:t>
      </w:r>
      <w:r w:rsidR="00F33ADC">
        <w:rPr>
          <w:rFonts w:ascii="Times New Roman" w:hAnsi="Times New Roman" w:cs="Times New Roman"/>
          <w:sz w:val="24"/>
          <w:szCs w:val="24"/>
        </w:rPr>
        <w:t>ed</w:t>
      </w:r>
      <w:r w:rsidRPr="00EE33DE" w:rsidR="008819C3">
        <w:rPr>
          <w:rFonts w:ascii="Times New Roman" w:hAnsi="Times New Roman" w:cs="Times New Roman"/>
          <w:sz w:val="24"/>
          <w:szCs w:val="24"/>
        </w:rPr>
        <w:t xml:space="preserve"> 101 eligible women.  </w:t>
      </w:r>
      <w:r>
        <w:rPr>
          <w:rFonts w:ascii="Times New Roman" w:hAnsi="Times New Roman" w:cs="Times New Roman"/>
          <w:sz w:val="24"/>
          <w:szCs w:val="24"/>
        </w:rPr>
        <w:t xml:space="preserve">Per terms of current approval, a change request is being submitted to outline changes based on pilot study results and outlined below. </w:t>
      </w:r>
    </w:p>
    <w:p w:rsidR="00BB1D8D" w:rsidP="00F33ADC" w:rsidRDefault="00BB1D8D" w14:paraId="4063139E" w14:textId="540FA0A2">
      <w:pPr>
        <w:spacing w:after="0" w:line="240" w:lineRule="auto"/>
        <w:rPr>
          <w:rFonts w:ascii="Times New Roman" w:hAnsi="Times New Roman" w:cs="Times New Roman"/>
          <w:sz w:val="24"/>
          <w:szCs w:val="24"/>
        </w:rPr>
      </w:pPr>
    </w:p>
    <w:p w:rsidRPr="00454A45" w:rsidR="00470B17" w:rsidP="00F33ADC" w:rsidRDefault="00CE58F6" w14:paraId="564E0E41" w14:textId="3E6B5BD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Language Translations of </w:t>
      </w:r>
      <w:r w:rsidR="007D015C">
        <w:rPr>
          <w:rFonts w:ascii="Times New Roman" w:hAnsi="Times New Roman" w:cs="Times New Roman"/>
          <w:sz w:val="24"/>
          <w:szCs w:val="24"/>
          <w:u w:val="single"/>
        </w:rPr>
        <w:t xml:space="preserve">WHNS </w:t>
      </w:r>
      <w:r>
        <w:rPr>
          <w:rFonts w:ascii="Times New Roman" w:hAnsi="Times New Roman" w:cs="Times New Roman"/>
          <w:sz w:val="24"/>
          <w:szCs w:val="24"/>
          <w:u w:val="single"/>
        </w:rPr>
        <w:t>Study Materials</w:t>
      </w:r>
      <w:r w:rsidR="00657D08">
        <w:rPr>
          <w:rFonts w:ascii="Times New Roman" w:hAnsi="Times New Roman" w:cs="Times New Roman"/>
          <w:sz w:val="24"/>
          <w:szCs w:val="24"/>
          <w:u w:val="single"/>
        </w:rPr>
        <w:br/>
      </w:r>
    </w:p>
    <w:p w:rsidR="00587A7A" w:rsidP="00587A7A" w:rsidRDefault="00106F5D" w14:paraId="7556B2AA" w14:textId="0E1D8681">
      <w:pPr>
        <w:spacing w:line="240" w:lineRule="auto"/>
        <w:rPr>
          <w:rFonts w:ascii="Times New Roman" w:hAnsi="Times New Roman" w:cs="Times New Roman"/>
          <w:sz w:val="24"/>
          <w:szCs w:val="24"/>
        </w:rPr>
      </w:pPr>
      <w:r>
        <w:rPr>
          <w:rFonts w:ascii="Times New Roman" w:hAnsi="Times New Roman" w:cs="Times New Roman"/>
          <w:sz w:val="24"/>
          <w:szCs w:val="24"/>
        </w:rPr>
        <w:t>Based on our experience d</w:t>
      </w:r>
      <w:r w:rsidR="00587A7A">
        <w:rPr>
          <w:rFonts w:ascii="Times New Roman" w:hAnsi="Times New Roman" w:cs="Times New Roman"/>
          <w:sz w:val="24"/>
          <w:szCs w:val="24"/>
        </w:rPr>
        <w:t>uring the pilot, the study team identified a need to modify the country of origin study eligibility criteria</w:t>
      </w:r>
      <w:r>
        <w:rPr>
          <w:rFonts w:ascii="Times New Roman" w:hAnsi="Times New Roman" w:cs="Times New Roman"/>
          <w:sz w:val="24"/>
          <w:szCs w:val="24"/>
        </w:rPr>
        <w:t xml:space="preserve"> in order to ensure that participants were from countries with a higher </w:t>
      </w:r>
      <w:r>
        <w:rPr>
          <w:rFonts w:ascii="Times New Roman" w:hAnsi="Times New Roman" w:cs="Times New Roman"/>
          <w:sz w:val="24"/>
          <w:szCs w:val="24"/>
        </w:rPr>
        <w:lastRenderedPageBreak/>
        <w:t>prevalence of FGM/C</w:t>
      </w:r>
      <w:r w:rsidR="00587A7A">
        <w:rPr>
          <w:rFonts w:ascii="Times New Roman" w:hAnsi="Times New Roman" w:cs="Times New Roman"/>
          <w:sz w:val="24"/>
          <w:szCs w:val="24"/>
        </w:rPr>
        <w:t xml:space="preserve">.  The criteria were modified to include women whose country of origin or mother’s country of origin are African countries with at least &gt;65% prevalence of FGM/C.  This resulted in the elimination of </w:t>
      </w:r>
      <w:r w:rsidR="006C4BB3">
        <w:rPr>
          <w:rFonts w:ascii="Times New Roman" w:hAnsi="Times New Roman" w:cs="Times New Roman"/>
          <w:sz w:val="24"/>
          <w:szCs w:val="24"/>
        </w:rPr>
        <w:t>lower prevalence</w:t>
      </w:r>
      <w:r w:rsidR="00587A7A">
        <w:rPr>
          <w:rFonts w:ascii="Times New Roman" w:hAnsi="Times New Roman" w:cs="Times New Roman"/>
          <w:sz w:val="24"/>
          <w:szCs w:val="24"/>
        </w:rPr>
        <w:t xml:space="preserve"> countries originally included: Kenya, Liberia, Nigeria.  It resulted in the addition of </w:t>
      </w:r>
      <w:r w:rsidR="00DD025E">
        <w:rPr>
          <w:rFonts w:ascii="Times New Roman" w:hAnsi="Times New Roman" w:cs="Times New Roman"/>
          <w:sz w:val="24"/>
          <w:szCs w:val="24"/>
        </w:rPr>
        <w:t xml:space="preserve">West African </w:t>
      </w:r>
      <w:r w:rsidR="00587A7A">
        <w:rPr>
          <w:rFonts w:ascii="Times New Roman" w:hAnsi="Times New Roman" w:cs="Times New Roman"/>
          <w:sz w:val="24"/>
          <w:szCs w:val="24"/>
        </w:rPr>
        <w:t xml:space="preserve">countries with &gt;65% prevalence of FGM/C: Burkina Faso, Gambia, Mali, and Mauritania.  </w:t>
      </w:r>
    </w:p>
    <w:p w:rsidR="00587A7A" w:rsidP="00587A7A" w:rsidRDefault="0046071B" w14:paraId="1A111521" w14:textId="5BE24A03">
      <w:pPr>
        <w:spacing w:line="240" w:lineRule="auto"/>
        <w:rPr>
          <w:rFonts w:ascii="Times New Roman" w:hAnsi="Times New Roman" w:cs="Times New Roman"/>
          <w:sz w:val="24"/>
          <w:szCs w:val="24"/>
        </w:rPr>
      </w:pPr>
      <w:r>
        <w:rPr>
          <w:rFonts w:ascii="Times New Roman" w:hAnsi="Times New Roman" w:cs="Times New Roman"/>
          <w:sz w:val="24"/>
          <w:szCs w:val="24"/>
        </w:rPr>
        <w:t xml:space="preserve">We provide </w:t>
      </w:r>
      <w:r w:rsidR="006D148B">
        <w:rPr>
          <w:rFonts w:ascii="Times New Roman" w:hAnsi="Times New Roman" w:cs="Times New Roman"/>
          <w:sz w:val="24"/>
          <w:szCs w:val="24"/>
        </w:rPr>
        <w:t>revisions to study materials (informed consent, screener, and questionnaire) in languages retained from original submission (Somali (</w:t>
      </w:r>
      <w:r w:rsidRPr="00454A45" w:rsidR="006D148B">
        <w:rPr>
          <w:rFonts w:ascii="Times New Roman" w:hAnsi="Times New Roman" w:cs="Times New Roman"/>
          <w:b/>
          <w:bCs/>
          <w:sz w:val="24"/>
          <w:szCs w:val="24"/>
        </w:rPr>
        <w:t>Attachments F</w:t>
      </w:r>
      <w:r w:rsidR="006D148B">
        <w:rPr>
          <w:rFonts w:ascii="Times New Roman" w:hAnsi="Times New Roman" w:cs="Times New Roman"/>
          <w:b/>
          <w:bCs/>
          <w:sz w:val="24"/>
          <w:szCs w:val="24"/>
        </w:rPr>
        <w:t>2</w:t>
      </w:r>
      <w:r w:rsidRPr="00454A45" w:rsidR="006D148B">
        <w:rPr>
          <w:rFonts w:ascii="Times New Roman" w:hAnsi="Times New Roman" w:cs="Times New Roman"/>
          <w:b/>
          <w:bCs/>
          <w:sz w:val="24"/>
          <w:szCs w:val="24"/>
        </w:rPr>
        <w:t>, G</w:t>
      </w:r>
      <w:r w:rsidR="006D148B">
        <w:rPr>
          <w:rFonts w:ascii="Times New Roman" w:hAnsi="Times New Roman" w:cs="Times New Roman"/>
          <w:b/>
          <w:bCs/>
          <w:sz w:val="24"/>
          <w:szCs w:val="24"/>
        </w:rPr>
        <w:t>2</w:t>
      </w:r>
      <w:r w:rsidRPr="00454A45" w:rsidR="006D148B">
        <w:rPr>
          <w:rFonts w:ascii="Times New Roman" w:hAnsi="Times New Roman" w:cs="Times New Roman"/>
          <w:b/>
          <w:bCs/>
          <w:sz w:val="24"/>
          <w:szCs w:val="24"/>
        </w:rPr>
        <w:t>, H</w:t>
      </w:r>
      <w:r w:rsidR="006D148B">
        <w:rPr>
          <w:rFonts w:ascii="Times New Roman" w:hAnsi="Times New Roman" w:cs="Times New Roman"/>
          <w:b/>
          <w:bCs/>
          <w:sz w:val="24"/>
          <w:szCs w:val="24"/>
        </w:rPr>
        <w:t xml:space="preserve">2), </w:t>
      </w:r>
      <w:r w:rsidR="006D148B">
        <w:rPr>
          <w:rFonts w:ascii="Times New Roman" w:hAnsi="Times New Roman" w:cs="Times New Roman"/>
          <w:sz w:val="24"/>
          <w:szCs w:val="24"/>
        </w:rPr>
        <w:t>Arabic (</w:t>
      </w:r>
      <w:r w:rsidRPr="00454A45" w:rsidR="006D148B">
        <w:rPr>
          <w:rFonts w:ascii="Times New Roman" w:hAnsi="Times New Roman" w:cs="Times New Roman"/>
          <w:b/>
          <w:bCs/>
          <w:sz w:val="24"/>
          <w:szCs w:val="24"/>
        </w:rPr>
        <w:t>Attachments F</w:t>
      </w:r>
      <w:r w:rsidR="006D148B">
        <w:rPr>
          <w:rFonts w:ascii="Times New Roman" w:hAnsi="Times New Roman" w:cs="Times New Roman"/>
          <w:b/>
          <w:bCs/>
          <w:sz w:val="24"/>
          <w:szCs w:val="24"/>
        </w:rPr>
        <w:t>4</w:t>
      </w:r>
      <w:r w:rsidRPr="00454A45" w:rsidR="006D148B">
        <w:rPr>
          <w:rFonts w:ascii="Times New Roman" w:hAnsi="Times New Roman" w:cs="Times New Roman"/>
          <w:b/>
          <w:bCs/>
          <w:sz w:val="24"/>
          <w:szCs w:val="24"/>
        </w:rPr>
        <w:t>, G</w:t>
      </w:r>
      <w:r w:rsidR="006D148B">
        <w:rPr>
          <w:rFonts w:ascii="Times New Roman" w:hAnsi="Times New Roman" w:cs="Times New Roman"/>
          <w:b/>
          <w:bCs/>
          <w:sz w:val="24"/>
          <w:szCs w:val="24"/>
        </w:rPr>
        <w:t>4</w:t>
      </w:r>
      <w:r w:rsidRPr="00454A45" w:rsidR="006D148B">
        <w:rPr>
          <w:rFonts w:ascii="Times New Roman" w:hAnsi="Times New Roman" w:cs="Times New Roman"/>
          <w:b/>
          <w:bCs/>
          <w:sz w:val="24"/>
          <w:szCs w:val="24"/>
        </w:rPr>
        <w:t>, H</w:t>
      </w:r>
      <w:r w:rsidR="006D148B">
        <w:rPr>
          <w:rFonts w:ascii="Times New Roman" w:hAnsi="Times New Roman" w:cs="Times New Roman"/>
          <w:b/>
          <w:bCs/>
          <w:sz w:val="24"/>
          <w:szCs w:val="24"/>
        </w:rPr>
        <w:t xml:space="preserve">4) </w:t>
      </w:r>
      <w:r w:rsidR="006D148B">
        <w:rPr>
          <w:rFonts w:ascii="Times New Roman" w:hAnsi="Times New Roman" w:cs="Times New Roman"/>
          <w:sz w:val="24"/>
          <w:szCs w:val="24"/>
        </w:rPr>
        <w:t>and Amharic (</w:t>
      </w:r>
      <w:r w:rsidRPr="00454A45" w:rsidR="006D148B">
        <w:rPr>
          <w:rFonts w:ascii="Times New Roman" w:hAnsi="Times New Roman" w:cs="Times New Roman"/>
          <w:b/>
          <w:bCs/>
          <w:sz w:val="24"/>
          <w:szCs w:val="24"/>
        </w:rPr>
        <w:t>Attachments F</w:t>
      </w:r>
      <w:r w:rsidR="006D148B">
        <w:rPr>
          <w:rFonts w:ascii="Times New Roman" w:hAnsi="Times New Roman" w:cs="Times New Roman"/>
          <w:b/>
          <w:bCs/>
          <w:sz w:val="24"/>
          <w:szCs w:val="24"/>
        </w:rPr>
        <w:t>5</w:t>
      </w:r>
      <w:r w:rsidRPr="00454A45" w:rsidR="006D148B">
        <w:rPr>
          <w:rFonts w:ascii="Times New Roman" w:hAnsi="Times New Roman" w:cs="Times New Roman"/>
          <w:b/>
          <w:bCs/>
          <w:sz w:val="24"/>
          <w:szCs w:val="24"/>
        </w:rPr>
        <w:t>, G</w:t>
      </w:r>
      <w:r w:rsidR="006D148B">
        <w:rPr>
          <w:rFonts w:ascii="Times New Roman" w:hAnsi="Times New Roman" w:cs="Times New Roman"/>
          <w:b/>
          <w:bCs/>
          <w:sz w:val="24"/>
          <w:szCs w:val="24"/>
        </w:rPr>
        <w:t>5</w:t>
      </w:r>
      <w:r w:rsidRPr="00454A45" w:rsidR="006D148B">
        <w:rPr>
          <w:rFonts w:ascii="Times New Roman" w:hAnsi="Times New Roman" w:cs="Times New Roman"/>
          <w:b/>
          <w:bCs/>
          <w:sz w:val="24"/>
          <w:szCs w:val="24"/>
        </w:rPr>
        <w:t>, H</w:t>
      </w:r>
      <w:r w:rsidR="006D148B">
        <w:rPr>
          <w:rFonts w:ascii="Times New Roman" w:hAnsi="Times New Roman" w:cs="Times New Roman"/>
          <w:b/>
          <w:bCs/>
          <w:sz w:val="24"/>
          <w:szCs w:val="24"/>
        </w:rPr>
        <w:t>5</w:t>
      </w:r>
      <w:r w:rsidR="006D148B">
        <w:rPr>
          <w:rFonts w:ascii="Times New Roman" w:hAnsi="Times New Roman" w:cs="Times New Roman"/>
          <w:sz w:val="24"/>
          <w:szCs w:val="24"/>
        </w:rPr>
        <w:t xml:space="preserve">)). </w:t>
      </w:r>
      <w:r w:rsidR="00305976">
        <w:rPr>
          <w:rFonts w:ascii="Times New Roman" w:hAnsi="Times New Roman" w:cs="Times New Roman"/>
          <w:sz w:val="24"/>
          <w:szCs w:val="24"/>
        </w:rPr>
        <w:t>Because of inclusion of Francophone West African participants, we have added</w:t>
      </w:r>
      <w:r w:rsidR="006D148B">
        <w:rPr>
          <w:rFonts w:ascii="Times New Roman" w:hAnsi="Times New Roman" w:cs="Times New Roman"/>
          <w:sz w:val="24"/>
          <w:szCs w:val="24"/>
        </w:rPr>
        <w:t xml:space="preserve"> new</w:t>
      </w:r>
      <w:r w:rsidR="00587A7A">
        <w:rPr>
          <w:rFonts w:ascii="Times New Roman" w:hAnsi="Times New Roman" w:cs="Times New Roman"/>
          <w:sz w:val="24"/>
          <w:szCs w:val="24"/>
        </w:rPr>
        <w:t xml:space="preserve"> French translations </w:t>
      </w:r>
      <w:r w:rsidR="00305976">
        <w:rPr>
          <w:rFonts w:ascii="Times New Roman" w:hAnsi="Times New Roman" w:cs="Times New Roman"/>
          <w:sz w:val="24"/>
          <w:szCs w:val="24"/>
        </w:rPr>
        <w:t>of study materials</w:t>
      </w:r>
      <w:r w:rsidR="00C85CE4">
        <w:rPr>
          <w:rFonts w:ascii="Times New Roman" w:hAnsi="Times New Roman" w:cs="Times New Roman"/>
          <w:sz w:val="24"/>
          <w:szCs w:val="24"/>
        </w:rPr>
        <w:t xml:space="preserve"> </w:t>
      </w:r>
      <w:bookmarkStart w:name="_Hlk38363601" w:id="0"/>
      <w:r w:rsidRPr="00454A45" w:rsidR="00C85CE4">
        <w:rPr>
          <w:rFonts w:ascii="Times New Roman" w:hAnsi="Times New Roman" w:cs="Times New Roman"/>
          <w:b/>
          <w:bCs/>
          <w:sz w:val="24"/>
          <w:szCs w:val="24"/>
        </w:rPr>
        <w:t>(Attachments F</w:t>
      </w:r>
      <w:r w:rsidR="00F977D8">
        <w:rPr>
          <w:rFonts w:ascii="Times New Roman" w:hAnsi="Times New Roman" w:cs="Times New Roman"/>
          <w:b/>
          <w:bCs/>
          <w:sz w:val="24"/>
          <w:szCs w:val="24"/>
        </w:rPr>
        <w:t>3</w:t>
      </w:r>
      <w:r w:rsidRPr="00454A45" w:rsidR="00C85CE4">
        <w:rPr>
          <w:rFonts w:ascii="Times New Roman" w:hAnsi="Times New Roman" w:cs="Times New Roman"/>
          <w:b/>
          <w:bCs/>
          <w:sz w:val="24"/>
          <w:szCs w:val="24"/>
        </w:rPr>
        <w:t>, G</w:t>
      </w:r>
      <w:r w:rsidR="00F977D8">
        <w:rPr>
          <w:rFonts w:ascii="Times New Roman" w:hAnsi="Times New Roman" w:cs="Times New Roman"/>
          <w:b/>
          <w:bCs/>
          <w:sz w:val="24"/>
          <w:szCs w:val="24"/>
        </w:rPr>
        <w:t>3</w:t>
      </w:r>
      <w:r w:rsidRPr="00454A45" w:rsidR="00C85CE4">
        <w:rPr>
          <w:rFonts w:ascii="Times New Roman" w:hAnsi="Times New Roman" w:cs="Times New Roman"/>
          <w:b/>
          <w:bCs/>
          <w:sz w:val="24"/>
          <w:szCs w:val="24"/>
        </w:rPr>
        <w:t>, H</w:t>
      </w:r>
      <w:r w:rsidR="00F977D8">
        <w:rPr>
          <w:rFonts w:ascii="Times New Roman" w:hAnsi="Times New Roman" w:cs="Times New Roman"/>
          <w:b/>
          <w:bCs/>
          <w:sz w:val="24"/>
          <w:szCs w:val="24"/>
        </w:rPr>
        <w:t>3</w:t>
      </w:r>
      <w:r w:rsidRPr="00454A45" w:rsidR="00C85CE4">
        <w:rPr>
          <w:rFonts w:ascii="Times New Roman" w:hAnsi="Times New Roman" w:cs="Times New Roman"/>
          <w:b/>
          <w:bCs/>
          <w:sz w:val="24"/>
          <w:szCs w:val="24"/>
        </w:rPr>
        <w:t>)</w:t>
      </w:r>
      <w:bookmarkEnd w:id="0"/>
      <w:r w:rsidR="00587A7A">
        <w:rPr>
          <w:rFonts w:ascii="Times New Roman" w:hAnsi="Times New Roman" w:cs="Times New Roman"/>
          <w:sz w:val="24"/>
          <w:szCs w:val="24"/>
        </w:rPr>
        <w:t xml:space="preserve">. </w:t>
      </w:r>
      <w:r w:rsidR="006C4BB3">
        <w:rPr>
          <w:rFonts w:ascii="Times New Roman" w:hAnsi="Times New Roman" w:cs="Times New Roman"/>
          <w:sz w:val="24"/>
          <w:szCs w:val="24"/>
        </w:rPr>
        <w:t xml:space="preserve">Finally, </w:t>
      </w:r>
      <w:r w:rsidR="00BB1D8D">
        <w:rPr>
          <w:rFonts w:ascii="Times New Roman" w:hAnsi="Times New Roman" w:cs="Times New Roman"/>
          <w:sz w:val="24"/>
          <w:szCs w:val="24"/>
        </w:rPr>
        <w:t>i</w:t>
      </w:r>
      <w:r w:rsidR="00587A7A">
        <w:rPr>
          <w:rFonts w:ascii="Times New Roman" w:hAnsi="Times New Roman" w:cs="Times New Roman"/>
          <w:sz w:val="24"/>
          <w:szCs w:val="24"/>
        </w:rPr>
        <w:t xml:space="preserve">n the pilot study Tigrinya-speaking Eritreans who were eligible could not be interviewed due to the </w:t>
      </w:r>
      <w:r w:rsidR="00305976">
        <w:rPr>
          <w:rFonts w:ascii="Times New Roman" w:hAnsi="Times New Roman" w:cs="Times New Roman"/>
          <w:sz w:val="24"/>
          <w:szCs w:val="24"/>
        </w:rPr>
        <w:t>lack of Tigrinya translations</w:t>
      </w:r>
      <w:r w:rsidR="00587A7A">
        <w:rPr>
          <w:rFonts w:ascii="Times New Roman" w:hAnsi="Times New Roman" w:cs="Times New Roman"/>
          <w:sz w:val="24"/>
          <w:szCs w:val="24"/>
        </w:rPr>
        <w:t xml:space="preserve">.  </w:t>
      </w:r>
      <w:r w:rsidR="009450D1">
        <w:rPr>
          <w:rFonts w:ascii="Times New Roman" w:hAnsi="Times New Roman" w:cs="Times New Roman"/>
          <w:sz w:val="24"/>
          <w:szCs w:val="24"/>
        </w:rPr>
        <w:t>As a result, we are</w:t>
      </w:r>
      <w:r w:rsidR="00FB3390">
        <w:rPr>
          <w:rFonts w:ascii="Times New Roman" w:hAnsi="Times New Roman" w:cs="Times New Roman"/>
          <w:sz w:val="24"/>
          <w:szCs w:val="24"/>
        </w:rPr>
        <w:t xml:space="preserve"> also</w:t>
      </w:r>
      <w:r w:rsidR="009450D1">
        <w:rPr>
          <w:rFonts w:ascii="Times New Roman" w:hAnsi="Times New Roman" w:cs="Times New Roman"/>
          <w:sz w:val="24"/>
          <w:szCs w:val="24"/>
        </w:rPr>
        <w:t xml:space="preserve"> adding Tigrinya translations f</w:t>
      </w:r>
      <w:r w:rsidR="00587A7A">
        <w:rPr>
          <w:rFonts w:ascii="Times New Roman" w:hAnsi="Times New Roman" w:cs="Times New Roman"/>
          <w:sz w:val="24"/>
          <w:szCs w:val="24"/>
        </w:rPr>
        <w:t>or the main study</w:t>
      </w:r>
      <w:r w:rsidR="00C85CE4">
        <w:rPr>
          <w:rFonts w:ascii="Times New Roman" w:hAnsi="Times New Roman" w:cs="Times New Roman"/>
          <w:sz w:val="24"/>
          <w:szCs w:val="24"/>
        </w:rPr>
        <w:t xml:space="preserve"> </w:t>
      </w:r>
      <w:bookmarkStart w:name="_Hlk38363614" w:id="1"/>
      <w:r w:rsidRPr="00454A45" w:rsidR="00C85CE4">
        <w:rPr>
          <w:rFonts w:ascii="Times New Roman" w:hAnsi="Times New Roman" w:cs="Times New Roman"/>
          <w:b/>
          <w:bCs/>
          <w:sz w:val="24"/>
          <w:szCs w:val="24"/>
        </w:rPr>
        <w:t>(Attachments F6, G6, H6)</w:t>
      </w:r>
      <w:bookmarkEnd w:id="1"/>
      <w:r w:rsidR="00657D08">
        <w:rPr>
          <w:rFonts w:ascii="Times New Roman" w:hAnsi="Times New Roman" w:cs="Times New Roman"/>
          <w:sz w:val="24"/>
          <w:szCs w:val="24"/>
        </w:rPr>
        <w:t>.</w:t>
      </w:r>
      <w:r w:rsidR="00587A7A">
        <w:rPr>
          <w:rFonts w:ascii="Times New Roman" w:hAnsi="Times New Roman" w:cs="Times New Roman"/>
          <w:sz w:val="24"/>
          <w:szCs w:val="24"/>
        </w:rPr>
        <w:t xml:space="preserve">  </w:t>
      </w:r>
      <w:r>
        <w:rPr>
          <w:rFonts w:ascii="Times New Roman" w:hAnsi="Times New Roman" w:cs="Times New Roman"/>
          <w:sz w:val="24"/>
          <w:szCs w:val="24"/>
        </w:rPr>
        <w:t xml:space="preserve">Swahili translations provided in the pilot will not be needed for the main study due to the removal of Swahili-speaking Kenya.  </w:t>
      </w:r>
    </w:p>
    <w:p w:rsidRPr="00454A45" w:rsidR="00BB1D8D" w:rsidP="00470B17" w:rsidRDefault="00CE58F6" w14:paraId="37A9D9CB" w14:textId="26BCF891">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WHNS </w:t>
      </w:r>
      <w:r w:rsidR="00F0570A">
        <w:rPr>
          <w:rFonts w:ascii="Times New Roman" w:hAnsi="Times New Roman" w:cs="Times New Roman"/>
          <w:sz w:val="24"/>
          <w:szCs w:val="24"/>
          <w:u w:val="single"/>
        </w:rPr>
        <w:t xml:space="preserve">Informed Consent, </w:t>
      </w:r>
      <w:r w:rsidR="003A354D">
        <w:rPr>
          <w:rFonts w:ascii="Times New Roman" w:hAnsi="Times New Roman" w:cs="Times New Roman"/>
          <w:sz w:val="24"/>
          <w:szCs w:val="24"/>
          <w:u w:val="single"/>
        </w:rPr>
        <w:t xml:space="preserve">Eligibility </w:t>
      </w:r>
      <w:r>
        <w:rPr>
          <w:rFonts w:ascii="Times New Roman" w:hAnsi="Times New Roman" w:cs="Times New Roman"/>
          <w:sz w:val="24"/>
          <w:szCs w:val="24"/>
          <w:u w:val="single"/>
        </w:rPr>
        <w:t>Screener and Questionnaire</w:t>
      </w:r>
    </w:p>
    <w:p w:rsidR="00470B17" w:rsidP="00470B17" w:rsidRDefault="00470B17" w14:paraId="6AB66821" w14:textId="01F837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pilot </w:t>
      </w:r>
      <w:r w:rsidR="00746A1D">
        <w:rPr>
          <w:rFonts w:ascii="Times New Roman" w:hAnsi="Times New Roman" w:cs="Times New Roman"/>
          <w:sz w:val="24"/>
          <w:szCs w:val="24"/>
        </w:rPr>
        <w:t xml:space="preserve">study </w:t>
      </w:r>
      <w:r w:rsidR="009B7F12">
        <w:rPr>
          <w:rFonts w:ascii="Times New Roman" w:hAnsi="Times New Roman" w:cs="Times New Roman"/>
          <w:sz w:val="24"/>
          <w:szCs w:val="24"/>
        </w:rPr>
        <w:t xml:space="preserve">identified modifications needed in the </w:t>
      </w:r>
      <w:r w:rsidR="00F0570A">
        <w:rPr>
          <w:rFonts w:ascii="Times New Roman" w:hAnsi="Times New Roman" w:cs="Times New Roman"/>
          <w:sz w:val="24"/>
          <w:szCs w:val="24"/>
        </w:rPr>
        <w:t xml:space="preserve">informed consent, </w:t>
      </w:r>
      <w:r w:rsidR="009B7F12">
        <w:rPr>
          <w:rFonts w:ascii="Times New Roman" w:hAnsi="Times New Roman" w:cs="Times New Roman"/>
          <w:sz w:val="24"/>
          <w:szCs w:val="24"/>
        </w:rPr>
        <w:t>study screener and questionnaire.</w:t>
      </w:r>
      <w:r w:rsidR="00F0570A">
        <w:rPr>
          <w:rFonts w:ascii="Times New Roman" w:hAnsi="Times New Roman" w:cs="Times New Roman"/>
          <w:sz w:val="24"/>
          <w:szCs w:val="24"/>
        </w:rPr>
        <w:t xml:space="preserve"> </w:t>
      </w:r>
      <w:r w:rsidR="009B7F12">
        <w:rPr>
          <w:rFonts w:ascii="Times New Roman" w:hAnsi="Times New Roman" w:cs="Times New Roman"/>
          <w:sz w:val="24"/>
          <w:szCs w:val="24"/>
        </w:rPr>
        <w:t>T</w:t>
      </w:r>
      <w:r>
        <w:rPr>
          <w:rFonts w:ascii="Times New Roman" w:hAnsi="Times New Roman" w:cs="Times New Roman"/>
          <w:sz w:val="24"/>
          <w:szCs w:val="24"/>
        </w:rPr>
        <w:t xml:space="preserve">he study screener </w:t>
      </w:r>
      <w:r w:rsidR="00C91F81">
        <w:rPr>
          <w:rFonts w:ascii="Times New Roman" w:hAnsi="Times New Roman" w:cs="Times New Roman"/>
          <w:sz w:val="24"/>
          <w:szCs w:val="24"/>
        </w:rPr>
        <w:t xml:space="preserve">can </w:t>
      </w:r>
      <w:r>
        <w:rPr>
          <w:rFonts w:ascii="Times New Roman" w:hAnsi="Times New Roman" w:cs="Times New Roman"/>
          <w:sz w:val="24"/>
          <w:szCs w:val="24"/>
        </w:rPr>
        <w:t xml:space="preserve">be implemented more efficiently if questions </w:t>
      </w:r>
      <w:r w:rsidR="00DD025E">
        <w:rPr>
          <w:rFonts w:ascii="Times New Roman" w:hAnsi="Times New Roman" w:cs="Times New Roman"/>
          <w:sz w:val="24"/>
          <w:szCs w:val="24"/>
        </w:rPr>
        <w:t>foun</w:t>
      </w:r>
      <w:r w:rsidR="00C91F81">
        <w:rPr>
          <w:rFonts w:ascii="Times New Roman" w:hAnsi="Times New Roman" w:cs="Times New Roman"/>
          <w:sz w:val="24"/>
          <w:szCs w:val="24"/>
        </w:rPr>
        <w:t xml:space="preserve">d to be unnecessary during the pilot </w:t>
      </w:r>
      <w:r>
        <w:rPr>
          <w:rFonts w:ascii="Times New Roman" w:hAnsi="Times New Roman" w:cs="Times New Roman"/>
          <w:sz w:val="24"/>
          <w:szCs w:val="24"/>
        </w:rPr>
        <w:t xml:space="preserve">were removed and more explicit interviewer instructions were added. </w:t>
      </w:r>
      <w:r w:rsidR="001B32AA">
        <w:rPr>
          <w:rFonts w:ascii="Times New Roman" w:hAnsi="Times New Roman" w:cs="Times New Roman"/>
          <w:sz w:val="24"/>
          <w:szCs w:val="24"/>
        </w:rPr>
        <w:t xml:space="preserve"> </w:t>
      </w:r>
      <w:r w:rsidR="009E3BFF">
        <w:rPr>
          <w:rFonts w:ascii="Times New Roman" w:hAnsi="Times New Roman" w:cs="Times New Roman"/>
          <w:sz w:val="24"/>
          <w:szCs w:val="24"/>
        </w:rPr>
        <w:t xml:space="preserve">Study questionnaire changes are </w:t>
      </w:r>
      <w:r>
        <w:rPr>
          <w:rFonts w:ascii="Times New Roman" w:hAnsi="Times New Roman" w:cs="Times New Roman"/>
          <w:sz w:val="24"/>
          <w:szCs w:val="24"/>
        </w:rPr>
        <w:t>needed to</w:t>
      </w:r>
      <w:r w:rsidRPr="00906EA1">
        <w:rPr>
          <w:rFonts w:ascii="Times New Roman" w:hAnsi="Times New Roman" w:cs="Times New Roman"/>
          <w:sz w:val="24"/>
          <w:szCs w:val="24"/>
        </w:rPr>
        <w:t xml:space="preserve"> </w:t>
      </w:r>
      <w:r>
        <w:rPr>
          <w:rFonts w:ascii="Times New Roman" w:hAnsi="Times New Roman" w:cs="Times New Roman"/>
          <w:sz w:val="24"/>
          <w:szCs w:val="24"/>
        </w:rPr>
        <w:t>refine</w:t>
      </w:r>
      <w:r w:rsidRPr="00906EA1">
        <w:rPr>
          <w:rFonts w:ascii="Times New Roman" w:hAnsi="Times New Roman" w:cs="Times New Roman"/>
          <w:sz w:val="24"/>
          <w:szCs w:val="24"/>
        </w:rPr>
        <w:t xml:space="preserve"> </w:t>
      </w:r>
      <w:r>
        <w:rPr>
          <w:rFonts w:ascii="Times New Roman" w:hAnsi="Times New Roman" w:cs="Times New Roman"/>
          <w:sz w:val="24"/>
          <w:szCs w:val="24"/>
        </w:rPr>
        <w:t xml:space="preserve">content and </w:t>
      </w:r>
      <w:r w:rsidRPr="00906EA1">
        <w:rPr>
          <w:rFonts w:ascii="Times New Roman" w:hAnsi="Times New Roman" w:cs="Times New Roman"/>
          <w:sz w:val="24"/>
          <w:szCs w:val="24"/>
        </w:rPr>
        <w:t>flow</w:t>
      </w:r>
      <w:r>
        <w:rPr>
          <w:rFonts w:ascii="Times New Roman" w:hAnsi="Times New Roman" w:cs="Times New Roman"/>
          <w:sz w:val="24"/>
          <w:szCs w:val="24"/>
        </w:rPr>
        <w:t>.  Some questions were eliminated and/or replaced</w:t>
      </w:r>
      <w:r w:rsidRPr="00906EA1">
        <w:rPr>
          <w:rFonts w:ascii="Times New Roman" w:hAnsi="Times New Roman" w:cs="Times New Roman"/>
          <w:sz w:val="24"/>
          <w:szCs w:val="24"/>
        </w:rPr>
        <w:t>, open-ended response options</w:t>
      </w:r>
      <w:r w:rsidRPr="00EE33DE">
        <w:rPr>
          <w:rFonts w:ascii="Times New Roman" w:hAnsi="Times New Roman" w:cs="Times New Roman"/>
          <w:sz w:val="24"/>
          <w:szCs w:val="24"/>
        </w:rPr>
        <w:t xml:space="preserve"> used in the pilot </w:t>
      </w:r>
      <w:r>
        <w:rPr>
          <w:rFonts w:ascii="Times New Roman" w:hAnsi="Times New Roman" w:cs="Times New Roman"/>
          <w:sz w:val="24"/>
          <w:szCs w:val="24"/>
        </w:rPr>
        <w:t>were replaced with</w:t>
      </w:r>
      <w:r w:rsidRPr="00EE33DE">
        <w:rPr>
          <w:rFonts w:ascii="Times New Roman" w:hAnsi="Times New Roman" w:cs="Times New Roman"/>
          <w:sz w:val="24"/>
          <w:szCs w:val="24"/>
        </w:rPr>
        <w:t xml:space="preserve"> categorical response options</w:t>
      </w:r>
      <w:r w:rsidRPr="00906EA1">
        <w:rPr>
          <w:rFonts w:ascii="Times New Roman" w:hAnsi="Times New Roman" w:cs="Times New Roman"/>
          <w:sz w:val="24"/>
          <w:szCs w:val="24"/>
        </w:rPr>
        <w:t xml:space="preserve">, and </w:t>
      </w:r>
      <w:r>
        <w:rPr>
          <w:rFonts w:ascii="Times New Roman" w:hAnsi="Times New Roman" w:cs="Times New Roman"/>
          <w:sz w:val="24"/>
          <w:szCs w:val="24"/>
        </w:rPr>
        <w:t xml:space="preserve">some </w:t>
      </w:r>
      <w:r w:rsidR="00746A1D">
        <w:rPr>
          <w:rFonts w:ascii="Times New Roman" w:hAnsi="Times New Roman" w:cs="Times New Roman"/>
          <w:sz w:val="24"/>
          <w:szCs w:val="24"/>
        </w:rPr>
        <w:t>wording was</w:t>
      </w:r>
      <w:r w:rsidRPr="00EE33DE">
        <w:rPr>
          <w:rFonts w:ascii="Times New Roman" w:hAnsi="Times New Roman" w:cs="Times New Roman"/>
          <w:sz w:val="24"/>
          <w:szCs w:val="24"/>
        </w:rPr>
        <w:t xml:space="preserve"> simplif</w:t>
      </w:r>
      <w:r>
        <w:rPr>
          <w:rFonts w:ascii="Times New Roman" w:hAnsi="Times New Roman" w:cs="Times New Roman"/>
          <w:sz w:val="24"/>
          <w:szCs w:val="24"/>
        </w:rPr>
        <w:t>ied</w:t>
      </w:r>
      <w:r w:rsidRPr="00EE33DE">
        <w:rPr>
          <w:rFonts w:ascii="Times New Roman" w:hAnsi="Times New Roman" w:cs="Times New Roman"/>
          <w:sz w:val="24"/>
          <w:szCs w:val="24"/>
        </w:rPr>
        <w:t xml:space="preserve"> or correct</w:t>
      </w:r>
      <w:r>
        <w:rPr>
          <w:rFonts w:ascii="Times New Roman" w:hAnsi="Times New Roman" w:cs="Times New Roman"/>
          <w:sz w:val="24"/>
          <w:szCs w:val="24"/>
        </w:rPr>
        <w:t>ed</w:t>
      </w:r>
      <w:r w:rsidRPr="00EE33DE">
        <w:rPr>
          <w:rFonts w:ascii="Times New Roman" w:hAnsi="Times New Roman" w:cs="Times New Roman"/>
          <w:sz w:val="24"/>
          <w:szCs w:val="24"/>
        </w:rPr>
        <w:t xml:space="preserve">.  </w:t>
      </w:r>
      <w:r w:rsidR="00746A1D">
        <w:rPr>
          <w:rFonts w:ascii="Times New Roman" w:hAnsi="Times New Roman" w:cs="Times New Roman"/>
          <w:sz w:val="24"/>
          <w:szCs w:val="24"/>
        </w:rPr>
        <w:t xml:space="preserve">To improve questionnaire administration, interviewer instructions were clarified or simplified.  </w:t>
      </w:r>
      <w:r w:rsidR="00F0570A">
        <w:rPr>
          <w:rFonts w:ascii="Times New Roman" w:hAnsi="Times New Roman" w:cs="Times New Roman"/>
          <w:sz w:val="24"/>
          <w:szCs w:val="24"/>
        </w:rPr>
        <w:t xml:space="preserve">  A change request for an increase in reimbursement amounts was approved </w:t>
      </w:r>
      <w:r w:rsidR="00E87649">
        <w:rPr>
          <w:rFonts w:ascii="Times New Roman" w:hAnsi="Times New Roman" w:cs="Times New Roman"/>
          <w:sz w:val="24"/>
          <w:szCs w:val="24"/>
        </w:rPr>
        <w:t>on 01/29/2020.</w:t>
      </w:r>
      <w:r w:rsidR="00F0570A">
        <w:rPr>
          <w:rFonts w:ascii="Times New Roman" w:hAnsi="Times New Roman" w:cs="Times New Roman"/>
          <w:sz w:val="24"/>
          <w:szCs w:val="24"/>
        </w:rPr>
        <w:t xml:space="preserve"> IRB approval for applicable changes in the informed consent, study screener and questionnaire have been obtained. Translations for these approvals are included as indicated above. </w:t>
      </w:r>
    </w:p>
    <w:p w:rsidRPr="00454A45" w:rsidR="00BB1D8D" w:rsidP="00470B17" w:rsidRDefault="00CE58F6" w14:paraId="3C099218" w14:textId="71A4407A">
      <w:pPr>
        <w:spacing w:line="240" w:lineRule="auto"/>
        <w:rPr>
          <w:rFonts w:ascii="Times New Roman" w:hAnsi="Times New Roman" w:eastAsia="Times New Roman" w:cs="Times New Roman"/>
          <w:sz w:val="24"/>
          <w:u w:val="single"/>
        </w:rPr>
      </w:pPr>
      <w:r>
        <w:rPr>
          <w:rFonts w:ascii="Times New Roman" w:hAnsi="Times New Roman" w:eastAsia="Times New Roman" w:cs="Times New Roman"/>
          <w:sz w:val="24"/>
          <w:u w:val="single"/>
        </w:rPr>
        <w:t>Sample Size</w:t>
      </w:r>
    </w:p>
    <w:p w:rsidRPr="00A96A6D" w:rsidR="007F01B4" w:rsidP="007F01B4" w:rsidRDefault="007F01B4" w14:paraId="1F88ED4E" w14:textId="4CA2BAEA">
      <w:pPr>
        <w:spacing w:line="240" w:lineRule="auto"/>
        <w:rPr>
          <w:rFonts w:ascii="Times New Roman" w:hAnsi="Times New Roman" w:eastAsia="Times New Roman" w:cs="Times New Roman"/>
          <w:sz w:val="24"/>
        </w:rPr>
      </w:pPr>
      <w:r w:rsidRPr="00A96A6D">
        <w:rPr>
          <w:rFonts w:ascii="Times New Roman" w:hAnsi="Times New Roman" w:eastAsia="Times New Roman" w:cs="Times New Roman"/>
          <w:sz w:val="24"/>
        </w:rPr>
        <w:t>A major contribution of the study will be to understand and compare experiences among those who have undergone different types of FGM/C</w:t>
      </w:r>
      <w:r w:rsidRPr="00A96A6D" w:rsidR="00C302C9">
        <w:rPr>
          <w:rFonts w:ascii="Times New Roman" w:hAnsi="Times New Roman" w:eastAsia="Times New Roman" w:cs="Times New Roman"/>
          <w:sz w:val="24"/>
        </w:rPr>
        <w:t xml:space="preserve"> given t</w:t>
      </w:r>
      <w:r w:rsidRPr="00A96A6D">
        <w:rPr>
          <w:rFonts w:ascii="Times New Roman" w:hAnsi="Times New Roman" w:eastAsia="Times New Roman" w:cs="Times New Roman"/>
          <w:sz w:val="24"/>
        </w:rPr>
        <w:t xml:space="preserve">he potential for various morbidities and negative health effects of FGM/C related to the type and severity of procedure.  </w:t>
      </w:r>
      <w:r w:rsidRPr="00A96A6D">
        <w:rPr>
          <w:rFonts w:ascii="Times New Roman" w:hAnsi="Times New Roman" w:cs="Times New Roman"/>
          <w:sz w:val="24"/>
          <w:szCs w:val="24"/>
        </w:rPr>
        <w:t xml:space="preserve">Pilot study data on the percentage of women who underwent each type of FGM/C was used to calculate the power to detect differences between groups who experience different types of FGM/C and consider whether the currently approved sample size was adequate.  Results suggest that increasing the sample size from 1,200 </w:t>
      </w:r>
      <w:r w:rsidRPr="00A96A6D" w:rsidR="007A2CB5">
        <w:rPr>
          <w:rFonts w:ascii="Times New Roman" w:hAnsi="Times New Roman" w:cs="Times New Roman"/>
          <w:sz w:val="24"/>
          <w:szCs w:val="24"/>
        </w:rPr>
        <w:t>(</w:t>
      </w:r>
      <w:r w:rsidRPr="00A96A6D" w:rsidR="00366307">
        <w:rPr>
          <w:rFonts w:ascii="Times New Roman" w:hAnsi="Times New Roman" w:cs="Times New Roman"/>
          <w:sz w:val="24"/>
          <w:szCs w:val="24"/>
        </w:rPr>
        <w:t xml:space="preserve">initially planned </w:t>
      </w:r>
      <w:r w:rsidRPr="00A96A6D" w:rsidR="007A2CB5">
        <w:rPr>
          <w:rFonts w:ascii="Times New Roman" w:hAnsi="Times New Roman" w:cs="Times New Roman"/>
          <w:sz w:val="24"/>
          <w:szCs w:val="24"/>
        </w:rPr>
        <w:t xml:space="preserve">100 in the pilot and 1,100 in the main study) </w:t>
      </w:r>
      <w:r w:rsidRPr="00A96A6D">
        <w:rPr>
          <w:rFonts w:ascii="Times New Roman" w:hAnsi="Times New Roman" w:cs="Times New Roman"/>
          <w:sz w:val="24"/>
          <w:szCs w:val="24"/>
        </w:rPr>
        <w:t xml:space="preserve">to 2,000 </w:t>
      </w:r>
      <w:bookmarkStart w:name="_Hlk40949361" w:id="2"/>
      <w:r w:rsidRPr="00A96A6D" w:rsidR="007A2CB5">
        <w:rPr>
          <w:rFonts w:ascii="Times New Roman" w:hAnsi="Times New Roman" w:cs="Times New Roman"/>
          <w:sz w:val="24"/>
          <w:szCs w:val="24"/>
        </w:rPr>
        <w:t>(101 completed the pilot and a</w:t>
      </w:r>
      <w:r w:rsidRPr="00A96A6D" w:rsidR="00366307">
        <w:rPr>
          <w:rFonts w:ascii="Times New Roman" w:hAnsi="Times New Roman" w:cs="Times New Roman"/>
          <w:sz w:val="24"/>
          <w:szCs w:val="24"/>
        </w:rPr>
        <w:t xml:space="preserve"> proposed</w:t>
      </w:r>
      <w:r w:rsidRPr="00A96A6D" w:rsidR="007A2CB5">
        <w:rPr>
          <w:rFonts w:ascii="Times New Roman" w:hAnsi="Times New Roman" w:cs="Times New Roman"/>
          <w:sz w:val="24"/>
          <w:szCs w:val="24"/>
        </w:rPr>
        <w:t xml:space="preserve"> increase to 1,899 in the main study)</w:t>
      </w:r>
      <w:bookmarkEnd w:id="2"/>
      <w:r w:rsidRPr="00A96A6D" w:rsidR="007A2CB5">
        <w:rPr>
          <w:rFonts w:ascii="Times New Roman" w:hAnsi="Times New Roman" w:cs="Times New Roman"/>
          <w:sz w:val="24"/>
          <w:szCs w:val="24"/>
        </w:rPr>
        <w:t xml:space="preserve"> </w:t>
      </w:r>
      <w:r w:rsidRPr="00A96A6D">
        <w:rPr>
          <w:rFonts w:ascii="Times New Roman" w:hAnsi="Times New Roman" w:cs="Times New Roman"/>
          <w:sz w:val="24"/>
          <w:szCs w:val="24"/>
        </w:rPr>
        <w:t xml:space="preserve">would </w:t>
      </w:r>
      <w:r w:rsidRPr="00A96A6D">
        <w:rPr>
          <w:rFonts w:ascii="Times New Roman" w:hAnsi="Times New Roman" w:eastAsia="Times New Roman" w:cs="Times New Roman"/>
          <w:sz w:val="24"/>
        </w:rPr>
        <w:t xml:space="preserve">make a substantive improvement in the ability to measure differences according to type of circumcision women have experienced. </w:t>
      </w:r>
    </w:p>
    <w:p w:rsidR="00A96A6D" w:rsidP="00A96A6D" w:rsidRDefault="007F01B4" w14:paraId="49A7DE82" w14:textId="2A6CD256">
      <w:pPr>
        <w:spacing w:after="0" w:line="240" w:lineRule="auto"/>
        <w:contextualSpacing/>
        <w:rPr>
          <w:rFonts w:ascii="Times New Roman" w:hAnsi="Times New Roman" w:eastAsia="Times New Roman" w:cs="Times New Roman"/>
          <w:sz w:val="24"/>
        </w:rPr>
      </w:pPr>
      <w:r w:rsidRPr="00A96A6D">
        <w:rPr>
          <w:rFonts w:ascii="Times New Roman" w:hAnsi="Times New Roman" w:eastAsia="Times New Roman" w:cs="Times New Roman"/>
          <w:sz w:val="24"/>
        </w:rPr>
        <w:t xml:space="preserve">More specifically, in the pilot study, 51 of 101 (50.5%) eligible respondents reported having undergone some type of FGM/C; 20 reported having undergone the most severe form of FGM/C (flesh removed with genital area sewn closed) and 31 reported less severe forms (nicking or flesh removed from the genital area).  </w:t>
      </w:r>
    </w:p>
    <w:p w:rsidR="00A96A6D" w:rsidP="00A96A6D" w:rsidRDefault="00A96A6D" w14:paraId="2BCE05CF" w14:textId="77777777">
      <w:pPr>
        <w:spacing w:after="0" w:line="240" w:lineRule="auto"/>
        <w:contextualSpacing/>
        <w:rPr>
          <w:rFonts w:ascii="Times New Roman" w:hAnsi="Times New Roman" w:cs="Times New Roman"/>
          <w:sz w:val="24"/>
          <w:szCs w:val="24"/>
        </w:rPr>
      </w:pPr>
    </w:p>
    <w:p w:rsidRPr="00A96A6D" w:rsidR="007A2CB5" w:rsidP="007A2CB5" w:rsidRDefault="007A2CB5" w14:paraId="2FC341F2" w14:textId="1A1F9BC7">
      <w:pPr>
        <w:pStyle w:val="CommentText"/>
        <w:rPr>
          <w:rFonts w:ascii="Times New Roman" w:hAnsi="Times New Roman" w:cs="Times New Roman"/>
          <w:sz w:val="24"/>
          <w:szCs w:val="24"/>
        </w:rPr>
      </w:pPr>
      <w:r w:rsidRPr="00A96A6D">
        <w:rPr>
          <w:rFonts w:ascii="Times New Roman" w:hAnsi="Times New Roman" w:cs="Times New Roman"/>
          <w:sz w:val="24"/>
          <w:szCs w:val="24"/>
        </w:rPr>
        <w:t xml:space="preserve">Under the original main study sample size of 1,100, we would expect to detect a minimum difference of approximately 7.3 percentage points between two estimated proportions of women who did and women who did not experience some type of FGM/C. And we would expect to detect a minimum difference of approximately 10.6 percentage points between two estimated proportions of women who experienced the most severe form of FGM/C versus women who experienced less severe forms. With the increase in the main sample size to 1,899, we expect to be able to detect a minimum difference of approximately 5.6 </w:t>
      </w:r>
      <w:r w:rsidRPr="00A96A6D">
        <w:rPr>
          <w:rFonts w:ascii="Times New Roman" w:hAnsi="Times New Roman" w:cs="Times New Roman"/>
          <w:sz w:val="24"/>
          <w:szCs w:val="24"/>
        </w:rPr>
        <w:lastRenderedPageBreak/>
        <w:t xml:space="preserve">percentage </w:t>
      </w:r>
      <w:r w:rsidRPr="00A96A6D">
        <w:rPr>
          <w:rStyle w:val="CommentReference"/>
          <w:rFonts w:ascii="Times New Roman" w:hAnsi="Times New Roman" w:cs="Times New Roman"/>
          <w:sz w:val="24"/>
          <w:szCs w:val="24"/>
        </w:rPr>
        <w:annotationRef/>
      </w:r>
      <w:r w:rsidRPr="00A96A6D">
        <w:rPr>
          <w:rStyle w:val="CommentReference"/>
          <w:rFonts w:ascii="Times New Roman" w:hAnsi="Times New Roman" w:cs="Times New Roman"/>
          <w:sz w:val="24"/>
          <w:szCs w:val="24"/>
        </w:rPr>
        <w:annotationRef/>
      </w:r>
      <w:r w:rsidRPr="00A96A6D">
        <w:rPr>
          <w:rFonts w:ascii="Times New Roman" w:hAnsi="Times New Roman" w:cs="Times New Roman"/>
          <w:sz w:val="24"/>
          <w:szCs w:val="24"/>
        </w:rPr>
        <w:t>points between two estimated proportions of women who did and did not undergo FGM/C. We also expect to be able to detect a minimum difference of approximately 8.0 percentage points between women who experienced the most severe and less severe forms of FGM/C, a substantive improvement in the ability to measure differences between these two groups of circumcised women.</w:t>
      </w:r>
    </w:p>
    <w:p w:rsidRPr="00A96A6D" w:rsidR="00660EBF" w:rsidP="007F01B4" w:rsidRDefault="00660EBF" w14:paraId="1BF83EE9" w14:textId="6F6BEAE7">
      <w:pPr>
        <w:spacing w:line="240" w:lineRule="auto"/>
        <w:rPr>
          <w:rFonts w:ascii="Times New Roman" w:hAnsi="Times New Roman" w:eastAsia="Times New Roman" w:cs="Times New Roman"/>
          <w:sz w:val="24"/>
        </w:rPr>
      </w:pPr>
      <w:r w:rsidRPr="00A96A6D">
        <w:rPr>
          <w:rFonts w:ascii="Times New Roman" w:hAnsi="Times New Roman" w:eastAsia="Times New Roman" w:cs="Times New Roman"/>
          <w:sz w:val="24"/>
        </w:rPr>
        <w:t xml:space="preserve">An increase in sample size will require an increase in the number screened for eligibility to participate in </w:t>
      </w:r>
      <w:r w:rsidRPr="00A96A6D" w:rsidR="00A13E6B">
        <w:rPr>
          <w:rFonts w:ascii="Times New Roman" w:hAnsi="Times New Roman" w:eastAsia="Times New Roman" w:cs="Times New Roman"/>
          <w:sz w:val="24"/>
        </w:rPr>
        <w:t>an</w:t>
      </w:r>
      <w:r w:rsidRPr="00A96A6D">
        <w:rPr>
          <w:rFonts w:ascii="Times New Roman" w:hAnsi="Times New Roman" w:eastAsia="Times New Roman" w:cs="Times New Roman"/>
          <w:sz w:val="24"/>
        </w:rPr>
        <w:t xml:space="preserve"> interview. We </w:t>
      </w:r>
      <w:r w:rsidRPr="00A96A6D" w:rsidR="00630F4F">
        <w:rPr>
          <w:rFonts w:ascii="Times New Roman" w:hAnsi="Times New Roman" w:eastAsia="Times New Roman" w:cs="Times New Roman"/>
          <w:sz w:val="24"/>
        </w:rPr>
        <w:t xml:space="preserve">also </w:t>
      </w:r>
      <w:r w:rsidRPr="00A96A6D">
        <w:rPr>
          <w:rFonts w:ascii="Times New Roman" w:hAnsi="Times New Roman" w:eastAsia="Times New Roman" w:cs="Times New Roman"/>
          <w:sz w:val="24"/>
        </w:rPr>
        <w:t xml:space="preserve">are requesting </w:t>
      </w:r>
      <w:r w:rsidRPr="00A96A6D" w:rsidR="00630F4F">
        <w:rPr>
          <w:rFonts w:ascii="Times New Roman" w:hAnsi="Times New Roman" w:eastAsia="Times New Roman" w:cs="Times New Roman"/>
          <w:sz w:val="24"/>
        </w:rPr>
        <w:t>a further</w:t>
      </w:r>
      <w:r w:rsidRPr="00A96A6D">
        <w:rPr>
          <w:rFonts w:ascii="Times New Roman" w:hAnsi="Times New Roman" w:eastAsia="Times New Roman" w:cs="Times New Roman"/>
          <w:sz w:val="24"/>
        </w:rPr>
        <w:t xml:space="preserve"> increase</w:t>
      </w:r>
      <w:r w:rsidRPr="00A96A6D" w:rsidR="00A13E6B">
        <w:rPr>
          <w:rFonts w:ascii="Times New Roman" w:hAnsi="Times New Roman" w:eastAsia="Times New Roman" w:cs="Times New Roman"/>
          <w:sz w:val="24"/>
        </w:rPr>
        <w:t xml:space="preserve"> in the number screened to account for the rate of refusals after eligibility </w:t>
      </w:r>
      <w:r w:rsidRPr="00A96A6D" w:rsidR="00630F4F">
        <w:rPr>
          <w:rFonts w:ascii="Times New Roman" w:hAnsi="Times New Roman" w:eastAsia="Times New Roman" w:cs="Times New Roman"/>
          <w:sz w:val="24"/>
        </w:rPr>
        <w:t>is determined, which was not factored into our original calculations</w:t>
      </w:r>
      <w:r w:rsidRPr="00A96A6D" w:rsidR="00A13E6B">
        <w:rPr>
          <w:rFonts w:ascii="Times New Roman" w:hAnsi="Times New Roman" w:eastAsia="Times New Roman" w:cs="Times New Roman"/>
          <w:sz w:val="24"/>
        </w:rPr>
        <w:t xml:space="preserve">. </w:t>
      </w:r>
      <w:r w:rsidRPr="00A96A6D">
        <w:rPr>
          <w:rFonts w:ascii="Times New Roman" w:hAnsi="Times New Roman" w:eastAsia="Times New Roman" w:cs="Times New Roman"/>
          <w:sz w:val="24"/>
        </w:rPr>
        <w:t xml:space="preserve"> Based on rates during the pilot of either refusing or being unable to participate after being deemed eligible when recruited from community-based organizations, we expect that 1</w:t>
      </w:r>
      <w:r w:rsidRPr="00A96A6D" w:rsidR="007D015C">
        <w:rPr>
          <w:rFonts w:ascii="Times New Roman" w:hAnsi="Times New Roman" w:eastAsia="Times New Roman" w:cs="Times New Roman"/>
          <w:sz w:val="24"/>
        </w:rPr>
        <w:t>7</w:t>
      </w:r>
      <w:r w:rsidRPr="00A96A6D">
        <w:rPr>
          <w:rFonts w:ascii="Times New Roman" w:hAnsi="Times New Roman" w:eastAsia="Times New Roman" w:cs="Times New Roman"/>
          <w:sz w:val="24"/>
        </w:rPr>
        <w:t xml:space="preserve">% of those deemed eligible will not </w:t>
      </w:r>
      <w:r w:rsidRPr="00A96A6D" w:rsidR="007D015C">
        <w:rPr>
          <w:rFonts w:ascii="Times New Roman" w:hAnsi="Times New Roman" w:eastAsia="Times New Roman" w:cs="Times New Roman"/>
          <w:sz w:val="24"/>
        </w:rPr>
        <w:t>complete a full study interview</w:t>
      </w:r>
      <w:r w:rsidRPr="00A96A6D">
        <w:rPr>
          <w:rFonts w:ascii="Times New Roman" w:hAnsi="Times New Roman" w:eastAsia="Times New Roman" w:cs="Times New Roman"/>
          <w:sz w:val="24"/>
        </w:rPr>
        <w:t xml:space="preserve">. </w:t>
      </w:r>
    </w:p>
    <w:p w:rsidRPr="00A96A6D" w:rsidR="00A13E6B" w:rsidP="00A13E6B" w:rsidRDefault="00A13E6B" w14:paraId="180642CD" w14:textId="68B4E86C">
      <w:pPr>
        <w:spacing w:line="240" w:lineRule="auto"/>
        <w:rPr>
          <w:rFonts w:ascii="Times New Roman" w:hAnsi="Times New Roman" w:eastAsia="Times New Roman" w:cs="Times New Roman"/>
          <w:sz w:val="24"/>
        </w:rPr>
      </w:pPr>
      <w:r w:rsidRPr="00A96A6D">
        <w:rPr>
          <w:rFonts w:ascii="Times New Roman" w:hAnsi="Times New Roman" w:eastAsia="Times New Roman" w:cs="Times New Roman"/>
          <w:sz w:val="24"/>
        </w:rPr>
        <w:t xml:space="preserve">For a total sample size of 2,000, we need to obtain 1,899 completed interviews during the primary study (having completed 101 </w:t>
      </w:r>
      <w:r w:rsidRPr="00A96A6D" w:rsidR="003A354D">
        <w:rPr>
          <w:rFonts w:ascii="Times New Roman" w:hAnsi="Times New Roman" w:eastAsia="Times New Roman" w:cs="Times New Roman"/>
          <w:sz w:val="24"/>
        </w:rPr>
        <w:t>during the</w:t>
      </w:r>
      <w:r w:rsidRPr="00A96A6D">
        <w:rPr>
          <w:rFonts w:ascii="Times New Roman" w:hAnsi="Times New Roman" w:eastAsia="Times New Roman" w:cs="Times New Roman"/>
          <w:sz w:val="24"/>
        </w:rPr>
        <w:t xml:space="preserve"> pilot). With an estimated eligibility rate of 65% and, of those eligible a refusal rate of 1</w:t>
      </w:r>
      <w:r w:rsidRPr="00A96A6D" w:rsidR="007D015C">
        <w:rPr>
          <w:rFonts w:ascii="Times New Roman" w:hAnsi="Times New Roman" w:eastAsia="Times New Roman" w:cs="Times New Roman"/>
          <w:sz w:val="24"/>
        </w:rPr>
        <w:t>7</w:t>
      </w:r>
      <w:r w:rsidRPr="00A96A6D">
        <w:rPr>
          <w:rFonts w:ascii="Times New Roman" w:hAnsi="Times New Roman" w:eastAsia="Times New Roman" w:cs="Times New Roman"/>
          <w:sz w:val="24"/>
        </w:rPr>
        <w:t>%, we will have to screen approximately 3,515 women for the main study, in addition to the 229 already screened in the pilot study, for a total of 3,744 screened for the entire study.  This is an increase of 1,744 women screened.</w:t>
      </w:r>
    </w:p>
    <w:p w:rsidRPr="00A96A6D" w:rsidR="003D0EAF" w:rsidP="007F01B4" w:rsidRDefault="003C29F4" w14:paraId="4A90AB21" w14:textId="5FD81E44">
      <w:pPr>
        <w:spacing w:line="240" w:lineRule="auto"/>
        <w:rPr>
          <w:rFonts w:ascii="Times New Roman" w:hAnsi="Times New Roman" w:cs="Times New Roman"/>
          <w:sz w:val="24"/>
          <w:szCs w:val="24"/>
          <w:u w:val="single"/>
        </w:rPr>
      </w:pPr>
      <w:r w:rsidRPr="00A96A6D">
        <w:rPr>
          <w:rFonts w:ascii="Times New Roman" w:hAnsi="Times New Roman" w:cs="Times New Roman"/>
          <w:sz w:val="24"/>
          <w:szCs w:val="24"/>
          <w:u w:val="single"/>
        </w:rPr>
        <w:t>COVID-19 Social Distancing Measures</w:t>
      </w:r>
    </w:p>
    <w:p w:rsidRPr="00A96A6D" w:rsidR="003C29F4" w:rsidP="003C29F4" w:rsidRDefault="003C29F4" w14:paraId="11C0146B" w14:textId="3261DF56">
      <w:pPr>
        <w:pStyle w:val="CommentText"/>
        <w:rPr>
          <w:rFonts w:ascii="Times New Roman" w:hAnsi="Times New Roman" w:cs="Times New Roman"/>
          <w:sz w:val="24"/>
          <w:szCs w:val="24"/>
        </w:rPr>
      </w:pPr>
      <w:r w:rsidRPr="00A96A6D">
        <w:rPr>
          <w:rFonts w:ascii="Times New Roman" w:hAnsi="Times New Roman" w:cs="Times New Roman"/>
          <w:sz w:val="24"/>
          <w:szCs w:val="24"/>
        </w:rPr>
        <w:t>Due to the COVID-19 pandemic, we anticipate that social distancing measures implemented in March/April 2020 may continue through Summer 2020.  NORC will work closely with WHNS implementing organizations to ensure that WHNS recruitment and interviews follow all state and federal recommendations for social distancing.  It is possible that partners could implement WHNS recruitment and interviews using the same secure measures that they devise to provide confidential social services using secure video conferencing or telephone communication</w:t>
      </w:r>
      <w:bookmarkStart w:name="_Hlk39493035" w:id="3"/>
      <w:r w:rsidRPr="00A96A6D">
        <w:rPr>
          <w:rFonts w:ascii="Times New Roman" w:hAnsi="Times New Roman" w:cs="Times New Roman"/>
          <w:sz w:val="24"/>
          <w:szCs w:val="24"/>
        </w:rPr>
        <w:t>.</w:t>
      </w:r>
      <w:bookmarkEnd w:id="3"/>
      <w:r w:rsidRPr="00A96A6D">
        <w:rPr>
          <w:rFonts w:ascii="Times New Roman" w:hAnsi="Times New Roman" w:cs="Times New Roman"/>
          <w:sz w:val="24"/>
          <w:szCs w:val="24"/>
        </w:rPr>
        <w:t xml:space="preserve">  </w:t>
      </w:r>
      <w:r w:rsidRPr="00A96A6D" w:rsidDel="00DF5232">
        <w:rPr>
          <w:rFonts w:ascii="Times New Roman" w:hAnsi="Times New Roman" w:cs="Times New Roman"/>
          <w:sz w:val="24"/>
          <w:szCs w:val="24"/>
        </w:rPr>
        <w:t xml:space="preserve"> </w:t>
      </w:r>
    </w:p>
    <w:p w:rsidR="003C29F4" w:rsidP="007F01B4" w:rsidRDefault="003C29F4" w14:paraId="010E041A" w14:textId="77777777">
      <w:pPr>
        <w:spacing w:line="240" w:lineRule="auto"/>
        <w:rPr>
          <w:rFonts w:ascii="Times New Roman" w:hAnsi="Times New Roman" w:cs="Times New Roman"/>
          <w:sz w:val="24"/>
          <w:szCs w:val="24"/>
        </w:rPr>
      </w:pPr>
    </w:p>
    <w:p w:rsidRPr="006C4BB3" w:rsidR="00296B10" w:rsidP="00454A45" w:rsidRDefault="00296B10" w14:paraId="0F396319" w14:textId="5DD11498">
      <w:pPr>
        <w:spacing w:after="0" w:line="240" w:lineRule="auto"/>
        <w:contextualSpacing/>
        <w:rPr>
          <w:rFonts w:ascii="Times New Roman" w:hAnsi="Times New Roman"/>
          <w:b/>
          <w:szCs w:val="24"/>
        </w:rPr>
      </w:pPr>
      <w:r w:rsidRPr="00454A45">
        <w:rPr>
          <w:rFonts w:ascii="Times New Roman" w:hAnsi="Times New Roman" w:cs="Times New Roman"/>
          <w:b/>
          <w:sz w:val="24"/>
          <w:szCs w:val="24"/>
        </w:rPr>
        <w:t xml:space="preserve">Effect of Proposed Changes on Currently Approved Instruments </w:t>
      </w:r>
    </w:p>
    <w:p w:rsidR="00296B10" w:rsidP="00437781" w:rsidRDefault="00296B10" w14:paraId="16DF4A7D" w14:textId="77777777">
      <w:pPr>
        <w:spacing w:after="0" w:line="240" w:lineRule="auto"/>
        <w:contextualSpacing/>
        <w:rPr>
          <w:rFonts w:ascii="Times New Roman" w:hAnsi="Times New Roman" w:cs="Times New Roman"/>
          <w:b/>
          <w:sz w:val="24"/>
          <w:szCs w:val="24"/>
        </w:rPr>
      </w:pPr>
    </w:p>
    <w:p w:rsidR="007D3647" w:rsidP="00437781" w:rsidRDefault="007D3647" w14:paraId="64C022AD" w14:textId="77777777">
      <w:pPr>
        <w:spacing w:after="0" w:line="240" w:lineRule="auto"/>
        <w:contextualSpacing/>
        <w:rPr>
          <w:rFonts w:ascii="Times New Roman" w:hAnsi="Times New Roman" w:cs="Times New Roman"/>
          <w:sz w:val="24"/>
          <w:szCs w:val="24"/>
        </w:rPr>
      </w:pPr>
    </w:p>
    <w:p w:rsidRPr="00AD52D9" w:rsidR="00437781" w:rsidP="00437781" w:rsidRDefault="007D015C" w14:paraId="19CB02F9" w14:textId="2EEA9718">
      <w:pPr>
        <w:spacing w:after="0" w:line="240" w:lineRule="auto"/>
        <w:contextualSpacing/>
        <w:rPr>
          <w:rFonts w:ascii="Times New Roman" w:hAnsi="Times New Roman" w:cs="Times New Roman"/>
          <w:bCs/>
          <w:sz w:val="24"/>
          <w:szCs w:val="24"/>
          <w:u w:val="single"/>
        </w:rPr>
      </w:pPr>
      <w:r w:rsidRPr="00AD52D9">
        <w:rPr>
          <w:rFonts w:ascii="Times New Roman" w:hAnsi="Times New Roman" w:cs="Times New Roman"/>
          <w:sz w:val="24"/>
          <w:szCs w:val="24"/>
          <w:u w:val="single"/>
        </w:rPr>
        <w:t>WHNS</w:t>
      </w:r>
      <w:r w:rsidRPr="00AD52D9" w:rsidR="006030EE">
        <w:rPr>
          <w:rFonts w:ascii="Times New Roman" w:hAnsi="Times New Roman" w:cs="Times New Roman"/>
          <w:sz w:val="24"/>
          <w:szCs w:val="24"/>
          <w:u w:val="single"/>
        </w:rPr>
        <w:t xml:space="preserve"> Eligibility Screener </w:t>
      </w:r>
      <w:r w:rsidRPr="00AD52D9" w:rsidR="006030EE">
        <w:rPr>
          <w:rFonts w:ascii="Times New Roman" w:hAnsi="Times New Roman" w:cs="Times New Roman"/>
          <w:b/>
          <w:bCs/>
          <w:sz w:val="24"/>
          <w:szCs w:val="24"/>
          <w:u w:val="single"/>
        </w:rPr>
        <w:t>(</w:t>
      </w:r>
      <w:r w:rsidRPr="00AD52D9" w:rsidR="00594EE1">
        <w:rPr>
          <w:rFonts w:ascii="Times New Roman" w:hAnsi="Times New Roman" w:cs="Times New Roman"/>
          <w:b/>
          <w:bCs/>
          <w:sz w:val="24"/>
          <w:szCs w:val="24"/>
          <w:u w:val="single"/>
        </w:rPr>
        <w:t>Attachment G1</w:t>
      </w:r>
      <w:r w:rsidRPr="00AD52D9" w:rsidR="007D3647">
        <w:rPr>
          <w:rFonts w:ascii="Times New Roman" w:hAnsi="Times New Roman" w:cs="Times New Roman"/>
          <w:b/>
          <w:bCs/>
          <w:sz w:val="24"/>
          <w:szCs w:val="24"/>
          <w:u w:val="single"/>
        </w:rPr>
        <w:t xml:space="preserve"> (English)</w:t>
      </w:r>
      <w:r w:rsidRPr="00AD52D9" w:rsidR="00594EE1">
        <w:rPr>
          <w:rFonts w:ascii="Times New Roman" w:hAnsi="Times New Roman" w:cs="Times New Roman"/>
          <w:b/>
          <w:bCs/>
          <w:sz w:val="24"/>
          <w:szCs w:val="24"/>
          <w:u w:val="single"/>
        </w:rPr>
        <w:t xml:space="preserve">, </w:t>
      </w:r>
      <w:r w:rsidRPr="00AD52D9" w:rsidR="00D92F3B">
        <w:rPr>
          <w:rFonts w:ascii="Times New Roman" w:hAnsi="Times New Roman" w:cs="Times New Roman"/>
          <w:b/>
          <w:bCs/>
          <w:sz w:val="24"/>
          <w:szCs w:val="24"/>
          <w:u w:val="single"/>
        </w:rPr>
        <w:t>clean and track</w:t>
      </w:r>
      <w:r w:rsidRPr="00AD52D9" w:rsidR="004C0503">
        <w:rPr>
          <w:rFonts w:ascii="Times New Roman" w:hAnsi="Times New Roman" w:cs="Times New Roman"/>
          <w:b/>
          <w:bCs/>
          <w:sz w:val="24"/>
          <w:szCs w:val="24"/>
          <w:u w:val="single"/>
        </w:rPr>
        <w:t xml:space="preserve"> change</w:t>
      </w:r>
      <w:r w:rsidR="006D148B">
        <w:rPr>
          <w:rFonts w:ascii="Times New Roman" w:hAnsi="Times New Roman" w:cs="Times New Roman"/>
          <w:b/>
          <w:bCs/>
          <w:sz w:val="24"/>
          <w:szCs w:val="24"/>
          <w:u w:val="single"/>
        </w:rPr>
        <w:t xml:space="preserve"> translations provided with</w:t>
      </w:r>
      <w:r w:rsidRPr="00AD52D9" w:rsidR="00AC0F52">
        <w:rPr>
          <w:rFonts w:ascii="Times New Roman" w:hAnsi="Times New Roman" w:cs="Times New Roman"/>
          <w:b/>
          <w:bCs/>
          <w:sz w:val="24"/>
          <w:szCs w:val="24"/>
          <w:u w:val="single"/>
        </w:rPr>
        <w:t xml:space="preserve"> revisions incorporated</w:t>
      </w:r>
      <w:r w:rsidRPr="00AD52D9" w:rsidR="00437781">
        <w:rPr>
          <w:rFonts w:ascii="Times New Roman" w:hAnsi="Times New Roman" w:cs="Times New Roman"/>
          <w:b/>
          <w:bCs/>
          <w:sz w:val="24"/>
          <w:szCs w:val="24"/>
          <w:u w:val="single"/>
        </w:rPr>
        <w:t>)</w:t>
      </w:r>
    </w:p>
    <w:p w:rsidR="009A7A3F" w:rsidP="00437781" w:rsidRDefault="009A7A3F" w14:paraId="743BBAD1" w14:textId="2F29FC30">
      <w:pPr>
        <w:spacing w:after="0" w:line="240" w:lineRule="auto"/>
        <w:contextualSpacing/>
        <w:rPr>
          <w:rFonts w:ascii="Times New Roman" w:hAnsi="Times New Roman" w:cs="Times New Roman"/>
          <w:b/>
        </w:rPr>
      </w:pPr>
    </w:p>
    <w:p w:rsidRPr="00100DDF" w:rsidR="009A7A3F" w:rsidP="00437781" w:rsidRDefault="009A7A3F" w14:paraId="78BC8D9C" w14:textId="470FBD06">
      <w:pPr>
        <w:spacing w:after="0" w:line="240" w:lineRule="auto"/>
        <w:contextualSpacing/>
        <w:rPr>
          <w:rFonts w:ascii="Times New Roman" w:hAnsi="Times New Roman" w:cs="Times New Roman"/>
          <w:b/>
        </w:rPr>
      </w:pPr>
      <w:r>
        <w:rPr>
          <w:rFonts w:ascii="Times New Roman" w:hAnsi="Times New Roman" w:cs="Times New Roman"/>
          <w:sz w:val="24"/>
          <w:szCs w:val="24"/>
        </w:rPr>
        <w:t xml:space="preserve">The revised study screener eliminates unnecessary questions and adds more explicit interviewer instructions.  </w:t>
      </w:r>
    </w:p>
    <w:p w:rsidR="00437781" w:rsidP="00437781" w:rsidRDefault="00437781" w14:paraId="1C3DDC48" w14:textId="42DB7039">
      <w:pPr>
        <w:spacing w:after="0" w:line="240" w:lineRule="auto"/>
        <w:contextualSpacing/>
        <w:rPr>
          <w:rFonts w:cs="Times New Roman"/>
        </w:rPr>
      </w:pPr>
    </w:p>
    <w:p w:rsidR="009A7A3F" w:rsidP="00437781" w:rsidRDefault="009A7A3F" w14:paraId="7EADCE7A" w14:textId="6CD708DE">
      <w:pPr>
        <w:spacing w:after="0" w:line="240" w:lineRule="auto"/>
        <w:contextualSpacing/>
        <w:rPr>
          <w:rFonts w:cs="Times New Roman"/>
        </w:rPr>
      </w:pPr>
    </w:p>
    <w:tbl>
      <w:tblPr>
        <w:tblStyle w:val="TableGrid"/>
        <w:tblW w:w="0" w:type="auto"/>
        <w:tblInd w:w="0" w:type="dxa"/>
        <w:tblLook w:val="04A0" w:firstRow="1" w:lastRow="0" w:firstColumn="1" w:lastColumn="0" w:noHBand="0" w:noVBand="1"/>
      </w:tblPr>
      <w:tblGrid>
        <w:gridCol w:w="1396"/>
        <w:gridCol w:w="8499"/>
      </w:tblGrid>
      <w:tr w:rsidR="00657D08" w:rsidTr="00454A45" w14:paraId="05B05999" w14:textId="77777777">
        <w:tc>
          <w:tcPr>
            <w:tcW w:w="1396" w:type="dxa"/>
          </w:tcPr>
          <w:p w:rsidR="00657D08" w:rsidP="00437781" w:rsidRDefault="00657D08" w14:paraId="1AC95A3F" w14:textId="41D36FAE">
            <w:pPr>
              <w:contextualSpacing/>
              <w:rPr>
                <w:rFonts w:cs="Times New Roman"/>
              </w:rPr>
            </w:pPr>
            <w:r>
              <w:rPr>
                <w:rFonts w:cs="Times New Roman"/>
              </w:rPr>
              <w:t>Item No. on Currently Approved Measure</w:t>
            </w:r>
          </w:p>
        </w:tc>
        <w:tc>
          <w:tcPr>
            <w:tcW w:w="8499" w:type="dxa"/>
          </w:tcPr>
          <w:p w:rsidR="00657D08" w:rsidP="00437781" w:rsidRDefault="00657D08" w14:paraId="6E118C41" w14:textId="55C6A1E1">
            <w:pPr>
              <w:contextualSpacing/>
              <w:rPr>
                <w:rFonts w:cs="Times New Roman"/>
              </w:rPr>
            </w:pPr>
            <w:r>
              <w:rPr>
                <w:rFonts w:cs="Times New Roman"/>
              </w:rPr>
              <w:t>Requested Change</w:t>
            </w:r>
          </w:p>
        </w:tc>
      </w:tr>
      <w:tr w:rsidR="00657D08" w:rsidTr="00454A45" w14:paraId="42C927FA" w14:textId="77777777">
        <w:tc>
          <w:tcPr>
            <w:tcW w:w="1396" w:type="dxa"/>
          </w:tcPr>
          <w:p w:rsidR="00657D08" w:rsidP="00437781" w:rsidRDefault="00657D08" w14:paraId="155D0D8A" w14:textId="403D2103">
            <w:pPr>
              <w:contextualSpacing/>
              <w:rPr>
                <w:rFonts w:cs="Times New Roman"/>
              </w:rPr>
            </w:pPr>
            <w:r>
              <w:rPr>
                <w:rFonts w:cs="Times New Roman"/>
              </w:rPr>
              <w:t>--</w:t>
            </w:r>
          </w:p>
        </w:tc>
        <w:tc>
          <w:tcPr>
            <w:tcW w:w="8499" w:type="dxa"/>
          </w:tcPr>
          <w:p w:rsidR="00657D08" w:rsidP="00437781" w:rsidRDefault="00657D08" w14:paraId="5969F84E" w14:textId="52B890F2">
            <w:pPr>
              <w:contextualSpacing/>
              <w:rPr>
                <w:rFonts w:cs="Times New Roman"/>
              </w:rPr>
            </w:pPr>
            <w:r>
              <w:rPr>
                <w:rFonts w:cs="Times New Roman"/>
              </w:rPr>
              <w:t xml:space="preserve">At the beginning and end of the screener, we added places for the interviewer to indicate </w:t>
            </w:r>
            <w:r w:rsidRPr="00EC5DEB">
              <w:rPr>
                <w:rFonts w:cs="Times New Roman"/>
              </w:rPr>
              <w:t>questionnaire start and end times</w:t>
            </w:r>
            <w:r>
              <w:rPr>
                <w:rFonts w:cs="Times New Roman"/>
              </w:rPr>
              <w:t>.  This change will allow us t</w:t>
            </w:r>
            <w:r w:rsidRPr="00EC5DEB">
              <w:rPr>
                <w:rFonts w:cs="Times New Roman"/>
              </w:rPr>
              <w:t xml:space="preserve">o track </w:t>
            </w:r>
            <w:r>
              <w:rPr>
                <w:rFonts w:cs="Times New Roman"/>
              </w:rPr>
              <w:t xml:space="preserve">the </w:t>
            </w:r>
            <w:r w:rsidRPr="00EC5DEB">
              <w:rPr>
                <w:rFonts w:cs="Times New Roman"/>
              </w:rPr>
              <w:t>length of interview</w:t>
            </w:r>
            <w:r>
              <w:rPr>
                <w:rFonts w:cs="Times New Roman"/>
              </w:rPr>
              <w:t>s</w:t>
            </w:r>
            <w:r w:rsidRPr="00EC5DEB">
              <w:rPr>
                <w:rFonts w:cs="Times New Roman"/>
              </w:rPr>
              <w:t>.</w:t>
            </w:r>
          </w:p>
        </w:tc>
      </w:tr>
      <w:tr w:rsidR="00657D08" w:rsidTr="00454A45" w14:paraId="1CE64168" w14:textId="77777777">
        <w:tc>
          <w:tcPr>
            <w:tcW w:w="1396" w:type="dxa"/>
          </w:tcPr>
          <w:p w:rsidR="00657D08" w:rsidP="009A7A3F" w:rsidRDefault="00657D08" w14:paraId="195501B0" w14:textId="042835A1">
            <w:pPr>
              <w:rPr>
                <w:rFonts w:cs="Times New Roman"/>
              </w:rPr>
            </w:pPr>
            <w:r>
              <w:rPr>
                <w:rFonts w:cs="Times New Roman"/>
              </w:rPr>
              <w:t>--</w:t>
            </w:r>
          </w:p>
        </w:tc>
        <w:tc>
          <w:tcPr>
            <w:tcW w:w="8499" w:type="dxa"/>
          </w:tcPr>
          <w:p w:rsidRPr="00FA6AA2" w:rsidR="00657D08" w:rsidP="00B141C0" w:rsidRDefault="00657D08" w14:paraId="7E6C8C37" w14:textId="083AB79C">
            <w:pPr>
              <w:rPr>
                <w:rFonts w:cs="Times New Roman"/>
              </w:rPr>
            </w:pPr>
            <w:r w:rsidRPr="00FA6AA2">
              <w:rPr>
                <w:rFonts w:cs="Times New Roman"/>
              </w:rPr>
              <w:t xml:space="preserve">A standard introductory statement was added to the beginning of the screener.  This </w:t>
            </w:r>
            <w:r>
              <w:rPr>
                <w:rFonts w:cs="Times New Roman"/>
              </w:rPr>
              <w:t>w</w:t>
            </w:r>
            <w:r w:rsidRPr="00FA6AA2">
              <w:rPr>
                <w:rFonts w:cs="Times New Roman"/>
              </w:rPr>
              <w:t xml:space="preserve">ill help the interviewer establish a connection with the respondent and help the respondent understand the purpose and content of the screener. </w:t>
            </w:r>
          </w:p>
          <w:p w:rsidR="00657D08" w:rsidP="00437781" w:rsidRDefault="00657D08" w14:paraId="3A0F7704" w14:textId="77777777">
            <w:pPr>
              <w:contextualSpacing/>
              <w:rPr>
                <w:rFonts w:cs="Times New Roman"/>
              </w:rPr>
            </w:pPr>
          </w:p>
        </w:tc>
      </w:tr>
      <w:tr w:rsidR="00657D08" w:rsidTr="00454A45" w14:paraId="22B36F68" w14:textId="77777777">
        <w:tc>
          <w:tcPr>
            <w:tcW w:w="1396" w:type="dxa"/>
          </w:tcPr>
          <w:p w:rsidR="00657D08" w:rsidP="00437781" w:rsidRDefault="00657D08" w14:paraId="2AC096FD" w14:textId="159E042F">
            <w:pPr>
              <w:contextualSpacing/>
              <w:rPr>
                <w:rFonts w:cs="Times New Roman"/>
              </w:rPr>
            </w:pPr>
            <w:r>
              <w:rPr>
                <w:rFonts w:cs="Times New Roman"/>
              </w:rPr>
              <w:lastRenderedPageBreak/>
              <w:t>2</w:t>
            </w:r>
          </w:p>
        </w:tc>
        <w:tc>
          <w:tcPr>
            <w:tcW w:w="8499" w:type="dxa"/>
          </w:tcPr>
          <w:p w:rsidR="00657D08" w:rsidP="00437781" w:rsidRDefault="00657D08" w14:paraId="4867F9AA" w14:textId="7E19B64C">
            <w:pPr>
              <w:contextualSpacing/>
              <w:rPr>
                <w:rFonts w:cs="Times New Roman"/>
              </w:rPr>
            </w:pPr>
            <w:r w:rsidRPr="0054100F">
              <w:rPr>
                <w:rFonts w:cs="Times New Roman"/>
              </w:rPr>
              <w:t xml:space="preserve">French and Tigrinya languages </w:t>
            </w:r>
            <w:r>
              <w:rPr>
                <w:rFonts w:cs="Times New Roman"/>
              </w:rPr>
              <w:t>were added as response options; Swahili was removed.</w:t>
            </w:r>
          </w:p>
        </w:tc>
      </w:tr>
      <w:tr w:rsidR="00657D08" w:rsidTr="00454A45" w14:paraId="7E6061E6" w14:textId="77777777">
        <w:tc>
          <w:tcPr>
            <w:tcW w:w="1396" w:type="dxa"/>
          </w:tcPr>
          <w:p w:rsidR="00657D08" w:rsidP="00437781" w:rsidRDefault="00657D08" w14:paraId="2FAE325B" w14:textId="3B736F01">
            <w:pPr>
              <w:contextualSpacing/>
              <w:rPr>
                <w:rFonts w:cs="Times New Roman"/>
              </w:rPr>
            </w:pPr>
            <w:r>
              <w:rPr>
                <w:rFonts w:cs="Times New Roman"/>
              </w:rPr>
              <w:t>5, 6, 8</w:t>
            </w:r>
          </w:p>
        </w:tc>
        <w:tc>
          <w:tcPr>
            <w:tcW w:w="8499" w:type="dxa"/>
          </w:tcPr>
          <w:p w:rsidR="00657D08" w:rsidP="00437781" w:rsidRDefault="00657D08" w14:paraId="58C5BD26" w14:textId="158236A2">
            <w:pPr>
              <w:contextualSpacing/>
              <w:rPr>
                <w:rFonts w:cs="Times New Roman"/>
              </w:rPr>
            </w:pPr>
            <w:r>
              <w:rPr>
                <w:rFonts w:cs="Times New Roman"/>
              </w:rPr>
              <w:t>These questions</w:t>
            </w:r>
            <w:r w:rsidRPr="00500E5D">
              <w:rPr>
                <w:rFonts w:cs="Times New Roman"/>
              </w:rPr>
              <w:t xml:space="preserve"> were removed from the screener because they are unnecessary to determine participant eligibility.  </w:t>
            </w:r>
          </w:p>
        </w:tc>
      </w:tr>
      <w:tr w:rsidR="00657D08" w:rsidTr="00454A45" w14:paraId="64CCB9D7" w14:textId="77777777">
        <w:tc>
          <w:tcPr>
            <w:tcW w:w="1396" w:type="dxa"/>
          </w:tcPr>
          <w:p w:rsidR="00657D08" w:rsidP="00DA1532" w:rsidRDefault="00657D08" w14:paraId="36B28798" w14:textId="3F76A1C5">
            <w:pPr>
              <w:rPr>
                <w:rFonts w:cs="Times New Roman"/>
              </w:rPr>
            </w:pPr>
            <w:r>
              <w:rPr>
                <w:rFonts w:cs="Times New Roman"/>
              </w:rPr>
              <w:t>--</w:t>
            </w:r>
          </w:p>
        </w:tc>
        <w:tc>
          <w:tcPr>
            <w:tcW w:w="8499" w:type="dxa"/>
          </w:tcPr>
          <w:p w:rsidRPr="00FA6AA2" w:rsidR="00657D08" w:rsidP="00B141C0" w:rsidRDefault="00657D08" w14:paraId="593877BC" w14:textId="19690C26">
            <w:pPr>
              <w:rPr>
                <w:rFonts w:cs="Times New Roman"/>
              </w:rPr>
            </w:pPr>
            <w:r w:rsidRPr="00FA6AA2">
              <w:rPr>
                <w:rFonts w:cs="Times New Roman"/>
              </w:rPr>
              <w:t xml:space="preserve">At the end of the screener, interviewer instructions for </w:t>
            </w:r>
            <w:r w:rsidRPr="00DA1532">
              <w:rPr>
                <w:rFonts w:cs="Times New Roman"/>
              </w:rPr>
              <w:t>de</w:t>
            </w:r>
            <w:r>
              <w:rPr>
                <w:rFonts w:cs="Times New Roman"/>
              </w:rPr>
              <w:t xml:space="preserve">termining </w:t>
            </w:r>
            <w:r w:rsidRPr="00FA6AA2">
              <w:rPr>
                <w:rFonts w:cs="Times New Roman"/>
              </w:rPr>
              <w:t>the study participant’s eligibility were expanded to ensure that the interviewer made the correct determination.  Changes to these interviewer instructions included modifying the list of eligible countries of origin to match the updated eligibility criteria.</w:t>
            </w:r>
          </w:p>
          <w:p w:rsidR="00657D08" w:rsidP="00437781" w:rsidRDefault="00657D08" w14:paraId="5298C192" w14:textId="77777777">
            <w:pPr>
              <w:contextualSpacing/>
              <w:rPr>
                <w:rFonts w:cs="Times New Roman"/>
              </w:rPr>
            </w:pPr>
          </w:p>
        </w:tc>
      </w:tr>
    </w:tbl>
    <w:p w:rsidR="009A7A3F" w:rsidP="00437781" w:rsidRDefault="009A7A3F" w14:paraId="107C11E1" w14:textId="77777777">
      <w:pPr>
        <w:spacing w:after="0" w:line="240" w:lineRule="auto"/>
        <w:contextualSpacing/>
        <w:rPr>
          <w:rFonts w:cs="Times New Roman"/>
        </w:rPr>
      </w:pPr>
    </w:p>
    <w:p w:rsidR="009A53D8" w:rsidP="00437781" w:rsidRDefault="009A53D8" w14:paraId="0FF13530" w14:textId="77777777">
      <w:pPr>
        <w:spacing w:after="0" w:line="240" w:lineRule="auto"/>
        <w:contextualSpacing/>
        <w:rPr>
          <w:rFonts w:ascii="Times New Roman" w:hAnsi="Times New Roman" w:cs="Times New Roman"/>
          <w:b/>
          <w:sz w:val="24"/>
          <w:szCs w:val="24"/>
        </w:rPr>
      </w:pPr>
    </w:p>
    <w:p w:rsidRPr="00AD52D9" w:rsidR="00437781" w:rsidP="00437781" w:rsidRDefault="007D015C" w14:paraId="1BDDACBD" w14:textId="0D270D00">
      <w:pPr>
        <w:spacing w:after="0" w:line="240" w:lineRule="auto"/>
        <w:contextualSpacing/>
        <w:rPr>
          <w:rFonts w:ascii="Times New Roman" w:hAnsi="Times New Roman" w:cs="Times New Roman"/>
          <w:bCs/>
          <w:sz w:val="24"/>
          <w:szCs w:val="24"/>
          <w:u w:val="single"/>
        </w:rPr>
      </w:pPr>
      <w:r w:rsidRPr="00AD52D9">
        <w:rPr>
          <w:rFonts w:ascii="Times New Roman" w:hAnsi="Times New Roman" w:cs="Times New Roman"/>
          <w:sz w:val="24"/>
          <w:szCs w:val="24"/>
          <w:u w:val="single"/>
        </w:rPr>
        <w:t>WHNS</w:t>
      </w:r>
      <w:r w:rsidRPr="00AD52D9" w:rsidR="00594EE1">
        <w:rPr>
          <w:rFonts w:ascii="Times New Roman" w:hAnsi="Times New Roman" w:cs="Times New Roman"/>
          <w:sz w:val="24"/>
          <w:szCs w:val="24"/>
          <w:u w:val="single"/>
        </w:rPr>
        <w:t xml:space="preserve"> Questionnaire</w:t>
      </w:r>
      <w:r w:rsidRPr="00AD52D9" w:rsidR="00437781">
        <w:rPr>
          <w:rFonts w:ascii="Times New Roman" w:hAnsi="Times New Roman" w:cs="Times New Roman"/>
          <w:bCs/>
          <w:sz w:val="24"/>
          <w:szCs w:val="24"/>
          <w:u w:val="single"/>
        </w:rPr>
        <w:t xml:space="preserve"> </w:t>
      </w:r>
      <w:r w:rsidRPr="00AD52D9" w:rsidR="007D3647">
        <w:rPr>
          <w:rFonts w:ascii="Times New Roman" w:hAnsi="Times New Roman" w:cs="Times New Roman"/>
          <w:b/>
          <w:bCs/>
          <w:sz w:val="24"/>
          <w:szCs w:val="24"/>
          <w:u w:val="single"/>
        </w:rPr>
        <w:t>(Attachment H1 (English), clean and track</w:t>
      </w:r>
      <w:r w:rsidRPr="00AD52D9" w:rsidR="004C0503">
        <w:rPr>
          <w:rFonts w:ascii="Times New Roman" w:hAnsi="Times New Roman" w:cs="Times New Roman"/>
          <w:b/>
          <w:bCs/>
          <w:sz w:val="24"/>
          <w:szCs w:val="24"/>
          <w:u w:val="single"/>
        </w:rPr>
        <w:t xml:space="preserve"> change</w:t>
      </w:r>
      <w:r w:rsidRPr="00AD52D9" w:rsidR="007D3647">
        <w:rPr>
          <w:rFonts w:ascii="Times New Roman" w:hAnsi="Times New Roman" w:cs="Times New Roman"/>
          <w:b/>
          <w:bCs/>
          <w:sz w:val="24"/>
          <w:szCs w:val="24"/>
          <w:u w:val="single"/>
        </w:rPr>
        <w:t xml:space="preserve">; </w:t>
      </w:r>
      <w:r w:rsidR="006D148B">
        <w:rPr>
          <w:rFonts w:ascii="Times New Roman" w:hAnsi="Times New Roman" w:cs="Times New Roman"/>
          <w:b/>
          <w:bCs/>
          <w:sz w:val="24"/>
          <w:szCs w:val="24"/>
          <w:u w:val="single"/>
        </w:rPr>
        <w:t>translations provided with</w:t>
      </w:r>
      <w:r w:rsidRPr="00AD52D9" w:rsidR="006D148B">
        <w:rPr>
          <w:rFonts w:ascii="Times New Roman" w:hAnsi="Times New Roman" w:cs="Times New Roman"/>
          <w:b/>
          <w:bCs/>
          <w:sz w:val="24"/>
          <w:szCs w:val="24"/>
          <w:u w:val="single"/>
        </w:rPr>
        <w:t xml:space="preserve"> revisions incorporated</w:t>
      </w:r>
      <w:r w:rsidRPr="00AD52D9" w:rsidR="004C0503">
        <w:rPr>
          <w:rFonts w:ascii="Times New Roman" w:hAnsi="Times New Roman" w:cs="Times New Roman"/>
          <w:b/>
          <w:bCs/>
          <w:sz w:val="24"/>
          <w:szCs w:val="24"/>
          <w:u w:val="single"/>
        </w:rPr>
        <w:t>)</w:t>
      </w:r>
      <w:r w:rsidRPr="00AD52D9" w:rsidDel="007D3647" w:rsidR="007D3647">
        <w:rPr>
          <w:rFonts w:ascii="Times New Roman" w:hAnsi="Times New Roman" w:cs="Times New Roman"/>
          <w:bCs/>
          <w:sz w:val="24"/>
          <w:szCs w:val="24"/>
          <w:u w:val="single"/>
        </w:rPr>
        <w:t xml:space="preserve"> </w:t>
      </w:r>
    </w:p>
    <w:p w:rsidRPr="00A8125C" w:rsidR="00437781" w:rsidP="00437781" w:rsidRDefault="00437781" w14:paraId="22387D91" w14:textId="77777777">
      <w:pPr>
        <w:spacing w:after="0" w:line="240" w:lineRule="auto"/>
        <w:contextualSpacing/>
        <w:rPr>
          <w:rFonts w:ascii="Times New Roman" w:hAnsi="Times New Roman" w:cs="Times New Roman"/>
          <w:b/>
        </w:rPr>
      </w:pPr>
    </w:p>
    <w:p w:rsidRPr="00100DDF" w:rsidR="00995B66" w:rsidP="00995B66" w:rsidRDefault="00995B66" w14:paraId="2B5D24EA" w14:textId="3988D3CA">
      <w:pPr>
        <w:spacing w:after="0" w:line="240" w:lineRule="auto"/>
        <w:contextualSpacing/>
        <w:rPr>
          <w:rFonts w:ascii="Times New Roman" w:hAnsi="Times New Roman" w:cs="Times New Roman"/>
          <w:b/>
        </w:rPr>
      </w:pPr>
      <w:r>
        <w:rPr>
          <w:rFonts w:ascii="Times New Roman" w:hAnsi="Times New Roman" w:cs="Times New Roman"/>
          <w:sz w:val="24"/>
          <w:szCs w:val="24"/>
        </w:rPr>
        <w:t>WHNS questionnaire changes eliminated and/or replaced some questions;</w:t>
      </w:r>
      <w:r w:rsidRPr="00906EA1">
        <w:rPr>
          <w:rFonts w:ascii="Times New Roman" w:hAnsi="Times New Roman" w:cs="Times New Roman"/>
          <w:sz w:val="24"/>
          <w:szCs w:val="24"/>
        </w:rPr>
        <w:t xml:space="preserve"> open-ended response options</w:t>
      </w:r>
      <w:r w:rsidRPr="00EE33DE">
        <w:rPr>
          <w:rFonts w:ascii="Times New Roman" w:hAnsi="Times New Roman" w:cs="Times New Roman"/>
          <w:sz w:val="24"/>
          <w:szCs w:val="24"/>
        </w:rPr>
        <w:t xml:space="preserve"> used in the pilot </w:t>
      </w:r>
      <w:r>
        <w:rPr>
          <w:rFonts w:ascii="Times New Roman" w:hAnsi="Times New Roman" w:cs="Times New Roman"/>
          <w:sz w:val="24"/>
          <w:szCs w:val="24"/>
        </w:rPr>
        <w:t>were replaced with</w:t>
      </w:r>
      <w:r w:rsidRPr="00EE33DE">
        <w:rPr>
          <w:rFonts w:ascii="Times New Roman" w:hAnsi="Times New Roman" w:cs="Times New Roman"/>
          <w:sz w:val="24"/>
          <w:szCs w:val="24"/>
        </w:rPr>
        <w:t xml:space="preserve"> categorical response options</w:t>
      </w:r>
      <w:r>
        <w:rPr>
          <w:rFonts w:ascii="Times New Roman" w:hAnsi="Times New Roman" w:cs="Times New Roman"/>
          <w:sz w:val="24"/>
          <w:szCs w:val="24"/>
        </w:rPr>
        <w:t>;</w:t>
      </w:r>
      <w:r w:rsidRPr="00906EA1">
        <w:rPr>
          <w:rFonts w:ascii="Times New Roman" w:hAnsi="Times New Roman" w:cs="Times New Roman"/>
          <w:sz w:val="24"/>
          <w:szCs w:val="24"/>
        </w:rPr>
        <w:t xml:space="preserve"> and </w:t>
      </w:r>
      <w:r>
        <w:rPr>
          <w:rFonts w:ascii="Times New Roman" w:hAnsi="Times New Roman" w:cs="Times New Roman"/>
          <w:sz w:val="24"/>
          <w:szCs w:val="24"/>
        </w:rPr>
        <w:t>some wording was</w:t>
      </w:r>
      <w:r w:rsidRPr="00EE33DE">
        <w:rPr>
          <w:rFonts w:ascii="Times New Roman" w:hAnsi="Times New Roman" w:cs="Times New Roman"/>
          <w:sz w:val="24"/>
          <w:szCs w:val="24"/>
        </w:rPr>
        <w:t xml:space="preserve"> simplif</w:t>
      </w:r>
      <w:r>
        <w:rPr>
          <w:rFonts w:ascii="Times New Roman" w:hAnsi="Times New Roman" w:cs="Times New Roman"/>
          <w:sz w:val="24"/>
          <w:szCs w:val="24"/>
        </w:rPr>
        <w:t>ied</w:t>
      </w:r>
      <w:r w:rsidRPr="00EE33DE">
        <w:rPr>
          <w:rFonts w:ascii="Times New Roman" w:hAnsi="Times New Roman" w:cs="Times New Roman"/>
          <w:sz w:val="24"/>
          <w:szCs w:val="24"/>
        </w:rPr>
        <w:t xml:space="preserve"> or correct</w:t>
      </w:r>
      <w:r>
        <w:rPr>
          <w:rFonts w:ascii="Times New Roman" w:hAnsi="Times New Roman" w:cs="Times New Roman"/>
          <w:sz w:val="24"/>
          <w:szCs w:val="24"/>
        </w:rPr>
        <w:t>ed</w:t>
      </w:r>
      <w:r w:rsidRPr="00EE33DE">
        <w:rPr>
          <w:rFonts w:ascii="Times New Roman" w:hAnsi="Times New Roman" w:cs="Times New Roman"/>
          <w:sz w:val="24"/>
          <w:szCs w:val="24"/>
        </w:rPr>
        <w:t xml:space="preserve">.  </w:t>
      </w:r>
      <w:r>
        <w:rPr>
          <w:rFonts w:ascii="Times New Roman" w:hAnsi="Times New Roman" w:cs="Times New Roman"/>
          <w:sz w:val="24"/>
          <w:szCs w:val="24"/>
        </w:rPr>
        <w:t xml:space="preserve">To improve questionnaire administration, interviewer instructions were clarified or simplified.  The removal, addition, and reordering of some questions resulted in renumbering of the questionnaire and skip instructions. </w:t>
      </w:r>
    </w:p>
    <w:p w:rsidR="00B47A3B" w:rsidP="00265198" w:rsidRDefault="00B47A3B" w14:paraId="02FA8B5C" w14:textId="25B33456">
      <w:pPr>
        <w:spacing w:after="0" w:line="240" w:lineRule="auto"/>
        <w:contextualSpacing/>
        <w:rPr>
          <w:rFonts w:ascii="Times New Roman" w:hAnsi="Times New Roman" w:cs="Times New Roman"/>
          <w:sz w:val="24"/>
          <w:szCs w:val="24"/>
        </w:rPr>
      </w:pPr>
    </w:p>
    <w:tbl>
      <w:tblPr>
        <w:tblStyle w:val="TableGrid"/>
        <w:tblW w:w="10075" w:type="dxa"/>
        <w:tblInd w:w="0" w:type="dxa"/>
        <w:tblLook w:val="04A0" w:firstRow="1" w:lastRow="0" w:firstColumn="1" w:lastColumn="0" w:noHBand="0" w:noVBand="1"/>
      </w:tblPr>
      <w:tblGrid>
        <w:gridCol w:w="1176"/>
        <w:gridCol w:w="8899"/>
      </w:tblGrid>
      <w:tr w:rsidR="00B56A3D" w:rsidTr="00B141C0" w14:paraId="3ACF08EB" w14:textId="77777777">
        <w:tc>
          <w:tcPr>
            <w:tcW w:w="622" w:type="dxa"/>
          </w:tcPr>
          <w:p w:rsidR="00B56A3D" w:rsidP="000C000E" w:rsidRDefault="009C6435" w14:paraId="27B041E5" w14:textId="796AFB18">
            <w:pPr>
              <w:contextualSpacing/>
              <w:rPr>
                <w:rFonts w:cs="Times New Roman"/>
              </w:rPr>
            </w:pPr>
            <w:r>
              <w:rPr>
                <w:rFonts w:cs="Times New Roman"/>
              </w:rPr>
              <w:t xml:space="preserve">Item </w:t>
            </w:r>
            <w:r w:rsidR="00B56A3D">
              <w:rPr>
                <w:rFonts w:cs="Times New Roman"/>
              </w:rPr>
              <w:t>No.</w:t>
            </w:r>
            <w:r>
              <w:rPr>
                <w:rFonts w:cs="Times New Roman"/>
              </w:rPr>
              <w:t xml:space="preserve"> on Currently Approved Measure</w:t>
            </w:r>
          </w:p>
        </w:tc>
        <w:tc>
          <w:tcPr>
            <w:tcW w:w="9453" w:type="dxa"/>
          </w:tcPr>
          <w:p w:rsidR="00B56A3D" w:rsidP="000C000E" w:rsidRDefault="00B56A3D" w14:paraId="2FDCA677" w14:textId="77777777">
            <w:pPr>
              <w:contextualSpacing/>
              <w:rPr>
                <w:rFonts w:cs="Times New Roman"/>
              </w:rPr>
            </w:pPr>
            <w:r>
              <w:rPr>
                <w:rFonts w:cs="Times New Roman"/>
              </w:rPr>
              <w:t>Summary of Changes</w:t>
            </w:r>
          </w:p>
        </w:tc>
      </w:tr>
      <w:tr w:rsidR="00B56A3D" w:rsidTr="00B141C0" w14:paraId="30E12C08" w14:textId="77777777">
        <w:tc>
          <w:tcPr>
            <w:tcW w:w="622" w:type="dxa"/>
          </w:tcPr>
          <w:p w:rsidR="00B56A3D" w:rsidP="000C000E" w:rsidRDefault="009C6435" w14:paraId="3395EFEC" w14:textId="5131BC08">
            <w:pPr>
              <w:contextualSpacing/>
              <w:rPr>
                <w:rFonts w:cs="Times New Roman"/>
              </w:rPr>
            </w:pPr>
            <w:r>
              <w:rPr>
                <w:rFonts w:cs="Times New Roman"/>
              </w:rPr>
              <w:t>--</w:t>
            </w:r>
          </w:p>
        </w:tc>
        <w:tc>
          <w:tcPr>
            <w:tcW w:w="9453" w:type="dxa"/>
          </w:tcPr>
          <w:p w:rsidR="00B56A3D" w:rsidP="000C000E" w:rsidRDefault="00B56A3D" w14:paraId="1A21EE54" w14:textId="44385BEE">
            <w:pPr>
              <w:contextualSpacing/>
              <w:rPr>
                <w:rFonts w:cs="Times New Roman"/>
              </w:rPr>
            </w:pPr>
            <w:r>
              <w:rPr>
                <w:rFonts w:cs="Times New Roman"/>
              </w:rPr>
              <w:t>At the beginning and end of the questionnaire, we added places for the interviewer to indicate interview</w:t>
            </w:r>
            <w:r w:rsidRPr="00EC5DEB">
              <w:rPr>
                <w:rFonts w:cs="Times New Roman"/>
              </w:rPr>
              <w:t xml:space="preserve"> start and end times</w:t>
            </w:r>
            <w:r>
              <w:rPr>
                <w:rFonts w:cs="Times New Roman"/>
              </w:rPr>
              <w:t>.  This change will allow us t</w:t>
            </w:r>
            <w:r w:rsidRPr="00EC5DEB">
              <w:rPr>
                <w:rFonts w:cs="Times New Roman"/>
              </w:rPr>
              <w:t xml:space="preserve">o track </w:t>
            </w:r>
            <w:r>
              <w:rPr>
                <w:rFonts w:cs="Times New Roman"/>
              </w:rPr>
              <w:t xml:space="preserve">the </w:t>
            </w:r>
            <w:r w:rsidRPr="00EC5DEB">
              <w:rPr>
                <w:rFonts w:cs="Times New Roman"/>
              </w:rPr>
              <w:t>length of interview</w:t>
            </w:r>
            <w:r>
              <w:rPr>
                <w:rFonts w:cs="Times New Roman"/>
              </w:rPr>
              <w:t>s</w:t>
            </w:r>
            <w:r w:rsidRPr="00EC5DEB">
              <w:rPr>
                <w:rFonts w:cs="Times New Roman"/>
              </w:rPr>
              <w:t>.</w:t>
            </w:r>
          </w:p>
        </w:tc>
      </w:tr>
      <w:tr w:rsidR="00B56A3D" w:rsidTr="00B141C0" w14:paraId="75E5A738" w14:textId="77777777">
        <w:tc>
          <w:tcPr>
            <w:tcW w:w="622" w:type="dxa"/>
          </w:tcPr>
          <w:p w:rsidR="00B56A3D" w:rsidP="000C000E" w:rsidRDefault="009C6435" w14:paraId="4962EB99" w14:textId="7C075BF7">
            <w:pPr>
              <w:rPr>
                <w:rFonts w:cs="Times New Roman"/>
              </w:rPr>
            </w:pPr>
            <w:r>
              <w:rPr>
                <w:rFonts w:cs="Times New Roman"/>
              </w:rPr>
              <w:t>--</w:t>
            </w:r>
          </w:p>
        </w:tc>
        <w:tc>
          <w:tcPr>
            <w:tcW w:w="9453" w:type="dxa"/>
          </w:tcPr>
          <w:p w:rsidRPr="00446990" w:rsidR="00B56A3D" w:rsidP="000C000E" w:rsidRDefault="00B56A3D" w14:paraId="72F52B5D" w14:textId="777F996E">
            <w:pPr>
              <w:rPr>
                <w:rFonts w:cs="Times New Roman"/>
              </w:rPr>
            </w:pPr>
            <w:r>
              <w:rPr>
                <w:rFonts w:cs="Times New Roman"/>
              </w:rPr>
              <w:t xml:space="preserve">Section B Introduction: </w:t>
            </w:r>
            <w:r w:rsidRPr="00446990">
              <w:rPr>
                <w:rFonts w:cs="Times New Roman"/>
              </w:rPr>
              <w:t xml:space="preserve">A </w:t>
            </w:r>
            <w:r>
              <w:rPr>
                <w:rFonts w:cs="Times New Roman"/>
              </w:rPr>
              <w:t xml:space="preserve">privacy assurance statement </w:t>
            </w:r>
            <w:r w:rsidRPr="00446990">
              <w:rPr>
                <w:rFonts w:cs="Times New Roman"/>
              </w:rPr>
              <w:t>was added to the beginning of the screener</w:t>
            </w:r>
            <w:r>
              <w:rPr>
                <w:rFonts w:cs="Times New Roman"/>
              </w:rPr>
              <w:t xml:space="preserve"> to</w:t>
            </w:r>
            <w:r w:rsidRPr="00446990">
              <w:rPr>
                <w:rFonts w:cs="Times New Roman"/>
              </w:rPr>
              <w:t xml:space="preserve"> help the respondent understand </w:t>
            </w:r>
            <w:r>
              <w:rPr>
                <w:rFonts w:cs="Times New Roman"/>
              </w:rPr>
              <w:t>that her answers will not be shared outside the study team</w:t>
            </w:r>
            <w:r w:rsidRPr="00446990">
              <w:rPr>
                <w:rFonts w:cs="Times New Roman"/>
              </w:rPr>
              <w:t xml:space="preserve">. </w:t>
            </w:r>
          </w:p>
          <w:p w:rsidR="00B56A3D" w:rsidP="000C000E" w:rsidRDefault="00B56A3D" w14:paraId="428D865F" w14:textId="77777777">
            <w:pPr>
              <w:contextualSpacing/>
              <w:rPr>
                <w:rFonts w:cs="Times New Roman"/>
              </w:rPr>
            </w:pPr>
          </w:p>
        </w:tc>
      </w:tr>
      <w:tr w:rsidR="00B56A3D" w:rsidTr="00B141C0" w14:paraId="20F0EECA" w14:textId="77777777">
        <w:tc>
          <w:tcPr>
            <w:tcW w:w="622" w:type="dxa"/>
          </w:tcPr>
          <w:p w:rsidR="00B56A3D" w:rsidP="000C000E" w:rsidRDefault="009C6435" w14:paraId="064D16D1" w14:textId="4160037F">
            <w:pPr>
              <w:contextualSpacing/>
              <w:rPr>
                <w:rFonts w:cs="Times New Roman"/>
              </w:rPr>
            </w:pPr>
            <w:r>
              <w:rPr>
                <w:rFonts w:cs="Times New Roman"/>
              </w:rPr>
              <w:t>1</w:t>
            </w:r>
          </w:p>
        </w:tc>
        <w:tc>
          <w:tcPr>
            <w:tcW w:w="9453" w:type="dxa"/>
          </w:tcPr>
          <w:p w:rsidRPr="00B141C0" w:rsidR="00B56A3D" w:rsidP="00885045" w:rsidRDefault="00B56A3D" w14:paraId="1B4989E6" w14:textId="26E887EC">
            <w:pPr>
              <w:contextualSpacing/>
              <w:rPr>
                <w:rFonts w:cs="Times New Roman"/>
              </w:rPr>
            </w:pPr>
            <w:r>
              <w:rPr>
                <w:rFonts w:cs="Times New Roman"/>
              </w:rPr>
              <w:t>Question removed because it r</w:t>
            </w:r>
            <w:r w:rsidRPr="00885045">
              <w:rPr>
                <w:rFonts w:cs="Times New Roman"/>
              </w:rPr>
              <w:t>epe</w:t>
            </w:r>
            <w:r>
              <w:rPr>
                <w:rFonts w:cs="Times New Roman"/>
              </w:rPr>
              <w:t>ated a</w:t>
            </w:r>
            <w:r w:rsidRPr="00885045">
              <w:rPr>
                <w:rFonts w:cs="Times New Roman"/>
              </w:rPr>
              <w:t xml:space="preserve"> question on the screener instrument about languages spoken by the respondent.  </w:t>
            </w:r>
          </w:p>
          <w:p w:rsidR="00B56A3D" w:rsidP="000C000E" w:rsidRDefault="00B56A3D" w14:paraId="567112FC" w14:textId="3FA663DE">
            <w:pPr>
              <w:contextualSpacing/>
              <w:rPr>
                <w:rFonts w:cs="Times New Roman"/>
              </w:rPr>
            </w:pPr>
          </w:p>
        </w:tc>
      </w:tr>
      <w:tr w:rsidR="00B56A3D" w:rsidTr="00B141C0" w14:paraId="19468627" w14:textId="77777777">
        <w:tc>
          <w:tcPr>
            <w:tcW w:w="622" w:type="dxa"/>
          </w:tcPr>
          <w:p w:rsidR="00B56A3D" w:rsidP="000C000E" w:rsidRDefault="00B56A3D" w14:paraId="5605838A" w14:textId="77777777">
            <w:pPr>
              <w:contextualSpacing/>
              <w:rPr>
                <w:rFonts w:cs="Times New Roman"/>
              </w:rPr>
            </w:pPr>
            <w:r>
              <w:rPr>
                <w:rFonts w:cs="Times New Roman"/>
              </w:rPr>
              <w:t>4</w:t>
            </w:r>
          </w:p>
        </w:tc>
        <w:tc>
          <w:tcPr>
            <w:tcW w:w="9453" w:type="dxa"/>
          </w:tcPr>
          <w:p w:rsidRPr="00B141C0" w:rsidR="00B56A3D" w:rsidP="00885045" w:rsidRDefault="00B56A3D" w14:paraId="73DC3C83" w14:textId="41B33264">
            <w:pPr>
              <w:contextualSpacing/>
              <w:rPr>
                <w:rFonts w:cs="Times New Roman"/>
              </w:rPr>
            </w:pPr>
            <w:r>
              <w:rPr>
                <w:rFonts w:cs="Times New Roman"/>
              </w:rPr>
              <w:t>Question removed because it yielded</w:t>
            </w:r>
            <w:r w:rsidRPr="00885045">
              <w:rPr>
                <w:rFonts w:cs="Times New Roman"/>
              </w:rPr>
              <w:t xml:space="preserve"> little useful information since ethnic groups or tribes were not specified and 20% of responses were “Don’t Know”. </w:t>
            </w:r>
          </w:p>
          <w:p w:rsidR="00B56A3D" w:rsidP="000C000E" w:rsidRDefault="00B56A3D" w14:paraId="2C941BE7" w14:textId="6063E886">
            <w:pPr>
              <w:contextualSpacing/>
              <w:rPr>
                <w:rFonts w:cs="Times New Roman"/>
              </w:rPr>
            </w:pPr>
          </w:p>
        </w:tc>
      </w:tr>
      <w:tr w:rsidR="00B56A3D" w:rsidTr="00B141C0" w14:paraId="622BD802" w14:textId="77777777">
        <w:trPr>
          <w:trHeight w:val="1277"/>
        </w:trPr>
        <w:tc>
          <w:tcPr>
            <w:tcW w:w="622" w:type="dxa"/>
          </w:tcPr>
          <w:p w:rsidR="00B56A3D" w:rsidP="000C000E" w:rsidRDefault="009C6435" w14:paraId="419548DB" w14:textId="12A0EF03">
            <w:pPr>
              <w:rPr>
                <w:rFonts w:cs="Times New Roman"/>
              </w:rPr>
            </w:pPr>
            <w:r>
              <w:rPr>
                <w:rFonts w:cs="Times New Roman"/>
              </w:rPr>
              <w:t>6, 7</w:t>
            </w:r>
          </w:p>
        </w:tc>
        <w:tc>
          <w:tcPr>
            <w:tcW w:w="9453" w:type="dxa"/>
          </w:tcPr>
          <w:p w:rsidR="00B56A3D" w:rsidP="000C000E" w:rsidRDefault="00B56A3D" w14:paraId="2E37D46B" w14:textId="42FE00E9">
            <w:pPr>
              <w:contextualSpacing/>
              <w:rPr>
                <w:rFonts w:cs="Times New Roman"/>
              </w:rPr>
            </w:pPr>
            <w:r w:rsidRPr="00885045">
              <w:rPr>
                <w:rFonts w:cs="Times New Roman"/>
              </w:rPr>
              <w:t xml:space="preserve">Questions were removed because countries were not specified. </w:t>
            </w:r>
            <w:r>
              <w:rPr>
                <w:rFonts w:cs="Times New Roman"/>
              </w:rPr>
              <w:t>T</w:t>
            </w:r>
            <w:r w:rsidRPr="00885045">
              <w:rPr>
                <w:rFonts w:cs="Times New Roman"/>
              </w:rPr>
              <w:t xml:space="preserve">he two questions </w:t>
            </w:r>
            <w:r>
              <w:rPr>
                <w:rFonts w:cs="Times New Roman"/>
              </w:rPr>
              <w:t xml:space="preserve">were replaced by </w:t>
            </w:r>
            <w:r w:rsidRPr="00885045">
              <w:rPr>
                <w:rFonts w:cs="Times New Roman"/>
              </w:rPr>
              <w:t xml:space="preserve">a single question </w:t>
            </w:r>
            <w:r>
              <w:rPr>
                <w:rFonts w:cs="Times New Roman"/>
              </w:rPr>
              <w:t xml:space="preserve">(New Question 5) </w:t>
            </w:r>
            <w:r w:rsidRPr="00885045">
              <w:rPr>
                <w:rFonts w:cs="Times New Roman"/>
              </w:rPr>
              <w:t>that specifies countries where the respondent has traveled.</w:t>
            </w:r>
            <w:r w:rsidRPr="00282F7D">
              <w:rPr>
                <w:rFonts w:cs="Times New Roman"/>
              </w:rPr>
              <w:t xml:space="preserve">  It is useful to the study to know whether the respondents have traveled back from the U.S. to FGM/C practicing countries because this is a risk factor for FGM/C.</w:t>
            </w:r>
          </w:p>
        </w:tc>
      </w:tr>
      <w:tr w:rsidR="00B56A3D" w:rsidTr="00B141C0" w14:paraId="09524716" w14:textId="77777777">
        <w:tc>
          <w:tcPr>
            <w:tcW w:w="622" w:type="dxa"/>
          </w:tcPr>
          <w:p w:rsidR="00B56A3D" w:rsidP="000C000E" w:rsidRDefault="009C6435" w14:paraId="39B1D0F8" w14:textId="2575B4AD">
            <w:pPr>
              <w:rPr>
                <w:rFonts w:cs="Times New Roman"/>
              </w:rPr>
            </w:pPr>
            <w:r>
              <w:rPr>
                <w:rFonts w:cs="Times New Roman"/>
              </w:rPr>
              <w:t>5</w:t>
            </w:r>
          </w:p>
        </w:tc>
        <w:tc>
          <w:tcPr>
            <w:tcW w:w="9453" w:type="dxa"/>
          </w:tcPr>
          <w:p w:rsidR="00B56A3D" w:rsidP="000C000E" w:rsidRDefault="0074323F" w14:paraId="75AA99C6" w14:textId="005008CF">
            <w:pPr>
              <w:contextualSpacing/>
              <w:rPr>
                <w:rFonts w:cs="Times New Roman"/>
              </w:rPr>
            </w:pPr>
            <w:r>
              <w:rPr>
                <w:rFonts w:cs="Times New Roman"/>
              </w:rPr>
              <w:t>A</w:t>
            </w:r>
            <w:r w:rsidRPr="00700B8C" w:rsidR="00B56A3D">
              <w:rPr>
                <w:rFonts w:cs="Times New Roman"/>
              </w:rPr>
              <w:t>dd</w:t>
            </w:r>
            <w:r w:rsidR="00B56A3D">
              <w:rPr>
                <w:rFonts w:cs="Times New Roman"/>
              </w:rPr>
              <w:t>s</w:t>
            </w:r>
            <w:r w:rsidRPr="00700B8C" w:rsidR="00B56A3D">
              <w:rPr>
                <w:rFonts w:cs="Times New Roman"/>
              </w:rPr>
              <w:t xml:space="preserve"> the response option</w:t>
            </w:r>
            <w:r w:rsidR="00B56A3D">
              <w:rPr>
                <w:rFonts w:cs="Times New Roman"/>
              </w:rPr>
              <w:t xml:space="preserve">: </w:t>
            </w:r>
            <w:r w:rsidR="00657D08">
              <w:rPr>
                <w:rFonts w:cs="Times New Roman"/>
              </w:rPr>
              <w:t>“</w:t>
            </w:r>
            <w:r w:rsidRPr="00700B8C" w:rsidR="00B56A3D">
              <w:rPr>
                <w:rFonts w:cs="Times New Roman"/>
              </w:rPr>
              <w:t>Born in the US</w:t>
            </w:r>
            <w:r w:rsidR="00B56A3D">
              <w:rPr>
                <w:rFonts w:cs="Times New Roman"/>
              </w:rPr>
              <w:t xml:space="preserve"> </w:t>
            </w:r>
            <w:r w:rsidRPr="00B141C0" w:rsidR="00B56A3D">
              <w:rPr>
                <w:rFonts w:cs="Times New Roman"/>
                <w:i/>
                <w:iCs/>
              </w:rPr>
              <w:t>[GO TO SECTION</w:t>
            </w:r>
            <w:r w:rsidR="00B56A3D">
              <w:rPr>
                <w:rFonts w:cs="Times New Roman"/>
              </w:rPr>
              <w:t xml:space="preserve"> </w:t>
            </w:r>
            <w:r w:rsidRPr="00B141C0" w:rsidR="00B56A3D">
              <w:rPr>
                <w:rFonts w:cs="Times New Roman"/>
                <w:i/>
                <w:iCs/>
              </w:rPr>
              <w:t>C]</w:t>
            </w:r>
            <w:r w:rsidR="00657D08">
              <w:rPr>
                <w:rFonts w:cs="Times New Roman"/>
                <w:i/>
                <w:iCs/>
              </w:rPr>
              <w:t>”</w:t>
            </w:r>
            <w:r>
              <w:rPr>
                <w:rFonts w:cs="Times New Roman"/>
              </w:rPr>
              <w:t xml:space="preserve"> to what is now Question 6</w:t>
            </w:r>
            <w:r w:rsidRPr="00B141C0" w:rsidR="00B56A3D">
              <w:rPr>
                <w:rFonts w:cs="Times New Roman"/>
                <w:i/>
                <w:iCs/>
              </w:rPr>
              <w:t>.</w:t>
            </w:r>
            <w:r w:rsidR="00B56A3D">
              <w:rPr>
                <w:rFonts w:cs="Times New Roman"/>
              </w:rPr>
              <w:t xml:space="preserve">  This replaces skip logic instructions that were confusing to interviewers.</w:t>
            </w:r>
          </w:p>
        </w:tc>
      </w:tr>
      <w:tr w:rsidR="00B56A3D" w:rsidTr="00B141C0" w14:paraId="268879F7" w14:textId="77777777">
        <w:tc>
          <w:tcPr>
            <w:tcW w:w="622" w:type="dxa"/>
          </w:tcPr>
          <w:p w:rsidR="00B56A3D" w:rsidP="000C000E" w:rsidRDefault="009C6435" w14:paraId="347DDC9A" w14:textId="196E8F25">
            <w:pPr>
              <w:rPr>
                <w:rFonts w:cs="Times New Roman"/>
              </w:rPr>
            </w:pPr>
            <w:r>
              <w:rPr>
                <w:rFonts w:cs="Times New Roman"/>
              </w:rPr>
              <w:t>--</w:t>
            </w:r>
          </w:p>
        </w:tc>
        <w:tc>
          <w:tcPr>
            <w:tcW w:w="9453" w:type="dxa"/>
          </w:tcPr>
          <w:p w:rsidRPr="00B141C0" w:rsidR="00B56A3D" w:rsidP="00282F7D" w:rsidRDefault="00B56A3D" w14:paraId="4B0E0623" w14:textId="0ED538AC">
            <w:pPr>
              <w:contextualSpacing/>
              <w:rPr>
                <w:rFonts w:cs="Times New Roman"/>
              </w:rPr>
            </w:pPr>
            <w:r>
              <w:rPr>
                <w:rFonts w:cs="Times New Roman"/>
              </w:rPr>
              <w:t xml:space="preserve">New </w:t>
            </w:r>
            <w:r w:rsidRPr="005C205C">
              <w:rPr>
                <w:rFonts w:cs="Times New Roman"/>
              </w:rPr>
              <w:t>Question</w:t>
            </w:r>
            <w:r>
              <w:rPr>
                <w:rFonts w:cs="Times New Roman"/>
                <w:sz w:val="22"/>
              </w:rPr>
              <w:t xml:space="preserve"> </w:t>
            </w:r>
            <w:r w:rsidRPr="005C205C">
              <w:rPr>
                <w:rFonts w:cs="Times New Roman"/>
              </w:rPr>
              <w:t>7 capture</w:t>
            </w:r>
            <w:r>
              <w:rPr>
                <w:rFonts w:cs="Times New Roman"/>
              </w:rPr>
              <w:t>s</w:t>
            </w:r>
            <w:r w:rsidRPr="005C205C">
              <w:rPr>
                <w:rFonts w:cs="Times New Roman"/>
              </w:rPr>
              <w:t xml:space="preserve"> age at arrival in the U.S. This information is needed to determine the immigrant generation of participants. This is an important background </w:t>
            </w:r>
            <w:r w:rsidRPr="005C205C">
              <w:rPr>
                <w:rFonts w:cs="Times New Roman"/>
              </w:rPr>
              <w:lastRenderedPageBreak/>
              <w:t>characteristic that will enable us to examine if FGM/C attitudes change after migration and how health experiences compare across generations.</w:t>
            </w:r>
          </w:p>
          <w:p w:rsidR="00B56A3D" w:rsidP="000C000E" w:rsidRDefault="00B56A3D" w14:paraId="5B84CFF8" w14:textId="77777777">
            <w:pPr>
              <w:contextualSpacing/>
              <w:rPr>
                <w:rFonts w:cs="Times New Roman"/>
              </w:rPr>
            </w:pPr>
          </w:p>
        </w:tc>
      </w:tr>
      <w:tr w:rsidR="00B56A3D" w:rsidTr="00B141C0" w14:paraId="2AB0BC52" w14:textId="77777777">
        <w:tc>
          <w:tcPr>
            <w:tcW w:w="622" w:type="dxa"/>
          </w:tcPr>
          <w:p w:rsidR="00B56A3D" w:rsidP="000C000E" w:rsidRDefault="009C6435" w14:paraId="5CBBC575" w14:textId="41763CC9">
            <w:pPr>
              <w:rPr>
                <w:rFonts w:cs="Times New Roman"/>
              </w:rPr>
            </w:pPr>
            <w:r>
              <w:rPr>
                <w:rFonts w:cs="Times New Roman"/>
              </w:rPr>
              <w:lastRenderedPageBreak/>
              <w:t>--</w:t>
            </w:r>
          </w:p>
        </w:tc>
        <w:tc>
          <w:tcPr>
            <w:tcW w:w="9453" w:type="dxa"/>
          </w:tcPr>
          <w:p w:rsidR="00B56A3D" w:rsidP="000C000E" w:rsidRDefault="00B56A3D" w14:paraId="000624A2" w14:textId="29206C38">
            <w:pPr>
              <w:contextualSpacing/>
              <w:rPr>
                <w:rFonts w:cs="Times New Roman"/>
              </w:rPr>
            </w:pPr>
            <w:r>
              <w:rPr>
                <w:rFonts w:cs="Times New Roman"/>
              </w:rPr>
              <w:t xml:space="preserve">Section B questions were reordered.  </w:t>
            </w:r>
          </w:p>
          <w:p w:rsidR="00B56A3D" w:rsidP="000C000E" w:rsidRDefault="00B56A3D" w14:paraId="2A92F358" w14:textId="28026C6C">
            <w:pPr>
              <w:contextualSpacing/>
              <w:rPr>
                <w:rFonts w:cs="Times New Roman"/>
              </w:rPr>
            </w:pPr>
          </w:p>
        </w:tc>
      </w:tr>
      <w:tr w:rsidR="00B56A3D" w:rsidTr="00B141C0" w14:paraId="46D1E5A8" w14:textId="77777777">
        <w:tc>
          <w:tcPr>
            <w:tcW w:w="622" w:type="dxa"/>
          </w:tcPr>
          <w:p w:rsidR="00B56A3D" w:rsidP="000C000E" w:rsidRDefault="009C6435" w14:paraId="7212B8EC" w14:textId="7006B1A8">
            <w:pPr>
              <w:rPr>
                <w:rFonts w:cs="Times New Roman"/>
              </w:rPr>
            </w:pPr>
            <w:r>
              <w:rPr>
                <w:rFonts w:cs="Times New Roman"/>
              </w:rPr>
              <w:t>11-14, 40, 54</w:t>
            </w:r>
          </w:p>
        </w:tc>
        <w:tc>
          <w:tcPr>
            <w:tcW w:w="9453" w:type="dxa"/>
          </w:tcPr>
          <w:p w:rsidR="00B56A3D" w:rsidP="009C6435" w:rsidRDefault="00B56A3D" w14:paraId="534D3A82" w14:textId="3097E5A4">
            <w:pPr>
              <w:contextualSpacing/>
              <w:rPr>
                <w:rFonts w:cs="Times New Roman"/>
              </w:rPr>
            </w:pPr>
            <w:r w:rsidRPr="00B141C0">
              <w:rPr>
                <w:rFonts w:cs="Times New Roman"/>
              </w:rPr>
              <w:t>Throughout the questionnaire, we changed “husband” to “husband/partner”</w:t>
            </w:r>
            <w:r>
              <w:rPr>
                <w:rFonts w:cs="Times New Roman"/>
              </w:rPr>
              <w:t xml:space="preserve"> </w:t>
            </w:r>
            <w:r w:rsidR="00FB3390">
              <w:rPr>
                <w:rFonts w:cs="Times New Roman"/>
              </w:rPr>
              <w:t xml:space="preserve">and/or included “living with a partner” in response options </w:t>
            </w:r>
            <w:r>
              <w:rPr>
                <w:rFonts w:cs="Times New Roman"/>
              </w:rPr>
              <w:t>to accommodate women who might be co-habiting with a partner</w:t>
            </w:r>
            <w:r w:rsidRPr="00B141C0">
              <w:rPr>
                <w:rFonts w:cs="Times New Roman"/>
              </w:rPr>
              <w:t xml:space="preserve">.  </w:t>
            </w:r>
          </w:p>
        </w:tc>
      </w:tr>
      <w:tr w:rsidR="00B56A3D" w:rsidTr="00B141C0" w14:paraId="1C4FC967" w14:textId="77777777">
        <w:tc>
          <w:tcPr>
            <w:tcW w:w="622" w:type="dxa"/>
          </w:tcPr>
          <w:p w:rsidR="00B56A3D" w:rsidP="000C000E" w:rsidRDefault="009C6435" w14:paraId="7D643937" w14:textId="57F0123F">
            <w:pPr>
              <w:rPr>
                <w:rFonts w:cs="Times New Roman"/>
              </w:rPr>
            </w:pPr>
            <w:r>
              <w:rPr>
                <w:rFonts w:cs="Times New Roman"/>
              </w:rPr>
              <w:t>--</w:t>
            </w:r>
          </w:p>
        </w:tc>
        <w:tc>
          <w:tcPr>
            <w:tcW w:w="9453" w:type="dxa"/>
          </w:tcPr>
          <w:p w:rsidRPr="00B141C0" w:rsidR="00B56A3D" w:rsidP="009B7F14" w:rsidRDefault="00B56A3D" w14:paraId="6F95922D" w14:textId="64C351DA">
            <w:pPr>
              <w:contextualSpacing/>
              <w:rPr>
                <w:rFonts w:cs="Times New Roman"/>
              </w:rPr>
            </w:pPr>
            <w:r>
              <w:rPr>
                <w:rFonts w:cs="Times New Roman"/>
              </w:rPr>
              <w:t xml:space="preserve">New Question 13 was added to capture the </w:t>
            </w:r>
            <w:r w:rsidRPr="009B7F14">
              <w:rPr>
                <w:rFonts w:cs="Times New Roman"/>
              </w:rPr>
              <w:t>husband/partner's country of origin</w:t>
            </w:r>
            <w:r>
              <w:rPr>
                <w:rFonts w:cs="Times New Roman"/>
              </w:rPr>
              <w:t xml:space="preserve">.  Because the </w:t>
            </w:r>
            <w:r w:rsidRPr="009B7F14">
              <w:rPr>
                <w:rFonts w:cs="Times New Roman"/>
              </w:rPr>
              <w:t>husband/partner's beliefs and family traditions surrounding FGM/C</w:t>
            </w:r>
            <w:r>
              <w:rPr>
                <w:rFonts w:cs="Times New Roman"/>
              </w:rPr>
              <w:t xml:space="preserve"> are often involved in a family decision on FGM/C</w:t>
            </w:r>
            <w:r w:rsidRPr="009B7F14">
              <w:rPr>
                <w:rFonts w:cs="Times New Roman"/>
              </w:rPr>
              <w:t xml:space="preserve">. Information on husband/partner country of origin </w:t>
            </w:r>
            <w:r>
              <w:rPr>
                <w:rFonts w:cs="Times New Roman"/>
              </w:rPr>
              <w:t>will</w:t>
            </w:r>
            <w:r w:rsidRPr="009B7F14">
              <w:rPr>
                <w:rFonts w:cs="Times New Roman"/>
              </w:rPr>
              <w:t xml:space="preserve"> provide important context.</w:t>
            </w:r>
          </w:p>
          <w:p w:rsidR="00B56A3D" w:rsidP="000C000E" w:rsidRDefault="00B56A3D" w14:paraId="08F3F55C" w14:textId="35D37D5A">
            <w:pPr>
              <w:contextualSpacing/>
              <w:rPr>
                <w:rFonts w:cs="Times New Roman"/>
              </w:rPr>
            </w:pPr>
          </w:p>
        </w:tc>
      </w:tr>
      <w:tr w:rsidR="00B56A3D" w:rsidTr="00B141C0" w14:paraId="63836531" w14:textId="77777777">
        <w:tc>
          <w:tcPr>
            <w:tcW w:w="622" w:type="dxa"/>
          </w:tcPr>
          <w:p w:rsidR="00B56A3D" w:rsidP="000C000E" w:rsidRDefault="00B56A3D" w14:paraId="3BEE26C5" w14:textId="2FF8D2DB">
            <w:pPr>
              <w:rPr>
                <w:rFonts w:cs="Times New Roman"/>
              </w:rPr>
            </w:pPr>
            <w:r>
              <w:rPr>
                <w:rFonts w:cs="Times New Roman"/>
              </w:rPr>
              <w:t>1</w:t>
            </w:r>
            <w:r w:rsidR="009C6435">
              <w:rPr>
                <w:rFonts w:cs="Times New Roman"/>
              </w:rPr>
              <w:t>5</w:t>
            </w:r>
          </w:p>
        </w:tc>
        <w:tc>
          <w:tcPr>
            <w:tcW w:w="9453" w:type="dxa"/>
          </w:tcPr>
          <w:p w:rsidR="00B56A3D" w:rsidRDefault="00AD01A2" w14:paraId="3A522FCE" w14:textId="4160F48A">
            <w:pPr>
              <w:contextualSpacing/>
              <w:rPr>
                <w:rFonts w:cs="Times New Roman"/>
              </w:rPr>
            </w:pPr>
            <w:r>
              <w:rPr>
                <w:rFonts w:cs="Times New Roman"/>
              </w:rPr>
              <w:t>Added</w:t>
            </w:r>
            <w:r w:rsidRPr="009B7F14" w:rsidR="00B56A3D">
              <w:rPr>
                <w:rFonts w:cs="Times New Roman"/>
              </w:rPr>
              <w:t xml:space="preserve"> “religious organization” to the </w:t>
            </w:r>
            <w:r w:rsidR="00B56A3D">
              <w:rPr>
                <w:rFonts w:cs="Times New Roman"/>
              </w:rPr>
              <w:t xml:space="preserve">organizations mentioned in </w:t>
            </w:r>
            <w:r>
              <w:rPr>
                <w:rFonts w:cs="Times New Roman"/>
              </w:rPr>
              <w:t xml:space="preserve">what is now </w:t>
            </w:r>
            <w:r w:rsidR="00B56A3D">
              <w:rPr>
                <w:rFonts w:cs="Times New Roman"/>
              </w:rPr>
              <w:t>question</w:t>
            </w:r>
            <w:r>
              <w:rPr>
                <w:rFonts w:cs="Times New Roman"/>
              </w:rPr>
              <w:t xml:space="preserve"> 14</w:t>
            </w:r>
            <w:r w:rsidRPr="009B7F14" w:rsidR="00B56A3D">
              <w:rPr>
                <w:rFonts w:cs="Times New Roman"/>
              </w:rPr>
              <w:t xml:space="preserve">. </w:t>
            </w:r>
            <w:r w:rsidR="00B56A3D">
              <w:rPr>
                <w:rFonts w:cs="Times New Roman"/>
              </w:rPr>
              <w:t xml:space="preserve"> This is because the church or mosque are important community/social organizations.</w:t>
            </w:r>
          </w:p>
        </w:tc>
      </w:tr>
      <w:tr w:rsidR="00B56A3D" w:rsidTr="00B141C0" w14:paraId="2DD7C695" w14:textId="77777777">
        <w:tc>
          <w:tcPr>
            <w:tcW w:w="622" w:type="dxa"/>
          </w:tcPr>
          <w:p w:rsidR="00B56A3D" w:rsidP="000C000E" w:rsidRDefault="00952A19" w14:paraId="42CE045C" w14:textId="3F922A8C">
            <w:pPr>
              <w:rPr>
                <w:rFonts w:cs="Times New Roman"/>
              </w:rPr>
            </w:pPr>
            <w:r>
              <w:rPr>
                <w:rFonts w:cs="Times New Roman"/>
              </w:rPr>
              <w:t>16</w:t>
            </w:r>
          </w:p>
        </w:tc>
        <w:tc>
          <w:tcPr>
            <w:tcW w:w="9453" w:type="dxa"/>
          </w:tcPr>
          <w:p w:rsidRPr="00305976" w:rsidR="00B56A3D" w:rsidP="000C000E" w:rsidRDefault="00AD01A2" w14:paraId="748A050D" w14:textId="65772396">
            <w:pPr>
              <w:contextualSpacing/>
              <w:rPr>
                <w:rFonts w:cs="Times New Roman"/>
                <w:szCs w:val="24"/>
              </w:rPr>
            </w:pPr>
            <w:r w:rsidRPr="006C4BB3">
              <w:rPr>
                <w:rFonts w:cs="Times New Roman"/>
                <w:szCs w:val="24"/>
              </w:rPr>
              <w:t>The</w:t>
            </w:r>
            <w:r w:rsidRPr="006C4BB3" w:rsidR="00B56A3D">
              <w:rPr>
                <w:rFonts w:cs="Times New Roman"/>
                <w:szCs w:val="24"/>
              </w:rPr>
              <w:t xml:space="preserve"> wording was unclear when administered in the pilot. We propose simplified language</w:t>
            </w:r>
            <w:r w:rsidRPr="00454A45">
              <w:rPr>
                <w:rFonts w:cs="Times New Roman"/>
                <w:szCs w:val="24"/>
              </w:rPr>
              <w:t xml:space="preserve"> to what is now question 15</w:t>
            </w:r>
            <w:r w:rsidRPr="00454A45" w:rsidR="00B56A3D">
              <w:rPr>
                <w:rFonts w:cs="Times New Roman"/>
                <w:szCs w:val="24"/>
              </w:rPr>
              <w:t xml:space="preserve">. </w:t>
            </w:r>
          </w:p>
        </w:tc>
      </w:tr>
      <w:tr w:rsidR="00B56A3D" w:rsidTr="00B141C0" w14:paraId="131BCFD4" w14:textId="77777777">
        <w:tc>
          <w:tcPr>
            <w:tcW w:w="622" w:type="dxa"/>
          </w:tcPr>
          <w:p w:rsidR="00B56A3D" w:rsidP="000C000E" w:rsidRDefault="00952A19" w14:paraId="49EA1C7E" w14:textId="269D0C75">
            <w:pPr>
              <w:rPr>
                <w:rFonts w:cs="Times New Roman"/>
              </w:rPr>
            </w:pPr>
            <w:r>
              <w:rPr>
                <w:rFonts w:cs="Times New Roman"/>
              </w:rPr>
              <w:t>20</w:t>
            </w:r>
          </w:p>
        </w:tc>
        <w:tc>
          <w:tcPr>
            <w:tcW w:w="9453" w:type="dxa"/>
          </w:tcPr>
          <w:p w:rsidRPr="00454A45" w:rsidR="00B56A3D" w:rsidP="00FA6AA2" w:rsidRDefault="00B56A3D" w14:paraId="7F85D680" w14:textId="71F3AB9C">
            <w:pPr>
              <w:contextualSpacing/>
              <w:rPr>
                <w:rFonts w:cs="Times New Roman"/>
                <w:szCs w:val="24"/>
              </w:rPr>
            </w:pPr>
            <w:r w:rsidRPr="006C4BB3">
              <w:rPr>
                <w:rFonts w:cs="Times New Roman"/>
                <w:szCs w:val="24"/>
              </w:rPr>
              <w:t xml:space="preserve">During the pilot, there was uncertainty about whether “interpreter” meant “professional interpreter” (it is intended to be broader, i.e., anyone who could interpret for the woman).  Also, the term “doctor” was too restrictive since women may see other types of providers. We are proposing language to address these two issues.  The question </w:t>
            </w:r>
            <w:r w:rsidRPr="00454A45" w:rsidR="00AD01A2">
              <w:rPr>
                <w:rFonts w:cs="Times New Roman"/>
                <w:szCs w:val="24"/>
              </w:rPr>
              <w:t xml:space="preserve">(now Question 19) </w:t>
            </w:r>
            <w:r w:rsidRPr="00454A45">
              <w:rPr>
                <w:rFonts w:cs="Times New Roman"/>
                <w:szCs w:val="24"/>
              </w:rPr>
              <w:t>has been reworded and the term “doctor” replaced with “healthcare provider”.</w:t>
            </w:r>
          </w:p>
          <w:p w:rsidRPr="00305976" w:rsidR="00B56A3D" w:rsidP="000C000E" w:rsidRDefault="00B56A3D" w14:paraId="3553E9DC" w14:textId="2BF20A67">
            <w:pPr>
              <w:contextualSpacing/>
              <w:rPr>
                <w:rFonts w:cs="Times New Roman"/>
                <w:szCs w:val="24"/>
              </w:rPr>
            </w:pPr>
          </w:p>
        </w:tc>
      </w:tr>
      <w:tr w:rsidR="00B56A3D" w:rsidTr="00B141C0" w14:paraId="3FB0C109" w14:textId="77777777">
        <w:tc>
          <w:tcPr>
            <w:tcW w:w="622" w:type="dxa"/>
          </w:tcPr>
          <w:p w:rsidR="00B56A3D" w:rsidP="000C000E" w:rsidRDefault="00952A19" w14:paraId="462CEDA0" w14:textId="2C0B67F9">
            <w:pPr>
              <w:rPr>
                <w:rFonts w:cs="Times New Roman"/>
              </w:rPr>
            </w:pPr>
            <w:r>
              <w:rPr>
                <w:rFonts w:cs="Times New Roman"/>
              </w:rPr>
              <w:t>28</w:t>
            </w:r>
          </w:p>
        </w:tc>
        <w:tc>
          <w:tcPr>
            <w:tcW w:w="9453" w:type="dxa"/>
          </w:tcPr>
          <w:p w:rsidRPr="00305976" w:rsidR="00B56A3D" w:rsidP="00FA6AA2" w:rsidRDefault="00B56A3D" w14:paraId="44A4FD73" w14:textId="7D106887">
            <w:pPr>
              <w:contextualSpacing/>
              <w:rPr>
                <w:rFonts w:cs="Times New Roman"/>
                <w:szCs w:val="24"/>
              </w:rPr>
            </w:pPr>
            <w:r w:rsidRPr="00305976">
              <w:rPr>
                <w:rFonts w:cs="Times New Roman"/>
                <w:szCs w:val="24"/>
              </w:rPr>
              <w:t xml:space="preserve">Question 28 removed: </w:t>
            </w:r>
            <w:r w:rsidRPr="006C4BB3">
              <w:rPr>
                <w:rFonts w:cs="Times New Roman"/>
                <w:szCs w:val="24"/>
              </w:rPr>
              <w:t xml:space="preserve">Based on pilot study findings, the currently approved open-ended Question 28 did not yield useful data.  </w:t>
            </w:r>
          </w:p>
        </w:tc>
      </w:tr>
      <w:tr w:rsidR="00B56A3D" w:rsidTr="00B141C0" w14:paraId="58F58311" w14:textId="77777777">
        <w:tc>
          <w:tcPr>
            <w:tcW w:w="622" w:type="dxa"/>
          </w:tcPr>
          <w:p w:rsidR="00B56A3D" w:rsidP="000C000E" w:rsidRDefault="00952A19" w14:paraId="7AEA3A87" w14:textId="4CA08F4D">
            <w:pPr>
              <w:rPr>
                <w:rFonts w:cs="Times New Roman"/>
              </w:rPr>
            </w:pPr>
            <w:r>
              <w:rPr>
                <w:rFonts w:cs="Times New Roman"/>
              </w:rPr>
              <w:t>--</w:t>
            </w:r>
          </w:p>
        </w:tc>
        <w:tc>
          <w:tcPr>
            <w:tcW w:w="9453" w:type="dxa"/>
          </w:tcPr>
          <w:p w:rsidRPr="00305976" w:rsidR="00B56A3D" w:rsidP="00FA6AA2" w:rsidRDefault="00B56A3D" w14:paraId="06D43918" w14:textId="0D852150">
            <w:pPr>
              <w:contextualSpacing/>
              <w:rPr>
                <w:rFonts w:cs="Times New Roman"/>
                <w:szCs w:val="24"/>
              </w:rPr>
            </w:pPr>
            <w:r w:rsidRPr="006C4BB3">
              <w:rPr>
                <w:rFonts w:cs="Times New Roman"/>
                <w:szCs w:val="24"/>
              </w:rPr>
              <w:t>Introduction to Section G: Section G introductory statement is expanded to include the definition of prenatal care. This definition helps the respondent understand what is meant by prenatal care throughout this section.</w:t>
            </w:r>
          </w:p>
        </w:tc>
      </w:tr>
      <w:tr w:rsidR="00B56A3D" w:rsidTr="00B141C0" w14:paraId="59C63AA5" w14:textId="77777777">
        <w:tc>
          <w:tcPr>
            <w:tcW w:w="622" w:type="dxa"/>
          </w:tcPr>
          <w:p w:rsidR="00B56A3D" w:rsidP="000C000E" w:rsidRDefault="00952A19" w14:paraId="5DB20A5A" w14:textId="46A660A1">
            <w:pPr>
              <w:rPr>
                <w:rFonts w:cs="Times New Roman"/>
              </w:rPr>
            </w:pPr>
            <w:r>
              <w:rPr>
                <w:rFonts w:cs="Times New Roman"/>
              </w:rPr>
              <w:t>--</w:t>
            </w:r>
          </w:p>
        </w:tc>
        <w:tc>
          <w:tcPr>
            <w:tcW w:w="9453" w:type="dxa"/>
          </w:tcPr>
          <w:p w:rsidR="00B56A3D" w:rsidP="00FA6AA2" w:rsidRDefault="00B56A3D" w14:paraId="1243FD1C" w14:textId="1BA7C421">
            <w:pPr>
              <w:contextualSpacing/>
              <w:rPr>
                <w:rFonts w:cs="Times New Roman"/>
              </w:rPr>
            </w:pPr>
            <w:r>
              <w:rPr>
                <w:rFonts w:cs="Times New Roman"/>
              </w:rPr>
              <w:t>Birth History Table: Skip instructions have been added.  More rows for additional births have been added since in the pilot some women had more live births than the pilot questionnaire provided for.</w:t>
            </w:r>
          </w:p>
        </w:tc>
      </w:tr>
      <w:tr w:rsidR="00B56A3D" w:rsidTr="00B141C0" w14:paraId="062B2CB6" w14:textId="77777777">
        <w:tc>
          <w:tcPr>
            <w:tcW w:w="622" w:type="dxa"/>
          </w:tcPr>
          <w:p w:rsidR="00B56A3D" w:rsidP="000C000E" w:rsidRDefault="00952A19" w14:paraId="0C4ACA24" w14:textId="77D5CA4A">
            <w:pPr>
              <w:rPr>
                <w:rFonts w:cs="Times New Roman"/>
              </w:rPr>
            </w:pPr>
            <w:r>
              <w:rPr>
                <w:rFonts w:cs="Times New Roman"/>
              </w:rPr>
              <w:t>39</w:t>
            </w:r>
          </w:p>
        </w:tc>
        <w:tc>
          <w:tcPr>
            <w:tcW w:w="9453" w:type="dxa"/>
          </w:tcPr>
          <w:p w:rsidRPr="00454A45" w:rsidR="00B56A3D" w:rsidP="00FA6AA2" w:rsidRDefault="00B56A3D" w14:paraId="2B825760" w14:textId="28BC783A">
            <w:pPr>
              <w:contextualSpacing/>
              <w:rPr>
                <w:rFonts w:cs="Times New Roman"/>
                <w:szCs w:val="24"/>
              </w:rPr>
            </w:pPr>
            <w:r w:rsidRPr="006C4BB3">
              <w:rPr>
                <w:rFonts w:cs="Times New Roman"/>
                <w:szCs w:val="24"/>
              </w:rPr>
              <w:t xml:space="preserve">Based on findings from the pilot study, the open-ended question probe was removed because it did not yield useful information in the pilot.  </w:t>
            </w:r>
            <w:r w:rsidRPr="006C4BB3" w:rsidR="00AD01A2">
              <w:rPr>
                <w:rFonts w:cs="Times New Roman"/>
                <w:szCs w:val="24"/>
              </w:rPr>
              <w:t xml:space="preserve">What is now question 37, </w:t>
            </w:r>
            <w:r w:rsidRPr="00454A45">
              <w:rPr>
                <w:rFonts w:cs="Times New Roman"/>
                <w:szCs w:val="24"/>
              </w:rPr>
              <w:t xml:space="preserve">will remain as a simple Yes/No question.  </w:t>
            </w:r>
          </w:p>
          <w:p w:rsidR="00B56A3D" w:rsidP="00FA6AA2" w:rsidRDefault="00B56A3D" w14:paraId="2C39734A" w14:textId="0D69B646">
            <w:pPr>
              <w:contextualSpacing/>
              <w:rPr>
                <w:rFonts w:cs="Times New Roman"/>
              </w:rPr>
            </w:pPr>
          </w:p>
        </w:tc>
      </w:tr>
      <w:tr w:rsidR="00B56A3D" w:rsidTr="00B141C0" w14:paraId="6CBC8BD7" w14:textId="77777777">
        <w:tc>
          <w:tcPr>
            <w:tcW w:w="622" w:type="dxa"/>
          </w:tcPr>
          <w:p w:rsidR="00B56A3D" w:rsidP="000C000E" w:rsidRDefault="00952A19" w14:paraId="23C790E4" w14:textId="615D13D9">
            <w:pPr>
              <w:rPr>
                <w:rFonts w:cs="Times New Roman"/>
              </w:rPr>
            </w:pPr>
            <w:r>
              <w:rPr>
                <w:rFonts w:cs="Times New Roman"/>
              </w:rPr>
              <w:t>40</w:t>
            </w:r>
          </w:p>
        </w:tc>
        <w:tc>
          <w:tcPr>
            <w:tcW w:w="9453" w:type="dxa"/>
          </w:tcPr>
          <w:p w:rsidR="00B56A3D" w:rsidP="00FA6AA2" w:rsidRDefault="00B56A3D" w14:paraId="4B04FEF9" w14:textId="0BC074C1">
            <w:pPr>
              <w:contextualSpacing/>
              <w:rPr>
                <w:rFonts w:cs="Times New Roman"/>
              </w:rPr>
            </w:pPr>
            <w:r>
              <w:rPr>
                <w:rFonts w:cs="Times New Roman"/>
              </w:rPr>
              <w:t>We added a response option “Do not have a husband/partner” and eliminated the preceding skip logic instructions</w:t>
            </w:r>
            <w:r w:rsidR="00AD01A2">
              <w:rPr>
                <w:rFonts w:cs="Times New Roman"/>
              </w:rPr>
              <w:t xml:space="preserve"> to what is now question 38</w:t>
            </w:r>
            <w:r>
              <w:rPr>
                <w:rFonts w:cs="Times New Roman"/>
              </w:rPr>
              <w:t xml:space="preserve">.  </w:t>
            </w:r>
          </w:p>
          <w:p w:rsidR="00B56A3D" w:rsidP="00FA6AA2" w:rsidRDefault="00B56A3D" w14:paraId="3A0E3187" w14:textId="425ED458">
            <w:pPr>
              <w:contextualSpacing/>
              <w:rPr>
                <w:rFonts w:cs="Times New Roman"/>
              </w:rPr>
            </w:pPr>
          </w:p>
        </w:tc>
      </w:tr>
      <w:tr w:rsidR="00B56A3D" w:rsidTr="00B141C0" w14:paraId="3EA9990A" w14:textId="77777777">
        <w:tc>
          <w:tcPr>
            <w:tcW w:w="622" w:type="dxa"/>
          </w:tcPr>
          <w:p w:rsidR="00B56A3D" w:rsidP="00887D3B" w:rsidRDefault="00952A19" w14:paraId="4BC9134F" w14:textId="714BDA84">
            <w:pPr>
              <w:rPr>
                <w:rFonts w:cs="Times New Roman"/>
              </w:rPr>
            </w:pPr>
            <w:r>
              <w:rPr>
                <w:rFonts w:cs="Times New Roman"/>
              </w:rPr>
              <w:t>43</w:t>
            </w:r>
          </w:p>
        </w:tc>
        <w:tc>
          <w:tcPr>
            <w:tcW w:w="9453" w:type="dxa"/>
          </w:tcPr>
          <w:p w:rsidRPr="00454A45" w:rsidR="00B56A3D" w:rsidP="00887D3B" w:rsidRDefault="00B56A3D" w14:paraId="05F9510E" w14:textId="6A8B2BF9">
            <w:pPr>
              <w:contextualSpacing/>
              <w:rPr>
                <w:rFonts w:cs="Times New Roman"/>
                <w:szCs w:val="24"/>
              </w:rPr>
            </w:pPr>
            <w:r w:rsidRPr="00305976">
              <w:rPr>
                <w:rFonts w:cs="Times New Roman"/>
                <w:szCs w:val="24"/>
              </w:rPr>
              <w:t>D</w:t>
            </w:r>
            <w:r w:rsidRPr="006C4BB3">
              <w:rPr>
                <w:rFonts w:cs="Times New Roman"/>
                <w:szCs w:val="24"/>
              </w:rPr>
              <w:t>uring the pilot study, some women said they don’t remember their age of cutting because they were too young. This make sense since in some countries, the cutting can be done before 4 years of age. We propose the additional response option “too young to remember</w:t>
            </w:r>
            <w:r w:rsidRPr="00454A45">
              <w:rPr>
                <w:rFonts w:cs="Times New Roman"/>
                <w:szCs w:val="24"/>
              </w:rPr>
              <w:t>”</w:t>
            </w:r>
            <w:r w:rsidRPr="00454A45" w:rsidR="00AD01A2">
              <w:rPr>
                <w:rFonts w:cs="Times New Roman"/>
                <w:szCs w:val="24"/>
              </w:rPr>
              <w:t xml:space="preserve"> to what is now question 40.</w:t>
            </w:r>
          </w:p>
          <w:p w:rsidR="00B56A3D" w:rsidP="00887D3B" w:rsidRDefault="00B56A3D" w14:paraId="7BF68E9E" w14:textId="19B6697B">
            <w:pPr>
              <w:contextualSpacing/>
              <w:rPr>
                <w:rFonts w:cs="Times New Roman"/>
              </w:rPr>
            </w:pPr>
          </w:p>
        </w:tc>
      </w:tr>
      <w:tr w:rsidR="00B56A3D" w:rsidTr="00B141C0" w14:paraId="56674C94" w14:textId="77777777">
        <w:tc>
          <w:tcPr>
            <w:tcW w:w="622" w:type="dxa"/>
          </w:tcPr>
          <w:p w:rsidR="00B56A3D" w:rsidP="000C000E" w:rsidRDefault="00952A19" w14:paraId="415EE3E9" w14:textId="7822E398">
            <w:pPr>
              <w:rPr>
                <w:rFonts w:cs="Times New Roman"/>
              </w:rPr>
            </w:pPr>
            <w:r>
              <w:rPr>
                <w:rFonts w:cs="Times New Roman"/>
              </w:rPr>
              <w:t>42</w:t>
            </w:r>
          </w:p>
        </w:tc>
        <w:tc>
          <w:tcPr>
            <w:tcW w:w="9453" w:type="dxa"/>
          </w:tcPr>
          <w:p w:rsidRPr="00454A45" w:rsidR="00B56A3D" w:rsidP="00FA6AA2" w:rsidRDefault="00B56A3D" w14:paraId="50FC4AA2" w14:textId="3600E53F">
            <w:pPr>
              <w:contextualSpacing/>
              <w:rPr>
                <w:rFonts w:cs="Times New Roman"/>
                <w:szCs w:val="24"/>
              </w:rPr>
            </w:pPr>
            <w:r w:rsidRPr="00305976">
              <w:rPr>
                <w:rFonts w:cs="Times New Roman"/>
                <w:szCs w:val="24"/>
              </w:rPr>
              <w:t>We replaced an open-ended question on type of FGM/C with a categorical response option</w:t>
            </w:r>
            <w:r w:rsidRPr="006C4BB3" w:rsidR="00AD01A2">
              <w:rPr>
                <w:rFonts w:cs="Times New Roman"/>
                <w:szCs w:val="24"/>
              </w:rPr>
              <w:t xml:space="preserve"> (now question 44)</w:t>
            </w:r>
            <w:r w:rsidRPr="006C4BB3">
              <w:rPr>
                <w:rFonts w:cs="Times New Roman"/>
                <w:szCs w:val="24"/>
              </w:rPr>
              <w:t>. The goal of open-ended questions on the pilot questionnaire was to determine the appropriate categorical response options.  These response options refer to t</w:t>
            </w:r>
            <w:r w:rsidRPr="00454A45">
              <w:rPr>
                <w:rFonts w:cs="Times New Roman"/>
                <w:szCs w:val="24"/>
              </w:rPr>
              <w:t xml:space="preserve">he three main types of FGM/C.  FGM/C “Types 1, 2 and 3” are standard categories defined by the World Health Organization.  The results of this question will be </w:t>
            </w:r>
            <w:r w:rsidRPr="00454A45">
              <w:rPr>
                <w:rFonts w:cs="Times New Roman"/>
                <w:szCs w:val="24"/>
              </w:rPr>
              <w:lastRenderedPageBreak/>
              <w:t xml:space="preserve">compared to women’s responses to questions 41-43 to determine whether women know the type of FGM/C they have experienced.  </w:t>
            </w:r>
          </w:p>
          <w:p w:rsidRPr="00305976" w:rsidR="00B56A3D" w:rsidP="00FA6AA2" w:rsidRDefault="00B56A3D" w14:paraId="705A3869" w14:textId="48A7307F">
            <w:pPr>
              <w:contextualSpacing/>
              <w:rPr>
                <w:rFonts w:cs="Times New Roman"/>
                <w:szCs w:val="24"/>
              </w:rPr>
            </w:pPr>
          </w:p>
        </w:tc>
      </w:tr>
      <w:tr w:rsidR="00B56A3D" w:rsidTr="00B141C0" w14:paraId="7F4D9FCB" w14:textId="77777777">
        <w:tc>
          <w:tcPr>
            <w:tcW w:w="622" w:type="dxa"/>
          </w:tcPr>
          <w:p w:rsidR="00B56A3D" w:rsidP="000C000E" w:rsidRDefault="00952A19" w14:paraId="53F1AEB1" w14:textId="5B676133">
            <w:pPr>
              <w:rPr>
                <w:rFonts w:cs="Times New Roman"/>
              </w:rPr>
            </w:pPr>
            <w:r>
              <w:rPr>
                <w:rFonts w:cs="Times New Roman"/>
              </w:rPr>
              <w:lastRenderedPageBreak/>
              <w:t>48</w:t>
            </w:r>
          </w:p>
        </w:tc>
        <w:tc>
          <w:tcPr>
            <w:tcW w:w="9453" w:type="dxa"/>
          </w:tcPr>
          <w:p w:rsidRPr="00454A45" w:rsidR="00B56A3D" w:rsidP="00887D3B" w:rsidRDefault="00B56A3D" w14:paraId="2EB56075" w14:textId="2808CE06">
            <w:pPr>
              <w:contextualSpacing/>
              <w:rPr>
                <w:rFonts w:cs="Times New Roman"/>
                <w:szCs w:val="24"/>
              </w:rPr>
            </w:pPr>
            <w:r w:rsidRPr="006C4BB3">
              <w:rPr>
                <w:rFonts w:cs="Times New Roman"/>
                <w:szCs w:val="24"/>
              </w:rPr>
              <w:t>We eliminated the open-ended question and replaced it with a close-ended question that lists health problems/conditions. These options are based on pilot results from the open-ended pilot question.</w:t>
            </w:r>
          </w:p>
          <w:p w:rsidRPr="00305976" w:rsidR="00B56A3D" w:rsidP="00FA6AA2" w:rsidRDefault="00B56A3D" w14:paraId="79C7AFD6" w14:textId="338FF22E">
            <w:pPr>
              <w:contextualSpacing/>
              <w:rPr>
                <w:rFonts w:cs="Times New Roman"/>
                <w:szCs w:val="24"/>
              </w:rPr>
            </w:pPr>
          </w:p>
        </w:tc>
      </w:tr>
      <w:tr w:rsidR="00B56A3D" w:rsidTr="00B141C0" w14:paraId="61B578C8" w14:textId="77777777">
        <w:tc>
          <w:tcPr>
            <w:tcW w:w="622" w:type="dxa"/>
          </w:tcPr>
          <w:p w:rsidR="00B56A3D" w:rsidP="000C000E" w:rsidRDefault="00952A19" w14:paraId="5FF8376A" w14:textId="520D2FB3">
            <w:pPr>
              <w:rPr>
                <w:rFonts w:cs="Times New Roman"/>
              </w:rPr>
            </w:pPr>
            <w:r>
              <w:rPr>
                <w:rFonts w:cs="Times New Roman"/>
              </w:rPr>
              <w:t>52</w:t>
            </w:r>
          </w:p>
        </w:tc>
        <w:tc>
          <w:tcPr>
            <w:tcW w:w="9453" w:type="dxa"/>
          </w:tcPr>
          <w:p w:rsidRPr="00454A45" w:rsidR="00B56A3D" w:rsidP="001901D0" w:rsidRDefault="00B56A3D" w14:paraId="25C5E2FE" w14:textId="3BBBC601">
            <w:pPr>
              <w:contextualSpacing/>
              <w:rPr>
                <w:rFonts w:cs="Times New Roman"/>
                <w:szCs w:val="24"/>
              </w:rPr>
            </w:pPr>
            <w:r w:rsidRPr="006C4BB3">
              <w:rPr>
                <w:rFonts w:cs="Times New Roman"/>
                <w:szCs w:val="24"/>
              </w:rPr>
              <w:t>To improve flow of Question 52</w:t>
            </w:r>
            <w:r w:rsidRPr="006C4BB3" w:rsidR="00302EFF">
              <w:rPr>
                <w:rFonts w:cs="Times New Roman"/>
                <w:szCs w:val="24"/>
              </w:rPr>
              <w:t xml:space="preserve"> (now 50-53)</w:t>
            </w:r>
            <w:r w:rsidRPr="006C4BB3">
              <w:rPr>
                <w:rFonts w:cs="Times New Roman"/>
                <w:szCs w:val="24"/>
              </w:rPr>
              <w:t xml:space="preserve">, we </w:t>
            </w:r>
            <w:r w:rsidR="00071411">
              <w:rPr>
                <w:rFonts w:cs="Times New Roman"/>
                <w:szCs w:val="24"/>
              </w:rPr>
              <w:t xml:space="preserve">split the same content into four separately numbered questions.  We </w:t>
            </w:r>
            <w:r w:rsidRPr="006C4BB3">
              <w:rPr>
                <w:rFonts w:cs="Times New Roman"/>
                <w:szCs w:val="24"/>
              </w:rPr>
              <w:t>reordered the rows</w:t>
            </w:r>
            <w:r w:rsidR="00B10BB8">
              <w:rPr>
                <w:rFonts w:cs="Times New Roman"/>
                <w:szCs w:val="24"/>
              </w:rPr>
              <w:t xml:space="preserve"> (health conditions): </w:t>
            </w:r>
            <w:r w:rsidRPr="006C4BB3" w:rsidR="00B10BB8">
              <w:rPr>
                <w:rFonts w:cs="Times New Roman"/>
                <w:szCs w:val="24"/>
              </w:rPr>
              <w:t>Rows A-</w:t>
            </w:r>
            <w:r w:rsidR="00B10BB8">
              <w:rPr>
                <w:rFonts w:cs="Times New Roman"/>
                <w:szCs w:val="24"/>
              </w:rPr>
              <w:t>C</w:t>
            </w:r>
            <w:r w:rsidRPr="006C4BB3" w:rsidR="00B10BB8">
              <w:rPr>
                <w:rFonts w:cs="Times New Roman"/>
                <w:szCs w:val="24"/>
              </w:rPr>
              <w:t xml:space="preserve"> </w:t>
            </w:r>
            <w:r w:rsidR="00B10BB8">
              <w:rPr>
                <w:rFonts w:cs="Times New Roman"/>
                <w:szCs w:val="24"/>
              </w:rPr>
              <w:t>health conditions</w:t>
            </w:r>
            <w:r w:rsidRPr="006C4BB3" w:rsidR="00B10BB8">
              <w:rPr>
                <w:rFonts w:cs="Times New Roman"/>
                <w:szCs w:val="24"/>
              </w:rPr>
              <w:t xml:space="preserve"> </w:t>
            </w:r>
            <w:r w:rsidR="00B10BB8">
              <w:rPr>
                <w:rFonts w:cs="Times New Roman"/>
                <w:szCs w:val="24"/>
              </w:rPr>
              <w:t>are now in Question 53, rows D and E are now included in Question 52, rows F-I are now included in Question 50, and row J is now Question 51. We also reordered the columns (questions), placing t</w:t>
            </w:r>
            <w:r w:rsidRPr="006C4BB3">
              <w:rPr>
                <w:rFonts w:cs="Times New Roman"/>
                <w:szCs w:val="24"/>
              </w:rPr>
              <w:t xml:space="preserve">he question about whether the condition is an ongoing problem before </w:t>
            </w:r>
            <w:r w:rsidR="00B10BB8">
              <w:rPr>
                <w:rFonts w:cs="Times New Roman"/>
                <w:szCs w:val="24"/>
              </w:rPr>
              <w:t>questions</w:t>
            </w:r>
            <w:r w:rsidRPr="006C4BB3">
              <w:rPr>
                <w:rFonts w:cs="Times New Roman"/>
                <w:szCs w:val="24"/>
              </w:rPr>
              <w:t xml:space="preserve"> about seeking health care</w:t>
            </w:r>
            <w:r w:rsidR="00B10BB8">
              <w:rPr>
                <w:rFonts w:cs="Times New Roman"/>
                <w:szCs w:val="24"/>
              </w:rPr>
              <w:t xml:space="preserve"> and satisfaction</w:t>
            </w:r>
            <w:r w:rsidR="00071411">
              <w:rPr>
                <w:rFonts w:cs="Times New Roman"/>
                <w:szCs w:val="24"/>
              </w:rPr>
              <w:t xml:space="preserve"> with health care received</w:t>
            </w:r>
            <w:r w:rsidRPr="006C4BB3">
              <w:rPr>
                <w:rFonts w:cs="Times New Roman"/>
                <w:szCs w:val="24"/>
              </w:rPr>
              <w:t xml:space="preserve">. </w:t>
            </w:r>
          </w:p>
          <w:p w:rsidRPr="00454A45" w:rsidR="00B56A3D" w:rsidP="001901D0" w:rsidRDefault="00B56A3D" w14:paraId="655D0E0E" w14:textId="77777777">
            <w:pPr>
              <w:contextualSpacing/>
              <w:rPr>
                <w:rFonts w:cs="Times New Roman"/>
                <w:szCs w:val="24"/>
              </w:rPr>
            </w:pPr>
          </w:p>
          <w:p w:rsidRPr="00305976" w:rsidR="00B56A3D" w:rsidP="001901D0" w:rsidRDefault="00B56A3D" w14:paraId="2842326A" w14:textId="2CA6D1FA">
            <w:pPr>
              <w:contextualSpacing/>
              <w:rPr>
                <w:rFonts w:cs="Times New Roman"/>
                <w:szCs w:val="24"/>
              </w:rPr>
            </w:pPr>
            <w:r w:rsidRPr="006C4BB3">
              <w:rPr>
                <w:rFonts w:cs="Times New Roman"/>
                <w:szCs w:val="24"/>
              </w:rPr>
              <w:t>We replaced the word “intercourse” with “sex” to simplify the language based on feedback from interviewers from the pilot. We added the response option “Don’t know” and more explicit skip instructions for interviewers.  We modified skip instructions to make flow easier for interviewers.</w:t>
            </w:r>
          </w:p>
          <w:p w:rsidRPr="006C4BB3" w:rsidR="00B56A3D" w:rsidP="00FA6AA2" w:rsidRDefault="00B56A3D" w14:paraId="5072C356" w14:textId="2D5762B9">
            <w:pPr>
              <w:contextualSpacing/>
              <w:rPr>
                <w:rFonts w:cs="Times New Roman"/>
                <w:szCs w:val="24"/>
              </w:rPr>
            </w:pPr>
          </w:p>
        </w:tc>
      </w:tr>
      <w:tr w:rsidR="00B56A3D" w:rsidTr="00B141C0" w14:paraId="0FE3CB0E" w14:textId="77777777">
        <w:tc>
          <w:tcPr>
            <w:tcW w:w="622" w:type="dxa"/>
          </w:tcPr>
          <w:p w:rsidR="00B56A3D" w:rsidP="000C000E" w:rsidRDefault="00952A19" w14:paraId="09E76867" w14:textId="7C6E5712">
            <w:pPr>
              <w:rPr>
                <w:rFonts w:cs="Times New Roman"/>
              </w:rPr>
            </w:pPr>
            <w:r>
              <w:rPr>
                <w:rFonts w:cs="Times New Roman"/>
              </w:rPr>
              <w:t>--</w:t>
            </w:r>
          </w:p>
        </w:tc>
        <w:tc>
          <w:tcPr>
            <w:tcW w:w="9453" w:type="dxa"/>
          </w:tcPr>
          <w:p w:rsidRPr="00454A45" w:rsidR="00B56A3D" w:rsidP="00FA6AA2" w:rsidRDefault="00B56A3D" w14:paraId="0907F2E2" w14:textId="77777777">
            <w:pPr>
              <w:contextualSpacing/>
              <w:rPr>
                <w:rFonts w:cs="Times New Roman"/>
                <w:szCs w:val="24"/>
              </w:rPr>
            </w:pPr>
            <w:r w:rsidRPr="00305976">
              <w:rPr>
                <w:rFonts w:cs="Times New Roman"/>
                <w:szCs w:val="24"/>
              </w:rPr>
              <w:t xml:space="preserve">Section I questions were reordered to improve flow.  </w:t>
            </w:r>
            <w:r w:rsidRPr="006C4BB3">
              <w:rPr>
                <w:rFonts w:cs="Times New Roman"/>
                <w:szCs w:val="24"/>
              </w:rPr>
              <w:t>Based on recommendations from both the FGM/C expert advisors and pilot study interviewers, the revised order asks respondent's opinion about FGM/C before the questions about her husband's opinion.</w:t>
            </w:r>
          </w:p>
          <w:p w:rsidRPr="00305976" w:rsidR="00B56A3D" w:rsidP="00FA6AA2" w:rsidRDefault="00B56A3D" w14:paraId="0D9CDF6F" w14:textId="79C8022A">
            <w:pPr>
              <w:contextualSpacing/>
              <w:rPr>
                <w:rFonts w:cs="Times New Roman"/>
                <w:szCs w:val="24"/>
              </w:rPr>
            </w:pPr>
          </w:p>
        </w:tc>
      </w:tr>
      <w:tr w:rsidRPr="00594EE1" w:rsidR="00B56A3D" w:rsidTr="00B141C0" w14:paraId="39035F74" w14:textId="77777777">
        <w:tc>
          <w:tcPr>
            <w:tcW w:w="622" w:type="dxa"/>
          </w:tcPr>
          <w:p w:rsidRPr="006C4BB3" w:rsidR="00B56A3D" w:rsidP="000C000E" w:rsidRDefault="00952A19" w14:paraId="30F17F33" w14:textId="300F5310">
            <w:pPr>
              <w:rPr>
                <w:rFonts w:cs="Times New Roman"/>
                <w:szCs w:val="24"/>
              </w:rPr>
            </w:pPr>
            <w:r w:rsidRPr="006C4BB3">
              <w:rPr>
                <w:rFonts w:cs="Times New Roman"/>
                <w:szCs w:val="24"/>
              </w:rPr>
              <w:t>57</w:t>
            </w:r>
          </w:p>
        </w:tc>
        <w:tc>
          <w:tcPr>
            <w:tcW w:w="9453" w:type="dxa"/>
          </w:tcPr>
          <w:p w:rsidRPr="00454A45" w:rsidR="00B56A3D" w:rsidP="00FA6AA2" w:rsidRDefault="00B56A3D" w14:paraId="65FF3F82" w14:textId="4FE4A1D0">
            <w:pPr>
              <w:contextualSpacing/>
              <w:rPr>
                <w:rFonts w:cs="Times New Roman"/>
                <w:szCs w:val="24"/>
              </w:rPr>
            </w:pPr>
            <w:r w:rsidRPr="00454A45">
              <w:rPr>
                <w:rFonts w:cs="Times New Roman"/>
                <w:szCs w:val="24"/>
              </w:rPr>
              <w:t xml:space="preserve">A response option for “not </w:t>
            </w:r>
            <w:r w:rsidR="00B10BB8">
              <w:rPr>
                <w:rFonts w:cs="Times New Roman"/>
                <w:szCs w:val="24"/>
              </w:rPr>
              <w:t xml:space="preserve">applicable, </w:t>
            </w:r>
            <w:r w:rsidRPr="00454A45">
              <w:rPr>
                <w:rFonts w:cs="Times New Roman"/>
                <w:szCs w:val="24"/>
              </w:rPr>
              <w:t>born in the U.S.” was added</w:t>
            </w:r>
            <w:r w:rsidRPr="00454A45" w:rsidR="00302EFF">
              <w:rPr>
                <w:rFonts w:cs="Times New Roman"/>
                <w:szCs w:val="24"/>
              </w:rPr>
              <w:t xml:space="preserve"> to what is now question 55</w:t>
            </w:r>
            <w:r w:rsidRPr="00454A45">
              <w:rPr>
                <w:rFonts w:cs="Times New Roman"/>
                <w:szCs w:val="24"/>
              </w:rPr>
              <w:t>.</w:t>
            </w:r>
          </w:p>
          <w:p w:rsidRPr="00454A45" w:rsidR="00B56A3D" w:rsidP="00FA6AA2" w:rsidRDefault="00B56A3D" w14:paraId="3BA99A53" w14:textId="10FD71B1">
            <w:pPr>
              <w:contextualSpacing/>
              <w:rPr>
                <w:rFonts w:cs="Times New Roman"/>
                <w:szCs w:val="24"/>
              </w:rPr>
            </w:pPr>
          </w:p>
        </w:tc>
      </w:tr>
      <w:tr w:rsidRPr="00594EE1" w:rsidR="00B56A3D" w:rsidTr="00B141C0" w14:paraId="3A3D17DD" w14:textId="77777777">
        <w:tc>
          <w:tcPr>
            <w:tcW w:w="622" w:type="dxa"/>
          </w:tcPr>
          <w:p w:rsidRPr="006C4BB3" w:rsidR="00B56A3D" w:rsidP="000C000E" w:rsidRDefault="00952A19" w14:paraId="3456786B" w14:textId="2A8CFB09">
            <w:pPr>
              <w:rPr>
                <w:rFonts w:cs="Times New Roman"/>
                <w:szCs w:val="24"/>
              </w:rPr>
            </w:pPr>
            <w:r w:rsidRPr="006C4BB3">
              <w:rPr>
                <w:rFonts w:cs="Times New Roman"/>
                <w:szCs w:val="24"/>
              </w:rPr>
              <w:t>58</w:t>
            </w:r>
          </w:p>
        </w:tc>
        <w:tc>
          <w:tcPr>
            <w:tcW w:w="9453" w:type="dxa"/>
          </w:tcPr>
          <w:p w:rsidRPr="00454A45" w:rsidR="00B56A3D" w:rsidP="00FA6AA2" w:rsidRDefault="00B56A3D" w14:paraId="74566B7F" w14:textId="490E946B">
            <w:pPr>
              <w:contextualSpacing/>
              <w:rPr>
                <w:rFonts w:cs="Times New Roman"/>
                <w:szCs w:val="24"/>
              </w:rPr>
            </w:pPr>
            <w:r w:rsidRPr="00454A45">
              <w:rPr>
                <w:rFonts w:cs="Times New Roman"/>
                <w:szCs w:val="24"/>
              </w:rPr>
              <w:t>We eliminated the open-ended response option which did not yield useful data in the pilot.</w:t>
            </w:r>
          </w:p>
        </w:tc>
      </w:tr>
    </w:tbl>
    <w:p w:rsidR="001C0D65" w:rsidP="00296B10" w:rsidRDefault="001C0D65" w14:paraId="47F89AAB" w14:textId="77777777">
      <w:pPr>
        <w:spacing w:after="0" w:line="480" w:lineRule="auto"/>
        <w:rPr>
          <w:rFonts w:ascii="Times New Roman" w:hAnsi="Times New Roman" w:eastAsia="Times New Roman" w:cs="Times New Roman"/>
          <w:b/>
          <w:sz w:val="24"/>
          <w:szCs w:val="24"/>
        </w:rPr>
      </w:pPr>
    </w:p>
    <w:p w:rsidRPr="0014554B" w:rsidR="00296B10" w:rsidP="00296B10" w:rsidRDefault="00296B10" w14:paraId="3E371BB0" w14:textId="2032627A">
      <w:pPr>
        <w:spacing w:after="0" w:line="480" w:lineRule="auto"/>
        <w:rPr>
          <w:rFonts w:ascii="Times New Roman" w:hAnsi="Times New Roman" w:eastAsia="Times New Roman" w:cs="Times New Roman"/>
          <w:b/>
          <w:sz w:val="24"/>
          <w:szCs w:val="24"/>
        </w:rPr>
      </w:pPr>
      <w:r w:rsidRPr="0014554B">
        <w:rPr>
          <w:rFonts w:ascii="Times New Roman" w:hAnsi="Times New Roman" w:eastAsia="Times New Roman" w:cs="Times New Roman"/>
          <w:b/>
          <w:sz w:val="24"/>
          <w:szCs w:val="24"/>
        </w:rPr>
        <w:t>Burden Estimate</w:t>
      </w:r>
    </w:p>
    <w:p w:rsidRPr="0014554B" w:rsidR="003F7368" w:rsidP="00265198" w:rsidRDefault="00ED40EA" w14:paraId="419C2A06" w14:textId="7B724BE1">
      <w:pPr>
        <w:spacing w:after="0" w:line="240" w:lineRule="auto"/>
        <w:contextualSpacing/>
        <w:rPr>
          <w:rFonts w:ascii="Times New Roman" w:hAnsi="Times New Roman" w:cs="Times New Roman"/>
          <w:sz w:val="24"/>
          <w:szCs w:val="24"/>
        </w:rPr>
      </w:pPr>
      <w:bookmarkStart w:name="_GoBack" w:id="4"/>
      <w:bookmarkEnd w:id="4"/>
      <w:r w:rsidRPr="0014554B">
        <w:rPr>
          <w:rFonts w:ascii="Times New Roman" w:hAnsi="Times New Roman" w:cs="Times New Roman"/>
          <w:bCs/>
          <w:sz w:val="24"/>
          <w:szCs w:val="24"/>
          <w:u w:val="single"/>
        </w:rPr>
        <w:t>WHNS</w:t>
      </w:r>
      <w:r w:rsidR="003A354D">
        <w:rPr>
          <w:rFonts w:ascii="Times New Roman" w:hAnsi="Times New Roman" w:cs="Times New Roman"/>
          <w:bCs/>
          <w:sz w:val="24"/>
          <w:szCs w:val="24"/>
          <w:u w:val="single"/>
        </w:rPr>
        <w:t xml:space="preserve"> Eligibility</w:t>
      </w:r>
      <w:r w:rsidRPr="0014554B">
        <w:rPr>
          <w:rFonts w:ascii="Times New Roman" w:hAnsi="Times New Roman" w:cs="Times New Roman"/>
          <w:bCs/>
          <w:sz w:val="24"/>
          <w:szCs w:val="24"/>
          <w:u w:val="single"/>
        </w:rPr>
        <w:t xml:space="preserve"> </w:t>
      </w:r>
      <w:r w:rsidRPr="0014554B" w:rsidR="003F7368">
        <w:rPr>
          <w:rFonts w:ascii="Times New Roman" w:hAnsi="Times New Roman" w:cs="Times New Roman"/>
          <w:bCs/>
          <w:sz w:val="24"/>
          <w:szCs w:val="24"/>
          <w:u w:val="single"/>
        </w:rPr>
        <w:t>Screener</w:t>
      </w:r>
      <w:r w:rsidRPr="0014554B" w:rsidR="003F7368">
        <w:rPr>
          <w:rFonts w:ascii="Times New Roman" w:hAnsi="Times New Roman" w:cs="Times New Roman"/>
          <w:bCs/>
          <w:sz w:val="24"/>
          <w:szCs w:val="24"/>
        </w:rPr>
        <w:t xml:space="preserve">:  </w:t>
      </w:r>
      <w:r w:rsidR="00956CD1">
        <w:rPr>
          <w:rFonts w:ascii="Times New Roman" w:hAnsi="Times New Roman" w:cs="Times New Roman"/>
          <w:sz w:val="24"/>
          <w:szCs w:val="24"/>
        </w:rPr>
        <w:t>By examining</w:t>
      </w:r>
      <w:r w:rsidRPr="00454A45" w:rsidR="003F7368">
        <w:rPr>
          <w:rFonts w:ascii="Times New Roman" w:hAnsi="Times New Roman" w:cs="Times New Roman"/>
          <w:sz w:val="24"/>
          <w:szCs w:val="24"/>
        </w:rPr>
        <w:t xml:space="preserve"> the total number of questions and words added to</w:t>
      </w:r>
      <w:r w:rsidRPr="00454A45" w:rsidR="00420346">
        <w:rPr>
          <w:rFonts w:ascii="Times New Roman" w:hAnsi="Times New Roman" w:cs="Times New Roman"/>
          <w:sz w:val="24"/>
          <w:szCs w:val="24"/>
        </w:rPr>
        <w:t xml:space="preserve"> and removed from</w:t>
      </w:r>
      <w:r w:rsidRPr="00454A45" w:rsidR="003F7368">
        <w:rPr>
          <w:rFonts w:ascii="Times New Roman" w:hAnsi="Times New Roman" w:cs="Times New Roman"/>
          <w:sz w:val="24"/>
          <w:szCs w:val="24"/>
        </w:rPr>
        <w:t xml:space="preserve"> the study screener</w:t>
      </w:r>
      <w:r w:rsidR="00956CD1">
        <w:rPr>
          <w:rFonts w:ascii="Times New Roman" w:hAnsi="Times New Roman" w:cs="Times New Roman"/>
          <w:sz w:val="24"/>
          <w:szCs w:val="24"/>
        </w:rPr>
        <w:t>, we found a net decrease of 3 questions and 12 words</w:t>
      </w:r>
      <w:r w:rsidRPr="00454A45" w:rsidR="003F7368">
        <w:rPr>
          <w:rFonts w:ascii="Times New Roman" w:hAnsi="Times New Roman" w:cs="Times New Roman"/>
          <w:sz w:val="24"/>
          <w:szCs w:val="24"/>
        </w:rPr>
        <w:t>.</w:t>
      </w:r>
      <w:r w:rsidR="006A4655">
        <w:rPr>
          <w:rFonts w:ascii="Times New Roman" w:hAnsi="Times New Roman" w:cs="Times New Roman"/>
          <w:sz w:val="24"/>
          <w:szCs w:val="24"/>
        </w:rPr>
        <w:t xml:space="preserve"> </w:t>
      </w:r>
      <w:r w:rsidR="00F0570A">
        <w:rPr>
          <w:rFonts w:ascii="Times New Roman" w:hAnsi="Times New Roman" w:cs="Times New Roman"/>
          <w:sz w:val="24"/>
          <w:szCs w:val="24"/>
        </w:rPr>
        <w:t xml:space="preserve">We do not anticipate a </w:t>
      </w:r>
      <w:r w:rsidR="006A4655">
        <w:rPr>
          <w:rFonts w:ascii="Times New Roman" w:hAnsi="Times New Roman" w:cs="Times New Roman"/>
          <w:sz w:val="24"/>
          <w:szCs w:val="24"/>
        </w:rPr>
        <w:t xml:space="preserve">change </w:t>
      </w:r>
      <w:r w:rsidR="00D95359">
        <w:rPr>
          <w:rFonts w:ascii="Times New Roman" w:hAnsi="Times New Roman" w:cs="Times New Roman"/>
          <w:sz w:val="24"/>
          <w:szCs w:val="24"/>
        </w:rPr>
        <w:t xml:space="preserve">in </w:t>
      </w:r>
      <w:r w:rsidR="006A4655">
        <w:rPr>
          <w:rFonts w:ascii="Times New Roman" w:hAnsi="Times New Roman" w:cs="Times New Roman"/>
          <w:sz w:val="24"/>
          <w:szCs w:val="24"/>
        </w:rPr>
        <w:t>the time to complete the screener.</w:t>
      </w:r>
      <w:r w:rsidRPr="00454A45" w:rsidR="003F7368">
        <w:rPr>
          <w:rFonts w:ascii="Times New Roman" w:hAnsi="Times New Roman" w:cs="Times New Roman"/>
          <w:sz w:val="24"/>
          <w:szCs w:val="24"/>
        </w:rPr>
        <w:t xml:space="preserve">  </w:t>
      </w:r>
    </w:p>
    <w:p w:rsidR="001C0D65" w:rsidP="006A4655" w:rsidRDefault="001C0D65" w14:paraId="2ED85C52" w14:textId="77777777">
      <w:pPr>
        <w:spacing w:after="0" w:line="240" w:lineRule="auto"/>
        <w:contextualSpacing/>
        <w:rPr>
          <w:rFonts w:ascii="Times New Roman" w:hAnsi="Times New Roman" w:cs="Times New Roman"/>
          <w:bCs/>
          <w:sz w:val="24"/>
          <w:szCs w:val="24"/>
          <w:u w:val="single"/>
        </w:rPr>
      </w:pPr>
    </w:p>
    <w:p w:rsidRPr="0014554B" w:rsidR="003F7368" w:rsidP="006A4655" w:rsidRDefault="00ED40EA" w14:paraId="61D4C7FE" w14:textId="1466C662">
      <w:pPr>
        <w:spacing w:after="0" w:line="240" w:lineRule="auto"/>
        <w:contextualSpacing/>
        <w:rPr>
          <w:rFonts w:ascii="Times New Roman" w:hAnsi="Times New Roman" w:cs="Times New Roman"/>
          <w:bCs/>
          <w:sz w:val="24"/>
          <w:szCs w:val="24"/>
        </w:rPr>
      </w:pPr>
      <w:r w:rsidRPr="0014554B">
        <w:rPr>
          <w:rFonts w:ascii="Times New Roman" w:hAnsi="Times New Roman" w:cs="Times New Roman"/>
          <w:bCs/>
          <w:sz w:val="24"/>
          <w:szCs w:val="24"/>
          <w:u w:val="single"/>
        </w:rPr>
        <w:t xml:space="preserve">WHNS </w:t>
      </w:r>
      <w:r w:rsidRPr="0014554B" w:rsidR="003F7368">
        <w:rPr>
          <w:rFonts w:ascii="Times New Roman" w:hAnsi="Times New Roman" w:cs="Times New Roman"/>
          <w:bCs/>
          <w:sz w:val="24"/>
          <w:szCs w:val="24"/>
          <w:u w:val="single"/>
        </w:rPr>
        <w:t>Questionnaire</w:t>
      </w:r>
      <w:r w:rsidRPr="0014554B" w:rsidR="003F7368">
        <w:rPr>
          <w:rFonts w:ascii="Times New Roman" w:hAnsi="Times New Roman" w:cs="Times New Roman"/>
          <w:bCs/>
          <w:sz w:val="24"/>
          <w:szCs w:val="24"/>
        </w:rPr>
        <w:t>:</w:t>
      </w:r>
      <w:r w:rsidR="006A4655">
        <w:rPr>
          <w:rFonts w:ascii="Times New Roman" w:hAnsi="Times New Roman" w:cs="Times New Roman"/>
          <w:bCs/>
          <w:sz w:val="24"/>
          <w:szCs w:val="24"/>
        </w:rPr>
        <w:t xml:space="preserve"> </w:t>
      </w:r>
      <w:r w:rsidR="006A4655">
        <w:rPr>
          <w:rFonts w:ascii="Times New Roman" w:hAnsi="Times New Roman" w:cs="Times New Roman"/>
          <w:sz w:val="24"/>
          <w:szCs w:val="24"/>
        </w:rPr>
        <w:t>By examining</w:t>
      </w:r>
      <w:r w:rsidRPr="00890CE2" w:rsidR="006A4655">
        <w:rPr>
          <w:rFonts w:ascii="Times New Roman" w:hAnsi="Times New Roman" w:cs="Times New Roman"/>
          <w:sz w:val="24"/>
          <w:szCs w:val="24"/>
        </w:rPr>
        <w:t xml:space="preserve"> the total number of questions and words added to and removed from the study </w:t>
      </w:r>
      <w:r w:rsidR="006A4655">
        <w:rPr>
          <w:rFonts w:ascii="Times New Roman" w:hAnsi="Times New Roman" w:cs="Times New Roman"/>
          <w:sz w:val="24"/>
          <w:szCs w:val="24"/>
        </w:rPr>
        <w:t>questionnaire, we found a net decrease of 3 questions and 12 words</w:t>
      </w:r>
      <w:r w:rsidRPr="00890CE2" w:rsidR="006A4655">
        <w:rPr>
          <w:rFonts w:ascii="Times New Roman" w:hAnsi="Times New Roman" w:cs="Times New Roman"/>
          <w:sz w:val="24"/>
          <w:szCs w:val="24"/>
        </w:rPr>
        <w:t>.</w:t>
      </w:r>
      <w:r w:rsidR="006A4655">
        <w:rPr>
          <w:rFonts w:ascii="Times New Roman" w:hAnsi="Times New Roman" w:cs="Times New Roman"/>
          <w:sz w:val="24"/>
          <w:szCs w:val="24"/>
        </w:rPr>
        <w:t xml:space="preserve"> </w:t>
      </w:r>
      <w:r w:rsidR="00F0570A">
        <w:rPr>
          <w:rFonts w:ascii="Times New Roman" w:hAnsi="Times New Roman" w:cs="Times New Roman"/>
          <w:sz w:val="24"/>
          <w:szCs w:val="24"/>
        </w:rPr>
        <w:t xml:space="preserve">We do not anticipate a </w:t>
      </w:r>
      <w:r w:rsidR="006A4655">
        <w:rPr>
          <w:rFonts w:ascii="Times New Roman" w:hAnsi="Times New Roman" w:cs="Times New Roman"/>
          <w:sz w:val="24"/>
          <w:szCs w:val="24"/>
        </w:rPr>
        <w:t xml:space="preserve">change </w:t>
      </w:r>
      <w:r w:rsidR="00D95359">
        <w:rPr>
          <w:rFonts w:ascii="Times New Roman" w:hAnsi="Times New Roman" w:cs="Times New Roman"/>
          <w:sz w:val="24"/>
          <w:szCs w:val="24"/>
        </w:rPr>
        <w:t xml:space="preserve">in </w:t>
      </w:r>
      <w:r w:rsidR="006A4655">
        <w:rPr>
          <w:rFonts w:ascii="Times New Roman" w:hAnsi="Times New Roman" w:cs="Times New Roman"/>
          <w:sz w:val="24"/>
          <w:szCs w:val="24"/>
        </w:rPr>
        <w:t xml:space="preserve">the time to complete the </w:t>
      </w:r>
      <w:r w:rsidR="00D84CE3">
        <w:rPr>
          <w:rFonts w:ascii="Times New Roman" w:hAnsi="Times New Roman" w:cs="Times New Roman"/>
          <w:sz w:val="24"/>
          <w:szCs w:val="24"/>
        </w:rPr>
        <w:t>questionnaire</w:t>
      </w:r>
      <w:r w:rsidR="006A4655">
        <w:rPr>
          <w:rFonts w:ascii="Times New Roman" w:hAnsi="Times New Roman" w:cs="Times New Roman"/>
          <w:sz w:val="24"/>
          <w:szCs w:val="24"/>
        </w:rPr>
        <w:t>.</w:t>
      </w:r>
      <w:r w:rsidRPr="00890CE2" w:rsidR="006A4655">
        <w:rPr>
          <w:rFonts w:ascii="Times New Roman" w:hAnsi="Times New Roman" w:cs="Times New Roman"/>
          <w:sz w:val="24"/>
          <w:szCs w:val="24"/>
        </w:rPr>
        <w:t xml:space="preserve">  </w:t>
      </w:r>
      <w:r w:rsidRPr="0014554B" w:rsidR="003F7368">
        <w:rPr>
          <w:rFonts w:ascii="Times New Roman" w:hAnsi="Times New Roman" w:cs="Times New Roman"/>
          <w:bCs/>
          <w:sz w:val="24"/>
          <w:szCs w:val="24"/>
        </w:rPr>
        <w:t xml:space="preserve">  </w:t>
      </w:r>
    </w:p>
    <w:p w:rsidR="001C0D65" w:rsidP="0014554B" w:rsidRDefault="001C0D65" w14:paraId="56C35F78" w14:textId="77777777">
      <w:pPr>
        <w:spacing w:after="0" w:line="240" w:lineRule="auto"/>
        <w:contextualSpacing/>
        <w:rPr>
          <w:rFonts w:ascii="Times New Roman" w:hAnsi="Times New Roman" w:cs="Times New Roman"/>
          <w:bCs/>
          <w:sz w:val="24"/>
          <w:szCs w:val="24"/>
          <w:u w:val="single"/>
        </w:rPr>
      </w:pPr>
    </w:p>
    <w:p w:rsidRPr="0014554B" w:rsidR="0014554B" w:rsidP="0014554B" w:rsidRDefault="008934D0" w14:paraId="1A37BA09" w14:textId="7C271AA3">
      <w:pPr>
        <w:spacing w:after="0" w:line="240" w:lineRule="auto"/>
        <w:contextualSpacing/>
        <w:rPr>
          <w:rStyle w:val="aBold"/>
          <w:rFonts w:ascii="Times New Roman" w:hAnsi="Times New Roman" w:cs="Times New Roman"/>
          <w:b w:val="0"/>
          <w:bCs/>
          <w:sz w:val="24"/>
          <w:szCs w:val="24"/>
        </w:rPr>
      </w:pPr>
      <w:r w:rsidRPr="0014554B">
        <w:rPr>
          <w:rFonts w:ascii="Times New Roman" w:hAnsi="Times New Roman" w:cs="Times New Roman"/>
          <w:bCs/>
          <w:sz w:val="24"/>
          <w:szCs w:val="24"/>
          <w:u w:val="single"/>
        </w:rPr>
        <w:t>Sample Size</w:t>
      </w:r>
      <w:r w:rsidRPr="0014554B">
        <w:rPr>
          <w:rFonts w:ascii="Times New Roman" w:hAnsi="Times New Roman" w:cs="Times New Roman"/>
          <w:bCs/>
          <w:sz w:val="24"/>
          <w:szCs w:val="24"/>
        </w:rPr>
        <w:t xml:space="preserve">: </w:t>
      </w:r>
      <w:r w:rsidRPr="0014554B" w:rsidR="0014554B">
        <w:rPr>
          <w:rFonts w:ascii="Times New Roman" w:hAnsi="Times New Roman" w:eastAsia="Times New Roman" w:cs="Times New Roman"/>
          <w:sz w:val="24"/>
          <w:szCs w:val="24"/>
        </w:rPr>
        <w:t>We are requesting to increase the initially approved total sample size of 1,200 to 2,000</w:t>
      </w:r>
      <w:r w:rsidR="009C0C0B">
        <w:rPr>
          <w:rFonts w:ascii="Times New Roman" w:hAnsi="Times New Roman" w:eastAsia="Times New Roman" w:cs="Times New Roman"/>
          <w:sz w:val="24"/>
          <w:szCs w:val="24"/>
        </w:rPr>
        <w:t xml:space="preserve"> completed interviews</w:t>
      </w:r>
      <w:r w:rsidRPr="0014554B" w:rsidR="0014554B">
        <w:rPr>
          <w:rFonts w:ascii="Times New Roman" w:hAnsi="Times New Roman" w:eastAsia="Times New Roman" w:cs="Times New Roman"/>
          <w:sz w:val="24"/>
          <w:szCs w:val="24"/>
        </w:rPr>
        <w:t xml:space="preserve">.  Because </w:t>
      </w:r>
      <w:r w:rsidRPr="0014554B" w:rsidR="0014554B">
        <w:rPr>
          <w:rStyle w:val="aBold"/>
          <w:rFonts w:ascii="Times New Roman" w:hAnsi="Times New Roman" w:cs="Times New Roman"/>
          <w:b w:val="0"/>
          <w:bCs/>
          <w:sz w:val="24"/>
          <w:szCs w:val="24"/>
        </w:rPr>
        <w:t>101 pilot interviews have already been completed, we propose to interview 1,899 for the full study.   In order to obtain 2,000 completed interviews</w:t>
      </w:r>
      <w:r w:rsidR="004861DF">
        <w:rPr>
          <w:rStyle w:val="aBold"/>
          <w:rFonts w:ascii="Times New Roman" w:hAnsi="Times New Roman" w:cs="Times New Roman"/>
          <w:b w:val="0"/>
          <w:bCs/>
          <w:sz w:val="24"/>
          <w:szCs w:val="24"/>
        </w:rPr>
        <w:t>, assuming that 35% of women screened will not be eligible</w:t>
      </w:r>
      <w:r w:rsidR="00AC0F52">
        <w:rPr>
          <w:rStyle w:val="aBold"/>
          <w:rFonts w:ascii="Times New Roman" w:hAnsi="Times New Roman" w:cs="Times New Roman"/>
          <w:b w:val="0"/>
          <w:bCs/>
          <w:sz w:val="24"/>
          <w:szCs w:val="24"/>
        </w:rPr>
        <w:t xml:space="preserve"> and now including an estimated refusal rate of 1</w:t>
      </w:r>
      <w:r w:rsidR="007D015C">
        <w:rPr>
          <w:rStyle w:val="aBold"/>
          <w:rFonts w:ascii="Times New Roman" w:hAnsi="Times New Roman" w:cs="Times New Roman"/>
          <w:b w:val="0"/>
          <w:bCs/>
          <w:sz w:val="24"/>
          <w:szCs w:val="24"/>
        </w:rPr>
        <w:t>7</w:t>
      </w:r>
      <w:r w:rsidR="00AC0F52">
        <w:rPr>
          <w:rStyle w:val="aBold"/>
          <w:rFonts w:ascii="Times New Roman" w:hAnsi="Times New Roman" w:cs="Times New Roman"/>
          <w:b w:val="0"/>
          <w:bCs/>
          <w:sz w:val="24"/>
          <w:szCs w:val="24"/>
        </w:rPr>
        <w:t>% among eligible women</w:t>
      </w:r>
      <w:r w:rsidRPr="0014554B" w:rsidR="0014554B">
        <w:rPr>
          <w:rStyle w:val="aBold"/>
          <w:rFonts w:ascii="Times New Roman" w:hAnsi="Times New Roman" w:cs="Times New Roman"/>
          <w:b w:val="0"/>
          <w:bCs/>
          <w:sz w:val="24"/>
          <w:szCs w:val="24"/>
        </w:rPr>
        <w:t xml:space="preserve">, we would need </w:t>
      </w:r>
      <w:r w:rsidR="009C0C0B">
        <w:rPr>
          <w:rStyle w:val="aBold"/>
          <w:rFonts w:ascii="Times New Roman" w:hAnsi="Times New Roman" w:cs="Times New Roman"/>
          <w:b w:val="0"/>
          <w:bCs/>
          <w:sz w:val="24"/>
          <w:szCs w:val="24"/>
        </w:rPr>
        <w:t xml:space="preserve">to </w:t>
      </w:r>
      <w:r w:rsidRPr="0014554B" w:rsidR="0014554B">
        <w:rPr>
          <w:rStyle w:val="aBold"/>
          <w:rFonts w:ascii="Times New Roman" w:hAnsi="Times New Roman" w:cs="Times New Roman"/>
          <w:b w:val="0"/>
          <w:bCs/>
          <w:sz w:val="24"/>
          <w:szCs w:val="24"/>
        </w:rPr>
        <w:t xml:space="preserve">increase the number of women screened from </w:t>
      </w:r>
      <w:r w:rsidR="006A4655">
        <w:rPr>
          <w:rStyle w:val="aBold"/>
          <w:rFonts w:ascii="Times New Roman" w:hAnsi="Times New Roman" w:cs="Times New Roman"/>
          <w:b w:val="0"/>
          <w:bCs/>
          <w:sz w:val="24"/>
          <w:szCs w:val="24"/>
        </w:rPr>
        <w:t xml:space="preserve">2,000 to </w:t>
      </w:r>
      <w:r w:rsidRPr="0014554B" w:rsidR="0014554B">
        <w:rPr>
          <w:rStyle w:val="aBold"/>
          <w:rFonts w:ascii="Times New Roman" w:hAnsi="Times New Roman" w:cs="Times New Roman"/>
          <w:b w:val="0"/>
          <w:bCs/>
          <w:sz w:val="24"/>
          <w:szCs w:val="24"/>
        </w:rPr>
        <w:t>approximately 3,</w:t>
      </w:r>
      <w:r w:rsidR="001C197E">
        <w:rPr>
          <w:rStyle w:val="aBold"/>
          <w:rFonts w:ascii="Times New Roman" w:hAnsi="Times New Roman" w:cs="Times New Roman"/>
          <w:b w:val="0"/>
          <w:bCs/>
          <w:sz w:val="24"/>
          <w:szCs w:val="24"/>
        </w:rPr>
        <w:t>744</w:t>
      </w:r>
      <w:r w:rsidRPr="0014554B" w:rsidR="0014554B">
        <w:rPr>
          <w:rStyle w:val="aBold"/>
          <w:rFonts w:ascii="Times New Roman" w:hAnsi="Times New Roman" w:cs="Times New Roman"/>
          <w:b w:val="0"/>
          <w:bCs/>
          <w:sz w:val="24"/>
          <w:szCs w:val="24"/>
        </w:rPr>
        <w:t xml:space="preserve"> women. </w:t>
      </w:r>
    </w:p>
    <w:p w:rsidRPr="00454A45" w:rsidR="0014554B" w:rsidP="008934D0" w:rsidRDefault="0014554B" w14:paraId="779F197E" w14:textId="77777777">
      <w:pPr>
        <w:spacing w:after="0" w:line="240" w:lineRule="auto"/>
        <w:contextualSpacing/>
        <w:rPr>
          <w:rFonts w:ascii="Times New Roman" w:hAnsi="Times New Roman" w:cs="Times New Roman"/>
          <w:sz w:val="24"/>
          <w:szCs w:val="24"/>
        </w:rPr>
      </w:pPr>
    </w:p>
    <w:p w:rsidRPr="00454A45" w:rsidR="00456BA0" w:rsidP="00456BA0" w:rsidRDefault="00420346" w14:paraId="212196FF" w14:textId="2B04CDED">
      <w:pPr>
        <w:spacing w:after="0"/>
        <w:rPr>
          <w:rFonts w:ascii="Times New Roman" w:hAnsi="Times New Roman" w:cs="Times New Roman"/>
          <w:b/>
          <w:sz w:val="24"/>
          <w:szCs w:val="24"/>
        </w:rPr>
      </w:pPr>
      <w:r w:rsidRPr="00454A45">
        <w:rPr>
          <w:rFonts w:ascii="Times New Roman" w:hAnsi="Times New Roman" w:cs="Times New Roman"/>
          <w:sz w:val="24"/>
          <w:szCs w:val="24"/>
        </w:rPr>
        <w:lastRenderedPageBreak/>
        <w:t xml:space="preserve">Overall, we estimate an annualized </w:t>
      </w:r>
      <w:r w:rsidR="0014554B">
        <w:rPr>
          <w:rFonts w:ascii="Times New Roman" w:hAnsi="Times New Roman" w:cs="Times New Roman"/>
          <w:sz w:val="24"/>
          <w:szCs w:val="24"/>
        </w:rPr>
        <w:t>increase</w:t>
      </w:r>
      <w:r w:rsidRPr="00454A45">
        <w:rPr>
          <w:rFonts w:ascii="Times New Roman" w:hAnsi="Times New Roman" w:cs="Times New Roman"/>
          <w:sz w:val="24"/>
          <w:szCs w:val="24"/>
        </w:rPr>
        <w:t xml:space="preserve"> of </w:t>
      </w:r>
      <w:r w:rsidR="0014554B">
        <w:rPr>
          <w:rFonts w:ascii="Times New Roman" w:hAnsi="Times New Roman" w:cs="Times New Roman"/>
          <w:sz w:val="24"/>
          <w:szCs w:val="24"/>
        </w:rPr>
        <w:t>2</w:t>
      </w:r>
      <w:r w:rsidR="009C0C0B">
        <w:rPr>
          <w:rFonts w:ascii="Times New Roman" w:hAnsi="Times New Roman" w:cs="Times New Roman"/>
          <w:sz w:val="24"/>
          <w:szCs w:val="24"/>
        </w:rPr>
        <w:t>4</w:t>
      </w:r>
      <w:r w:rsidR="001C197E">
        <w:rPr>
          <w:rFonts w:ascii="Times New Roman" w:hAnsi="Times New Roman" w:cs="Times New Roman"/>
          <w:sz w:val="24"/>
          <w:szCs w:val="24"/>
        </w:rPr>
        <w:t>8</w:t>
      </w:r>
      <w:r w:rsidRPr="00454A45">
        <w:rPr>
          <w:rFonts w:ascii="Times New Roman" w:hAnsi="Times New Roman" w:cs="Times New Roman"/>
          <w:sz w:val="24"/>
          <w:szCs w:val="24"/>
        </w:rPr>
        <w:t xml:space="preserve"> burden hours</w:t>
      </w:r>
      <w:r w:rsidR="004C0503">
        <w:rPr>
          <w:rFonts w:ascii="Times New Roman" w:hAnsi="Times New Roman" w:cs="Times New Roman"/>
          <w:sz w:val="24"/>
          <w:szCs w:val="24"/>
        </w:rPr>
        <w:t xml:space="preserve"> </w:t>
      </w:r>
      <w:r w:rsidR="00966DAC">
        <w:rPr>
          <w:rFonts w:ascii="Times New Roman" w:hAnsi="Times New Roman" w:cs="Times New Roman"/>
          <w:sz w:val="24"/>
          <w:szCs w:val="24"/>
        </w:rPr>
        <w:t>(</w:t>
      </w:r>
      <w:r w:rsidR="004C0503">
        <w:rPr>
          <w:rFonts w:ascii="Times New Roman" w:hAnsi="Times New Roman" w:cs="Times New Roman"/>
          <w:sz w:val="24"/>
          <w:szCs w:val="24"/>
        </w:rPr>
        <w:t>from 356 to 60</w:t>
      </w:r>
      <w:r w:rsidR="001C197E">
        <w:rPr>
          <w:rFonts w:ascii="Times New Roman" w:hAnsi="Times New Roman" w:cs="Times New Roman"/>
          <w:sz w:val="24"/>
          <w:szCs w:val="24"/>
        </w:rPr>
        <w:t>4</w:t>
      </w:r>
      <w:r w:rsidR="004C0503">
        <w:rPr>
          <w:rFonts w:ascii="Times New Roman" w:hAnsi="Times New Roman" w:cs="Times New Roman"/>
          <w:sz w:val="24"/>
          <w:szCs w:val="24"/>
        </w:rPr>
        <w:t xml:space="preserve"> Total Annualized Burden Hours</w:t>
      </w:r>
      <w:r w:rsidR="00966DAC">
        <w:rPr>
          <w:rFonts w:ascii="Times New Roman" w:hAnsi="Times New Roman" w:cs="Times New Roman"/>
          <w:sz w:val="24"/>
          <w:szCs w:val="24"/>
        </w:rPr>
        <w:t>)</w:t>
      </w:r>
      <w:r w:rsidRPr="00454A45">
        <w:rPr>
          <w:rFonts w:ascii="Times New Roman" w:hAnsi="Times New Roman" w:cs="Times New Roman"/>
          <w:sz w:val="24"/>
          <w:szCs w:val="24"/>
        </w:rPr>
        <w:t xml:space="preserve">.  </w:t>
      </w:r>
      <w:r w:rsidRPr="00454A45" w:rsidR="00456BA0">
        <w:rPr>
          <w:rFonts w:ascii="Times New Roman" w:hAnsi="Times New Roman" w:cs="Times New Roman"/>
          <w:b/>
          <w:sz w:val="24"/>
          <w:szCs w:val="24"/>
        </w:rPr>
        <w:t>Estimated Annualized Burden Hours Before Proposed Changes</w:t>
      </w:r>
    </w:p>
    <w:p w:rsidR="00456BA0" w:rsidP="008934D0" w:rsidRDefault="00456BA0" w14:paraId="564DA850" w14:textId="5B877BF5">
      <w:pPr>
        <w:spacing w:after="0" w:line="240" w:lineRule="auto"/>
        <w:contextualSpacing/>
        <w:rPr>
          <w:rFonts w:ascii="Times New Roman" w:hAnsi="Times New Roman" w:cs="Times New Roman"/>
        </w:rPr>
      </w:pPr>
    </w:p>
    <w:tbl>
      <w:tblPr>
        <w:tblStyle w:val="aTable"/>
        <w:tblW w:w="5191" w:type="pct"/>
        <w:jc w:val="center"/>
        <w:tblLook w:val="00A0" w:firstRow="1" w:lastRow="0" w:firstColumn="1" w:lastColumn="0" w:noHBand="0" w:noVBand="0"/>
      </w:tblPr>
      <w:tblGrid>
        <w:gridCol w:w="1765"/>
        <w:gridCol w:w="1514"/>
        <w:gridCol w:w="1472"/>
        <w:gridCol w:w="1472"/>
        <w:gridCol w:w="1405"/>
        <w:gridCol w:w="1416"/>
        <w:gridCol w:w="1411"/>
      </w:tblGrid>
      <w:tr w:rsidR="00456BA0" w:rsidTr="00302EFF" w14:paraId="5DECC3AE" w14:textId="77777777">
        <w:trPr>
          <w:cnfStyle w:val="100000000000" w:firstRow="1" w:lastRow="0" w:firstColumn="0" w:lastColumn="0" w:oddVBand="0" w:evenVBand="0" w:oddHBand="0" w:evenHBand="0" w:firstRowFirstColumn="0" w:firstRowLastColumn="0" w:lastRowFirstColumn="0" w:lastRowLastColumn="0"/>
          <w:jc w:val="center"/>
        </w:trPr>
        <w:tc>
          <w:tcPr>
            <w:tcW w:w="844" w:type="pct"/>
            <w:hideMark/>
          </w:tcPr>
          <w:p w:rsidR="00456BA0" w:rsidP="00302EFF" w:rsidRDefault="00456BA0" w14:paraId="38302388" w14:textId="77777777">
            <w:pPr>
              <w:pStyle w:val="aTableHeaderC"/>
              <w:spacing w:before="0" w:after="0"/>
            </w:pPr>
            <w:r>
              <w:t>Type of Respondent</w:t>
            </w:r>
          </w:p>
        </w:tc>
        <w:tc>
          <w:tcPr>
            <w:tcW w:w="724" w:type="pct"/>
            <w:hideMark/>
          </w:tcPr>
          <w:p w:rsidR="00456BA0" w:rsidP="00302EFF" w:rsidRDefault="00456BA0" w14:paraId="29CFDE64" w14:textId="77777777">
            <w:pPr>
              <w:pStyle w:val="aTableHeaderC"/>
              <w:spacing w:before="0" w:after="0"/>
            </w:pPr>
            <w:r>
              <w:t>Form Name</w:t>
            </w:r>
          </w:p>
        </w:tc>
        <w:tc>
          <w:tcPr>
            <w:tcW w:w="704" w:type="pct"/>
            <w:hideMark/>
          </w:tcPr>
          <w:p w:rsidR="00456BA0" w:rsidP="00302EFF" w:rsidRDefault="00456BA0" w14:paraId="26936ED5" w14:textId="77777777">
            <w:pPr>
              <w:pStyle w:val="aTableHeaderC"/>
              <w:spacing w:before="0" w:after="0"/>
            </w:pPr>
            <w:r>
              <w:t>Total No. of Respondents</w:t>
            </w:r>
          </w:p>
        </w:tc>
        <w:tc>
          <w:tcPr>
            <w:tcW w:w="704" w:type="pct"/>
            <w:hideMark/>
          </w:tcPr>
          <w:p w:rsidR="00456BA0" w:rsidP="00302EFF" w:rsidRDefault="00456BA0" w14:paraId="010FA651" w14:textId="77777777">
            <w:pPr>
              <w:pStyle w:val="aTableHeaderC"/>
              <w:spacing w:before="0" w:after="0"/>
            </w:pPr>
            <w:r>
              <w:t>Annualized number of Respondents</w:t>
            </w:r>
          </w:p>
        </w:tc>
        <w:tc>
          <w:tcPr>
            <w:tcW w:w="672" w:type="pct"/>
          </w:tcPr>
          <w:p w:rsidR="00456BA0" w:rsidP="00302EFF" w:rsidRDefault="00456BA0" w14:paraId="506C2919" w14:textId="77777777">
            <w:pPr>
              <w:pStyle w:val="aTableHeaderC"/>
              <w:spacing w:before="0" w:after="0"/>
            </w:pPr>
            <w:r>
              <w:t>No. of Responses Per Respondent</w:t>
            </w:r>
          </w:p>
        </w:tc>
        <w:tc>
          <w:tcPr>
            <w:tcW w:w="677" w:type="pct"/>
            <w:hideMark/>
          </w:tcPr>
          <w:p w:rsidR="00456BA0" w:rsidP="00302EFF" w:rsidRDefault="00456BA0" w14:paraId="60717C59" w14:textId="77777777">
            <w:pPr>
              <w:pStyle w:val="aTableHeaderC"/>
              <w:spacing w:before="0" w:after="0"/>
            </w:pPr>
            <w:r>
              <w:t xml:space="preserve">Average Burden Per Response (in Hours) </w:t>
            </w:r>
          </w:p>
        </w:tc>
        <w:tc>
          <w:tcPr>
            <w:tcW w:w="675" w:type="pct"/>
            <w:hideMark/>
          </w:tcPr>
          <w:p w:rsidR="00456BA0" w:rsidP="00302EFF" w:rsidRDefault="00456BA0" w14:paraId="7CBC4695" w14:textId="77777777">
            <w:pPr>
              <w:pStyle w:val="aTableHeaderC"/>
              <w:spacing w:before="0" w:after="0"/>
            </w:pPr>
            <w:r>
              <w:t>Total Annualized Burden Hours</w:t>
            </w:r>
          </w:p>
        </w:tc>
      </w:tr>
      <w:tr w:rsidR="00456BA0" w:rsidTr="00302EFF" w14:paraId="14EF7356" w14:textId="77777777">
        <w:trPr>
          <w:cnfStyle w:val="000000100000" w:firstRow="0" w:lastRow="0" w:firstColumn="0" w:lastColumn="0" w:oddVBand="0" w:evenVBand="0" w:oddHBand="1" w:evenHBand="0" w:firstRowFirstColumn="0" w:firstRowLastColumn="0" w:lastRowFirstColumn="0" w:lastRowLastColumn="0"/>
          <w:jc w:val="center"/>
        </w:trPr>
        <w:tc>
          <w:tcPr>
            <w:tcW w:w="844" w:type="pct"/>
            <w:vAlign w:val="center"/>
          </w:tcPr>
          <w:p w:rsidR="00456BA0" w:rsidP="00302EFF" w:rsidRDefault="00456BA0" w14:paraId="5F1BC64C" w14:textId="77777777">
            <w:pPr>
              <w:pStyle w:val="aTableBodyLeft"/>
              <w:spacing w:before="0" w:after="0"/>
            </w:pPr>
            <w:r>
              <w:t>Women age 18 to 49 who were born in, or whose mother was born in, an FGM/C practicing country</w:t>
            </w:r>
          </w:p>
        </w:tc>
        <w:tc>
          <w:tcPr>
            <w:tcW w:w="724" w:type="pct"/>
            <w:vAlign w:val="center"/>
          </w:tcPr>
          <w:p w:rsidR="00456BA0" w:rsidP="00302EFF" w:rsidRDefault="00456BA0" w14:paraId="47933484" w14:textId="77777777">
            <w:pPr>
              <w:pStyle w:val="aTableBodyLeft"/>
              <w:spacing w:before="0" w:after="0"/>
            </w:pPr>
            <w:r>
              <w:t>WHNS  Eligibility Screener*</w:t>
            </w:r>
          </w:p>
        </w:tc>
        <w:tc>
          <w:tcPr>
            <w:tcW w:w="704" w:type="pct"/>
            <w:vAlign w:val="center"/>
          </w:tcPr>
          <w:p w:rsidR="00456BA0" w:rsidP="00302EFF" w:rsidRDefault="00456BA0" w14:paraId="75527CCC" w14:textId="4A532B91">
            <w:pPr>
              <w:pStyle w:val="aTableBodyLeft"/>
              <w:spacing w:before="0" w:after="0"/>
              <w:jc w:val="center"/>
            </w:pPr>
            <w:r>
              <w:t>2,000</w:t>
            </w:r>
          </w:p>
        </w:tc>
        <w:tc>
          <w:tcPr>
            <w:tcW w:w="704" w:type="pct"/>
            <w:vAlign w:val="center"/>
          </w:tcPr>
          <w:p w:rsidR="00456BA0" w:rsidP="00302EFF" w:rsidRDefault="006A4655" w14:paraId="788A9DEF" w14:textId="6F78C6F8">
            <w:pPr>
              <w:pStyle w:val="aTableBodyLeft"/>
              <w:spacing w:before="0" w:after="0"/>
              <w:jc w:val="center"/>
            </w:pPr>
            <w:r>
              <w:t>6</w:t>
            </w:r>
            <w:r w:rsidR="00456BA0">
              <w:t>67</w:t>
            </w:r>
          </w:p>
        </w:tc>
        <w:tc>
          <w:tcPr>
            <w:tcW w:w="672" w:type="pct"/>
            <w:vAlign w:val="center"/>
          </w:tcPr>
          <w:p w:rsidR="00456BA0" w:rsidP="00302EFF" w:rsidRDefault="00456BA0" w14:paraId="78D9D587" w14:textId="77777777">
            <w:pPr>
              <w:pStyle w:val="aTableBodyLeft"/>
              <w:spacing w:before="0" w:after="0"/>
              <w:jc w:val="center"/>
            </w:pPr>
            <w:r>
              <w:t>1</w:t>
            </w:r>
          </w:p>
        </w:tc>
        <w:tc>
          <w:tcPr>
            <w:tcW w:w="677" w:type="pct"/>
            <w:vAlign w:val="center"/>
          </w:tcPr>
          <w:p w:rsidR="00456BA0" w:rsidP="00302EFF" w:rsidRDefault="00456BA0" w14:paraId="57E1980C" w14:textId="77777777">
            <w:pPr>
              <w:pStyle w:val="aTableBodyLeft"/>
              <w:spacing w:before="0" w:after="0"/>
              <w:jc w:val="center"/>
            </w:pPr>
            <w:r>
              <w:t>5/60</w:t>
            </w:r>
          </w:p>
        </w:tc>
        <w:tc>
          <w:tcPr>
            <w:tcW w:w="675" w:type="pct"/>
            <w:vAlign w:val="center"/>
          </w:tcPr>
          <w:p w:rsidR="00456BA0" w:rsidP="00302EFF" w:rsidRDefault="006A4655" w14:paraId="0492F5E1" w14:textId="165C4A07">
            <w:pPr>
              <w:pStyle w:val="aTableBodyLeft"/>
              <w:spacing w:before="0" w:after="0"/>
              <w:jc w:val="center"/>
            </w:pPr>
            <w:r>
              <w:t>5</w:t>
            </w:r>
            <w:r w:rsidR="00456BA0">
              <w:t>6</w:t>
            </w:r>
          </w:p>
        </w:tc>
      </w:tr>
      <w:tr w:rsidR="00456BA0" w:rsidTr="00302EFF" w14:paraId="6E8481E1" w14:textId="77777777">
        <w:trPr>
          <w:cnfStyle w:val="000000010000" w:firstRow="0" w:lastRow="0" w:firstColumn="0" w:lastColumn="0" w:oddVBand="0" w:evenVBand="0" w:oddHBand="0" w:evenHBand="1" w:firstRowFirstColumn="0" w:firstRowLastColumn="0" w:lastRowFirstColumn="0" w:lastRowLastColumn="0"/>
          <w:jc w:val="center"/>
        </w:trPr>
        <w:tc>
          <w:tcPr>
            <w:tcW w:w="844" w:type="pct"/>
            <w:vAlign w:val="center"/>
          </w:tcPr>
          <w:p w:rsidR="00456BA0" w:rsidP="00302EFF" w:rsidRDefault="00456BA0" w14:paraId="41285F5E" w14:textId="77777777">
            <w:pPr>
              <w:pStyle w:val="aTableBodyLeft"/>
              <w:spacing w:before="0" w:after="0"/>
            </w:pPr>
            <w:r>
              <w:t xml:space="preserve">Women age 18-49 who were born in, or whose mother was born in, an FGM/C practicing country </w:t>
            </w:r>
          </w:p>
        </w:tc>
        <w:tc>
          <w:tcPr>
            <w:tcW w:w="724" w:type="pct"/>
            <w:vAlign w:val="center"/>
          </w:tcPr>
          <w:p w:rsidR="00456BA0" w:rsidP="00302EFF" w:rsidRDefault="00456BA0" w14:paraId="44DF6AAC" w14:textId="77777777">
            <w:pPr>
              <w:pStyle w:val="aTableBodyLeft"/>
              <w:spacing w:before="0" w:after="0"/>
            </w:pPr>
            <w:r>
              <w:t>WHNS Questionnaire</w:t>
            </w:r>
          </w:p>
        </w:tc>
        <w:tc>
          <w:tcPr>
            <w:tcW w:w="704" w:type="pct"/>
            <w:vAlign w:val="center"/>
          </w:tcPr>
          <w:p w:rsidR="00456BA0" w:rsidP="00302EFF" w:rsidRDefault="00456BA0" w14:paraId="4A0C13F0" w14:textId="66D0DF5E">
            <w:pPr>
              <w:pStyle w:val="aTableBodyLeft"/>
              <w:spacing w:before="0" w:after="0"/>
              <w:jc w:val="center"/>
            </w:pPr>
            <w:r>
              <w:t>1,200</w:t>
            </w:r>
          </w:p>
        </w:tc>
        <w:tc>
          <w:tcPr>
            <w:tcW w:w="704" w:type="pct"/>
            <w:vAlign w:val="center"/>
          </w:tcPr>
          <w:p w:rsidR="00456BA0" w:rsidP="00302EFF" w:rsidRDefault="006A4655" w14:paraId="4C65B4A8" w14:textId="1AEC4144">
            <w:pPr>
              <w:pStyle w:val="aTableBodyLeft"/>
              <w:spacing w:before="0" w:after="0"/>
              <w:jc w:val="center"/>
            </w:pPr>
            <w:r>
              <w:t>4</w:t>
            </w:r>
            <w:r w:rsidR="00456BA0">
              <w:t>00</w:t>
            </w:r>
          </w:p>
        </w:tc>
        <w:tc>
          <w:tcPr>
            <w:tcW w:w="672" w:type="pct"/>
            <w:vAlign w:val="center"/>
          </w:tcPr>
          <w:p w:rsidR="00456BA0" w:rsidP="00302EFF" w:rsidRDefault="00456BA0" w14:paraId="74D05C08" w14:textId="77777777">
            <w:pPr>
              <w:pStyle w:val="aTableBodyLeft"/>
              <w:spacing w:before="0" w:after="0"/>
              <w:jc w:val="center"/>
            </w:pPr>
            <w:r>
              <w:t>1</w:t>
            </w:r>
          </w:p>
        </w:tc>
        <w:tc>
          <w:tcPr>
            <w:tcW w:w="677" w:type="pct"/>
            <w:vAlign w:val="center"/>
          </w:tcPr>
          <w:p w:rsidR="00456BA0" w:rsidP="00302EFF" w:rsidRDefault="00456BA0" w14:paraId="78679849" w14:textId="77777777">
            <w:pPr>
              <w:pStyle w:val="aTableBodyLeft"/>
              <w:spacing w:before="0" w:after="0"/>
              <w:jc w:val="center"/>
            </w:pPr>
            <w:r>
              <w:t>45/60</w:t>
            </w:r>
          </w:p>
        </w:tc>
        <w:tc>
          <w:tcPr>
            <w:tcW w:w="675" w:type="pct"/>
            <w:vAlign w:val="center"/>
          </w:tcPr>
          <w:p w:rsidR="00456BA0" w:rsidP="00302EFF" w:rsidRDefault="006A4655" w14:paraId="394A329D" w14:textId="2D82DEAC">
            <w:pPr>
              <w:pStyle w:val="aTableBodyLeft"/>
              <w:spacing w:before="0" w:after="0"/>
              <w:jc w:val="center"/>
            </w:pPr>
            <w:r>
              <w:t>300</w:t>
            </w:r>
          </w:p>
        </w:tc>
      </w:tr>
      <w:tr w:rsidR="00456BA0" w:rsidTr="00302EFF" w14:paraId="060FC72F" w14:textId="77777777">
        <w:trPr>
          <w:cnfStyle w:val="000000100000" w:firstRow="0" w:lastRow="0" w:firstColumn="0" w:lastColumn="0" w:oddVBand="0" w:evenVBand="0" w:oddHBand="1" w:evenHBand="0" w:firstRowFirstColumn="0" w:firstRowLastColumn="0" w:lastRowFirstColumn="0" w:lastRowLastColumn="0"/>
          <w:jc w:val="center"/>
        </w:trPr>
        <w:tc>
          <w:tcPr>
            <w:tcW w:w="844" w:type="pct"/>
          </w:tcPr>
          <w:p w:rsidR="00456BA0" w:rsidP="00302EFF" w:rsidRDefault="00456BA0" w14:paraId="6C779490" w14:textId="77777777">
            <w:pPr>
              <w:pStyle w:val="aTableBodyLeft"/>
              <w:spacing w:before="0" w:after="0"/>
            </w:pPr>
            <w:r>
              <w:rPr>
                <w:b/>
              </w:rPr>
              <w:t>Total</w:t>
            </w:r>
          </w:p>
        </w:tc>
        <w:tc>
          <w:tcPr>
            <w:tcW w:w="724" w:type="pct"/>
          </w:tcPr>
          <w:p w:rsidR="00456BA0" w:rsidP="00302EFF" w:rsidRDefault="00456BA0" w14:paraId="428B5405" w14:textId="77777777">
            <w:pPr>
              <w:pStyle w:val="aTableBodyLeft"/>
              <w:spacing w:before="0" w:after="0"/>
            </w:pPr>
          </w:p>
        </w:tc>
        <w:tc>
          <w:tcPr>
            <w:tcW w:w="704" w:type="pct"/>
          </w:tcPr>
          <w:p w:rsidR="00456BA0" w:rsidP="00302EFF" w:rsidRDefault="00456BA0" w14:paraId="76231975" w14:textId="77777777">
            <w:pPr>
              <w:pStyle w:val="aTableBodyLeft"/>
              <w:spacing w:before="0" w:after="0"/>
            </w:pPr>
          </w:p>
        </w:tc>
        <w:tc>
          <w:tcPr>
            <w:tcW w:w="704" w:type="pct"/>
          </w:tcPr>
          <w:p w:rsidR="00456BA0" w:rsidP="00302EFF" w:rsidRDefault="00456BA0" w14:paraId="3B948EF2" w14:textId="77777777">
            <w:pPr>
              <w:pStyle w:val="aTableBodyLeft"/>
              <w:spacing w:before="0" w:after="0"/>
            </w:pPr>
          </w:p>
        </w:tc>
        <w:tc>
          <w:tcPr>
            <w:tcW w:w="672" w:type="pct"/>
          </w:tcPr>
          <w:p w:rsidR="00456BA0" w:rsidP="00302EFF" w:rsidRDefault="00456BA0" w14:paraId="4D3CB40D" w14:textId="77777777">
            <w:pPr>
              <w:pStyle w:val="aTableBodyLeft"/>
              <w:spacing w:before="0" w:after="0"/>
              <w:rPr>
                <w:b/>
              </w:rPr>
            </w:pPr>
          </w:p>
        </w:tc>
        <w:tc>
          <w:tcPr>
            <w:tcW w:w="677" w:type="pct"/>
          </w:tcPr>
          <w:p w:rsidR="00456BA0" w:rsidP="00302EFF" w:rsidRDefault="00456BA0" w14:paraId="2CD44445" w14:textId="77777777">
            <w:pPr>
              <w:pStyle w:val="aTableBodyLeft"/>
              <w:spacing w:before="0" w:after="0"/>
              <w:rPr>
                <w:b/>
              </w:rPr>
            </w:pPr>
          </w:p>
        </w:tc>
        <w:tc>
          <w:tcPr>
            <w:tcW w:w="675" w:type="pct"/>
          </w:tcPr>
          <w:p w:rsidR="00456BA0" w:rsidP="00302EFF" w:rsidRDefault="006A4655" w14:paraId="664BD3F8" w14:textId="1A60090A">
            <w:pPr>
              <w:pStyle w:val="aTableBodyLeft"/>
              <w:spacing w:before="0" w:after="0"/>
              <w:jc w:val="center"/>
              <w:rPr>
                <w:b/>
              </w:rPr>
            </w:pPr>
            <w:r>
              <w:rPr>
                <w:b/>
              </w:rPr>
              <w:t>356</w:t>
            </w:r>
          </w:p>
        </w:tc>
      </w:tr>
    </w:tbl>
    <w:p w:rsidR="00456BA0" w:rsidP="008934D0" w:rsidRDefault="00456BA0" w14:paraId="77AB3BA5" w14:textId="0D2621F5">
      <w:pPr>
        <w:spacing w:after="0" w:line="240" w:lineRule="auto"/>
        <w:contextualSpacing/>
        <w:rPr>
          <w:rFonts w:ascii="Times New Roman" w:hAnsi="Times New Roman" w:cs="Times New Roman"/>
        </w:rPr>
      </w:pPr>
    </w:p>
    <w:p w:rsidRPr="00305976" w:rsidR="00456BA0" w:rsidP="008934D0" w:rsidRDefault="0014554B" w14:paraId="0AF17ABD" w14:textId="08B2DD9E">
      <w:pPr>
        <w:spacing w:after="0" w:line="240" w:lineRule="auto"/>
        <w:contextualSpacing/>
        <w:rPr>
          <w:rFonts w:ascii="Times New Roman" w:hAnsi="Times New Roman" w:cs="Times New Roman"/>
        </w:rPr>
      </w:pPr>
      <w:r w:rsidRPr="00454A45">
        <w:rPr>
          <w:rFonts w:ascii="Times New Roman" w:hAnsi="Times New Roman" w:cs="Times New Roman"/>
          <w:bCs/>
          <w:szCs w:val="26"/>
          <w:lang w:eastAsia="x-none"/>
        </w:rPr>
        <w:t>*</w:t>
      </w:r>
      <w:r w:rsidRPr="00454A45">
        <w:rPr>
          <w:rFonts w:ascii="Times New Roman" w:hAnsi="Times New Roman" w:cs="Times New Roman"/>
          <w:bCs/>
          <w:szCs w:val="26"/>
          <w:lang w:val="x-none" w:eastAsia="x-none"/>
        </w:rPr>
        <w:t>Bu</w:t>
      </w:r>
      <w:r w:rsidRPr="00454A45">
        <w:rPr>
          <w:rFonts w:ascii="Times New Roman" w:hAnsi="Times New Roman" w:cs="Times New Roman"/>
          <w:bCs/>
          <w:szCs w:val="26"/>
          <w:lang w:eastAsia="x-none"/>
        </w:rPr>
        <w:t>rden hours calculated inclusion of informed consent process</w:t>
      </w:r>
      <w:r w:rsidR="00305976">
        <w:rPr>
          <w:rFonts w:ascii="Times New Roman" w:hAnsi="Times New Roman" w:cs="Times New Roman"/>
          <w:bCs/>
          <w:szCs w:val="26"/>
          <w:lang w:eastAsia="x-none"/>
        </w:rPr>
        <w:t>.</w:t>
      </w:r>
    </w:p>
    <w:p w:rsidR="00456BA0" w:rsidP="008934D0" w:rsidRDefault="00456BA0" w14:paraId="3A1CEB64" w14:textId="17321A85">
      <w:pPr>
        <w:spacing w:after="0" w:line="240" w:lineRule="auto"/>
        <w:contextualSpacing/>
        <w:rPr>
          <w:rFonts w:ascii="Times New Roman" w:hAnsi="Times New Roman" w:cs="Times New Roman"/>
        </w:rPr>
      </w:pPr>
    </w:p>
    <w:p w:rsidR="00C91F81" w:rsidP="00C91F81" w:rsidRDefault="00C91F81" w14:paraId="2CC98210" w14:textId="77777777">
      <w:pPr>
        <w:spacing w:after="0"/>
        <w:rPr>
          <w:rFonts w:ascii="Times New Roman" w:hAnsi="Times New Roman" w:cs="Times New Roman"/>
          <w:b/>
          <w:sz w:val="24"/>
          <w:szCs w:val="24"/>
        </w:rPr>
      </w:pPr>
    </w:p>
    <w:p w:rsidRPr="00890CE2" w:rsidR="00C91F81" w:rsidP="00C91F81" w:rsidRDefault="00C91F81" w14:paraId="68FE5F9A" w14:textId="76835235">
      <w:pPr>
        <w:spacing w:after="0"/>
        <w:rPr>
          <w:rFonts w:ascii="Times New Roman" w:hAnsi="Times New Roman" w:cs="Times New Roman"/>
          <w:b/>
          <w:sz w:val="24"/>
          <w:szCs w:val="24"/>
        </w:rPr>
      </w:pPr>
      <w:r w:rsidRPr="00890CE2">
        <w:rPr>
          <w:rFonts w:ascii="Times New Roman" w:hAnsi="Times New Roman" w:cs="Times New Roman"/>
          <w:b/>
          <w:sz w:val="24"/>
          <w:szCs w:val="24"/>
        </w:rPr>
        <w:t xml:space="preserve">Estimated Annualized Burden Hours </w:t>
      </w:r>
      <w:r>
        <w:rPr>
          <w:rFonts w:ascii="Times New Roman" w:hAnsi="Times New Roman" w:cs="Times New Roman"/>
          <w:b/>
          <w:sz w:val="24"/>
          <w:szCs w:val="24"/>
        </w:rPr>
        <w:t xml:space="preserve">After </w:t>
      </w:r>
      <w:r w:rsidRPr="00890CE2">
        <w:rPr>
          <w:rFonts w:ascii="Times New Roman" w:hAnsi="Times New Roman" w:cs="Times New Roman"/>
          <w:b/>
          <w:sz w:val="24"/>
          <w:szCs w:val="24"/>
        </w:rPr>
        <w:t>Proposed Changes</w:t>
      </w:r>
    </w:p>
    <w:p w:rsidR="003B7A19" w:rsidP="00265198" w:rsidRDefault="003B7A19" w14:paraId="773D6EFE" w14:textId="0AD7F133">
      <w:pPr>
        <w:spacing w:after="0" w:line="240" w:lineRule="auto"/>
        <w:contextualSpacing/>
        <w:rPr>
          <w:rFonts w:ascii="Times New Roman" w:hAnsi="Times New Roman" w:cs="Times New Roman"/>
          <w:sz w:val="24"/>
          <w:szCs w:val="24"/>
        </w:rPr>
      </w:pPr>
    </w:p>
    <w:tbl>
      <w:tblPr>
        <w:tblStyle w:val="aTable"/>
        <w:tblW w:w="5191" w:type="pct"/>
        <w:jc w:val="center"/>
        <w:tblLook w:val="00A0" w:firstRow="1" w:lastRow="0" w:firstColumn="1" w:lastColumn="0" w:noHBand="0" w:noVBand="0"/>
      </w:tblPr>
      <w:tblGrid>
        <w:gridCol w:w="1765"/>
        <w:gridCol w:w="1514"/>
        <w:gridCol w:w="1472"/>
        <w:gridCol w:w="1472"/>
        <w:gridCol w:w="1405"/>
        <w:gridCol w:w="1416"/>
        <w:gridCol w:w="1411"/>
      </w:tblGrid>
      <w:tr w:rsidR="008934D0" w:rsidTr="002A27CC" w14:paraId="77E35BFC" w14:textId="77777777">
        <w:trPr>
          <w:cnfStyle w:val="100000000000" w:firstRow="1" w:lastRow="0" w:firstColumn="0" w:lastColumn="0" w:oddVBand="0" w:evenVBand="0" w:oddHBand="0" w:evenHBand="0" w:firstRowFirstColumn="0" w:firstRowLastColumn="0" w:lastRowFirstColumn="0" w:lastRowLastColumn="0"/>
          <w:jc w:val="center"/>
        </w:trPr>
        <w:tc>
          <w:tcPr>
            <w:tcW w:w="844" w:type="pct"/>
            <w:hideMark/>
          </w:tcPr>
          <w:p w:rsidR="008934D0" w:rsidP="00302EFF" w:rsidRDefault="008934D0" w14:paraId="70D2CFDF" w14:textId="77777777">
            <w:pPr>
              <w:pStyle w:val="aTableHeaderC"/>
              <w:spacing w:before="0" w:after="0"/>
            </w:pPr>
            <w:r>
              <w:t>Type of Respondent</w:t>
            </w:r>
          </w:p>
        </w:tc>
        <w:tc>
          <w:tcPr>
            <w:tcW w:w="724" w:type="pct"/>
            <w:hideMark/>
          </w:tcPr>
          <w:p w:rsidR="008934D0" w:rsidP="00302EFF" w:rsidRDefault="008934D0" w14:paraId="627D9539" w14:textId="77777777">
            <w:pPr>
              <w:pStyle w:val="aTableHeaderC"/>
              <w:spacing w:before="0" w:after="0"/>
            </w:pPr>
            <w:r>
              <w:t>Form Name</w:t>
            </w:r>
          </w:p>
        </w:tc>
        <w:tc>
          <w:tcPr>
            <w:tcW w:w="704" w:type="pct"/>
            <w:hideMark/>
          </w:tcPr>
          <w:p w:rsidR="008934D0" w:rsidP="00302EFF" w:rsidRDefault="008934D0" w14:paraId="06D28540" w14:textId="77777777">
            <w:pPr>
              <w:pStyle w:val="aTableHeaderC"/>
              <w:spacing w:before="0" w:after="0"/>
            </w:pPr>
            <w:r>
              <w:t>Total No. of Respondents</w:t>
            </w:r>
          </w:p>
        </w:tc>
        <w:tc>
          <w:tcPr>
            <w:tcW w:w="704" w:type="pct"/>
            <w:hideMark/>
          </w:tcPr>
          <w:p w:rsidR="008934D0" w:rsidP="00302EFF" w:rsidRDefault="008934D0" w14:paraId="554E9E0C" w14:textId="77777777">
            <w:pPr>
              <w:pStyle w:val="aTableHeaderC"/>
              <w:spacing w:before="0" w:after="0"/>
            </w:pPr>
            <w:r>
              <w:t>Annualized number of Respondents</w:t>
            </w:r>
          </w:p>
        </w:tc>
        <w:tc>
          <w:tcPr>
            <w:tcW w:w="672" w:type="pct"/>
          </w:tcPr>
          <w:p w:rsidR="008934D0" w:rsidP="00302EFF" w:rsidRDefault="008934D0" w14:paraId="44121C3C" w14:textId="77777777">
            <w:pPr>
              <w:pStyle w:val="aTableHeaderC"/>
              <w:spacing w:before="0" w:after="0"/>
            </w:pPr>
            <w:r>
              <w:t>No. of Responses Per Respondent</w:t>
            </w:r>
          </w:p>
        </w:tc>
        <w:tc>
          <w:tcPr>
            <w:tcW w:w="677" w:type="pct"/>
            <w:hideMark/>
          </w:tcPr>
          <w:p w:rsidR="008934D0" w:rsidP="00302EFF" w:rsidRDefault="008934D0" w14:paraId="05D1F687" w14:textId="77777777">
            <w:pPr>
              <w:pStyle w:val="aTableHeaderC"/>
              <w:spacing w:before="0" w:after="0"/>
            </w:pPr>
            <w:r>
              <w:t xml:space="preserve">Average Burden Per Response (in Hours) </w:t>
            </w:r>
          </w:p>
        </w:tc>
        <w:tc>
          <w:tcPr>
            <w:tcW w:w="675" w:type="pct"/>
            <w:hideMark/>
          </w:tcPr>
          <w:p w:rsidR="008934D0" w:rsidP="00302EFF" w:rsidRDefault="008934D0" w14:paraId="62EB4C84" w14:textId="77777777">
            <w:pPr>
              <w:pStyle w:val="aTableHeaderC"/>
              <w:spacing w:before="0" w:after="0"/>
            </w:pPr>
            <w:r>
              <w:t>Total Annualized Burden Hours</w:t>
            </w:r>
          </w:p>
        </w:tc>
      </w:tr>
      <w:tr w:rsidR="008934D0" w:rsidTr="002A27CC" w14:paraId="528A3D8D" w14:textId="77777777">
        <w:trPr>
          <w:cnfStyle w:val="000000100000" w:firstRow="0" w:lastRow="0" w:firstColumn="0" w:lastColumn="0" w:oddVBand="0" w:evenVBand="0" w:oddHBand="1" w:evenHBand="0" w:firstRowFirstColumn="0" w:firstRowLastColumn="0" w:lastRowFirstColumn="0" w:lastRowLastColumn="0"/>
          <w:jc w:val="center"/>
        </w:trPr>
        <w:tc>
          <w:tcPr>
            <w:tcW w:w="844" w:type="pct"/>
            <w:vAlign w:val="center"/>
          </w:tcPr>
          <w:p w:rsidR="008934D0" w:rsidP="00302EFF" w:rsidRDefault="008934D0" w14:paraId="684CD24C" w14:textId="77777777">
            <w:pPr>
              <w:pStyle w:val="aTableBodyLeft"/>
              <w:spacing w:before="0" w:after="0"/>
            </w:pPr>
            <w:r>
              <w:t>Women age 18 to 49 who were born in, or whose mother was born in, an FGM/C practicing country</w:t>
            </w:r>
          </w:p>
        </w:tc>
        <w:tc>
          <w:tcPr>
            <w:tcW w:w="724" w:type="pct"/>
            <w:vAlign w:val="center"/>
          </w:tcPr>
          <w:p w:rsidR="008934D0" w:rsidP="00302EFF" w:rsidRDefault="008934D0" w14:paraId="662CA245" w14:textId="77777777">
            <w:pPr>
              <w:pStyle w:val="aTableBodyLeft"/>
              <w:spacing w:before="0" w:after="0"/>
            </w:pPr>
            <w:r>
              <w:t>WHNS  Eligibility Screener*</w:t>
            </w:r>
          </w:p>
        </w:tc>
        <w:tc>
          <w:tcPr>
            <w:tcW w:w="704" w:type="pct"/>
            <w:vAlign w:val="center"/>
          </w:tcPr>
          <w:p w:rsidR="008934D0" w:rsidP="00302EFF" w:rsidRDefault="008934D0" w14:paraId="595A2A26" w14:textId="195776F8">
            <w:pPr>
              <w:pStyle w:val="aTableBodyLeft"/>
              <w:spacing w:before="0" w:after="0"/>
              <w:jc w:val="center"/>
            </w:pPr>
            <w:r>
              <w:t>3,</w:t>
            </w:r>
            <w:r w:rsidR="009354E1">
              <w:t>744</w:t>
            </w:r>
          </w:p>
        </w:tc>
        <w:tc>
          <w:tcPr>
            <w:tcW w:w="704" w:type="pct"/>
            <w:vAlign w:val="center"/>
          </w:tcPr>
          <w:p w:rsidR="008934D0" w:rsidP="00302EFF" w:rsidRDefault="008934D0" w14:paraId="730FE205" w14:textId="682E1D98">
            <w:pPr>
              <w:pStyle w:val="aTableBodyLeft"/>
              <w:spacing w:before="0" w:after="0"/>
              <w:jc w:val="center"/>
            </w:pPr>
            <w:r>
              <w:t>1,</w:t>
            </w:r>
            <w:r w:rsidR="009C0C0B">
              <w:t>2</w:t>
            </w:r>
            <w:r w:rsidR="009354E1">
              <w:t>48</w:t>
            </w:r>
          </w:p>
        </w:tc>
        <w:tc>
          <w:tcPr>
            <w:tcW w:w="672" w:type="pct"/>
            <w:vAlign w:val="center"/>
          </w:tcPr>
          <w:p w:rsidR="008934D0" w:rsidP="00302EFF" w:rsidRDefault="008934D0" w14:paraId="435EE170" w14:textId="77777777">
            <w:pPr>
              <w:pStyle w:val="aTableBodyLeft"/>
              <w:spacing w:before="0" w:after="0"/>
              <w:jc w:val="center"/>
            </w:pPr>
            <w:r>
              <w:t>1</w:t>
            </w:r>
          </w:p>
        </w:tc>
        <w:tc>
          <w:tcPr>
            <w:tcW w:w="677" w:type="pct"/>
            <w:vAlign w:val="center"/>
          </w:tcPr>
          <w:p w:rsidR="008934D0" w:rsidP="00302EFF" w:rsidRDefault="008934D0" w14:paraId="29FB56D6" w14:textId="77777777">
            <w:pPr>
              <w:pStyle w:val="aTableBodyLeft"/>
              <w:spacing w:before="0" w:after="0"/>
              <w:jc w:val="center"/>
            </w:pPr>
            <w:r>
              <w:t>5/60</w:t>
            </w:r>
          </w:p>
        </w:tc>
        <w:tc>
          <w:tcPr>
            <w:tcW w:w="675" w:type="pct"/>
            <w:vAlign w:val="center"/>
          </w:tcPr>
          <w:p w:rsidR="008934D0" w:rsidP="00302EFF" w:rsidRDefault="009C0C0B" w14:paraId="2A3F1EB8" w14:textId="3F2D68F6">
            <w:pPr>
              <w:pStyle w:val="aTableBodyLeft"/>
              <w:spacing w:before="0" w:after="0"/>
              <w:jc w:val="center"/>
            </w:pPr>
            <w:r>
              <w:t>10</w:t>
            </w:r>
            <w:r w:rsidR="009354E1">
              <w:t>4</w:t>
            </w:r>
          </w:p>
        </w:tc>
      </w:tr>
      <w:tr w:rsidR="008934D0" w:rsidTr="002A27CC" w14:paraId="264E49A6" w14:textId="77777777">
        <w:trPr>
          <w:cnfStyle w:val="000000010000" w:firstRow="0" w:lastRow="0" w:firstColumn="0" w:lastColumn="0" w:oddVBand="0" w:evenVBand="0" w:oddHBand="0" w:evenHBand="1" w:firstRowFirstColumn="0" w:firstRowLastColumn="0" w:lastRowFirstColumn="0" w:lastRowLastColumn="0"/>
          <w:jc w:val="center"/>
        </w:trPr>
        <w:tc>
          <w:tcPr>
            <w:tcW w:w="844" w:type="pct"/>
            <w:vAlign w:val="center"/>
          </w:tcPr>
          <w:p w:rsidR="008934D0" w:rsidP="00302EFF" w:rsidRDefault="008934D0" w14:paraId="1C6839B8" w14:textId="77777777">
            <w:pPr>
              <w:pStyle w:val="aTableBodyLeft"/>
              <w:spacing w:before="0" w:after="0"/>
            </w:pPr>
            <w:r>
              <w:t xml:space="preserve">Women age 18-49 who were born in, or whose mother was born in, an FGM/C practicing country </w:t>
            </w:r>
          </w:p>
        </w:tc>
        <w:tc>
          <w:tcPr>
            <w:tcW w:w="724" w:type="pct"/>
            <w:vAlign w:val="center"/>
          </w:tcPr>
          <w:p w:rsidR="008934D0" w:rsidP="00302EFF" w:rsidRDefault="008934D0" w14:paraId="657B061B" w14:textId="77777777">
            <w:pPr>
              <w:pStyle w:val="aTableBodyLeft"/>
              <w:spacing w:before="0" w:after="0"/>
            </w:pPr>
            <w:r>
              <w:t>WHNS Questionnaire</w:t>
            </w:r>
          </w:p>
        </w:tc>
        <w:tc>
          <w:tcPr>
            <w:tcW w:w="704" w:type="pct"/>
            <w:vAlign w:val="center"/>
          </w:tcPr>
          <w:p w:rsidR="008934D0" w:rsidP="00302EFF" w:rsidRDefault="008934D0" w14:paraId="3BA637D7" w14:textId="7D2BE423">
            <w:pPr>
              <w:pStyle w:val="aTableBodyLeft"/>
              <w:spacing w:before="0" w:after="0"/>
              <w:jc w:val="center"/>
            </w:pPr>
            <w:r>
              <w:t>2,000</w:t>
            </w:r>
          </w:p>
        </w:tc>
        <w:tc>
          <w:tcPr>
            <w:tcW w:w="704" w:type="pct"/>
            <w:vAlign w:val="center"/>
          </w:tcPr>
          <w:p w:rsidR="008934D0" w:rsidP="00302EFF" w:rsidRDefault="008934D0" w14:paraId="72B8FA82" w14:textId="5E0D7D79">
            <w:pPr>
              <w:pStyle w:val="aTableBodyLeft"/>
              <w:spacing w:before="0" w:after="0"/>
              <w:jc w:val="center"/>
            </w:pPr>
            <w:r>
              <w:t>667</w:t>
            </w:r>
          </w:p>
        </w:tc>
        <w:tc>
          <w:tcPr>
            <w:tcW w:w="672" w:type="pct"/>
            <w:vAlign w:val="center"/>
          </w:tcPr>
          <w:p w:rsidR="008934D0" w:rsidP="00302EFF" w:rsidRDefault="008934D0" w14:paraId="3D6F5167" w14:textId="77777777">
            <w:pPr>
              <w:pStyle w:val="aTableBodyLeft"/>
              <w:spacing w:before="0" w:after="0"/>
              <w:jc w:val="center"/>
            </w:pPr>
            <w:r>
              <w:t>1</w:t>
            </w:r>
          </w:p>
        </w:tc>
        <w:tc>
          <w:tcPr>
            <w:tcW w:w="677" w:type="pct"/>
            <w:vAlign w:val="center"/>
          </w:tcPr>
          <w:p w:rsidR="008934D0" w:rsidP="00302EFF" w:rsidRDefault="008934D0" w14:paraId="72929FC7" w14:textId="77777777">
            <w:pPr>
              <w:pStyle w:val="aTableBodyLeft"/>
              <w:spacing w:before="0" w:after="0"/>
              <w:jc w:val="center"/>
            </w:pPr>
            <w:r>
              <w:t>45/60</w:t>
            </w:r>
          </w:p>
        </w:tc>
        <w:tc>
          <w:tcPr>
            <w:tcW w:w="675" w:type="pct"/>
            <w:vAlign w:val="center"/>
          </w:tcPr>
          <w:p w:rsidR="008934D0" w:rsidP="00302EFF" w:rsidRDefault="008934D0" w14:paraId="7E087A71" w14:textId="227A1629">
            <w:pPr>
              <w:pStyle w:val="aTableBodyLeft"/>
              <w:spacing w:before="0" w:after="0"/>
              <w:jc w:val="center"/>
            </w:pPr>
            <w:r>
              <w:t>500</w:t>
            </w:r>
          </w:p>
        </w:tc>
      </w:tr>
      <w:tr w:rsidR="008934D0" w:rsidTr="002A27CC" w14:paraId="0E9DDC96" w14:textId="77777777">
        <w:trPr>
          <w:cnfStyle w:val="000000100000" w:firstRow="0" w:lastRow="0" w:firstColumn="0" w:lastColumn="0" w:oddVBand="0" w:evenVBand="0" w:oddHBand="1" w:evenHBand="0" w:firstRowFirstColumn="0" w:firstRowLastColumn="0" w:lastRowFirstColumn="0" w:lastRowLastColumn="0"/>
          <w:jc w:val="center"/>
        </w:trPr>
        <w:tc>
          <w:tcPr>
            <w:tcW w:w="844" w:type="pct"/>
          </w:tcPr>
          <w:p w:rsidR="008934D0" w:rsidP="00302EFF" w:rsidRDefault="008934D0" w14:paraId="246C1DE1" w14:textId="77777777">
            <w:pPr>
              <w:pStyle w:val="aTableBodyLeft"/>
              <w:spacing w:before="0" w:after="0"/>
            </w:pPr>
            <w:r>
              <w:rPr>
                <w:b/>
              </w:rPr>
              <w:t>Total</w:t>
            </w:r>
          </w:p>
        </w:tc>
        <w:tc>
          <w:tcPr>
            <w:tcW w:w="724" w:type="pct"/>
          </w:tcPr>
          <w:p w:rsidR="008934D0" w:rsidP="00302EFF" w:rsidRDefault="008934D0" w14:paraId="62C2F988" w14:textId="77777777">
            <w:pPr>
              <w:pStyle w:val="aTableBodyLeft"/>
              <w:spacing w:before="0" w:after="0"/>
            </w:pPr>
          </w:p>
        </w:tc>
        <w:tc>
          <w:tcPr>
            <w:tcW w:w="704" w:type="pct"/>
          </w:tcPr>
          <w:p w:rsidR="008934D0" w:rsidP="00302EFF" w:rsidRDefault="008934D0" w14:paraId="6CEBCA78" w14:textId="77777777">
            <w:pPr>
              <w:pStyle w:val="aTableBodyLeft"/>
              <w:spacing w:before="0" w:after="0"/>
            </w:pPr>
          </w:p>
        </w:tc>
        <w:tc>
          <w:tcPr>
            <w:tcW w:w="704" w:type="pct"/>
          </w:tcPr>
          <w:p w:rsidR="008934D0" w:rsidP="00302EFF" w:rsidRDefault="008934D0" w14:paraId="2CC3454C" w14:textId="77777777">
            <w:pPr>
              <w:pStyle w:val="aTableBodyLeft"/>
              <w:spacing w:before="0" w:after="0"/>
            </w:pPr>
          </w:p>
        </w:tc>
        <w:tc>
          <w:tcPr>
            <w:tcW w:w="672" w:type="pct"/>
          </w:tcPr>
          <w:p w:rsidR="008934D0" w:rsidP="00302EFF" w:rsidRDefault="008934D0" w14:paraId="5A463712" w14:textId="77777777">
            <w:pPr>
              <w:pStyle w:val="aTableBodyLeft"/>
              <w:spacing w:before="0" w:after="0"/>
              <w:rPr>
                <w:b/>
              </w:rPr>
            </w:pPr>
          </w:p>
        </w:tc>
        <w:tc>
          <w:tcPr>
            <w:tcW w:w="677" w:type="pct"/>
          </w:tcPr>
          <w:p w:rsidR="008934D0" w:rsidP="00302EFF" w:rsidRDefault="008934D0" w14:paraId="52BB8BCC" w14:textId="77777777">
            <w:pPr>
              <w:pStyle w:val="aTableBodyLeft"/>
              <w:spacing w:before="0" w:after="0"/>
              <w:rPr>
                <w:b/>
              </w:rPr>
            </w:pPr>
          </w:p>
        </w:tc>
        <w:tc>
          <w:tcPr>
            <w:tcW w:w="675" w:type="pct"/>
          </w:tcPr>
          <w:p w:rsidR="008934D0" w:rsidP="00302EFF" w:rsidRDefault="009C0C0B" w14:paraId="7FEEFE47" w14:textId="158EE7FF">
            <w:pPr>
              <w:pStyle w:val="aTableBodyLeft"/>
              <w:spacing w:before="0" w:after="0"/>
              <w:jc w:val="center"/>
              <w:rPr>
                <w:b/>
              </w:rPr>
            </w:pPr>
            <w:r>
              <w:rPr>
                <w:b/>
              </w:rPr>
              <w:t>60</w:t>
            </w:r>
            <w:r w:rsidR="009354E1">
              <w:rPr>
                <w:b/>
              </w:rPr>
              <w:t>4</w:t>
            </w:r>
          </w:p>
        </w:tc>
      </w:tr>
    </w:tbl>
    <w:p w:rsidR="00B92894" w:rsidP="00B92894" w:rsidRDefault="002A27CC" w14:paraId="349ADFFD" w14:textId="45D43184">
      <w:pPr>
        <w:rPr>
          <w:rFonts w:ascii="Times New Roman" w:hAnsi="Times New Roman" w:cs="Times New Roman"/>
          <w:sz w:val="24"/>
          <w:szCs w:val="24"/>
        </w:rPr>
      </w:pPr>
      <w:r w:rsidRPr="00454A45">
        <w:rPr>
          <w:rFonts w:ascii="Times New Roman" w:hAnsi="Times New Roman" w:cs="Times New Roman"/>
          <w:bCs/>
          <w:szCs w:val="26"/>
          <w:lang w:val="x-none" w:eastAsia="x-none"/>
        </w:rPr>
        <w:t>*Bu</w:t>
      </w:r>
      <w:r w:rsidRPr="00454A45">
        <w:rPr>
          <w:rFonts w:ascii="Times New Roman" w:hAnsi="Times New Roman" w:cs="Times New Roman"/>
          <w:bCs/>
          <w:szCs w:val="26"/>
          <w:lang w:eastAsia="x-none"/>
        </w:rPr>
        <w:t>rden hours calculated inclusion of informed consent process</w:t>
      </w:r>
    </w:p>
    <w:p w:rsidR="008934D0" w:rsidP="00AD52D9" w:rsidRDefault="003C29F4" w14:paraId="684E844B" w14:textId="7AE4BFB1">
      <w:pPr>
        <w:rPr>
          <w:rFonts w:ascii="Times New Roman" w:hAnsi="Times New Roman" w:cs="Times New Roman"/>
          <w:sz w:val="24"/>
          <w:szCs w:val="24"/>
        </w:rPr>
      </w:pPr>
      <w:r w:rsidRPr="00451FF7">
        <w:rPr>
          <w:rFonts w:ascii="Times New Roman" w:hAnsi="Times New Roman" w:cs="Times New Roman"/>
          <w:sz w:val="24"/>
          <w:szCs w:val="24"/>
          <w:u w:val="single"/>
        </w:rPr>
        <w:lastRenderedPageBreak/>
        <w:t>COVID-19 Social Distancing Measures</w:t>
      </w:r>
      <w:r>
        <w:rPr>
          <w:rFonts w:ascii="Times New Roman" w:hAnsi="Times New Roman" w:cs="Times New Roman"/>
          <w:sz w:val="24"/>
          <w:szCs w:val="24"/>
        </w:rPr>
        <w:t xml:space="preserve">: </w:t>
      </w:r>
      <w:r w:rsidRPr="0014554B">
        <w:rPr>
          <w:rFonts w:ascii="Times New Roman" w:hAnsi="Times New Roman" w:cs="Times New Roman"/>
          <w:sz w:val="24"/>
          <w:szCs w:val="24"/>
        </w:rPr>
        <w:t xml:space="preserve">Changes in </w:t>
      </w:r>
      <w:r>
        <w:rPr>
          <w:rFonts w:ascii="Times New Roman" w:hAnsi="Times New Roman" w:cs="Times New Roman"/>
          <w:sz w:val="24"/>
          <w:szCs w:val="24"/>
        </w:rPr>
        <w:t xml:space="preserve">recruitment and interview procedures </w:t>
      </w:r>
      <w:r w:rsidRPr="0014554B">
        <w:rPr>
          <w:rFonts w:ascii="Times New Roman" w:hAnsi="Times New Roman" w:cs="Times New Roman"/>
          <w:sz w:val="24"/>
          <w:szCs w:val="24"/>
        </w:rPr>
        <w:t>will have no impact on study burden.</w:t>
      </w:r>
    </w:p>
    <w:p w:rsidRPr="004B6F57" w:rsidR="003B7A19" w:rsidP="00265198" w:rsidRDefault="009801CE" w14:paraId="194CECCC" w14:textId="6CF99A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003B7A19">
        <w:rPr>
          <w:rFonts w:ascii="Times New Roman" w:hAnsi="Times New Roman" w:cs="Times New Roman"/>
          <w:sz w:val="24"/>
          <w:szCs w:val="24"/>
        </w:rPr>
        <w:t>OMB approval is requested, effective immediately.</w:t>
      </w:r>
    </w:p>
    <w:sectPr w:rsidRPr="004B6F57" w:rsidR="003B7A19" w:rsidSect="00D2690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AF015" w14:textId="77777777" w:rsidR="005E56C1" w:rsidRDefault="005E56C1" w:rsidP="009E1F1E">
      <w:pPr>
        <w:spacing w:after="0" w:line="240" w:lineRule="auto"/>
      </w:pPr>
      <w:r>
        <w:separator/>
      </w:r>
    </w:p>
  </w:endnote>
  <w:endnote w:type="continuationSeparator" w:id="0">
    <w:p w14:paraId="3F798819" w14:textId="77777777" w:rsidR="005E56C1" w:rsidRDefault="005E56C1" w:rsidP="009E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552555"/>
      <w:docPartObj>
        <w:docPartGallery w:val="Page Numbers (Bottom of Page)"/>
        <w:docPartUnique/>
      </w:docPartObj>
    </w:sdtPr>
    <w:sdtEndPr>
      <w:rPr>
        <w:noProof/>
      </w:rPr>
    </w:sdtEndPr>
    <w:sdtContent>
      <w:p w14:paraId="502F46A8" w14:textId="5CCB47BC" w:rsidR="003D0EAF" w:rsidRDefault="003D0EAF">
        <w:pPr>
          <w:pStyle w:val="Footer"/>
          <w:jc w:val="right"/>
        </w:pPr>
        <w:r>
          <w:fldChar w:fldCharType="begin"/>
        </w:r>
        <w:r>
          <w:instrText xml:space="preserve"> PAGE   \* MERGEFORMAT </w:instrText>
        </w:r>
        <w:r>
          <w:fldChar w:fldCharType="separate"/>
        </w:r>
        <w:r w:rsidR="00B10059">
          <w:rPr>
            <w:noProof/>
          </w:rPr>
          <w:t>1</w:t>
        </w:r>
        <w:r>
          <w:rPr>
            <w:noProof/>
          </w:rPr>
          <w:fldChar w:fldCharType="end"/>
        </w:r>
      </w:p>
    </w:sdtContent>
  </w:sdt>
  <w:p w14:paraId="116D7BC3" w14:textId="77777777" w:rsidR="003D0EAF" w:rsidRDefault="003D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1B5B" w14:textId="77777777" w:rsidR="005E56C1" w:rsidRDefault="005E56C1" w:rsidP="009E1F1E">
      <w:pPr>
        <w:spacing w:after="0" w:line="240" w:lineRule="auto"/>
      </w:pPr>
      <w:r>
        <w:separator/>
      </w:r>
    </w:p>
  </w:footnote>
  <w:footnote w:type="continuationSeparator" w:id="0">
    <w:p w14:paraId="536C3462" w14:textId="77777777" w:rsidR="005E56C1" w:rsidRDefault="005E56C1" w:rsidP="009E1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4449"/>
    <w:multiLevelType w:val="hybridMultilevel"/>
    <w:tmpl w:val="B69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D7AAB"/>
    <w:multiLevelType w:val="hybridMultilevel"/>
    <w:tmpl w:val="AA9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072C40"/>
    <w:multiLevelType w:val="hybridMultilevel"/>
    <w:tmpl w:val="C7A0FD1C"/>
    <w:lvl w:ilvl="0" w:tplc="4684BD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3439B"/>
    <w:multiLevelType w:val="hybridMultilevel"/>
    <w:tmpl w:val="39E43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50EC1"/>
    <w:multiLevelType w:val="hybridMultilevel"/>
    <w:tmpl w:val="79AA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A785F"/>
    <w:multiLevelType w:val="hybridMultilevel"/>
    <w:tmpl w:val="3A16C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256CA"/>
    <w:multiLevelType w:val="hybridMultilevel"/>
    <w:tmpl w:val="F3FA8616"/>
    <w:lvl w:ilvl="0" w:tplc="7E807D46">
      <w:start w:val="1"/>
      <w:numFmt w:val="decimal"/>
      <w:pStyle w:val="Heading1"/>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15:restartNumberingAfterBreak="0">
    <w:nsid w:val="2E326F37"/>
    <w:multiLevelType w:val="hybridMultilevel"/>
    <w:tmpl w:val="EB244DD4"/>
    <w:lvl w:ilvl="0" w:tplc="3900117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53E5002"/>
    <w:multiLevelType w:val="hybridMultilevel"/>
    <w:tmpl w:val="965EFFC2"/>
    <w:lvl w:ilvl="0" w:tplc="13D2D44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24D70"/>
    <w:multiLevelType w:val="hybridMultilevel"/>
    <w:tmpl w:val="C1F20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A53EB"/>
    <w:multiLevelType w:val="hybridMultilevel"/>
    <w:tmpl w:val="59A81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C38D6"/>
    <w:multiLevelType w:val="hybridMultilevel"/>
    <w:tmpl w:val="6C8EFD70"/>
    <w:lvl w:ilvl="0" w:tplc="83609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121E0"/>
    <w:multiLevelType w:val="hybridMultilevel"/>
    <w:tmpl w:val="6CF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2"/>
  </w:num>
  <w:num w:numId="5">
    <w:abstractNumId w:val="1"/>
  </w:num>
  <w:num w:numId="6">
    <w:abstractNumId w:val="9"/>
  </w:num>
  <w:num w:numId="7">
    <w:abstractNumId w:val="11"/>
  </w:num>
  <w:num w:numId="8">
    <w:abstractNumId w:val="2"/>
  </w:num>
  <w:num w:numId="9">
    <w:abstractNumId w:val="8"/>
  </w:num>
  <w:num w:numId="10">
    <w:abstractNumId w:val="10"/>
  </w:num>
  <w:num w:numId="11">
    <w:abstractNumId w:val="3"/>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xrfav0mvsapdexepap9atd5ssvw5zddeaz&quot;&gt;OMB Package References Articles&lt;record-ids&gt;&lt;item&gt;12&lt;/item&gt;&lt;item&gt;13&lt;/item&gt;&lt;item&gt;14&lt;/item&gt;&lt;item&gt;15&lt;/item&gt;&lt;/record-ids&gt;&lt;/item&gt;&lt;/Libraries&gt;"/>
  </w:docVars>
  <w:rsids>
    <w:rsidRoot w:val="004B6F57"/>
    <w:rsid w:val="00000470"/>
    <w:rsid w:val="0000545C"/>
    <w:rsid w:val="00023CC4"/>
    <w:rsid w:val="00036C3F"/>
    <w:rsid w:val="00043433"/>
    <w:rsid w:val="0005000D"/>
    <w:rsid w:val="000515A8"/>
    <w:rsid w:val="0005447F"/>
    <w:rsid w:val="00055BB7"/>
    <w:rsid w:val="00071411"/>
    <w:rsid w:val="00081A87"/>
    <w:rsid w:val="00094655"/>
    <w:rsid w:val="000A0BD8"/>
    <w:rsid w:val="000A2FC6"/>
    <w:rsid w:val="000B7468"/>
    <w:rsid w:val="000C000E"/>
    <w:rsid w:val="000C3F2A"/>
    <w:rsid w:val="000C3FBC"/>
    <w:rsid w:val="000C44F5"/>
    <w:rsid w:val="000C4A3D"/>
    <w:rsid w:val="000C7686"/>
    <w:rsid w:val="000D09EF"/>
    <w:rsid w:val="000D2E1E"/>
    <w:rsid w:val="000D388E"/>
    <w:rsid w:val="000E3B8F"/>
    <w:rsid w:val="000E55F0"/>
    <w:rsid w:val="000F5AEB"/>
    <w:rsid w:val="000F6B26"/>
    <w:rsid w:val="000F7686"/>
    <w:rsid w:val="00100DDF"/>
    <w:rsid w:val="00101B5E"/>
    <w:rsid w:val="00106F5D"/>
    <w:rsid w:val="0011268F"/>
    <w:rsid w:val="0011654E"/>
    <w:rsid w:val="001320CA"/>
    <w:rsid w:val="001334D6"/>
    <w:rsid w:val="0014163D"/>
    <w:rsid w:val="00142820"/>
    <w:rsid w:val="0014554B"/>
    <w:rsid w:val="00147C31"/>
    <w:rsid w:val="00154A0D"/>
    <w:rsid w:val="00167F27"/>
    <w:rsid w:val="001727B4"/>
    <w:rsid w:val="0018517C"/>
    <w:rsid w:val="001875BD"/>
    <w:rsid w:val="001901D0"/>
    <w:rsid w:val="00190DEB"/>
    <w:rsid w:val="001947E0"/>
    <w:rsid w:val="001B32AA"/>
    <w:rsid w:val="001C0D65"/>
    <w:rsid w:val="001C197E"/>
    <w:rsid w:val="001C4D67"/>
    <w:rsid w:val="001C61F6"/>
    <w:rsid w:val="001D02EC"/>
    <w:rsid w:val="001D2E5B"/>
    <w:rsid w:val="001D416F"/>
    <w:rsid w:val="001E009E"/>
    <w:rsid w:val="001E3A2E"/>
    <w:rsid w:val="001E62B8"/>
    <w:rsid w:val="001F1AE2"/>
    <w:rsid w:val="001F2FFC"/>
    <w:rsid w:val="001F3201"/>
    <w:rsid w:val="001F4E55"/>
    <w:rsid w:val="00202AD2"/>
    <w:rsid w:val="002049A5"/>
    <w:rsid w:val="002076D7"/>
    <w:rsid w:val="00214425"/>
    <w:rsid w:val="002216CD"/>
    <w:rsid w:val="0022304D"/>
    <w:rsid w:val="00223D45"/>
    <w:rsid w:val="00224ED4"/>
    <w:rsid w:val="00235E6B"/>
    <w:rsid w:val="00254204"/>
    <w:rsid w:val="00257E93"/>
    <w:rsid w:val="00261A9E"/>
    <w:rsid w:val="00265198"/>
    <w:rsid w:val="00282360"/>
    <w:rsid w:val="00282F7D"/>
    <w:rsid w:val="002834A2"/>
    <w:rsid w:val="0029592C"/>
    <w:rsid w:val="002965AA"/>
    <w:rsid w:val="00296B10"/>
    <w:rsid w:val="002A27CC"/>
    <w:rsid w:val="002C62D8"/>
    <w:rsid w:val="002C7670"/>
    <w:rsid w:val="002D1661"/>
    <w:rsid w:val="002D3488"/>
    <w:rsid w:val="002D3AFD"/>
    <w:rsid w:val="002D40A6"/>
    <w:rsid w:val="002E09E9"/>
    <w:rsid w:val="002E2620"/>
    <w:rsid w:val="002F259F"/>
    <w:rsid w:val="002F5012"/>
    <w:rsid w:val="00301706"/>
    <w:rsid w:val="00301CD2"/>
    <w:rsid w:val="003029C1"/>
    <w:rsid w:val="00302EFF"/>
    <w:rsid w:val="0030322F"/>
    <w:rsid w:val="00305976"/>
    <w:rsid w:val="00311B2D"/>
    <w:rsid w:val="00312C8D"/>
    <w:rsid w:val="00313008"/>
    <w:rsid w:val="0031523D"/>
    <w:rsid w:val="00326740"/>
    <w:rsid w:val="00333D46"/>
    <w:rsid w:val="00333FD8"/>
    <w:rsid w:val="003433E2"/>
    <w:rsid w:val="0034792C"/>
    <w:rsid w:val="00354BBF"/>
    <w:rsid w:val="003552F3"/>
    <w:rsid w:val="003601F3"/>
    <w:rsid w:val="00361337"/>
    <w:rsid w:val="003624A0"/>
    <w:rsid w:val="00365CF1"/>
    <w:rsid w:val="00366019"/>
    <w:rsid w:val="00366307"/>
    <w:rsid w:val="0037217B"/>
    <w:rsid w:val="00372E08"/>
    <w:rsid w:val="003A2489"/>
    <w:rsid w:val="003A2903"/>
    <w:rsid w:val="003A354D"/>
    <w:rsid w:val="003A3784"/>
    <w:rsid w:val="003A4757"/>
    <w:rsid w:val="003A6C34"/>
    <w:rsid w:val="003B657C"/>
    <w:rsid w:val="003B7564"/>
    <w:rsid w:val="003B7A19"/>
    <w:rsid w:val="003C0994"/>
    <w:rsid w:val="003C1253"/>
    <w:rsid w:val="003C29F4"/>
    <w:rsid w:val="003D0EAF"/>
    <w:rsid w:val="003D1C19"/>
    <w:rsid w:val="003E0E4B"/>
    <w:rsid w:val="003F0799"/>
    <w:rsid w:val="003F2208"/>
    <w:rsid w:val="003F4B62"/>
    <w:rsid w:val="003F5004"/>
    <w:rsid w:val="003F7368"/>
    <w:rsid w:val="00400210"/>
    <w:rsid w:val="00407A71"/>
    <w:rsid w:val="00416425"/>
    <w:rsid w:val="00420346"/>
    <w:rsid w:val="00425A4B"/>
    <w:rsid w:val="00432075"/>
    <w:rsid w:val="004349F0"/>
    <w:rsid w:val="00437781"/>
    <w:rsid w:val="004458F8"/>
    <w:rsid w:val="0044784B"/>
    <w:rsid w:val="00451FF7"/>
    <w:rsid w:val="00454A45"/>
    <w:rsid w:val="00456BA0"/>
    <w:rsid w:val="0046071B"/>
    <w:rsid w:val="00463C03"/>
    <w:rsid w:val="0046670D"/>
    <w:rsid w:val="0046717A"/>
    <w:rsid w:val="00470B17"/>
    <w:rsid w:val="004861DF"/>
    <w:rsid w:val="004A05F2"/>
    <w:rsid w:val="004A23DC"/>
    <w:rsid w:val="004A7FA6"/>
    <w:rsid w:val="004B30D7"/>
    <w:rsid w:val="004B6F57"/>
    <w:rsid w:val="004C0503"/>
    <w:rsid w:val="004C54F7"/>
    <w:rsid w:val="004D1D01"/>
    <w:rsid w:val="004E6ACC"/>
    <w:rsid w:val="004F2251"/>
    <w:rsid w:val="004F627F"/>
    <w:rsid w:val="004F63A4"/>
    <w:rsid w:val="004F76B7"/>
    <w:rsid w:val="00507BBC"/>
    <w:rsid w:val="00515151"/>
    <w:rsid w:val="00520595"/>
    <w:rsid w:val="00531BFA"/>
    <w:rsid w:val="00532C94"/>
    <w:rsid w:val="0054100F"/>
    <w:rsid w:val="0054566F"/>
    <w:rsid w:val="0055011E"/>
    <w:rsid w:val="00562069"/>
    <w:rsid w:val="00563C82"/>
    <w:rsid w:val="00576CCE"/>
    <w:rsid w:val="00580B66"/>
    <w:rsid w:val="00583548"/>
    <w:rsid w:val="00587A7A"/>
    <w:rsid w:val="00594EE1"/>
    <w:rsid w:val="005958AE"/>
    <w:rsid w:val="00595934"/>
    <w:rsid w:val="005B4726"/>
    <w:rsid w:val="005C205C"/>
    <w:rsid w:val="005C64A1"/>
    <w:rsid w:val="005C7C75"/>
    <w:rsid w:val="005D627F"/>
    <w:rsid w:val="005D679D"/>
    <w:rsid w:val="005E56C1"/>
    <w:rsid w:val="005F7551"/>
    <w:rsid w:val="006030EE"/>
    <w:rsid w:val="00603F26"/>
    <w:rsid w:val="00605E44"/>
    <w:rsid w:val="0061532D"/>
    <w:rsid w:val="00615467"/>
    <w:rsid w:val="00630F4F"/>
    <w:rsid w:val="00633854"/>
    <w:rsid w:val="0064054D"/>
    <w:rsid w:val="006500FE"/>
    <w:rsid w:val="00650B12"/>
    <w:rsid w:val="00657B9E"/>
    <w:rsid w:val="00657D08"/>
    <w:rsid w:val="00660EBF"/>
    <w:rsid w:val="00664A8C"/>
    <w:rsid w:val="0067049F"/>
    <w:rsid w:val="006A073C"/>
    <w:rsid w:val="006A3A95"/>
    <w:rsid w:val="006A4655"/>
    <w:rsid w:val="006A4720"/>
    <w:rsid w:val="006B1E9A"/>
    <w:rsid w:val="006B312B"/>
    <w:rsid w:val="006C49D2"/>
    <w:rsid w:val="006C4BB3"/>
    <w:rsid w:val="006C5C1C"/>
    <w:rsid w:val="006D148B"/>
    <w:rsid w:val="006D38E3"/>
    <w:rsid w:val="006D3F60"/>
    <w:rsid w:val="006D482F"/>
    <w:rsid w:val="006F4FCF"/>
    <w:rsid w:val="006F5038"/>
    <w:rsid w:val="006F5770"/>
    <w:rsid w:val="007001BC"/>
    <w:rsid w:val="00700B8C"/>
    <w:rsid w:val="0070709E"/>
    <w:rsid w:val="007124C5"/>
    <w:rsid w:val="0071400A"/>
    <w:rsid w:val="00715DE8"/>
    <w:rsid w:val="00716093"/>
    <w:rsid w:val="007341E6"/>
    <w:rsid w:val="007354C5"/>
    <w:rsid w:val="00735E95"/>
    <w:rsid w:val="007379FA"/>
    <w:rsid w:val="007423BD"/>
    <w:rsid w:val="0074323F"/>
    <w:rsid w:val="00746415"/>
    <w:rsid w:val="00746A1D"/>
    <w:rsid w:val="0074724E"/>
    <w:rsid w:val="0075011A"/>
    <w:rsid w:val="0075152B"/>
    <w:rsid w:val="00752F9B"/>
    <w:rsid w:val="007530EF"/>
    <w:rsid w:val="00772AC0"/>
    <w:rsid w:val="00777BE3"/>
    <w:rsid w:val="00794CF7"/>
    <w:rsid w:val="007965AE"/>
    <w:rsid w:val="007A2CB5"/>
    <w:rsid w:val="007C2E22"/>
    <w:rsid w:val="007C3574"/>
    <w:rsid w:val="007C478D"/>
    <w:rsid w:val="007C55D8"/>
    <w:rsid w:val="007D015C"/>
    <w:rsid w:val="007D3647"/>
    <w:rsid w:val="007D3885"/>
    <w:rsid w:val="007D5826"/>
    <w:rsid w:val="007F01B4"/>
    <w:rsid w:val="00804A53"/>
    <w:rsid w:val="008070B4"/>
    <w:rsid w:val="008153C2"/>
    <w:rsid w:val="00817C1A"/>
    <w:rsid w:val="00830E54"/>
    <w:rsid w:val="00834002"/>
    <w:rsid w:val="008352D0"/>
    <w:rsid w:val="00841F7E"/>
    <w:rsid w:val="00847353"/>
    <w:rsid w:val="0085222D"/>
    <w:rsid w:val="008550D3"/>
    <w:rsid w:val="0085687F"/>
    <w:rsid w:val="00857688"/>
    <w:rsid w:val="00861CF1"/>
    <w:rsid w:val="00875735"/>
    <w:rsid w:val="008759E3"/>
    <w:rsid w:val="008819C3"/>
    <w:rsid w:val="00881EFA"/>
    <w:rsid w:val="00885045"/>
    <w:rsid w:val="008860D1"/>
    <w:rsid w:val="00887D3B"/>
    <w:rsid w:val="008934D0"/>
    <w:rsid w:val="00894271"/>
    <w:rsid w:val="00894EF6"/>
    <w:rsid w:val="00895C5D"/>
    <w:rsid w:val="008A2BCB"/>
    <w:rsid w:val="008A4B46"/>
    <w:rsid w:val="008B0BAC"/>
    <w:rsid w:val="008C4261"/>
    <w:rsid w:val="008C6029"/>
    <w:rsid w:val="008D0751"/>
    <w:rsid w:val="008E2A4B"/>
    <w:rsid w:val="008F3491"/>
    <w:rsid w:val="008F4B00"/>
    <w:rsid w:val="00900275"/>
    <w:rsid w:val="009169DA"/>
    <w:rsid w:val="00925A68"/>
    <w:rsid w:val="009354E1"/>
    <w:rsid w:val="00941A72"/>
    <w:rsid w:val="00943FCB"/>
    <w:rsid w:val="009450D1"/>
    <w:rsid w:val="0094628C"/>
    <w:rsid w:val="009508B3"/>
    <w:rsid w:val="00952A19"/>
    <w:rsid w:val="00952E52"/>
    <w:rsid w:val="00956CD1"/>
    <w:rsid w:val="00965BAE"/>
    <w:rsid w:val="00966DAC"/>
    <w:rsid w:val="009765CA"/>
    <w:rsid w:val="009801CE"/>
    <w:rsid w:val="00980B42"/>
    <w:rsid w:val="00995B66"/>
    <w:rsid w:val="009A0C81"/>
    <w:rsid w:val="009A1370"/>
    <w:rsid w:val="009A53D8"/>
    <w:rsid w:val="009A6A19"/>
    <w:rsid w:val="009A6AA5"/>
    <w:rsid w:val="009A7390"/>
    <w:rsid w:val="009A7A3F"/>
    <w:rsid w:val="009B1E77"/>
    <w:rsid w:val="009B38D8"/>
    <w:rsid w:val="009B579B"/>
    <w:rsid w:val="009B7F12"/>
    <w:rsid w:val="009B7F14"/>
    <w:rsid w:val="009C069B"/>
    <w:rsid w:val="009C0C0B"/>
    <w:rsid w:val="009C22A7"/>
    <w:rsid w:val="009C6435"/>
    <w:rsid w:val="009C6BD4"/>
    <w:rsid w:val="009C7F80"/>
    <w:rsid w:val="009D38F6"/>
    <w:rsid w:val="009D4BAD"/>
    <w:rsid w:val="009D7400"/>
    <w:rsid w:val="009D7E97"/>
    <w:rsid w:val="009E1F1E"/>
    <w:rsid w:val="009E237D"/>
    <w:rsid w:val="009E3BFF"/>
    <w:rsid w:val="009F069D"/>
    <w:rsid w:val="009F2330"/>
    <w:rsid w:val="009F7EEF"/>
    <w:rsid w:val="00A04C3F"/>
    <w:rsid w:val="00A07697"/>
    <w:rsid w:val="00A10D80"/>
    <w:rsid w:val="00A13E6B"/>
    <w:rsid w:val="00A167E3"/>
    <w:rsid w:val="00A20D6B"/>
    <w:rsid w:val="00A2300E"/>
    <w:rsid w:val="00A26ED8"/>
    <w:rsid w:val="00A30F85"/>
    <w:rsid w:val="00A414AA"/>
    <w:rsid w:val="00A46196"/>
    <w:rsid w:val="00A52402"/>
    <w:rsid w:val="00A70547"/>
    <w:rsid w:val="00A8125C"/>
    <w:rsid w:val="00A82A9F"/>
    <w:rsid w:val="00A83F54"/>
    <w:rsid w:val="00A84587"/>
    <w:rsid w:val="00A84CB2"/>
    <w:rsid w:val="00A94CE7"/>
    <w:rsid w:val="00A96A6D"/>
    <w:rsid w:val="00A9769E"/>
    <w:rsid w:val="00AB195C"/>
    <w:rsid w:val="00AB2862"/>
    <w:rsid w:val="00AC0F52"/>
    <w:rsid w:val="00AC3700"/>
    <w:rsid w:val="00AC5CF1"/>
    <w:rsid w:val="00AD01A2"/>
    <w:rsid w:val="00AD076E"/>
    <w:rsid w:val="00AD52D9"/>
    <w:rsid w:val="00AD63CB"/>
    <w:rsid w:val="00AE0AC5"/>
    <w:rsid w:val="00AE3DD1"/>
    <w:rsid w:val="00AE47BD"/>
    <w:rsid w:val="00AE7868"/>
    <w:rsid w:val="00AF439A"/>
    <w:rsid w:val="00B10059"/>
    <w:rsid w:val="00B10BB8"/>
    <w:rsid w:val="00B135AB"/>
    <w:rsid w:val="00B141C0"/>
    <w:rsid w:val="00B1485E"/>
    <w:rsid w:val="00B16B23"/>
    <w:rsid w:val="00B20AC6"/>
    <w:rsid w:val="00B2180A"/>
    <w:rsid w:val="00B314D1"/>
    <w:rsid w:val="00B347EC"/>
    <w:rsid w:val="00B37090"/>
    <w:rsid w:val="00B43D00"/>
    <w:rsid w:val="00B458E0"/>
    <w:rsid w:val="00B47A3B"/>
    <w:rsid w:val="00B53758"/>
    <w:rsid w:val="00B56A3D"/>
    <w:rsid w:val="00B6006A"/>
    <w:rsid w:val="00B61D2F"/>
    <w:rsid w:val="00B77851"/>
    <w:rsid w:val="00B8008F"/>
    <w:rsid w:val="00B81BE7"/>
    <w:rsid w:val="00B92894"/>
    <w:rsid w:val="00B93F55"/>
    <w:rsid w:val="00B95EB8"/>
    <w:rsid w:val="00B96C96"/>
    <w:rsid w:val="00BB0402"/>
    <w:rsid w:val="00BB1D8D"/>
    <w:rsid w:val="00BB344C"/>
    <w:rsid w:val="00BB55BD"/>
    <w:rsid w:val="00BB60D1"/>
    <w:rsid w:val="00BC7C03"/>
    <w:rsid w:val="00BD14F0"/>
    <w:rsid w:val="00BD58A0"/>
    <w:rsid w:val="00BE1CCF"/>
    <w:rsid w:val="00BE60B7"/>
    <w:rsid w:val="00BF1581"/>
    <w:rsid w:val="00BF1652"/>
    <w:rsid w:val="00C10CE7"/>
    <w:rsid w:val="00C164CE"/>
    <w:rsid w:val="00C24A86"/>
    <w:rsid w:val="00C2796B"/>
    <w:rsid w:val="00C27DE0"/>
    <w:rsid w:val="00C302C9"/>
    <w:rsid w:val="00C5264C"/>
    <w:rsid w:val="00C541DC"/>
    <w:rsid w:val="00C61B92"/>
    <w:rsid w:val="00C63268"/>
    <w:rsid w:val="00C63A5B"/>
    <w:rsid w:val="00C73025"/>
    <w:rsid w:val="00C734F5"/>
    <w:rsid w:val="00C80F0D"/>
    <w:rsid w:val="00C85CE4"/>
    <w:rsid w:val="00C86E01"/>
    <w:rsid w:val="00C91F81"/>
    <w:rsid w:val="00CA14CD"/>
    <w:rsid w:val="00CB2437"/>
    <w:rsid w:val="00CB38D4"/>
    <w:rsid w:val="00CC0D36"/>
    <w:rsid w:val="00CC4023"/>
    <w:rsid w:val="00CC5769"/>
    <w:rsid w:val="00CD2949"/>
    <w:rsid w:val="00CD6920"/>
    <w:rsid w:val="00CE0B7F"/>
    <w:rsid w:val="00CE23E9"/>
    <w:rsid w:val="00CE5801"/>
    <w:rsid w:val="00CE58F6"/>
    <w:rsid w:val="00CE7C74"/>
    <w:rsid w:val="00CF66A4"/>
    <w:rsid w:val="00CF77CF"/>
    <w:rsid w:val="00D14326"/>
    <w:rsid w:val="00D14814"/>
    <w:rsid w:val="00D14FDA"/>
    <w:rsid w:val="00D22D77"/>
    <w:rsid w:val="00D26908"/>
    <w:rsid w:val="00D33861"/>
    <w:rsid w:val="00D7030E"/>
    <w:rsid w:val="00D80D1D"/>
    <w:rsid w:val="00D814D9"/>
    <w:rsid w:val="00D84CE3"/>
    <w:rsid w:val="00D86CAA"/>
    <w:rsid w:val="00D87633"/>
    <w:rsid w:val="00D910A3"/>
    <w:rsid w:val="00D921BE"/>
    <w:rsid w:val="00D92F3B"/>
    <w:rsid w:val="00D95359"/>
    <w:rsid w:val="00D95756"/>
    <w:rsid w:val="00DA1532"/>
    <w:rsid w:val="00DA657A"/>
    <w:rsid w:val="00DB0D57"/>
    <w:rsid w:val="00DB2D16"/>
    <w:rsid w:val="00DC4536"/>
    <w:rsid w:val="00DD025E"/>
    <w:rsid w:val="00DD2B0A"/>
    <w:rsid w:val="00DE4EF5"/>
    <w:rsid w:val="00DF4D81"/>
    <w:rsid w:val="00E06F7A"/>
    <w:rsid w:val="00E07E22"/>
    <w:rsid w:val="00E22965"/>
    <w:rsid w:val="00E2366A"/>
    <w:rsid w:val="00E30032"/>
    <w:rsid w:val="00E3633F"/>
    <w:rsid w:val="00E37E20"/>
    <w:rsid w:val="00E40BDF"/>
    <w:rsid w:val="00E45AE0"/>
    <w:rsid w:val="00E578CB"/>
    <w:rsid w:val="00E815A9"/>
    <w:rsid w:val="00E87649"/>
    <w:rsid w:val="00E8790F"/>
    <w:rsid w:val="00E9366A"/>
    <w:rsid w:val="00E9419B"/>
    <w:rsid w:val="00EB700D"/>
    <w:rsid w:val="00EC10D4"/>
    <w:rsid w:val="00EC2CA4"/>
    <w:rsid w:val="00ED40EA"/>
    <w:rsid w:val="00ED5AB5"/>
    <w:rsid w:val="00ED6D46"/>
    <w:rsid w:val="00EE1257"/>
    <w:rsid w:val="00EE346A"/>
    <w:rsid w:val="00EE7CC1"/>
    <w:rsid w:val="00F0570A"/>
    <w:rsid w:val="00F11E76"/>
    <w:rsid w:val="00F126C9"/>
    <w:rsid w:val="00F148E0"/>
    <w:rsid w:val="00F15DF8"/>
    <w:rsid w:val="00F21373"/>
    <w:rsid w:val="00F245EA"/>
    <w:rsid w:val="00F25835"/>
    <w:rsid w:val="00F33ADC"/>
    <w:rsid w:val="00F4113B"/>
    <w:rsid w:val="00F61161"/>
    <w:rsid w:val="00F61841"/>
    <w:rsid w:val="00F84B0E"/>
    <w:rsid w:val="00F907CF"/>
    <w:rsid w:val="00F94148"/>
    <w:rsid w:val="00F977D8"/>
    <w:rsid w:val="00FA6AA2"/>
    <w:rsid w:val="00FB116D"/>
    <w:rsid w:val="00FB3390"/>
    <w:rsid w:val="00FB4397"/>
    <w:rsid w:val="00FB6A3B"/>
    <w:rsid w:val="00FC39C3"/>
    <w:rsid w:val="00FC6786"/>
    <w:rsid w:val="00FC6B5B"/>
    <w:rsid w:val="00FC70C6"/>
    <w:rsid w:val="00FD14F9"/>
    <w:rsid w:val="00FD5557"/>
    <w:rsid w:val="00FD681E"/>
    <w:rsid w:val="00FE0B6C"/>
    <w:rsid w:val="00FE13E7"/>
    <w:rsid w:val="00FE32F2"/>
    <w:rsid w:val="00FE5965"/>
    <w:rsid w:val="00FE6C83"/>
    <w:rsid w:val="00FE780B"/>
    <w:rsid w:val="00FF030E"/>
    <w:rsid w:val="00FF21BF"/>
    <w:rsid w:val="00FF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1FEE"/>
  <w15:chartTrackingRefBased/>
  <w15:docId w15:val="{504A5A0F-8373-4D21-926A-53E8C9C0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16425"/>
    <w:pPr>
      <w:numPr>
        <w:numId w:val="1"/>
      </w:numPr>
      <w:spacing w:after="0" w:line="240" w:lineRule="auto"/>
      <w:ind w:left="720"/>
      <w:outlineLvl w:val="0"/>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9FA"/>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93F55"/>
    <w:rPr>
      <w:sz w:val="16"/>
      <w:szCs w:val="16"/>
    </w:rPr>
  </w:style>
  <w:style w:type="paragraph" w:styleId="CommentText">
    <w:name w:val="annotation text"/>
    <w:basedOn w:val="Normal"/>
    <w:link w:val="CommentTextChar"/>
    <w:uiPriority w:val="99"/>
    <w:unhideWhenUsed/>
    <w:rsid w:val="00B93F55"/>
    <w:pPr>
      <w:spacing w:line="240" w:lineRule="auto"/>
    </w:pPr>
    <w:rPr>
      <w:sz w:val="20"/>
      <w:szCs w:val="20"/>
    </w:rPr>
  </w:style>
  <w:style w:type="character" w:customStyle="1" w:styleId="CommentTextChar">
    <w:name w:val="Comment Text Char"/>
    <w:basedOn w:val="DefaultParagraphFont"/>
    <w:link w:val="CommentText"/>
    <w:uiPriority w:val="99"/>
    <w:rsid w:val="00B93F55"/>
    <w:rPr>
      <w:sz w:val="20"/>
      <w:szCs w:val="20"/>
    </w:rPr>
  </w:style>
  <w:style w:type="paragraph" w:styleId="CommentSubject">
    <w:name w:val="annotation subject"/>
    <w:basedOn w:val="CommentText"/>
    <w:next w:val="CommentText"/>
    <w:link w:val="CommentSubjectChar"/>
    <w:uiPriority w:val="99"/>
    <w:semiHidden/>
    <w:unhideWhenUsed/>
    <w:rsid w:val="00B93F55"/>
    <w:rPr>
      <w:b/>
      <w:bCs/>
    </w:rPr>
  </w:style>
  <w:style w:type="character" w:customStyle="1" w:styleId="CommentSubjectChar">
    <w:name w:val="Comment Subject Char"/>
    <w:basedOn w:val="CommentTextChar"/>
    <w:link w:val="CommentSubject"/>
    <w:uiPriority w:val="99"/>
    <w:semiHidden/>
    <w:rsid w:val="00B93F55"/>
    <w:rPr>
      <w:b/>
      <w:bCs/>
      <w:sz w:val="20"/>
      <w:szCs w:val="20"/>
    </w:rPr>
  </w:style>
  <w:style w:type="paragraph" w:styleId="BalloonText">
    <w:name w:val="Balloon Text"/>
    <w:basedOn w:val="Normal"/>
    <w:link w:val="BalloonTextChar"/>
    <w:uiPriority w:val="99"/>
    <w:semiHidden/>
    <w:unhideWhenUsed/>
    <w:rsid w:val="00B93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F55"/>
    <w:rPr>
      <w:rFonts w:ascii="Segoe UI" w:hAnsi="Segoe UI" w:cs="Segoe UI"/>
      <w:sz w:val="18"/>
      <w:szCs w:val="18"/>
    </w:rPr>
  </w:style>
  <w:style w:type="character" w:styleId="Hyperlink">
    <w:name w:val="Hyperlink"/>
    <w:basedOn w:val="DefaultParagraphFont"/>
    <w:uiPriority w:val="99"/>
    <w:semiHidden/>
    <w:unhideWhenUsed/>
    <w:rsid w:val="009E237D"/>
    <w:rPr>
      <w:color w:val="0563C1"/>
      <w:u w:val="single"/>
    </w:rPr>
  </w:style>
  <w:style w:type="character" w:customStyle="1" w:styleId="Heading1Char">
    <w:name w:val="Heading 1 Char"/>
    <w:basedOn w:val="DefaultParagraphFont"/>
    <w:link w:val="Heading1"/>
    <w:uiPriority w:val="9"/>
    <w:rsid w:val="00416425"/>
    <w:rPr>
      <w:rFonts w:ascii="Times New Roman" w:eastAsia="Times New Roman" w:hAnsi="Times New Roman"/>
      <w:b/>
      <w:sz w:val="24"/>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16425"/>
    <w:pPr>
      <w:ind w:left="720"/>
      <w:contextualSpacing/>
    </w:pPr>
  </w:style>
  <w:style w:type="paragraph" w:styleId="Quote">
    <w:name w:val="Quote"/>
    <w:basedOn w:val="Normal"/>
    <w:next w:val="Normal"/>
    <w:link w:val="QuoteChar"/>
    <w:uiPriority w:val="29"/>
    <w:qFormat/>
    <w:rsid w:val="00023C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3CC4"/>
    <w:rPr>
      <w:i/>
      <w:iCs/>
      <w:color w:val="404040" w:themeColor="text1" w:themeTint="BF"/>
    </w:rPr>
  </w:style>
  <w:style w:type="paragraph" w:customStyle="1" w:styleId="biblio">
    <w:name w:val="biblio"/>
    <w:basedOn w:val="Normal"/>
    <w:uiPriority w:val="99"/>
    <w:rsid w:val="008352D0"/>
    <w:pPr>
      <w:spacing w:after="240" w:line="240" w:lineRule="auto"/>
      <w:ind w:left="720" w:hanging="720"/>
    </w:pPr>
    <w:rPr>
      <w:rFonts w:ascii="Times New Roman" w:eastAsia="Times New Roman" w:hAnsi="Times New Roman" w:cs="Times New Roman"/>
      <w:sz w:val="24"/>
      <w:szCs w:val="24"/>
    </w:rPr>
  </w:style>
  <w:style w:type="character" w:styleId="FootnoteReference">
    <w:name w:val="footnote reference"/>
    <w:semiHidden/>
    <w:rsid w:val="00857688"/>
  </w:style>
  <w:style w:type="paragraph" w:styleId="FootnoteText">
    <w:name w:val="footnote text"/>
    <w:basedOn w:val="Normal"/>
    <w:link w:val="FootnoteTextChar"/>
    <w:semiHidden/>
    <w:rsid w:val="00857688"/>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857688"/>
    <w:rPr>
      <w:rFonts w:ascii="Calibri" w:eastAsia="Calibri" w:hAnsi="Calibri" w:cs="Times New Roman"/>
      <w:sz w:val="20"/>
      <w:szCs w:val="20"/>
    </w:rPr>
  </w:style>
  <w:style w:type="paragraph" w:styleId="TOCHeading">
    <w:name w:val="TOC Heading"/>
    <w:basedOn w:val="Heading1"/>
    <w:next w:val="Normal"/>
    <w:uiPriority w:val="39"/>
    <w:semiHidden/>
    <w:unhideWhenUsed/>
    <w:qFormat/>
    <w:rsid w:val="00857688"/>
    <w:pPr>
      <w:keepNext/>
      <w:keepLines/>
      <w:numPr>
        <w:numId w:val="0"/>
      </w:numPr>
      <w:spacing w:before="480" w:line="276" w:lineRule="auto"/>
      <w:contextualSpacing w:val="0"/>
      <w:outlineLvl w:val="9"/>
    </w:pPr>
    <w:rPr>
      <w:rFonts w:ascii="Cambria" w:hAnsi="Cambria" w:cs="Times New Roman"/>
      <w:bCs/>
      <w:color w:val="365F91"/>
      <w:sz w:val="28"/>
      <w:szCs w:val="28"/>
    </w:rPr>
  </w:style>
  <w:style w:type="character" w:styleId="FollowedHyperlink">
    <w:name w:val="FollowedHyperlink"/>
    <w:basedOn w:val="DefaultParagraphFont"/>
    <w:uiPriority w:val="99"/>
    <w:semiHidden/>
    <w:unhideWhenUsed/>
    <w:rsid w:val="00AE0AC5"/>
    <w:rPr>
      <w:color w:val="954F72" w:themeColor="followedHyperlink"/>
      <w:u w:val="single"/>
    </w:rPr>
  </w:style>
  <w:style w:type="paragraph" w:customStyle="1" w:styleId="EndNoteBibliographyTitle">
    <w:name w:val="EndNote Bibliography Title"/>
    <w:basedOn w:val="Normal"/>
    <w:link w:val="EndNoteBibliographyTitleChar"/>
    <w:rsid w:val="00365CF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65CF1"/>
    <w:rPr>
      <w:rFonts w:ascii="Calibri" w:hAnsi="Calibri" w:cs="Calibri"/>
      <w:noProof/>
    </w:rPr>
  </w:style>
  <w:style w:type="paragraph" w:customStyle="1" w:styleId="EndNoteBibliography">
    <w:name w:val="EndNote Bibliography"/>
    <w:basedOn w:val="Normal"/>
    <w:link w:val="EndNoteBibliographyChar"/>
    <w:rsid w:val="00365CF1"/>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365CF1"/>
    <w:rPr>
      <w:rFonts w:ascii="Calibri" w:hAnsi="Calibri" w:cs="Calibri"/>
      <w:noProof/>
    </w:rPr>
  </w:style>
  <w:style w:type="paragraph" w:customStyle="1" w:styleId="BodyText21">
    <w:name w:val="Body Text 21"/>
    <w:basedOn w:val="Normal"/>
    <w:rsid w:val="00FE5965"/>
    <w:pPr>
      <w:spacing w:after="0" w:line="240" w:lineRule="auto"/>
    </w:pPr>
    <w:rPr>
      <w:rFonts w:ascii="Times" w:eastAsia="Times New Roman" w:hAnsi="Times" w:cs="Times New Roman"/>
      <w:sz w:val="24"/>
      <w:szCs w:val="20"/>
    </w:rPr>
  </w:style>
  <w:style w:type="character" w:customStyle="1" w:styleId="aBold">
    <w:name w:val="a. +Bold"/>
    <w:uiPriority w:val="1"/>
    <w:qFormat/>
    <w:rsid w:val="004D1D01"/>
    <w:rPr>
      <w:b/>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4D1D01"/>
  </w:style>
  <w:style w:type="paragraph" w:styleId="Header">
    <w:name w:val="header"/>
    <w:basedOn w:val="Normal"/>
    <w:link w:val="HeaderChar"/>
    <w:uiPriority w:val="99"/>
    <w:unhideWhenUsed/>
    <w:rsid w:val="009E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1E"/>
  </w:style>
  <w:style w:type="paragraph" w:styleId="Footer">
    <w:name w:val="footer"/>
    <w:basedOn w:val="Normal"/>
    <w:link w:val="FooterChar"/>
    <w:uiPriority w:val="99"/>
    <w:unhideWhenUsed/>
    <w:rsid w:val="009E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1E"/>
  </w:style>
  <w:style w:type="paragraph" w:styleId="Revision">
    <w:name w:val="Revision"/>
    <w:hidden/>
    <w:uiPriority w:val="99"/>
    <w:semiHidden/>
    <w:rsid w:val="00925A68"/>
    <w:pPr>
      <w:spacing w:after="0" w:line="240" w:lineRule="auto"/>
    </w:pPr>
  </w:style>
  <w:style w:type="table" w:customStyle="1" w:styleId="aTable">
    <w:name w:val="a. Table"/>
    <w:basedOn w:val="TableNormal"/>
    <w:next w:val="TableGrid"/>
    <w:uiPriority w:val="59"/>
    <w:rsid w:val="008934D0"/>
    <w:pPr>
      <w:spacing w:after="0" w:line="240" w:lineRule="auto"/>
    </w:pPr>
    <w:rPr>
      <w:rFonts w:ascii="Times New Roman" w:eastAsia="Times New Roman" w:hAnsi="Times New Roman" w:cs="Times New Roman"/>
      <w:sz w:val="20"/>
      <w:szCs w:val="20"/>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rPr>
      <w:cantSplit/>
    </w:trPr>
    <w:tcPr>
      <w:shd w:val="clear" w:color="auto" w:fill="FFFFFF" w:themeFill="background1"/>
    </w:tcPr>
    <w:tblStylePr w:type="firstRow">
      <w:pPr>
        <w:jc w:val="center"/>
      </w:p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aTableBodyLeft">
    <w:name w:val="a. Table Body Left"/>
    <w:basedOn w:val="Normal"/>
    <w:qFormat/>
    <w:rsid w:val="008934D0"/>
    <w:pPr>
      <w:spacing w:before="6" w:after="10" w:line="240" w:lineRule="auto"/>
    </w:pPr>
    <w:rPr>
      <w:rFonts w:ascii="Times New Roman" w:eastAsia="Times New Roman" w:hAnsi="Times New Roman" w:cs="Times New Roman"/>
      <w:sz w:val="24"/>
      <w:szCs w:val="18"/>
    </w:rPr>
  </w:style>
  <w:style w:type="paragraph" w:customStyle="1" w:styleId="aTableHeaderC">
    <w:name w:val="a. Table Header C"/>
    <w:basedOn w:val="aTableBodyLeft"/>
    <w:qFormat/>
    <w:rsid w:val="008934D0"/>
    <w:pPr>
      <w:keepNext/>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701">
      <w:bodyDiv w:val="1"/>
      <w:marLeft w:val="0"/>
      <w:marRight w:val="0"/>
      <w:marTop w:val="0"/>
      <w:marBottom w:val="0"/>
      <w:divBdr>
        <w:top w:val="none" w:sz="0" w:space="0" w:color="auto"/>
        <w:left w:val="none" w:sz="0" w:space="0" w:color="auto"/>
        <w:bottom w:val="none" w:sz="0" w:space="0" w:color="auto"/>
        <w:right w:val="none" w:sz="0" w:space="0" w:color="auto"/>
      </w:divBdr>
    </w:div>
    <w:div w:id="291710385">
      <w:bodyDiv w:val="1"/>
      <w:marLeft w:val="0"/>
      <w:marRight w:val="0"/>
      <w:marTop w:val="0"/>
      <w:marBottom w:val="0"/>
      <w:divBdr>
        <w:top w:val="none" w:sz="0" w:space="0" w:color="auto"/>
        <w:left w:val="none" w:sz="0" w:space="0" w:color="auto"/>
        <w:bottom w:val="none" w:sz="0" w:space="0" w:color="auto"/>
        <w:right w:val="none" w:sz="0" w:space="0" w:color="auto"/>
      </w:divBdr>
    </w:div>
    <w:div w:id="392197086">
      <w:bodyDiv w:val="1"/>
      <w:marLeft w:val="0"/>
      <w:marRight w:val="0"/>
      <w:marTop w:val="0"/>
      <w:marBottom w:val="0"/>
      <w:divBdr>
        <w:top w:val="none" w:sz="0" w:space="0" w:color="auto"/>
        <w:left w:val="none" w:sz="0" w:space="0" w:color="auto"/>
        <w:bottom w:val="none" w:sz="0" w:space="0" w:color="auto"/>
        <w:right w:val="none" w:sz="0" w:space="0" w:color="auto"/>
      </w:divBdr>
    </w:div>
    <w:div w:id="463039659">
      <w:bodyDiv w:val="1"/>
      <w:marLeft w:val="0"/>
      <w:marRight w:val="0"/>
      <w:marTop w:val="0"/>
      <w:marBottom w:val="0"/>
      <w:divBdr>
        <w:top w:val="none" w:sz="0" w:space="0" w:color="auto"/>
        <w:left w:val="none" w:sz="0" w:space="0" w:color="auto"/>
        <w:bottom w:val="none" w:sz="0" w:space="0" w:color="auto"/>
        <w:right w:val="none" w:sz="0" w:space="0" w:color="auto"/>
      </w:divBdr>
    </w:div>
    <w:div w:id="664165400">
      <w:bodyDiv w:val="1"/>
      <w:marLeft w:val="0"/>
      <w:marRight w:val="0"/>
      <w:marTop w:val="0"/>
      <w:marBottom w:val="0"/>
      <w:divBdr>
        <w:top w:val="none" w:sz="0" w:space="0" w:color="auto"/>
        <w:left w:val="none" w:sz="0" w:space="0" w:color="auto"/>
        <w:bottom w:val="none" w:sz="0" w:space="0" w:color="auto"/>
        <w:right w:val="none" w:sz="0" w:space="0" w:color="auto"/>
      </w:divBdr>
    </w:div>
    <w:div w:id="891624640">
      <w:bodyDiv w:val="1"/>
      <w:marLeft w:val="0"/>
      <w:marRight w:val="0"/>
      <w:marTop w:val="0"/>
      <w:marBottom w:val="0"/>
      <w:divBdr>
        <w:top w:val="none" w:sz="0" w:space="0" w:color="auto"/>
        <w:left w:val="none" w:sz="0" w:space="0" w:color="auto"/>
        <w:bottom w:val="none" w:sz="0" w:space="0" w:color="auto"/>
        <w:right w:val="none" w:sz="0" w:space="0" w:color="auto"/>
      </w:divBdr>
    </w:div>
    <w:div w:id="1076631067">
      <w:bodyDiv w:val="1"/>
      <w:marLeft w:val="0"/>
      <w:marRight w:val="0"/>
      <w:marTop w:val="0"/>
      <w:marBottom w:val="0"/>
      <w:divBdr>
        <w:top w:val="none" w:sz="0" w:space="0" w:color="auto"/>
        <w:left w:val="none" w:sz="0" w:space="0" w:color="auto"/>
        <w:bottom w:val="none" w:sz="0" w:space="0" w:color="auto"/>
        <w:right w:val="none" w:sz="0" w:space="0" w:color="auto"/>
      </w:divBdr>
    </w:div>
    <w:div w:id="1106969966">
      <w:bodyDiv w:val="1"/>
      <w:marLeft w:val="0"/>
      <w:marRight w:val="0"/>
      <w:marTop w:val="0"/>
      <w:marBottom w:val="0"/>
      <w:divBdr>
        <w:top w:val="none" w:sz="0" w:space="0" w:color="auto"/>
        <w:left w:val="none" w:sz="0" w:space="0" w:color="auto"/>
        <w:bottom w:val="none" w:sz="0" w:space="0" w:color="auto"/>
        <w:right w:val="none" w:sz="0" w:space="0" w:color="auto"/>
      </w:divBdr>
    </w:div>
    <w:div w:id="1289556645">
      <w:bodyDiv w:val="1"/>
      <w:marLeft w:val="0"/>
      <w:marRight w:val="0"/>
      <w:marTop w:val="0"/>
      <w:marBottom w:val="0"/>
      <w:divBdr>
        <w:top w:val="none" w:sz="0" w:space="0" w:color="auto"/>
        <w:left w:val="none" w:sz="0" w:space="0" w:color="auto"/>
        <w:bottom w:val="none" w:sz="0" w:space="0" w:color="auto"/>
        <w:right w:val="none" w:sz="0" w:space="0" w:color="auto"/>
      </w:divBdr>
    </w:div>
    <w:div w:id="1378554848">
      <w:bodyDiv w:val="1"/>
      <w:marLeft w:val="0"/>
      <w:marRight w:val="0"/>
      <w:marTop w:val="0"/>
      <w:marBottom w:val="0"/>
      <w:divBdr>
        <w:top w:val="none" w:sz="0" w:space="0" w:color="auto"/>
        <w:left w:val="none" w:sz="0" w:space="0" w:color="auto"/>
        <w:bottom w:val="none" w:sz="0" w:space="0" w:color="auto"/>
        <w:right w:val="none" w:sz="0" w:space="0" w:color="auto"/>
      </w:divBdr>
    </w:div>
    <w:div w:id="1999768995">
      <w:bodyDiv w:val="1"/>
      <w:marLeft w:val="0"/>
      <w:marRight w:val="0"/>
      <w:marTop w:val="0"/>
      <w:marBottom w:val="0"/>
      <w:divBdr>
        <w:top w:val="none" w:sz="0" w:space="0" w:color="auto"/>
        <w:left w:val="none" w:sz="0" w:space="0" w:color="auto"/>
        <w:bottom w:val="none" w:sz="0" w:space="0" w:color="auto"/>
        <w:right w:val="none" w:sz="0" w:space="0" w:color="auto"/>
      </w:divBdr>
    </w:div>
    <w:div w:id="20895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0F50-E90B-4EFD-887F-D53EAF22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(CDC/DDNID/NCCDPHP/DRH)</dc:creator>
  <cp:keywords/>
  <dc:description/>
  <cp:lastModifiedBy>Tevendale, Heather D. (CDC/DDNID/NCCDPHP/DRH)</cp:lastModifiedBy>
  <cp:revision>3</cp:revision>
  <cp:lastPrinted>2020-03-05T18:16:00Z</cp:lastPrinted>
  <dcterms:created xsi:type="dcterms:W3CDTF">2020-05-21T19:57:00Z</dcterms:created>
  <dcterms:modified xsi:type="dcterms:W3CDTF">2020-05-21T20:05:00Z</dcterms:modified>
</cp:coreProperties>
</file>