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rsidP="002A675E">
      <w:pPr>
        <w:pStyle w:val="Heading5"/>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9C27DF" w:rsidRDefault="00BA2DBE">
      <w:pPr>
        <w:rPr>
          <w:rFonts w:ascii="Arial" w:hAnsi="Arial" w:cs="Arial"/>
        </w:rPr>
      </w:pPr>
    </w:p>
    <w:p w14:paraId="11F8DC60" w14:textId="14708767" w:rsidR="000A2B8E" w:rsidRPr="00331515" w:rsidRDefault="009C27DF" w:rsidP="000A2B8E">
      <w:pPr>
        <w:pStyle w:val="Title"/>
      </w:pPr>
      <w:r w:rsidRPr="009C27DF">
        <w:rPr>
          <w:rFonts w:ascii="Times New Roman" w:hAnsi="Times New Roman" w:cs="Times New Roman"/>
          <w:color w:val="auto"/>
          <w:sz w:val="48"/>
          <w:szCs w:val="48"/>
        </w:rPr>
        <w:t>Per-</w:t>
      </w:r>
      <w:r w:rsidR="00CB18E2">
        <w:rPr>
          <w:rFonts w:ascii="Times New Roman" w:hAnsi="Times New Roman" w:cs="Times New Roman"/>
          <w:color w:val="auto"/>
          <w:sz w:val="48"/>
          <w:szCs w:val="48"/>
        </w:rPr>
        <w:t xml:space="preserve"> </w:t>
      </w:r>
      <w:r w:rsidRPr="009C27DF">
        <w:rPr>
          <w:rFonts w:ascii="Times New Roman" w:hAnsi="Times New Roman" w:cs="Times New Roman"/>
          <w:color w:val="auto"/>
          <w:sz w:val="48"/>
          <w:szCs w:val="48"/>
        </w:rPr>
        <w:t>or Polyfluoroalkyl Substances</w:t>
      </w:r>
      <w:r w:rsidR="000675DD">
        <w:rPr>
          <w:rFonts w:ascii="Times New Roman" w:hAnsi="Times New Roman" w:cs="Times New Roman"/>
          <w:color w:val="auto"/>
          <w:sz w:val="48"/>
          <w:szCs w:val="48"/>
        </w:rPr>
        <w:t xml:space="preserve"> </w:t>
      </w:r>
      <w:r w:rsidR="000A2B8E" w:rsidRPr="009C27DF">
        <w:rPr>
          <w:rFonts w:ascii="Times New Roman" w:hAnsi="Times New Roman" w:cs="Times New Roman"/>
          <w:color w:val="auto"/>
          <w:sz w:val="48"/>
          <w:szCs w:val="48"/>
        </w:rPr>
        <w:t>Exposure Assessments</w:t>
      </w:r>
      <w:r w:rsidR="000675DD">
        <w:rPr>
          <w:rFonts w:ascii="Times New Roman" w:hAnsi="Times New Roman" w:cs="Times New Roman"/>
          <w:color w:val="auto"/>
          <w:sz w:val="48"/>
          <w:szCs w:val="48"/>
        </w:rPr>
        <w:t xml:space="preserve"> (PFAS EAs)</w:t>
      </w:r>
    </w:p>
    <w:p w14:paraId="0232A377" w14:textId="77777777" w:rsidR="00CB18E2" w:rsidRDefault="00CB18E2" w:rsidP="006615FB">
      <w:pPr>
        <w:spacing w:after="200" w:line="276" w:lineRule="auto"/>
        <w:rPr>
          <w:rFonts w:ascii="Cambria" w:hAnsi="Cambria"/>
        </w:rPr>
      </w:pPr>
    </w:p>
    <w:p w14:paraId="53930CB1" w14:textId="4577E78A" w:rsidR="006615FB" w:rsidRPr="006615FB" w:rsidRDefault="009C27DF" w:rsidP="006615FB">
      <w:pPr>
        <w:spacing w:after="200" w:line="276" w:lineRule="auto"/>
        <w:rPr>
          <w:rFonts w:ascii="Cambria" w:hAnsi="Cambria" w:cs="Arial"/>
          <w:sz w:val="36"/>
          <w:szCs w:val="36"/>
        </w:rPr>
      </w:pPr>
      <w:r>
        <w:rPr>
          <w:rFonts w:ascii="Cambria" w:hAnsi="Cambria" w:cs="Arial"/>
          <w:sz w:val="36"/>
          <w:szCs w:val="36"/>
        </w:rPr>
        <w:t>New I</w:t>
      </w:r>
      <w:r w:rsidR="00CB18E2">
        <w:rPr>
          <w:rFonts w:ascii="Cambria" w:hAnsi="Cambria" w:cs="Arial"/>
          <w:sz w:val="36"/>
          <w:szCs w:val="36"/>
        </w:rPr>
        <w:t xml:space="preserve">nformation </w:t>
      </w:r>
      <w:r>
        <w:rPr>
          <w:rFonts w:ascii="Cambria" w:hAnsi="Cambria" w:cs="Arial"/>
          <w:sz w:val="36"/>
          <w:szCs w:val="36"/>
        </w:rPr>
        <w:t>C</w:t>
      </w:r>
      <w:r w:rsidR="00CB18E2">
        <w:rPr>
          <w:rFonts w:ascii="Cambria" w:hAnsi="Cambria" w:cs="Arial"/>
          <w:sz w:val="36"/>
          <w:szCs w:val="36"/>
        </w:rPr>
        <w:t xml:space="preserve">ollection </w:t>
      </w:r>
      <w:r>
        <w:rPr>
          <w:rFonts w:ascii="Cambria" w:hAnsi="Cambria" w:cs="Arial"/>
          <w:sz w:val="36"/>
          <w:szCs w:val="36"/>
        </w:rPr>
        <w:t>R</w:t>
      </w:r>
      <w:r w:rsidR="00CB18E2">
        <w:rPr>
          <w:rFonts w:ascii="Cambria" w:hAnsi="Cambria" w:cs="Arial"/>
          <w:sz w:val="36"/>
          <w:szCs w:val="36"/>
        </w:rPr>
        <w:t>equest</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728DC326" w14:textId="77777777" w:rsidR="00366A83" w:rsidRPr="00366A83" w:rsidRDefault="00366A83" w:rsidP="00366A83">
      <w:pPr>
        <w:pStyle w:val="Subtitle"/>
        <w:spacing w:after="0"/>
        <w:rPr>
          <w:rFonts w:ascii="Cambria" w:hAnsi="Cambria"/>
          <w:color w:val="auto"/>
        </w:rPr>
      </w:pPr>
      <w:r w:rsidRPr="00366A83">
        <w:rPr>
          <w:rFonts w:ascii="Cambria" w:hAnsi="Cambria"/>
          <w:color w:val="auto"/>
        </w:rPr>
        <w:t xml:space="preserve">Project Officer: </w:t>
      </w:r>
    </w:p>
    <w:p w14:paraId="1217A397" w14:textId="77777777" w:rsidR="00366A83" w:rsidRPr="00E822BB" w:rsidRDefault="00366A83" w:rsidP="00366A83">
      <w:pPr>
        <w:pStyle w:val="Subtitle"/>
        <w:spacing w:after="0"/>
        <w:rPr>
          <w:color w:val="auto"/>
          <w:sz w:val="24"/>
          <w:szCs w:val="24"/>
        </w:rPr>
      </w:pPr>
    </w:p>
    <w:p w14:paraId="2FEB96F2" w14:textId="77777777" w:rsidR="00366A83" w:rsidRDefault="00366A83" w:rsidP="00366A83">
      <w:pPr>
        <w:autoSpaceDE w:val="0"/>
        <w:autoSpaceDN w:val="0"/>
        <w:adjustRightInd w:val="0"/>
        <w:spacing w:after="0"/>
        <w:ind w:left="1440" w:hanging="720"/>
        <w:rPr>
          <w:rFonts w:ascii="Times New Roman" w:hAnsi="Times New Roman" w:cs="Times New Roman"/>
          <w:sz w:val="24"/>
          <w:szCs w:val="24"/>
        </w:rPr>
      </w:pPr>
      <w:r>
        <w:rPr>
          <w:rFonts w:ascii="Times New Roman" w:hAnsi="Times New Roman" w:cs="Times New Roman"/>
          <w:sz w:val="24"/>
          <w:szCs w:val="24"/>
        </w:rPr>
        <w:t>Rachel Worley, PhD</w:t>
      </w:r>
    </w:p>
    <w:p w14:paraId="7C0A9980"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Science Support Branch</w:t>
      </w:r>
    </w:p>
    <w:p w14:paraId="3DAFD0AA"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Division of Community Health Investigations</w:t>
      </w:r>
    </w:p>
    <w:p w14:paraId="1CE4EBB1"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Agency for Toxic Substances and Disease Registry</w:t>
      </w:r>
    </w:p>
    <w:p w14:paraId="1532A84A"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lang w:val="en"/>
        </w:rPr>
      </w:pPr>
      <w:r w:rsidRPr="00E822BB">
        <w:rPr>
          <w:rFonts w:ascii="Times New Roman" w:hAnsi="Times New Roman" w:cs="Times New Roman"/>
          <w:sz w:val="24"/>
          <w:szCs w:val="24"/>
          <w:lang w:val="en"/>
        </w:rPr>
        <w:t>4770 Buford Hwy NE, MS F5</w:t>
      </w:r>
    </w:p>
    <w:p w14:paraId="536EE132"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lang w:val="en"/>
        </w:rPr>
      </w:pPr>
      <w:r w:rsidRPr="00E822BB">
        <w:rPr>
          <w:rFonts w:ascii="Times New Roman" w:hAnsi="Times New Roman" w:cs="Times New Roman"/>
          <w:sz w:val="24"/>
          <w:szCs w:val="24"/>
          <w:lang w:val="en"/>
        </w:rPr>
        <w:t>Atlanta, GA 30341</w:t>
      </w:r>
    </w:p>
    <w:p w14:paraId="5FC20B7C"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Phone: 770-488-</w:t>
      </w:r>
      <w:r>
        <w:rPr>
          <w:rFonts w:ascii="Times New Roman" w:hAnsi="Times New Roman" w:cs="Times New Roman"/>
          <w:sz w:val="24"/>
          <w:szCs w:val="24"/>
        </w:rPr>
        <w:t>1549</w:t>
      </w:r>
    </w:p>
    <w:p w14:paraId="323F8976" w14:textId="77777777" w:rsidR="00366A83" w:rsidRPr="00E822BB" w:rsidRDefault="00366A83" w:rsidP="00366A83">
      <w:pPr>
        <w:autoSpaceDE w:val="0"/>
        <w:autoSpaceDN w:val="0"/>
        <w:adjustRightInd w:val="0"/>
        <w:spacing w:after="0"/>
        <w:ind w:left="1440" w:hanging="720"/>
        <w:rPr>
          <w:rFonts w:ascii="Times New Roman" w:hAnsi="Times New Roman" w:cs="Times New Roman"/>
          <w:sz w:val="24"/>
          <w:szCs w:val="24"/>
        </w:rPr>
      </w:pPr>
      <w:r w:rsidRPr="00E822BB">
        <w:rPr>
          <w:rFonts w:ascii="Times New Roman" w:hAnsi="Times New Roman" w:cs="Times New Roman"/>
          <w:sz w:val="24"/>
          <w:szCs w:val="24"/>
        </w:rPr>
        <w:t>Fax:  770-488-1542</w:t>
      </w:r>
    </w:p>
    <w:p w14:paraId="4A893F8B" w14:textId="77777777" w:rsidR="00366A83" w:rsidRPr="00E822BB" w:rsidRDefault="00366A83" w:rsidP="00366A83">
      <w:pPr>
        <w:autoSpaceDE w:val="0"/>
        <w:autoSpaceDN w:val="0"/>
        <w:adjustRightInd w:val="0"/>
        <w:ind w:left="1440" w:hanging="720"/>
        <w:rPr>
          <w:rFonts w:ascii="Times New Roman" w:hAnsi="Times New Roman" w:cs="Times New Roman"/>
          <w:sz w:val="24"/>
          <w:szCs w:val="24"/>
        </w:rPr>
      </w:pPr>
      <w:r w:rsidRPr="00E822BB">
        <w:rPr>
          <w:rFonts w:ascii="Times New Roman" w:hAnsi="Times New Roman" w:cs="Times New Roman"/>
          <w:sz w:val="24"/>
          <w:szCs w:val="24"/>
        </w:rPr>
        <w:t xml:space="preserve">Email: </w:t>
      </w:r>
      <w:hyperlink r:id="rId9" w:history="1">
        <w:r>
          <w:rPr>
            <w:rStyle w:val="Hyperlink"/>
            <w:rFonts w:ascii="Times New Roman" w:hAnsi="Times New Roman" w:cs="Times New Roman"/>
            <w:sz w:val="24"/>
            <w:szCs w:val="24"/>
          </w:rPr>
          <w:t>RWorley</w:t>
        </w:r>
        <w:r w:rsidRPr="00E822BB">
          <w:rPr>
            <w:rStyle w:val="Hyperlink"/>
            <w:rFonts w:ascii="Times New Roman" w:hAnsi="Times New Roman" w:cs="Times New Roman"/>
            <w:sz w:val="24"/>
            <w:szCs w:val="24"/>
          </w:rPr>
          <w:t>@cdc.gov</w:t>
        </w:r>
      </w:hyperlink>
    </w:p>
    <w:p w14:paraId="0E57A2DF" w14:textId="77777777" w:rsidR="00366A83" w:rsidRDefault="00366A83" w:rsidP="00366A83">
      <w:pPr>
        <w:pStyle w:val="Subtitle"/>
        <w:spacing w:after="0"/>
        <w:rPr>
          <w:rFonts w:ascii="Arial" w:hAnsi="Arial"/>
          <w:color w:val="auto"/>
        </w:rPr>
      </w:pPr>
    </w:p>
    <w:p w14:paraId="67DB6113" w14:textId="17159564" w:rsidR="00366A83" w:rsidRPr="00366A83" w:rsidRDefault="00366A83" w:rsidP="00366A83">
      <w:pPr>
        <w:pStyle w:val="Subtitle"/>
        <w:spacing w:after="0"/>
        <w:rPr>
          <w:rFonts w:ascii="Cambria" w:hAnsi="Cambria"/>
          <w:color w:val="auto"/>
        </w:rPr>
      </w:pPr>
      <w:r w:rsidRPr="00366A83">
        <w:rPr>
          <w:rFonts w:ascii="Cambria" w:hAnsi="Cambria"/>
          <w:color w:val="auto"/>
        </w:rPr>
        <w:t xml:space="preserve">Date: </w:t>
      </w:r>
      <w:r w:rsidR="00826009">
        <w:rPr>
          <w:rFonts w:ascii="Cambria" w:hAnsi="Cambria"/>
          <w:color w:val="auto"/>
        </w:rPr>
        <w:t>May 1</w:t>
      </w:r>
      <w:r w:rsidR="00836BB0">
        <w:rPr>
          <w:rFonts w:ascii="Cambria" w:hAnsi="Cambria"/>
          <w:color w:val="auto"/>
        </w:rPr>
        <w:t>, 2019</w:t>
      </w:r>
      <w:r w:rsidRPr="00366A83">
        <w:rPr>
          <w:rFonts w:ascii="Cambria" w:hAnsi="Cambria"/>
          <w:color w:val="auto"/>
        </w:rPr>
        <w:t xml:space="preserve"> </w:t>
      </w:r>
    </w:p>
    <w:p w14:paraId="39E16D28" w14:textId="17CFA1F3" w:rsidR="00965C2A" w:rsidRPr="006615FB" w:rsidRDefault="00BA2DBE" w:rsidP="00D33AE3">
      <w:pPr>
        <w:rPr>
          <w:rFonts w:ascii="Arial" w:hAnsi="Arial" w:cs="Arial"/>
          <w:sz w:val="30"/>
          <w:szCs w:val="30"/>
        </w:rPr>
      </w:pPr>
      <w:r w:rsidRPr="006615FB">
        <w:rPr>
          <w:rFonts w:ascii="Arial" w:hAnsi="Arial" w:cs="Arial"/>
          <w:sz w:val="30"/>
          <w:szCs w:val="30"/>
        </w:rPr>
        <w:br w:type="page"/>
      </w:r>
    </w:p>
    <w:bookmarkEnd w:id="1" w:displacedByCustomXml="next"/>
    <w:bookmarkEnd w:id="0" w:displacedByCustomXml="next"/>
    <w:sdt>
      <w:sdtPr>
        <w:rPr>
          <w:rFonts w:asciiTheme="minorHAnsi" w:eastAsiaTheme="minorEastAsia" w:hAnsiTheme="minorHAnsi" w:cstheme="minorBidi"/>
          <w:color w:val="auto"/>
          <w:sz w:val="21"/>
          <w:szCs w:val="21"/>
        </w:rPr>
        <w:id w:val="266282743"/>
        <w:docPartObj>
          <w:docPartGallery w:val="Table of Contents"/>
          <w:docPartUnique/>
        </w:docPartObj>
      </w:sdtPr>
      <w:sdtEndPr>
        <w:rPr>
          <w:rFonts w:cstheme="minorHAnsi"/>
          <w:b/>
          <w:bCs/>
          <w:noProof/>
          <w:sz w:val="22"/>
          <w:szCs w:val="22"/>
        </w:rPr>
      </w:sdtEndPr>
      <w:sdtContent>
        <w:p w14:paraId="33E62885" w14:textId="52F7CFE7" w:rsidR="00DB37E9" w:rsidRPr="007A44C3" w:rsidRDefault="00DB37E9" w:rsidP="007A44C3">
          <w:pPr>
            <w:pStyle w:val="TOCHeading"/>
            <w:jc w:val="center"/>
            <w:rPr>
              <w:rFonts w:ascii="Times New Roman" w:hAnsi="Times New Roman" w:cs="Times New Roman"/>
              <w:color w:val="auto"/>
            </w:rPr>
          </w:pPr>
          <w:r w:rsidRPr="007A44C3">
            <w:rPr>
              <w:rFonts w:ascii="Times New Roman" w:hAnsi="Times New Roman" w:cs="Times New Roman"/>
              <w:color w:val="auto"/>
            </w:rPr>
            <w:t>Table of Contents</w:t>
          </w:r>
        </w:p>
        <w:p w14:paraId="386C3290" w14:textId="40E62054" w:rsidR="009F3EE4" w:rsidRDefault="00DB37E9">
          <w:pPr>
            <w:pStyle w:val="TOC1"/>
            <w:tabs>
              <w:tab w:val="right" w:leader="dot" w:pos="9350"/>
            </w:tabs>
            <w:rPr>
              <w:noProof/>
              <w:sz w:val="22"/>
              <w:szCs w:val="22"/>
            </w:rPr>
          </w:pPr>
          <w:r w:rsidRPr="00DB37E9">
            <w:rPr>
              <w:rFonts w:cstheme="minorHAnsi"/>
              <w:sz w:val="22"/>
              <w:szCs w:val="22"/>
            </w:rPr>
            <w:fldChar w:fldCharType="begin"/>
          </w:r>
          <w:r w:rsidRPr="00DB37E9">
            <w:rPr>
              <w:rFonts w:cstheme="minorHAnsi"/>
              <w:sz w:val="22"/>
              <w:szCs w:val="22"/>
            </w:rPr>
            <w:instrText xml:space="preserve"> TOC \o "1-5" \h \z \u </w:instrText>
          </w:r>
          <w:r w:rsidRPr="00DB37E9">
            <w:rPr>
              <w:rFonts w:cstheme="minorHAnsi"/>
              <w:sz w:val="22"/>
              <w:szCs w:val="22"/>
            </w:rPr>
            <w:fldChar w:fldCharType="separate"/>
          </w:r>
          <w:hyperlink w:anchor="_Toc6916151" w:history="1">
            <w:r w:rsidR="009F3EE4" w:rsidRPr="00171A16">
              <w:rPr>
                <w:rStyle w:val="Hyperlink"/>
                <w:rFonts w:ascii="Cambria" w:hAnsi="Cambria"/>
                <w:noProof/>
              </w:rPr>
              <w:t>B.1 Respondent Universe and Sampling Methods</w:t>
            </w:r>
            <w:r w:rsidR="009F3EE4">
              <w:rPr>
                <w:noProof/>
                <w:webHidden/>
              </w:rPr>
              <w:tab/>
            </w:r>
            <w:r w:rsidR="009F3EE4">
              <w:rPr>
                <w:noProof/>
                <w:webHidden/>
              </w:rPr>
              <w:fldChar w:fldCharType="begin"/>
            </w:r>
            <w:r w:rsidR="009F3EE4">
              <w:rPr>
                <w:noProof/>
                <w:webHidden/>
              </w:rPr>
              <w:instrText xml:space="preserve"> PAGEREF _Toc6916151 \h </w:instrText>
            </w:r>
            <w:r w:rsidR="009F3EE4">
              <w:rPr>
                <w:noProof/>
                <w:webHidden/>
              </w:rPr>
            </w:r>
            <w:r w:rsidR="009F3EE4">
              <w:rPr>
                <w:noProof/>
                <w:webHidden/>
              </w:rPr>
              <w:fldChar w:fldCharType="separate"/>
            </w:r>
            <w:r w:rsidR="009F3EE4">
              <w:rPr>
                <w:noProof/>
                <w:webHidden/>
              </w:rPr>
              <w:t>3</w:t>
            </w:r>
            <w:r w:rsidR="009F3EE4">
              <w:rPr>
                <w:noProof/>
                <w:webHidden/>
              </w:rPr>
              <w:fldChar w:fldCharType="end"/>
            </w:r>
          </w:hyperlink>
        </w:p>
        <w:p w14:paraId="29DC7E3A" w14:textId="63592226" w:rsidR="009F3EE4" w:rsidRDefault="00D86D52">
          <w:pPr>
            <w:pStyle w:val="TOC1"/>
            <w:tabs>
              <w:tab w:val="left" w:pos="630"/>
              <w:tab w:val="right" w:leader="dot" w:pos="9350"/>
            </w:tabs>
            <w:rPr>
              <w:noProof/>
              <w:sz w:val="22"/>
              <w:szCs w:val="22"/>
            </w:rPr>
          </w:pPr>
          <w:hyperlink w:anchor="_Toc6916152" w:history="1">
            <w:r w:rsidR="009F3EE4" w:rsidRPr="00171A16">
              <w:rPr>
                <w:rStyle w:val="Hyperlink"/>
                <w:rFonts w:ascii="Cambria" w:hAnsi="Cambria"/>
                <w:noProof/>
              </w:rPr>
              <w:t>B.2.</w:t>
            </w:r>
            <w:r w:rsidR="009F3EE4">
              <w:rPr>
                <w:noProof/>
                <w:sz w:val="22"/>
                <w:szCs w:val="22"/>
              </w:rPr>
              <w:tab/>
            </w:r>
            <w:r w:rsidR="009F3EE4" w:rsidRPr="00171A16">
              <w:rPr>
                <w:rStyle w:val="Hyperlink"/>
                <w:rFonts w:ascii="Cambria" w:hAnsi="Cambria"/>
                <w:noProof/>
              </w:rPr>
              <w:t>Procedures for the Collection of Information</w:t>
            </w:r>
            <w:r w:rsidR="009F3EE4">
              <w:rPr>
                <w:noProof/>
                <w:webHidden/>
              </w:rPr>
              <w:tab/>
            </w:r>
            <w:r w:rsidR="009F3EE4">
              <w:rPr>
                <w:noProof/>
                <w:webHidden/>
              </w:rPr>
              <w:fldChar w:fldCharType="begin"/>
            </w:r>
            <w:r w:rsidR="009F3EE4">
              <w:rPr>
                <w:noProof/>
                <w:webHidden/>
              </w:rPr>
              <w:instrText xml:space="preserve"> PAGEREF _Toc6916152 \h </w:instrText>
            </w:r>
            <w:r w:rsidR="009F3EE4">
              <w:rPr>
                <w:noProof/>
                <w:webHidden/>
              </w:rPr>
            </w:r>
            <w:r w:rsidR="009F3EE4">
              <w:rPr>
                <w:noProof/>
                <w:webHidden/>
              </w:rPr>
              <w:fldChar w:fldCharType="separate"/>
            </w:r>
            <w:r w:rsidR="009F3EE4">
              <w:rPr>
                <w:noProof/>
                <w:webHidden/>
              </w:rPr>
              <w:t>9</w:t>
            </w:r>
            <w:r w:rsidR="009F3EE4">
              <w:rPr>
                <w:noProof/>
                <w:webHidden/>
              </w:rPr>
              <w:fldChar w:fldCharType="end"/>
            </w:r>
          </w:hyperlink>
        </w:p>
        <w:p w14:paraId="0AE34E97" w14:textId="69534217" w:rsidR="009F3EE4" w:rsidRDefault="00D86D52">
          <w:pPr>
            <w:pStyle w:val="TOC1"/>
            <w:tabs>
              <w:tab w:val="left" w:pos="630"/>
              <w:tab w:val="right" w:leader="dot" w:pos="9350"/>
            </w:tabs>
            <w:rPr>
              <w:noProof/>
              <w:sz w:val="22"/>
              <w:szCs w:val="22"/>
            </w:rPr>
          </w:pPr>
          <w:hyperlink w:anchor="_Toc6916153" w:history="1">
            <w:r w:rsidR="009F3EE4" w:rsidRPr="00171A16">
              <w:rPr>
                <w:rStyle w:val="Hyperlink"/>
                <w:rFonts w:ascii="Cambria" w:hAnsi="Cambria"/>
                <w:noProof/>
              </w:rPr>
              <w:t>B.3.</w:t>
            </w:r>
            <w:r w:rsidR="009F3EE4">
              <w:rPr>
                <w:noProof/>
                <w:sz w:val="22"/>
                <w:szCs w:val="22"/>
              </w:rPr>
              <w:tab/>
            </w:r>
            <w:r w:rsidR="009F3EE4" w:rsidRPr="00171A16">
              <w:rPr>
                <w:rStyle w:val="Hyperlink"/>
                <w:rFonts w:ascii="Cambria" w:hAnsi="Cambria"/>
                <w:noProof/>
              </w:rPr>
              <w:t>Methods to Maximize Response Rates and Deal with Nonresponse</w:t>
            </w:r>
            <w:r w:rsidR="009F3EE4">
              <w:rPr>
                <w:noProof/>
                <w:webHidden/>
              </w:rPr>
              <w:tab/>
            </w:r>
            <w:r w:rsidR="009F3EE4">
              <w:rPr>
                <w:noProof/>
                <w:webHidden/>
              </w:rPr>
              <w:fldChar w:fldCharType="begin"/>
            </w:r>
            <w:r w:rsidR="009F3EE4">
              <w:rPr>
                <w:noProof/>
                <w:webHidden/>
              </w:rPr>
              <w:instrText xml:space="preserve"> PAGEREF _Toc6916153 \h </w:instrText>
            </w:r>
            <w:r w:rsidR="009F3EE4">
              <w:rPr>
                <w:noProof/>
                <w:webHidden/>
              </w:rPr>
            </w:r>
            <w:r w:rsidR="009F3EE4">
              <w:rPr>
                <w:noProof/>
                <w:webHidden/>
              </w:rPr>
              <w:fldChar w:fldCharType="separate"/>
            </w:r>
            <w:r w:rsidR="009F3EE4">
              <w:rPr>
                <w:noProof/>
                <w:webHidden/>
              </w:rPr>
              <w:t>10</w:t>
            </w:r>
            <w:r w:rsidR="009F3EE4">
              <w:rPr>
                <w:noProof/>
                <w:webHidden/>
              </w:rPr>
              <w:fldChar w:fldCharType="end"/>
            </w:r>
          </w:hyperlink>
        </w:p>
        <w:p w14:paraId="4D4AB053" w14:textId="177782EF" w:rsidR="009F3EE4" w:rsidRDefault="00D86D52">
          <w:pPr>
            <w:pStyle w:val="TOC1"/>
            <w:tabs>
              <w:tab w:val="left" w:pos="630"/>
              <w:tab w:val="right" w:leader="dot" w:pos="9350"/>
            </w:tabs>
            <w:rPr>
              <w:noProof/>
              <w:sz w:val="22"/>
              <w:szCs w:val="22"/>
            </w:rPr>
          </w:pPr>
          <w:hyperlink w:anchor="_Toc6916154" w:history="1">
            <w:r w:rsidR="009F3EE4" w:rsidRPr="00171A16">
              <w:rPr>
                <w:rStyle w:val="Hyperlink"/>
                <w:rFonts w:ascii="Cambria" w:hAnsi="Cambria"/>
                <w:noProof/>
              </w:rPr>
              <w:t>B.4.</w:t>
            </w:r>
            <w:r w:rsidR="009F3EE4">
              <w:rPr>
                <w:noProof/>
                <w:sz w:val="22"/>
                <w:szCs w:val="22"/>
              </w:rPr>
              <w:tab/>
            </w:r>
            <w:r w:rsidR="009F3EE4" w:rsidRPr="00171A16">
              <w:rPr>
                <w:rStyle w:val="Hyperlink"/>
                <w:rFonts w:ascii="Cambria" w:hAnsi="Cambria"/>
                <w:noProof/>
              </w:rPr>
              <w:t>Test of Procedures or Methods to be Undertaken</w:t>
            </w:r>
            <w:r w:rsidR="009F3EE4">
              <w:rPr>
                <w:noProof/>
                <w:webHidden/>
              </w:rPr>
              <w:tab/>
            </w:r>
            <w:r w:rsidR="009F3EE4">
              <w:rPr>
                <w:noProof/>
                <w:webHidden/>
              </w:rPr>
              <w:fldChar w:fldCharType="begin"/>
            </w:r>
            <w:r w:rsidR="009F3EE4">
              <w:rPr>
                <w:noProof/>
                <w:webHidden/>
              </w:rPr>
              <w:instrText xml:space="preserve"> PAGEREF _Toc6916154 \h </w:instrText>
            </w:r>
            <w:r w:rsidR="009F3EE4">
              <w:rPr>
                <w:noProof/>
                <w:webHidden/>
              </w:rPr>
            </w:r>
            <w:r w:rsidR="009F3EE4">
              <w:rPr>
                <w:noProof/>
                <w:webHidden/>
              </w:rPr>
              <w:fldChar w:fldCharType="separate"/>
            </w:r>
            <w:r w:rsidR="009F3EE4">
              <w:rPr>
                <w:noProof/>
                <w:webHidden/>
              </w:rPr>
              <w:t>11</w:t>
            </w:r>
            <w:r w:rsidR="009F3EE4">
              <w:rPr>
                <w:noProof/>
                <w:webHidden/>
              </w:rPr>
              <w:fldChar w:fldCharType="end"/>
            </w:r>
          </w:hyperlink>
        </w:p>
        <w:p w14:paraId="455B4634" w14:textId="53DFCBB2" w:rsidR="009F3EE4" w:rsidRDefault="00D86D52">
          <w:pPr>
            <w:pStyle w:val="TOC1"/>
            <w:tabs>
              <w:tab w:val="left" w:pos="630"/>
              <w:tab w:val="right" w:leader="dot" w:pos="9350"/>
            </w:tabs>
            <w:rPr>
              <w:noProof/>
              <w:sz w:val="22"/>
              <w:szCs w:val="22"/>
            </w:rPr>
          </w:pPr>
          <w:hyperlink w:anchor="_Toc6916155" w:history="1">
            <w:r w:rsidR="009F3EE4" w:rsidRPr="00171A16">
              <w:rPr>
                <w:rStyle w:val="Hyperlink"/>
                <w:rFonts w:ascii="Cambria" w:hAnsi="Cambria"/>
                <w:noProof/>
              </w:rPr>
              <w:t>B.5.</w:t>
            </w:r>
            <w:r w:rsidR="009F3EE4">
              <w:rPr>
                <w:noProof/>
                <w:sz w:val="22"/>
                <w:szCs w:val="22"/>
              </w:rPr>
              <w:tab/>
            </w:r>
            <w:r w:rsidR="009F3EE4" w:rsidRPr="00171A16">
              <w:rPr>
                <w:rStyle w:val="Hyperlink"/>
                <w:rFonts w:ascii="Cambria" w:hAnsi="Cambria"/>
                <w:noProof/>
              </w:rPr>
              <w:t>Individuals Consulted on Statistical Aspects and Individuals Collecting and/or Analyzing Data</w:t>
            </w:r>
            <w:r w:rsidR="009F3EE4">
              <w:rPr>
                <w:noProof/>
                <w:webHidden/>
              </w:rPr>
              <w:tab/>
            </w:r>
            <w:r w:rsidR="009F3EE4">
              <w:rPr>
                <w:noProof/>
                <w:webHidden/>
              </w:rPr>
              <w:fldChar w:fldCharType="begin"/>
            </w:r>
            <w:r w:rsidR="009F3EE4">
              <w:rPr>
                <w:noProof/>
                <w:webHidden/>
              </w:rPr>
              <w:instrText xml:space="preserve"> PAGEREF _Toc6916155 \h </w:instrText>
            </w:r>
            <w:r w:rsidR="009F3EE4">
              <w:rPr>
                <w:noProof/>
                <w:webHidden/>
              </w:rPr>
            </w:r>
            <w:r w:rsidR="009F3EE4">
              <w:rPr>
                <w:noProof/>
                <w:webHidden/>
              </w:rPr>
              <w:fldChar w:fldCharType="separate"/>
            </w:r>
            <w:r w:rsidR="009F3EE4">
              <w:rPr>
                <w:noProof/>
                <w:webHidden/>
              </w:rPr>
              <w:t>11</w:t>
            </w:r>
            <w:r w:rsidR="009F3EE4">
              <w:rPr>
                <w:noProof/>
                <w:webHidden/>
              </w:rPr>
              <w:fldChar w:fldCharType="end"/>
            </w:r>
          </w:hyperlink>
        </w:p>
        <w:p w14:paraId="59A121DD" w14:textId="3D78FCBC" w:rsidR="009F3EE4" w:rsidRDefault="00D86D52">
          <w:pPr>
            <w:pStyle w:val="TOC1"/>
            <w:tabs>
              <w:tab w:val="right" w:leader="dot" w:pos="9350"/>
            </w:tabs>
            <w:rPr>
              <w:noProof/>
              <w:sz w:val="22"/>
              <w:szCs w:val="22"/>
            </w:rPr>
          </w:pPr>
          <w:hyperlink w:anchor="_Toc6916156" w:history="1">
            <w:r w:rsidR="009F3EE4" w:rsidRPr="00171A16">
              <w:rPr>
                <w:rStyle w:val="Hyperlink"/>
                <w:rFonts w:ascii="Cambria" w:hAnsi="Cambria"/>
                <w:noProof/>
              </w:rPr>
              <w:t>List of Attachments</w:t>
            </w:r>
            <w:r w:rsidR="009F3EE4">
              <w:rPr>
                <w:noProof/>
                <w:webHidden/>
              </w:rPr>
              <w:tab/>
            </w:r>
            <w:r w:rsidR="009F3EE4">
              <w:rPr>
                <w:noProof/>
                <w:webHidden/>
              </w:rPr>
              <w:fldChar w:fldCharType="begin"/>
            </w:r>
            <w:r w:rsidR="009F3EE4">
              <w:rPr>
                <w:noProof/>
                <w:webHidden/>
              </w:rPr>
              <w:instrText xml:space="preserve"> PAGEREF _Toc6916156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159D077C" w14:textId="59F52730" w:rsidR="009F3EE4" w:rsidRDefault="00D86D52">
          <w:pPr>
            <w:pStyle w:val="TOC2"/>
            <w:tabs>
              <w:tab w:val="right" w:leader="dot" w:pos="9350"/>
            </w:tabs>
            <w:rPr>
              <w:noProof/>
              <w:sz w:val="22"/>
              <w:szCs w:val="22"/>
            </w:rPr>
          </w:pPr>
          <w:hyperlink w:anchor="_Toc6916157" w:history="1">
            <w:r w:rsidR="009F3EE4" w:rsidRPr="00171A16">
              <w:rPr>
                <w:rStyle w:val="Hyperlink"/>
                <w:rFonts w:ascii="Times New Roman" w:hAnsi="Times New Roman" w:cs="Times New Roman"/>
                <w:noProof/>
              </w:rPr>
              <w:t>Attachment 1. Authorizing Legislation</w:t>
            </w:r>
            <w:r w:rsidR="009F3EE4">
              <w:rPr>
                <w:noProof/>
                <w:webHidden/>
              </w:rPr>
              <w:tab/>
            </w:r>
            <w:r w:rsidR="009F3EE4">
              <w:rPr>
                <w:noProof/>
                <w:webHidden/>
              </w:rPr>
              <w:fldChar w:fldCharType="begin"/>
            </w:r>
            <w:r w:rsidR="009F3EE4">
              <w:rPr>
                <w:noProof/>
                <w:webHidden/>
              </w:rPr>
              <w:instrText xml:space="preserve"> PAGEREF _Toc6916157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4434DE9D" w14:textId="1B5FCEF1" w:rsidR="009F3EE4" w:rsidRDefault="00D86D52">
          <w:pPr>
            <w:pStyle w:val="TOC3"/>
            <w:tabs>
              <w:tab w:val="right" w:leader="dot" w:pos="9350"/>
            </w:tabs>
            <w:rPr>
              <w:noProof/>
              <w:sz w:val="22"/>
              <w:szCs w:val="22"/>
            </w:rPr>
          </w:pPr>
          <w:hyperlink w:anchor="_Toc6916158" w:history="1">
            <w:r w:rsidR="009F3EE4" w:rsidRPr="00171A16">
              <w:rPr>
                <w:rStyle w:val="Hyperlink"/>
                <w:rFonts w:ascii="Times New Roman" w:hAnsi="Times New Roman" w:cs="Times New Roman"/>
                <w:noProof/>
              </w:rPr>
              <w:t>1a: Authorizing Legislation for PFAS Exposure Assessment</w:t>
            </w:r>
            <w:r w:rsidR="009F3EE4">
              <w:rPr>
                <w:noProof/>
                <w:webHidden/>
              </w:rPr>
              <w:tab/>
            </w:r>
            <w:r w:rsidR="009F3EE4">
              <w:rPr>
                <w:noProof/>
                <w:webHidden/>
              </w:rPr>
              <w:fldChar w:fldCharType="begin"/>
            </w:r>
            <w:r w:rsidR="009F3EE4">
              <w:rPr>
                <w:noProof/>
                <w:webHidden/>
              </w:rPr>
              <w:instrText xml:space="preserve"> PAGEREF _Toc6916158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3B4CFA36" w14:textId="629FEE53" w:rsidR="009F3EE4" w:rsidRDefault="00D86D52">
          <w:pPr>
            <w:pStyle w:val="TOC3"/>
            <w:tabs>
              <w:tab w:val="right" w:leader="dot" w:pos="9350"/>
            </w:tabs>
            <w:rPr>
              <w:noProof/>
              <w:sz w:val="22"/>
              <w:szCs w:val="22"/>
            </w:rPr>
          </w:pPr>
          <w:hyperlink w:anchor="_Toc6916159" w:history="1">
            <w:r w:rsidR="009F3EE4" w:rsidRPr="00171A16">
              <w:rPr>
                <w:rStyle w:val="Hyperlink"/>
                <w:rFonts w:ascii="Times New Roman" w:hAnsi="Times New Roman" w:cs="Times New Roman"/>
                <w:noProof/>
              </w:rPr>
              <w:t>1b: Authorizing Legislation for ATSDR</w:t>
            </w:r>
            <w:r w:rsidR="009F3EE4">
              <w:rPr>
                <w:noProof/>
                <w:webHidden/>
              </w:rPr>
              <w:tab/>
            </w:r>
            <w:r w:rsidR="009F3EE4">
              <w:rPr>
                <w:noProof/>
                <w:webHidden/>
              </w:rPr>
              <w:fldChar w:fldCharType="begin"/>
            </w:r>
            <w:r w:rsidR="009F3EE4">
              <w:rPr>
                <w:noProof/>
                <w:webHidden/>
              </w:rPr>
              <w:instrText xml:space="preserve"> PAGEREF _Toc6916159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1327C6E8" w14:textId="227FFFBC" w:rsidR="009F3EE4" w:rsidRDefault="00D86D52">
          <w:pPr>
            <w:pStyle w:val="TOC3"/>
            <w:tabs>
              <w:tab w:val="right" w:leader="dot" w:pos="9350"/>
            </w:tabs>
            <w:rPr>
              <w:noProof/>
              <w:sz w:val="22"/>
              <w:szCs w:val="22"/>
            </w:rPr>
          </w:pPr>
          <w:hyperlink w:anchor="_Toc6916160" w:history="1">
            <w:r w:rsidR="009F3EE4" w:rsidRPr="00171A16">
              <w:rPr>
                <w:rStyle w:val="Hyperlink"/>
                <w:rFonts w:ascii="Times New Roman" w:hAnsi="Times New Roman" w:cs="Times New Roman"/>
                <w:noProof/>
              </w:rPr>
              <w:t>1c: Authorizing Legislation for NCEH</w:t>
            </w:r>
            <w:r w:rsidR="009F3EE4">
              <w:rPr>
                <w:noProof/>
                <w:webHidden/>
              </w:rPr>
              <w:tab/>
            </w:r>
            <w:r w:rsidR="009F3EE4">
              <w:rPr>
                <w:noProof/>
                <w:webHidden/>
              </w:rPr>
              <w:fldChar w:fldCharType="begin"/>
            </w:r>
            <w:r w:rsidR="009F3EE4">
              <w:rPr>
                <w:noProof/>
                <w:webHidden/>
              </w:rPr>
              <w:instrText xml:space="preserve"> PAGEREF _Toc6916160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78066B39" w14:textId="7584581F" w:rsidR="009F3EE4" w:rsidRDefault="00D86D52">
          <w:pPr>
            <w:pStyle w:val="TOC2"/>
            <w:tabs>
              <w:tab w:val="right" w:leader="dot" w:pos="9350"/>
            </w:tabs>
            <w:rPr>
              <w:noProof/>
              <w:sz w:val="22"/>
              <w:szCs w:val="22"/>
            </w:rPr>
          </w:pPr>
          <w:hyperlink w:anchor="_Toc6916161" w:history="1">
            <w:r w:rsidR="009F3EE4" w:rsidRPr="00171A16">
              <w:rPr>
                <w:rStyle w:val="Hyperlink"/>
                <w:rFonts w:ascii="Times New Roman" w:hAnsi="Times New Roman" w:cs="Times New Roman"/>
                <w:noProof/>
              </w:rPr>
              <w:t>Attachment 2. 60-day Federal Register Notice</w:t>
            </w:r>
            <w:r w:rsidR="009F3EE4">
              <w:rPr>
                <w:noProof/>
                <w:webHidden/>
              </w:rPr>
              <w:tab/>
            </w:r>
            <w:r w:rsidR="009F3EE4">
              <w:rPr>
                <w:noProof/>
                <w:webHidden/>
              </w:rPr>
              <w:fldChar w:fldCharType="begin"/>
            </w:r>
            <w:r w:rsidR="009F3EE4">
              <w:rPr>
                <w:noProof/>
                <w:webHidden/>
              </w:rPr>
              <w:instrText xml:space="preserve"> PAGEREF _Toc6916161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294C6BB6" w14:textId="1FB83B85" w:rsidR="009F3EE4" w:rsidRDefault="00D86D52">
          <w:pPr>
            <w:pStyle w:val="TOC3"/>
            <w:tabs>
              <w:tab w:val="right" w:leader="dot" w:pos="9350"/>
            </w:tabs>
            <w:rPr>
              <w:noProof/>
              <w:sz w:val="22"/>
              <w:szCs w:val="22"/>
            </w:rPr>
          </w:pPr>
          <w:hyperlink w:anchor="_Toc6916162" w:history="1">
            <w:r w:rsidR="009F3EE4" w:rsidRPr="00171A16">
              <w:rPr>
                <w:rStyle w:val="Hyperlink"/>
                <w:rFonts w:ascii="Times New Roman" w:hAnsi="Times New Roman" w:cs="Times New Roman"/>
                <w:noProof/>
              </w:rPr>
              <w:t>2a. Program Responses to Public Comments</w:t>
            </w:r>
            <w:r w:rsidR="009F3EE4">
              <w:rPr>
                <w:noProof/>
                <w:webHidden/>
              </w:rPr>
              <w:tab/>
            </w:r>
            <w:r w:rsidR="009F3EE4">
              <w:rPr>
                <w:noProof/>
                <w:webHidden/>
              </w:rPr>
              <w:fldChar w:fldCharType="begin"/>
            </w:r>
            <w:r w:rsidR="009F3EE4">
              <w:rPr>
                <w:noProof/>
                <w:webHidden/>
              </w:rPr>
              <w:instrText xml:space="preserve"> PAGEREF _Toc6916162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73CCDE49" w14:textId="70FB511A" w:rsidR="009F3EE4" w:rsidRDefault="00D86D52">
          <w:pPr>
            <w:pStyle w:val="TOC4"/>
            <w:tabs>
              <w:tab w:val="right" w:leader="dot" w:pos="9350"/>
            </w:tabs>
            <w:rPr>
              <w:noProof/>
              <w:sz w:val="22"/>
              <w:szCs w:val="22"/>
            </w:rPr>
          </w:pPr>
          <w:hyperlink w:anchor="_Toc6916163" w:history="1">
            <w:r w:rsidR="009F3EE4" w:rsidRPr="00171A16">
              <w:rPr>
                <w:rStyle w:val="Hyperlink"/>
                <w:rFonts w:ascii="Times New Roman" w:hAnsi="Times New Roman" w:cs="Times New Roman"/>
                <w:noProof/>
              </w:rPr>
              <w:t>2a1-8. Public Comments</w:t>
            </w:r>
            <w:r w:rsidR="009F3EE4">
              <w:rPr>
                <w:noProof/>
                <w:webHidden/>
              </w:rPr>
              <w:tab/>
            </w:r>
            <w:r w:rsidR="009F3EE4">
              <w:rPr>
                <w:noProof/>
                <w:webHidden/>
              </w:rPr>
              <w:fldChar w:fldCharType="begin"/>
            </w:r>
            <w:r w:rsidR="009F3EE4">
              <w:rPr>
                <w:noProof/>
                <w:webHidden/>
              </w:rPr>
              <w:instrText xml:space="preserve"> PAGEREF _Toc6916163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15788711" w14:textId="0AF5F296" w:rsidR="009F3EE4" w:rsidRDefault="00D86D52">
          <w:pPr>
            <w:pStyle w:val="TOC2"/>
            <w:tabs>
              <w:tab w:val="right" w:leader="dot" w:pos="9350"/>
            </w:tabs>
            <w:rPr>
              <w:noProof/>
              <w:sz w:val="22"/>
              <w:szCs w:val="22"/>
            </w:rPr>
          </w:pPr>
          <w:hyperlink w:anchor="_Toc6916164" w:history="1">
            <w:r w:rsidR="009F3EE4" w:rsidRPr="00171A16">
              <w:rPr>
                <w:rStyle w:val="Hyperlink"/>
                <w:rFonts w:ascii="Times New Roman" w:hAnsi="Times New Roman" w:cs="Times New Roman"/>
                <w:noProof/>
              </w:rPr>
              <w:t>Attachment 3. PFAS Exposure Assessment Technical Tool (PEATT)</w:t>
            </w:r>
            <w:r w:rsidR="009F3EE4">
              <w:rPr>
                <w:noProof/>
                <w:webHidden/>
              </w:rPr>
              <w:tab/>
            </w:r>
            <w:r w:rsidR="009F3EE4">
              <w:rPr>
                <w:noProof/>
                <w:webHidden/>
              </w:rPr>
              <w:fldChar w:fldCharType="begin"/>
            </w:r>
            <w:r w:rsidR="009F3EE4">
              <w:rPr>
                <w:noProof/>
                <w:webHidden/>
              </w:rPr>
              <w:instrText xml:space="preserve"> PAGEREF _Toc6916164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4BE2440F" w14:textId="598BD8E1" w:rsidR="009F3EE4" w:rsidRDefault="00D86D52">
          <w:pPr>
            <w:pStyle w:val="TOC2"/>
            <w:tabs>
              <w:tab w:val="right" w:leader="dot" w:pos="9350"/>
            </w:tabs>
            <w:rPr>
              <w:noProof/>
              <w:sz w:val="22"/>
              <w:szCs w:val="22"/>
            </w:rPr>
          </w:pPr>
          <w:hyperlink w:anchor="_Toc6916165" w:history="1">
            <w:r w:rsidR="009F3EE4" w:rsidRPr="00171A16">
              <w:rPr>
                <w:rStyle w:val="Hyperlink"/>
                <w:rFonts w:ascii="Times New Roman" w:hAnsi="Times New Roman" w:cs="Times New Roman"/>
                <w:noProof/>
              </w:rPr>
              <w:t>Attachment 4. Example Exposure Investigation Report for PFAS</w:t>
            </w:r>
            <w:r w:rsidR="009F3EE4">
              <w:rPr>
                <w:noProof/>
                <w:webHidden/>
              </w:rPr>
              <w:tab/>
            </w:r>
            <w:r w:rsidR="009F3EE4">
              <w:rPr>
                <w:noProof/>
                <w:webHidden/>
              </w:rPr>
              <w:fldChar w:fldCharType="begin"/>
            </w:r>
            <w:r w:rsidR="009F3EE4">
              <w:rPr>
                <w:noProof/>
                <w:webHidden/>
              </w:rPr>
              <w:instrText xml:space="preserve"> PAGEREF _Toc6916165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4259C5B8" w14:textId="766A0EFA" w:rsidR="009F3EE4" w:rsidRDefault="00D86D52">
          <w:pPr>
            <w:pStyle w:val="TOC2"/>
            <w:tabs>
              <w:tab w:val="right" w:leader="dot" w:pos="9350"/>
            </w:tabs>
            <w:rPr>
              <w:noProof/>
              <w:sz w:val="22"/>
              <w:szCs w:val="22"/>
            </w:rPr>
          </w:pPr>
          <w:hyperlink w:anchor="_Toc6916166" w:history="1">
            <w:r w:rsidR="009F3EE4" w:rsidRPr="00171A16">
              <w:rPr>
                <w:rStyle w:val="Hyperlink"/>
                <w:rFonts w:ascii="Times New Roman" w:hAnsi="Times New Roman" w:cs="Times New Roman"/>
                <w:noProof/>
              </w:rPr>
              <w:t>Attachment 5: Privacy Impact Assessment</w:t>
            </w:r>
            <w:r w:rsidR="009F3EE4">
              <w:rPr>
                <w:noProof/>
                <w:webHidden/>
              </w:rPr>
              <w:tab/>
            </w:r>
            <w:r w:rsidR="009F3EE4">
              <w:rPr>
                <w:noProof/>
                <w:webHidden/>
              </w:rPr>
              <w:fldChar w:fldCharType="begin"/>
            </w:r>
            <w:r w:rsidR="009F3EE4">
              <w:rPr>
                <w:noProof/>
                <w:webHidden/>
              </w:rPr>
              <w:instrText xml:space="preserve"> PAGEREF _Toc6916166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09030E9F" w14:textId="6CD37ED0" w:rsidR="009F3EE4" w:rsidRDefault="00D86D52">
          <w:pPr>
            <w:pStyle w:val="TOC2"/>
            <w:tabs>
              <w:tab w:val="right" w:leader="dot" w:pos="9350"/>
            </w:tabs>
            <w:rPr>
              <w:noProof/>
              <w:sz w:val="22"/>
              <w:szCs w:val="22"/>
            </w:rPr>
          </w:pPr>
          <w:hyperlink w:anchor="_Toc6916167" w:history="1">
            <w:r w:rsidR="009F3EE4" w:rsidRPr="00171A16">
              <w:rPr>
                <w:rStyle w:val="Hyperlink"/>
                <w:rFonts w:ascii="Times New Roman" w:hAnsi="Times New Roman" w:cs="Times New Roman"/>
                <w:noProof/>
              </w:rPr>
              <w:t>Attachment 6: Data Use Agreement Template and SOP for Data Management</w:t>
            </w:r>
            <w:r w:rsidR="009F3EE4">
              <w:rPr>
                <w:noProof/>
                <w:webHidden/>
              </w:rPr>
              <w:tab/>
            </w:r>
            <w:r w:rsidR="009F3EE4">
              <w:rPr>
                <w:noProof/>
                <w:webHidden/>
              </w:rPr>
              <w:fldChar w:fldCharType="begin"/>
            </w:r>
            <w:r w:rsidR="009F3EE4">
              <w:rPr>
                <w:noProof/>
                <w:webHidden/>
              </w:rPr>
              <w:instrText xml:space="preserve"> PAGEREF _Toc6916167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55549704" w14:textId="3C2696DE" w:rsidR="009F3EE4" w:rsidRDefault="00D86D52">
          <w:pPr>
            <w:pStyle w:val="TOC3"/>
            <w:tabs>
              <w:tab w:val="right" w:leader="dot" w:pos="9350"/>
            </w:tabs>
            <w:rPr>
              <w:noProof/>
              <w:sz w:val="22"/>
              <w:szCs w:val="22"/>
            </w:rPr>
          </w:pPr>
          <w:hyperlink w:anchor="_Toc6916168" w:history="1">
            <w:r w:rsidR="009F3EE4" w:rsidRPr="00171A16">
              <w:rPr>
                <w:rStyle w:val="Hyperlink"/>
                <w:rFonts w:ascii="Times New Roman" w:hAnsi="Times New Roman" w:cs="Times New Roman"/>
                <w:noProof/>
              </w:rPr>
              <w:t>6a: Data Use Agreement Template</w:t>
            </w:r>
            <w:r w:rsidR="009F3EE4">
              <w:rPr>
                <w:noProof/>
                <w:webHidden/>
              </w:rPr>
              <w:tab/>
            </w:r>
            <w:r w:rsidR="009F3EE4">
              <w:rPr>
                <w:noProof/>
                <w:webHidden/>
              </w:rPr>
              <w:fldChar w:fldCharType="begin"/>
            </w:r>
            <w:r w:rsidR="009F3EE4">
              <w:rPr>
                <w:noProof/>
                <w:webHidden/>
              </w:rPr>
              <w:instrText xml:space="preserve"> PAGEREF _Toc6916168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29326991" w14:textId="6FAEEAD9" w:rsidR="009F3EE4" w:rsidRDefault="00D86D52">
          <w:pPr>
            <w:pStyle w:val="TOC3"/>
            <w:tabs>
              <w:tab w:val="right" w:leader="dot" w:pos="9350"/>
            </w:tabs>
            <w:rPr>
              <w:noProof/>
              <w:sz w:val="22"/>
              <w:szCs w:val="22"/>
            </w:rPr>
          </w:pPr>
          <w:hyperlink w:anchor="_Toc6916169" w:history="1">
            <w:r w:rsidR="009F3EE4" w:rsidRPr="00171A16">
              <w:rPr>
                <w:rStyle w:val="Hyperlink"/>
                <w:rFonts w:ascii="Times New Roman" w:hAnsi="Times New Roman" w:cs="Times New Roman"/>
                <w:noProof/>
              </w:rPr>
              <w:t>6b. SOP for Data Management</w:t>
            </w:r>
            <w:r w:rsidR="009F3EE4">
              <w:rPr>
                <w:noProof/>
                <w:webHidden/>
              </w:rPr>
              <w:tab/>
            </w:r>
            <w:r w:rsidR="009F3EE4">
              <w:rPr>
                <w:noProof/>
                <w:webHidden/>
              </w:rPr>
              <w:fldChar w:fldCharType="begin"/>
            </w:r>
            <w:r w:rsidR="009F3EE4">
              <w:rPr>
                <w:noProof/>
                <w:webHidden/>
              </w:rPr>
              <w:instrText xml:space="preserve"> PAGEREF _Toc6916169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0E08B5D9" w14:textId="1D1AD1C0" w:rsidR="009F3EE4" w:rsidRDefault="00D86D52">
          <w:pPr>
            <w:pStyle w:val="TOC2"/>
            <w:tabs>
              <w:tab w:val="right" w:leader="dot" w:pos="9350"/>
            </w:tabs>
            <w:rPr>
              <w:noProof/>
              <w:sz w:val="22"/>
              <w:szCs w:val="22"/>
            </w:rPr>
          </w:pPr>
          <w:hyperlink w:anchor="_Toc6916170" w:history="1">
            <w:r w:rsidR="009F3EE4" w:rsidRPr="00171A16">
              <w:rPr>
                <w:rStyle w:val="Hyperlink"/>
                <w:rFonts w:ascii="Times New Roman" w:hAnsi="Times New Roman" w:cs="Times New Roman"/>
                <w:noProof/>
              </w:rPr>
              <w:t>Attachment 7. Research Determination</w:t>
            </w:r>
            <w:r w:rsidR="009F3EE4">
              <w:rPr>
                <w:noProof/>
                <w:webHidden/>
              </w:rPr>
              <w:tab/>
            </w:r>
            <w:r w:rsidR="009F3EE4">
              <w:rPr>
                <w:noProof/>
                <w:webHidden/>
              </w:rPr>
              <w:fldChar w:fldCharType="begin"/>
            </w:r>
            <w:r w:rsidR="009F3EE4">
              <w:rPr>
                <w:noProof/>
                <w:webHidden/>
              </w:rPr>
              <w:instrText xml:space="preserve"> PAGEREF _Toc6916170 \h </w:instrText>
            </w:r>
            <w:r w:rsidR="009F3EE4">
              <w:rPr>
                <w:noProof/>
                <w:webHidden/>
              </w:rPr>
            </w:r>
            <w:r w:rsidR="009F3EE4">
              <w:rPr>
                <w:noProof/>
                <w:webHidden/>
              </w:rPr>
              <w:fldChar w:fldCharType="separate"/>
            </w:r>
            <w:r w:rsidR="009F3EE4">
              <w:rPr>
                <w:noProof/>
                <w:webHidden/>
              </w:rPr>
              <w:t>12</w:t>
            </w:r>
            <w:r w:rsidR="009F3EE4">
              <w:rPr>
                <w:noProof/>
                <w:webHidden/>
              </w:rPr>
              <w:fldChar w:fldCharType="end"/>
            </w:r>
          </w:hyperlink>
        </w:p>
        <w:p w14:paraId="1FAD510F" w14:textId="0C05033D" w:rsidR="00DB37E9" w:rsidRPr="00DB37E9" w:rsidRDefault="00DB37E9">
          <w:pPr>
            <w:rPr>
              <w:rFonts w:cstheme="minorHAnsi"/>
              <w:sz w:val="22"/>
              <w:szCs w:val="22"/>
            </w:rPr>
          </w:pPr>
          <w:r w:rsidRPr="00DB37E9">
            <w:rPr>
              <w:rFonts w:cstheme="minorHAnsi"/>
              <w:sz w:val="22"/>
              <w:szCs w:val="22"/>
            </w:rPr>
            <w:fldChar w:fldCharType="end"/>
          </w:r>
        </w:p>
      </w:sdtContent>
    </w:sdt>
    <w:p w14:paraId="7D43F710" w14:textId="77777777" w:rsidR="00DB37E9" w:rsidRPr="00DB37E9" w:rsidRDefault="00DB37E9">
      <w:pPr>
        <w:rPr>
          <w:rFonts w:cstheme="minorHAnsi"/>
          <w:sz w:val="22"/>
          <w:szCs w:val="22"/>
        </w:rPr>
      </w:pPr>
      <w:r w:rsidRPr="00DB37E9">
        <w:rPr>
          <w:rFonts w:cstheme="minorHAnsi"/>
          <w:sz w:val="22"/>
          <w:szCs w:val="22"/>
        </w:rPr>
        <w:br w:type="page"/>
      </w:r>
    </w:p>
    <w:p w14:paraId="613C53AC" w14:textId="495C8415" w:rsidR="00DD2606" w:rsidRPr="00E707C0" w:rsidRDefault="00DD2606" w:rsidP="00E2719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21849170" w14:textId="417C31EB" w:rsidR="00A6644C" w:rsidRPr="00A6644C" w:rsidRDefault="00A6644C" w:rsidP="00A6644C">
      <w:pPr>
        <w:spacing w:before="240" w:line="276" w:lineRule="auto"/>
        <w:rPr>
          <w:rFonts w:ascii="Times New Roman" w:hAnsi="Times New Roman" w:cs="Times New Roman"/>
          <w:sz w:val="24"/>
          <w:szCs w:val="24"/>
        </w:rPr>
      </w:pPr>
      <w:r w:rsidRPr="00A6644C">
        <w:rPr>
          <w:rFonts w:ascii="Times New Roman" w:hAnsi="Times New Roman" w:cs="Times New Roman"/>
          <w:sz w:val="24"/>
          <w:szCs w:val="24"/>
        </w:rPr>
        <w:t>As indicated in Part A, this new information collection request (ICR) is intended to complet</w:t>
      </w:r>
      <w:r w:rsidR="00A710EF">
        <w:rPr>
          <w:rFonts w:ascii="Times New Roman" w:hAnsi="Times New Roman" w:cs="Times New Roman"/>
          <w:sz w:val="24"/>
          <w:szCs w:val="24"/>
        </w:rPr>
        <w:t>e</w:t>
      </w:r>
      <w:r w:rsidRPr="00A6644C">
        <w:rPr>
          <w:rFonts w:ascii="Times New Roman" w:hAnsi="Times New Roman" w:cs="Times New Roman"/>
          <w:sz w:val="24"/>
          <w:szCs w:val="24"/>
        </w:rPr>
        <w:t xml:space="preserve"> per-</w:t>
      </w:r>
      <w:r w:rsidR="000A66EA">
        <w:rPr>
          <w:rFonts w:ascii="Times New Roman" w:hAnsi="Times New Roman" w:cs="Times New Roman"/>
          <w:sz w:val="24"/>
          <w:szCs w:val="24"/>
        </w:rPr>
        <w:t xml:space="preserve"> </w:t>
      </w:r>
      <w:r w:rsidRPr="00A6644C">
        <w:rPr>
          <w:rFonts w:ascii="Times New Roman" w:hAnsi="Times New Roman" w:cs="Times New Roman"/>
          <w:sz w:val="24"/>
          <w:szCs w:val="24"/>
        </w:rPr>
        <w:t xml:space="preserve">or </w:t>
      </w:r>
      <w:r w:rsidRPr="000A66EA">
        <w:rPr>
          <w:rFonts w:ascii="Times New Roman" w:hAnsi="Times New Roman" w:cs="Times New Roman"/>
          <w:sz w:val="24"/>
          <w:szCs w:val="24"/>
        </w:rPr>
        <w:t>polyfluoroalkyl substances exposure</w:t>
      </w:r>
      <w:r w:rsidR="000675DD">
        <w:rPr>
          <w:rFonts w:ascii="Times New Roman" w:hAnsi="Times New Roman" w:cs="Times New Roman"/>
          <w:sz w:val="24"/>
          <w:szCs w:val="24"/>
        </w:rPr>
        <w:t xml:space="preserve"> assessment</w:t>
      </w:r>
      <w:r w:rsidR="00D67CBE">
        <w:rPr>
          <w:rFonts w:ascii="Times New Roman" w:hAnsi="Times New Roman" w:cs="Times New Roman"/>
          <w:sz w:val="24"/>
          <w:szCs w:val="24"/>
        </w:rPr>
        <w:t>s</w:t>
      </w:r>
      <w:r w:rsidR="000675DD">
        <w:rPr>
          <w:rFonts w:ascii="Times New Roman" w:hAnsi="Times New Roman" w:cs="Times New Roman"/>
          <w:sz w:val="24"/>
          <w:szCs w:val="24"/>
        </w:rPr>
        <w:t xml:space="preserve"> (PFAS EAs)</w:t>
      </w:r>
      <w:r w:rsidRPr="000A66EA">
        <w:rPr>
          <w:rFonts w:ascii="Times New Roman" w:hAnsi="Times New Roman" w:cs="Times New Roman"/>
          <w:sz w:val="24"/>
          <w:szCs w:val="24"/>
        </w:rPr>
        <w:t xml:space="preserve"> </w:t>
      </w:r>
      <w:r w:rsidR="00D67CBE">
        <w:rPr>
          <w:rFonts w:ascii="Times New Roman" w:hAnsi="Times New Roman" w:cs="Times New Roman"/>
          <w:sz w:val="24"/>
          <w:szCs w:val="24"/>
        </w:rPr>
        <w:t>authorized</w:t>
      </w:r>
      <w:r w:rsidRPr="000A66EA">
        <w:rPr>
          <w:rFonts w:ascii="Times New Roman" w:hAnsi="Times New Roman" w:cs="Times New Roman"/>
          <w:sz w:val="24"/>
          <w:szCs w:val="24"/>
        </w:rPr>
        <w:t xml:space="preserve"> in </w:t>
      </w:r>
      <w:r w:rsidR="000A66EA" w:rsidRPr="00331515">
        <w:rPr>
          <w:rFonts w:ascii="Times New Roman" w:hAnsi="Times New Roman" w:cs="Times New Roman"/>
          <w:i/>
          <w:color w:val="000000"/>
          <w:sz w:val="24"/>
          <w:szCs w:val="24"/>
        </w:rPr>
        <w:t>Section 8006 of the</w:t>
      </w:r>
      <w:r w:rsidR="000A66EA" w:rsidRPr="00331515">
        <w:rPr>
          <w:rStyle w:val="Hyperlink"/>
          <w:rFonts w:ascii="Times New Roman" w:hAnsi="Times New Roman" w:cs="Times New Roman"/>
          <w:i/>
          <w:iCs/>
          <w:color w:val="auto"/>
          <w:sz w:val="24"/>
          <w:szCs w:val="24"/>
          <w:u w:val="none"/>
        </w:rPr>
        <w:t xml:space="preserve"> </w:t>
      </w:r>
      <w:r w:rsidR="000A66EA" w:rsidRPr="00331515">
        <w:rPr>
          <w:rFonts w:ascii="Times New Roman" w:hAnsi="Times New Roman" w:cs="Times New Roman"/>
          <w:i/>
          <w:iCs/>
          <w:sz w:val="24"/>
          <w:szCs w:val="24"/>
        </w:rPr>
        <w:t>Consolidated Appropriations Act, 2018</w:t>
      </w:r>
      <w:r w:rsidRPr="000A66EA">
        <w:rPr>
          <w:rFonts w:ascii="Times New Roman" w:hAnsi="Times New Roman" w:cs="Times New Roman"/>
          <w:color w:val="000000"/>
          <w:sz w:val="24"/>
          <w:szCs w:val="24"/>
        </w:rPr>
        <w:t>.</w:t>
      </w:r>
      <w:r w:rsidRPr="00A6644C">
        <w:rPr>
          <w:rFonts w:ascii="Times New Roman" w:hAnsi="Times New Roman" w:cs="Times New Roman"/>
          <w:color w:val="000000"/>
          <w:sz w:val="24"/>
          <w:szCs w:val="24"/>
        </w:rPr>
        <w:t xml:space="preserve"> </w:t>
      </w:r>
    </w:p>
    <w:p w14:paraId="75CC4BC7" w14:textId="5493CB8D" w:rsidR="00A6644C" w:rsidRPr="00A6644C" w:rsidRDefault="000A66EA" w:rsidP="00A6644C">
      <w:pPr>
        <w:spacing w:before="240" w:line="276" w:lineRule="auto"/>
        <w:rPr>
          <w:rFonts w:ascii="Times New Roman" w:hAnsi="Times New Roman" w:cs="Times New Roman"/>
          <w:sz w:val="24"/>
          <w:szCs w:val="24"/>
        </w:rPr>
      </w:pPr>
      <w:r>
        <w:rPr>
          <w:rFonts w:ascii="Times New Roman" w:hAnsi="Times New Roman" w:cs="Times New Roman"/>
          <w:sz w:val="24"/>
          <w:szCs w:val="24"/>
        </w:rPr>
        <w:t>T</w:t>
      </w:r>
      <w:r w:rsidR="00A6644C" w:rsidRPr="00A6644C">
        <w:rPr>
          <w:rFonts w:ascii="Times New Roman" w:hAnsi="Times New Roman" w:cs="Times New Roman"/>
          <w:sz w:val="24"/>
          <w:szCs w:val="24"/>
        </w:rPr>
        <w:t>he Agency for Toxic Substances and Disease Registry and the National Center for Environmental Health (</w:t>
      </w:r>
      <w:r w:rsidR="000675DD">
        <w:rPr>
          <w:rFonts w:ascii="Times New Roman" w:hAnsi="Times New Roman" w:cs="Times New Roman"/>
          <w:sz w:val="24"/>
          <w:szCs w:val="24"/>
        </w:rPr>
        <w:t>ATSDR/</w:t>
      </w:r>
      <w:r w:rsidR="00A6644C" w:rsidRPr="00A6644C">
        <w:rPr>
          <w:rFonts w:ascii="Times New Roman" w:hAnsi="Times New Roman" w:cs="Times New Roman"/>
          <w:sz w:val="24"/>
          <w:szCs w:val="24"/>
        </w:rPr>
        <w:t xml:space="preserve">NCEH) will use statistical methods to identify participants </w:t>
      </w:r>
      <w:r w:rsidR="00AC0A78">
        <w:rPr>
          <w:rFonts w:ascii="Times New Roman" w:hAnsi="Times New Roman" w:cs="Times New Roman"/>
          <w:sz w:val="24"/>
          <w:szCs w:val="24"/>
        </w:rPr>
        <w:t>on or near current or former</w:t>
      </w:r>
      <w:r w:rsidR="00A6644C" w:rsidRPr="00A6644C">
        <w:rPr>
          <w:rFonts w:ascii="Times New Roman" w:hAnsi="Times New Roman" w:cs="Times New Roman"/>
          <w:sz w:val="24"/>
          <w:szCs w:val="24"/>
        </w:rPr>
        <w:t xml:space="preserve"> domestic military installations known to have PFAS contamination in drinking water, groundwater or other water sources. </w:t>
      </w:r>
      <w:r>
        <w:rPr>
          <w:rFonts w:ascii="Times New Roman" w:hAnsi="Times New Roman" w:cs="Times New Roman"/>
          <w:color w:val="000000"/>
          <w:sz w:val="24"/>
          <w:szCs w:val="24"/>
        </w:rPr>
        <w:t>A</w:t>
      </w:r>
      <w:r w:rsidR="00A6644C" w:rsidRPr="00A6644C">
        <w:rPr>
          <w:rFonts w:ascii="Times New Roman" w:hAnsi="Times New Roman" w:cs="Times New Roman"/>
          <w:color w:val="000000"/>
          <w:sz w:val="24"/>
          <w:szCs w:val="24"/>
        </w:rPr>
        <w:t xml:space="preserve"> minimum of </w:t>
      </w:r>
      <w:r w:rsidR="00216467">
        <w:rPr>
          <w:rFonts w:ascii="Times New Roman" w:hAnsi="Times New Roman" w:cs="Times New Roman"/>
          <w:color w:val="000000"/>
          <w:sz w:val="24"/>
          <w:szCs w:val="24"/>
        </w:rPr>
        <w:t>eight</w:t>
      </w:r>
      <w:r w:rsidR="00A6644C" w:rsidRPr="00A6644C">
        <w:rPr>
          <w:rFonts w:ascii="Times New Roman" w:hAnsi="Times New Roman" w:cs="Times New Roman"/>
          <w:color w:val="000000"/>
          <w:sz w:val="24"/>
          <w:szCs w:val="24"/>
        </w:rPr>
        <w:t xml:space="preserve"> EAs </w:t>
      </w:r>
      <w:r>
        <w:rPr>
          <w:rFonts w:ascii="Times New Roman" w:hAnsi="Times New Roman" w:cs="Times New Roman"/>
          <w:color w:val="000000"/>
          <w:sz w:val="24"/>
          <w:szCs w:val="24"/>
        </w:rPr>
        <w:t xml:space="preserve">will </w:t>
      </w:r>
      <w:r w:rsidR="00A6644C" w:rsidRPr="00A6644C">
        <w:rPr>
          <w:rFonts w:ascii="Times New Roman" w:hAnsi="Times New Roman" w:cs="Times New Roman"/>
          <w:color w:val="000000"/>
          <w:sz w:val="24"/>
          <w:szCs w:val="24"/>
        </w:rPr>
        <w:t xml:space="preserve">be completed to assess exposure to PFAS in the environment at these locations. </w:t>
      </w:r>
    </w:p>
    <w:p w14:paraId="35D8BE6E" w14:textId="7B46F9C6" w:rsidR="00A563BF" w:rsidRPr="00C07125" w:rsidRDefault="00A563BF" w:rsidP="00A563BF">
      <w:pPr>
        <w:spacing w:before="120" w:line="276" w:lineRule="auto"/>
        <w:rPr>
          <w:rFonts w:ascii="Times New Roman" w:hAnsi="Times New Roman"/>
          <w:sz w:val="24"/>
        </w:rPr>
      </w:pPr>
      <w:r w:rsidRPr="00C84417">
        <w:rPr>
          <w:rFonts w:ascii="Times New Roman" w:hAnsi="Times New Roman" w:cs="Times New Roman"/>
          <w:color w:val="000000" w:themeColor="text1"/>
          <w:sz w:val="24"/>
          <w:szCs w:val="24"/>
        </w:rPr>
        <w:t xml:space="preserve">A protocol has been prepared that will be used for all of EAs that will be conducted </w:t>
      </w:r>
      <w:r w:rsidRPr="00305ECE">
        <w:rPr>
          <w:rFonts w:ascii="Times New Roman" w:hAnsi="Times New Roman" w:cs="Times New Roman"/>
          <w:sz w:val="24"/>
          <w:szCs w:val="24"/>
        </w:rPr>
        <w:t>by t</w:t>
      </w:r>
      <w:r w:rsidRPr="00C84417">
        <w:rPr>
          <w:rFonts w:ascii="Times New Roman" w:hAnsi="Times New Roman" w:cs="Times New Roman"/>
          <w:sz w:val="24"/>
          <w:szCs w:val="24"/>
        </w:rPr>
        <w:t xml:space="preserve">rained </w:t>
      </w:r>
      <w:r w:rsidRPr="00305ECE">
        <w:rPr>
          <w:rFonts w:ascii="Times New Roman" w:hAnsi="Times New Roman" w:cs="Times New Roman"/>
          <w:sz w:val="24"/>
          <w:szCs w:val="24"/>
        </w:rPr>
        <w:t>ATSDR/NCEH</w:t>
      </w:r>
      <w:r w:rsidRPr="00C84417">
        <w:rPr>
          <w:rFonts w:ascii="Times New Roman" w:hAnsi="Times New Roman" w:cs="Times New Roman"/>
          <w:sz w:val="24"/>
          <w:szCs w:val="24"/>
        </w:rPr>
        <w:t xml:space="preserve"> staff</w:t>
      </w:r>
      <w:r>
        <w:rPr>
          <w:rFonts w:ascii="Times New Roman" w:hAnsi="Times New Roman" w:cs="Times New Roman"/>
          <w:sz w:val="24"/>
          <w:szCs w:val="24"/>
        </w:rPr>
        <w:t xml:space="preserve"> and</w:t>
      </w:r>
      <w:r w:rsidRPr="00C84417">
        <w:rPr>
          <w:rFonts w:ascii="Times New Roman" w:hAnsi="Times New Roman" w:cs="Times New Roman"/>
          <w:sz w:val="24"/>
          <w:szCs w:val="24"/>
        </w:rPr>
        <w:t xml:space="preserve"> contractors</w:t>
      </w:r>
      <w:r>
        <w:rPr>
          <w:rFonts w:ascii="Times New Roman" w:hAnsi="Times New Roman" w:cs="Times New Roman"/>
          <w:sz w:val="24"/>
          <w:szCs w:val="24"/>
        </w:rPr>
        <w:t xml:space="preserve"> </w:t>
      </w:r>
      <w:r w:rsidRPr="00305ECE">
        <w:rPr>
          <w:rFonts w:ascii="Times New Roman" w:hAnsi="Times New Roman" w:cs="Times New Roman"/>
          <w:color w:val="000000" w:themeColor="text1"/>
          <w:sz w:val="24"/>
          <w:szCs w:val="24"/>
        </w:rPr>
        <w:t>(</w:t>
      </w:r>
      <w:r w:rsidR="00C615C8">
        <w:rPr>
          <w:rFonts w:ascii="Times New Roman" w:hAnsi="Times New Roman" w:cs="Times New Roman"/>
          <w:b/>
          <w:color w:val="000000" w:themeColor="text1"/>
          <w:sz w:val="24"/>
          <w:szCs w:val="24"/>
        </w:rPr>
        <w:t>PFAS EA Protocol</w:t>
      </w:r>
      <w:r w:rsidRPr="00305ECE">
        <w:rPr>
          <w:rFonts w:ascii="Times New Roman" w:hAnsi="Times New Roman" w:cs="Times New Roman"/>
          <w:color w:val="000000" w:themeColor="text1"/>
          <w:sz w:val="24"/>
          <w:szCs w:val="24"/>
        </w:rPr>
        <w:t>).</w:t>
      </w:r>
      <w:r w:rsidRPr="00305ECE">
        <w:rPr>
          <w:rStyle w:val="FootnoteReference"/>
          <w:rFonts w:ascii="Times New Roman" w:hAnsi="Times New Roman"/>
          <w:color w:val="000000" w:themeColor="text1"/>
          <w:sz w:val="24"/>
          <w:szCs w:val="24"/>
        </w:rPr>
        <w:footnoteReference w:id="2"/>
      </w:r>
      <w:r w:rsidRPr="00305ECE">
        <w:rPr>
          <w:rFonts w:ascii="Times New Roman" w:hAnsi="Times New Roman" w:cs="Times New Roman"/>
          <w:color w:val="000000" w:themeColor="text1"/>
          <w:sz w:val="24"/>
          <w:szCs w:val="24"/>
        </w:rPr>
        <w:t xml:space="preserve"> The protocol includes:</w:t>
      </w:r>
    </w:p>
    <w:p w14:paraId="570E61A5" w14:textId="77777777" w:rsidR="00A563BF" w:rsidRPr="00305ECE" w:rsidRDefault="00A563BF" w:rsidP="00A563BF">
      <w:pPr>
        <w:numPr>
          <w:ilvl w:val="0"/>
          <w:numId w:val="17"/>
        </w:numPr>
        <w:spacing w:line="276" w:lineRule="auto"/>
        <w:ind w:left="1080"/>
        <w:contextualSpacing/>
        <w:rPr>
          <w:rFonts w:ascii="Times New Roman" w:hAnsi="Times New Roman" w:cs="Times New Roman"/>
          <w:bCs/>
          <w:sz w:val="24"/>
          <w:szCs w:val="24"/>
        </w:rPr>
      </w:pPr>
      <w:r w:rsidRPr="00305ECE">
        <w:rPr>
          <w:rFonts w:ascii="Times New Roman" w:eastAsia="Arial Unicode MS" w:hAnsi="Times New Roman" w:cs="Times New Roman"/>
          <w:sz w:val="24"/>
          <w:szCs w:val="24"/>
        </w:rPr>
        <w:t>The specific details of the statistically based recruitment design and sample size goals.</w:t>
      </w:r>
    </w:p>
    <w:p w14:paraId="2864D58B" w14:textId="6EE79B52" w:rsidR="00816CE9" w:rsidRDefault="00816CE9" w:rsidP="00A563BF">
      <w:pPr>
        <w:numPr>
          <w:ilvl w:val="1"/>
          <w:numId w:val="17"/>
        </w:numPr>
        <w:spacing w:after="0" w:line="276" w:lineRule="auto"/>
        <w:ind w:left="1080"/>
        <w:rPr>
          <w:rFonts w:ascii="Times New Roman" w:hAnsi="Times New Roman" w:cs="Times New Roman"/>
          <w:sz w:val="24"/>
          <w:szCs w:val="24"/>
        </w:rPr>
      </w:pPr>
      <w:r>
        <w:rPr>
          <w:rFonts w:ascii="Times New Roman" w:hAnsi="Times New Roman" w:cs="Times New Roman"/>
          <w:sz w:val="24"/>
          <w:szCs w:val="24"/>
        </w:rPr>
        <w:t>All recruitment materials, consent forms and questionnaire forms</w:t>
      </w:r>
      <w:r w:rsidR="00F76822">
        <w:rPr>
          <w:rFonts w:ascii="Times New Roman" w:hAnsi="Times New Roman" w:cs="Times New Roman"/>
          <w:sz w:val="24"/>
          <w:szCs w:val="24"/>
        </w:rPr>
        <w:t xml:space="preserve"> (</w:t>
      </w:r>
      <w:r w:rsidR="00F76822" w:rsidRPr="00EA5DF4">
        <w:rPr>
          <w:rFonts w:ascii="Times New Roman" w:hAnsi="Times New Roman" w:cs="Times New Roman"/>
          <w:b/>
          <w:sz w:val="24"/>
          <w:szCs w:val="24"/>
        </w:rPr>
        <w:t>A</w:t>
      </w:r>
      <w:r w:rsidR="00C615C8">
        <w:rPr>
          <w:rFonts w:ascii="Times New Roman" w:hAnsi="Times New Roman" w:cs="Times New Roman"/>
          <w:b/>
          <w:sz w:val="24"/>
          <w:szCs w:val="24"/>
        </w:rPr>
        <w:t>ppendices A,B,</w:t>
      </w:r>
      <w:r w:rsidR="000673C1">
        <w:rPr>
          <w:rFonts w:ascii="Times New Roman" w:hAnsi="Times New Roman" w:cs="Times New Roman"/>
          <w:b/>
          <w:sz w:val="24"/>
          <w:szCs w:val="24"/>
        </w:rPr>
        <w:t xml:space="preserve"> and </w:t>
      </w:r>
      <w:r w:rsidR="00C615C8">
        <w:rPr>
          <w:rFonts w:ascii="Times New Roman" w:hAnsi="Times New Roman" w:cs="Times New Roman"/>
          <w:b/>
          <w:sz w:val="24"/>
          <w:szCs w:val="24"/>
        </w:rPr>
        <w:t>F</w:t>
      </w:r>
      <w:r w:rsidR="00F76822">
        <w:rPr>
          <w:rFonts w:ascii="Times New Roman" w:hAnsi="Times New Roman" w:cs="Times New Roman"/>
          <w:sz w:val="24"/>
          <w:szCs w:val="24"/>
        </w:rPr>
        <w:t>)</w:t>
      </w:r>
    </w:p>
    <w:p w14:paraId="028FE07F" w14:textId="463E9505" w:rsidR="00A563BF" w:rsidRDefault="00A563BF" w:rsidP="00A563BF">
      <w:pPr>
        <w:numPr>
          <w:ilvl w:val="0"/>
          <w:numId w:val="17"/>
        </w:numPr>
        <w:tabs>
          <w:tab w:val="left" w:pos="720"/>
          <w:tab w:val="left" w:pos="1080"/>
        </w:tabs>
        <w:spacing w:after="0" w:line="276" w:lineRule="auto"/>
        <w:ind w:left="1080"/>
        <w:rPr>
          <w:rFonts w:ascii="Times New Roman" w:eastAsia="Arial Unicode MS" w:hAnsi="Times New Roman" w:cs="Times New Roman"/>
          <w:sz w:val="24"/>
          <w:szCs w:val="24"/>
        </w:rPr>
      </w:pPr>
      <w:r w:rsidRPr="00C84417">
        <w:rPr>
          <w:rFonts w:ascii="Times New Roman" w:eastAsia="Arial Unicode MS" w:hAnsi="Times New Roman" w:cs="Times New Roman"/>
          <w:sz w:val="24"/>
          <w:szCs w:val="24"/>
        </w:rPr>
        <w:t>Sampling and analytical methods that will be used to determine levels of PFAS in biological and environmental samples</w:t>
      </w:r>
      <w:r w:rsidR="00C615C8">
        <w:rPr>
          <w:rFonts w:ascii="Times New Roman" w:eastAsia="Arial Unicode MS" w:hAnsi="Times New Roman" w:cs="Times New Roman"/>
          <w:sz w:val="24"/>
          <w:szCs w:val="24"/>
        </w:rPr>
        <w:t xml:space="preserve"> (</w:t>
      </w:r>
      <w:r w:rsidR="00C615C8">
        <w:rPr>
          <w:rFonts w:ascii="Times New Roman" w:eastAsia="Arial Unicode MS" w:hAnsi="Times New Roman" w:cs="Times New Roman"/>
          <w:b/>
          <w:sz w:val="24"/>
          <w:szCs w:val="24"/>
        </w:rPr>
        <w:t>Appendices C</w:t>
      </w:r>
      <w:r w:rsidR="000673C1">
        <w:rPr>
          <w:rFonts w:ascii="Times New Roman" w:eastAsia="Arial Unicode MS" w:hAnsi="Times New Roman" w:cs="Times New Roman"/>
          <w:b/>
          <w:sz w:val="24"/>
          <w:szCs w:val="24"/>
        </w:rPr>
        <w:t xml:space="preserve"> to </w:t>
      </w:r>
      <w:r w:rsidR="00C615C8">
        <w:rPr>
          <w:rFonts w:ascii="Times New Roman" w:eastAsia="Arial Unicode MS" w:hAnsi="Times New Roman" w:cs="Times New Roman"/>
          <w:b/>
          <w:sz w:val="24"/>
          <w:szCs w:val="24"/>
        </w:rPr>
        <w:t>E</w:t>
      </w:r>
      <w:r w:rsidR="00C615C8">
        <w:rPr>
          <w:rFonts w:ascii="Times New Roman" w:eastAsia="Arial Unicode MS" w:hAnsi="Times New Roman" w:cs="Times New Roman"/>
          <w:sz w:val="24"/>
          <w:szCs w:val="24"/>
        </w:rPr>
        <w:t>)</w:t>
      </w:r>
      <w:r w:rsidRPr="00C84417">
        <w:rPr>
          <w:rFonts w:ascii="Times New Roman" w:eastAsia="Arial Unicode MS" w:hAnsi="Times New Roman" w:cs="Times New Roman"/>
          <w:sz w:val="24"/>
          <w:szCs w:val="24"/>
        </w:rPr>
        <w:t>.</w:t>
      </w:r>
    </w:p>
    <w:p w14:paraId="204EDE44" w14:textId="77777777" w:rsidR="00C90FA8" w:rsidRPr="004B34BF" w:rsidRDefault="00C90FA8" w:rsidP="00C90FA8">
      <w:pPr>
        <w:numPr>
          <w:ilvl w:val="0"/>
          <w:numId w:val="17"/>
        </w:numPr>
        <w:spacing w:after="0" w:line="276" w:lineRule="auto"/>
        <w:ind w:left="1080"/>
        <w:rPr>
          <w:rFonts w:ascii="Times New Roman" w:hAnsi="Times New Roman" w:cs="Times New Roman"/>
          <w:sz w:val="24"/>
          <w:szCs w:val="24"/>
        </w:rPr>
      </w:pPr>
      <w:r>
        <w:rPr>
          <w:rFonts w:ascii="Times New Roman" w:eastAsia="Arial Unicode MS" w:hAnsi="Times New Roman" w:cs="Times New Roman"/>
          <w:sz w:val="24"/>
          <w:szCs w:val="24"/>
        </w:rPr>
        <w:t>R</w:t>
      </w:r>
      <w:r w:rsidRPr="00C84417">
        <w:rPr>
          <w:rFonts w:ascii="Times New Roman" w:eastAsia="Arial Unicode MS" w:hAnsi="Times New Roman" w:cs="Times New Roman"/>
          <w:sz w:val="24"/>
          <w:szCs w:val="24"/>
        </w:rPr>
        <w:t>esults letters that will be provided to respondents with their individual results</w:t>
      </w:r>
      <w:r w:rsidRPr="00C07125">
        <w:rPr>
          <w:rFonts w:ascii="Times New Roman" w:hAnsi="Times New Roman"/>
          <w:sz w:val="24"/>
        </w:rPr>
        <w:t xml:space="preserve"> (</w:t>
      </w:r>
      <w:r w:rsidRPr="00C07125">
        <w:rPr>
          <w:rFonts w:ascii="Times New Roman" w:hAnsi="Times New Roman"/>
          <w:b/>
          <w:sz w:val="24"/>
        </w:rPr>
        <w:t>A</w:t>
      </w:r>
      <w:r>
        <w:rPr>
          <w:rFonts w:ascii="Times New Roman" w:hAnsi="Times New Roman"/>
          <w:b/>
          <w:sz w:val="24"/>
        </w:rPr>
        <w:t>ppendix G</w:t>
      </w:r>
      <w:r w:rsidRPr="00C84417">
        <w:rPr>
          <w:rFonts w:ascii="Times New Roman" w:eastAsia="Arial Unicode MS" w:hAnsi="Times New Roman" w:cs="Times New Roman"/>
          <w:sz w:val="24"/>
          <w:szCs w:val="24"/>
        </w:rPr>
        <w:t>).</w:t>
      </w:r>
    </w:p>
    <w:p w14:paraId="6F78A3E7" w14:textId="55E0CA7C" w:rsidR="00A563BF" w:rsidRDefault="00A563BF" w:rsidP="00A563BF">
      <w:pPr>
        <w:numPr>
          <w:ilvl w:val="0"/>
          <w:numId w:val="17"/>
        </w:numPr>
        <w:spacing w:after="0" w:line="276" w:lineRule="auto"/>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A Site Health and Safety plan for the EAs</w:t>
      </w:r>
      <w:r w:rsidR="00C615C8">
        <w:rPr>
          <w:rFonts w:ascii="Times New Roman" w:eastAsia="Arial Unicode MS" w:hAnsi="Times New Roman" w:cs="Times New Roman"/>
          <w:sz w:val="24"/>
          <w:szCs w:val="24"/>
        </w:rPr>
        <w:t xml:space="preserve"> (</w:t>
      </w:r>
      <w:r w:rsidR="00C615C8">
        <w:rPr>
          <w:rFonts w:ascii="Times New Roman" w:eastAsia="Arial Unicode MS" w:hAnsi="Times New Roman" w:cs="Times New Roman"/>
          <w:b/>
          <w:sz w:val="24"/>
          <w:szCs w:val="24"/>
        </w:rPr>
        <w:t>Appendix H</w:t>
      </w:r>
      <w:r w:rsidR="00C615C8">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p>
    <w:p w14:paraId="0234D3DA" w14:textId="7B0B058D" w:rsidR="00A563BF" w:rsidRDefault="00A563BF" w:rsidP="00A563BF">
      <w:pPr>
        <w:numPr>
          <w:ilvl w:val="0"/>
          <w:numId w:val="17"/>
        </w:numPr>
        <w:spacing w:after="0" w:line="276" w:lineRule="auto"/>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A Data Management Plan for the EAs</w:t>
      </w:r>
      <w:r w:rsidR="00C615C8">
        <w:rPr>
          <w:rFonts w:ascii="Times New Roman" w:eastAsia="Arial Unicode MS" w:hAnsi="Times New Roman" w:cs="Times New Roman"/>
          <w:sz w:val="24"/>
          <w:szCs w:val="24"/>
        </w:rPr>
        <w:t xml:space="preserve"> (</w:t>
      </w:r>
      <w:r w:rsidR="00C615C8">
        <w:rPr>
          <w:rFonts w:ascii="Times New Roman" w:eastAsia="Arial Unicode MS" w:hAnsi="Times New Roman" w:cs="Times New Roman"/>
          <w:b/>
          <w:sz w:val="24"/>
          <w:szCs w:val="24"/>
        </w:rPr>
        <w:t>Appendix I</w:t>
      </w:r>
      <w:r w:rsidR="00C615C8">
        <w:rPr>
          <w:rFonts w:ascii="Times New Roman" w:eastAsia="Arial Unicode MS" w:hAnsi="Times New Roman" w:cs="Times New Roman"/>
          <w:sz w:val="24"/>
          <w:szCs w:val="24"/>
        </w:rPr>
        <w:t>)</w:t>
      </w:r>
      <w:r>
        <w:rPr>
          <w:rFonts w:ascii="Times New Roman" w:eastAsia="Arial Unicode MS" w:hAnsi="Times New Roman" w:cs="Times New Roman"/>
          <w:sz w:val="24"/>
          <w:szCs w:val="24"/>
        </w:rPr>
        <w:t>.</w:t>
      </w:r>
    </w:p>
    <w:p w14:paraId="5D217CD1" w14:textId="77777777" w:rsidR="00A563BF" w:rsidRDefault="00A563BF" w:rsidP="00A563BF">
      <w:pPr>
        <w:spacing w:after="0" w:line="276" w:lineRule="auto"/>
        <w:rPr>
          <w:rFonts w:ascii="Times New Roman" w:hAnsi="Times New Roman" w:cs="Times New Roman"/>
          <w:color w:val="000000"/>
          <w:sz w:val="24"/>
          <w:szCs w:val="24"/>
        </w:rPr>
      </w:pPr>
    </w:p>
    <w:p w14:paraId="68BE348A" w14:textId="7AE205D6" w:rsidR="00A563BF" w:rsidRPr="00C07125" w:rsidRDefault="00A563BF" w:rsidP="00A563BF">
      <w:pPr>
        <w:spacing w:after="0" w:line="276" w:lineRule="auto"/>
        <w:rPr>
          <w:rFonts w:ascii="Times New Roman" w:hAnsi="Times New Roman"/>
          <w:sz w:val="24"/>
        </w:rPr>
      </w:pPr>
      <w:r w:rsidRPr="00C8441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community report</w:t>
      </w:r>
      <w:r w:rsidRPr="00C84417">
        <w:rPr>
          <w:rFonts w:ascii="Times New Roman" w:hAnsi="Times New Roman" w:cs="Times New Roman"/>
          <w:color w:val="000000"/>
          <w:sz w:val="24"/>
          <w:szCs w:val="24"/>
        </w:rPr>
        <w:t xml:space="preserve"> will be written detailing the results of the EA</w:t>
      </w:r>
      <w:r>
        <w:rPr>
          <w:rFonts w:ascii="Times New Roman" w:hAnsi="Times New Roman" w:cs="Times New Roman"/>
          <w:color w:val="000000"/>
          <w:sz w:val="24"/>
          <w:szCs w:val="24"/>
        </w:rPr>
        <w:t xml:space="preserve"> when completed. </w:t>
      </w:r>
      <w:r w:rsidRPr="00C84417">
        <w:rPr>
          <w:rFonts w:ascii="Times New Roman" w:hAnsi="Times New Roman" w:cs="Times New Roman"/>
          <w:b/>
          <w:color w:val="000000"/>
          <w:sz w:val="24"/>
          <w:szCs w:val="24"/>
        </w:rPr>
        <w:t xml:space="preserve">Attachment </w:t>
      </w:r>
      <w:r w:rsidR="003D270D">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provides an example report from a previous ATSDR PFAS exposure investigation (EI)</w:t>
      </w:r>
      <w:r w:rsidRPr="00C84417">
        <w:rPr>
          <w:rFonts w:ascii="Times New Roman" w:hAnsi="Times New Roman" w:cs="Times New Roman"/>
          <w:color w:val="000000"/>
          <w:sz w:val="24"/>
          <w:szCs w:val="24"/>
        </w:rPr>
        <w:t>.</w:t>
      </w:r>
    </w:p>
    <w:p w14:paraId="736DD9B7" w14:textId="77777777" w:rsidR="00216467" w:rsidRPr="00305ECE" w:rsidRDefault="00216467" w:rsidP="00216467">
      <w:pPr>
        <w:autoSpaceDE w:val="0"/>
        <w:autoSpaceDN w:val="0"/>
        <w:adjustRightInd w:val="0"/>
        <w:spacing w:line="276" w:lineRule="auto"/>
        <w:rPr>
          <w:rFonts w:ascii="Times New Roman" w:hAnsi="Times New Roman" w:cs="Times New Roman"/>
          <w:color w:val="000000"/>
          <w:sz w:val="24"/>
          <w:szCs w:val="24"/>
        </w:rPr>
      </w:pPr>
    </w:p>
    <w:p w14:paraId="20208B11" w14:textId="6193EBC8" w:rsidR="00A6644C" w:rsidRDefault="00AB4A46" w:rsidP="008B3507">
      <w:pPr>
        <w:pStyle w:val="Heading1"/>
        <w:pBdr>
          <w:bottom w:val="none" w:sz="0" w:space="0" w:color="auto"/>
        </w:pBdr>
        <w:spacing w:after="240"/>
      </w:pPr>
      <w:bookmarkStart w:id="3" w:name="_Toc6916151"/>
      <w:r>
        <w:rPr>
          <w:rFonts w:ascii="Cambria" w:hAnsi="Cambria"/>
          <w:color w:val="auto"/>
        </w:rPr>
        <w:t>B.1 Respo</w:t>
      </w:r>
      <w:r w:rsidR="00B45002" w:rsidRPr="00E707C0">
        <w:rPr>
          <w:rFonts w:ascii="Cambria" w:hAnsi="Cambria"/>
          <w:color w:val="auto"/>
        </w:rPr>
        <w:t>ndent Universe and Sampling Methods</w:t>
      </w:r>
      <w:bookmarkEnd w:id="3"/>
    </w:p>
    <w:p w14:paraId="5F642D50" w14:textId="62FF07DC" w:rsidR="00A6644C" w:rsidRPr="008C6593" w:rsidRDefault="00A6644C" w:rsidP="00E2715D">
      <w:p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To identify potential participants, one-stage cluster</w:t>
      </w:r>
      <w:r w:rsidRPr="008C6593">
        <w:rPr>
          <w:rFonts w:ascii="Times New Roman" w:hAnsi="Times New Roman" w:cs="Times New Roman"/>
          <w:sz w:val="24"/>
          <w:szCs w:val="24"/>
        </w:rPr>
        <w:t xml:space="preserve"> sampling will be conducted to </w:t>
      </w:r>
      <w:r>
        <w:rPr>
          <w:rFonts w:ascii="Times New Roman" w:hAnsi="Times New Roman" w:cs="Times New Roman"/>
          <w:sz w:val="24"/>
          <w:szCs w:val="24"/>
        </w:rPr>
        <w:t>estimate PFAS</w:t>
      </w:r>
      <w:r w:rsidRPr="008C6593">
        <w:rPr>
          <w:rFonts w:ascii="Times New Roman" w:hAnsi="Times New Roman" w:cs="Times New Roman"/>
          <w:sz w:val="24"/>
          <w:szCs w:val="24"/>
        </w:rPr>
        <w:t xml:space="preserve"> </w:t>
      </w:r>
      <w:r>
        <w:rPr>
          <w:rFonts w:ascii="Times New Roman" w:hAnsi="Times New Roman" w:cs="Times New Roman"/>
          <w:sz w:val="24"/>
          <w:szCs w:val="24"/>
        </w:rPr>
        <w:t xml:space="preserve">exposure at the chosen </w:t>
      </w:r>
      <w:r w:rsidR="00AC0A78">
        <w:rPr>
          <w:rFonts w:ascii="Times New Roman" w:hAnsi="Times New Roman" w:cs="Times New Roman"/>
          <w:sz w:val="24"/>
          <w:szCs w:val="24"/>
        </w:rPr>
        <w:t xml:space="preserve">current or future </w:t>
      </w:r>
      <w:r>
        <w:rPr>
          <w:rFonts w:ascii="Times New Roman" w:hAnsi="Times New Roman" w:cs="Times New Roman"/>
          <w:sz w:val="24"/>
          <w:szCs w:val="24"/>
        </w:rPr>
        <w:t>military installations</w:t>
      </w:r>
      <w:r w:rsidR="003D270D">
        <w:rPr>
          <w:rFonts w:ascii="Times New Roman" w:hAnsi="Times New Roman" w:cs="Times New Roman"/>
          <w:sz w:val="24"/>
          <w:szCs w:val="24"/>
        </w:rPr>
        <w:t xml:space="preserve"> (</w:t>
      </w:r>
      <w:r w:rsidR="003D270D">
        <w:rPr>
          <w:rFonts w:ascii="Times New Roman" w:hAnsi="Times New Roman" w:cs="Times New Roman"/>
          <w:b/>
          <w:sz w:val="24"/>
          <w:szCs w:val="24"/>
        </w:rPr>
        <w:t>PFAS EA Protocol</w:t>
      </w:r>
      <w:r w:rsidR="003D270D">
        <w:rPr>
          <w:rFonts w:ascii="Times New Roman" w:hAnsi="Times New Roman" w:cs="Times New Roman"/>
          <w:sz w:val="24"/>
          <w:szCs w:val="24"/>
        </w:rPr>
        <w:t>)</w:t>
      </w:r>
      <w:r w:rsidRPr="008C6593">
        <w:rPr>
          <w:rFonts w:ascii="Times New Roman" w:hAnsi="Times New Roman" w:cs="Times New Roman"/>
          <w:sz w:val="24"/>
          <w:szCs w:val="24"/>
        </w:rPr>
        <w:t xml:space="preserve">. </w:t>
      </w:r>
    </w:p>
    <w:p w14:paraId="4ADCC6C8" w14:textId="77777777" w:rsidR="008C079E" w:rsidRPr="00F57F65" w:rsidRDefault="008C079E" w:rsidP="00F57F65">
      <w:pPr>
        <w:spacing w:line="276" w:lineRule="auto"/>
        <w:rPr>
          <w:rFonts w:ascii="Times New Roman" w:hAnsi="Times New Roman" w:cs="Times New Roman"/>
          <w:sz w:val="24"/>
          <w:szCs w:val="24"/>
        </w:rPr>
      </w:pPr>
      <w:r w:rsidRPr="00F57F65">
        <w:rPr>
          <w:rFonts w:ascii="Times New Roman" w:hAnsi="Times New Roman" w:cs="Times New Roman"/>
          <w:sz w:val="24"/>
          <w:szCs w:val="24"/>
        </w:rPr>
        <w:t xml:space="preserve">A one-stage cluster sample — where each household in the area receiving impacted water is a cluster and all individuals in a selected household are included in the sample — will be used to identify participants for each EA. Clusters (households) will be randomly selected from the sampling frame. This sampling design is representative of the impacted population, allowing for inferences to be made on the entire sampling frame. A step-by-step approach for the one-stage cluster sampling is described below. </w:t>
      </w:r>
    </w:p>
    <w:p w14:paraId="12C2C884" w14:textId="77777777" w:rsidR="008C079E" w:rsidRPr="00F57F65" w:rsidRDefault="008C079E" w:rsidP="00F57F65">
      <w:pPr>
        <w:pStyle w:val="NoSpacing"/>
        <w:numPr>
          <w:ilvl w:val="0"/>
          <w:numId w:val="23"/>
        </w:numPr>
        <w:spacing w:after="200" w:line="276" w:lineRule="auto"/>
        <w:rPr>
          <w:rFonts w:ascii="Times New Roman" w:hAnsi="Times New Roman" w:cs="Times New Roman"/>
          <w:b/>
          <w:sz w:val="24"/>
          <w:szCs w:val="24"/>
        </w:rPr>
      </w:pPr>
      <w:r w:rsidRPr="00F57F65">
        <w:rPr>
          <w:rFonts w:ascii="Times New Roman" w:hAnsi="Times New Roman" w:cs="Times New Roman"/>
          <w:b/>
          <w:sz w:val="24"/>
          <w:szCs w:val="24"/>
        </w:rPr>
        <w:t>ESTABLISH THE SAMPLING FRAME</w:t>
      </w:r>
    </w:p>
    <w:p w14:paraId="55932BF8" w14:textId="77777777" w:rsidR="008C079E" w:rsidRPr="00F57F65" w:rsidRDefault="008C079E" w:rsidP="00F57F65">
      <w:pPr>
        <w:pStyle w:val="NoSpacing"/>
        <w:spacing w:after="200"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A geographic area where PFAS exposure is known or expected will be defined and a complete list of all exposed/affected households in this area will be identified. This list comprises the sampling frame. Depending on the operations of the water system, the geographic area may be defined by the service boundaries of specific municipal water systems. The geographic area may also be defined as the area with impacted private drinking water wells. </w:t>
      </w:r>
    </w:p>
    <w:p w14:paraId="0A0AB5E5" w14:textId="77777777" w:rsidR="008C079E" w:rsidRPr="00F57F65" w:rsidRDefault="008C079E" w:rsidP="00F57F65">
      <w:pPr>
        <w:pStyle w:val="NoSpacing"/>
        <w:spacing w:after="200"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For simple water systems expected to deliver drinking water with consistent PFAS concentrations to all end users (e.g. municipal drinking water systems with one ground water supply well, or municipal drinking water systems with a surface water source), the sampling frame will consist of all households served by the impacted water system. </w:t>
      </w:r>
    </w:p>
    <w:p w14:paraId="496093DD" w14:textId="77777777" w:rsidR="008C079E" w:rsidRPr="00F57F65" w:rsidRDefault="008C079E" w:rsidP="00F57F65">
      <w:pPr>
        <w:pStyle w:val="NoSpacing"/>
        <w:spacing w:after="200"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The list of households served by municipal water systems can be obtained from the water company or from local municipal water supply billing information.  </w:t>
      </w:r>
    </w:p>
    <w:p w14:paraId="19156592" w14:textId="77777777" w:rsidR="008C079E" w:rsidRPr="00F57F65" w:rsidRDefault="008C079E" w:rsidP="00F57F65">
      <w:pPr>
        <w:pStyle w:val="NoSpacing"/>
        <w:spacing w:after="200"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Sequential numbers will be assigned to each household (1, 2, 3,…N) in the sampling frame. </w:t>
      </w:r>
    </w:p>
    <w:p w14:paraId="64E6552C" w14:textId="77777777" w:rsidR="008C079E" w:rsidRPr="00F57F65" w:rsidRDefault="008C079E" w:rsidP="00F57F65">
      <w:pPr>
        <w:pStyle w:val="NoSpacing"/>
        <w:keepNext/>
        <w:keepLines/>
        <w:numPr>
          <w:ilvl w:val="0"/>
          <w:numId w:val="23"/>
        </w:numPr>
        <w:spacing w:after="200" w:line="276" w:lineRule="auto"/>
        <w:rPr>
          <w:rFonts w:ascii="Times New Roman" w:hAnsi="Times New Roman" w:cs="Times New Roman"/>
          <w:b/>
          <w:sz w:val="24"/>
          <w:szCs w:val="24"/>
        </w:rPr>
      </w:pPr>
      <w:r w:rsidRPr="00F57F65">
        <w:rPr>
          <w:rFonts w:ascii="Times New Roman" w:hAnsi="Times New Roman" w:cs="Times New Roman"/>
          <w:b/>
          <w:sz w:val="24"/>
          <w:szCs w:val="24"/>
        </w:rPr>
        <w:t>CALCULATE SAMPLE SIZE</w:t>
      </w:r>
    </w:p>
    <w:p w14:paraId="735E6F98" w14:textId="77777777" w:rsidR="008C079E" w:rsidRPr="00F57F65" w:rsidRDefault="008C079E" w:rsidP="00F57F65">
      <w:pPr>
        <w:pStyle w:val="NoSpacing"/>
        <w:spacing w:after="200"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The required sample size of independent individuals in each community for blood sampling is given by: </w:t>
      </w:r>
    </w:p>
    <w:p w14:paraId="08EC08AB" w14:textId="77777777" w:rsidR="008C079E" w:rsidRPr="00F57F65" w:rsidRDefault="008C079E" w:rsidP="00F57F65">
      <w:pPr>
        <w:pStyle w:val="NoSpacing"/>
        <w:spacing w:after="200" w:line="276" w:lineRule="auto"/>
        <w:ind w:left="720"/>
        <w:rPr>
          <w:rFonts w:ascii="Times New Roman" w:hAnsi="Times New Roman" w:cs="Times New Roman"/>
          <w:sz w:val="24"/>
          <w:szCs w:val="24"/>
        </w:rPr>
      </w:pPr>
      <m:oMathPara>
        <m:oMath>
          <m:r>
            <w:rPr>
              <w:rFonts w:ascii="Cambria Math" w:hAnsi="Cambria Math" w:cs="Times New Roman"/>
              <w:sz w:val="24"/>
              <w:szCs w:val="24"/>
            </w:rPr>
            <m:t>m=</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z</m:t>
                          </m:r>
                        </m:e>
                        <m:sub>
                          <m:f>
                            <m:fPr>
                              <m:type m:val="skw"/>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2</m:t>
                              </m:r>
                            </m:den>
                          </m:f>
                        </m:sub>
                      </m:sSub>
                      <m:r>
                        <w:rPr>
                          <w:rFonts w:ascii="Cambria Math" w:hAnsi="Cambria Math" w:cs="Times New Roman"/>
                          <w:sz w:val="24"/>
                          <w:szCs w:val="24"/>
                        </w:rPr>
                        <m:t>∙ σ</m:t>
                      </m:r>
                    </m:num>
                    <m:den>
                      <m:r>
                        <w:rPr>
                          <w:rFonts w:ascii="Cambria Math" w:hAnsi="Cambria Math" w:cs="Times New Roman"/>
                          <w:sz w:val="24"/>
                          <w:szCs w:val="24"/>
                        </w:rPr>
                        <m:t>E</m:t>
                      </m:r>
                    </m:den>
                  </m:f>
                </m:e>
              </m:d>
            </m:e>
            <m:sup>
              <m:r>
                <w:rPr>
                  <w:rFonts w:ascii="Cambria Math" w:hAnsi="Cambria Math" w:cs="Times New Roman"/>
                  <w:sz w:val="24"/>
                  <w:szCs w:val="24"/>
                </w:rPr>
                <m:t>2</m:t>
              </m:r>
            </m:sup>
          </m:sSup>
          <m:r>
            <w:rPr>
              <w:rFonts w:ascii="Cambria Math" w:hAnsi="Cambria Math" w:cs="Times New Roman"/>
              <w:sz w:val="24"/>
              <w:szCs w:val="24"/>
            </w:rPr>
            <m:t xml:space="preserve"> </m:t>
          </m:r>
        </m:oMath>
      </m:oMathPara>
    </w:p>
    <w:p w14:paraId="621531B4" w14:textId="77777777" w:rsidR="008C079E" w:rsidRPr="00F57F65" w:rsidRDefault="008C079E" w:rsidP="00F57F65">
      <w:pPr>
        <w:spacing w:after="0" w:line="276" w:lineRule="auto"/>
        <w:rPr>
          <w:rFonts w:ascii="Times New Roman" w:hAnsi="Times New Roman" w:cs="Times New Roman"/>
          <w:sz w:val="24"/>
          <w:szCs w:val="24"/>
        </w:rPr>
      </w:pPr>
      <w:r w:rsidRPr="00F57F65">
        <w:rPr>
          <w:rFonts w:ascii="Times New Roman" w:hAnsi="Times New Roman" w:cs="Times New Roman"/>
          <w:sz w:val="24"/>
          <w:szCs w:val="24"/>
        </w:rPr>
        <w:tab/>
        <w:t>Where,</w:t>
      </w:r>
      <w:r w:rsidRPr="00F57F65">
        <w:rPr>
          <w:rFonts w:ascii="Times New Roman" w:hAnsi="Times New Roman" w:cs="Times New Roman"/>
          <w:sz w:val="24"/>
          <w:szCs w:val="24"/>
        </w:rPr>
        <w:tab/>
      </w:r>
    </w:p>
    <w:p w14:paraId="6220BF53" w14:textId="77777777" w:rsidR="008C079E" w:rsidRPr="00F57F65" w:rsidRDefault="008C079E" w:rsidP="00F57F65">
      <w:pPr>
        <w:spacing w:after="0" w:line="276" w:lineRule="auto"/>
        <w:rPr>
          <w:rFonts w:ascii="Times New Roman" w:hAnsi="Times New Roman" w:cs="Times New Roman"/>
          <w:sz w:val="24"/>
          <w:szCs w:val="24"/>
        </w:rPr>
      </w:pPr>
      <w:r w:rsidRPr="00F57F65">
        <w:rPr>
          <w:rFonts w:ascii="Times New Roman" w:hAnsi="Times New Roman" w:cs="Times New Roman"/>
          <w:sz w:val="24"/>
          <w:szCs w:val="24"/>
        </w:rPr>
        <w:tab/>
      </w:r>
      <w:r w:rsidRPr="00F57F65">
        <w:rPr>
          <w:rFonts w:ascii="Times New Roman" w:hAnsi="Times New Roman" w:cs="Times New Roman"/>
          <w:sz w:val="24"/>
          <w:szCs w:val="24"/>
        </w:rPr>
        <w:tab/>
        <w:t>m = sample size (individuals)</w:t>
      </w:r>
    </w:p>
    <w:p w14:paraId="1D58B370" w14:textId="77777777" w:rsidR="008C079E" w:rsidRPr="00F57F65" w:rsidRDefault="008C079E" w:rsidP="00F57F65">
      <w:pPr>
        <w:spacing w:after="0" w:line="276" w:lineRule="auto"/>
        <w:ind w:left="720" w:firstLine="720"/>
        <w:rPr>
          <w:rFonts w:ascii="Times New Roman" w:hAnsi="Times New Roman" w:cs="Times New Roman"/>
          <w:sz w:val="24"/>
          <w:szCs w:val="24"/>
        </w:rPr>
      </w:pPr>
      <w:r w:rsidRPr="00F57F65">
        <w:rPr>
          <w:rFonts w:ascii="Times New Roman" w:hAnsi="Times New Roman" w:cs="Times New Roman"/>
          <w:sz w:val="24"/>
          <w:szCs w:val="24"/>
        </w:rPr>
        <w:t>z = Z value (e.g. 1.96 for 95% confidence level)</w:t>
      </w:r>
    </w:p>
    <w:p w14:paraId="6EE892D2" w14:textId="77777777" w:rsidR="008C079E" w:rsidRPr="00F57F65" w:rsidRDefault="008C079E" w:rsidP="00F57F65">
      <w:pPr>
        <w:spacing w:after="0" w:line="276" w:lineRule="auto"/>
        <w:rPr>
          <w:rFonts w:ascii="Times New Roman" w:hAnsi="Times New Roman" w:cs="Times New Roman"/>
          <w:sz w:val="24"/>
          <w:szCs w:val="24"/>
        </w:rPr>
      </w:pPr>
      <w:r w:rsidRPr="00F57F65">
        <w:rPr>
          <w:rFonts w:ascii="Times New Roman" w:hAnsi="Times New Roman" w:cs="Times New Roman"/>
          <w:sz w:val="24"/>
          <w:szCs w:val="24"/>
        </w:rPr>
        <w:tab/>
      </w:r>
      <w:r w:rsidRPr="00F57F65">
        <w:rPr>
          <w:rFonts w:ascii="Times New Roman" w:hAnsi="Times New Roman" w:cs="Times New Roman"/>
          <w:sz w:val="24"/>
          <w:szCs w:val="24"/>
        </w:rPr>
        <w:tab/>
        <w:t>α = level of significance</w:t>
      </w:r>
    </w:p>
    <w:p w14:paraId="6B5578E6" w14:textId="77777777" w:rsidR="008C079E" w:rsidRPr="00F57F65" w:rsidRDefault="008C079E" w:rsidP="00F57F65">
      <w:pPr>
        <w:spacing w:after="0" w:line="276" w:lineRule="auto"/>
        <w:ind w:left="720" w:firstLine="720"/>
        <w:rPr>
          <w:rFonts w:ascii="Times New Roman" w:hAnsi="Times New Roman" w:cs="Times New Roman"/>
          <w:sz w:val="24"/>
          <w:szCs w:val="24"/>
        </w:rPr>
      </w:pPr>
      <w:r w:rsidRPr="00F57F65">
        <w:rPr>
          <w:rFonts w:ascii="Times New Roman" w:hAnsi="Times New Roman" w:cs="Times New Roman"/>
          <w:sz w:val="24"/>
          <w:szCs w:val="24"/>
        </w:rPr>
        <w:t>E = maximum error</w:t>
      </w:r>
    </w:p>
    <w:p w14:paraId="490BFE13" w14:textId="77777777" w:rsidR="008C079E" w:rsidRPr="00F57F65" w:rsidRDefault="008C079E" w:rsidP="00F57F65">
      <w:pPr>
        <w:spacing w:line="276" w:lineRule="auto"/>
        <w:ind w:left="720" w:firstLine="720"/>
        <w:rPr>
          <w:rFonts w:ascii="Times New Roman" w:hAnsi="Times New Roman" w:cs="Times New Roman"/>
          <w:sz w:val="24"/>
          <w:szCs w:val="24"/>
        </w:rPr>
      </w:pPr>
      <w:r w:rsidRPr="00F57F65">
        <w:rPr>
          <w:rFonts w:ascii="Times New Roman" w:hAnsi="Times New Roman" w:cs="Times New Roman"/>
          <w:sz w:val="24"/>
          <w:szCs w:val="24"/>
        </w:rPr>
        <w:t xml:space="preserve">σ = standard deviation of the logarithm of measured PFAS levels.   </w:t>
      </w:r>
    </w:p>
    <w:p w14:paraId="6C1EF5BE"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If local biomonitoring data are available to determine the standard deviation of the natural logarithm of measured PFAS levels, this data can be used. If these data are not available, national data from NHANES will be used to calculate the necessary sample size, as described below.</w:t>
      </w:r>
    </w:p>
    <w:p w14:paraId="7AC667DD"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The geometric mean for serum PFOS was 4.72 µg/L for the US population in 2015–2016 NHANES. The corresponding 95% confidence interval (4.40, 5.07) and the NHANES sample size of 1,993 are used to estimate the standard deviation of the ln (values). Using the upper limit of the confidence interval:</w:t>
      </w:r>
    </w:p>
    <w:p w14:paraId="288B9494" w14:textId="77777777" w:rsidR="008C079E" w:rsidRPr="00F57F65" w:rsidRDefault="008C079E" w:rsidP="00F57F65">
      <w:pPr>
        <w:spacing w:line="276" w:lineRule="auto"/>
        <w:ind w:left="720"/>
        <w:rPr>
          <w:rFonts w:ascii="Times New Roman" w:hAnsi="Times New Roman" w:cs="Times New Roman"/>
          <w:sz w:val="24"/>
          <w:szCs w:val="24"/>
        </w:rPr>
      </w:pPr>
    </w:p>
    <w:p w14:paraId="0DCFBF05" w14:textId="77777777" w:rsidR="008C079E" w:rsidRPr="00F57F65" w:rsidRDefault="00D86D52" w:rsidP="00F57F65">
      <w:pPr>
        <w:spacing w:line="276" w:lineRule="auto"/>
        <w:ind w:left="720"/>
        <w:rPr>
          <w:rFonts w:ascii="Times New Roman"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σ</m:t>
              </m:r>
            </m:e>
          </m:acc>
          <m:r>
            <w:rPr>
              <w:rFonts w:ascii="Cambria Math" w:hAnsi="Cambria Math" w:cs="Times New Roman"/>
              <w:sz w:val="24"/>
              <w:szCs w:val="24"/>
            </w:rPr>
            <m:t xml:space="preserve">= </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1993</m:t>
                  </m:r>
                </m:e>
              </m:rad>
              <m:r>
                <w:rPr>
                  <w:rFonts w:ascii="Cambria Math" w:hAnsi="Cambria Math" w:cs="Times New Roman"/>
                  <w:sz w:val="24"/>
                  <w:szCs w:val="24"/>
                </w:rPr>
                <m:t xml:space="preserve"> ∙ </m:t>
              </m:r>
              <m:d>
                <m:dPr>
                  <m:begChr m:val="["/>
                  <m:endChr m:val="]"/>
                  <m:ctrlPr>
                    <w:rPr>
                      <w:rFonts w:ascii="Cambria Math" w:hAnsi="Cambria Math" w:cs="Times New Roman"/>
                      <w:i/>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5.07</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(4.72)</m:t>
                          </m:r>
                        </m:e>
                      </m:func>
                    </m:e>
                  </m:func>
                </m:e>
              </m:d>
            </m:num>
            <m:den>
              <m:r>
                <w:rPr>
                  <w:rFonts w:ascii="Cambria Math" w:hAnsi="Cambria Math" w:cs="Times New Roman"/>
                  <w:sz w:val="24"/>
                  <w:szCs w:val="24"/>
                </w:rPr>
                <m:t>1.96</m:t>
              </m:r>
            </m:den>
          </m:f>
          <m:r>
            <w:rPr>
              <w:rFonts w:ascii="Cambria Math" w:hAnsi="Cambria Math" w:cs="Times New Roman"/>
              <w:sz w:val="24"/>
              <w:szCs w:val="24"/>
            </w:rPr>
            <m:t>= 1.63</m:t>
          </m:r>
        </m:oMath>
      </m:oMathPara>
    </w:p>
    <w:p w14:paraId="75DFE0B4" w14:textId="77777777" w:rsidR="008C079E" w:rsidRPr="00F57F65" w:rsidRDefault="008C079E" w:rsidP="00F57F65">
      <w:pPr>
        <w:spacing w:line="276" w:lineRule="auto"/>
        <w:ind w:left="720"/>
        <w:rPr>
          <w:rFonts w:ascii="Times New Roman" w:hAnsi="Times New Roman" w:cs="Times New Roman"/>
          <w:sz w:val="24"/>
          <w:szCs w:val="24"/>
        </w:rPr>
      </w:pPr>
    </w:p>
    <w:p w14:paraId="28BC5AF2"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Then, the sample size of independent individuals to estimate the mean with precision 15% of the ln (geometric mean), and 5% level of significance is:</w:t>
      </w:r>
    </w:p>
    <w:p w14:paraId="5CF9ABA3" w14:textId="77777777" w:rsidR="008C079E" w:rsidRPr="00F57F65" w:rsidRDefault="008C079E" w:rsidP="00F57F65">
      <w:pPr>
        <w:spacing w:line="276" w:lineRule="auto"/>
        <w:ind w:left="720"/>
        <w:rPr>
          <w:rFonts w:ascii="Times New Roman" w:hAnsi="Times New Roman" w:cs="Times New Roman"/>
          <w:sz w:val="24"/>
          <w:szCs w:val="24"/>
        </w:rPr>
      </w:pPr>
    </w:p>
    <w:p w14:paraId="713A6F1E" w14:textId="77777777" w:rsidR="008C079E" w:rsidRPr="00F57F65" w:rsidRDefault="008C079E" w:rsidP="00F57F65">
      <w:pPr>
        <w:spacing w:line="276" w:lineRule="auto"/>
        <w:ind w:left="720"/>
        <w:rPr>
          <w:rFonts w:ascii="Times New Roman" w:hAnsi="Times New Roman" w:cs="Times New Roman"/>
          <w:sz w:val="24"/>
          <w:szCs w:val="24"/>
        </w:rPr>
      </w:pPr>
      <m:oMathPara>
        <m:oMath>
          <m:r>
            <w:rPr>
              <w:rFonts w:ascii="Cambria Math" w:hAnsi="Cambria Math" w:cs="Times New Roman"/>
              <w:sz w:val="24"/>
              <w:szCs w:val="24"/>
            </w:rPr>
            <m:t xml:space="preserve">m=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1.96 ∙1.63</m:t>
                      </m:r>
                    </m:num>
                    <m:den>
                      <m:r>
                        <w:rPr>
                          <w:rFonts w:ascii="Cambria Math" w:hAnsi="Cambria Math" w:cs="Times New Roman"/>
                          <w:sz w:val="24"/>
                          <w:szCs w:val="24"/>
                        </w:rPr>
                        <m:t>0.15 ∙</m:t>
                      </m:r>
                      <m:r>
                        <m:rPr>
                          <m:sty m:val="p"/>
                        </m:rPr>
                        <w:rPr>
                          <w:rFonts w:ascii="Cambria Math" w:hAnsi="Cambria Math" w:cs="Times New Roman"/>
                          <w:sz w:val="24"/>
                          <w:szCs w:val="24"/>
                        </w:rPr>
                        <m:t>ln⁡</m:t>
                      </m:r>
                      <m:r>
                        <w:rPr>
                          <w:rFonts w:ascii="Cambria Math" w:hAnsi="Cambria Math" w:cs="Times New Roman"/>
                          <w:sz w:val="24"/>
                          <w:szCs w:val="24"/>
                        </w:rPr>
                        <m:t>(4.72)</m:t>
                      </m:r>
                    </m:den>
                  </m:f>
                </m:e>
              </m:d>
            </m:e>
            <m:sup>
              <m:r>
                <w:rPr>
                  <w:rFonts w:ascii="Cambria Math" w:hAnsi="Cambria Math" w:cs="Times New Roman"/>
                  <w:sz w:val="24"/>
                  <w:szCs w:val="24"/>
                </w:rPr>
                <m:t>2</m:t>
              </m:r>
            </m:sup>
          </m:sSup>
          <m:r>
            <w:rPr>
              <w:rFonts w:ascii="Cambria Math" w:hAnsi="Cambria Math" w:cs="Times New Roman"/>
              <w:sz w:val="24"/>
              <w:szCs w:val="24"/>
            </w:rPr>
            <m:t>= 188</m:t>
          </m:r>
        </m:oMath>
      </m:oMathPara>
    </w:p>
    <w:p w14:paraId="69C5C91B" w14:textId="77777777" w:rsidR="008C079E" w:rsidRPr="00F57F65" w:rsidRDefault="008C079E" w:rsidP="00F57F65">
      <w:pPr>
        <w:spacing w:line="276" w:lineRule="auto"/>
        <w:ind w:left="720"/>
        <w:rPr>
          <w:rFonts w:ascii="Times New Roman" w:hAnsi="Times New Roman" w:cs="Times New Roman"/>
          <w:sz w:val="24"/>
          <w:szCs w:val="24"/>
        </w:rPr>
      </w:pPr>
    </w:p>
    <w:p w14:paraId="63C110B6"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Since data are collected using a cluster design, individuals within a household are not independent. The lack of independence must be accounted for by incorporating the design effect (DE) into calculation of the required sample size. The required sample size for a cluster sample is the sample size for an independent sample multiplied by DE.</w:t>
      </w:r>
    </w:p>
    <w:p w14:paraId="00AAF248" w14:textId="77777777" w:rsidR="008C079E" w:rsidRPr="00F57F65" w:rsidRDefault="008C079E" w:rsidP="00F57F65">
      <w:pPr>
        <w:spacing w:line="276" w:lineRule="auto"/>
        <w:ind w:left="720"/>
        <w:rPr>
          <w:rFonts w:ascii="Times New Roman" w:hAnsi="Times New Roman" w:cs="Times New Roman"/>
          <w:sz w:val="24"/>
          <w:szCs w:val="24"/>
        </w:rPr>
      </w:pPr>
      <m:oMathPara>
        <m:oMath>
          <m:r>
            <w:rPr>
              <w:rFonts w:ascii="Cambria Math" w:hAnsi="Cambria Math" w:cs="Times New Roman"/>
              <w:sz w:val="24"/>
              <w:szCs w:val="24"/>
            </w:rPr>
            <m:t>DE=1+ICC*(k-1)</m:t>
          </m:r>
        </m:oMath>
      </m:oMathPara>
    </w:p>
    <w:p w14:paraId="391D77AB" w14:textId="77777777" w:rsidR="008C079E" w:rsidRPr="00F57F65" w:rsidRDefault="008C079E" w:rsidP="00F57F65">
      <w:pPr>
        <w:spacing w:line="276" w:lineRule="auto"/>
        <w:ind w:left="720"/>
        <w:contextualSpacing/>
        <w:rPr>
          <w:rFonts w:ascii="Times New Roman" w:hAnsi="Times New Roman" w:cs="Times New Roman"/>
          <w:sz w:val="24"/>
          <w:szCs w:val="24"/>
        </w:rPr>
      </w:pPr>
      <w:r w:rsidRPr="00F57F65">
        <w:rPr>
          <w:rFonts w:ascii="Times New Roman" w:hAnsi="Times New Roman" w:cs="Times New Roman"/>
          <w:sz w:val="24"/>
          <w:szCs w:val="24"/>
        </w:rPr>
        <w:t>Where,</w:t>
      </w:r>
    </w:p>
    <w:p w14:paraId="3A84A7D9" w14:textId="77777777" w:rsidR="008C079E" w:rsidRPr="00F57F65" w:rsidRDefault="008C079E" w:rsidP="00F57F65">
      <w:pPr>
        <w:spacing w:line="276" w:lineRule="auto"/>
        <w:ind w:left="720"/>
        <w:contextualSpacing/>
        <w:rPr>
          <w:rFonts w:ascii="Times New Roman" w:hAnsi="Times New Roman" w:cs="Times New Roman"/>
          <w:sz w:val="24"/>
          <w:szCs w:val="24"/>
        </w:rPr>
      </w:pPr>
      <w:r w:rsidRPr="00F57F65">
        <w:rPr>
          <w:rFonts w:ascii="Times New Roman" w:hAnsi="Times New Roman" w:cs="Times New Roman"/>
          <w:sz w:val="24"/>
          <w:szCs w:val="24"/>
        </w:rPr>
        <w:tab/>
        <w:t>DE = design effect</w:t>
      </w:r>
    </w:p>
    <w:p w14:paraId="0E281523" w14:textId="77777777" w:rsidR="008C079E" w:rsidRPr="00F57F65" w:rsidRDefault="008C079E" w:rsidP="00F57F65">
      <w:pPr>
        <w:spacing w:line="276" w:lineRule="auto"/>
        <w:ind w:left="720"/>
        <w:contextualSpacing/>
        <w:rPr>
          <w:rFonts w:ascii="Times New Roman" w:hAnsi="Times New Roman" w:cs="Times New Roman"/>
          <w:sz w:val="24"/>
          <w:szCs w:val="24"/>
        </w:rPr>
      </w:pPr>
      <w:r w:rsidRPr="00F57F65">
        <w:rPr>
          <w:rFonts w:ascii="Times New Roman" w:hAnsi="Times New Roman" w:cs="Times New Roman"/>
          <w:sz w:val="24"/>
          <w:szCs w:val="24"/>
        </w:rPr>
        <w:tab/>
        <w:t>ICC = intra-cluster correlation coefficient</w:t>
      </w:r>
    </w:p>
    <w:p w14:paraId="32BFA95F" w14:textId="77777777" w:rsidR="008C079E" w:rsidRPr="00F57F65" w:rsidRDefault="008C079E" w:rsidP="00F57F65">
      <w:pPr>
        <w:spacing w:line="276" w:lineRule="auto"/>
        <w:ind w:left="720"/>
        <w:contextualSpacing/>
        <w:rPr>
          <w:rFonts w:ascii="Times New Roman" w:hAnsi="Times New Roman" w:cs="Times New Roman"/>
          <w:sz w:val="24"/>
          <w:szCs w:val="24"/>
        </w:rPr>
      </w:pPr>
      <w:r w:rsidRPr="00F57F65">
        <w:rPr>
          <w:rFonts w:ascii="Times New Roman" w:hAnsi="Times New Roman" w:cs="Times New Roman"/>
          <w:sz w:val="24"/>
          <w:szCs w:val="24"/>
        </w:rPr>
        <w:tab/>
        <w:t>k = cluster size</w:t>
      </w:r>
    </w:p>
    <w:p w14:paraId="7DD16A30" w14:textId="77777777" w:rsidR="008C079E" w:rsidRPr="00F57F65" w:rsidRDefault="008C079E" w:rsidP="00F57F65">
      <w:pPr>
        <w:spacing w:line="276" w:lineRule="auto"/>
        <w:ind w:left="720"/>
        <w:rPr>
          <w:rFonts w:ascii="Times New Roman" w:hAnsi="Times New Roman" w:cs="Times New Roman"/>
          <w:sz w:val="24"/>
          <w:szCs w:val="24"/>
        </w:rPr>
      </w:pPr>
    </w:p>
    <w:p w14:paraId="65E3BAFB"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A pilot of representative biomonitoring for PFAS conducted by the New York State Department of Health and the Pennsylvania Department of Health resulted in retrospective calculations of the intra-cluster correlation coefficient (ICC) for PFAS in serum ranging from 0.39 to 0.54 (unpublished data from New York State Department of Health and Pennsylvania Department of Health, 2019). To be conservative, we assume an ICC of 0.54 for our calculation of the design effect.</w:t>
      </w:r>
    </w:p>
    <w:p w14:paraId="6C891FA6"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The average household (cluster) size for the communities selected as exposure assessment sites ranges from 2.4 to 3.0 individuals per household. To be conservative, we assume a household (cluster) size of 3 for our calculation of the design effect.</w:t>
      </w:r>
    </w:p>
    <w:p w14:paraId="639015CB"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Using these values, the design effect is:</w:t>
      </w:r>
    </w:p>
    <w:p w14:paraId="29A0FB91" w14:textId="77777777" w:rsidR="008C079E" w:rsidRPr="00F57F65" w:rsidRDefault="008C079E" w:rsidP="00F57F65">
      <w:pPr>
        <w:spacing w:line="276" w:lineRule="auto"/>
        <w:ind w:left="720"/>
        <w:rPr>
          <w:rFonts w:ascii="Times New Roman" w:hAnsi="Times New Roman" w:cs="Times New Roman"/>
          <w:sz w:val="24"/>
          <w:szCs w:val="24"/>
        </w:rPr>
      </w:pPr>
      <m:oMathPara>
        <m:oMath>
          <m:r>
            <w:rPr>
              <w:rFonts w:ascii="Cambria Math" w:hAnsi="Cambria Math" w:cs="Times New Roman"/>
              <w:sz w:val="24"/>
              <w:szCs w:val="24"/>
            </w:rPr>
            <m:t>1+0.54*</m:t>
          </m:r>
          <m:d>
            <m:dPr>
              <m:ctrlPr>
                <w:rPr>
                  <w:rFonts w:ascii="Cambria Math" w:hAnsi="Cambria Math" w:cs="Times New Roman"/>
                  <w:i/>
                  <w:sz w:val="24"/>
                  <w:szCs w:val="24"/>
                </w:rPr>
              </m:ctrlPr>
            </m:dPr>
            <m:e>
              <m:r>
                <w:rPr>
                  <w:rFonts w:ascii="Cambria Math" w:hAnsi="Cambria Math" w:cs="Times New Roman"/>
                  <w:sz w:val="24"/>
                  <w:szCs w:val="24"/>
                </w:rPr>
                <m:t>3-1</m:t>
              </m:r>
            </m:e>
          </m:d>
          <m:r>
            <w:rPr>
              <w:rFonts w:ascii="Cambria Math" w:hAnsi="Cambria Math" w:cs="Times New Roman"/>
              <w:sz w:val="24"/>
              <w:szCs w:val="24"/>
            </w:rPr>
            <m:t>=2.1</m:t>
          </m:r>
        </m:oMath>
      </m:oMathPara>
    </w:p>
    <w:p w14:paraId="1FDFB5F4"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As a conservative assumption, we use a design effect of 2.1 to calculate our required sample size. </w:t>
      </w:r>
    </w:p>
    <w:p w14:paraId="64542808" w14:textId="77777777" w:rsidR="008C079E" w:rsidRPr="00F57F65" w:rsidRDefault="008C079E" w:rsidP="00F57F65">
      <w:pPr>
        <w:spacing w:line="276" w:lineRule="auto"/>
        <w:ind w:left="720"/>
        <w:rPr>
          <w:rFonts w:ascii="Times New Roman" w:hAnsi="Times New Roman" w:cs="Times New Roman"/>
          <w:sz w:val="24"/>
          <w:szCs w:val="24"/>
        </w:rPr>
      </w:pPr>
      <m:oMathPara>
        <m:oMath>
          <m:r>
            <w:rPr>
              <w:rFonts w:ascii="Cambria Math" w:hAnsi="Cambria Math" w:cs="Times New Roman"/>
              <w:sz w:val="24"/>
              <w:szCs w:val="24"/>
            </w:rPr>
            <m:t>sample size=m ∙DE</m:t>
          </m:r>
        </m:oMath>
      </m:oMathPara>
    </w:p>
    <w:p w14:paraId="0B90A54F" w14:textId="77777777" w:rsidR="008C079E" w:rsidRPr="00F57F65" w:rsidRDefault="008C079E" w:rsidP="00F57F65">
      <w:pPr>
        <w:spacing w:line="276" w:lineRule="auto"/>
        <w:ind w:left="720"/>
        <w:rPr>
          <w:rFonts w:ascii="Times New Roman" w:hAnsi="Times New Roman" w:cs="Times New Roman"/>
          <w:sz w:val="24"/>
          <w:szCs w:val="24"/>
        </w:rPr>
      </w:pPr>
    </w:p>
    <w:p w14:paraId="4722787A"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This results in a sample size of 2.1*188=395 individuals accounting for intracluster correlation. To be conservative, we will use this design effect for all communities, even when a smaller average household size would result in a lower design effect.</w:t>
      </w:r>
    </w:p>
    <w:p w14:paraId="1074C3AE"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Assuming all individuals from each selected household are included in the sample, the required number of households that should be contacted for recruitment is given by</w:t>
      </w:r>
    </w:p>
    <w:p w14:paraId="6A839824" w14:textId="77777777" w:rsidR="008C079E" w:rsidRPr="00F57F65" w:rsidRDefault="008C079E" w:rsidP="00F57F65">
      <w:pPr>
        <w:spacing w:line="276" w:lineRule="auto"/>
        <w:ind w:left="720"/>
        <w:jc w:val="center"/>
        <w:rPr>
          <w:rFonts w:ascii="Times New Roman" w:hAnsi="Times New Roman" w:cs="Times New Roman"/>
          <w:sz w:val="24"/>
          <w:szCs w:val="24"/>
        </w:rPr>
      </w:pPr>
      <m:oMathPara>
        <m:oMath>
          <m:r>
            <w:rPr>
              <w:rFonts w:ascii="Cambria Math" w:hAnsi="Cambria Math" w:cs="Times New Roman"/>
              <w:sz w:val="24"/>
              <w:szCs w:val="24"/>
            </w:rPr>
            <m:t>n=sample size ∙(</m:t>
          </m:r>
          <m:f>
            <m:fPr>
              <m:type m:val="skw"/>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M</m:t>
              </m:r>
            </m:den>
          </m:f>
          <m:r>
            <w:rPr>
              <w:rFonts w:ascii="Cambria Math" w:hAnsi="Cambria Math" w:cs="Times New Roman"/>
              <w:sz w:val="24"/>
              <w:szCs w:val="24"/>
            </w:rPr>
            <m:t>)</m:t>
          </m:r>
        </m:oMath>
      </m:oMathPara>
    </w:p>
    <w:p w14:paraId="5570842E" w14:textId="77777777" w:rsidR="008C079E" w:rsidRPr="00F57F65" w:rsidRDefault="008C079E" w:rsidP="00F57F65">
      <w:pPr>
        <w:spacing w:after="0" w:line="276" w:lineRule="auto"/>
        <w:ind w:left="720"/>
        <w:rPr>
          <w:rFonts w:ascii="Times New Roman" w:hAnsi="Times New Roman" w:cs="Times New Roman"/>
          <w:sz w:val="24"/>
          <w:szCs w:val="24"/>
        </w:rPr>
      </w:pPr>
      <w:r w:rsidRPr="00F57F65">
        <w:rPr>
          <w:rFonts w:ascii="Times New Roman" w:hAnsi="Times New Roman" w:cs="Times New Roman"/>
          <w:sz w:val="24"/>
          <w:szCs w:val="24"/>
        </w:rPr>
        <w:t>Where,</w:t>
      </w:r>
    </w:p>
    <w:p w14:paraId="588BB027" w14:textId="77777777" w:rsidR="008C079E" w:rsidRPr="00F57F65" w:rsidRDefault="008C079E" w:rsidP="00F57F65">
      <w:pPr>
        <w:spacing w:after="0" w:line="276" w:lineRule="auto"/>
        <w:ind w:left="1440"/>
        <w:rPr>
          <w:rFonts w:ascii="Times New Roman" w:hAnsi="Times New Roman" w:cs="Times New Roman"/>
          <w:sz w:val="24"/>
          <w:szCs w:val="24"/>
        </w:rPr>
      </w:pPr>
      <w:r w:rsidRPr="00F57F65">
        <w:rPr>
          <w:rFonts w:ascii="Times New Roman" w:hAnsi="Times New Roman" w:cs="Times New Roman"/>
          <w:sz w:val="24"/>
          <w:szCs w:val="24"/>
        </w:rPr>
        <w:t>n = required number of households</w:t>
      </w:r>
    </w:p>
    <w:p w14:paraId="01F1A109" w14:textId="77777777" w:rsidR="008C079E" w:rsidRPr="00F57F65" w:rsidRDefault="008C079E" w:rsidP="00F57F65">
      <w:pPr>
        <w:spacing w:after="0" w:line="276" w:lineRule="auto"/>
        <w:ind w:left="1440"/>
        <w:rPr>
          <w:rFonts w:ascii="Times New Roman" w:hAnsi="Times New Roman" w:cs="Times New Roman"/>
          <w:sz w:val="24"/>
          <w:szCs w:val="24"/>
        </w:rPr>
      </w:pPr>
      <w:r w:rsidRPr="00F57F65">
        <w:rPr>
          <w:rFonts w:ascii="Times New Roman" w:hAnsi="Times New Roman" w:cs="Times New Roman"/>
          <w:sz w:val="24"/>
          <w:szCs w:val="24"/>
        </w:rPr>
        <w:t xml:space="preserve">N = the total number of households in the sampling frame </w:t>
      </w:r>
    </w:p>
    <w:p w14:paraId="2DBB9A15" w14:textId="77777777" w:rsidR="008C079E" w:rsidRPr="00F57F65" w:rsidRDefault="008C079E" w:rsidP="00F57F65">
      <w:pPr>
        <w:spacing w:after="0" w:line="276" w:lineRule="auto"/>
        <w:ind w:left="1440"/>
        <w:rPr>
          <w:rFonts w:ascii="Times New Roman" w:hAnsi="Times New Roman" w:cs="Times New Roman"/>
          <w:sz w:val="24"/>
          <w:szCs w:val="24"/>
        </w:rPr>
      </w:pPr>
      <w:r w:rsidRPr="00F57F65">
        <w:rPr>
          <w:rFonts w:ascii="Times New Roman" w:hAnsi="Times New Roman" w:cs="Times New Roman"/>
          <w:sz w:val="24"/>
          <w:szCs w:val="24"/>
        </w:rPr>
        <w:t>M = the total number of individuals in the sampling frame</w:t>
      </w:r>
    </w:p>
    <w:p w14:paraId="1112D9DF" w14:textId="77777777" w:rsidR="008C079E" w:rsidRPr="00F57F65" w:rsidRDefault="008C079E" w:rsidP="00F57F65">
      <w:pPr>
        <w:spacing w:line="276" w:lineRule="auto"/>
        <w:ind w:left="720"/>
        <w:rPr>
          <w:rFonts w:ascii="Times New Roman" w:hAnsi="Times New Roman" w:cs="Times New Roman"/>
          <w:sz w:val="24"/>
          <w:szCs w:val="24"/>
        </w:rPr>
      </w:pPr>
    </w:p>
    <w:p w14:paraId="686DACA9" w14:textId="41AB85BB" w:rsidR="002C4FA3" w:rsidRPr="00C357FE" w:rsidRDefault="008C079E" w:rsidP="002C4FA3">
      <w:pPr>
        <w:spacing w:line="240" w:lineRule="auto"/>
        <w:ind w:left="720"/>
        <w:rPr>
          <w:rFonts w:ascii="Times New Roman" w:hAnsi="Times New Roman" w:cs="Times New Roman"/>
          <w:sz w:val="24"/>
          <w:szCs w:val="24"/>
        </w:rPr>
      </w:pPr>
      <w:r w:rsidRPr="00F57F65">
        <w:rPr>
          <w:rFonts w:ascii="Times New Roman" w:hAnsi="Times New Roman" w:cs="Times New Roman"/>
          <w:sz w:val="24"/>
          <w:szCs w:val="24"/>
        </w:rPr>
        <w:t>In the Hampden County community (the first exposure assessment site) m = 395, N = 2,882, M = 7,665</w:t>
      </w:r>
      <w:r>
        <w:rPr>
          <w:rFonts w:ascii="Times New Roman" w:hAnsi="Times New Roman" w:cs="Times New Roman"/>
          <w:sz w:val="24"/>
          <w:szCs w:val="24"/>
        </w:rPr>
        <w:t xml:space="preserve"> </w:t>
      </w:r>
      <w:r w:rsidRPr="00F57F65">
        <w:rPr>
          <w:rFonts w:ascii="Times New Roman" w:hAnsi="Times New Roman" w:cs="Times New Roman"/>
          <w:sz w:val="24"/>
          <w:szCs w:val="24"/>
        </w:rPr>
        <w:t>so a sample of n = 149 households is needed. Values for N and M taken from 2010 census data for census tract 8125 in Hampden County, MA.</w:t>
      </w:r>
      <w:r w:rsidR="003A302D">
        <w:rPr>
          <w:rFonts w:ascii="Times New Roman" w:hAnsi="Times New Roman" w:cs="Times New Roman"/>
          <w:sz w:val="24"/>
          <w:szCs w:val="24"/>
        </w:rPr>
        <w:t xml:space="preserve"> </w:t>
      </w:r>
      <w:r w:rsidR="002C4FA3" w:rsidRPr="002C4FA3">
        <w:rPr>
          <w:rFonts w:ascii="Times New Roman" w:hAnsi="Times New Roman" w:cs="Times New Roman"/>
          <w:sz w:val="24"/>
          <w:szCs w:val="24"/>
        </w:rPr>
        <w:t xml:space="preserve"> </w:t>
      </w:r>
      <w:r w:rsidR="002C4FA3" w:rsidRPr="00C357FE">
        <w:rPr>
          <w:rFonts w:ascii="Times New Roman" w:hAnsi="Times New Roman" w:cs="Times New Roman"/>
          <w:sz w:val="24"/>
          <w:szCs w:val="24"/>
        </w:rPr>
        <w:t xml:space="preserve">At the pilot sites, a within household response rate of 85% was achieved for households in which at least one person participated. Assuming this response rate applies at all sites, the total number of households that need to be contacted in order to get 395 individuals to participate is 269 households. This value is based on an 85% household participation rate (149/0.85 = 175) and a general </w:t>
      </w:r>
      <w:r w:rsidR="002C4FA3">
        <w:rPr>
          <w:rFonts w:ascii="Times New Roman" w:hAnsi="Times New Roman" w:cs="Times New Roman"/>
          <w:sz w:val="24"/>
          <w:szCs w:val="24"/>
        </w:rPr>
        <w:t>response</w:t>
      </w:r>
      <w:r w:rsidR="002C4FA3" w:rsidRPr="00C357FE">
        <w:rPr>
          <w:rFonts w:ascii="Times New Roman" w:hAnsi="Times New Roman" w:cs="Times New Roman"/>
          <w:sz w:val="24"/>
          <w:szCs w:val="24"/>
        </w:rPr>
        <w:t xml:space="preserve"> rate of 65% (175/0.65 = 269).</w:t>
      </w:r>
    </w:p>
    <w:p w14:paraId="0D4FE8D6" w14:textId="0C475F6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Sample size estimate will be adjusted to ensure adequate precision despite non-participating households, using an estimated household response rate of 65%. In Hampden County, n = </w:t>
      </w:r>
      <w:r w:rsidR="00E90578" w:rsidRPr="00F57F65">
        <w:rPr>
          <w:rFonts w:ascii="Times New Roman" w:hAnsi="Times New Roman" w:cs="Times New Roman"/>
          <w:sz w:val="24"/>
          <w:szCs w:val="24"/>
        </w:rPr>
        <w:t>1</w:t>
      </w:r>
      <w:r w:rsidR="00E90578">
        <w:rPr>
          <w:rFonts w:ascii="Times New Roman" w:hAnsi="Times New Roman" w:cs="Times New Roman"/>
          <w:sz w:val="24"/>
          <w:szCs w:val="24"/>
        </w:rPr>
        <w:t>75</w:t>
      </w:r>
      <w:r w:rsidRPr="00F57F65">
        <w:rPr>
          <w:rFonts w:ascii="Times New Roman" w:hAnsi="Times New Roman" w:cs="Times New Roman"/>
          <w:sz w:val="24"/>
          <w:szCs w:val="24"/>
        </w:rPr>
        <w:t xml:space="preserve">/0.65 = </w:t>
      </w:r>
      <w:r w:rsidR="00E90578" w:rsidRPr="00F57F65">
        <w:rPr>
          <w:rFonts w:ascii="Times New Roman" w:hAnsi="Times New Roman" w:cs="Times New Roman"/>
          <w:sz w:val="24"/>
          <w:szCs w:val="24"/>
        </w:rPr>
        <w:t>2</w:t>
      </w:r>
      <w:r w:rsidR="00E90578">
        <w:rPr>
          <w:rFonts w:ascii="Times New Roman" w:hAnsi="Times New Roman" w:cs="Times New Roman"/>
          <w:sz w:val="24"/>
          <w:szCs w:val="24"/>
        </w:rPr>
        <w:t>6</w:t>
      </w:r>
      <w:r w:rsidR="00E90578" w:rsidRPr="00F57F65">
        <w:rPr>
          <w:rFonts w:ascii="Times New Roman" w:hAnsi="Times New Roman" w:cs="Times New Roman"/>
          <w:sz w:val="24"/>
          <w:szCs w:val="24"/>
        </w:rPr>
        <w:t xml:space="preserve">9 </w:t>
      </w:r>
      <w:r w:rsidRPr="00F57F65">
        <w:rPr>
          <w:rFonts w:ascii="Times New Roman" w:hAnsi="Times New Roman" w:cs="Times New Roman"/>
          <w:sz w:val="24"/>
          <w:szCs w:val="24"/>
        </w:rPr>
        <w:t>households will be contacted. The number of households contacted in each community will be based on the total number of households and total number of individuals in the sampling frame but will use the same sample size of individuals for all sites. The sample size of 188 independent individuals (based on the original NHANES calculation) will be used for all sites and will be modified by response rate, design effect and required household sample size.</w:t>
      </w:r>
    </w:p>
    <w:p w14:paraId="4DA3FF81" w14:textId="77777777" w:rsidR="008C079E" w:rsidRPr="00F57F65" w:rsidRDefault="008C079E" w:rsidP="00F57F65">
      <w:pPr>
        <w:spacing w:line="276" w:lineRule="auto"/>
        <w:ind w:left="720"/>
        <w:rPr>
          <w:rFonts w:ascii="Times New Roman" w:hAnsi="Times New Roman" w:cs="Times New Roman"/>
          <w:sz w:val="24"/>
          <w:szCs w:val="24"/>
        </w:rPr>
      </w:pPr>
      <w:r w:rsidRPr="00F57F65">
        <w:rPr>
          <w:rFonts w:ascii="Times New Roman" w:hAnsi="Times New Roman" w:cs="Times New Roman"/>
          <w:sz w:val="24"/>
          <w:szCs w:val="24"/>
        </w:rPr>
        <w:t xml:space="preserve">Sampling weights for both households and children are needed to calculate prevalence estimates and make inferences about the entire population of children three years of age or older. Sampling weights can be adjusted to account for unequal probabilities of selection that may have occurred due to non-response from potential participants. Complex survey procedures in SAS/SUDAAN software or EpiInfo software will be used to account for unequal weighting, stratification and clustering in the sample (SAS Institute, Inc., Cary, NC; RTI International, Research Triangle Park, NC). </w:t>
      </w:r>
    </w:p>
    <w:p w14:paraId="0770EDE8" w14:textId="4BFC9FEE" w:rsidR="00D73225" w:rsidRPr="00D73225" w:rsidRDefault="000A66EA" w:rsidP="00D654B4">
      <w:pPr>
        <w:pStyle w:val="NoSpacing"/>
        <w:numPr>
          <w:ilvl w:val="0"/>
          <w:numId w:val="23"/>
        </w:numPr>
        <w:spacing w:after="120" w:line="276" w:lineRule="auto"/>
        <w:ind w:left="0" w:firstLine="360"/>
        <w:rPr>
          <w:rFonts w:ascii="Times New Roman" w:hAnsi="Times New Roman" w:cs="Times New Roman"/>
          <w:b/>
          <w:sz w:val="24"/>
          <w:szCs w:val="24"/>
        </w:rPr>
      </w:pPr>
      <w:r w:rsidRPr="00D73225">
        <w:rPr>
          <w:rFonts w:ascii="Times New Roman" w:hAnsi="Times New Roman" w:cs="Times New Roman"/>
          <w:b/>
          <w:sz w:val="24"/>
          <w:szCs w:val="24"/>
        </w:rPr>
        <w:t>Select Households</w:t>
      </w:r>
    </w:p>
    <w:p w14:paraId="393BA034" w14:textId="5A23F6E5" w:rsidR="00D654B4" w:rsidRPr="00A00679" w:rsidRDefault="00D654B4" w:rsidP="00A00679">
      <w:pPr>
        <w:spacing w:line="276" w:lineRule="auto"/>
        <w:rPr>
          <w:rFonts w:ascii="Times New Roman" w:hAnsi="Times New Roman" w:cs="Times New Roman"/>
          <w:sz w:val="24"/>
          <w:szCs w:val="24"/>
        </w:rPr>
      </w:pPr>
      <w:r w:rsidRPr="00A00679">
        <w:rPr>
          <w:rFonts w:ascii="Times New Roman" w:hAnsi="Times New Roman" w:cs="Times New Roman"/>
          <w:sz w:val="24"/>
          <w:szCs w:val="24"/>
        </w:rPr>
        <w:t xml:space="preserve">Each household in the sampling frame will be assigned a number (1, 2, 3,…N). A random number generator will be used to create a list of random numbers equal in size to the number of households in the sampling frame. </w:t>
      </w:r>
      <w:r w:rsidR="003C150E">
        <w:rPr>
          <w:rFonts w:ascii="Times New Roman" w:hAnsi="Times New Roman" w:cs="Times New Roman"/>
          <w:sz w:val="24"/>
          <w:szCs w:val="24"/>
        </w:rPr>
        <w:t>Households will be contacted for recruitment into the EA based on estimated household size in the community and using an estimated response rate. If the response rate is lower than estimated, a reserve sample of households will be contacted for recruitment into the EA to reach the target sample size. If the reserved sample is used, households within the reserve sample will be given equal opportunity to participate as households initially invited to participate.</w:t>
      </w:r>
    </w:p>
    <w:p w14:paraId="4444A623" w14:textId="3FA621D4" w:rsidR="00EA6E06" w:rsidRPr="00E707C0" w:rsidRDefault="00D33AE3" w:rsidP="008B3507">
      <w:pPr>
        <w:pStyle w:val="Heading1"/>
        <w:pBdr>
          <w:bottom w:val="none" w:sz="0" w:space="0" w:color="auto"/>
        </w:pBdr>
        <w:spacing w:after="120" w:line="276" w:lineRule="auto"/>
      </w:pPr>
      <w:bookmarkStart w:id="4" w:name="_Toc6916152"/>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75059526" w14:textId="5AF33C8B" w:rsidR="002D5973" w:rsidRDefault="00FD7409" w:rsidP="00D654B4">
      <w:pPr>
        <w:spacing w:line="276" w:lineRule="auto"/>
        <w:rPr>
          <w:rFonts w:ascii="Times New Roman" w:hAnsi="Times New Roman" w:cs="Times New Roman"/>
          <w:sz w:val="24"/>
          <w:szCs w:val="24"/>
        </w:rPr>
      </w:pPr>
      <w:r>
        <w:rPr>
          <w:rFonts w:ascii="Times New Roman" w:hAnsi="Times New Roman" w:cs="Times New Roman"/>
          <w:sz w:val="24"/>
          <w:szCs w:val="24"/>
        </w:rPr>
        <w:t>ATSDR/NCEH will r</w:t>
      </w:r>
      <w:r w:rsidRPr="00B919FA">
        <w:rPr>
          <w:rFonts w:ascii="Times New Roman" w:hAnsi="Times New Roman" w:cs="Times New Roman"/>
          <w:sz w:val="24"/>
          <w:szCs w:val="24"/>
        </w:rPr>
        <w:t xml:space="preserve">ecruit all </w:t>
      </w:r>
      <w:r>
        <w:rPr>
          <w:rFonts w:ascii="Times New Roman" w:hAnsi="Times New Roman" w:cs="Times New Roman"/>
          <w:sz w:val="24"/>
          <w:szCs w:val="24"/>
        </w:rPr>
        <w:t xml:space="preserve">eligible </w:t>
      </w:r>
      <w:r w:rsidRPr="00B919FA">
        <w:rPr>
          <w:rFonts w:ascii="Times New Roman" w:hAnsi="Times New Roman" w:cs="Times New Roman"/>
          <w:sz w:val="24"/>
          <w:szCs w:val="24"/>
        </w:rPr>
        <w:t>household members</w:t>
      </w:r>
      <w:r>
        <w:rPr>
          <w:rFonts w:ascii="Times New Roman" w:hAnsi="Times New Roman" w:cs="Times New Roman"/>
          <w:sz w:val="24"/>
          <w:szCs w:val="24"/>
        </w:rPr>
        <w:t xml:space="preserve"> </w:t>
      </w:r>
      <w:r w:rsidRPr="00B919FA">
        <w:rPr>
          <w:rFonts w:ascii="Times New Roman" w:hAnsi="Times New Roman" w:cs="Times New Roman"/>
          <w:sz w:val="24"/>
          <w:szCs w:val="24"/>
        </w:rPr>
        <w:t>from selected households to participate in the study</w:t>
      </w:r>
      <w:r w:rsidR="00CA0DDA">
        <w:rPr>
          <w:rFonts w:ascii="Times New Roman" w:hAnsi="Times New Roman" w:cs="Times New Roman"/>
          <w:sz w:val="24"/>
          <w:szCs w:val="24"/>
        </w:rPr>
        <w:t xml:space="preserve"> (</w:t>
      </w:r>
      <w:r w:rsidR="008C079E">
        <w:rPr>
          <w:rFonts w:ascii="Times New Roman" w:hAnsi="Times New Roman" w:cs="Times New Roman"/>
          <w:sz w:val="24"/>
          <w:szCs w:val="24"/>
        </w:rPr>
        <w:t xml:space="preserve">PFAS EA </w:t>
      </w:r>
      <w:r w:rsidR="00305753" w:rsidRPr="00A00679">
        <w:rPr>
          <w:rFonts w:ascii="Times New Roman" w:hAnsi="Times New Roman" w:cs="Times New Roman"/>
          <w:b/>
          <w:sz w:val="24"/>
          <w:szCs w:val="24"/>
        </w:rPr>
        <w:t>Protocol -</w:t>
      </w:r>
      <w:r w:rsidR="00305753">
        <w:rPr>
          <w:rFonts w:ascii="Times New Roman" w:hAnsi="Times New Roman" w:cs="Times New Roman"/>
          <w:sz w:val="24"/>
          <w:szCs w:val="24"/>
        </w:rPr>
        <w:t xml:space="preserve"> </w:t>
      </w:r>
      <w:r w:rsidR="00CA0DDA" w:rsidRPr="00EA5DF4">
        <w:rPr>
          <w:rFonts w:ascii="Times New Roman" w:hAnsi="Times New Roman" w:cs="Times New Roman"/>
          <w:b/>
          <w:sz w:val="24"/>
          <w:szCs w:val="24"/>
        </w:rPr>
        <w:t>A</w:t>
      </w:r>
      <w:r w:rsidR="008E554E">
        <w:rPr>
          <w:rFonts w:ascii="Times New Roman" w:hAnsi="Times New Roman" w:cs="Times New Roman"/>
          <w:b/>
          <w:sz w:val="24"/>
          <w:szCs w:val="24"/>
        </w:rPr>
        <w:t>ppendix A</w:t>
      </w:r>
      <w:r w:rsidR="00CA0DDA">
        <w:rPr>
          <w:rFonts w:ascii="Times New Roman" w:hAnsi="Times New Roman" w:cs="Times New Roman"/>
          <w:sz w:val="24"/>
          <w:szCs w:val="24"/>
        </w:rPr>
        <w:t>)</w:t>
      </w:r>
      <w:r w:rsidRPr="00B919FA">
        <w:rPr>
          <w:rFonts w:ascii="Times New Roman" w:hAnsi="Times New Roman" w:cs="Times New Roman"/>
          <w:sz w:val="24"/>
          <w:szCs w:val="24"/>
        </w:rPr>
        <w:t xml:space="preserve">. </w:t>
      </w:r>
      <w:r w:rsidR="00DF6023">
        <w:rPr>
          <w:rFonts w:ascii="Times New Roman" w:hAnsi="Times New Roman" w:cs="Times New Roman"/>
          <w:sz w:val="24"/>
          <w:szCs w:val="24"/>
        </w:rPr>
        <w:t xml:space="preserve">Recruitment will occur </w:t>
      </w:r>
      <w:r w:rsidR="00FE3765">
        <w:rPr>
          <w:rFonts w:ascii="Times New Roman" w:hAnsi="Times New Roman" w:cs="Times New Roman"/>
          <w:sz w:val="24"/>
          <w:szCs w:val="24"/>
        </w:rPr>
        <w:t xml:space="preserve">by mail and phone beginning in the </w:t>
      </w:r>
      <w:r w:rsidR="00305753">
        <w:rPr>
          <w:rFonts w:ascii="Times New Roman" w:hAnsi="Times New Roman" w:cs="Times New Roman"/>
          <w:sz w:val="24"/>
          <w:szCs w:val="24"/>
        </w:rPr>
        <w:t xml:space="preserve">Spring </w:t>
      </w:r>
      <w:r w:rsidR="00FE3765">
        <w:rPr>
          <w:rFonts w:ascii="Times New Roman" w:hAnsi="Times New Roman" w:cs="Times New Roman"/>
          <w:sz w:val="24"/>
          <w:szCs w:val="24"/>
        </w:rPr>
        <w:t xml:space="preserve">of </w:t>
      </w:r>
      <w:r w:rsidR="00305753">
        <w:rPr>
          <w:rFonts w:ascii="Times New Roman" w:hAnsi="Times New Roman" w:cs="Times New Roman"/>
          <w:sz w:val="24"/>
          <w:szCs w:val="24"/>
        </w:rPr>
        <w:t>2019</w:t>
      </w:r>
      <w:r w:rsidR="00FE3765">
        <w:rPr>
          <w:rFonts w:ascii="Times New Roman" w:hAnsi="Times New Roman" w:cs="Times New Roman"/>
          <w:sz w:val="24"/>
          <w:szCs w:val="24"/>
        </w:rPr>
        <w:t xml:space="preserve">. </w:t>
      </w:r>
      <w:r w:rsidRPr="00B86822">
        <w:rPr>
          <w:rFonts w:ascii="Times New Roman" w:hAnsi="Times New Roman" w:cs="Times New Roman"/>
          <w:sz w:val="24"/>
          <w:szCs w:val="24"/>
        </w:rPr>
        <w:t xml:space="preserve">The principal investigator or team will be identified by name, along with qualifications or experience in conducting </w:t>
      </w:r>
      <w:r w:rsidR="00C20CAD">
        <w:rPr>
          <w:rFonts w:ascii="Times New Roman" w:hAnsi="Times New Roman" w:cs="Times New Roman"/>
          <w:sz w:val="24"/>
          <w:szCs w:val="24"/>
        </w:rPr>
        <w:t>EAs</w:t>
      </w:r>
      <w:r w:rsidR="00622F1F">
        <w:rPr>
          <w:rFonts w:ascii="Times New Roman" w:hAnsi="Times New Roman" w:cs="Times New Roman"/>
          <w:sz w:val="24"/>
          <w:szCs w:val="24"/>
        </w:rPr>
        <w:t xml:space="preserve"> in these materials</w:t>
      </w:r>
      <w:r w:rsidRPr="00B86822">
        <w:rPr>
          <w:rFonts w:ascii="Times New Roman" w:hAnsi="Times New Roman" w:cs="Times New Roman"/>
          <w:sz w:val="24"/>
          <w:szCs w:val="24"/>
        </w:rPr>
        <w:t xml:space="preserve">. </w:t>
      </w:r>
    </w:p>
    <w:p w14:paraId="7972F80C" w14:textId="5CBCC4B6" w:rsidR="006007E5" w:rsidRDefault="006007E5" w:rsidP="006007E5">
      <w:pPr>
        <w:autoSpaceDE w:val="0"/>
        <w:autoSpaceDN w:val="0"/>
        <w:adjustRightInd w:val="0"/>
        <w:spacing w:line="276" w:lineRule="auto"/>
        <w:rPr>
          <w:rFonts w:ascii="Times New Roman" w:hAnsi="Times New Roman" w:cs="Times New Roman"/>
          <w:sz w:val="24"/>
          <w:szCs w:val="24"/>
        </w:rPr>
      </w:pPr>
      <w:r w:rsidRPr="00363A08">
        <w:rPr>
          <w:rFonts w:ascii="Times New Roman" w:hAnsi="Times New Roman" w:cs="Times New Roman"/>
          <w:sz w:val="24"/>
          <w:szCs w:val="24"/>
        </w:rPr>
        <w:t xml:space="preserve">NCEH has developed a PFAS Exposure Assessment Technical Tool (PEATT) </w:t>
      </w:r>
      <w:r>
        <w:rPr>
          <w:rFonts w:ascii="Times New Roman" w:hAnsi="Times New Roman" w:cs="Times New Roman"/>
          <w:sz w:val="24"/>
          <w:szCs w:val="24"/>
        </w:rPr>
        <w:t>that</w:t>
      </w:r>
      <w:r w:rsidRPr="00363A08">
        <w:rPr>
          <w:rFonts w:ascii="Times New Roman" w:hAnsi="Times New Roman" w:cs="Times New Roman"/>
          <w:sz w:val="24"/>
          <w:szCs w:val="24"/>
        </w:rPr>
        <w:t xml:space="preserve"> provides a framework for state health departments to assess exposure to PFAS in drinking water by testing PFAS in serum</w:t>
      </w:r>
      <w:r>
        <w:rPr>
          <w:rFonts w:ascii="Times New Roman" w:hAnsi="Times New Roman" w:cs="Times New Roman"/>
          <w:sz w:val="24"/>
          <w:szCs w:val="24"/>
        </w:rPr>
        <w:t xml:space="preserve"> (</w:t>
      </w:r>
      <w:r w:rsidRPr="00394A34">
        <w:rPr>
          <w:rFonts w:ascii="Times New Roman" w:hAnsi="Times New Roman" w:cs="Times New Roman"/>
          <w:b/>
          <w:sz w:val="24"/>
          <w:szCs w:val="24"/>
        </w:rPr>
        <w:t xml:space="preserve">Attachment </w:t>
      </w:r>
      <w:r w:rsidR="00D94574">
        <w:rPr>
          <w:rFonts w:ascii="Times New Roman" w:hAnsi="Times New Roman" w:cs="Times New Roman"/>
          <w:b/>
          <w:sz w:val="24"/>
          <w:szCs w:val="24"/>
        </w:rPr>
        <w:t>3</w:t>
      </w:r>
      <w:r>
        <w:rPr>
          <w:rFonts w:ascii="Times New Roman" w:hAnsi="Times New Roman" w:cs="Times New Roman"/>
          <w:sz w:val="24"/>
          <w:szCs w:val="24"/>
        </w:rPr>
        <w:t>)</w:t>
      </w:r>
      <w:r w:rsidRPr="00363A08">
        <w:rPr>
          <w:rFonts w:ascii="Times New Roman" w:hAnsi="Times New Roman" w:cs="Times New Roman"/>
          <w:sz w:val="24"/>
          <w:szCs w:val="24"/>
        </w:rPr>
        <w:t xml:space="preserve">. The PEATT </w:t>
      </w:r>
      <w:r>
        <w:rPr>
          <w:rFonts w:ascii="Times New Roman" w:hAnsi="Times New Roman" w:cs="Times New Roman"/>
          <w:sz w:val="24"/>
          <w:szCs w:val="24"/>
        </w:rPr>
        <w:t xml:space="preserve">provides guidance on a </w:t>
      </w:r>
      <w:r w:rsidR="00622F1F">
        <w:rPr>
          <w:rFonts w:ascii="Times New Roman" w:hAnsi="Times New Roman" w:cs="Times New Roman"/>
          <w:sz w:val="24"/>
          <w:szCs w:val="24"/>
        </w:rPr>
        <w:t>statistically based</w:t>
      </w:r>
      <w:r>
        <w:rPr>
          <w:rFonts w:ascii="Times New Roman" w:hAnsi="Times New Roman" w:cs="Times New Roman"/>
          <w:sz w:val="24"/>
          <w:szCs w:val="24"/>
        </w:rPr>
        <w:t xml:space="preserve"> approach to recruit, measure and evaluation community exposures to PFAS including:</w:t>
      </w:r>
    </w:p>
    <w:p w14:paraId="4AA2EFCD" w14:textId="77777777" w:rsidR="006007E5" w:rsidRDefault="006007E5" w:rsidP="006007E5">
      <w:pPr>
        <w:pStyle w:val="ListParagraph"/>
        <w:numPr>
          <w:ilvl w:val="0"/>
          <w:numId w:val="21"/>
        </w:num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Biomonitoring (</w:t>
      </w:r>
      <w:r w:rsidRPr="00941200">
        <w:rPr>
          <w:rFonts w:ascii="Times New Roman" w:hAnsi="Times New Roman" w:cs="Times New Roman"/>
          <w:sz w:val="24"/>
          <w:szCs w:val="24"/>
        </w:rPr>
        <w:t>serum testing</w:t>
      </w:r>
      <w:r>
        <w:rPr>
          <w:rFonts w:ascii="Times New Roman" w:hAnsi="Times New Roman" w:cs="Times New Roman"/>
          <w:sz w:val="24"/>
          <w:szCs w:val="24"/>
        </w:rPr>
        <w:t>)</w:t>
      </w:r>
    </w:p>
    <w:p w14:paraId="67D666A9" w14:textId="77777777" w:rsidR="006007E5" w:rsidRDefault="006007E5" w:rsidP="006007E5">
      <w:pPr>
        <w:pStyle w:val="ListParagraph"/>
        <w:numPr>
          <w:ilvl w:val="0"/>
          <w:numId w:val="21"/>
        </w:num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Identifying exposure source(s), and</w:t>
      </w:r>
    </w:p>
    <w:p w14:paraId="272D3D69" w14:textId="77777777" w:rsidR="006007E5" w:rsidRDefault="006007E5" w:rsidP="006007E5">
      <w:pPr>
        <w:pStyle w:val="ListParagraph"/>
        <w:numPr>
          <w:ilvl w:val="0"/>
          <w:numId w:val="21"/>
        </w:num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Administering questionnaires to provide an assessment of exposure source(s) along with the magnitude and distribution of exposure to the community.</w:t>
      </w:r>
    </w:p>
    <w:p w14:paraId="0D999AB9" w14:textId="1C253F98" w:rsidR="006007E5" w:rsidRDefault="006007E5" w:rsidP="006007E5">
      <w:pPr>
        <w:tabs>
          <w:tab w:val="left" w:pos="1545"/>
        </w:tabs>
        <w:spacing w:line="276" w:lineRule="auto"/>
        <w:rPr>
          <w:rFonts w:ascii="Times New Roman" w:hAnsi="Times New Roman" w:cs="Times New Roman"/>
          <w:color w:val="000000"/>
          <w:sz w:val="24"/>
          <w:szCs w:val="24"/>
        </w:rPr>
      </w:pPr>
      <w:r>
        <w:rPr>
          <w:rFonts w:ascii="Times New Roman" w:hAnsi="Times New Roman" w:cs="Times New Roman"/>
          <w:sz w:val="24"/>
          <w:szCs w:val="24"/>
        </w:rPr>
        <w:t xml:space="preserve">The EAs </w:t>
      </w:r>
      <w:r w:rsidR="00F76822">
        <w:rPr>
          <w:rFonts w:ascii="Times New Roman" w:hAnsi="Times New Roman" w:cs="Times New Roman"/>
          <w:sz w:val="24"/>
          <w:szCs w:val="24"/>
        </w:rPr>
        <w:t>will be</w:t>
      </w:r>
      <w:r>
        <w:rPr>
          <w:rFonts w:ascii="Times New Roman" w:hAnsi="Times New Roman" w:cs="Times New Roman"/>
          <w:sz w:val="24"/>
          <w:szCs w:val="24"/>
        </w:rPr>
        <w:t xml:space="preserve"> based on the methodology, consents</w:t>
      </w:r>
      <w:r w:rsidR="00216467">
        <w:rPr>
          <w:rFonts w:ascii="Times New Roman" w:hAnsi="Times New Roman" w:cs="Times New Roman"/>
          <w:sz w:val="24"/>
          <w:szCs w:val="24"/>
        </w:rPr>
        <w:t>,</w:t>
      </w:r>
      <w:r>
        <w:rPr>
          <w:rFonts w:ascii="Times New Roman" w:hAnsi="Times New Roman" w:cs="Times New Roman"/>
          <w:sz w:val="24"/>
          <w:szCs w:val="24"/>
        </w:rPr>
        <w:t xml:space="preserve"> and questionnaires provided in the PEATT. The PEATT, however, only provides methodology for assessing PFAS in serum at locations that have been impacted by PFAS in drinking water. The EAs</w:t>
      </w:r>
      <w:r w:rsidR="00622F1F">
        <w:rPr>
          <w:rFonts w:ascii="Times New Roman" w:hAnsi="Times New Roman" w:cs="Times New Roman"/>
          <w:sz w:val="24"/>
          <w:szCs w:val="24"/>
        </w:rPr>
        <w:t xml:space="preserve"> protocol</w:t>
      </w:r>
      <w:r>
        <w:rPr>
          <w:rFonts w:ascii="Times New Roman" w:hAnsi="Times New Roman" w:cs="Times New Roman"/>
          <w:sz w:val="24"/>
          <w:szCs w:val="24"/>
        </w:rPr>
        <w:t xml:space="preserve"> </w:t>
      </w:r>
      <w:r w:rsidR="00F76822">
        <w:rPr>
          <w:rFonts w:ascii="Times New Roman" w:hAnsi="Times New Roman" w:cs="Times New Roman"/>
          <w:sz w:val="24"/>
          <w:szCs w:val="24"/>
        </w:rPr>
        <w:t>has been</w:t>
      </w:r>
      <w:r>
        <w:rPr>
          <w:rFonts w:ascii="Times New Roman" w:hAnsi="Times New Roman" w:cs="Times New Roman"/>
          <w:sz w:val="24"/>
          <w:szCs w:val="24"/>
        </w:rPr>
        <w:t xml:space="preserve"> expanded to include assessing PFAS in urine and in environmental media (</w:t>
      </w:r>
      <w:r w:rsidR="00F76822">
        <w:rPr>
          <w:rFonts w:ascii="Times New Roman" w:hAnsi="Times New Roman" w:cs="Times New Roman"/>
          <w:sz w:val="24"/>
          <w:szCs w:val="24"/>
        </w:rPr>
        <w:t xml:space="preserve">tap </w:t>
      </w:r>
      <w:r>
        <w:rPr>
          <w:rFonts w:ascii="Times New Roman" w:hAnsi="Times New Roman" w:cs="Times New Roman"/>
          <w:sz w:val="24"/>
          <w:szCs w:val="24"/>
        </w:rPr>
        <w:t>water and indoor dust).</w:t>
      </w:r>
      <w:r w:rsidRPr="009452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protocol provides methods for </w:t>
      </w:r>
      <w:r w:rsidR="00F76822">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sampling of these additional media.</w:t>
      </w:r>
    </w:p>
    <w:p w14:paraId="1B3C58F8" w14:textId="07EE48CA" w:rsidR="00FD7409" w:rsidRPr="006719D9" w:rsidRDefault="00FD7409" w:rsidP="00E2715D">
      <w:pPr>
        <w:spacing w:line="276" w:lineRule="auto"/>
        <w:rPr>
          <w:rFonts w:ascii="Times New Roman" w:hAnsi="Times New Roman" w:cs="Times New Roman"/>
          <w:color w:val="000000" w:themeColor="text1"/>
          <w:sz w:val="24"/>
          <w:szCs w:val="24"/>
        </w:rPr>
      </w:pPr>
      <w:r w:rsidRPr="006719D9">
        <w:rPr>
          <w:rFonts w:ascii="Times New Roman" w:hAnsi="Times New Roman" w:cs="Times New Roman"/>
          <w:color w:val="000000" w:themeColor="text1"/>
          <w:sz w:val="24"/>
          <w:szCs w:val="24"/>
        </w:rPr>
        <w:t xml:space="preserve">ATSDR/NCEH will implement a Data Management Plan for the data collected for the </w:t>
      </w:r>
      <w:r w:rsidR="00E2715D">
        <w:rPr>
          <w:rFonts w:ascii="Times New Roman" w:hAnsi="Times New Roman" w:cs="Times New Roman"/>
          <w:color w:val="000000" w:themeColor="text1"/>
          <w:sz w:val="24"/>
          <w:szCs w:val="24"/>
        </w:rPr>
        <w:t>EAs</w:t>
      </w:r>
      <w:r w:rsidRPr="006719D9">
        <w:rPr>
          <w:rFonts w:ascii="Times New Roman" w:hAnsi="Times New Roman" w:cs="Times New Roman"/>
          <w:color w:val="000000" w:themeColor="text1"/>
          <w:sz w:val="24"/>
          <w:szCs w:val="24"/>
        </w:rPr>
        <w:t xml:space="preserve"> per </w:t>
      </w:r>
      <w:r w:rsidR="006169A6">
        <w:rPr>
          <w:rFonts w:ascii="Times New Roman" w:hAnsi="Times New Roman" w:cs="Times New Roman"/>
          <w:color w:val="000000" w:themeColor="text1"/>
          <w:sz w:val="24"/>
          <w:szCs w:val="24"/>
        </w:rPr>
        <w:t>ATSDR</w:t>
      </w:r>
      <w:r w:rsidR="006169A6" w:rsidRPr="006719D9">
        <w:rPr>
          <w:rFonts w:ascii="Times New Roman" w:hAnsi="Times New Roman" w:cs="Times New Roman"/>
          <w:color w:val="000000" w:themeColor="text1"/>
          <w:sz w:val="24"/>
          <w:szCs w:val="24"/>
        </w:rPr>
        <w:t xml:space="preserve"> </w:t>
      </w:r>
      <w:r w:rsidRPr="006719D9">
        <w:rPr>
          <w:rFonts w:ascii="Times New Roman" w:hAnsi="Times New Roman" w:cs="Times New Roman"/>
          <w:color w:val="000000" w:themeColor="text1"/>
          <w:sz w:val="24"/>
          <w:szCs w:val="24"/>
        </w:rPr>
        <w:t>guidance</w:t>
      </w:r>
      <w:r w:rsidR="007C7215">
        <w:rPr>
          <w:rFonts w:ascii="Times New Roman" w:hAnsi="Times New Roman" w:cs="Times New Roman"/>
          <w:color w:val="000000" w:themeColor="text1"/>
          <w:sz w:val="24"/>
          <w:szCs w:val="24"/>
        </w:rPr>
        <w:t xml:space="preserve"> (</w:t>
      </w:r>
      <w:r w:rsidR="008C079E">
        <w:rPr>
          <w:rFonts w:ascii="Times New Roman" w:hAnsi="Times New Roman" w:cs="Times New Roman"/>
          <w:color w:val="000000" w:themeColor="text1"/>
          <w:sz w:val="24"/>
          <w:szCs w:val="24"/>
        </w:rPr>
        <w:t xml:space="preserve">PFAS EA </w:t>
      </w:r>
      <w:r w:rsidR="00305753" w:rsidRPr="00A00679">
        <w:rPr>
          <w:rFonts w:ascii="Times New Roman" w:hAnsi="Times New Roman" w:cs="Times New Roman"/>
          <w:b/>
          <w:color w:val="000000" w:themeColor="text1"/>
          <w:sz w:val="24"/>
          <w:szCs w:val="24"/>
        </w:rPr>
        <w:t>Protocol -</w:t>
      </w:r>
      <w:r w:rsidR="00305753">
        <w:rPr>
          <w:rFonts w:ascii="Times New Roman" w:hAnsi="Times New Roman" w:cs="Times New Roman"/>
          <w:color w:val="000000" w:themeColor="text1"/>
          <w:sz w:val="24"/>
          <w:szCs w:val="24"/>
        </w:rPr>
        <w:t xml:space="preserve"> </w:t>
      </w:r>
      <w:r w:rsidR="007C7215">
        <w:rPr>
          <w:rFonts w:ascii="Times New Roman" w:hAnsi="Times New Roman" w:cs="Times New Roman"/>
          <w:b/>
          <w:color w:val="000000" w:themeColor="text1"/>
          <w:sz w:val="24"/>
          <w:szCs w:val="24"/>
        </w:rPr>
        <w:t>Appendix I</w:t>
      </w:r>
      <w:r w:rsidR="007C7215">
        <w:rPr>
          <w:rFonts w:ascii="Times New Roman" w:hAnsi="Times New Roman" w:cs="Times New Roman"/>
          <w:color w:val="000000" w:themeColor="text1"/>
          <w:sz w:val="24"/>
          <w:szCs w:val="24"/>
        </w:rPr>
        <w:t>)</w:t>
      </w:r>
      <w:r w:rsidR="006169A6">
        <w:rPr>
          <w:rFonts w:ascii="Times New Roman" w:hAnsi="Times New Roman" w:cs="Times New Roman"/>
          <w:color w:val="000000" w:themeColor="text1"/>
          <w:sz w:val="24"/>
          <w:szCs w:val="24"/>
        </w:rPr>
        <w:t>.</w:t>
      </w:r>
    </w:p>
    <w:p w14:paraId="752DDB43" w14:textId="77777777" w:rsidR="00FD7409" w:rsidRPr="00B86822" w:rsidRDefault="00FD7409" w:rsidP="00E2715D">
      <w:pPr>
        <w:tabs>
          <w:tab w:val="left" w:pos="1545"/>
        </w:tabs>
        <w:spacing w:line="276" w:lineRule="auto"/>
        <w:rPr>
          <w:rFonts w:ascii="Times New Roman" w:hAnsi="Times New Roman" w:cs="Times New Roman"/>
          <w:i/>
          <w:sz w:val="24"/>
          <w:szCs w:val="24"/>
        </w:rPr>
      </w:pPr>
      <w:r w:rsidRPr="00B86822">
        <w:rPr>
          <w:rFonts w:ascii="Times New Roman" w:hAnsi="Times New Roman" w:cs="Times New Roman"/>
          <w:sz w:val="24"/>
          <w:szCs w:val="24"/>
        </w:rPr>
        <w:t xml:space="preserve"> </w:t>
      </w:r>
      <w:r w:rsidRPr="00B86822">
        <w:rPr>
          <w:rFonts w:ascii="Times New Roman" w:hAnsi="Times New Roman" w:cs="Times New Roman"/>
          <w:i/>
          <w:sz w:val="24"/>
          <w:szCs w:val="24"/>
        </w:rPr>
        <w:t>Quality Control Procedures</w:t>
      </w:r>
    </w:p>
    <w:p w14:paraId="7B4189E1" w14:textId="21817338" w:rsidR="00FD7409" w:rsidRPr="00B86822" w:rsidRDefault="00FD7409" w:rsidP="00E2715D">
      <w:pPr>
        <w:tabs>
          <w:tab w:val="left" w:pos="1545"/>
        </w:tabs>
        <w:spacing w:line="276" w:lineRule="auto"/>
        <w:rPr>
          <w:rFonts w:ascii="Times New Roman" w:hAnsi="Times New Roman" w:cs="Times New Roman"/>
          <w:sz w:val="24"/>
          <w:szCs w:val="24"/>
        </w:rPr>
      </w:pPr>
      <w:r w:rsidRPr="00B86822">
        <w:rPr>
          <w:rFonts w:ascii="Times New Roman" w:hAnsi="Times New Roman" w:cs="Times New Roman"/>
          <w:sz w:val="24"/>
          <w:szCs w:val="24"/>
        </w:rPr>
        <w:t xml:space="preserve">Prior to the interviews, the </w:t>
      </w:r>
      <w:r w:rsidR="00634744">
        <w:rPr>
          <w:rFonts w:ascii="Times New Roman" w:hAnsi="Times New Roman" w:cs="Times New Roman"/>
          <w:sz w:val="24"/>
          <w:szCs w:val="24"/>
        </w:rPr>
        <w:t>EA</w:t>
      </w:r>
      <w:r w:rsidRPr="00B86822">
        <w:rPr>
          <w:rFonts w:ascii="Times New Roman" w:hAnsi="Times New Roman" w:cs="Times New Roman"/>
          <w:sz w:val="24"/>
          <w:szCs w:val="24"/>
        </w:rPr>
        <w:t xml:space="preserve"> team members will be trained to administer </w:t>
      </w:r>
      <w:r w:rsidR="006007E5">
        <w:rPr>
          <w:rFonts w:ascii="Times New Roman" w:hAnsi="Times New Roman" w:cs="Times New Roman"/>
          <w:sz w:val="24"/>
          <w:szCs w:val="24"/>
        </w:rPr>
        <w:t xml:space="preserve">the consent forms and </w:t>
      </w:r>
      <w:r w:rsidR="00634744">
        <w:rPr>
          <w:rFonts w:ascii="Times New Roman" w:hAnsi="Times New Roman" w:cs="Times New Roman"/>
          <w:sz w:val="24"/>
          <w:szCs w:val="24"/>
        </w:rPr>
        <w:t>questionnaire</w:t>
      </w:r>
      <w:r w:rsidRPr="00B86822">
        <w:rPr>
          <w:rFonts w:ascii="Times New Roman" w:hAnsi="Times New Roman" w:cs="Times New Roman"/>
          <w:sz w:val="24"/>
          <w:szCs w:val="24"/>
        </w:rPr>
        <w:t xml:space="preserve">. The list of questions and individuals’ answers will </w:t>
      </w:r>
      <w:r w:rsidR="00F76822">
        <w:rPr>
          <w:rFonts w:ascii="Times New Roman" w:hAnsi="Times New Roman" w:cs="Times New Roman"/>
          <w:sz w:val="24"/>
          <w:szCs w:val="24"/>
        </w:rPr>
        <w:t xml:space="preserve">recorded using Epi </w:t>
      </w:r>
      <w:r w:rsidR="000A66EA">
        <w:rPr>
          <w:rFonts w:ascii="Times New Roman" w:hAnsi="Times New Roman" w:cs="Times New Roman"/>
          <w:sz w:val="24"/>
          <w:szCs w:val="24"/>
        </w:rPr>
        <w:t>Info</w:t>
      </w:r>
      <w:r w:rsidR="00F76822" w:rsidRPr="00EA5DF4">
        <w:rPr>
          <w:rFonts w:ascii="Times New Roman" w:hAnsi="Times New Roman" w:cs="Times New Roman"/>
          <w:sz w:val="24"/>
          <w:szCs w:val="24"/>
          <w:vertAlign w:val="superscript"/>
        </w:rPr>
        <w:t>TM</w:t>
      </w:r>
      <w:r w:rsidR="00F76822">
        <w:rPr>
          <w:rFonts w:ascii="Times New Roman" w:hAnsi="Times New Roman" w:cs="Times New Roman"/>
          <w:sz w:val="24"/>
          <w:szCs w:val="24"/>
        </w:rPr>
        <w:t xml:space="preserve"> and will </w:t>
      </w:r>
      <w:r w:rsidRPr="00B86822">
        <w:rPr>
          <w:rFonts w:ascii="Times New Roman" w:hAnsi="Times New Roman" w:cs="Times New Roman"/>
          <w:sz w:val="24"/>
          <w:szCs w:val="24"/>
        </w:rPr>
        <w:t xml:space="preserve">be stored in a secure database. The </w:t>
      </w:r>
      <w:r w:rsidR="00634744">
        <w:rPr>
          <w:rFonts w:ascii="Times New Roman" w:hAnsi="Times New Roman" w:cs="Times New Roman"/>
          <w:sz w:val="24"/>
          <w:szCs w:val="24"/>
        </w:rPr>
        <w:t>EA</w:t>
      </w:r>
      <w:r w:rsidRPr="00B86822">
        <w:rPr>
          <w:rFonts w:ascii="Times New Roman" w:hAnsi="Times New Roman" w:cs="Times New Roman"/>
          <w:sz w:val="24"/>
          <w:szCs w:val="24"/>
        </w:rPr>
        <w:t xml:space="preserve"> protocol indicate</w:t>
      </w:r>
      <w:r w:rsidR="00622F1F">
        <w:rPr>
          <w:rFonts w:ascii="Times New Roman" w:hAnsi="Times New Roman" w:cs="Times New Roman"/>
          <w:sz w:val="24"/>
          <w:szCs w:val="24"/>
        </w:rPr>
        <w:t>s</w:t>
      </w:r>
      <w:r w:rsidRPr="00B86822">
        <w:rPr>
          <w:rFonts w:ascii="Times New Roman" w:hAnsi="Times New Roman" w:cs="Times New Roman"/>
          <w:sz w:val="24"/>
          <w:szCs w:val="24"/>
        </w:rPr>
        <w:t xml:space="preserve"> that the </w:t>
      </w:r>
      <w:r>
        <w:rPr>
          <w:rFonts w:ascii="Times New Roman" w:hAnsi="Times New Roman" w:cs="Times New Roman"/>
          <w:sz w:val="24"/>
          <w:szCs w:val="24"/>
        </w:rPr>
        <w:t>privacy</w:t>
      </w:r>
      <w:r w:rsidRPr="00B86822">
        <w:rPr>
          <w:rFonts w:ascii="Times New Roman" w:hAnsi="Times New Roman" w:cs="Times New Roman"/>
          <w:sz w:val="24"/>
          <w:szCs w:val="24"/>
        </w:rPr>
        <w:t xml:space="preserve"> of the information given by respondents will be protected to the extent allowed by law, and that respondents can withdraw from </w:t>
      </w:r>
      <w:r w:rsidR="00634744">
        <w:rPr>
          <w:rFonts w:ascii="Times New Roman" w:hAnsi="Times New Roman" w:cs="Times New Roman"/>
          <w:sz w:val="24"/>
          <w:szCs w:val="24"/>
        </w:rPr>
        <w:t>EA</w:t>
      </w:r>
      <w:r w:rsidRPr="00B86822">
        <w:rPr>
          <w:rFonts w:ascii="Times New Roman" w:hAnsi="Times New Roman" w:cs="Times New Roman"/>
          <w:sz w:val="24"/>
          <w:szCs w:val="24"/>
        </w:rPr>
        <w:t xml:space="preserve"> participation at any time without penalty.</w:t>
      </w:r>
    </w:p>
    <w:p w14:paraId="1C537659" w14:textId="1DAEA96B" w:rsidR="00FD7409" w:rsidRPr="00B86822" w:rsidRDefault="00FD7409" w:rsidP="00E2715D">
      <w:pPr>
        <w:tabs>
          <w:tab w:val="left" w:pos="1545"/>
        </w:tabs>
        <w:spacing w:line="276" w:lineRule="auto"/>
        <w:rPr>
          <w:rFonts w:ascii="Times New Roman" w:hAnsi="Times New Roman" w:cs="Times New Roman"/>
          <w:sz w:val="24"/>
          <w:szCs w:val="24"/>
        </w:rPr>
      </w:pPr>
      <w:r w:rsidRPr="00B86822">
        <w:rPr>
          <w:rFonts w:ascii="Times New Roman" w:hAnsi="Times New Roman" w:cs="Times New Roman"/>
          <w:sz w:val="24"/>
          <w:szCs w:val="24"/>
        </w:rPr>
        <w:t xml:space="preserve">The </w:t>
      </w:r>
      <w:r w:rsidR="00634744">
        <w:rPr>
          <w:rFonts w:ascii="Times New Roman" w:hAnsi="Times New Roman" w:cs="Times New Roman"/>
          <w:sz w:val="24"/>
          <w:szCs w:val="24"/>
        </w:rPr>
        <w:t>EA</w:t>
      </w:r>
      <w:r w:rsidRPr="00B86822">
        <w:rPr>
          <w:rFonts w:ascii="Times New Roman" w:hAnsi="Times New Roman" w:cs="Times New Roman"/>
          <w:sz w:val="24"/>
          <w:szCs w:val="24"/>
        </w:rPr>
        <w:t xml:space="preserve"> team will give each respondent the following information: the name of the </w:t>
      </w:r>
      <w:r w:rsidR="00634744">
        <w:rPr>
          <w:rFonts w:ascii="Times New Roman" w:hAnsi="Times New Roman" w:cs="Times New Roman"/>
          <w:sz w:val="24"/>
          <w:szCs w:val="24"/>
        </w:rPr>
        <w:t>EA</w:t>
      </w:r>
      <w:r w:rsidRPr="00B86822">
        <w:rPr>
          <w:rFonts w:ascii="Times New Roman" w:hAnsi="Times New Roman" w:cs="Times New Roman"/>
          <w:sz w:val="24"/>
          <w:szCs w:val="24"/>
        </w:rPr>
        <w:t xml:space="preserve">, a telephone number to call with questions, and the address of the ATSDR/NCEH website to access for more information about the </w:t>
      </w:r>
      <w:r w:rsidR="00634744">
        <w:rPr>
          <w:rFonts w:ascii="Times New Roman" w:hAnsi="Times New Roman" w:cs="Times New Roman"/>
          <w:sz w:val="24"/>
          <w:szCs w:val="24"/>
        </w:rPr>
        <w:t>EA</w:t>
      </w:r>
      <w:r w:rsidRPr="00B86822">
        <w:rPr>
          <w:rFonts w:ascii="Times New Roman" w:hAnsi="Times New Roman" w:cs="Times New Roman"/>
          <w:sz w:val="24"/>
          <w:szCs w:val="24"/>
        </w:rPr>
        <w:t>, if applicable. All respondents will receive a copy of their personal results.</w:t>
      </w:r>
    </w:p>
    <w:p w14:paraId="7C5431E7" w14:textId="74B4AD07" w:rsidR="00B45002" w:rsidRPr="00E707C0" w:rsidRDefault="00D33AE3" w:rsidP="00E2715D">
      <w:pPr>
        <w:pStyle w:val="Heading1"/>
        <w:pBdr>
          <w:bottom w:val="none" w:sz="0" w:space="0" w:color="auto"/>
        </w:pBdr>
        <w:spacing w:after="120" w:line="276" w:lineRule="auto"/>
        <w:rPr>
          <w:rFonts w:ascii="Cambria" w:hAnsi="Cambria"/>
          <w:color w:val="auto"/>
        </w:rPr>
      </w:pPr>
      <w:bookmarkStart w:id="5" w:name="_Toc6916153"/>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FE556A">
        <w:rPr>
          <w:rFonts w:ascii="Cambria" w:hAnsi="Cambria"/>
          <w:color w:val="auto"/>
        </w:rPr>
        <w:t>nr</w:t>
      </w:r>
      <w:r w:rsidR="00B45002" w:rsidRPr="00E707C0">
        <w:rPr>
          <w:rFonts w:ascii="Cambria" w:hAnsi="Cambria"/>
          <w:color w:val="auto"/>
        </w:rPr>
        <w:t>esponse</w:t>
      </w:r>
      <w:bookmarkEnd w:id="5"/>
    </w:p>
    <w:p w14:paraId="76D3583D" w14:textId="1DE1BA4D" w:rsidR="002D5973" w:rsidRPr="00B86822" w:rsidRDefault="002D5973">
      <w:pPr>
        <w:tabs>
          <w:tab w:val="left" w:pos="1545"/>
        </w:tabs>
        <w:spacing w:line="276" w:lineRule="auto"/>
        <w:rPr>
          <w:rFonts w:ascii="Times New Roman" w:hAnsi="Times New Roman" w:cs="Times New Roman"/>
          <w:sz w:val="24"/>
          <w:szCs w:val="24"/>
        </w:rPr>
      </w:pPr>
      <w:r>
        <w:rPr>
          <w:rFonts w:ascii="Times New Roman" w:hAnsi="Times New Roman" w:cs="Times New Roman"/>
          <w:sz w:val="24"/>
          <w:szCs w:val="24"/>
        </w:rPr>
        <w:t xml:space="preserve">PFAS </w:t>
      </w:r>
      <w:r w:rsidR="00634744">
        <w:rPr>
          <w:rFonts w:ascii="Times New Roman" w:hAnsi="Times New Roman" w:cs="Times New Roman"/>
          <w:sz w:val="24"/>
          <w:szCs w:val="24"/>
        </w:rPr>
        <w:t>EAs</w:t>
      </w:r>
      <w:r>
        <w:rPr>
          <w:rFonts w:ascii="Times New Roman" w:hAnsi="Times New Roman" w:cs="Times New Roman"/>
          <w:sz w:val="24"/>
          <w:szCs w:val="24"/>
        </w:rPr>
        <w:t xml:space="preserve"> will</w:t>
      </w:r>
      <w:r w:rsidRPr="00B86822">
        <w:rPr>
          <w:rFonts w:ascii="Times New Roman" w:hAnsi="Times New Roman" w:cs="Times New Roman"/>
          <w:sz w:val="24"/>
          <w:szCs w:val="24"/>
        </w:rPr>
        <w:t xml:space="preserve"> follow several steps to maximize the response rates and thus decrease non-response bias: </w:t>
      </w:r>
    </w:p>
    <w:p w14:paraId="5181B83F" w14:textId="6624A0D2" w:rsidR="00145D47" w:rsidRPr="00EA5DF4" w:rsidRDefault="00145D47" w:rsidP="00EA5DF4">
      <w:pPr>
        <w:pStyle w:val="NoSpacing"/>
        <w:spacing w:after="120" w:line="276" w:lineRule="auto"/>
        <w:rPr>
          <w:rFonts w:ascii="Times New Roman" w:hAnsi="Times New Roman" w:cs="Times New Roman"/>
          <w:sz w:val="24"/>
          <w:szCs w:val="24"/>
        </w:rPr>
      </w:pPr>
      <w:r>
        <w:rPr>
          <w:rFonts w:ascii="Times New Roman" w:hAnsi="Times New Roman" w:cs="Times New Roman"/>
          <w:sz w:val="24"/>
          <w:szCs w:val="24"/>
        </w:rPr>
        <w:t>A recruitment letter and fact sheets (</w:t>
      </w:r>
      <w:r w:rsidR="008C079E">
        <w:rPr>
          <w:rFonts w:ascii="Times New Roman" w:hAnsi="Times New Roman" w:cs="Times New Roman"/>
          <w:sz w:val="24"/>
          <w:szCs w:val="24"/>
        </w:rPr>
        <w:t xml:space="preserve">PFAS EA </w:t>
      </w:r>
      <w:r w:rsidR="00305753" w:rsidRPr="00A00679">
        <w:rPr>
          <w:rFonts w:ascii="Times New Roman" w:hAnsi="Times New Roman" w:cs="Times New Roman"/>
          <w:b/>
          <w:sz w:val="24"/>
          <w:szCs w:val="24"/>
        </w:rPr>
        <w:t xml:space="preserve">Protocol - </w:t>
      </w:r>
      <w:r w:rsidRPr="00305753">
        <w:rPr>
          <w:rFonts w:ascii="Times New Roman" w:hAnsi="Times New Roman" w:cs="Times New Roman"/>
          <w:b/>
          <w:sz w:val="24"/>
          <w:szCs w:val="24"/>
        </w:rPr>
        <w:t>A</w:t>
      </w:r>
      <w:r w:rsidR="008E554E" w:rsidRPr="00305753">
        <w:rPr>
          <w:rFonts w:ascii="Times New Roman" w:hAnsi="Times New Roman" w:cs="Times New Roman"/>
          <w:b/>
          <w:sz w:val="24"/>
          <w:szCs w:val="24"/>
        </w:rPr>
        <w:t>ppendix</w:t>
      </w:r>
      <w:r w:rsidR="008E554E">
        <w:rPr>
          <w:rFonts w:ascii="Times New Roman" w:hAnsi="Times New Roman" w:cs="Times New Roman"/>
          <w:b/>
          <w:sz w:val="24"/>
          <w:szCs w:val="24"/>
        </w:rPr>
        <w:t xml:space="preserve"> A</w:t>
      </w:r>
      <w:r>
        <w:rPr>
          <w:rFonts w:ascii="Times New Roman" w:hAnsi="Times New Roman" w:cs="Times New Roman"/>
          <w:sz w:val="24"/>
          <w:szCs w:val="24"/>
        </w:rPr>
        <w:t>) will be sent to all homes statistically</w:t>
      </w:r>
      <w:r w:rsidR="000C7C39">
        <w:rPr>
          <w:rFonts w:ascii="Times New Roman" w:hAnsi="Times New Roman" w:cs="Times New Roman"/>
          <w:sz w:val="24"/>
          <w:szCs w:val="24"/>
        </w:rPr>
        <w:t xml:space="preserve"> </w:t>
      </w:r>
      <w:r>
        <w:rPr>
          <w:rFonts w:ascii="Times New Roman" w:hAnsi="Times New Roman" w:cs="Times New Roman"/>
          <w:sz w:val="24"/>
          <w:szCs w:val="24"/>
        </w:rPr>
        <w:t xml:space="preserve">identified for the EAs. </w:t>
      </w:r>
      <w:r w:rsidRPr="00145D47">
        <w:rPr>
          <w:rFonts w:ascii="Times New Roman" w:hAnsi="Times New Roman" w:cs="Times New Roman"/>
          <w:sz w:val="24"/>
          <w:szCs w:val="24"/>
        </w:rPr>
        <w:t>Potential respondents will also be contacted by phone (</w:t>
      </w:r>
      <w:r w:rsidR="008C079E">
        <w:rPr>
          <w:rFonts w:ascii="Times New Roman" w:hAnsi="Times New Roman" w:cs="Times New Roman"/>
          <w:sz w:val="24"/>
          <w:szCs w:val="24"/>
        </w:rPr>
        <w:t xml:space="preserve">PFAS EA </w:t>
      </w:r>
      <w:r w:rsidR="00305753" w:rsidRPr="00A00679">
        <w:rPr>
          <w:rFonts w:ascii="Times New Roman" w:hAnsi="Times New Roman" w:cs="Times New Roman"/>
          <w:b/>
          <w:sz w:val="24"/>
          <w:szCs w:val="24"/>
        </w:rPr>
        <w:t>Protocol -</w:t>
      </w:r>
      <w:r w:rsidR="00305753">
        <w:rPr>
          <w:rFonts w:ascii="Times New Roman" w:hAnsi="Times New Roman" w:cs="Times New Roman"/>
          <w:sz w:val="24"/>
          <w:szCs w:val="24"/>
        </w:rPr>
        <w:t xml:space="preserve"> </w:t>
      </w:r>
      <w:r w:rsidRPr="00EA5DF4">
        <w:rPr>
          <w:rFonts w:ascii="Times New Roman" w:hAnsi="Times New Roman" w:cs="Times New Roman"/>
          <w:b/>
          <w:sz w:val="24"/>
          <w:szCs w:val="24"/>
        </w:rPr>
        <w:t>A</w:t>
      </w:r>
      <w:r w:rsidR="008E554E">
        <w:rPr>
          <w:rFonts w:ascii="Times New Roman" w:hAnsi="Times New Roman" w:cs="Times New Roman"/>
          <w:b/>
          <w:sz w:val="24"/>
          <w:szCs w:val="24"/>
        </w:rPr>
        <w:t>ppendix A</w:t>
      </w:r>
      <w:r w:rsidRPr="00145D47">
        <w:rPr>
          <w:rFonts w:ascii="Times New Roman" w:hAnsi="Times New Roman" w:cs="Times New Roman"/>
          <w:sz w:val="24"/>
          <w:szCs w:val="24"/>
        </w:rPr>
        <w:t xml:space="preserve">) a maximum of three times for recruitment. </w:t>
      </w:r>
      <w:r w:rsidRPr="00EA5DF4">
        <w:rPr>
          <w:rFonts w:ascii="Times New Roman" w:hAnsi="Times New Roman" w:cs="Times New Roman"/>
          <w:sz w:val="24"/>
          <w:szCs w:val="24"/>
        </w:rPr>
        <w:t>It may not be possible to get household or individual participation, even after multiple contact attempts. Since those that do not choose to participate may be substantively different from those that do, replacing households or individuals that cannot be reached or choose not to participate may result in participation bias. In order to reduce participation bias, households that choose not to participate will not be replaced. However, if the household chooses to participate but no one in the household meets the eligibility criteria, the household will be replaced.</w:t>
      </w:r>
      <w:r w:rsidR="00BF71E6">
        <w:rPr>
          <w:rFonts w:ascii="Times New Roman" w:hAnsi="Times New Roman" w:cs="Times New Roman"/>
          <w:sz w:val="24"/>
          <w:szCs w:val="24"/>
        </w:rPr>
        <w:t xml:space="preserve"> </w:t>
      </w:r>
    </w:p>
    <w:p w14:paraId="3533DDEA" w14:textId="4F3CFAB1" w:rsidR="00145D47" w:rsidRPr="00EA5DF4" w:rsidRDefault="00BF71E6" w:rsidP="00EA5DF4">
      <w:pPr>
        <w:pStyle w:val="NoSpacing"/>
        <w:spacing w:after="120" w:line="276" w:lineRule="auto"/>
        <w:rPr>
          <w:rFonts w:ascii="Times New Roman" w:hAnsi="Times New Roman" w:cs="Times New Roman"/>
          <w:sz w:val="24"/>
          <w:szCs w:val="24"/>
        </w:rPr>
      </w:pPr>
      <w:r w:rsidRPr="00C07125">
        <w:rPr>
          <w:rFonts w:ascii="Times New Roman" w:hAnsi="Times New Roman" w:cs="Times New Roman"/>
          <w:sz w:val="24"/>
          <w:szCs w:val="24"/>
        </w:rPr>
        <w:t>Appointments for biological and environmental sampling will be made during the recruitment phone call.</w:t>
      </w:r>
      <w:r>
        <w:rPr>
          <w:rFonts w:ascii="Times New Roman" w:hAnsi="Times New Roman" w:cs="Times New Roman"/>
          <w:sz w:val="24"/>
          <w:szCs w:val="24"/>
        </w:rPr>
        <w:t xml:space="preserve"> EA respondents</w:t>
      </w:r>
      <w:r w:rsidR="00145D47" w:rsidRPr="00EA5DF4">
        <w:rPr>
          <w:rFonts w:ascii="Times New Roman" w:hAnsi="Times New Roman" w:cs="Times New Roman"/>
          <w:sz w:val="24"/>
          <w:szCs w:val="24"/>
        </w:rPr>
        <w:t xml:space="preserve"> will receive </w:t>
      </w:r>
      <w:r w:rsidR="00F76822">
        <w:rPr>
          <w:rFonts w:ascii="Times New Roman" w:hAnsi="Times New Roman" w:cs="Times New Roman"/>
          <w:sz w:val="24"/>
          <w:szCs w:val="24"/>
        </w:rPr>
        <w:t>information</w:t>
      </w:r>
      <w:r w:rsidR="00145D47" w:rsidRPr="00EA5DF4">
        <w:rPr>
          <w:rFonts w:ascii="Times New Roman" w:hAnsi="Times New Roman" w:cs="Times New Roman"/>
          <w:sz w:val="24"/>
          <w:szCs w:val="24"/>
        </w:rPr>
        <w:t xml:space="preserve"> that confirms their participation</w:t>
      </w:r>
      <w:r>
        <w:rPr>
          <w:rFonts w:ascii="Times New Roman" w:hAnsi="Times New Roman" w:cs="Times New Roman"/>
          <w:sz w:val="24"/>
          <w:szCs w:val="24"/>
        </w:rPr>
        <w:t xml:space="preserve"> and </w:t>
      </w:r>
      <w:r w:rsidR="00145D47" w:rsidRPr="00EA5DF4">
        <w:rPr>
          <w:rFonts w:ascii="Times New Roman" w:hAnsi="Times New Roman" w:cs="Times New Roman"/>
          <w:sz w:val="24"/>
          <w:szCs w:val="24"/>
        </w:rPr>
        <w:t xml:space="preserve">provides </w:t>
      </w:r>
      <w:r>
        <w:rPr>
          <w:rFonts w:ascii="Times New Roman" w:hAnsi="Times New Roman" w:cs="Times New Roman"/>
          <w:sz w:val="24"/>
          <w:szCs w:val="24"/>
        </w:rPr>
        <w:t>supplies and instructions for at-home urine collection, including</w:t>
      </w:r>
      <w:r w:rsidR="00145D47" w:rsidRPr="00EA5DF4">
        <w:rPr>
          <w:rFonts w:ascii="Times New Roman" w:hAnsi="Times New Roman" w:cs="Times New Roman"/>
          <w:sz w:val="24"/>
          <w:szCs w:val="24"/>
        </w:rPr>
        <w:t xml:space="preserve"> a toll-free number for participants to call with any questions. </w:t>
      </w:r>
    </w:p>
    <w:p w14:paraId="26113E26" w14:textId="22848D80" w:rsidR="002D5973" w:rsidRDefault="002D5973" w:rsidP="00E2715D">
      <w:pPr>
        <w:spacing w:line="276" w:lineRule="auto"/>
        <w:rPr>
          <w:rFonts w:ascii="Times New Roman" w:hAnsi="Times New Roman" w:cs="Times New Roman"/>
          <w:sz w:val="24"/>
          <w:szCs w:val="24"/>
        </w:rPr>
      </w:pPr>
      <w:r w:rsidRPr="00B86822">
        <w:rPr>
          <w:rFonts w:ascii="Times New Roman" w:hAnsi="Times New Roman" w:cs="Times New Roman"/>
          <w:sz w:val="24"/>
          <w:szCs w:val="24"/>
        </w:rPr>
        <w:t>Respondents will receive free biological and/or environmental sampling, which may increase their interest in taking part in a</w:t>
      </w:r>
      <w:r w:rsidR="00E2715D">
        <w:rPr>
          <w:rFonts w:ascii="Times New Roman" w:hAnsi="Times New Roman" w:cs="Times New Roman"/>
          <w:sz w:val="24"/>
          <w:szCs w:val="24"/>
        </w:rPr>
        <w:t>n</w:t>
      </w:r>
      <w:r w:rsidRPr="00B86822">
        <w:rPr>
          <w:rFonts w:ascii="Times New Roman" w:hAnsi="Times New Roman" w:cs="Times New Roman"/>
          <w:sz w:val="24"/>
          <w:szCs w:val="24"/>
        </w:rPr>
        <w:t xml:space="preserve"> </w:t>
      </w:r>
      <w:r w:rsidR="00380617">
        <w:rPr>
          <w:rFonts w:ascii="Times New Roman" w:hAnsi="Times New Roman" w:cs="Times New Roman"/>
          <w:sz w:val="24"/>
          <w:szCs w:val="24"/>
        </w:rPr>
        <w:t>EA</w:t>
      </w:r>
      <w:r w:rsidRPr="00B86822">
        <w:rPr>
          <w:rFonts w:ascii="Times New Roman" w:hAnsi="Times New Roman" w:cs="Times New Roman"/>
          <w:sz w:val="24"/>
          <w:szCs w:val="24"/>
        </w:rPr>
        <w:t xml:space="preserve">. ATSDR/NCEH </w:t>
      </w:r>
      <w:r w:rsidR="006007E5">
        <w:rPr>
          <w:rFonts w:ascii="Times New Roman" w:hAnsi="Times New Roman" w:cs="Times New Roman"/>
          <w:sz w:val="24"/>
          <w:szCs w:val="24"/>
        </w:rPr>
        <w:t xml:space="preserve">will not </w:t>
      </w:r>
      <w:r w:rsidRPr="00B86822">
        <w:rPr>
          <w:rFonts w:ascii="Times New Roman" w:hAnsi="Times New Roman" w:cs="Times New Roman"/>
          <w:sz w:val="24"/>
          <w:szCs w:val="24"/>
        </w:rPr>
        <w:t>provide responden</w:t>
      </w:r>
      <w:r w:rsidR="006007E5">
        <w:rPr>
          <w:rFonts w:ascii="Times New Roman" w:hAnsi="Times New Roman" w:cs="Times New Roman"/>
          <w:sz w:val="24"/>
          <w:szCs w:val="24"/>
        </w:rPr>
        <w:t>ts other tokens of appreciation</w:t>
      </w:r>
      <w:r w:rsidRPr="00B86822">
        <w:rPr>
          <w:rFonts w:ascii="Times New Roman" w:hAnsi="Times New Roman" w:cs="Times New Roman"/>
          <w:sz w:val="24"/>
          <w:szCs w:val="24"/>
        </w:rPr>
        <w:t>.</w:t>
      </w:r>
    </w:p>
    <w:p w14:paraId="04C0841F" w14:textId="5C1886BE" w:rsidR="00B93609" w:rsidRPr="00A00679" w:rsidRDefault="002A675E" w:rsidP="00B93609">
      <w:pPr>
        <w:rPr>
          <w:rFonts w:ascii="Times New Roman" w:hAnsi="Times New Roman" w:cs="Times New Roman"/>
          <w:color w:val="1F497D"/>
          <w:sz w:val="24"/>
          <w:szCs w:val="24"/>
        </w:rPr>
      </w:pPr>
      <w:r>
        <w:rPr>
          <w:rFonts w:ascii="Times New Roman" w:hAnsi="Times New Roman" w:cs="Times New Roman"/>
          <w:sz w:val="24"/>
          <w:szCs w:val="24"/>
        </w:rPr>
        <w:t xml:space="preserve">CDC/ATSDR will prepare a non-response bias analysis for each community. </w:t>
      </w:r>
      <w:r w:rsidR="00B93609" w:rsidRPr="00A00679">
        <w:rPr>
          <w:rFonts w:ascii="Times New Roman" w:hAnsi="Times New Roman" w:cs="Times New Roman"/>
          <w:sz w:val="24"/>
          <w:szCs w:val="24"/>
        </w:rPr>
        <w:t xml:space="preserve">As the draft study protocol notes, ATSDR currently estimates a 65 percent response rate for its participant recruiting efforts. Characterizing the profile of non-responders within the sampling frame will be important to assess the extent of non-response bias. At a minimum, ATSDR anticipates having information on property ownership among non-responders. This will likely include the type of household (e.g., single-family residence, multi-family residence, apartment building), the assessed value of the property, and the ownership status. </w:t>
      </w:r>
      <w:r w:rsidR="00233502" w:rsidRPr="00F57F65">
        <w:rPr>
          <w:rFonts w:ascii="Times New Roman" w:hAnsi="Times New Roman" w:cs="Times New Roman"/>
          <w:sz w:val="24"/>
          <w:szCs w:val="24"/>
        </w:rPr>
        <w:t>The only other data that may be available for non-responders are answers to the questions to determine eligibility (i.e., number of years living in the community, age of household members, and whether household members have bleeding disorders). CDC/ATSDR plans to compare the profile of non-responders to that of responders to assess the magnitude and characteristics of non-response bias. This profile will include type of household, assessed value, ownership status, and number of years living in the community, if available. CDC/ATSDR will not use answers to eligibility questions based on age or presence of a bleeding disorder in preparing the non-response bias analysis.</w:t>
      </w:r>
    </w:p>
    <w:p w14:paraId="64B9CC57" w14:textId="636CA0CC" w:rsidR="00BD2639" w:rsidRPr="00E707C0" w:rsidRDefault="00D33AE3" w:rsidP="008B3507">
      <w:pPr>
        <w:pStyle w:val="Heading1"/>
        <w:pBdr>
          <w:bottom w:val="none" w:sz="0" w:space="0" w:color="auto"/>
        </w:pBdr>
        <w:spacing w:after="120" w:line="276" w:lineRule="auto"/>
      </w:pPr>
      <w:bookmarkStart w:id="6" w:name="_Toc6916154"/>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290E1E44" w14:textId="61209B5D" w:rsidR="00380617" w:rsidRPr="00B20290" w:rsidRDefault="00380617" w:rsidP="006007E5">
      <w:pPr>
        <w:tabs>
          <w:tab w:val="left" w:pos="1545"/>
        </w:tabs>
        <w:spacing w:line="276" w:lineRule="auto"/>
        <w:rPr>
          <w:rFonts w:ascii="Times New Roman" w:hAnsi="Times New Roman" w:cs="Times New Roman"/>
          <w:sz w:val="24"/>
          <w:szCs w:val="24"/>
        </w:rPr>
      </w:pPr>
      <w:r w:rsidRPr="00A23A3B">
        <w:rPr>
          <w:rFonts w:ascii="Times New Roman" w:hAnsi="Times New Roman" w:cs="Times New Roman"/>
          <w:sz w:val="24"/>
          <w:szCs w:val="24"/>
        </w:rPr>
        <w:t xml:space="preserve">The </w:t>
      </w:r>
      <w:r>
        <w:rPr>
          <w:rFonts w:ascii="Times New Roman" w:hAnsi="Times New Roman" w:cs="Times New Roman"/>
          <w:sz w:val="24"/>
          <w:szCs w:val="24"/>
        </w:rPr>
        <w:t>EA</w:t>
      </w:r>
      <w:r w:rsidRPr="00A23A3B">
        <w:rPr>
          <w:rFonts w:ascii="Times New Roman" w:hAnsi="Times New Roman" w:cs="Times New Roman"/>
          <w:sz w:val="24"/>
          <w:szCs w:val="24"/>
        </w:rPr>
        <w:t xml:space="preserve"> team will use </w:t>
      </w:r>
      <w:r>
        <w:rPr>
          <w:rFonts w:ascii="Times New Roman" w:hAnsi="Times New Roman" w:cs="Times New Roman"/>
          <w:sz w:val="24"/>
          <w:szCs w:val="24"/>
        </w:rPr>
        <w:t>the questionnaire</w:t>
      </w:r>
      <w:r w:rsidR="00484BB1">
        <w:rPr>
          <w:rFonts w:ascii="Times New Roman" w:hAnsi="Times New Roman" w:cs="Times New Roman"/>
          <w:sz w:val="24"/>
          <w:szCs w:val="24"/>
        </w:rPr>
        <w:t>s</w:t>
      </w:r>
      <w:r>
        <w:rPr>
          <w:rFonts w:ascii="Times New Roman" w:hAnsi="Times New Roman" w:cs="Times New Roman"/>
          <w:sz w:val="24"/>
          <w:szCs w:val="24"/>
        </w:rPr>
        <w:t xml:space="preserve"> provided</w:t>
      </w:r>
      <w:r w:rsidRPr="00A23A3B">
        <w:rPr>
          <w:rFonts w:ascii="Times New Roman" w:hAnsi="Times New Roman" w:cs="Times New Roman"/>
          <w:sz w:val="24"/>
          <w:szCs w:val="24"/>
        </w:rPr>
        <w:t xml:space="preserve"> in </w:t>
      </w:r>
      <w:r w:rsidR="00305753">
        <w:rPr>
          <w:rFonts w:ascii="Times New Roman" w:hAnsi="Times New Roman" w:cs="Times New Roman"/>
          <w:sz w:val="24"/>
          <w:szCs w:val="24"/>
        </w:rPr>
        <w:t>the EA Protocol (</w:t>
      </w:r>
      <w:r w:rsidR="00305753" w:rsidRPr="00A23A3B">
        <w:rPr>
          <w:rFonts w:ascii="Times New Roman" w:hAnsi="Times New Roman" w:cs="Times New Roman"/>
          <w:b/>
          <w:sz w:val="24"/>
          <w:szCs w:val="24"/>
        </w:rPr>
        <w:t>A</w:t>
      </w:r>
      <w:r w:rsidR="00305753">
        <w:rPr>
          <w:rFonts w:ascii="Times New Roman" w:hAnsi="Times New Roman" w:cs="Times New Roman"/>
          <w:b/>
          <w:sz w:val="24"/>
          <w:szCs w:val="24"/>
        </w:rPr>
        <w:t>ppendix F)</w:t>
      </w:r>
      <w:r w:rsidRPr="00A23A3B">
        <w:rPr>
          <w:rFonts w:ascii="Times New Roman" w:hAnsi="Times New Roman" w:cs="Times New Roman"/>
          <w:sz w:val="24"/>
          <w:szCs w:val="24"/>
        </w:rPr>
        <w:t>.</w:t>
      </w:r>
      <w:r w:rsidR="006007E5">
        <w:rPr>
          <w:rFonts w:ascii="Times New Roman" w:hAnsi="Times New Roman" w:cs="Times New Roman"/>
          <w:sz w:val="24"/>
          <w:szCs w:val="24"/>
        </w:rPr>
        <w:t xml:space="preserve"> </w:t>
      </w:r>
      <w:r w:rsidRPr="00A23A3B">
        <w:rPr>
          <w:rFonts w:ascii="Times New Roman" w:hAnsi="Times New Roman" w:cs="Times New Roman"/>
          <w:sz w:val="24"/>
          <w:szCs w:val="24"/>
        </w:rPr>
        <w:t>ATSDR</w:t>
      </w:r>
      <w:r w:rsidRPr="00B20290">
        <w:rPr>
          <w:rFonts w:ascii="Times New Roman" w:hAnsi="Times New Roman" w:cs="Times New Roman"/>
          <w:sz w:val="24"/>
          <w:szCs w:val="24"/>
        </w:rPr>
        <w:t xml:space="preserve"> has completed over </w:t>
      </w:r>
      <w:r>
        <w:rPr>
          <w:rFonts w:ascii="Times New Roman" w:hAnsi="Times New Roman" w:cs="Times New Roman"/>
          <w:sz w:val="24"/>
          <w:szCs w:val="24"/>
        </w:rPr>
        <w:t>190 Exposure Investigations (EIs), which are used to fill data gaps at a site by conducting biological and/or environmental sampling,</w:t>
      </w:r>
      <w:r w:rsidRPr="00B20290">
        <w:rPr>
          <w:rFonts w:ascii="Times New Roman" w:hAnsi="Times New Roman" w:cs="Times New Roman"/>
          <w:sz w:val="24"/>
          <w:szCs w:val="24"/>
        </w:rPr>
        <w:t xml:space="preserve"> over approximately 10 years</w:t>
      </w:r>
      <w:r>
        <w:rPr>
          <w:rFonts w:ascii="Times New Roman" w:hAnsi="Times New Roman" w:cs="Times New Roman"/>
          <w:sz w:val="24"/>
          <w:szCs w:val="24"/>
        </w:rPr>
        <w:t>,</w:t>
      </w:r>
      <w:r w:rsidRPr="00B20290">
        <w:rPr>
          <w:rFonts w:ascii="Times New Roman" w:hAnsi="Times New Roman" w:cs="Times New Roman"/>
          <w:sz w:val="24"/>
          <w:szCs w:val="24"/>
        </w:rPr>
        <w:t xml:space="preserve"> Therefore, the procedures and methods </w:t>
      </w:r>
      <w:r>
        <w:rPr>
          <w:rFonts w:ascii="Times New Roman" w:hAnsi="Times New Roman" w:cs="Times New Roman"/>
          <w:sz w:val="24"/>
          <w:szCs w:val="24"/>
        </w:rPr>
        <w:t xml:space="preserve">used for evaluating community exposure </w:t>
      </w:r>
      <w:r w:rsidRPr="00B20290">
        <w:rPr>
          <w:rFonts w:ascii="Times New Roman" w:hAnsi="Times New Roman" w:cs="Times New Roman"/>
          <w:sz w:val="24"/>
          <w:szCs w:val="24"/>
        </w:rPr>
        <w:t>are well-tested and based on the Agency’s long experience working in communities with environmental contamination.</w:t>
      </w:r>
    </w:p>
    <w:p w14:paraId="10EA9D5F" w14:textId="5961A9B2" w:rsidR="00984634" w:rsidRPr="00E707C0" w:rsidRDefault="00D33AE3" w:rsidP="008B3507">
      <w:pPr>
        <w:pStyle w:val="Heading1"/>
        <w:pBdr>
          <w:bottom w:val="none" w:sz="0" w:space="0" w:color="auto"/>
        </w:pBdr>
        <w:spacing w:after="120" w:line="276" w:lineRule="auto"/>
      </w:pPr>
      <w:bookmarkStart w:id="7" w:name="_Toc6916155"/>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248589FF" w14:textId="44180D43" w:rsidR="00380617" w:rsidRPr="00380617" w:rsidRDefault="00484BB1" w:rsidP="00E2715D">
      <w:pPr>
        <w:spacing w:line="276" w:lineRule="auto"/>
        <w:rPr>
          <w:rFonts w:ascii="Times New Roman" w:hAnsi="Times New Roman" w:cs="Times New Roman"/>
          <w:sz w:val="24"/>
          <w:szCs w:val="24"/>
        </w:rPr>
      </w:pPr>
      <w:r>
        <w:rPr>
          <w:rFonts w:ascii="Times New Roman" w:hAnsi="Times New Roman" w:cs="Times New Roman"/>
          <w:sz w:val="24"/>
          <w:szCs w:val="24"/>
        </w:rPr>
        <w:t>R</w:t>
      </w:r>
      <w:r w:rsidR="00380617" w:rsidRPr="00380617">
        <w:rPr>
          <w:rFonts w:ascii="Times New Roman" w:hAnsi="Times New Roman" w:cs="Times New Roman"/>
          <w:sz w:val="24"/>
          <w:szCs w:val="24"/>
        </w:rPr>
        <w:t xml:space="preserve">achel Worley, MS, PhD, </w:t>
      </w:r>
      <w:r>
        <w:rPr>
          <w:rFonts w:ascii="Times New Roman" w:hAnsi="Times New Roman" w:cs="Times New Roman"/>
          <w:sz w:val="24"/>
          <w:szCs w:val="24"/>
        </w:rPr>
        <w:t>is the Principal Investigator of the EA protocol (</w:t>
      </w:r>
      <w:r w:rsidR="007C7215" w:rsidRPr="00514B66">
        <w:rPr>
          <w:rFonts w:ascii="Times New Roman" w:hAnsi="Times New Roman" w:cs="Times New Roman"/>
          <w:b/>
          <w:sz w:val="24"/>
          <w:szCs w:val="24"/>
        </w:rPr>
        <w:t>PFAS EA Protocol</w:t>
      </w:r>
      <w:r w:rsidR="002B7530">
        <w:rPr>
          <w:rFonts w:ascii="Times New Roman" w:hAnsi="Times New Roman" w:cs="Times New Roman"/>
          <w:sz w:val="24"/>
          <w:szCs w:val="24"/>
        </w:rPr>
        <w:t xml:space="preserve">). </w:t>
      </w:r>
      <w:r w:rsidR="006169A6">
        <w:rPr>
          <w:rFonts w:ascii="Times New Roman" w:hAnsi="Times New Roman" w:cs="Times New Roman"/>
          <w:sz w:val="24"/>
          <w:szCs w:val="24"/>
        </w:rPr>
        <w:t xml:space="preserve">Dr. Worley </w:t>
      </w:r>
      <w:r w:rsidR="002B7530">
        <w:rPr>
          <w:rFonts w:ascii="Times New Roman" w:hAnsi="Times New Roman" w:cs="Times New Roman"/>
          <w:sz w:val="24"/>
          <w:szCs w:val="24"/>
        </w:rPr>
        <w:t>is an</w:t>
      </w:r>
      <w:r>
        <w:rPr>
          <w:rFonts w:ascii="Times New Roman" w:hAnsi="Times New Roman" w:cs="Times New Roman"/>
          <w:sz w:val="24"/>
          <w:szCs w:val="24"/>
        </w:rPr>
        <w:t xml:space="preserve"> ATSDR </w:t>
      </w:r>
      <w:r w:rsidR="00380617" w:rsidRPr="00484BB1">
        <w:rPr>
          <w:rFonts w:ascii="Times New Roman" w:hAnsi="Times New Roman" w:cs="Times New Roman"/>
          <w:sz w:val="24"/>
          <w:szCs w:val="24"/>
        </w:rPr>
        <w:t>PFAS</w:t>
      </w:r>
      <w:r w:rsidR="00380617" w:rsidRPr="00380617">
        <w:rPr>
          <w:rFonts w:ascii="Times New Roman" w:hAnsi="Times New Roman" w:cs="Times New Roman"/>
          <w:sz w:val="24"/>
          <w:szCs w:val="24"/>
        </w:rPr>
        <w:t xml:space="preserve"> Subject Matter Expert (SME) and</w:t>
      </w:r>
      <w:r>
        <w:rPr>
          <w:rFonts w:ascii="Times New Roman" w:hAnsi="Times New Roman" w:cs="Times New Roman"/>
          <w:sz w:val="24"/>
          <w:szCs w:val="24"/>
        </w:rPr>
        <w:t xml:space="preserve"> serves as the</w:t>
      </w:r>
      <w:r w:rsidR="00380617" w:rsidRPr="00380617">
        <w:rPr>
          <w:rFonts w:ascii="Times New Roman" w:hAnsi="Times New Roman" w:cs="Times New Roman"/>
          <w:sz w:val="24"/>
          <w:szCs w:val="24"/>
        </w:rPr>
        <w:t xml:space="preserve"> NCEH/ATSDR PFAS Coordinator</w:t>
      </w:r>
      <w:r>
        <w:rPr>
          <w:rFonts w:ascii="Times New Roman" w:hAnsi="Times New Roman" w:cs="Times New Roman"/>
          <w:sz w:val="24"/>
          <w:szCs w:val="24"/>
        </w:rPr>
        <w:t>.</w:t>
      </w:r>
      <w:r w:rsidR="006169A6" w:rsidRPr="00380617">
        <w:rPr>
          <w:rFonts w:ascii="Times New Roman" w:hAnsi="Times New Roman" w:cs="Times New Roman"/>
          <w:sz w:val="24"/>
          <w:szCs w:val="24"/>
        </w:rPr>
        <w:t xml:space="preserve"> </w:t>
      </w:r>
      <w:r w:rsidR="006169A6">
        <w:rPr>
          <w:rFonts w:ascii="Times New Roman" w:hAnsi="Times New Roman" w:cs="Times New Roman"/>
          <w:sz w:val="24"/>
          <w:szCs w:val="24"/>
        </w:rPr>
        <w:t xml:space="preserve">Mateusz Karwowski, MD, MPH is the Medical Officer on the EA team. </w:t>
      </w:r>
      <w:r w:rsidR="00380617" w:rsidRPr="00380617">
        <w:rPr>
          <w:rFonts w:ascii="Times New Roman" w:hAnsi="Times New Roman" w:cs="Times New Roman"/>
          <w:sz w:val="24"/>
          <w:szCs w:val="24"/>
        </w:rPr>
        <w:t>They</w:t>
      </w:r>
      <w:r w:rsidR="006E56EF">
        <w:rPr>
          <w:rFonts w:ascii="Times New Roman" w:hAnsi="Times New Roman" w:cs="Times New Roman"/>
          <w:sz w:val="24"/>
          <w:szCs w:val="24"/>
        </w:rPr>
        <w:t>, and Ekta Choudary, PhD, MPH (the project officer for the PEATT,</w:t>
      </w:r>
      <w:r w:rsidR="00380617" w:rsidRPr="00380617">
        <w:rPr>
          <w:rFonts w:ascii="Times New Roman" w:hAnsi="Times New Roman" w:cs="Times New Roman"/>
          <w:sz w:val="24"/>
          <w:szCs w:val="24"/>
        </w:rPr>
        <w:t xml:space="preserve"> have reviewed this </w:t>
      </w:r>
      <w:r w:rsidR="006169A6">
        <w:rPr>
          <w:rFonts w:ascii="Times New Roman" w:hAnsi="Times New Roman" w:cs="Times New Roman"/>
          <w:sz w:val="24"/>
          <w:szCs w:val="24"/>
        </w:rPr>
        <w:t>package</w:t>
      </w:r>
      <w:r w:rsidR="006169A6" w:rsidRPr="00380617">
        <w:rPr>
          <w:rFonts w:ascii="Times New Roman" w:hAnsi="Times New Roman" w:cs="Times New Roman"/>
          <w:sz w:val="24"/>
          <w:szCs w:val="24"/>
        </w:rPr>
        <w:t xml:space="preserve"> </w:t>
      </w:r>
      <w:r w:rsidR="00380617" w:rsidRPr="00380617">
        <w:rPr>
          <w:rFonts w:ascii="Times New Roman" w:hAnsi="Times New Roman" w:cs="Times New Roman"/>
          <w:sz w:val="24"/>
          <w:szCs w:val="24"/>
        </w:rPr>
        <w:t xml:space="preserve">and approve the </w:t>
      </w:r>
      <w:r w:rsidR="00650FF2">
        <w:rPr>
          <w:rFonts w:ascii="Times New Roman" w:hAnsi="Times New Roman" w:cs="Times New Roman"/>
          <w:sz w:val="24"/>
          <w:szCs w:val="24"/>
        </w:rPr>
        <w:t xml:space="preserve">adaptation of the PEATT </w:t>
      </w:r>
      <w:r w:rsidR="00380617" w:rsidRPr="00380617">
        <w:rPr>
          <w:rFonts w:ascii="Times New Roman" w:hAnsi="Times New Roman" w:cs="Times New Roman"/>
          <w:sz w:val="24"/>
          <w:szCs w:val="24"/>
        </w:rPr>
        <w:t xml:space="preserve">methodology </w:t>
      </w:r>
      <w:r w:rsidR="00650FF2">
        <w:rPr>
          <w:rFonts w:ascii="Times New Roman" w:hAnsi="Times New Roman" w:cs="Times New Roman"/>
          <w:sz w:val="24"/>
          <w:szCs w:val="24"/>
        </w:rPr>
        <w:t>(</w:t>
      </w:r>
      <w:r w:rsidR="00650FF2">
        <w:rPr>
          <w:rFonts w:ascii="Times New Roman" w:hAnsi="Times New Roman" w:cs="Times New Roman"/>
          <w:b/>
          <w:sz w:val="24"/>
          <w:szCs w:val="24"/>
        </w:rPr>
        <w:t xml:space="preserve">Attachment </w:t>
      </w:r>
      <w:r w:rsidR="007C7215">
        <w:rPr>
          <w:rFonts w:ascii="Times New Roman" w:hAnsi="Times New Roman" w:cs="Times New Roman"/>
          <w:b/>
          <w:sz w:val="24"/>
          <w:szCs w:val="24"/>
        </w:rPr>
        <w:t>3</w:t>
      </w:r>
      <w:r w:rsidR="00650FF2">
        <w:rPr>
          <w:rFonts w:ascii="Times New Roman" w:hAnsi="Times New Roman" w:cs="Times New Roman"/>
          <w:sz w:val="24"/>
          <w:szCs w:val="24"/>
        </w:rPr>
        <w:t xml:space="preserve">) </w:t>
      </w:r>
      <w:r w:rsidR="00380617" w:rsidRPr="00650FF2">
        <w:rPr>
          <w:rFonts w:ascii="Times New Roman" w:hAnsi="Times New Roman" w:cs="Times New Roman"/>
          <w:sz w:val="24"/>
          <w:szCs w:val="24"/>
        </w:rPr>
        <w:t>for</w:t>
      </w:r>
      <w:r w:rsidR="00380617" w:rsidRPr="00380617">
        <w:rPr>
          <w:rFonts w:ascii="Times New Roman" w:hAnsi="Times New Roman" w:cs="Times New Roman"/>
          <w:sz w:val="24"/>
          <w:szCs w:val="24"/>
        </w:rPr>
        <w:t xml:space="preserve"> use in </w:t>
      </w:r>
      <w:r w:rsidR="00D269A3">
        <w:rPr>
          <w:rFonts w:ascii="Times New Roman" w:hAnsi="Times New Roman" w:cs="Times New Roman"/>
          <w:sz w:val="24"/>
          <w:szCs w:val="24"/>
        </w:rPr>
        <w:t>PFAS EA</w:t>
      </w:r>
      <w:r w:rsidR="00650FF2">
        <w:rPr>
          <w:rFonts w:ascii="Times New Roman" w:hAnsi="Times New Roman" w:cs="Times New Roman"/>
          <w:sz w:val="24"/>
          <w:szCs w:val="24"/>
        </w:rPr>
        <w:t xml:space="preserve"> protocol</w:t>
      </w:r>
      <w:r w:rsidR="00380617" w:rsidRPr="00B0697F">
        <w:rPr>
          <w:rFonts w:ascii="Times New Roman" w:hAnsi="Times New Roman" w:cs="Times New Roman"/>
          <w:b/>
          <w:sz w:val="24"/>
          <w:szCs w:val="24"/>
        </w:rPr>
        <w:t>.</w:t>
      </w:r>
    </w:p>
    <w:p w14:paraId="320BCCA3" w14:textId="575A81F8" w:rsidR="00380617" w:rsidRPr="00380617" w:rsidRDefault="00484BB1" w:rsidP="00E2715D">
      <w:pPr>
        <w:tabs>
          <w:tab w:val="num" w:pos="1440"/>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Trained s</w:t>
      </w:r>
      <w:r w:rsidR="00380617" w:rsidRPr="00380617">
        <w:rPr>
          <w:rFonts w:ascii="Times New Roman" w:eastAsia="Calibri" w:hAnsi="Times New Roman" w:cs="Times New Roman"/>
          <w:sz w:val="24"/>
          <w:szCs w:val="24"/>
        </w:rPr>
        <w:t xml:space="preserve">tatisticians and/or epidemiologists will be part of a probability-based design and sampling team. Additionally, investigators will, to the extent possible, collaborate with state and local health officials. Additional statistical resources are available at both ATSDR and CDC.  </w:t>
      </w:r>
    </w:p>
    <w:p w14:paraId="09B64A42" w14:textId="77777777" w:rsidR="00380617" w:rsidRPr="00380617" w:rsidRDefault="00380617" w:rsidP="00E2715D">
      <w:pPr>
        <w:tabs>
          <w:tab w:val="num" w:pos="1440"/>
        </w:tabs>
        <w:spacing w:line="276" w:lineRule="auto"/>
        <w:rPr>
          <w:rFonts w:ascii="Times New Roman" w:eastAsia="Calibri" w:hAnsi="Times New Roman" w:cs="Times New Roman"/>
          <w:sz w:val="24"/>
          <w:szCs w:val="24"/>
        </w:rPr>
      </w:pPr>
      <w:r w:rsidRPr="00380617">
        <w:rPr>
          <w:rFonts w:ascii="Times New Roman" w:eastAsia="Calibri" w:hAnsi="Times New Roman" w:cs="Times New Roman"/>
          <w:sz w:val="24"/>
          <w:szCs w:val="24"/>
        </w:rPr>
        <w:t>If resources outside of ATSDR and NCEH are used to collect or evaluate the data, the privacy of respondents and of their responses will be maintained to the extent practicable.</w:t>
      </w:r>
    </w:p>
    <w:p w14:paraId="13A3F6F8" w14:textId="77777777" w:rsidR="00984634" w:rsidRPr="00E707C0" w:rsidRDefault="00984634" w:rsidP="00984634"/>
    <w:p w14:paraId="3D02F9B5" w14:textId="77777777" w:rsidR="00A76C6D" w:rsidRPr="00E707C0" w:rsidRDefault="00A76C6D" w:rsidP="00A76C6D">
      <w:pPr>
        <w:rPr>
          <w:rFonts w:ascii="Cambria" w:hAnsi="Cambria"/>
          <w:sz w:val="36"/>
          <w:szCs w:val="36"/>
        </w:rPr>
      </w:pPr>
    </w:p>
    <w:p w14:paraId="49585938" w14:textId="7643BAFC" w:rsidR="00216467" w:rsidRDefault="00216467">
      <w:pPr>
        <w:rPr>
          <w:rFonts w:ascii="Cambria" w:eastAsiaTheme="majorEastAsia" w:hAnsi="Cambria" w:cstheme="majorBidi"/>
          <w:sz w:val="36"/>
          <w:szCs w:val="36"/>
        </w:rPr>
      </w:pPr>
      <w:bookmarkStart w:id="8" w:name="_Toc432356299"/>
    </w:p>
    <w:p w14:paraId="03E3CAA7" w14:textId="77777777" w:rsidR="005B5BEE" w:rsidRPr="001B0752" w:rsidRDefault="005B5BEE" w:rsidP="008B3507">
      <w:pPr>
        <w:pStyle w:val="Heading1"/>
        <w:pBdr>
          <w:bottom w:val="none" w:sz="0" w:space="0" w:color="auto"/>
        </w:pBdr>
        <w:spacing w:line="276" w:lineRule="auto"/>
        <w:rPr>
          <w:rFonts w:ascii="Cambria" w:hAnsi="Cambria"/>
          <w:color w:val="auto"/>
        </w:rPr>
      </w:pPr>
      <w:bookmarkStart w:id="9" w:name="_Toc513636152"/>
      <w:bookmarkStart w:id="10" w:name="_Toc514091693"/>
      <w:bookmarkStart w:id="11" w:name="_Toc6916156"/>
      <w:r w:rsidRPr="00D20211">
        <w:rPr>
          <w:rFonts w:ascii="Cambria" w:hAnsi="Cambria"/>
          <w:color w:val="auto"/>
        </w:rPr>
        <w:t>List of Attachments</w:t>
      </w:r>
      <w:bookmarkEnd w:id="9"/>
      <w:bookmarkEnd w:id="10"/>
      <w:bookmarkEnd w:id="11"/>
    </w:p>
    <w:p w14:paraId="493D7113" w14:textId="77777777" w:rsidR="00D654B4" w:rsidRPr="00ED1C13" w:rsidRDefault="00D654B4" w:rsidP="00D654B4">
      <w:pPr>
        <w:pStyle w:val="Heading2"/>
        <w:spacing w:before="0" w:line="276" w:lineRule="auto"/>
        <w:rPr>
          <w:rFonts w:ascii="Times New Roman" w:hAnsi="Times New Roman" w:cs="Times New Roman"/>
          <w:sz w:val="24"/>
          <w:szCs w:val="24"/>
        </w:rPr>
      </w:pPr>
      <w:bookmarkStart w:id="12" w:name="_Toc4676097"/>
      <w:bookmarkStart w:id="13" w:name="_Toc6916157"/>
      <w:r w:rsidRPr="00ED1C13">
        <w:rPr>
          <w:rFonts w:ascii="Times New Roman" w:hAnsi="Times New Roman" w:cs="Times New Roman"/>
          <w:color w:val="auto"/>
          <w:sz w:val="24"/>
          <w:szCs w:val="24"/>
        </w:rPr>
        <w:t>Attachment 1. Authorizing Legislation</w:t>
      </w:r>
      <w:bookmarkEnd w:id="12"/>
      <w:bookmarkEnd w:id="13"/>
    </w:p>
    <w:p w14:paraId="5527CC1B" w14:textId="77777777" w:rsidR="00D654B4" w:rsidRPr="002A57B1" w:rsidRDefault="00D654B4" w:rsidP="00D654B4">
      <w:pPr>
        <w:pStyle w:val="Heading3"/>
        <w:spacing w:before="0" w:line="276" w:lineRule="auto"/>
        <w:ind w:left="720"/>
        <w:rPr>
          <w:rFonts w:ascii="Times New Roman" w:hAnsi="Times New Roman" w:cs="Times New Roman"/>
          <w:sz w:val="24"/>
          <w:szCs w:val="24"/>
        </w:rPr>
      </w:pPr>
      <w:bookmarkStart w:id="14" w:name="_Toc4676098"/>
      <w:bookmarkStart w:id="15" w:name="_Toc6916158"/>
      <w:r w:rsidRPr="002A57B1">
        <w:rPr>
          <w:rFonts w:ascii="Times New Roman" w:hAnsi="Times New Roman" w:cs="Times New Roman"/>
          <w:color w:val="auto"/>
          <w:sz w:val="24"/>
          <w:szCs w:val="24"/>
        </w:rPr>
        <w:t>1a: Authorizing Legislation for PFAS Exposure Assessment</w:t>
      </w:r>
      <w:bookmarkEnd w:id="14"/>
      <w:bookmarkEnd w:id="15"/>
    </w:p>
    <w:p w14:paraId="72CDF85B" w14:textId="77777777" w:rsidR="00D654B4" w:rsidRPr="00ED1C13" w:rsidRDefault="00D654B4" w:rsidP="00D654B4">
      <w:pPr>
        <w:pStyle w:val="Heading3"/>
        <w:spacing w:before="0" w:line="276" w:lineRule="auto"/>
        <w:ind w:left="720"/>
        <w:rPr>
          <w:rFonts w:ascii="Times New Roman" w:hAnsi="Times New Roman" w:cs="Times New Roman"/>
          <w:sz w:val="24"/>
          <w:szCs w:val="24"/>
        </w:rPr>
      </w:pPr>
      <w:bookmarkStart w:id="16" w:name="_Toc4676099"/>
      <w:bookmarkStart w:id="17" w:name="_Toc6916159"/>
      <w:r w:rsidRPr="00112D8E">
        <w:rPr>
          <w:rFonts w:ascii="Times New Roman" w:hAnsi="Times New Roman" w:cs="Times New Roman"/>
          <w:color w:val="auto"/>
          <w:sz w:val="24"/>
          <w:szCs w:val="24"/>
        </w:rPr>
        <w:t>1b: Authorizing Legislation for ATSDR</w:t>
      </w:r>
      <w:bookmarkEnd w:id="16"/>
      <w:bookmarkEnd w:id="17"/>
    </w:p>
    <w:p w14:paraId="62BD9F03" w14:textId="77777777" w:rsidR="00D654B4" w:rsidRPr="00ED1C13" w:rsidRDefault="00D654B4" w:rsidP="00D654B4">
      <w:pPr>
        <w:pStyle w:val="Heading3"/>
        <w:spacing w:before="0" w:line="276" w:lineRule="auto"/>
        <w:ind w:firstLine="720"/>
        <w:rPr>
          <w:rFonts w:ascii="Times New Roman" w:hAnsi="Times New Roman" w:cs="Times New Roman"/>
          <w:sz w:val="24"/>
          <w:szCs w:val="24"/>
        </w:rPr>
      </w:pPr>
      <w:bookmarkStart w:id="18" w:name="_Toc4676100"/>
      <w:bookmarkStart w:id="19" w:name="_Toc6916160"/>
      <w:r w:rsidRPr="00ED1C13">
        <w:rPr>
          <w:rFonts w:ascii="Times New Roman" w:hAnsi="Times New Roman" w:cs="Times New Roman"/>
          <w:color w:val="auto"/>
          <w:sz w:val="24"/>
          <w:szCs w:val="24"/>
        </w:rPr>
        <w:t>1c: Authorizing Legislation for NCEH</w:t>
      </w:r>
      <w:bookmarkEnd w:id="18"/>
      <w:bookmarkEnd w:id="19"/>
    </w:p>
    <w:p w14:paraId="1F8A1BEB" w14:textId="77777777" w:rsidR="00D654B4" w:rsidRPr="00ED1C13" w:rsidRDefault="00D654B4" w:rsidP="00D654B4">
      <w:pPr>
        <w:pStyle w:val="Heading2"/>
        <w:spacing w:before="0" w:line="276" w:lineRule="auto"/>
        <w:rPr>
          <w:rFonts w:ascii="Times New Roman" w:hAnsi="Times New Roman" w:cs="Times New Roman"/>
          <w:sz w:val="24"/>
          <w:szCs w:val="24"/>
        </w:rPr>
      </w:pPr>
      <w:bookmarkStart w:id="20" w:name="_Toc4676101"/>
      <w:bookmarkStart w:id="21" w:name="_Toc6916161"/>
      <w:r w:rsidRPr="00ED1C13">
        <w:rPr>
          <w:rFonts w:ascii="Times New Roman" w:hAnsi="Times New Roman" w:cs="Times New Roman"/>
          <w:color w:val="auto"/>
          <w:sz w:val="24"/>
          <w:szCs w:val="24"/>
        </w:rPr>
        <w:t>Attachment 2. 60-day Federal Register Notice</w:t>
      </w:r>
      <w:bookmarkEnd w:id="20"/>
      <w:bookmarkEnd w:id="21"/>
    </w:p>
    <w:p w14:paraId="105DDA72" w14:textId="77777777" w:rsidR="00D654B4" w:rsidRPr="003E2B79" w:rsidRDefault="00D654B4" w:rsidP="00D654B4">
      <w:pPr>
        <w:pStyle w:val="Heading3"/>
        <w:spacing w:before="0"/>
        <w:ind w:firstLine="720"/>
        <w:rPr>
          <w:rFonts w:ascii="Times New Roman" w:hAnsi="Times New Roman" w:cs="Times New Roman"/>
          <w:color w:val="auto"/>
          <w:sz w:val="24"/>
          <w:szCs w:val="24"/>
        </w:rPr>
      </w:pPr>
      <w:bookmarkStart w:id="22" w:name="_Toc4676102"/>
      <w:bookmarkStart w:id="23" w:name="_Toc6916162"/>
      <w:r w:rsidRPr="003E2B79">
        <w:rPr>
          <w:rFonts w:ascii="Times New Roman" w:hAnsi="Times New Roman" w:cs="Times New Roman"/>
          <w:color w:val="auto"/>
          <w:sz w:val="24"/>
          <w:szCs w:val="24"/>
        </w:rPr>
        <w:t>2a. Program Responses to Public Comments</w:t>
      </w:r>
      <w:bookmarkEnd w:id="22"/>
      <w:bookmarkEnd w:id="23"/>
    </w:p>
    <w:p w14:paraId="7B91F33E" w14:textId="77777777" w:rsidR="00D654B4" w:rsidRPr="00BB3235" w:rsidRDefault="00D654B4" w:rsidP="00D654B4">
      <w:pPr>
        <w:pStyle w:val="Heading4"/>
        <w:spacing w:before="0" w:line="240" w:lineRule="auto"/>
        <w:rPr>
          <w:rFonts w:ascii="Times New Roman" w:hAnsi="Times New Roman" w:cs="Times New Roman"/>
        </w:rPr>
      </w:pPr>
      <w:r w:rsidRPr="00BB3235">
        <w:rPr>
          <w:rFonts w:ascii="Times New Roman" w:hAnsi="Times New Roman" w:cs="Times New Roman"/>
        </w:rPr>
        <w:tab/>
      </w:r>
      <w:r w:rsidRPr="00BB3235">
        <w:rPr>
          <w:rFonts w:ascii="Times New Roman" w:hAnsi="Times New Roman" w:cs="Times New Roman"/>
        </w:rPr>
        <w:tab/>
      </w:r>
      <w:bookmarkStart w:id="24" w:name="_Toc4676103"/>
      <w:bookmarkStart w:id="25" w:name="_Toc6916163"/>
      <w:r w:rsidRPr="00BB3235">
        <w:rPr>
          <w:rFonts w:ascii="Times New Roman" w:hAnsi="Times New Roman" w:cs="Times New Roman"/>
        </w:rPr>
        <w:t>2a1-8. Public Comments</w:t>
      </w:r>
      <w:bookmarkEnd w:id="24"/>
      <w:bookmarkEnd w:id="25"/>
    </w:p>
    <w:p w14:paraId="292D9BB1" w14:textId="77777777" w:rsidR="00D654B4" w:rsidRPr="003B223A" w:rsidRDefault="00D654B4" w:rsidP="00D654B4">
      <w:pPr>
        <w:pStyle w:val="Heading2"/>
        <w:spacing w:before="0"/>
        <w:rPr>
          <w:rFonts w:ascii="Times New Roman" w:hAnsi="Times New Roman" w:cs="Times New Roman"/>
          <w:color w:val="auto"/>
          <w:sz w:val="24"/>
          <w:szCs w:val="24"/>
        </w:rPr>
      </w:pPr>
      <w:bookmarkStart w:id="26" w:name="_Toc4676104"/>
      <w:bookmarkStart w:id="27" w:name="_Toc6916164"/>
      <w:r w:rsidRPr="003E2B79">
        <w:rPr>
          <w:rFonts w:ascii="Times New Roman" w:hAnsi="Times New Roman" w:cs="Times New Roman"/>
          <w:color w:val="auto"/>
          <w:sz w:val="24"/>
          <w:szCs w:val="24"/>
        </w:rPr>
        <w:t>Attachment 3. PFAS Exposu</w:t>
      </w:r>
      <w:r w:rsidRPr="003B223A">
        <w:rPr>
          <w:rFonts w:ascii="Times New Roman" w:hAnsi="Times New Roman" w:cs="Times New Roman"/>
          <w:color w:val="auto"/>
          <w:sz w:val="24"/>
          <w:szCs w:val="24"/>
        </w:rPr>
        <w:t>re Assessment Technical Tool (PEATT)</w:t>
      </w:r>
      <w:bookmarkEnd w:id="26"/>
      <w:bookmarkEnd w:id="27"/>
    </w:p>
    <w:p w14:paraId="55BAAD0A" w14:textId="77777777" w:rsidR="00D654B4" w:rsidRPr="003B223A" w:rsidRDefault="00D654B4" w:rsidP="00D654B4">
      <w:pPr>
        <w:pStyle w:val="Heading2"/>
        <w:spacing w:before="0"/>
        <w:rPr>
          <w:rFonts w:ascii="Times New Roman" w:hAnsi="Times New Roman" w:cs="Times New Roman"/>
          <w:color w:val="auto"/>
          <w:sz w:val="24"/>
          <w:szCs w:val="24"/>
        </w:rPr>
      </w:pPr>
      <w:bookmarkStart w:id="28" w:name="_Toc4676105"/>
      <w:bookmarkStart w:id="29" w:name="_Toc6916165"/>
      <w:r w:rsidRPr="003B223A">
        <w:rPr>
          <w:rFonts w:ascii="Times New Roman" w:hAnsi="Times New Roman" w:cs="Times New Roman"/>
          <w:color w:val="auto"/>
          <w:sz w:val="24"/>
          <w:szCs w:val="24"/>
        </w:rPr>
        <w:t>Attachment 4. Example Exposure Investigation Report for PFAS</w:t>
      </w:r>
      <w:bookmarkEnd w:id="28"/>
      <w:bookmarkEnd w:id="29"/>
    </w:p>
    <w:p w14:paraId="758D4D5E" w14:textId="77777777" w:rsidR="00D654B4" w:rsidRPr="00EB7F5F" w:rsidRDefault="00D654B4" w:rsidP="00D654B4">
      <w:pPr>
        <w:pStyle w:val="Heading2"/>
        <w:spacing w:before="0"/>
        <w:rPr>
          <w:rFonts w:ascii="Times New Roman" w:hAnsi="Times New Roman" w:cs="Times New Roman"/>
          <w:color w:val="auto"/>
          <w:sz w:val="24"/>
          <w:szCs w:val="24"/>
        </w:rPr>
      </w:pPr>
      <w:bookmarkStart w:id="30" w:name="_Toc4676106"/>
      <w:bookmarkStart w:id="31" w:name="_Toc6916166"/>
      <w:r w:rsidRPr="00EB7F5F">
        <w:rPr>
          <w:rFonts w:ascii="Times New Roman" w:hAnsi="Times New Roman" w:cs="Times New Roman"/>
          <w:color w:val="auto"/>
          <w:sz w:val="24"/>
          <w:szCs w:val="24"/>
        </w:rPr>
        <w:t>Attachment 5: Privacy Impact Assessment</w:t>
      </w:r>
      <w:bookmarkEnd w:id="30"/>
      <w:bookmarkEnd w:id="31"/>
    </w:p>
    <w:p w14:paraId="48DE0F33" w14:textId="77777777" w:rsidR="00D654B4" w:rsidRPr="00BB3235" w:rsidRDefault="00D654B4" w:rsidP="00D654B4">
      <w:pPr>
        <w:pStyle w:val="Heading2"/>
        <w:spacing w:before="0"/>
        <w:rPr>
          <w:rFonts w:ascii="Times New Roman" w:hAnsi="Times New Roman" w:cs="Times New Roman"/>
          <w:color w:val="auto"/>
          <w:sz w:val="24"/>
          <w:szCs w:val="24"/>
        </w:rPr>
      </w:pPr>
      <w:bookmarkStart w:id="32" w:name="_Toc4676107"/>
      <w:bookmarkStart w:id="33" w:name="_Toc6916167"/>
      <w:r w:rsidRPr="00BB3235">
        <w:rPr>
          <w:rFonts w:ascii="Times New Roman" w:hAnsi="Times New Roman" w:cs="Times New Roman"/>
          <w:color w:val="auto"/>
          <w:sz w:val="24"/>
          <w:szCs w:val="24"/>
        </w:rPr>
        <w:t>Attachment 6: Data Use Agreement Template and SOP for Data Management</w:t>
      </w:r>
      <w:bookmarkEnd w:id="32"/>
      <w:bookmarkEnd w:id="33"/>
    </w:p>
    <w:p w14:paraId="09FA01B4" w14:textId="77777777" w:rsidR="00D654B4" w:rsidRPr="00BB3235" w:rsidRDefault="00D654B4" w:rsidP="00D654B4">
      <w:pPr>
        <w:pStyle w:val="Heading3"/>
        <w:spacing w:before="0"/>
        <w:ind w:left="720"/>
        <w:rPr>
          <w:rFonts w:ascii="Times New Roman" w:hAnsi="Times New Roman" w:cs="Times New Roman"/>
          <w:sz w:val="24"/>
          <w:szCs w:val="24"/>
        </w:rPr>
      </w:pPr>
      <w:bookmarkStart w:id="34" w:name="_Toc4676108"/>
      <w:bookmarkStart w:id="35" w:name="_Toc6916168"/>
      <w:r w:rsidRPr="00BB3235">
        <w:rPr>
          <w:rFonts w:ascii="Times New Roman" w:hAnsi="Times New Roman" w:cs="Times New Roman"/>
          <w:sz w:val="24"/>
          <w:szCs w:val="24"/>
        </w:rPr>
        <w:t>6a: Data Use Agreement Template</w:t>
      </w:r>
      <w:bookmarkEnd w:id="34"/>
      <w:bookmarkEnd w:id="35"/>
    </w:p>
    <w:p w14:paraId="572018A0" w14:textId="77777777" w:rsidR="00D654B4" w:rsidRPr="00BB3235" w:rsidRDefault="00D654B4" w:rsidP="00D654B4">
      <w:pPr>
        <w:pStyle w:val="Heading3"/>
        <w:spacing w:before="0"/>
        <w:ind w:left="720"/>
        <w:rPr>
          <w:rFonts w:ascii="Times New Roman" w:hAnsi="Times New Roman" w:cs="Times New Roman"/>
          <w:sz w:val="24"/>
          <w:szCs w:val="24"/>
        </w:rPr>
      </w:pPr>
      <w:bookmarkStart w:id="36" w:name="_Toc4676109"/>
      <w:bookmarkStart w:id="37" w:name="_Toc6916169"/>
      <w:r w:rsidRPr="00BB3235">
        <w:rPr>
          <w:rFonts w:ascii="Times New Roman" w:hAnsi="Times New Roman" w:cs="Times New Roman"/>
          <w:sz w:val="24"/>
          <w:szCs w:val="24"/>
        </w:rPr>
        <w:t>6b. SOP for Data Management</w:t>
      </w:r>
      <w:bookmarkEnd w:id="36"/>
      <w:bookmarkEnd w:id="37"/>
    </w:p>
    <w:p w14:paraId="055DA1D9" w14:textId="77777777" w:rsidR="00D654B4" w:rsidRPr="003B223A" w:rsidRDefault="00D654B4" w:rsidP="00D654B4">
      <w:pPr>
        <w:pStyle w:val="Heading2"/>
        <w:spacing w:before="0"/>
        <w:rPr>
          <w:rFonts w:ascii="Times New Roman" w:hAnsi="Times New Roman" w:cs="Times New Roman"/>
          <w:color w:val="auto"/>
          <w:sz w:val="24"/>
          <w:szCs w:val="24"/>
        </w:rPr>
      </w:pPr>
      <w:bookmarkStart w:id="38" w:name="_Toc4676110"/>
      <w:bookmarkStart w:id="39" w:name="_Toc6916170"/>
      <w:r w:rsidRPr="003B223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7</w:t>
      </w:r>
      <w:r w:rsidRPr="003B223A">
        <w:rPr>
          <w:rFonts w:ascii="Times New Roman" w:hAnsi="Times New Roman" w:cs="Times New Roman"/>
          <w:color w:val="auto"/>
          <w:sz w:val="24"/>
          <w:szCs w:val="24"/>
        </w:rPr>
        <w:t>. Research Determination</w:t>
      </w:r>
      <w:bookmarkEnd w:id="38"/>
      <w:bookmarkEnd w:id="39"/>
    </w:p>
    <w:p w14:paraId="0F70E3E5" w14:textId="77777777" w:rsidR="00D654B4" w:rsidRDefault="00D654B4" w:rsidP="00D654B4">
      <w:pPr>
        <w:rPr>
          <w:rFonts w:ascii="Times New Roman" w:hAnsi="Times New Roman" w:cs="Times New Roman"/>
          <w:sz w:val="24"/>
          <w:szCs w:val="24"/>
          <w:u w:val="single"/>
        </w:rPr>
      </w:pPr>
      <w:bookmarkStart w:id="40" w:name="_Toc514092516"/>
      <w:bookmarkStart w:id="41" w:name="_Toc514092105"/>
      <w:bookmarkEnd w:id="8"/>
    </w:p>
    <w:p w14:paraId="44C8955A" w14:textId="33884FF9" w:rsidR="00D654B4" w:rsidRPr="00BB3235" w:rsidRDefault="00D654B4" w:rsidP="00D654B4">
      <w:pPr>
        <w:rPr>
          <w:rFonts w:ascii="Times New Roman" w:hAnsi="Times New Roman" w:cs="Times New Roman"/>
          <w:sz w:val="24"/>
          <w:szCs w:val="24"/>
        </w:rPr>
      </w:pPr>
      <w:r w:rsidRPr="00BB3235">
        <w:rPr>
          <w:rFonts w:ascii="Times New Roman" w:hAnsi="Times New Roman" w:cs="Times New Roman"/>
          <w:sz w:val="24"/>
          <w:szCs w:val="24"/>
          <w:u w:val="single"/>
        </w:rPr>
        <w:t>PFAS Exposure Assessment Protocol and Appendices</w:t>
      </w:r>
      <w:bookmarkEnd w:id="40"/>
    </w:p>
    <w:p w14:paraId="5E168000" w14:textId="77777777" w:rsidR="00D654B4" w:rsidRPr="00BB3235" w:rsidRDefault="00D654B4" w:rsidP="00D654B4">
      <w:pPr>
        <w:rPr>
          <w:rFonts w:ascii="Times New Roman" w:hAnsi="Times New Roman" w:cs="Times New Roman"/>
          <w:sz w:val="24"/>
          <w:szCs w:val="24"/>
        </w:rPr>
      </w:pPr>
      <w:r w:rsidRPr="00BB3235">
        <w:rPr>
          <w:rFonts w:ascii="Times New Roman" w:hAnsi="Times New Roman" w:cs="Times New Roman"/>
          <w:sz w:val="24"/>
          <w:szCs w:val="24"/>
        </w:rPr>
        <w:t>Appendix A: Community Event Evaluation Survey, Recruitment Letter and Phone Script</w:t>
      </w:r>
    </w:p>
    <w:p w14:paraId="203965D4" w14:textId="77777777" w:rsidR="00D654B4" w:rsidRPr="00BB3235" w:rsidRDefault="00D654B4" w:rsidP="00D654B4">
      <w:pPr>
        <w:ind w:left="180" w:hanging="180"/>
        <w:rPr>
          <w:rFonts w:ascii="Times New Roman" w:hAnsi="Times New Roman" w:cs="Times New Roman"/>
          <w:sz w:val="24"/>
          <w:szCs w:val="24"/>
        </w:rPr>
      </w:pPr>
      <w:bookmarkStart w:id="42" w:name="_Toc514092520"/>
      <w:r w:rsidRPr="00BB3235">
        <w:rPr>
          <w:rFonts w:ascii="Times New Roman" w:hAnsi="Times New Roman" w:cs="Times New Roman"/>
          <w:sz w:val="24"/>
          <w:szCs w:val="24"/>
        </w:rPr>
        <w:t>Appendix B: Privacy Act Statement, Consent, Parental Permission and Assent Forms and PFAS EA Biological Testing Tracking Form</w:t>
      </w:r>
    </w:p>
    <w:p w14:paraId="55044A16" w14:textId="77777777" w:rsidR="00D654B4" w:rsidRPr="00BB3235" w:rsidRDefault="00D654B4" w:rsidP="00D654B4">
      <w:pPr>
        <w:rPr>
          <w:rFonts w:ascii="Times New Roman" w:hAnsi="Times New Roman" w:cs="Times New Roman"/>
          <w:sz w:val="24"/>
          <w:szCs w:val="24"/>
        </w:rPr>
      </w:pPr>
      <w:bookmarkStart w:id="43" w:name="_Toc514092526"/>
      <w:bookmarkEnd w:id="42"/>
      <w:r w:rsidRPr="00BB3235">
        <w:rPr>
          <w:rFonts w:ascii="Times New Roman" w:hAnsi="Times New Roman" w:cs="Times New Roman"/>
          <w:sz w:val="24"/>
          <w:szCs w:val="24"/>
        </w:rPr>
        <w:t>Appendix C: Sample Collection Log</w:t>
      </w:r>
      <w:bookmarkEnd w:id="43"/>
      <w:r w:rsidRPr="00BB3235">
        <w:rPr>
          <w:rFonts w:ascii="Times New Roman" w:hAnsi="Times New Roman" w:cs="Times New Roman"/>
          <w:sz w:val="24"/>
          <w:szCs w:val="24"/>
        </w:rPr>
        <w:t>s</w:t>
      </w:r>
    </w:p>
    <w:p w14:paraId="209B0031" w14:textId="77777777" w:rsidR="00D654B4" w:rsidRPr="00BB3235" w:rsidRDefault="00D654B4" w:rsidP="00D654B4">
      <w:pPr>
        <w:rPr>
          <w:rFonts w:ascii="Times New Roman" w:hAnsi="Times New Roman" w:cs="Times New Roman"/>
          <w:sz w:val="24"/>
          <w:szCs w:val="24"/>
        </w:rPr>
      </w:pPr>
      <w:bookmarkStart w:id="44" w:name="_Toc514092527"/>
      <w:r w:rsidRPr="00BB3235">
        <w:rPr>
          <w:rFonts w:ascii="Times New Roman" w:hAnsi="Times New Roman" w:cs="Times New Roman"/>
          <w:sz w:val="24"/>
          <w:szCs w:val="24"/>
        </w:rPr>
        <w:t>Appendix D: Chain of Custody Forms</w:t>
      </w:r>
      <w:bookmarkEnd w:id="44"/>
    </w:p>
    <w:p w14:paraId="7563153D" w14:textId="77777777" w:rsidR="00D654B4" w:rsidRPr="00BB3235" w:rsidRDefault="00D654B4" w:rsidP="00D654B4">
      <w:pPr>
        <w:rPr>
          <w:rFonts w:ascii="Times New Roman" w:hAnsi="Times New Roman" w:cs="Times New Roman"/>
          <w:sz w:val="24"/>
          <w:szCs w:val="24"/>
        </w:rPr>
      </w:pPr>
      <w:bookmarkStart w:id="45" w:name="_Toc514092528"/>
      <w:r w:rsidRPr="00BB3235">
        <w:rPr>
          <w:rFonts w:ascii="Times New Roman" w:hAnsi="Times New Roman" w:cs="Times New Roman"/>
          <w:sz w:val="24"/>
          <w:szCs w:val="24"/>
        </w:rPr>
        <w:t>Appendix E: Urine Collection Instructions</w:t>
      </w:r>
      <w:bookmarkEnd w:id="45"/>
    </w:p>
    <w:p w14:paraId="7532C343" w14:textId="77777777" w:rsidR="00D654B4" w:rsidRPr="00BB3235" w:rsidRDefault="00D654B4" w:rsidP="00D654B4">
      <w:pPr>
        <w:rPr>
          <w:rFonts w:ascii="Times New Roman" w:hAnsi="Times New Roman" w:cs="Times New Roman"/>
          <w:sz w:val="24"/>
          <w:szCs w:val="24"/>
        </w:rPr>
      </w:pPr>
      <w:bookmarkStart w:id="46" w:name="_Toc514092529"/>
      <w:r w:rsidRPr="00BB3235">
        <w:rPr>
          <w:rFonts w:ascii="Times New Roman" w:hAnsi="Times New Roman" w:cs="Times New Roman"/>
          <w:sz w:val="24"/>
          <w:szCs w:val="24"/>
        </w:rPr>
        <w:t>Appendix F: Questionnaire</w:t>
      </w:r>
      <w:bookmarkEnd w:id="46"/>
    </w:p>
    <w:p w14:paraId="3779D627" w14:textId="77777777" w:rsidR="00D654B4" w:rsidRPr="00BB3235" w:rsidRDefault="00D654B4" w:rsidP="00D654B4">
      <w:pPr>
        <w:rPr>
          <w:rFonts w:ascii="Times New Roman" w:hAnsi="Times New Roman" w:cs="Times New Roman"/>
          <w:sz w:val="24"/>
          <w:szCs w:val="24"/>
        </w:rPr>
      </w:pPr>
      <w:bookmarkStart w:id="47" w:name="_Toc514092533"/>
      <w:r w:rsidRPr="00BB3235">
        <w:rPr>
          <w:rFonts w:ascii="Times New Roman" w:hAnsi="Times New Roman" w:cs="Times New Roman"/>
          <w:sz w:val="24"/>
          <w:szCs w:val="24"/>
        </w:rPr>
        <w:t>Appendix G: Results Letters</w:t>
      </w:r>
      <w:bookmarkEnd w:id="47"/>
    </w:p>
    <w:p w14:paraId="581976E6" w14:textId="77777777" w:rsidR="00D654B4" w:rsidRPr="00BB3235" w:rsidRDefault="00D654B4" w:rsidP="00D654B4">
      <w:pPr>
        <w:rPr>
          <w:rFonts w:ascii="Times New Roman" w:hAnsi="Times New Roman" w:cs="Times New Roman"/>
          <w:sz w:val="24"/>
          <w:szCs w:val="24"/>
        </w:rPr>
      </w:pPr>
      <w:bookmarkStart w:id="48" w:name="_Toc514092536"/>
      <w:r w:rsidRPr="00BB3235">
        <w:rPr>
          <w:rFonts w:ascii="Times New Roman" w:hAnsi="Times New Roman" w:cs="Times New Roman"/>
          <w:sz w:val="24"/>
          <w:szCs w:val="24"/>
        </w:rPr>
        <w:t>Appendix H: Site Health and Safety Plan</w:t>
      </w:r>
      <w:bookmarkEnd w:id="48"/>
    </w:p>
    <w:p w14:paraId="0F76718C" w14:textId="3E90A898" w:rsidR="00914EBE" w:rsidRPr="00A00679" w:rsidRDefault="00D654B4" w:rsidP="00A00679">
      <w:pPr>
        <w:rPr>
          <w:rFonts w:ascii="Times New Roman" w:hAnsi="Times New Roman" w:cs="Times New Roman"/>
          <w:sz w:val="24"/>
          <w:szCs w:val="24"/>
        </w:rPr>
      </w:pPr>
      <w:bookmarkStart w:id="49" w:name="_Toc514092537"/>
      <w:r w:rsidRPr="00D654B4">
        <w:rPr>
          <w:rFonts w:ascii="Times New Roman" w:hAnsi="Times New Roman" w:cs="Times New Roman"/>
          <w:sz w:val="24"/>
          <w:szCs w:val="24"/>
        </w:rPr>
        <w:t>Appendix I: Data Management Plan</w:t>
      </w:r>
      <w:bookmarkEnd w:id="41"/>
      <w:bookmarkEnd w:id="49"/>
    </w:p>
    <w:sectPr w:rsidR="00914EBE" w:rsidRPr="00A00679" w:rsidSect="00196116">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610C4" w14:textId="77777777" w:rsidR="00BE42FA" w:rsidRDefault="00BE42FA" w:rsidP="008B5D54">
      <w:r>
        <w:separator/>
      </w:r>
    </w:p>
  </w:endnote>
  <w:endnote w:type="continuationSeparator" w:id="0">
    <w:p w14:paraId="7887403B" w14:textId="77777777" w:rsidR="00BE42FA" w:rsidRDefault="00BE42FA" w:rsidP="008B5D54">
      <w:r>
        <w:continuationSeparator/>
      </w:r>
    </w:p>
  </w:endnote>
  <w:endnote w:type="continuationNotice" w:id="1">
    <w:p w14:paraId="69BAD934" w14:textId="77777777" w:rsidR="00BE42FA" w:rsidRDefault="00BE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851529"/>
      <w:docPartObj>
        <w:docPartGallery w:val="Page Numbers (Bottom of Page)"/>
        <w:docPartUnique/>
      </w:docPartObj>
    </w:sdtPr>
    <w:sdtEndPr>
      <w:rPr>
        <w:noProof/>
      </w:rPr>
    </w:sdtEndPr>
    <w:sdtContent>
      <w:p w14:paraId="3154B1B4" w14:textId="6AEBB783" w:rsidR="00D654B4" w:rsidRDefault="00D654B4">
        <w:pPr>
          <w:pStyle w:val="Footer"/>
          <w:jc w:val="right"/>
        </w:pPr>
        <w:r>
          <w:fldChar w:fldCharType="begin"/>
        </w:r>
        <w:r>
          <w:instrText xml:space="preserve"> PAGE   \* MERGEFORMAT </w:instrText>
        </w:r>
        <w:r>
          <w:fldChar w:fldCharType="separate"/>
        </w:r>
        <w:r w:rsidR="00D86D52">
          <w:rPr>
            <w:noProof/>
          </w:rPr>
          <w:t>1</w:t>
        </w:r>
        <w:r>
          <w:rPr>
            <w:noProof/>
          </w:rPr>
          <w:fldChar w:fldCharType="end"/>
        </w:r>
      </w:p>
    </w:sdtContent>
  </w:sdt>
  <w:p w14:paraId="0859E56F" w14:textId="77777777" w:rsidR="00D654B4" w:rsidRDefault="00D65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CDEF4" w14:textId="77777777" w:rsidR="00BE42FA" w:rsidRDefault="00BE42FA" w:rsidP="008B5D54">
      <w:r>
        <w:separator/>
      </w:r>
    </w:p>
  </w:footnote>
  <w:footnote w:type="continuationSeparator" w:id="0">
    <w:p w14:paraId="3234D019" w14:textId="77777777" w:rsidR="00BE42FA" w:rsidRDefault="00BE42FA" w:rsidP="008B5D54">
      <w:r>
        <w:continuationSeparator/>
      </w:r>
    </w:p>
  </w:footnote>
  <w:footnote w:type="continuationNotice" w:id="1">
    <w:p w14:paraId="7E814668" w14:textId="77777777" w:rsidR="00BE42FA" w:rsidRDefault="00BE42FA">
      <w:pPr>
        <w:spacing w:after="0" w:line="240" w:lineRule="auto"/>
      </w:pPr>
    </w:p>
  </w:footnote>
  <w:footnote w:id="2">
    <w:p w14:paraId="162FF9B6" w14:textId="20379EA1" w:rsidR="00D654B4" w:rsidRPr="004A073D" w:rsidRDefault="00D654B4" w:rsidP="00A563BF">
      <w:pPr>
        <w:pStyle w:val="FootnoteText"/>
      </w:pPr>
      <w:r w:rsidRPr="004A073D">
        <w:rPr>
          <w:rStyle w:val="FootnoteReference"/>
        </w:rPr>
        <w:footnoteRef/>
      </w:r>
      <w:r w:rsidRPr="004A073D">
        <w:t xml:space="preserve"> </w:t>
      </w:r>
      <w:r w:rsidRPr="00C84417">
        <w:t>As another resource, NCEH has developed a PFAS Exposure Assessment Technical Tool (PEATT) that provides a framework for state health departments to assess exposure to PFAS in drinking water by testing PFAS in serum (</w:t>
      </w:r>
      <w:r w:rsidRPr="00C84417">
        <w:rPr>
          <w:b/>
        </w:rPr>
        <w:t xml:space="preserve">Attachment </w:t>
      </w:r>
      <w:r>
        <w:rPr>
          <w:b/>
        </w:rPr>
        <w:t>3</w:t>
      </w:r>
      <w:r w:rsidRPr="00C84417">
        <w:t>). ATSDR/NCEH has adapted the PEATT methodology for its EA protocol, which is extended to assess PFAS in urine and in environmental media (drinking water and indoor dust).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A4F753E"/>
    <w:multiLevelType w:val="hybridMultilevel"/>
    <w:tmpl w:val="8BBC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5088E"/>
    <w:multiLevelType w:val="hybridMultilevel"/>
    <w:tmpl w:val="C7C6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A72BB"/>
    <w:multiLevelType w:val="hybridMultilevel"/>
    <w:tmpl w:val="9AD6A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BF46EA"/>
    <w:multiLevelType w:val="hybridMultilevel"/>
    <w:tmpl w:val="9CE4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A5DDE"/>
    <w:multiLevelType w:val="hybridMultilevel"/>
    <w:tmpl w:val="5882F7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9CE1BEB"/>
    <w:multiLevelType w:val="hybridMultilevel"/>
    <w:tmpl w:val="80441C2A"/>
    <w:lvl w:ilvl="0" w:tplc="04090001">
      <w:start w:val="1"/>
      <w:numFmt w:val="bullet"/>
      <w:lvlText w:val=""/>
      <w:lvlJc w:val="left"/>
      <w:pPr>
        <w:ind w:left="783" w:hanging="360"/>
      </w:pPr>
      <w:rPr>
        <w:rFonts w:ascii="Symbol" w:hAnsi="Symbol" w:hint="default"/>
      </w:rPr>
    </w:lvl>
    <w:lvl w:ilvl="1" w:tplc="04090001">
      <w:start w:val="1"/>
      <w:numFmt w:val="bullet"/>
      <w:lvlText w:val=""/>
      <w:lvlJc w:val="left"/>
      <w:pPr>
        <w:ind w:left="1503" w:hanging="360"/>
      </w:pPr>
      <w:rPr>
        <w:rFonts w:ascii="Symbol" w:hAnsi="Symbol" w:hint="default"/>
      </w:rPr>
    </w:lvl>
    <w:lvl w:ilvl="2" w:tplc="0409001B">
      <w:start w:val="1"/>
      <w:numFmt w:val="lowerRoman"/>
      <w:lvlText w:val="%3."/>
      <w:lvlJc w:val="right"/>
      <w:pPr>
        <w:ind w:left="2223" w:hanging="180"/>
      </w:pPr>
    </w:lvl>
    <w:lvl w:ilvl="3" w:tplc="0409000F">
      <w:start w:val="1"/>
      <w:numFmt w:val="decimal"/>
      <w:lvlText w:val="%4."/>
      <w:lvlJc w:val="left"/>
      <w:pPr>
        <w:ind w:left="2943" w:hanging="360"/>
      </w:pPr>
    </w:lvl>
    <w:lvl w:ilvl="4" w:tplc="04090019">
      <w:start w:val="1"/>
      <w:numFmt w:val="lowerLetter"/>
      <w:lvlText w:val="%5."/>
      <w:lvlJc w:val="left"/>
      <w:pPr>
        <w:ind w:left="3663" w:hanging="360"/>
      </w:pPr>
    </w:lvl>
    <w:lvl w:ilvl="5" w:tplc="0409001B">
      <w:start w:val="1"/>
      <w:numFmt w:val="lowerRoman"/>
      <w:lvlText w:val="%6."/>
      <w:lvlJc w:val="right"/>
      <w:pPr>
        <w:ind w:left="4383" w:hanging="180"/>
      </w:pPr>
    </w:lvl>
    <w:lvl w:ilvl="6" w:tplc="0409000F">
      <w:start w:val="1"/>
      <w:numFmt w:val="decimal"/>
      <w:lvlText w:val="%7."/>
      <w:lvlJc w:val="left"/>
      <w:pPr>
        <w:ind w:left="5103" w:hanging="360"/>
      </w:pPr>
    </w:lvl>
    <w:lvl w:ilvl="7" w:tplc="04090019">
      <w:start w:val="1"/>
      <w:numFmt w:val="lowerLetter"/>
      <w:lvlText w:val="%8."/>
      <w:lvlJc w:val="left"/>
      <w:pPr>
        <w:ind w:left="5823" w:hanging="360"/>
      </w:pPr>
    </w:lvl>
    <w:lvl w:ilvl="8" w:tplc="0409001B">
      <w:start w:val="1"/>
      <w:numFmt w:val="lowerRoman"/>
      <w:lvlText w:val="%9."/>
      <w:lvlJc w:val="right"/>
      <w:pPr>
        <w:ind w:left="6543" w:hanging="180"/>
      </w:pPr>
    </w:lvl>
  </w:abstractNum>
  <w:abstractNum w:abstractNumId="8">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7A76C3"/>
    <w:multiLevelType w:val="hybridMultilevel"/>
    <w:tmpl w:val="C5FA8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3"/>
  </w:num>
  <w:num w:numId="12">
    <w:abstractNumId w:val="9"/>
  </w:num>
  <w:num w:numId="13">
    <w:abstractNumId w:val="14"/>
  </w:num>
  <w:num w:numId="14">
    <w:abstractNumId w:val="12"/>
  </w:num>
  <w:num w:numId="15">
    <w:abstractNumId w:val="11"/>
  </w:num>
  <w:num w:numId="16">
    <w:abstractNumId w:val="8"/>
  </w:num>
  <w:num w:numId="17">
    <w:abstractNumId w:val="7"/>
  </w:num>
  <w:num w:numId="18">
    <w:abstractNumId w:val="2"/>
  </w:num>
  <w:num w:numId="19">
    <w:abstractNumId w:val="5"/>
  </w:num>
  <w:num w:numId="20">
    <w:abstractNumId w:val="10"/>
  </w:num>
  <w:num w:numId="21">
    <w:abstractNumId w:val="4"/>
  </w:num>
  <w:num w:numId="22">
    <w:abstractNumId w:val="3"/>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16A38"/>
    <w:rsid w:val="00024ABF"/>
    <w:rsid w:val="0002593F"/>
    <w:rsid w:val="000329FE"/>
    <w:rsid w:val="000337CA"/>
    <w:rsid w:val="00047AA3"/>
    <w:rsid w:val="000526AA"/>
    <w:rsid w:val="000644CC"/>
    <w:rsid w:val="000673C1"/>
    <w:rsid w:val="000675DD"/>
    <w:rsid w:val="00073301"/>
    <w:rsid w:val="000738F3"/>
    <w:rsid w:val="000A2B8E"/>
    <w:rsid w:val="000A66EA"/>
    <w:rsid w:val="000B1E56"/>
    <w:rsid w:val="000C7C39"/>
    <w:rsid w:val="000D41A0"/>
    <w:rsid w:val="000D5E56"/>
    <w:rsid w:val="00113D1D"/>
    <w:rsid w:val="00143D86"/>
    <w:rsid w:val="00145D47"/>
    <w:rsid w:val="00153357"/>
    <w:rsid w:val="00156EEB"/>
    <w:rsid w:val="00196116"/>
    <w:rsid w:val="001A68E8"/>
    <w:rsid w:val="001C121D"/>
    <w:rsid w:val="001C2319"/>
    <w:rsid w:val="001C5E2B"/>
    <w:rsid w:val="00216467"/>
    <w:rsid w:val="00233502"/>
    <w:rsid w:val="002751FF"/>
    <w:rsid w:val="002869DD"/>
    <w:rsid w:val="00295552"/>
    <w:rsid w:val="002A1B85"/>
    <w:rsid w:val="002A675E"/>
    <w:rsid w:val="002A7001"/>
    <w:rsid w:val="002B0C33"/>
    <w:rsid w:val="002B7530"/>
    <w:rsid w:val="002C4FA3"/>
    <w:rsid w:val="002C524F"/>
    <w:rsid w:val="002D0271"/>
    <w:rsid w:val="002D5973"/>
    <w:rsid w:val="003041F7"/>
    <w:rsid w:val="003052D1"/>
    <w:rsid w:val="00305753"/>
    <w:rsid w:val="003068E1"/>
    <w:rsid w:val="003078CB"/>
    <w:rsid w:val="0031214F"/>
    <w:rsid w:val="00330F29"/>
    <w:rsid w:val="00331515"/>
    <w:rsid w:val="00353276"/>
    <w:rsid w:val="003567AB"/>
    <w:rsid w:val="00366A83"/>
    <w:rsid w:val="003676C7"/>
    <w:rsid w:val="0037667F"/>
    <w:rsid w:val="00380617"/>
    <w:rsid w:val="003A302D"/>
    <w:rsid w:val="003B109D"/>
    <w:rsid w:val="003C150E"/>
    <w:rsid w:val="003D1B32"/>
    <w:rsid w:val="003D270D"/>
    <w:rsid w:val="003D7D02"/>
    <w:rsid w:val="003F09D1"/>
    <w:rsid w:val="00422AC6"/>
    <w:rsid w:val="00425A8D"/>
    <w:rsid w:val="004709C7"/>
    <w:rsid w:val="004817C1"/>
    <w:rsid w:val="00484BB1"/>
    <w:rsid w:val="0048550B"/>
    <w:rsid w:val="00493736"/>
    <w:rsid w:val="004A7B18"/>
    <w:rsid w:val="004B14FA"/>
    <w:rsid w:val="004B1F81"/>
    <w:rsid w:val="004B2C34"/>
    <w:rsid w:val="004D7037"/>
    <w:rsid w:val="004E0B59"/>
    <w:rsid w:val="004F0BE4"/>
    <w:rsid w:val="00500B15"/>
    <w:rsid w:val="00514B66"/>
    <w:rsid w:val="00517E6C"/>
    <w:rsid w:val="00522073"/>
    <w:rsid w:val="0052388F"/>
    <w:rsid w:val="0055247F"/>
    <w:rsid w:val="005624FE"/>
    <w:rsid w:val="0059403D"/>
    <w:rsid w:val="005B5BEE"/>
    <w:rsid w:val="005D7B82"/>
    <w:rsid w:val="005E207B"/>
    <w:rsid w:val="005F1B9B"/>
    <w:rsid w:val="006007E5"/>
    <w:rsid w:val="00603135"/>
    <w:rsid w:val="00605765"/>
    <w:rsid w:val="006169A6"/>
    <w:rsid w:val="0062111A"/>
    <w:rsid w:val="00622F1F"/>
    <w:rsid w:val="00634744"/>
    <w:rsid w:val="00650FF2"/>
    <w:rsid w:val="006560B1"/>
    <w:rsid w:val="006615FB"/>
    <w:rsid w:val="006640CB"/>
    <w:rsid w:val="00664228"/>
    <w:rsid w:val="006667CE"/>
    <w:rsid w:val="00670344"/>
    <w:rsid w:val="006A7C01"/>
    <w:rsid w:val="006C6578"/>
    <w:rsid w:val="006D5FB4"/>
    <w:rsid w:val="006E56EF"/>
    <w:rsid w:val="006F2ABA"/>
    <w:rsid w:val="006F2B40"/>
    <w:rsid w:val="0070554F"/>
    <w:rsid w:val="00712D90"/>
    <w:rsid w:val="00717257"/>
    <w:rsid w:val="00754B3D"/>
    <w:rsid w:val="00783EDA"/>
    <w:rsid w:val="00792A59"/>
    <w:rsid w:val="00796D76"/>
    <w:rsid w:val="007A3A1B"/>
    <w:rsid w:val="007A44C3"/>
    <w:rsid w:val="007A715B"/>
    <w:rsid w:val="007B5227"/>
    <w:rsid w:val="007B56F9"/>
    <w:rsid w:val="007B7F20"/>
    <w:rsid w:val="007C3475"/>
    <w:rsid w:val="007C7215"/>
    <w:rsid w:val="007D595C"/>
    <w:rsid w:val="007E2750"/>
    <w:rsid w:val="007F0E10"/>
    <w:rsid w:val="00805B09"/>
    <w:rsid w:val="00805C50"/>
    <w:rsid w:val="00816CE9"/>
    <w:rsid w:val="00826009"/>
    <w:rsid w:val="00836BB0"/>
    <w:rsid w:val="008861AB"/>
    <w:rsid w:val="008869B4"/>
    <w:rsid w:val="00890208"/>
    <w:rsid w:val="008B14F8"/>
    <w:rsid w:val="008B3507"/>
    <w:rsid w:val="008B5D54"/>
    <w:rsid w:val="008C079E"/>
    <w:rsid w:val="008C41AF"/>
    <w:rsid w:val="008D0F27"/>
    <w:rsid w:val="008D2DDF"/>
    <w:rsid w:val="008D3422"/>
    <w:rsid w:val="008D3BE8"/>
    <w:rsid w:val="008E554E"/>
    <w:rsid w:val="00914EBE"/>
    <w:rsid w:val="00935FD5"/>
    <w:rsid w:val="00956AD2"/>
    <w:rsid w:val="00965C2A"/>
    <w:rsid w:val="00976C14"/>
    <w:rsid w:val="0097718E"/>
    <w:rsid w:val="00984634"/>
    <w:rsid w:val="009A0BDF"/>
    <w:rsid w:val="009A4F4B"/>
    <w:rsid w:val="009C27DF"/>
    <w:rsid w:val="009C2F5A"/>
    <w:rsid w:val="009F3EE4"/>
    <w:rsid w:val="00A00679"/>
    <w:rsid w:val="00A016F0"/>
    <w:rsid w:val="00A1176C"/>
    <w:rsid w:val="00A12DA9"/>
    <w:rsid w:val="00A45890"/>
    <w:rsid w:val="00A563BF"/>
    <w:rsid w:val="00A5654A"/>
    <w:rsid w:val="00A6644C"/>
    <w:rsid w:val="00A710EF"/>
    <w:rsid w:val="00A76C6D"/>
    <w:rsid w:val="00A807F9"/>
    <w:rsid w:val="00A94052"/>
    <w:rsid w:val="00AB4A46"/>
    <w:rsid w:val="00AC0A78"/>
    <w:rsid w:val="00AC3B7E"/>
    <w:rsid w:val="00AC4C54"/>
    <w:rsid w:val="00AE2F5E"/>
    <w:rsid w:val="00AE56F5"/>
    <w:rsid w:val="00AE70E7"/>
    <w:rsid w:val="00AF09E3"/>
    <w:rsid w:val="00AF60B0"/>
    <w:rsid w:val="00B0697F"/>
    <w:rsid w:val="00B21D28"/>
    <w:rsid w:val="00B238E7"/>
    <w:rsid w:val="00B26312"/>
    <w:rsid w:val="00B31F1B"/>
    <w:rsid w:val="00B45002"/>
    <w:rsid w:val="00B5171E"/>
    <w:rsid w:val="00B55735"/>
    <w:rsid w:val="00B55D3B"/>
    <w:rsid w:val="00B608AC"/>
    <w:rsid w:val="00B723C4"/>
    <w:rsid w:val="00B73D70"/>
    <w:rsid w:val="00B93609"/>
    <w:rsid w:val="00BA2DBE"/>
    <w:rsid w:val="00BA30FE"/>
    <w:rsid w:val="00BB2857"/>
    <w:rsid w:val="00BC37AE"/>
    <w:rsid w:val="00BC734A"/>
    <w:rsid w:val="00BD2639"/>
    <w:rsid w:val="00BE42FA"/>
    <w:rsid w:val="00BE6FD7"/>
    <w:rsid w:val="00BF71E6"/>
    <w:rsid w:val="00C02257"/>
    <w:rsid w:val="00C20CAD"/>
    <w:rsid w:val="00C357FE"/>
    <w:rsid w:val="00C615C8"/>
    <w:rsid w:val="00C90FA8"/>
    <w:rsid w:val="00C929D2"/>
    <w:rsid w:val="00CA040A"/>
    <w:rsid w:val="00CA0DDA"/>
    <w:rsid w:val="00CB18E2"/>
    <w:rsid w:val="00CC6FE1"/>
    <w:rsid w:val="00CD0E02"/>
    <w:rsid w:val="00CE713D"/>
    <w:rsid w:val="00D0744A"/>
    <w:rsid w:val="00D14114"/>
    <w:rsid w:val="00D269A3"/>
    <w:rsid w:val="00D27CDB"/>
    <w:rsid w:val="00D33AE3"/>
    <w:rsid w:val="00D479BA"/>
    <w:rsid w:val="00D5644A"/>
    <w:rsid w:val="00D57E89"/>
    <w:rsid w:val="00D654B4"/>
    <w:rsid w:val="00D67CBE"/>
    <w:rsid w:val="00D73225"/>
    <w:rsid w:val="00D80142"/>
    <w:rsid w:val="00D82B2F"/>
    <w:rsid w:val="00D86D52"/>
    <w:rsid w:val="00D94574"/>
    <w:rsid w:val="00DA3E3A"/>
    <w:rsid w:val="00DA796B"/>
    <w:rsid w:val="00DB37E9"/>
    <w:rsid w:val="00DC57CC"/>
    <w:rsid w:val="00DD0E58"/>
    <w:rsid w:val="00DD2606"/>
    <w:rsid w:val="00DD6CEA"/>
    <w:rsid w:val="00DF6023"/>
    <w:rsid w:val="00DF6EE6"/>
    <w:rsid w:val="00E073A9"/>
    <w:rsid w:val="00E217E6"/>
    <w:rsid w:val="00E2405B"/>
    <w:rsid w:val="00E2715D"/>
    <w:rsid w:val="00E2719C"/>
    <w:rsid w:val="00E315B0"/>
    <w:rsid w:val="00E410B4"/>
    <w:rsid w:val="00E46243"/>
    <w:rsid w:val="00E5157D"/>
    <w:rsid w:val="00E632AF"/>
    <w:rsid w:val="00E707C0"/>
    <w:rsid w:val="00E84022"/>
    <w:rsid w:val="00E90578"/>
    <w:rsid w:val="00E932A0"/>
    <w:rsid w:val="00EA4C4D"/>
    <w:rsid w:val="00EA5DF4"/>
    <w:rsid w:val="00EA6E06"/>
    <w:rsid w:val="00EF2494"/>
    <w:rsid w:val="00EF5132"/>
    <w:rsid w:val="00F0020C"/>
    <w:rsid w:val="00F11154"/>
    <w:rsid w:val="00F114D6"/>
    <w:rsid w:val="00F57F65"/>
    <w:rsid w:val="00F70AD4"/>
    <w:rsid w:val="00F76822"/>
    <w:rsid w:val="00F845F2"/>
    <w:rsid w:val="00FB39A3"/>
    <w:rsid w:val="00FD1E0D"/>
    <w:rsid w:val="00FD7409"/>
    <w:rsid w:val="00FE3765"/>
    <w:rsid w:val="00FE556A"/>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link w:val="ListParagraphChar"/>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customStyle="1" w:styleId="ListParagraphChar">
    <w:name w:val="List Paragraph Char"/>
    <w:basedOn w:val="DefaultParagraphFont"/>
    <w:link w:val="ListParagraph"/>
    <w:uiPriority w:val="34"/>
    <w:locked/>
    <w:rsid w:val="009C27DF"/>
  </w:style>
  <w:style w:type="character" w:customStyle="1" w:styleId="NoSpacingChar">
    <w:name w:val="No Spacing Char"/>
    <w:basedOn w:val="DefaultParagraphFont"/>
    <w:link w:val="NoSpacing"/>
    <w:uiPriority w:val="1"/>
    <w:rsid w:val="00D73225"/>
  </w:style>
  <w:style w:type="character" w:styleId="FootnoteReference">
    <w:name w:val="footnote reference"/>
    <w:aliases w:val="fr"/>
    <w:basedOn w:val="DefaultParagraphFont"/>
    <w:uiPriority w:val="99"/>
    <w:rsid w:val="00A563BF"/>
    <w:rPr>
      <w:rFonts w:cs="Times New Roman"/>
      <w:vertAlign w:val="superscript"/>
    </w:rPr>
  </w:style>
  <w:style w:type="paragraph" w:styleId="FootnoteText">
    <w:name w:val="footnote text"/>
    <w:basedOn w:val="Normal"/>
    <w:link w:val="FootnoteTextChar"/>
    <w:uiPriority w:val="99"/>
    <w:semiHidden/>
    <w:unhideWhenUsed/>
    <w:rsid w:val="00A563B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3BF"/>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6D5FB4"/>
    <w:pPr>
      <w:spacing w:after="100"/>
      <w:ind w:left="210"/>
    </w:pPr>
  </w:style>
  <w:style w:type="paragraph" w:styleId="TOC3">
    <w:name w:val="toc 3"/>
    <w:basedOn w:val="Normal"/>
    <w:next w:val="Normal"/>
    <w:autoRedefine/>
    <w:uiPriority w:val="39"/>
    <w:unhideWhenUsed/>
    <w:rsid w:val="006640CB"/>
    <w:pPr>
      <w:spacing w:after="100"/>
      <w:ind w:left="420"/>
    </w:pPr>
  </w:style>
  <w:style w:type="paragraph" w:styleId="TOC4">
    <w:name w:val="toc 4"/>
    <w:basedOn w:val="Normal"/>
    <w:next w:val="Normal"/>
    <w:autoRedefine/>
    <w:uiPriority w:val="39"/>
    <w:unhideWhenUsed/>
    <w:rsid w:val="00805C50"/>
    <w:pPr>
      <w:spacing w:after="100"/>
      <w:ind w:left="630"/>
    </w:pPr>
  </w:style>
  <w:style w:type="paragraph" w:customStyle="1" w:styleId="Default">
    <w:name w:val="Default"/>
    <w:rsid w:val="005E207B"/>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D654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link w:val="NoSpacingChar"/>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link w:val="ListParagraphChar"/>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customStyle="1" w:styleId="ListParagraphChar">
    <w:name w:val="List Paragraph Char"/>
    <w:basedOn w:val="DefaultParagraphFont"/>
    <w:link w:val="ListParagraph"/>
    <w:uiPriority w:val="34"/>
    <w:locked/>
    <w:rsid w:val="009C27DF"/>
  </w:style>
  <w:style w:type="character" w:customStyle="1" w:styleId="NoSpacingChar">
    <w:name w:val="No Spacing Char"/>
    <w:basedOn w:val="DefaultParagraphFont"/>
    <w:link w:val="NoSpacing"/>
    <w:uiPriority w:val="1"/>
    <w:rsid w:val="00D73225"/>
  </w:style>
  <w:style w:type="character" w:styleId="FootnoteReference">
    <w:name w:val="footnote reference"/>
    <w:aliases w:val="fr"/>
    <w:basedOn w:val="DefaultParagraphFont"/>
    <w:uiPriority w:val="99"/>
    <w:rsid w:val="00A563BF"/>
    <w:rPr>
      <w:rFonts w:cs="Times New Roman"/>
      <w:vertAlign w:val="superscript"/>
    </w:rPr>
  </w:style>
  <w:style w:type="paragraph" w:styleId="FootnoteText">
    <w:name w:val="footnote text"/>
    <w:basedOn w:val="Normal"/>
    <w:link w:val="FootnoteTextChar"/>
    <w:uiPriority w:val="99"/>
    <w:semiHidden/>
    <w:unhideWhenUsed/>
    <w:rsid w:val="00A563B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3BF"/>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6D5FB4"/>
    <w:pPr>
      <w:spacing w:after="100"/>
      <w:ind w:left="210"/>
    </w:pPr>
  </w:style>
  <w:style w:type="paragraph" w:styleId="TOC3">
    <w:name w:val="toc 3"/>
    <w:basedOn w:val="Normal"/>
    <w:next w:val="Normal"/>
    <w:autoRedefine/>
    <w:uiPriority w:val="39"/>
    <w:unhideWhenUsed/>
    <w:rsid w:val="006640CB"/>
    <w:pPr>
      <w:spacing w:after="100"/>
      <w:ind w:left="420"/>
    </w:pPr>
  </w:style>
  <w:style w:type="paragraph" w:styleId="TOC4">
    <w:name w:val="toc 4"/>
    <w:basedOn w:val="Normal"/>
    <w:next w:val="Normal"/>
    <w:autoRedefine/>
    <w:uiPriority w:val="39"/>
    <w:unhideWhenUsed/>
    <w:rsid w:val="00805C50"/>
    <w:pPr>
      <w:spacing w:after="100"/>
      <w:ind w:left="630"/>
    </w:pPr>
  </w:style>
  <w:style w:type="paragraph" w:customStyle="1" w:styleId="Default">
    <w:name w:val="Default"/>
    <w:rsid w:val="005E207B"/>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D65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2909">
      <w:bodyDiv w:val="1"/>
      <w:marLeft w:val="0"/>
      <w:marRight w:val="0"/>
      <w:marTop w:val="0"/>
      <w:marBottom w:val="0"/>
      <w:divBdr>
        <w:top w:val="none" w:sz="0" w:space="0" w:color="auto"/>
        <w:left w:val="none" w:sz="0" w:space="0" w:color="auto"/>
        <w:bottom w:val="none" w:sz="0" w:space="0" w:color="auto"/>
        <w:right w:val="none" w:sz="0" w:space="0" w:color="auto"/>
      </w:divBdr>
    </w:div>
    <w:div w:id="285621612">
      <w:bodyDiv w:val="1"/>
      <w:marLeft w:val="0"/>
      <w:marRight w:val="0"/>
      <w:marTop w:val="0"/>
      <w:marBottom w:val="0"/>
      <w:divBdr>
        <w:top w:val="none" w:sz="0" w:space="0" w:color="auto"/>
        <w:left w:val="none" w:sz="0" w:space="0" w:color="auto"/>
        <w:bottom w:val="none" w:sz="0" w:space="0" w:color="auto"/>
        <w:right w:val="none" w:sz="0" w:space="0" w:color="auto"/>
      </w:divBdr>
    </w:div>
    <w:div w:id="1253004494">
      <w:bodyDiv w:val="1"/>
      <w:marLeft w:val="0"/>
      <w:marRight w:val="0"/>
      <w:marTop w:val="0"/>
      <w:marBottom w:val="0"/>
      <w:divBdr>
        <w:top w:val="none" w:sz="0" w:space="0" w:color="auto"/>
        <w:left w:val="none" w:sz="0" w:space="0" w:color="auto"/>
        <w:bottom w:val="none" w:sz="0" w:space="0" w:color="auto"/>
        <w:right w:val="none" w:sz="0" w:space="0" w:color="auto"/>
      </w:divBdr>
    </w:div>
    <w:div w:id="1799756987">
      <w:bodyDiv w:val="1"/>
      <w:marLeft w:val="0"/>
      <w:marRight w:val="0"/>
      <w:marTop w:val="0"/>
      <w:marBottom w:val="0"/>
      <w:divBdr>
        <w:top w:val="none" w:sz="0" w:space="0" w:color="auto"/>
        <w:left w:val="none" w:sz="0" w:space="0" w:color="auto"/>
        <w:bottom w:val="none" w:sz="0" w:space="0" w:color="auto"/>
        <w:right w:val="none" w:sz="0" w:space="0" w:color="auto"/>
      </w:divBdr>
    </w:div>
    <w:div w:id="18966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Kowalski@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E0D5-BD52-4AE0-A66D-0114296D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2019-06-27T16:55:00Z</dcterms:created>
  <dcterms:modified xsi:type="dcterms:W3CDTF">2019-06-27T16:55:00Z</dcterms:modified>
</cp:coreProperties>
</file>