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6661" w:rsidR="00026E10" w:rsidP="00DD107D" w:rsidRDefault="00026E10" w14:paraId="57F9CD34" w14:textId="77777777">
      <w:pPr>
        <w:spacing w:before="120"/>
        <w:ind w:left="2160"/>
        <w:jc w:val="center"/>
        <w:rPr>
          <w:b/>
          <w:caps/>
        </w:rPr>
      </w:pPr>
    </w:p>
    <w:p w:rsidRPr="00345F19" w:rsidR="006268E8" w:rsidP="00523165" w:rsidRDefault="00523165" w14:paraId="14DF5CA9" w14:textId="77777777">
      <w:pPr>
        <w:keepLines/>
        <w:jc w:val="center"/>
        <w:rPr>
          <w:b/>
          <w:sz w:val="36"/>
          <w:szCs w:val="36"/>
        </w:rPr>
      </w:pPr>
      <w:r w:rsidRPr="00345F19">
        <w:rPr>
          <w:b/>
          <w:sz w:val="36"/>
          <w:szCs w:val="36"/>
        </w:rPr>
        <w:t xml:space="preserve">Supporting Statement </w:t>
      </w:r>
    </w:p>
    <w:p w:rsidRPr="00345F19" w:rsidR="00026E10" w:rsidP="00523165" w:rsidRDefault="006268E8" w14:paraId="25422646" w14:textId="0E892005">
      <w:pPr>
        <w:keepLines/>
        <w:jc w:val="center"/>
        <w:rPr>
          <w:b/>
          <w:sz w:val="36"/>
          <w:szCs w:val="36"/>
        </w:rPr>
      </w:pPr>
      <w:r w:rsidRPr="00345F19">
        <w:rPr>
          <w:b/>
          <w:sz w:val="36"/>
          <w:szCs w:val="36"/>
        </w:rPr>
        <w:t xml:space="preserve">Part </w:t>
      </w:r>
      <w:r w:rsidRPr="00345F19" w:rsidR="00523165">
        <w:rPr>
          <w:b/>
          <w:sz w:val="36"/>
          <w:szCs w:val="36"/>
        </w:rPr>
        <w:t>A</w:t>
      </w:r>
    </w:p>
    <w:p w:rsidRPr="00DD107D" w:rsidR="00026E10" w:rsidP="00DD107D" w:rsidRDefault="00026E10" w14:paraId="75C311DC" w14:textId="77777777">
      <w:pPr>
        <w:keepLines/>
        <w:jc w:val="center"/>
        <w:rPr>
          <w:sz w:val="28"/>
          <w:szCs w:val="28"/>
        </w:rPr>
      </w:pPr>
    </w:p>
    <w:p w:rsidRPr="00DD107D" w:rsidR="00026E10" w:rsidP="00DD107D" w:rsidRDefault="00026E10" w14:paraId="57911B3C" w14:textId="77777777">
      <w:pPr>
        <w:keepLines/>
        <w:jc w:val="center"/>
        <w:rPr>
          <w:sz w:val="28"/>
          <w:szCs w:val="28"/>
        </w:rPr>
      </w:pPr>
    </w:p>
    <w:p w:rsidR="00026E10" w:rsidP="00DD107D" w:rsidRDefault="00026E10" w14:paraId="45510480" w14:textId="77777777">
      <w:pPr>
        <w:keepLines/>
        <w:jc w:val="center"/>
      </w:pPr>
    </w:p>
    <w:p w:rsidRPr="00345F19" w:rsidR="00026E10" w:rsidP="00DD107D" w:rsidRDefault="004729D3" w14:paraId="5026810F" w14:textId="64EBB304">
      <w:pPr>
        <w:keepLines/>
        <w:jc w:val="center"/>
        <w:rPr>
          <w:b/>
          <w:sz w:val="36"/>
          <w:szCs w:val="36"/>
        </w:rPr>
      </w:pPr>
      <w:r w:rsidRPr="00345F19">
        <w:rPr>
          <w:b/>
          <w:sz w:val="36"/>
          <w:szCs w:val="36"/>
        </w:rPr>
        <w:t xml:space="preserve">AHRQ </w:t>
      </w:r>
      <w:r w:rsidR="00126D1A">
        <w:rPr>
          <w:b/>
          <w:sz w:val="36"/>
          <w:szCs w:val="36"/>
        </w:rPr>
        <w:t>Addressing</w:t>
      </w:r>
      <w:r w:rsidRPr="00345F19" w:rsidR="00126D1A">
        <w:rPr>
          <w:b/>
          <w:sz w:val="36"/>
          <w:szCs w:val="36"/>
        </w:rPr>
        <w:t xml:space="preserve"> </w:t>
      </w:r>
      <w:r w:rsidRPr="00345F19">
        <w:rPr>
          <w:b/>
          <w:sz w:val="36"/>
          <w:szCs w:val="36"/>
        </w:rPr>
        <w:t>Unhealthy Alcohol Use in Primary Care</w:t>
      </w:r>
      <w:r w:rsidRPr="00345F19" w:rsidR="00E8636F">
        <w:rPr>
          <w:b/>
          <w:sz w:val="36"/>
          <w:szCs w:val="36"/>
        </w:rPr>
        <w:t xml:space="preserve"> Initiative</w:t>
      </w:r>
    </w:p>
    <w:p w:rsidRPr="00986661" w:rsidR="00026E10" w:rsidP="00DD107D" w:rsidRDefault="00026E10" w14:paraId="7031FF21" w14:textId="77777777">
      <w:pPr>
        <w:keepLines/>
        <w:jc w:val="center"/>
      </w:pPr>
    </w:p>
    <w:p w:rsidR="004729D3" w:rsidP="00DD107D" w:rsidRDefault="004729D3" w14:paraId="59905968" w14:textId="77777777">
      <w:pPr>
        <w:keepLines/>
        <w:jc w:val="center"/>
        <w:rPr>
          <w:b/>
        </w:rPr>
      </w:pPr>
    </w:p>
    <w:p w:rsidR="004729D3" w:rsidP="00DD107D" w:rsidRDefault="004729D3" w14:paraId="11C2C91E" w14:textId="77777777">
      <w:pPr>
        <w:keepLines/>
        <w:jc w:val="center"/>
        <w:rPr>
          <w:b/>
        </w:rPr>
      </w:pPr>
    </w:p>
    <w:p w:rsidR="004729D3" w:rsidP="00DD107D" w:rsidRDefault="004729D3" w14:paraId="78AA51AC" w14:textId="77777777">
      <w:pPr>
        <w:keepLines/>
        <w:jc w:val="center"/>
        <w:rPr>
          <w:b/>
        </w:rPr>
      </w:pPr>
    </w:p>
    <w:p w:rsidRPr="00345F19" w:rsidR="004066E6" w:rsidP="00345F19" w:rsidRDefault="00CA09ED" w14:paraId="578E5E13" w14:textId="650BD9AB">
      <w:pPr>
        <w:jc w:val="center"/>
        <w:rPr>
          <w:sz w:val="28"/>
          <w:szCs w:val="28"/>
        </w:rPr>
      </w:pPr>
      <w:r w:rsidRPr="00345F19">
        <w:rPr>
          <w:sz w:val="28"/>
          <w:szCs w:val="28"/>
        </w:rPr>
        <w:t>Agency for Healthcare Research and Quality (AHRQ</w:t>
      </w:r>
      <w:r w:rsidRPr="00345F19" w:rsidR="004066E6">
        <w:rPr>
          <w:sz w:val="28"/>
          <w:szCs w:val="28"/>
        </w:rPr>
        <w:t>)</w:t>
      </w:r>
    </w:p>
    <w:p w:rsidRPr="00345F19" w:rsidR="004066E6" w:rsidP="00DD107D" w:rsidRDefault="004066E6" w14:paraId="7BEA2678" w14:textId="77777777">
      <w:pPr>
        <w:jc w:val="center"/>
        <w:rPr>
          <w:sz w:val="28"/>
          <w:szCs w:val="28"/>
        </w:rPr>
      </w:pPr>
    </w:p>
    <w:p w:rsidRPr="00345F19" w:rsidR="004066E6" w:rsidP="00DD107D" w:rsidRDefault="004066E6" w14:paraId="5D0430CC" w14:textId="77777777">
      <w:pPr>
        <w:jc w:val="center"/>
        <w:rPr>
          <w:sz w:val="28"/>
          <w:szCs w:val="28"/>
        </w:rPr>
      </w:pPr>
    </w:p>
    <w:p w:rsidRPr="00345F19" w:rsidR="00026E10" w:rsidP="00DD107D" w:rsidRDefault="00026E10" w14:paraId="322AD5A7" w14:textId="77777777">
      <w:pPr>
        <w:keepLines/>
        <w:jc w:val="center"/>
        <w:rPr>
          <w:sz w:val="28"/>
          <w:szCs w:val="28"/>
        </w:rPr>
      </w:pPr>
    </w:p>
    <w:p w:rsidRPr="00345F19" w:rsidR="004066E6" w:rsidP="00345F19" w:rsidRDefault="004066E6" w14:paraId="0258C8AF" w14:textId="77777777">
      <w:pPr>
        <w:keepLines/>
        <w:rPr>
          <w:sz w:val="28"/>
          <w:szCs w:val="28"/>
        </w:rPr>
      </w:pPr>
    </w:p>
    <w:p w:rsidRPr="00345F19" w:rsidR="00026E10" w:rsidP="00DD107D" w:rsidRDefault="00026E10" w14:paraId="231783F8" w14:textId="77777777">
      <w:pPr>
        <w:keepLines/>
        <w:jc w:val="center"/>
        <w:rPr>
          <w:sz w:val="28"/>
          <w:szCs w:val="28"/>
        </w:rPr>
      </w:pPr>
    </w:p>
    <w:p w:rsidRPr="00345F19" w:rsidR="009A10DB" w:rsidP="00DD107D" w:rsidRDefault="004729D3" w14:paraId="582E82E2" w14:textId="20E22006">
      <w:pPr>
        <w:keepLines/>
        <w:jc w:val="center"/>
        <w:rPr>
          <w:sz w:val="28"/>
          <w:szCs w:val="28"/>
        </w:rPr>
      </w:pPr>
      <w:r w:rsidRPr="00345F19">
        <w:rPr>
          <w:sz w:val="28"/>
          <w:szCs w:val="28"/>
        </w:rPr>
        <w:t xml:space="preserve">Version: </w:t>
      </w:r>
      <w:r w:rsidR="00385A46">
        <w:rPr>
          <w:sz w:val="28"/>
          <w:szCs w:val="28"/>
        </w:rPr>
        <w:t>May 28</w:t>
      </w:r>
      <w:r w:rsidR="00A3094F">
        <w:rPr>
          <w:sz w:val="28"/>
          <w:szCs w:val="28"/>
        </w:rPr>
        <w:t>, 2020</w:t>
      </w:r>
    </w:p>
    <w:p w:rsidR="009A10DB" w:rsidRDefault="009A10DB" w14:paraId="0B5FF504" w14:textId="77777777">
      <w:pPr>
        <w:rPr>
          <w:highlight w:val="yellow"/>
        </w:rPr>
      </w:pPr>
      <w:r>
        <w:rPr>
          <w:highlight w:val="yellow"/>
        </w:rPr>
        <w:br w:type="page"/>
      </w:r>
    </w:p>
    <w:p w:rsidR="009A10DB" w:rsidP="004066E6" w:rsidRDefault="009A10DB" w14:paraId="7B4756EB" w14:textId="77777777">
      <w:pPr>
        <w:pStyle w:val="Title"/>
        <w:sectPr w:rsidR="009A10DB" w:rsidSect="009A10DB">
          <w:footerReference w:type="default" r:id="rId12"/>
          <w:pgSz w:w="12240" w:h="15840"/>
          <w:pgMar w:top="1440" w:right="1440" w:bottom="1440" w:left="1440" w:header="720" w:footer="720" w:gutter="0"/>
          <w:pgNumType w:fmt="lowerRoman" w:start="1"/>
          <w:cols w:space="720"/>
          <w:noEndnote/>
          <w:titlePg/>
          <w:docGrid w:linePitch="360"/>
        </w:sectPr>
      </w:pPr>
      <w:bookmarkStart w:name="_Toc418077520" w:id="0"/>
    </w:p>
    <w:p w:rsidRPr="001860B2" w:rsidR="00026E10" w:rsidP="001860B2" w:rsidRDefault="00026E10" w14:paraId="7ADE659C" w14:textId="77777777">
      <w:pPr>
        <w:jc w:val="center"/>
        <w:rPr>
          <w:b/>
        </w:rPr>
      </w:pPr>
      <w:bookmarkStart w:name="_Toc31272630" w:id="1"/>
      <w:r w:rsidRPr="001860B2">
        <w:rPr>
          <w:b/>
        </w:rPr>
        <w:lastRenderedPageBreak/>
        <w:t>TABLE OF CONTENTS</w:t>
      </w:r>
      <w:bookmarkEnd w:id="0"/>
      <w:bookmarkEnd w:id="1"/>
    </w:p>
    <w:sdt>
      <w:sdtPr>
        <w:id w:val="-898982314"/>
        <w:docPartObj>
          <w:docPartGallery w:val="Table of Contents"/>
          <w:docPartUnique/>
        </w:docPartObj>
      </w:sdtPr>
      <w:sdtEndPr>
        <w:rPr>
          <w:b/>
          <w:bCs/>
          <w:noProof/>
        </w:rPr>
      </w:sdtEndPr>
      <w:sdtContent>
        <w:p w:rsidR="002F1E68" w:rsidRDefault="00310E8C" w14:paraId="79430280" w14:textId="77777777">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5934821">
            <w:r w:rsidRPr="001920FC" w:rsidR="002F1E68">
              <w:rPr>
                <w:rStyle w:val="Hyperlink"/>
                <w:noProof/>
              </w:rPr>
              <w:t>A.</w:t>
            </w:r>
            <w:r w:rsidR="002F1E68">
              <w:rPr>
                <w:rFonts w:asciiTheme="minorHAnsi" w:hAnsiTheme="minorHAnsi" w:eastAsiaTheme="minorEastAsia" w:cstheme="minorBidi"/>
                <w:noProof/>
                <w:sz w:val="22"/>
                <w:szCs w:val="22"/>
              </w:rPr>
              <w:tab/>
            </w:r>
            <w:r w:rsidRPr="001920FC" w:rsidR="002F1E68">
              <w:rPr>
                <w:rStyle w:val="Hyperlink"/>
                <w:noProof/>
              </w:rPr>
              <w:t>Justification</w:t>
            </w:r>
            <w:r w:rsidR="002F1E68">
              <w:rPr>
                <w:noProof/>
                <w:webHidden/>
              </w:rPr>
              <w:tab/>
            </w:r>
            <w:r w:rsidR="002F1E68">
              <w:rPr>
                <w:noProof/>
                <w:webHidden/>
              </w:rPr>
              <w:fldChar w:fldCharType="begin"/>
            </w:r>
            <w:r w:rsidR="002F1E68">
              <w:rPr>
                <w:noProof/>
                <w:webHidden/>
              </w:rPr>
              <w:instrText xml:space="preserve"> PAGEREF _Toc35934821 \h </w:instrText>
            </w:r>
            <w:r w:rsidR="002F1E68">
              <w:rPr>
                <w:noProof/>
                <w:webHidden/>
              </w:rPr>
            </w:r>
            <w:r w:rsidR="002F1E68">
              <w:rPr>
                <w:noProof/>
                <w:webHidden/>
              </w:rPr>
              <w:fldChar w:fldCharType="separate"/>
            </w:r>
            <w:r w:rsidR="002F1E68">
              <w:rPr>
                <w:noProof/>
                <w:webHidden/>
              </w:rPr>
              <w:t>3</w:t>
            </w:r>
            <w:r w:rsidR="002F1E68">
              <w:rPr>
                <w:noProof/>
                <w:webHidden/>
              </w:rPr>
              <w:fldChar w:fldCharType="end"/>
            </w:r>
          </w:hyperlink>
        </w:p>
        <w:p w:rsidR="002F1E68" w:rsidRDefault="00C46C0E" w14:paraId="1AC3E09D" w14:textId="77777777">
          <w:pPr>
            <w:pStyle w:val="TOC2"/>
            <w:rPr>
              <w:rFonts w:asciiTheme="minorHAnsi" w:hAnsiTheme="minorHAnsi" w:eastAsiaTheme="minorEastAsia" w:cstheme="minorBidi"/>
              <w:noProof/>
              <w:sz w:val="22"/>
              <w:szCs w:val="22"/>
            </w:rPr>
          </w:pPr>
          <w:hyperlink w:history="1" w:anchor="_Toc35934822">
            <w:r w:rsidRPr="001920FC" w:rsidR="002F1E68">
              <w:rPr>
                <w:rStyle w:val="Hyperlink"/>
                <w:noProof/>
              </w:rPr>
              <w:t>A1. Circumstances That Make the Collection of Information Necessary</w:t>
            </w:r>
            <w:r w:rsidR="002F1E68">
              <w:rPr>
                <w:noProof/>
                <w:webHidden/>
              </w:rPr>
              <w:tab/>
            </w:r>
            <w:r w:rsidR="002F1E68">
              <w:rPr>
                <w:noProof/>
                <w:webHidden/>
              </w:rPr>
              <w:fldChar w:fldCharType="begin"/>
            </w:r>
            <w:r w:rsidR="002F1E68">
              <w:rPr>
                <w:noProof/>
                <w:webHidden/>
              </w:rPr>
              <w:instrText xml:space="preserve"> PAGEREF _Toc35934822 \h </w:instrText>
            </w:r>
            <w:r w:rsidR="002F1E68">
              <w:rPr>
                <w:noProof/>
                <w:webHidden/>
              </w:rPr>
            </w:r>
            <w:r w:rsidR="002F1E68">
              <w:rPr>
                <w:noProof/>
                <w:webHidden/>
              </w:rPr>
              <w:fldChar w:fldCharType="separate"/>
            </w:r>
            <w:r w:rsidR="002F1E68">
              <w:rPr>
                <w:noProof/>
                <w:webHidden/>
              </w:rPr>
              <w:t>3</w:t>
            </w:r>
            <w:r w:rsidR="002F1E68">
              <w:rPr>
                <w:noProof/>
                <w:webHidden/>
              </w:rPr>
              <w:fldChar w:fldCharType="end"/>
            </w:r>
          </w:hyperlink>
        </w:p>
        <w:p w:rsidR="002F1E68" w:rsidRDefault="00C46C0E" w14:paraId="678CA11A" w14:textId="77777777">
          <w:pPr>
            <w:pStyle w:val="TOC2"/>
            <w:rPr>
              <w:rFonts w:asciiTheme="minorHAnsi" w:hAnsiTheme="minorHAnsi" w:eastAsiaTheme="minorEastAsia" w:cstheme="minorBidi"/>
              <w:noProof/>
              <w:sz w:val="22"/>
              <w:szCs w:val="22"/>
            </w:rPr>
          </w:pPr>
          <w:hyperlink w:history="1" w:anchor="_Toc35934823">
            <w:r w:rsidRPr="001920FC" w:rsidR="002F1E68">
              <w:rPr>
                <w:rStyle w:val="Hyperlink"/>
                <w:noProof/>
              </w:rPr>
              <w:t>A2. Purpose and Use of Information</w:t>
            </w:r>
            <w:r w:rsidR="002F1E68">
              <w:rPr>
                <w:noProof/>
                <w:webHidden/>
              </w:rPr>
              <w:tab/>
            </w:r>
            <w:r w:rsidR="002F1E68">
              <w:rPr>
                <w:noProof/>
                <w:webHidden/>
              </w:rPr>
              <w:fldChar w:fldCharType="begin"/>
            </w:r>
            <w:r w:rsidR="002F1E68">
              <w:rPr>
                <w:noProof/>
                <w:webHidden/>
              </w:rPr>
              <w:instrText xml:space="preserve"> PAGEREF _Toc35934823 \h </w:instrText>
            </w:r>
            <w:r w:rsidR="002F1E68">
              <w:rPr>
                <w:noProof/>
                <w:webHidden/>
              </w:rPr>
            </w:r>
            <w:r w:rsidR="002F1E68">
              <w:rPr>
                <w:noProof/>
                <w:webHidden/>
              </w:rPr>
              <w:fldChar w:fldCharType="separate"/>
            </w:r>
            <w:r w:rsidR="002F1E68">
              <w:rPr>
                <w:noProof/>
                <w:webHidden/>
              </w:rPr>
              <w:t>6</w:t>
            </w:r>
            <w:r w:rsidR="002F1E68">
              <w:rPr>
                <w:noProof/>
                <w:webHidden/>
              </w:rPr>
              <w:fldChar w:fldCharType="end"/>
            </w:r>
          </w:hyperlink>
        </w:p>
        <w:p w:rsidR="002F1E68" w:rsidRDefault="00C46C0E" w14:paraId="190D59E2" w14:textId="77777777">
          <w:pPr>
            <w:pStyle w:val="TOC2"/>
            <w:rPr>
              <w:rFonts w:asciiTheme="minorHAnsi" w:hAnsiTheme="minorHAnsi" w:eastAsiaTheme="minorEastAsia" w:cstheme="minorBidi"/>
              <w:noProof/>
              <w:sz w:val="22"/>
              <w:szCs w:val="22"/>
            </w:rPr>
          </w:pPr>
          <w:hyperlink w:history="1" w:anchor="_Toc35934824">
            <w:r w:rsidRPr="001920FC" w:rsidR="002F1E68">
              <w:rPr>
                <w:rStyle w:val="Hyperlink"/>
                <w:noProof/>
              </w:rPr>
              <w:t>A3. Improved Information Technology to Reduce Burden</w:t>
            </w:r>
            <w:r w:rsidR="002F1E68">
              <w:rPr>
                <w:noProof/>
                <w:webHidden/>
              </w:rPr>
              <w:tab/>
            </w:r>
            <w:r w:rsidR="002F1E68">
              <w:rPr>
                <w:noProof/>
                <w:webHidden/>
              </w:rPr>
              <w:fldChar w:fldCharType="begin"/>
            </w:r>
            <w:r w:rsidR="002F1E68">
              <w:rPr>
                <w:noProof/>
                <w:webHidden/>
              </w:rPr>
              <w:instrText xml:space="preserve"> PAGEREF _Toc35934824 \h </w:instrText>
            </w:r>
            <w:r w:rsidR="002F1E68">
              <w:rPr>
                <w:noProof/>
                <w:webHidden/>
              </w:rPr>
            </w:r>
            <w:r w:rsidR="002F1E68">
              <w:rPr>
                <w:noProof/>
                <w:webHidden/>
              </w:rPr>
              <w:fldChar w:fldCharType="separate"/>
            </w:r>
            <w:r w:rsidR="002F1E68">
              <w:rPr>
                <w:noProof/>
                <w:webHidden/>
              </w:rPr>
              <w:t>8</w:t>
            </w:r>
            <w:r w:rsidR="002F1E68">
              <w:rPr>
                <w:noProof/>
                <w:webHidden/>
              </w:rPr>
              <w:fldChar w:fldCharType="end"/>
            </w:r>
          </w:hyperlink>
        </w:p>
        <w:p w:rsidR="002F1E68" w:rsidRDefault="00C46C0E" w14:paraId="303DFB1C" w14:textId="77777777">
          <w:pPr>
            <w:pStyle w:val="TOC2"/>
            <w:rPr>
              <w:rFonts w:asciiTheme="minorHAnsi" w:hAnsiTheme="minorHAnsi" w:eastAsiaTheme="minorEastAsia" w:cstheme="minorBidi"/>
              <w:noProof/>
              <w:sz w:val="22"/>
              <w:szCs w:val="22"/>
            </w:rPr>
          </w:pPr>
          <w:hyperlink w:history="1" w:anchor="_Toc35934825">
            <w:r w:rsidRPr="001920FC" w:rsidR="002F1E68">
              <w:rPr>
                <w:rStyle w:val="Hyperlink"/>
                <w:noProof/>
              </w:rPr>
              <w:t>A4. Efforts to Identify Duplication</w:t>
            </w:r>
            <w:r w:rsidR="002F1E68">
              <w:rPr>
                <w:noProof/>
                <w:webHidden/>
              </w:rPr>
              <w:tab/>
            </w:r>
            <w:r w:rsidR="002F1E68">
              <w:rPr>
                <w:noProof/>
                <w:webHidden/>
              </w:rPr>
              <w:fldChar w:fldCharType="begin"/>
            </w:r>
            <w:r w:rsidR="002F1E68">
              <w:rPr>
                <w:noProof/>
                <w:webHidden/>
              </w:rPr>
              <w:instrText xml:space="preserve"> PAGEREF _Toc35934825 \h </w:instrText>
            </w:r>
            <w:r w:rsidR="002F1E68">
              <w:rPr>
                <w:noProof/>
                <w:webHidden/>
              </w:rPr>
            </w:r>
            <w:r w:rsidR="002F1E68">
              <w:rPr>
                <w:noProof/>
                <w:webHidden/>
              </w:rPr>
              <w:fldChar w:fldCharType="separate"/>
            </w:r>
            <w:r w:rsidR="002F1E68">
              <w:rPr>
                <w:noProof/>
                <w:webHidden/>
              </w:rPr>
              <w:t>8</w:t>
            </w:r>
            <w:r w:rsidR="002F1E68">
              <w:rPr>
                <w:noProof/>
                <w:webHidden/>
              </w:rPr>
              <w:fldChar w:fldCharType="end"/>
            </w:r>
          </w:hyperlink>
        </w:p>
        <w:p w:rsidR="002F1E68" w:rsidRDefault="00C46C0E" w14:paraId="54D72A00" w14:textId="77777777">
          <w:pPr>
            <w:pStyle w:val="TOC2"/>
            <w:rPr>
              <w:rFonts w:asciiTheme="minorHAnsi" w:hAnsiTheme="minorHAnsi" w:eastAsiaTheme="minorEastAsia" w:cstheme="minorBidi"/>
              <w:noProof/>
              <w:sz w:val="22"/>
              <w:szCs w:val="22"/>
            </w:rPr>
          </w:pPr>
          <w:hyperlink w:history="1" w:anchor="_Toc35934826">
            <w:r w:rsidRPr="001920FC" w:rsidR="002F1E68">
              <w:rPr>
                <w:rStyle w:val="Hyperlink"/>
                <w:noProof/>
              </w:rPr>
              <w:t>A5. Involvement of Small Organizations</w:t>
            </w:r>
            <w:r w:rsidR="002F1E68">
              <w:rPr>
                <w:noProof/>
                <w:webHidden/>
              </w:rPr>
              <w:tab/>
            </w:r>
            <w:r w:rsidR="002F1E68">
              <w:rPr>
                <w:noProof/>
                <w:webHidden/>
              </w:rPr>
              <w:fldChar w:fldCharType="begin"/>
            </w:r>
            <w:r w:rsidR="002F1E68">
              <w:rPr>
                <w:noProof/>
                <w:webHidden/>
              </w:rPr>
              <w:instrText xml:space="preserve"> PAGEREF _Toc35934826 \h </w:instrText>
            </w:r>
            <w:r w:rsidR="002F1E68">
              <w:rPr>
                <w:noProof/>
                <w:webHidden/>
              </w:rPr>
            </w:r>
            <w:r w:rsidR="002F1E68">
              <w:rPr>
                <w:noProof/>
                <w:webHidden/>
              </w:rPr>
              <w:fldChar w:fldCharType="separate"/>
            </w:r>
            <w:r w:rsidR="002F1E68">
              <w:rPr>
                <w:noProof/>
                <w:webHidden/>
              </w:rPr>
              <w:t>8</w:t>
            </w:r>
            <w:r w:rsidR="002F1E68">
              <w:rPr>
                <w:noProof/>
                <w:webHidden/>
              </w:rPr>
              <w:fldChar w:fldCharType="end"/>
            </w:r>
          </w:hyperlink>
        </w:p>
        <w:p w:rsidR="002F1E68" w:rsidRDefault="00C46C0E" w14:paraId="5D73311E" w14:textId="77777777">
          <w:pPr>
            <w:pStyle w:val="TOC2"/>
            <w:rPr>
              <w:rFonts w:asciiTheme="minorHAnsi" w:hAnsiTheme="minorHAnsi" w:eastAsiaTheme="minorEastAsia" w:cstheme="minorBidi"/>
              <w:noProof/>
              <w:sz w:val="22"/>
              <w:szCs w:val="22"/>
            </w:rPr>
          </w:pPr>
          <w:hyperlink w:history="1" w:anchor="_Toc35934827">
            <w:r w:rsidRPr="001920FC" w:rsidR="002F1E68">
              <w:rPr>
                <w:rStyle w:val="Hyperlink"/>
                <w:noProof/>
              </w:rPr>
              <w:t>A6. Consequences of Less Frequent Data Collection</w:t>
            </w:r>
            <w:r w:rsidR="002F1E68">
              <w:rPr>
                <w:noProof/>
                <w:webHidden/>
              </w:rPr>
              <w:tab/>
            </w:r>
            <w:r w:rsidR="002F1E68">
              <w:rPr>
                <w:noProof/>
                <w:webHidden/>
              </w:rPr>
              <w:fldChar w:fldCharType="begin"/>
            </w:r>
            <w:r w:rsidR="002F1E68">
              <w:rPr>
                <w:noProof/>
                <w:webHidden/>
              </w:rPr>
              <w:instrText xml:space="preserve"> PAGEREF _Toc35934827 \h </w:instrText>
            </w:r>
            <w:r w:rsidR="002F1E68">
              <w:rPr>
                <w:noProof/>
                <w:webHidden/>
              </w:rPr>
            </w:r>
            <w:r w:rsidR="002F1E68">
              <w:rPr>
                <w:noProof/>
                <w:webHidden/>
              </w:rPr>
              <w:fldChar w:fldCharType="separate"/>
            </w:r>
            <w:r w:rsidR="002F1E68">
              <w:rPr>
                <w:noProof/>
                <w:webHidden/>
              </w:rPr>
              <w:t>8</w:t>
            </w:r>
            <w:r w:rsidR="002F1E68">
              <w:rPr>
                <w:noProof/>
                <w:webHidden/>
              </w:rPr>
              <w:fldChar w:fldCharType="end"/>
            </w:r>
          </w:hyperlink>
        </w:p>
        <w:p w:rsidR="002F1E68" w:rsidRDefault="00C46C0E" w14:paraId="2730340D" w14:textId="77777777">
          <w:pPr>
            <w:pStyle w:val="TOC2"/>
            <w:rPr>
              <w:rFonts w:asciiTheme="minorHAnsi" w:hAnsiTheme="minorHAnsi" w:eastAsiaTheme="minorEastAsia" w:cstheme="minorBidi"/>
              <w:noProof/>
              <w:sz w:val="22"/>
              <w:szCs w:val="22"/>
            </w:rPr>
          </w:pPr>
          <w:hyperlink w:history="1" w:anchor="_Toc35934828">
            <w:r w:rsidRPr="001920FC" w:rsidR="002F1E68">
              <w:rPr>
                <w:rStyle w:val="Hyperlink"/>
                <w:noProof/>
              </w:rPr>
              <w:t>A7. Special Circumstances</w:t>
            </w:r>
            <w:r w:rsidR="002F1E68">
              <w:rPr>
                <w:noProof/>
                <w:webHidden/>
              </w:rPr>
              <w:tab/>
            </w:r>
            <w:r w:rsidR="002F1E68">
              <w:rPr>
                <w:noProof/>
                <w:webHidden/>
              </w:rPr>
              <w:fldChar w:fldCharType="begin"/>
            </w:r>
            <w:r w:rsidR="002F1E68">
              <w:rPr>
                <w:noProof/>
                <w:webHidden/>
              </w:rPr>
              <w:instrText xml:space="preserve"> PAGEREF _Toc35934828 \h </w:instrText>
            </w:r>
            <w:r w:rsidR="002F1E68">
              <w:rPr>
                <w:noProof/>
                <w:webHidden/>
              </w:rPr>
            </w:r>
            <w:r w:rsidR="002F1E68">
              <w:rPr>
                <w:noProof/>
                <w:webHidden/>
              </w:rPr>
              <w:fldChar w:fldCharType="separate"/>
            </w:r>
            <w:r w:rsidR="002F1E68">
              <w:rPr>
                <w:noProof/>
                <w:webHidden/>
              </w:rPr>
              <w:t>9</w:t>
            </w:r>
            <w:r w:rsidR="002F1E68">
              <w:rPr>
                <w:noProof/>
                <w:webHidden/>
              </w:rPr>
              <w:fldChar w:fldCharType="end"/>
            </w:r>
          </w:hyperlink>
        </w:p>
        <w:p w:rsidR="002F1E68" w:rsidRDefault="00C46C0E" w14:paraId="7F499CA1" w14:textId="77777777">
          <w:pPr>
            <w:pStyle w:val="TOC2"/>
            <w:rPr>
              <w:rFonts w:asciiTheme="minorHAnsi" w:hAnsiTheme="minorHAnsi" w:eastAsiaTheme="minorEastAsia" w:cstheme="minorBidi"/>
              <w:noProof/>
              <w:sz w:val="22"/>
              <w:szCs w:val="22"/>
            </w:rPr>
          </w:pPr>
          <w:hyperlink w:history="1" w:anchor="_Toc35934829">
            <w:r w:rsidRPr="001920FC" w:rsidR="002F1E68">
              <w:rPr>
                <w:rStyle w:val="Hyperlink"/>
                <w:noProof/>
              </w:rPr>
              <w:t>A8. Federal Register Notice and Consultation</w:t>
            </w:r>
            <w:r w:rsidR="002F1E68">
              <w:rPr>
                <w:noProof/>
                <w:webHidden/>
              </w:rPr>
              <w:tab/>
            </w:r>
            <w:r w:rsidR="002F1E68">
              <w:rPr>
                <w:noProof/>
                <w:webHidden/>
              </w:rPr>
              <w:fldChar w:fldCharType="begin"/>
            </w:r>
            <w:r w:rsidR="002F1E68">
              <w:rPr>
                <w:noProof/>
                <w:webHidden/>
              </w:rPr>
              <w:instrText xml:space="preserve"> PAGEREF _Toc35934829 \h </w:instrText>
            </w:r>
            <w:r w:rsidR="002F1E68">
              <w:rPr>
                <w:noProof/>
                <w:webHidden/>
              </w:rPr>
            </w:r>
            <w:r w:rsidR="002F1E68">
              <w:rPr>
                <w:noProof/>
                <w:webHidden/>
              </w:rPr>
              <w:fldChar w:fldCharType="separate"/>
            </w:r>
            <w:r w:rsidR="002F1E68">
              <w:rPr>
                <w:noProof/>
                <w:webHidden/>
              </w:rPr>
              <w:t>9</w:t>
            </w:r>
            <w:r w:rsidR="002F1E68">
              <w:rPr>
                <w:noProof/>
                <w:webHidden/>
              </w:rPr>
              <w:fldChar w:fldCharType="end"/>
            </w:r>
          </w:hyperlink>
        </w:p>
        <w:p w:rsidR="002F1E68" w:rsidRDefault="00C46C0E" w14:paraId="460AB863" w14:textId="77777777">
          <w:pPr>
            <w:pStyle w:val="TOC2"/>
            <w:rPr>
              <w:rFonts w:asciiTheme="minorHAnsi" w:hAnsiTheme="minorHAnsi" w:eastAsiaTheme="minorEastAsia" w:cstheme="minorBidi"/>
              <w:noProof/>
              <w:sz w:val="22"/>
              <w:szCs w:val="22"/>
            </w:rPr>
          </w:pPr>
          <w:hyperlink w:history="1" w:anchor="_Toc35934830">
            <w:r w:rsidRPr="001920FC" w:rsidR="002F1E68">
              <w:rPr>
                <w:rStyle w:val="Hyperlink"/>
                <w:noProof/>
              </w:rPr>
              <w:t>A10. Assurance of Confidentiality</w:t>
            </w:r>
            <w:r w:rsidR="002F1E68">
              <w:rPr>
                <w:noProof/>
                <w:webHidden/>
              </w:rPr>
              <w:tab/>
            </w:r>
            <w:r w:rsidR="002F1E68">
              <w:rPr>
                <w:noProof/>
                <w:webHidden/>
              </w:rPr>
              <w:fldChar w:fldCharType="begin"/>
            </w:r>
            <w:r w:rsidR="002F1E68">
              <w:rPr>
                <w:noProof/>
                <w:webHidden/>
              </w:rPr>
              <w:instrText xml:space="preserve"> PAGEREF _Toc35934830 \h </w:instrText>
            </w:r>
            <w:r w:rsidR="002F1E68">
              <w:rPr>
                <w:noProof/>
                <w:webHidden/>
              </w:rPr>
            </w:r>
            <w:r w:rsidR="002F1E68">
              <w:rPr>
                <w:noProof/>
                <w:webHidden/>
              </w:rPr>
              <w:fldChar w:fldCharType="separate"/>
            </w:r>
            <w:r w:rsidR="002F1E68">
              <w:rPr>
                <w:noProof/>
                <w:webHidden/>
              </w:rPr>
              <w:t>11</w:t>
            </w:r>
            <w:r w:rsidR="002F1E68">
              <w:rPr>
                <w:noProof/>
                <w:webHidden/>
              </w:rPr>
              <w:fldChar w:fldCharType="end"/>
            </w:r>
          </w:hyperlink>
        </w:p>
        <w:p w:rsidR="002F1E68" w:rsidRDefault="00C46C0E" w14:paraId="24507706" w14:textId="77777777">
          <w:pPr>
            <w:pStyle w:val="TOC2"/>
            <w:rPr>
              <w:rFonts w:asciiTheme="minorHAnsi" w:hAnsiTheme="minorHAnsi" w:eastAsiaTheme="minorEastAsia" w:cstheme="minorBidi"/>
              <w:noProof/>
              <w:sz w:val="22"/>
              <w:szCs w:val="22"/>
            </w:rPr>
          </w:pPr>
          <w:hyperlink w:history="1" w:anchor="_Toc35934831">
            <w:r w:rsidRPr="001920FC" w:rsidR="002F1E68">
              <w:rPr>
                <w:rStyle w:val="Hyperlink"/>
                <w:noProof/>
              </w:rPr>
              <w:t>A11. Sensitive Questions</w:t>
            </w:r>
            <w:r w:rsidR="002F1E68">
              <w:rPr>
                <w:noProof/>
                <w:webHidden/>
              </w:rPr>
              <w:tab/>
            </w:r>
            <w:r w:rsidR="002F1E68">
              <w:rPr>
                <w:noProof/>
                <w:webHidden/>
              </w:rPr>
              <w:fldChar w:fldCharType="begin"/>
            </w:r>
            <w:r w:rsidR="002F1E68">
              <w:rPr>
                <w:noProof/>
                <w:webHidden/>
              </w:rPr>
              <w:instrText xml:space="preserve"> PAGEREF _Toc35934831 \h </w:instrText>
            </w:r>
            <w:r w:rsidR="002F1E68">
              <w:rPr>
                <w:noProof/>
                <w:webHidden/>
              </w:rPr>
            </w:r>
            <w:r w:rsidR="002F1E68">
              <w:rPr>
                <w:noProof/>
                <w:webHidden/>
              </w:rPr>
              <w:fldChar w:fldCharType="separate"/>
            </w:r>
            <w:r w:rsidR="002F1E68">
              <w:rPr>
                <w:noProof/>
                <w:webHidden/>
              </w:rPr>
              <w:t>11</w:t>
            </w:r>
            <w:r w:rsidR="002F1E68">
              <w:rPr>
                <w:noProof/>
                <w:webHidden/>
              </w:rPr>
              <w:fldChar w:fldCharType="end"/>
            </w:r>
          </w:hyperlink>
        </w:p>
        <w:p w:rsidR="002F1E68" w:rsidRDefault="00C46C0E" w14:paraId="3DF2D87A" w14:textId="77777777">
          <w:pPr>
            <w:pStyle w:val="TOC2"/>
            <w:rPr>
              <w:rFonts w:asciiTheme="minorHAnsi" w:hAnsiTheme="minorHAnsi" w:eastAsiaTheme="minorEastAsia" w:cstheme="minorBidi"/>
              <w:noProof/>
              <w:sz w:val="22"/>
              <w:szCs w:val="22"/>
            </w:rPr>
          </w:pPr>
          <w:hyperlink w:history="1" w:anchor="_Toc35934832">
            <w:r w:rsidRPr="001920FC" w:rsidR="002F1E68">
              <w:rPr>
                <w:rStyle w:val="Hyperlink"/>
                <w:noProof/>
              </w:rPr>
              <w:t>A12. Estimation of Information Collection Burden</w:t>
            </w:r>
            <w:r w:rsidR="002F1E68">
              <w:rPr>
                <w:noProof/>
                <w:webHidden/>
              </w:rPr>
              <w:tab/>
            </w:r>
            <w:r w:rsidR="002F1E68">
              <w:rPr>
                <w:noProof/>
                <w:webHidden/>
              </w:rPr>
              <w:fldChar w:fldCharType="begin"/>
            </w:r>
            <w:r w:rsidR="002F1E68">
              <w:rPr>
                <w:noProof/>
                <w:webHidden/>
              </w:rPr>
              <w:instrText xml:space="preserve"> PAGEREF _Toc35934832 \h </w:instrText>
            </w:r>
            <w:r w:rsidR="002F1E68">
              <w:rPr>
                <w:noProof/>
                <w:webHidden/>
              </w:rPr>
            </w:r>
            <w:r w:rsidR="002F1E68">
              <w:rPr>
                <w:noProof/>
                <w:webHidden/>
              </w:rPr>
              <w:fldChar w:fldCharType="separate"/>
            </w:r>
            <w:r w:rsidR="002F1E68">
              <w:rPr>
                <w:noProof/>
                <w:webHidden/>
              </w:rPr>
              <w:t>11</w:t>
            </w:r>
            <w:r w:rsidR="002F1E68">
              <w:rPr>
                <w:noProof/>
                <w:webHidden/>
              </w:rPr>
              <w:fldChar w:fldCharType="end"/>
            </w:r>
          </w:hyperlink>
        </w:p>
        <w:p w:rsidR="002F1E68" w:rsidRDefault="00C46C0E" w14:paraId="28679C1C" w14:textId="77777777">
          <w:pPr>
            <w:pStyle w:val="TOC2"/>
            <w:rPr>
              <w:rFonts w:asciiTheme="minorHAnsi" w:hAnsiTheme="minorHAnsi" w:eastAsiaTheme="minorEastAsia" w:cstheme="minorBidi"/>
              <w:noProof/>
              <w:sz w:val="22"/>
              <w:szCs w:val="22"/>
            </w:rPr>
          </w:pPr>
          <w:hyperlink w:history="1" w:anchor="_Toc35934833">
            <w:r w:rsidRPr="001920FC" w:rsidR="002F1E68">
              <w:rPr>
                <w:rStyle w:val="Hyperlink"/>
                <w:noProof/>
              </w:rPr>
              <w:t>A13. Cost Burden to Respondents or Record Keepers</w:t>
            </w:r>
            <w:r w:rsidR="002F1E68">
              <w:rPr>
                <w:noProof/>
                <w:webHidden/>
              </w:rPr>
              <w:tab/>
            </w:r>
            <w:r w:rsidR="002F1E68">
              <w:rPr>
                <w:noProof/>
                <w:webHidden/>
              </w:rPr>
              <w:fldChar w:fldCharType="begin"/>
            </w:r>
            <w:r w:rsidR="002F1E68">
              <w:rPr>
                <w:noProof/>
                <w:webHidden/>
              </w:rPr>
              <w:instrText xml:space="preserve"> PAGEREF _Toc35934833 \h </w:instrText>
            </w:r>
            <w:r w:rsidR="002F1E68">
              <w:rPr>
                <w:noProof/>
                <w:webHidden/>
              </w:rPr>
            </w:r>
            <w:r w:rsidR="002F1E68">
              <w:rPr>
                <w:noProof/>
                <w:webHidden/>
              </w:rPr>
              <w:fldChar w:fldCharType="separate"/>
            </w:r>
            <w:r w:rsidR="002F1E68">
              <w:rPr>
                <w:noProof/>
                <w:webHidden/>
              </w:rPr>
              <w:t>12</w:t>
            </w:r>
            <w:r w:rsidR="002F1E68">
              <w:rPr>
                <w:noProof/>
                <w:webHidden/>
              </w:rPr>
              <w:fldChar w:fldCharType="end"/>
            </w:r>
          </w:hyperlink>
        </w:p>
        <w:p w:rsidR="002F1E68" w:rsidRDefault="00C46C0E" w14:paraId="29DCA535" w14:textId="77777777">
          <w:pPr>
            <w:pStyle w:val="TOC2"/>
            <w:rPr>
              <w:rFonts w:asciiTheme="minorHAnsi" w:hAnsiTheme="minorHAnsi" w:eastAsiaTheme="minorEastAsia" w:cstheme="minorBidi"/>
              <w:noProof/>
              <w:sz w:val="22"/>
              <w:szCs w:val="22"/>
            </w:rPr>
          </w:pPr>
          <w:hyperlink w:history="1" w:anchor="_Toc35934834">
            <w:r w:rsidRPr="001920FC" w:rsidR="002F1E68">
              <w:rPr>
                <w:rStyle w:val="Hyperlink"/>
                <w:noProof/>
              </w:rPr>
              <w:t>A14. Estimate of Cost to the Federal Government</w:t>
            </w:r>
            <w:r w:rsidR="002F1E68">
              <w:rPr>
                <w:noProof/>
                <w:webHidden/>
              </w:rPr>
              <w:tab/>
            </w:r>
            <w:r w:rsidR="002F1E68">
              <w:rPr>
                <w:noProof/>
                <w:webHidden/>
              </w:rPr>
              <w:fldChar w:fldCharType="begin"/>
            </w:r>
            <w:r w:rsidR="002F1E68">
              <w:rPr>
                <w:noProof/>
                <w:webHidden/>
              </w:rPr>
              <w:instrText xml:space="preserve"> PAGEREF _Toc35934834 \h </w:instrText>
            </w:r>
            <w:r w:rsidR="002F1E68">
              <w:rPr>
                <w:noProof/>
                <w:webHidden/>
              </w:rPr>
            </w:r>
            <w:r w:rsidR="002F1E68">
              <w:rPr>
                <w:noProof/>
                <w:webHidden/>
              </w:rPr>
              <w:fldChar w:fldCharType="separate"/>
            </w:r>
            <w:r w:rsidR="002F1E68">
              <w:rPr>
                <w:noProof/>
                <w:webHidden/>
              </w:rPr>
              <w:t>12</w:t>
            </w:r>
            <w:r w:rsidR="002F1E68">
              <w:rPr>
                <w:noProof/>
                <w:webHidden/>
              </w:rPr>
              <w:fldChar w:fldCharType="end"/>
            </w:r>
          </w:hyperlink>
        </w:p>
        <w:p w:rsidR="002F1E68" w:rsidRDefault="00C46C0E" w14:paraId="10BA9D3A" w14:textId="77777777">
          <w:pPr>
            <w:pStyle w:val="TOC2"/>
            <w:rPr>
              <w:rFonts w:asciiTheme="minorHAnsi" w:hAnsiTheme="minorHAnsi" w:eastAsiaTheme="minorEastAsia" w:cstheme="minorBidi"/>
              <w:noProof/>
              <w:sz w:val="22"/>
              <w:szCs w:val="22"/>
            </w:rPr>
          </w:pPr>
          <w:hyperlink w:history="1" w:anchor="_Toc35934835">
            <w:r w:rsidRPr="001920FC" w:rsidR="002F1E68">
              <w:rPr>
                <w:rStyle w:val="Hyperlink"/>
                <w:noProof/>
              </w:rPr>
              <w:t>A15. Change in Burden</w:t>
            </w:r>
            <w:r w:rsidR="002F1E68">
              <w:rPr>
                <w:noProof/>
                <w:webHidden/>
              </w:rPr>
              <w:tab/>
            </w:r>
            <w:r w:rsidR="002F1E68">
              <w:rPr>
                <w:noProof/>
                <w:webHidden/>
              </w:rPr>
              <w:fldChar w:fldCharType="begin"/>
            </w:r>
            <w:r w:rsidR="002F1E68">
              <w:rPr>
                <w:noProof/>
                <w:webHidden/>
              </w:rPr>
              <w:instrText xml:space="preserve"> PAGEREF _Toc35934835 \h </w:instrText>
            </w:r>
            <w:r w:rsidR="002F1E68">
              <w:rPr>
                <w:noProof/>
                <w:webHidden/>
              </w:rPr>
            </w:r>
            <w:r w:rsidR="002F1E68">
              <w:rPr>
                <w:noProof/>
                <w:webHidden/>
              </w:rPr>
              <w:fldChar w:fldCharType="separate"/>
            </w:r>
            <w:r w:rsidR="002F1E68">
              <w:rPr>
                <w:noProof/>
                <w:webHidden/>
              </w:rPr>
              <w:t>12</w:t>
            </w:r>
            <w:r w:rsidR="002F1E68">
              <w:rPr>
                <w:noProof/>
                <w:webHidden/>
              </w:rPr>
              <w:fldChar w:fldCharType="end"/>
            </w:r>
          </w:hyperlink>
        </w:p>
        <w:p w:rsidR="002F1E68" w:rsidRDefault="00C46C0E" w14:paraId="622E6BAC" w14:textId="77777777">
          <w:pPr>
            <w:pStyle w:val="TOC2"/>
            <w:rPr>
              <w:rFonts w:asciiTheme="minorHAnsi" w:hAnsiTheme="minorHAnsi" w:eastAsiaTheme="minorEastAsia" w:cstheme="minorBidi"/>
              <w:noProof/>
              <w:sz w:val="22"/>
              <w:szCs w:val="22"/>
            </w:rPr>
          </w:pPr>
          <w:hyperlink w:history="1" w:anchor="_Toc35934836">
            <w:r w:rsidRPr="001920FC" w:rsidR="002F1E68">
              <w:rPr>
                <w:rStyle w:val="Hyperlink"/>
                <w:noProof/>
              </w:rPr>
              <w:t>A16. Plan and Time Schedule for Information Collection, Tabulation and Publication</w:t>
            </w:r>
            <w:r w:rsidR="002F1E68">
              <w:rPr>
                <w:noProof/>
                <w:webHidden/>
              </w:rPr>
              <w:tab/>
            </w:r>
            <w:r w:rsidR="002F1E68">
              <w:rPr>
                <w:noProof/>
                <w:webHidden/>
              </w:rPr>
              <w:fldChar w:fldCharType="begin"/>
            </w:r>
            <w:r w:rsidR="002F1E68">
              <w:rPr>
                <w:noProof/>
                <w:webHidden/>
              </w:rPr>
              <w:instrText xml:space="preserve"> PAGEREF _Toc35934836 \h </w:instrText>
            </w:r>
            <w:r w:rsidR="002F1E68">
              <w:rPr>
                <w:noProof/>
                <w:webHidden/>
              </w:rPr>
            </w:r>
            <w:r w:rsidR="002F1E68">
              <w:rPr>
                <w:noProof/>
                <w:webHidden/>
              </w:rPr>
              <w:fldChar w:fldCharType="separate"/>
            </w:r>
            <w:r w:rsidR="002F1E68">
              <w:rPr>
                <w:noProof/>
                <w:webHidden/>
              </w:rPr>
              <w:t>12</w:t>
            </w:r>
            <w:r w:rsidR="002F1E68">
              <w:rPr>
                <w:noProof/>
                <w:webHidden/>
              </w:rPr>
              <w:fldChar w:fldCharType="end"/>
            </w:r>
          </w:hyperlink>
          <w:bookmarkStart w:name="_GoBack" w:id="2"/>
          <w:bookmarkEnd w:id="2"/>
        </w:p>
        <w:p w:rsidR="002F1E68" w:rsidRDefault="00C46C0E" w14:paraId="29E588C4" w14:textId="77777777">
          <w:pPr>
            <w:pStyle w:val="TOC2"/>
            <w:rPr>
              <w:rFonts w:asciiTheme="minorHAnsi" w:hAnsiTheme="minorHAnsi" w:eastAsiaTheme="minorEastAsia" w:cstheme="minorBidi"/>
              <w:noProof/>
              <w:sz w:val="22"/>
              <w:szCs w:val="22"/>
            </w:rPr>
          </w:pPr>
          <w:hyperlink w:history="1" w:anchor="_Toc35934837">
            <w:r w:rsidRPr="001920FC" w:rsidR="002F1E68">
              <w:rPr>
                <w:rStyle w:val="Hyperlink"/>
                <w:noProof/>
              </w:rPr>
              <w:t>A17. Reasons Not to Display OMB Expiration Date</w:t>
            </w:r>
            <w:r w:rsidR="002F1E68">
              <w:rPr>
                <w:noProof/>
                <w:webHidden/>
              </w:rPr>
              <w:tab/>
            </w:r>
            <w:r w:rsidR="002F1E68">
              <w:rPr>
                <w:noProof/>
                <w:webHidden/>
              </w:rPr>
              <w:fldChar w:fldCharType="begin"/>
            </w:r>
            <w:r w:rsidR="002F1E68">
              <w:rPr>
                <w:noProof/>
                <w:webHidden/>
              </w:rPr>
              <w:instrText xml:space="preserve"> PAGEREF _Toc35934837 \h </w:instrText>
            </w:r>
            <w:r w:rsidR="002F1E68">
              <w:rPr>
                <w:noProof/>
                <w:webHidden/>
              </w:rPr>
            </w:r>
            <w:r w:rsidR="002F1E68">
              <w:rPr>
                <w:noProof/>
                <w:webHidden/>
              </w:rPr>
              <w:fldChar w:fldCharType="separate"/>
            </w:r>
            <w:r w:rsidR="002F1E68">
              <w:rPr>
                <w:noProof/>
                <w:webHidden/>
              </w:rPr>
              <w:t>13</w:t>
            </w:r>
            <w:r w:rsidR="002F1E68">
              <w:rPr>
                <w:noProof/>
                <w:webHidden/>
              </w:rPr>
              <w:fldChar w:fldCharType="end"/>
            </w:r>
          </w:hyperlink>
        </w:p>
        <w:p w:rsidR="002F1E68" w:rsidRDefault="00C46C0E" w14:paraId="65BC9487" w14:textId="77777777">
          <w:pPr>
            <w:pStyle w:val="TOC2"/>
            <w:rPr>
              <w:rFonts w:asciiTheme="minorHAnsi" w:hAnsiTheme="minorHAnsi" w:eastAsiaTheme="minorEastAsia" w:cstheme="minorBidi"/>
              <w:noProof/>
              <w:sz w:val="22"/>
              <w:szCs w:val="22"/>
            </w:rPr>
          </w:pPr>
          <w:hyperlink w:history="1" w:anchor="_Toc35934838">
            <w:r w:rsidRPr="001920FC" w:rsidR="002F1E68">
              <w:rPr>
                <w:rStyle w:val="Hyperlink"/>
                <w:noProof/>
              </w:rPr>
              <w:t>A18. Exceptions to Certification for Paperwork Reduction Act Submissions</w:t>
            </w:r>
            <w:r w:rsidR="002F1E68">
              <w:rPr>
                <w:noProof/>
                <w:webHidden/>
              </w:rPr>
              <w:tab/>
            </w:r>
            <w:r w:rsidR="002F1E68">
              <w:rPr>
                <w:noProof/>
                <w:webHidden/>
              </w:rPr>
              <w:fldChar w:fldCharType="begin"/>
            </w:r>
            <w:r w:rsidR="002F1E68">
              <w:rPr>
                <w:noProof/>
                <w:webHidden/>
              </w:rPr>
              <w:instrText xml:space="preserve"> PAGEREF _Toc35934838 \h </w:instrText>
            </w:r>
            <w:r w:rsidR="002F1E68">
              <w:rPr>
                <w:noProof/>
                <w:webHidden/>
              </w:rPr>
            </w:r>
            <w:r w:rsidR="002F1E68">
              <w:rPr>
                <w:noProof/>
                <w:webHidden/>
              </w:rPr>
              <w:fldChar w:fldCharType="separate"/>
            </w:r>
            <w:r w:rsidR="002F1E68">
              <w:rPr>
                <w:noProof/>
                <w:webHidden/>
              </w:rPr>
              <w:t>13</w:t>
            </w:r>
            <w:r w:rsidR="002F1E68">
              <w:rPr>
                <w:noProof/>
                <w:webHidden/>
              </w:rPr>
              <w:fldChar w:fldCharType="end"/>
            </w:r>
          </w:hyperlink>
        </w:p>
        <w:p w:rsidR="002F1E68" w:rsidRDefault="00C46C0E" w14:paraId="0E9AEA45" w14:textId="77777777">
          <w:pPr>
            <w:pStyle w:val="TOC2"/>
            <w:rPr>
              <w:rFonts w:asciiTheme="minorHAnsi" w:hAnsiTheme="minorHAnsi" w:eastAsiaTheme="minorEastAsia" w:cstheme="minorBidi"/>
              <w:noProof/>
              <w:sz w:val="22"/>
              <w:szCs w:val="22"/>
            </w:rPr>
          </w:pPr>
          <w:hyperlink w:history="1" w:anchor="_Toc35934839">
            <w:r w:rsidRPr="001920FC" w:rsidR="002F1E68">
              <w:rPr>
                <w:rStyle w:val="Hyperlink"/>
                <w:noProof/>
              </w:rPr>
              <w:t>List of Attachments</w:t>
            </w:r>
            <w:r w:rsidR="002F1E68">
              <w:rPr>
                <w:noProof/>
                <w:webHidden/>
              </w:rPr>
              <w:tab/>
            </w:r>
            <w:r w:rsidR="002F1E68">
              <w:rPr>
                <w:noProof/>
                <w:webHidden/>
              </w:rPr>
              <w:fldChar w:fldCharType="begin"/>
            </w:r>
            <w:r w:rsidR="002F1E68">
              <w:rPr>
                <w:noProof/>
                <w:webHidden/>
              </w:rPr>
              <w:instrText xml:space="preserve"> PAGEREF _Toc35934839 \h </w:instrText>
            </w:r>
            <w:r w:rsidR="002F1E68">
              <w:rPr>
                <w:noProof/>
                <w:webHidden/>
              </w:rPr>
            </w:r>
            <w:r w:rsidR="002F1E68">
              <w:rPr>
                <w:noProof/>
                <w:webHidden/>
              </w:rPr>
              <w:fldChar w:fldCharType="separate"/>
            </w:r>
            <w:r w:rsidR="002F1E68">
              <w:rPr>
                <w:noProof/>
                <w:webHidden/>
              </w:rPr>
              <w:t>13</w:t>
            </w:r>
            <w:r w:rsidR="002F1E68">
              <w:rPr>
                <w:noProof/>
                <w:webHidden/>
              </w:rPr>
              <w:fldChar w:fldCharType="end"/>
            </w:r>
          </w:hyperlink>
        </w:p>
        <w:p w:rsidRPr="00310E8C" w:rsidR="00310E8C" w:rsidP="00310E8C" w:rsidRDefault="00310E8C" w14:paraId="45039337" w14:textId="77777777">
          <w:r>
            <w:rPr>
              <w:b/>
              <w:bCs/>
              <w:noProof/>
            </w:rPr>
            <w:fldChar w:fldCharType="end"/>
          </w:r>
        </w:p>
      </w:sdtContent>
    </w:sdt>
    <w:p w:rsidRPr="008E3032" w:rsidR="00274F15" w:rsidP="00345F19" w:rsidRDefault="00DE03A7" w14:paraId="7444FEEA" w14:textId="28B3BF3C">
      <w:pPr>
        <w:spacing w:before="240"/>
        <w:jc w:val="center"/>
      </w:pPr>
      <w:r w:rsidRPr="00D925C1">
        <w:rPr>
          <w:rStyle w:val="Emphasis"/>
          <w:i w:val="0"/>
          <w:iCs w:val="0"/>
        </w:rPr>
        <w:br/>
      </w:r>
      <w:bookmarkStart w:name="_Toc418077522" w:id="3"/>
      <w:r w:rsidR="008E3032">
        <w:rPr>
          <w:b/>
        </w:rPr>
        <w:br/>
      </w:r>
      <w:r w:rsidR="00274F15">
        <w:rPr>
          <w:b/>
        </w:rPr>
        <w:br/>
      </w:r>
      <w:r w:rsidR="00274F15">
        <w:rPr>
          <w:b/>
        </w:rPr>
        <w:br/>
      </w:r>
    </w:p>
    <w:p w:rsidR="00EB1CDE" w:rsidP="00345F19" w:rsidRDefault="00DE3C87" w14:paraId="1CCC1EFA" w14:textId="251ADA82">
      <w:r>
        <w:rPr>
          <w:caps/>
        </w:rPr>
        <w:br w:type="page"/>
      </w:r>
      <w:bookmarkEnd w:id="3"/>
    </w:p>
    <w:p w:rsidR="00026E10" w:rsidP="00310E8C" w:rsidRDefault="00026E10" w14:paraId="634B7DBF" w14:textId="77777777">
      <w:pPr>
        <w:pStyle w:val="Heading1"/>
      </w:pPr>
      <w:bookmarkStart w:name="_Toc418077307" w:id="4"/>
      <w:bookmarkStart w:name="_Toc31274457" w:id="5"/>
      <w:bookmarkStart w:name="_Toc35934821" w:id="6"/>
      <w:r w:rsidRPr="00310E8C">
        <w:lastRenderedPageBreak/>
        <w:t>A.</w:t>
      </w:r>
      <w:r w:rsidRPr="00310E8C">
        <w:tab/>
        <w:t>Justification</w:t>
      </w:r>
      <w:bookmarkEnd w:id="4"/>
      <w:bookmarkEnd w:id="5"/>
      <w:bookmarkEnd w:id="6"/>
    </w:p>
    <w:p w:rsidRPr="00AB1A72" w:rsidR="00AB1A72" w:rsidP="00AB1A72" w:rsidRDefault="00AB1A72" w14:paraId="34383ED6" w14:textId="77777777"/>
    <w:p w:rsidR="00DD107D" w:rsidP="00AB1A72" w:rsidRDefault="00DD107D" w14:paraId="622403DE" w14:textId="16735275">
      <w:pPr>
        <w:pStyle w:val="Heading2"/>
        <w:spacing w:before="0" w:after="0"/>
      </w:pPr>
      <w:bookmarkStart w:name="_Toc31274458" w:id="7"/>
      <w:bookmarkStart w:name="_Toc35934822" w:id="8"/>
      <w:r w:rsidRPr="000D53DF">
        <w:t xml:space="preserve">A1. </w:t>
      </w:r>
      <w:r w:rsidR="00B72098">
        <w:t>Circumstances That Make the Collection of Information N</w:t>
      </w:r>
      <w:r w:rsidR="004729D3">
        <w:t>ecessary</w:t>
      </w:r>
      <w:bookmarkEnd w:id="7"/>
      <w:bookmarkEnd w:id="8"/>
    </w:p>
    <w:p w:rsidRPr="004729D3" w:rsidR="004729D3" w:rsidP="000902A7" w:rsidRDefault="004729D3" w14:paraId="530B1D7F" w14:textId="77777777"/>
    <w:p w:rsidR="00B725F5" w:rsidP="000902A7" w:rsidRDefault="00B725F5" w14:paraId="74E0B2CF" w14:textId="3E918A1B">
      <w:pPr>
        <w:pStyle w:val="BodyText"/>
        <w:spacing w:after="0" w:line="240" w:lineRule="auto"/>
        <w:rPr>
          <w:sz w:val="24"/>
          <w:szCs w:val="24"/>
        </w:rPr>
      </w:pPr>
      <w:r w:rsidRPr="00B725F5">
        <w:rPr>
          <w:sz w:val="24"/>
          <w:szCs w:val="24"/>
        </w:rPr>
        <w:t>The mission of the Agency for Healthcare Research and Quality (AHRQ) set out in its authorizing legislation, The Healthcare Research and Quality Act of 1999</w:t>
      </w:r>
      <w:r w:rsidR="007A3B3E">
        <w:rPr>
          <w:sz w:val="24"/>
          <w:szCs w:val="24"/>
        </w:rPr>
        <w:t xml:space="preserve"> </w:t>
      </w:r>
      <w:r w:rsidR="007A3B3E">
        <w:t xml:space="preserve">(see </w:t>
      </w:r>
      <w:hyperlink w:history="1" r:id="rId13">
        <w:r w:rsidRPr="002F068C" w:rsidR="007A3B3E">
          <w:rPr>
            <w:rStyle w:val="Hyperlink"/>
          </w:rPr>
          <w:t>http://www.ahrq.gov/hrqa99.pdf</w:t>
        </w:r>
      </w:hyperlink>
      <w:r w:rsidR="007A3B3E">
        <w:t>)</w:t>
      </w:r>
      <w:r w:rsidRPr="00B725F5">
        <w:rPr>
          <w:sz w:val="24"/>
          <w:szCs w:val="24"/>
        </w:rP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Pr>
          <w:sz w:val="24"/>
          <w:szCs w:val="24"/>
        </w:rPr>
        <w:t xml:space="preserve"> AHRQ shall promote health care quality</w:t>
      </w:r>
      <w:r w:rsidRPr="00B725F5">
        <w:rPr>
          <w:sz w:val="24"/>
          <w:szCs w:val="24"/>
        </w:rPr>
        <w:t xml:space="preserve"> </w:t>
      </w:r>
      <w:r>
        <w:rPr>
          <w:sz w:val="24"/>
          <w:szCs w:val="24"/>
        </w:rPr>
        <w:t>improvement by conducting and supporting:</w:t>
      </w:r>
    </w:p>
    <w:p w:rsidR="003F4851" w:rsidP="000902A7" w:rsidRDefault="003F4851" w14:paraId="621855A3" w14:textId="77777777">
      <w:pPr>
        <w:pStyle w:val="BodyText"/>
        <w:spacing w:after="0" w:line="240" w:lineRule="auto"/>
        <w:rPr>
          <w:sz w:val="24"/>
          <w:szCs w:val="24"/>
        </w:rPr>
      </w:pPr>
    </w:p>
    <w:p w:rsidR="00B725F5" w:rsidP="000902A7" w:rsidRDefault="00B725F5" w14:paraId="07ED50E5" w14:textId="402BA9D7">
      <w:pPr>
        <w:pStyle w:val="BodyText"/>
        <w:numPr>
          <w:ilvl w:val="0"/>
          <w:numId w:val="74"/>
        </w:numPr>
        <w:spacing w:after="0" w:line="240" w:lineRule="auto"/>
        <w:rPr>
          <w:sz w:val="24"/>
          <w:szCs w:val="24"/>
        </w:rPr>
      </w:pPr>
      <w:r>
        <w:rPr>
          <w:sz w:val="24"/>
          <w:szCs w:val="24"/>
        </w:rPr>
        <w:t xml:space="preserve">Research that develops and presents scientific evidence regarding all aspects of health care; </w:t>
      </w:r>
    </w:p>
    <w:p w:rsidR="00B725F5" w:rsidP="000902A7" w:rsidRDefault="00B725F5" w14:paraId="38FA9E4B" w14:textId="6B58EBBF">
      <w:pPr>
        <w:pStyle w:val="BodyText"/>
        <w:numPr>
          <w:ilvl w:val="0"/>
          <w:numId w:val="74"/>
        </w:numPr>
        <w:spacing w:after="0" w:line="240" w:lineRule="auto"/>
        <w:rPr>
          <w:sz w:val="24"/>
          <w:szCs w:val="24"/>
        </w:rPr>
      </w:pPr>
      <w:r>
        <w:rPr>
          <w:sz w:val="24"/>
          <w:szCs w:val="24"/>
        </w:rPr>
        <w:t>The synthesis and dissemination of available scientific evidence for use by patients, consumers, practitioners, providers, purchasers, policy makers, and educators; and</w:t>
      </w:r>
    </w:p>
    <w:p w:rsidR="00B725F5" w:rsidP="000902A7" w:rsidRDefault="00B725F5" w14:paraId="523F8EDF" w14:textId="65D90A77">
      <w:pPr>
        <w:pStyle w:val="BodyText"/>
        <w:numPr>
          <w:ilvl w:val="0"/>
          <w:numId w:val="74"/>
        </w:numPr>
        <w:spacing w:after="0" w:line="240" w:lineRule="auto"/>
        <w:rPr>
          <w:sz w:val="24"/>
          <w:szCs w:val="24"/>
        </w:rPr>
      </w:pPr>
      <w:r>
        <w:rPr>
          <w:sz w:val="24"/>
          <w:szCs w:val="24"/>
        </w:rPr>
        <w:t>Initiatives to advance private and public efforts to improve health care quality.</w:t>
      </w:r>
    </w:p>
    <w:p w:rsidR="003F4851" w:rsidP="000902A7" w:rsidRDefault="003F4851" w14:paraId="27B7C20C" w14:textId="77777777">
      <w:pPr>
        <w:pStyle w:val="BodyText"/>
        <w:spacing w:after="0" w:line="240" w:lineRule="auto"/>
        <w:rPr>
          <w:b/>
          <w:sz w:val="24"/>
          <w:szCs w:val="24"/>
        </w:rPr>
      </w:pPr>
    </w:p>
    <w:p w:rsidR="00B725F5" w:rsidP="000902A7" w:rsidRDefault="00B725F5" w14:paraId="4D58E1BE" w14:textId="310D6244">
      <w:pPr>
        <w:pStyle w:val="BodyText"/>
        <w:spacing w:after="0" w:line="240" w:lineRule="auto"/>
        <w:rPr>
          <w:sz w:val="24"/>
          <w:szCs w:val="24"/>
          <w:u w:val="single"/>
        </w:rPr>
      </w:pPr>
      <w:r w:rsidRPr="00B725F5">
        <w:rPr>
          <w:b/>
          <w:sz w:val="24"/>
          <w:szCs w:val="24"/>
        </w:rPr>
        <w:t>Ba</w:t>
      </w:r>
      <w:r>
        <w:rPr>
          <w:b/>
          <w:sz w:val="24"/>
          <w:szCs w:val="24"/>
        </w:rPr>
        <w:t>ckground for this Collection</w:t>
      </w:r>
    </w:p>
    <w:p w:rsidR="003F4851" w:rsidP="000902A7" w:rsidRDefault="003F4851" w14:paraId="4F9C04ED" w14:textId="77777777">
      <w:pPr>
        <w:pStyle w:val="BodyText"/>
        <w:spacing w:after="0" w:line="240" w:lineRule="auto"/>
        <w:rPr>
          <w:sz w:val="24"/>
          <w:szCs w:val="24"/>
        </w:rPr>
      </w:pPr>
    </w:p>
    <w:p w:rsidR="00244BB9" w:rsidP="000902A7" w:rsidRDefault="00E8636F" w14:paraId="23FF12BB" w14:textId="5BCB5496">
      <w:pPr>
        <w:pStyle w:val="BodyText"/>
        <w:spacing w:after="0" w:line="240" w:lineRule="auto"/>
        <w:rPr>
          <w:sz w:val="24"/>
          <w:szCs w:val="24"/>
        </w:rPr>
      </w:pPr>
      <w:r w:rsidRPr="003F18CA">
        <w:rPr>
          <w:sz w:val="24"/>
          <w:szCs w:val="24"/>
        </w:rPr>
        <w:t xml:space="preserve">In 2010, Congress established the Patient-Centered Outcomes Research Trust Fund and authorized AHRQ to disperse funds to disseminate and implement findings from </w:t>
      </w:r>
      <w:r w:rsidR="00D9330E">
        <w:rPr>
          <w:sz w:val="24"/>
          <w:szCs w:val="24"/>
        </w:rPr>
        <w:t>the outcome</w:t>
      </w:r>
      <w:r w:rsidR="00045A39">
        <w:rPr>
          <w:sz w:val="24"/>
          <w:szCs w:val="24"/>
        </w:rPr>
        <w:t>s</w:t>
      </w:r>
      <w:r w:rsidR="00D9330E">
        <w:rPr>
          <w:sz w:val="24"/>
          <w:szCs w:val="24"/>
        </w:rPr>
        <w:t xml:space="preserve"> research </w:t>
      </w:r>
      <w:r w:rsidRPr="003F18CA">
        <w:rPr>
          <w:sz w:val="24"/>
          <w:szCs w:val="24"/>
        </w:rPr>
        <w:t xml:space="preserve">into day-to-day practice settings. </w:t>
      </w:r>
      <w:r w:rsidRPr="003F18CA" w:rsidR="00FA012B">
        <w:rPr>
          <w:sz w:val="24"/>
          <w:szCs w:val="24"/>
        </w:rPr>
        <w:t xml:space="preserve">AHRQ’s </w:t>
      </w:r>
      <w:r w:rsidR="00F377F8">
        <w:rPr>
          <w:sz w:val="24"/>
          <w:szCs w:val="24"/>
        </w:rPr>
        <w:t>patient-centered outcomes research</w:t>
      </w:r>
      <w:r w:rsidRPr="003F18CA" w:rsidR="00FA012B">
        <w:rPr>
          <w:sz w:val="24"/>
          <w:szCs w:val="24"/>
        </w:rPr>
        <w:t xml:space="preserve"> initiative identifies research findings that could significantly improve patient outcomes through broader implementation in clinical practice. Under this initiative, </w:t>
      </w:r>
      <w:r w:rsidRPr="003F18CA">
        <w:rPr>
          <w:sz w:val="24"/>
          <w:szCs w:val="24"/>
        </w:rPr>
        <w:t xml:space="preserve">in 2019 AHRQ launched </w:t>
      </w:r>
      <w:r w:rsidRPr="003F18CA" w:rsidR="00F24C1D">
        <w:rPr>
          <w:sz w:val="24"/>
          <w:szCs w:val="24"/>
        </w:rPr>
        <w:t>a new initiative,</w:t>
      </w:r>
      <w:r w:rsidRPr="003F18CA">
        <w:rPr>
          <w:sz w:val="24"/>
          <w:szCs w:val="24"/>
        </w:rPr>
        <w:t xml:space="preserve"> </w:t>
      </w:r>
      <w:r w:rsidR="00126D1A">
        <w:rPr>
          <w:i/>
          <w:szCs w:val="22"/>
        </w:rPr>
        <w:t>Addressing</w:t>
      </w:r>
      <w:r w:rsidRPr="00D84225" w:rsidR="00126D1A">
        <w:rPr>
          <w:i/>
          <w:szCs w:val="22"/>
        </w:rPr>
        <w:t xml:space="preserve"> </w:t>
      </w:r>
      <w:r w:rsidRPr="00D84225">
        <w:rPr>
          <w:i/>
          <w:szCs w:val="22"/>
        </w:rPr>
        <w:t>Unhealthy Alcohol Use</w:t>
      </w:r>
      <w:r w:rsidRPr="00D84225" w:rsidR="00C84F61">
        <w:rPr>
          <w:i/>
          <w:szCs w:val="22"/>
        </w:rPr>
        <w:t xml:space="preserve"> </w:t>
      </w:r>
      <w:r w:rsidRPr="00D84225">
        <w:rPr>
          <w:i/>
          <w:szCs w:val="22"/>
        </w:rPr>
        <w:t>in Primary Care</w:t>
      </w:r>
      <w:r w:rsidRPr="00E74A44" w:rsidR="00F24C1D">
        <w:rPr>
          <w:szCs w:val="22"/>
        </w:rPr>
        <w:t>,</w:t>
      </w:r>
      <w:r w:rsidRPr="003F18CA">
        <w:rPr>
          <w:sz w:val="24"/>
          <w:szCs w:val="24"/>
        </w:rPr>
        <w:t xml:space="preserve"> in order to promote the uptake of evidence-based practices </w:t>
      </w:r>
      <w:r w:rsidR="00345F19">
        <w:rPr>
          <w:sz w:val="24"/>
          <w:szCs w:val="24"/>
        </w:rPr>
        <w:t xml:space="preserve">for </w:t>
      </w:r>
      <w:r w:rsidRPr="003F18CA" w:rsidR="005200CE">
        <w:rPr>
          <w:sz w:val="24"/>
          <w:szCs w:val="24"/>
        </w:rPr>
        <w:t>unhealthy alcohol use</w:t>
      </w:r>
      <w:r w:rsidRPr="003F18CA">
        <w:rPr>
          <w:sz w:val="24"/>
          <w:szCs w:val="24"/>
        </w:rPr>
        <w:t>.</w:t>
      </w:r>
      <w:r w:rsidRPr="003F18CA" w:rsidR="00C84F61">
        <w:rPr>
          <w:sz w:val="24"/>
          <w:szCs w:val="24"/>
        </w:rPr>
        <w:t xml:space="preserve"> </w:t>
      </w:r>
      <w:r w:rsidRPr="003F18CA" w:rsidR="00994850">
        <w:rPr>
          <w:sz w:val="24"/>
          <w:szCs w:val="24"/>
        </w:rPr>
        <w:t>As part of this initiative, AHRQ selected</w:t>
      </w:r>
      <w:r w:rsidRPr="003F18CA" w:rsidR="00C84F61">
        <w:rPr>
          <w:sz w:val="24"/>
          <w:szCs w:val="24"/>
        </w:rPr>
        <w:t xml:space="preserve"> six grantees to </w:t>
      </w:r>
      <w:r w:rsidRPr="003F18CA" w:rsidR="00FA012B">
        <w:rPr>
          <w:sz w:val="24"/>
          <w:szCs w:val="24"/>
        </w:rPr>
        <w:t>collectively work with more than 700 primary care practices over three years to implement and evaluate strategies to increase the use of evidence-based interventions such as screening for unhealthy alcohol use, brief interventions for adult patients who drink too much, and medication-assisted therapy for patients with an alcohol use disorder.</w:t>
      </w:r>
      <w:r w:rsidRPr="003F18CA">
        <w:rPr>
          <w:sz w:val="24"/>
          <w:szCs w:val="24"/>
        </w:rPr>
        <w:t xml:space="preserve"> </w:t>
      </w:r>
      <w:r w:rsidRPr="003F18CA" w:rsidR="00994850">
        <w:rPr>
          <w:sz w:val="24"/>
          <w:szCs w:val="24"/>
        </w:rPr>
        <w:t xml:space="preserve"> </w:t>
      </w:r>
      <w:r w:rsidR="001608A6">
        <w:rPr>
          <w:sz w:val="24"/>
          <w:szCs w:val="24"/>
        </w:rPr>
        <w:t>A key component of this initiative is to conduct a multisite, mixed methods</w:t>
      </w:r>
      <w:r w:rsidR="00284F9B">
        <w:rPr>
          <w:sz w:val="24"/>
          <w:szCs w:val="24"/>
        </w:rPr>
        <w:t xml:space="preserve"> formative, summative, and</w:t>
      </w:r>
      <w:r w:rsidR="001608A6">
        <w:rPr>
          <w:sz w:val="24"/>
          <w:szCs w:val="24"/>
        </w:rPr>
        <w:t xml:space="preserve"> </w:t>
      </w:r>
      <w:r w:rsidR="00F377F8">
        <w:rPr>
          <w:sz w:val="24"/>
          <w:szCs w:val="24"/>
        </w:rPr>
        <w:t>impact</w:t>
      </w:r>
      <w:r w:rsidR="001608A6">
        <w:rPr>
          <w:sz w:val="24"/>
          <w:szCs w:val="24"/>
        </w:rPr>
        <w:t xml:space="preserve"> evaluation. </w:t>
      </w:r>
    </w:p>
    <w:p w:rsidR="00787171" w:rsidP="000902A7" w:rsidRDefault="00787171" w14:paraId="46307D11" w14:textId="77777777">
      <w:pPr>
        <w:pStyle w:val="BodyText"/>
        <w:spacing w:after="0" w:line="240" w:lineRule="auto"/>
      </w:pPr>
    </w:p>
    <w:p w:rsidRPr="003F18CA" w:rsidR="005A7C49" w:rsidP="000902A7" w:rsidRDefault="005A7C49" w14:paraId="606C1948" w14:textId="75F08FA8">
      <w:r w:rsidRPr="003F18CA">
        <w:t>Unhealthy alcohol use, defined as behaviors ranging from risky drinking to alcohol use disorders, is estimated to be the third leading cause of preventable death in the United States.</w:t>
      </w:r>
      <w:r w:rsidRPr="003F18CA">
        <w:rPr>
          <w:rStyle w:val="FootnoteReference"/>
        </w:rPr>
        <w:footnoteReference w:id="2"/>
      </w:r>
      <w:r w:rsidRPr="003F18CA">
        <w:t xml:space="preserve"> Between 2006 and 2010, nearly one in ten deaths were </w:t>
      </w:r>
      <w:r w:rsidR="00655A1F">
        <w:t>alcohol-related</w:t>
      </w:r>
      <w:r w:rsidRPr="003F18CA">
        <w:t>.</w:t>
      </w:r>
      <w:r w:rsidRPr="003F18CA">
        <w:rPr>
          <w:rStyle w:val="FootnoteReference"/>
        </w:rPr>
        <w:footnoteReference w:id="3"/>
      </w:r>
      <w:r w:rsidRPr="003F18CA">
        <w:t xml:space="preserve"> </w:t>
      </w:r>
      <w:r w:rsidR="00655A1F">
        <w:t xml:space="preserve">In addition to early mortality, </w:t>
      </w:r>
      <w:r w:rsidR="00D9330E">
        <w:t>unhealthy alcohol use</w:t>
      </w:r>
      <w:r w:rsidRPr="003F18CA" w:rsidR="00D9330E">
        <w:t xml:space="preserve"> </w:t>
      </w:r>
      <w:r w:rsidRPr="003F18CA">
        <w:t>is associated with a host of adverse outcomes</w:t>
      </w:r>
      <w:r w:rsidR="00345F19">
        <w:t>,</w:t>
      </w:r>
      <w:r w:rsidRPr="003F18CA">
        <w:t xml:space="preserve"> including unintentional injuries and the development or exacerbation of a range of physical and behavioral </w:t>
      </w:r>
      <w:r w:rsidRPr="003F18CA">
        <w:lastRenderedPageBreak/>
        <w:t>health conditions.</w:t>
      </w:r>
      <w:r w:rsidRPr="003F18CA">
        <w:rPr>
          <w:rStyle w:val="FootnoteReference"/>
        </w:rPr>
        <w:footnoteReference w:id="4"/>
      </w:r>
      <w:r w:rsidRPr="003F18CA">
        <w:t xml:space="preserve"> </w:t>
      </w:r>
      <w:r w:rsidR="00345F19">
        <w:t xml:space="preserve">The Centers for Disease Control and Prevention </w:t>
      </w:r>
      <w:r w:rsidRPr="003F18CA">
        <w:t>estimates suggest that excessive alcohol consumption costs the United States $249 billion annually.</w:t>
      </w:r>
      <w:r w:rsidRPr="003F18CA">
        <w:rPr>
          <w:rStyle w:val="FootnoteReference"/>
        </w:rPr>
        <w:footnoteReference w:id="5"/>
      </w:r>
    </w:p>
    <w:p w:rsidRPr="003F18CA" w:rsidR="005A7C49" w:rsidP="000902A7" w:rsidRDefault="005A7C49" w14:paraId="2E12D937" w14:textId="77777777"/>
    <w:p w:rsidRPr="003F18CA" w:rsidR="005A7C49" w:rsidP="000902A7" w:rsidRDefault="005A7C49" w14:paraId="2423E8B3" w14:textId="1FD80F9E">
      <w:r w:rsidRPr="003F18CA">
        <w:t xml:space="preserve">Despite increasing awareness of harmful consequences, </w:t>
      </w:r>
      <w:r w:rsidR="00D9330E">
        <w:t>unhealthy alcohol use</w:t>
      </w:r>
      <w:r w:rsidRPr="003F18CA">
        <w:t xml:space="preserve"> remains relatively common. In 2018, approximately 24.5 percent of individuals 12 years and older reported current binge drinking (≥5 drinks for men, or ≥4 drinks for women, on the same occasion on ≥1 days in the previous month), and 6.1 percent reported current heavy alcohol use (≥5 drinks for men, or ≥4 drinks for women, on the same occasion on ≥5 or more days in the previous month).</w:t>
      </w:r>
      <w:r w:rsidRPr="003F18CA">
        <w:rPr>
          <w:rStyle w:val="FootnoteReference"/>
        </w:rPr>
        <w:footnoteReference w:id="6"/>
      </w:r>
      <w:r w:rsidRPr="003F18CA">
        <w:t xml:space="preserve"> Yet, health professionals often miss opportunities to discuss these issues because they are not aware of patients’ alcohol use. Only one in six adults reports talking with a doctor or nurse about their drinking.</w:t>
      </w:r>
      <w:r w:rsidRPr="003F18CA">
        <w:rPr>
          <w:rStyle w:val="FootnoteReference"/>
        </w:rPr>
        <w:footnoteReference w:id="7"/>
      </w:r>
      <w:r w:rsidRPr="003F18CA">
        <w:t xml:space="preserve"> Even among those whose alcohol use meets diagnostic criteria for an </w:t>
      </w:r>
      <w:r w:rsidR="00D9330E">
        <w:t>alcohol use disorder</w:t>
      </w:r>
      <w:r w:rsidRPr="003F18CA">
        <w:t xml:space="preserve">, treatment remains uncommon. Of the 14.1 million adults (aged 18 and older) with an </w:t>
      </w:r>
      <w:r w:rsidR="00D9330E">
        <w:t>alcohol use disorder</w:t>
      </w:r>
      <w:r w:rsidRPr="003F18CA">
        <w:t xml:space="preserve"> in 2017,</w:t>
      </w:r>
      <w:r w:rsidRPr="003F18CA">
        <w:rPr>
          <w:rStyle w:val="FootnoteReference"/>
        </w:rPr>
        <w:footnoteReference w:id="8"/>
      </w:r>
      <w:r w:rsidRPr="003F18CA">
        <w:t xml:space="preserve"> only 6.5 percent received any form of treatment.</w:t>
      </w:r>
      <w:r w:rsidRPr="003F18CA">
        <w:rPr>
          <w:rStyle w:val="FootnoteReference"/>
        </w:rPr>
        <w:footnoteReference w:id="9"/>
      </w:r>
      <w:r w:rsidRPr="003F18CA">
        <w:t xml:space="preserve">  </w:t>
      </w:r>
    </w:p>
    <w:p w:rsidRPr="003F18CA" w:rsidR="005A7C49" w:rsidP="000902A7" w:rsidRDefault="005A7C49" w14:paraId="10A2ED14" w14:textId="77777777"/>
    <w:p w:rsidRPr="003F18CA" w:rsidR="005A7C49" w:rsidP="000902A7" w:rsidRDefault="005A7C49" w14:paraId="556DC7C5" w14:textId="20B6CCD4">
      <w:r w:rsidRPr="003F18CA">
        <w:t>In 2018 the United States Preventive Services Task Force</w:t>
      </w:r>
      <w:r w:rsidR="00BD20C7">
        <w:t xml:space="preserve"> </w:t>
      </w:r>
      <w:r w:rsidRPr="003F18CA">
        <w:t xml:space="preserve">updated its 2013 recommendation on screening and behavioral counseling interventions to address </w:t>
      </w:r>
      <w:r w:rsidR="00D9330E">
        <w:t>unhealthy alcohol use</w:t>
      </w:r>
      <w:r w:rsidRPr="003F18CA">
        <w:t xml:space="preserve"> in adolescents and adults. The </w:t>
      </w:r>
      <w:r w:rsidR="00655A1F">
        <w:t>Task Force</w:t>
      </w:r>
      <w:r w:rsidRPr="003F18CA">
        <w:t xml:space="preserve"> recommends “screening for unhealthy alcohol use in primary care settings in adults 18 years or older” and recommends “providing persons engaged in risky or hazardous drinking with brief behavioral counseling interventions to reduce unhealthy alcohol use.”</w:t>
      </w:r>
      <w:r w:rsidR="00D03D2C">
        <w:rPr>
          <w:rStyle w:val="FootnoteReference"/>
        </w:rPr>
        <w:footnoteReference w:id="10"/>
      </w:r>
      <w:r w:rsidRPr="003F18CA">
        <w:t xml:space="preserve"> The </w:t>
      </w:r>
      <w:r w:rsidR="00BD20C7">
        <w:t>Task Force</w:t>
      </w:r>
      <w:r w:rsidRPr="003F18CA">
        <w:t xml:space="preserve"> found that brief screening instruments for </w:t>
      </w:r>
      <w:r w:rsidR="00D9330E">
        <w:t>unhealthy alcohol use</w:t>
      </w:r>
      <w:r w:rsidRPr="003F18CA">
        <w:t xml:space="preserve"> used for adult populations commonly resulted in high sensitivity and specificity (between 0.70 and 0.85), and that across all populations studied, brief counseling interventions were associated with positive changes in behavior (i.e., a decrease in drinks per week, a lower proportion of patients exceeding recommended drinking limits, and a lower proportion of patients reporting a heavy use episode).</w:t>
      </w:r>
      <w:r w:rsidRPr="003F18CA">
        <w:rPr>
          <w:rStyle w:val="FootnoteReference"/>
        </w:rPr>
        <w:footnoteReference w:id="11"/>
      </w:r>
      <w:r w:rsidRPr="003F18CA">
        <w:t xml:space="preserve"> The Task Force</w:t>
      </w:r>
      <w:r w:rsidRPr="003F18CA" w:rsidDel="00D31471">
        <w:t xml:space="preserve"> </w:t>
      </w:r>
      <w:r w:rsidRPr="003F18CA">
        <w:t xml:space="preserve">found no evidence of harmful effects for screening or </w:t>
      </w:r>
      <w:r w:rsidRPr="003F18CA">
        <w:lastRenderedPageBreak/>
        <w:t xml:space="preserve">interventions. In its 2019 annual report to Congress, the Task Force highlighted the critical importance of screening and brief intervention for </w:t>
      </w:r>
      <w:r w:rsidR="00D9330E">
        <w:t>unhealthy alcohol use</w:t>
      </w:r>
      <w:r w:rsidRPr="003F18CA">
        <w:t xml:space="preserve"> and recommended a greater emphasis on research to improve the delivery of </w:t>
      </w:r>
      <w:r w:rsidR="00936680">
        <w:t>these services</w:t>
      </w:r>
      <w:r w:rsidR="002F1E68">
        <w:t xml:space="preserve"> </w:t>
      </w:r>
      <w:r w:rsidRPr="003F18CA">
        <w:t>for adults.</w:t>
      </w:r>
      <w:r w:rsidRPr="003F18CA">
        <w:rPr>
          <w:rStyle w:val="FootnoteReference"/>
        </w:rPr>
        <w:footnoteReference w:id="12"/>
      </w:r>
      <w:r w:rsidRPr="003F18CA">
        <w:t xml:space="preserve"> </w:t>
      </w:r>
    </w:p>
    <w:p w:rsidRPr="003F18CA" w:rsidR="005A7C49" w:rsidP="000902A7" w:rsidRDefault="005A7C49" w14:paraId="6F95B08C" w14:textId="77777777"/>
    <w:p w:rsidR="005A7C49" w:rsidP="000902A7" w:rsidRDefault="005A7C49" w14:paraId="5CA2DED9" w14:textId="335F5B32">
      <w:pPr>
        <w:rPr>
          <w:vertAlign w:val="superscript"/>
        </w:rPr>
      </w:pPr>
      <w:r w:rsidRPr="003F18CA">
        <w:t xml:space="preserve">When individuals are screened in primary care practices and found to exhibit </w:t>
      </w:r>
      <w:r w:rsidR="00916C5D">
        <w:t>high-risk drinking</w:t>
      </w:r>
      <w:r w:rsidR="00176588">
        <w:t xml:space="preserve"> </w:t>
      </w:r>
      <w:r w:rsidRPr="003F18CA">
        <w:t xml:space="preserve">or </w:t>
      </w:r>
      <w:r w:rsidR="00D9330E">
        <w:t>alcohol use disorder</w:t>
      </w:r>
      <w:r w:rsidRPr="003F18CA">
        <w:t>, medication-assisted therapy (the combination of medications and behavioral therapies) using United States Food and Drug Administration-approved medications has been found to be effective for managing withdrawal, reducing or eliminating use, and preventing relapse.</w:t>
      </w:r>
      <w:r w:rsidRPr="003F18CA">
        <w:rPr>
          <w:rStyle w:val="FootnoteReference"/>
        </w:rPr>
        <w:footnoteReference w:id="13"/>
      </w:r>
      <w:r w:rsidRPr="003F18CA">
        <w:t xml:space="preserve"> Evidence has found that medications (alone or with medical advice/specialty care) are efficacious in decreasing heavy drinking and health risks associated with alcohol use</w:t>
      </w:r>
      <w:proofErr w:type="gramStart"/>
      <w:r w:rsidRPr="003F18CA">
        <w:t>.</w:t>
      </w:r>
      <w:r w:rsidRPr="003F18CA">
        <w:rPr>
          <w:rStyle w:val="FootnoteReference"/>
        </w:rPr>
        <w:footnoteReference w:id="14"/>
      </w:r>
      <w:r w:rsidRPr="003F18CA">
        <w:rPr>
          <w:vertAlign w:val="superscript"/>
        </w:rPr>
        <w:t>,</w:t>
      </w:r>
      <w:proofErr w:type="gramEnd"/>
      <w:r w:rsidRPr="003F18CA">
        <w:rPr>
          <w:rStyle w:val="FootnoteReference"/>
        </w:rPr>
        <w:footnoteReference w:id="15"/>
      </w:r>
    </w:p>
    <w:p w:rsidR="005A7C49" w:rsidP="000902A7" w:rsidRDefault="005A7C49" w14:paraId="3A202AF5" w14:textId="77777777">
      <w:pPr>
        <w:rPr>
          <w:vertAlign w:val="superscript"/>
        </w:rPr>
      </w:pPr>
    </w:p>
    <w:p w:rsidR="00AF0C52" w:rsidP="000902A7" w:rsidRDefault="001746E3" w14:paraId="089487F2" w14:textId="0E6B7407">
      <w:r>
        <w:t>Under the</w:t>
      </w:r>
      <w:r w:rsidR="00606CCD">
        <w:t xml:space="preserve"> </w:t>
      </w:r>
      <w:r w:rsidR="00045A39">
        <w:t>AHRQ</w:t>
      </w:r>
      <w:r w:rsidR="00606CCD">
        <w:t xml:space="preserve"> initiative</w:t>
      </w:r>
      <w:r w:rsidR="00916C5D">
        <w:t>,</w:t>
      </w:r>
      <w:r>
        <w:t xml:space="preserve"> six grantees will work to improve the management of </w:t>
      </w:r>
      <w:r w:rsidR="00D9330E">
        <w:t>unhealthy alcohol use</w:t>
      </w:r>
      <w:r>
        <w:t xml:space="preserve"> in primary care by disseminating</w:t>
      </w:r>
      <w:r w:rsidR="00606CCD">
        <w:t xml:space="preserve"> and implement</w:t>
      </w:r>
      <w:r>
        <w:t>ing</w:t>
      </w:r>
      <w:r w:rsidR="00606CCD">
        <w:t xml:space="preserve"> evidence-based practices </w:t>
      </w:r>
      <w:r w:rsidR="00176588">
        <w:t xml:space="preserve">for </w:t>
      </w:r>
      <w:r w:rsidR="00AF0C52">
        <w:t>screening</w:t>
      </w:r>
      <w:r w:rsidR="00AE683C">
        <w:t>,</w:t>
      </w:r>
      <w:r w:rsidR="00AF0C52">
        <w:t xml:space="preserve"> brief intervention, </w:t>
      </w:r>
      <w:r w:rsidR="00606CCD">
        <w:t>referral to treatment</w:t>
      </w:r>
      <w:r w:rsidR="001513DD">
        <w:t xml:space="preserve">, and </w:t>
      </w:r>
      <w:r w:rsidR="00D9330E">
        <w:t>medication-assisted therapy</w:t>
      </w:r>
      <w:r w:rsidR="001513DD">
        <w:t>.</w:t>
      </w:r>
      <w:r w:rsidR="006C66AA">
        <w:t xml:space="preserve"> </w:t>
      </w:r>
      <w:r w:rsidR="004D2C9F">
        <w:t>As a part of their own evaluations, g</w:t>
      </w:r>
      <w:r w:rsidR="00045A39">
        <w:t xml:space="preserve">rantees will collect data from </w:t>
      </w:r>
      <w:r w:rsidR="000B4B5D">
        <w:t xml:space="preserve">the 750 </w:t>
      </w:r>
      <w:r w:rsidR="00045A39">
        <w:t>practices participating in the initiative</w:t>
      </w:r>
      <w:r w:rsidR="004D2C9F">
        <w:t xml:space="preserve">. This data will be shared with the evaluator, NORC at the University of Chicago. NORC’s </w:t>
      </w:r>
      <w:r w:rsidR="001513DD">
        <w:t>multisite</w:t>
      </w:r>
      <w:r w:rsidR="006C66AA">
        <w:t>, mixed</w:t>
      </w:r>
      <w:r w:rsidR="00045A39">
        <w:t xml:space="preserve"> </w:t>
      </w:r>
      <w:r w:rsidR="006C66AA">
        <w:t>methods</w:t>
      </w:r>
      <w:r w:rsidR="001513DD">
        <w:t xml:space="preserve"> evaluation </w:t>
      </w:r>
      <w:r w:rsidR="006C66AA">
        <w:t xml:space="preserve">will </w:t>
      </w:r>
      <w:r w:rsidR="00176588">
        <w:t xml:space="preserve">include </w:t>
      </w:r>
      <w:r w:rsidR="006D553B">
        <w:t xml:space="preserve">primary </w:t>
      </w:r>
      <w:r w:rsidR="006C66AA">
        <w:t>data collection</w:t>
      </w:r>
      <w:r w:rsidR="004D2C9F">
        <w:t xml:space="preserve">, as well as this </w:t>
      </w:r>
      <w:r w:rsidR="006D553B">
        <w:t xml:space="preserve">secondary data collected by the </w:t>
      </w:r>
      <w:r w:rsidR="00916C5D">
        <w:t xml:space="preserve">six </w:t>
      </w:r>
      <w:r w:rsidR="006C66AA">
        <w:t>grantee</w:t>
      </w:r>
      <w:r w:rsidR="006D553B">
        <w:t xml:space="preserve"> teams. Collectively the data will allow the evaluator</w:t>
      </w:r>
      <w:r w:rsidR="006C66AA">
        <w:t xml:space="preserve"> to</w:t>
      </w:r>
      <w:r w:rsidR="001513DD">
        <w:t xml:space="preserve"> assess </w:t>
      </w:r>
      <w:r w:rsidR="006C66AA">
        <w:t xml:space="preserve">the </w:t>
      </w:r>
      <w:r w:rsidR="001513DD">
        <w:t>i</w:t>
      </w:r>
      <w:r w:rsidRPr="001513DD" w:rsidR="001513DD">
        <w:t xml:space="preserve">mplementation and impact of the </w:t>
      </w:r>
      <w:r>
        <w:t xml:space="preserve">six </w:t>
      </w:r>
      <w:r w:rsidRPr="001513DD" w:rsidR="001513DD">
        <w:t>grants</w:t>
      </w:r>
      <w:r w:rsidR="001513DD">
        <w:t>.</w:t>
      </w:r>
      <w:r w:rsidR="006D553B">
        <w:t xml:space="preserve"> </w:t>
      </w:r>
    </w:p>
    <w:p w:rsidR="00AF0C52" w:rsidP="000902A7" w:rsidRDefault="00AF0C52" w14:paraId="608A68F6" w14:textId="77777777"/>
    <w:p w:rsidR="001513DD" w:rsidP="000902A7" w:rsidRDefault="00AF0C52" w14:paraId="1B9DF18C" w14:textId="5F4D29DB">
      <w:r>
        <w:t>The project</w:t>
      </w:r>
      <w:r w:rsidR="000902A7">
        <w:t xml:space="preserve"> goals, as laid out in the AHRQ request for applications</w:t>
      </w:r>
      <w:r>
        <w:t xml:space="preserve"> </w:t>
      </w:r>
      <w:r w:rsidR="000902A7">
        <w:t>include</w:t>
      </w:r>
      <w:r w:rsidR="001513DD">
        <w:t>:</w:t>
      </w:r>
    </w:p>
    <w:p w:rsidR="00AD674A" w:rsidP="000902A7" w:rsidRDefault="001513DD" w14:paraId="11D1232E" w14:textId="23434258">
      <w:pPr>
        <w:pStyle w:val="ListParagraph"/>
        <w:numPr>
          <w:ilvl w:val="0"/>
          <w:numId w:val="105"/>
        </w:numPr>
        <w:rPr>
          <w:rFonts w:ascii="Times New Roman" w:hAnsi="Times New Roman"/>
        </w:rPr>
      </w:pPr>
      <w:r w:rsidRPr="001513DD">
        <w:rPr>
          <w:rFonts w:ascii="Times New Roman" w:hAnsi="Times New Roman"/>
        </w:rPr>
        <w:t xml:space="preserve">Success of recruitment and retention strategies across all six grantees to engage primary care practices for implementation of </w:t>
      </w:r>
      <w:r w:rsidR="00AE683C">
        <w:rPr>
          <w:rFonts w:ascii="Times New Roman" w:hAnsi="Times New Roman"/>
        </w:rPr>
        <w:t>screening, brief intervention, referral to treatment,</w:t>
      </w:r>
      <w:r w:rsidRPr="001513DD">
        <w:rPr>
          <w:rFonts w:ascii="Times New Roman" w:hAnsi="Times New Roman"/>
        </w:rPr>
        <w:t xml:space="preserve"> and </w:t>
      </w:r>
      <w:r w:rsidR="00D9330E">
        <w:rPr>
          <w:rFonts w:ascii="Times New Roman" w:hAnsi="Times New Roman"/>
        </w:rPr>
        <w:t>medication-assisted therapy</w:t>
      </w:r>
      <w:r w:rsidRPr="001513DD">
        <w:rPr>
          <w:rFonts w:ascii="Times New Roman" w:hAnsi="Times New Roman"/>
        </w:rPr>
        <w:t xml:space="preserve">, across the initiative; </w:t>
      </w:r>
    </w:p>
    <w:p w:rsidR="00AD674A" w:rsidP="000902A7" w:rsidRDefault="001513DD" w14:paraId="2F5AA479" w14:textId="77777777">
      <w:pPr>
        <w:pStyle w:val="ListParagraph"/>
        <w:numPr>
          <w:ilvl w:val="0"/>
          <w:numId w:val="105"/>
        </w:numPr>
        <w:rPr>
          <w:rFonts w:ascii="Times New Roman" w:hAnsi="Times New Roman"/>
        </w:rPr>
      </w:pPr>
      <w:r w:rsidRPr="001513DD">
        <w:rPr>
          <w:rFonts w:ascii="Times New Roman" w:hAnsi="Times New Roman"/>
        </w:rPr>
        <w:t>Effectiveness of the grantees’ collective dissemination and implementation strategies, and the factors associated with the success and/or failure of the strategies as it relates to populations, settings and the inf</w:t>
      </w:r>
      <w:r w:rsidR="00AD674A">
        <w:rPr>
          <w:rFonts w:ascii="Times New Roman" w:hAnsi="Times New Roman"/>
        </w:rPr>
        <w:t xml:space="preserve">luence of contextual factors; </w:t>
      </w:r>
    </w:p>
    <w:p w:rsidR="00AD674A" w:rsidP="000902A7" w:rsidRDefault="001513DD" w14:paraId="4B5E31D6" w14:textId="77777777">
      <w:pPr>
        <w:pStyle w:val="ListParagraph"/>
        <w:numPr>
          <w:ilvl w:val="0"/>
          <w:numId w:val="105"/>
        </w:numPr>
        <w:rPr>
          <w:rFonts w:ascii="Times New Roman" w:hAnsi="Times New Roman"/>
        </w:rPr>
      </w:pPr>
      <w:r w:rsidRPr="001513DD">
        <w:rPr>
          <w:rFonts w:ascii="Times New Roman" w:hAnsi="Times New Roman"/>
        </w:rPr>
        <w:t>Success at the practice level in increasing the number of patients screened,</w:t>
      </w:r>
      <w:r w:rsidR="00AD674A">
        <w:rPr>
          <w:rFonts w:ascii="Times New Roman" w:hAnsi="Times New Roman"/>
        </w:rPr>
        <w:t xml:space="preserve"> identified, and treated; and</w:t>
      </w:r>
    </w:p>
    <w:p w:rsidRPr="001513DD" w:rsidR="001513DD" w:rsidP="000902A7" w:rsidRDefault="001513DD" w14:paraId="15483C89" w14:textId="68FF0CA6">
      <w:pPr>
        <w:pStyle w:val="ListParagraph"/>
        <w:numPr>
          <w:ilvl w:val="0"/>
          <w:numId w:val="105"/>
        </w:numPr>
        <w:rPr>
          <w:rFonts w:ascii="Times New Roman" w:hAnsi="Times New Roman"/>
        </w:rPr>
      </w:pPr>
      <w:r w:rsidRPr="001513DD">
        <w:rPr>
          <w:rFonts w:ascii="Times New Roman" w:hAnsi="Times New Roman"/>
        </w:rPr>
        <w:t>Overal</w:t>
      </w:r>
      <w:r w:rsidR="00AD674A">
        <w:rPr>
          <w:rFonts w:ascii="Times New Roman" w:hAnsi="Times New Roman"/>
        </w:rPr>
        <w:t xml:space="preserve">l impact on changes in processes or outcomes </w:t>
      </w:r>
      <w:r w:rsidRPr="001513DD">
        <w:rPr>
          <w:rFonts w:ascii="Times New Roman" w:hAnsi="Times New Roman"/>
        </w:rPr>
        <w:t xml:space="preserve">that can be attributed to </w:t>
      </w:r>
      <w:r w:rsidR="001746E3">
        <w:rPr>
          <w:rFonts w:ascii="Times New Roman" w:hAnsi="Times New Roman"/>
        </w:rPr>
        <w:t>the initiative.</w:t>
      </w:r>
    </w:p>
    <w:p w:rsidR="001513DD" w:rsidP="000902A7" w:rsidRDefault="001513DD" w14:paraId="15DBB6CE" w14:textId="77777777"/>
    <w:p w:rsidR="00E74A44" w:rsidP="000902A7" w:rsidRDefault="006C66AA" w14:paraId="6ED66F0D" w14:textId="3021960B">
      <w:r>
        <w:t xml:space="preserve">To achieve the goals of the </w:t>
      </w:r>
      <w:r w:rsidR="00D9330E">
        <w:t>multisite evaluation</w:t>
      </w:r>
      <w:r>
        <w:t xml:space="preserve"> </w:t>
      </w:r>
      <w:r w:rsidR="00DC4A70">
        <w:t>AHRQ is requesting OMB approval for three years for new data collection</w:t>
      </w:r>
      <w:r w:rsidR="006D553B">
        <w:t xml:space="preserve"> by</w:t>
      </w:r>
      <w:r w:rsidR="00DC4A70">
        <w:t xml:space="preserve"> </w:t>
      </w:r>
      <w:r w:rsidR="00BD25F8">
        <w:t>the evaluator</w:t>
      </w:r>
      <w:r w:rsidR="006D553B">
        <w:t xml:space="preserve">. </w:t>
      </w:r>
      <w:r w:rsidR="00DC4A70">
        <w:t xml:space="preserve">The </w:t>
      </w:r>
      <w:r w:rsidR="006D553B">
        <w:t>evaluator</w:t>
      </w:r>
      <w:r w:rsidR="00BD25F8">
        <w:t>’s primary</w:t>
      </w:r>
      <w:r w:rsidR="006D553B">
        <w:t xml:space="preserve"> </w:t>
      </w:r>
      <w:r w:rsidR="00DC4A70">
        <w:t xml:space="preserve">data collection is </w:t>
      </w:r>
      <w:r w:rsidR="00DC4A70">
        <w:lastRenderedPageBreak/>
        <w:t xml:space="preserve">requested to achieve the goals of the </w:t>
      </w:r>
      <w:r w:rsidR="00D9330E">
        <w:t>multisite evaluation</w:t>
      </w:r>
      <w:r w:rsidR="00DC4A70">
        <w:t xml:space="preserve"> and includes </w:t>
      </w:r>
      <w:r w:rsidR="006D553B">
        <w:t>the following d</w:t>
      </w:r>
      <w:r w:rsidR="00176588">
        <w:t xml:space="preserve">ata collection activities: </w:t>
      </w:r>
    </w:p>
    <w:p w:rsidR="00BD25F8" w:rsidP="000902A7" w:rsidRDefault="00BD25F8" w14:paraId="3E7BC238" w14:textId="77777777"/>
    <w:p w:rsidRPr="00BD25F8" w:rsidR="00BD25F8" w:rsidP="000902A7" w:rsidRDefault="003F4851" w14:paraId="45088D60" w14:textId="17971654">
      <w:r>
        <w:rPr>
          <w:u w:val="single"/>
        </w:rPr>
        <w:t>Semi-S</w:t>
      </w:r>
      <w:r w:rsidRPr="00BD25F8" w:rsidR="00BD25F8">
        <w:rPr>
          <w:u w:val="single"/>
        </w:rPr>
        <w:t>tructured Qualitative Interviews</w:t>
      </w:r>
      <w:r w:rsidRPr="00BD25F8" w:rsidR="00BD25F8">
        <w:t xml:space="preserve"> will take place in-person and/or by telephone with key staff from each grantee team (i.e., principal investigator, co-investigator, evaluation lead, practice facilitation/implementation lead, and project manager) and with clinicians and staff at one primary care pract</w:t>
      </w:r>
      <w:r w:rsidR="00787171">
        <w:t xml:space="preserve">ice working with each grantee. </w:t>
      </w:r>
      <w:r w:rsidRPr="00BD25F8" w:rsidR="00BD25F8">
        <w:t xml:space="preserve">Interviews will be conducted annually beginning at the end of Year 1, for a total of three time points per grantee. During Years 1 and 3 the interviews will be conducted by </w:t>
      </w:r>
      <w:r w:rsidRPr="00BD25F8" w:rsidR="00821984">
        <w:t>phone</w:t>
      </w:r>
      <w:r w:rsidR="00821984">
        <w:t>; Year</w:t>
      </w:r>
      <w:r w:rsidRPr="00BD25F8" w:rsidR="00BD25F8">
        <w:t xml:space="preserve"> 2 </w:t>
      </w:r>
      <w:r w:rsidR="00787171">
        <w:t>interviews will be collected in-</w:t>
      </w:r>
      <w:r w:rsidRPr="00BD25F8" w:rsidR="00BD25F8">
        <w:t xml:space="preserve">person. The interviews for both grantee teams and primary care practice staff will cover domains such as understanding the practice </w:t>
      </w:r>
      <w:r w:rsidR="00DA4DEF">
        <w:t>implementation</w:t>
      </w:r>
      <w:r w:rsidRPr="00BD25F8" w:rsidR="00BD25F8">
        <w:t xml:space="preserve"> and changes overtime, methods of supporting practices, barriers and facilitators to implementation, strategies to overcome barriers, and the number and type of staff implementing </w:t>
      </w:r>
      <w:r w:rsidR="00AE683C">
        <w:t>screening, brief intervention, referral to treatment,</w:t>
      </w:r>
      <w:r w:rsidR="00712A0E">
        <w:t xml:space="preserve"> and </w:t>
      </w:r>
      <w:r w:rsidR="00D9330E">
        <w:t>medication-assisted therapy</w:t>
      </w:r>
      <w:r w:rsidRPr="00BD25F8" w:rsidR="00BD25F8">
        <w:t>.</w:t>
      </w:r>
    </w:p>
    <w:p w:rsidR="00BD25F8" w:rsidP="000902A7" w:rsidRDefault="00BD25F8" w14:paraId="2CD6BC75" w14:textId="77777777"/>
    <w:p w:rsidR="00D92AD4" w:rsidP="000902A7" w:rsidRDefault="004D2C9F" w14:paraId="168937A2" w14:textId="1A4041DA">
      <w:r>
        <w:t>The s</w:t>
      </w:r>
      <w:r w:rsidR="00BD25F8">
        <w:t xml:space="preserve">econdary data </w:t>
      </w:r>
      <w:r w:rsidR="000B4B5D">
        <w:t xml:space="preserve">required by AHRQ’s RFA-HS-18-002 to be </w:t>
      </w:r>
      <w:r w:rsidR="00BD25F8">
        <w:t xml:space="preserve">collected by grantees and analyzed by the evaluator </w:t>
      </w:r>
      <w:r w:rsidR="00CF0593">
        <w:t xml:space="preserve">is listed in </w:t>
      </w:r>
      <w:r w:rsidRPr="00CD21B3" w:rsidR="00CF0593">
        <w:rPr>
          <w:b/>
        </w:rPr>
        <w:t>Attachment A</w:t>
      </w:r>
      <w:r w:rsidR="00CF0593">
        <w:t>. Secondary data</w:t>
      </w:r>
      <w:r>
        <w:t xml:space="preserve"> </w:t>
      </w:r>
      <w:r w:rsidR="00BD25F8">
        <w:t xml:space="preserve">will include: </w:t>
      </w:r>
    </w:p>
    <w:p w:rsidRPr="00E74A44" w:rsidR="00BD25F8" w:rsidP="000902A7" w:rsidRDefault="00BD25F8" w14:paraId="0BC363F2" w14:textId="77777777"/>
    <w:p w:rsidRPr="003F4851" w:rsidR="00A56551" w:rsidP="003F4851" w:rsidRDefault="00916C5D" w14:paraId="54B58562" w14:textId="681A09C5">
      <w:r w:rsidRPr="00BD25F8">
        <w:t>Prima</w:t>
      </w:r>
      <w:r w:rsidRPr="00BD25F8" w:rsidR="006C66AA">
        <w:t xml:space="preserve">ry care practices will submit </w:t>
      </w:r>
      <w:r w:rsidR="006C45E0">
        <w:t xml:space="preserve">to grantees </w:t>
      </w:r>
      <w:r w:rsidR="00BD25F8">
        <w:t xml:space="preserve">aggregate </w:t>
      </w:r>
      <w:r w:rsidR="00D67870">
        <w:t>p</w:t>
      </w:r>
      <w:r w:rsidRPr="002F1E68" w:rsidR="00D67870">
        <w:t>r</w:t>
      </w:r>
      <w:r w:rsidRPr="002F1E68" w:rsidR="006C45E0">
        <w:t xml:space="preserve">ocess </w:t>
      </w:r>
      <w:r w:rsidR="00D67870">
        <w:t>m</w:t>
      </w:r>
      <w:r w:rsidRPr="00CD21B3" w:rsidR="00BD25F8">
        <w:t>easure</w:t>
      </w:r>
      <w:r w:rsidR="00BD25F8">
        <w:t xml:space="preserve"> data </w:t>
      </w:r>
      <w:r w:rsidR="00286D3E">
        <w:t>that</w:t>
      </w:r>
      <w:r w:rsidR="00BD25F8">
        <w:t xml:space="preserve"> </w:t>
      </w:r>
      <w:r w:rsidRPr="00BD25F8" w:rsidR="000D025A">
        <w:t xml:space="preserve">will be used to assess </w:t>
      </w:r>
      <w:r w:rsidR="00286D3E">
        <w:t xml:space="preserve">changes in </w:t>
      </w:r>
      <w:r w:rsidRPr="00BD25F8" w:rsidR="000D025A">
        <w:t>the number of patients</w:t>
      </w:r>
      <w:r w:rsidRPr="00BD25F8" w:rsidR="00AF0C52">
        <w:t xml:space="preserve"> receiving </w:t>
      </w:r>
      <w:r w:rsidR="00AE683C">
        <w:t xml:space="preserve">screening, brief intervention, referral to treatment, </w:t>
      </w:r>
      <w:r w:rsidRPr="00BD25F8" w:rsidR="00D92AD4">
        <w:t xml:space="preserve">and/or </w:t>
      </w:r>
      <w:r w:rsidR="00D9330E">
        <w:t>medication-assisted therapy</w:t>
      </w:r>
      <w:r w:rsidRPr="00BD25F8" w:rsidR="00D92AD4">
        <w:t xml:space="preserve"> at the practice level</w:t>
      </w:r>
      <w:r w:rsidRPr="00BD25F8" w:rsidR="000D025A">
        <w:t>.</w:t>
      </w:r>
      <w:r w:rsidRPr="00BD25F8" w:rsidR="006C66AA">
        <w:t xml:space="preserve"> </w:t>
      </w:r>
      <w:r w:rsidR="000B4B5D">
        <w:t xml:space="preserve">Grantees will submit data on </w:t>
      </w:r>
      <w:r w:rsidRPr="00CD21B3" w:rsidR="00286D3E">
        <w:t>p</w:t>
      </w:r>
      <w:r w:rsidRPr="00CD21B3" w:rsidR="006C45E0">
        <w:t xml:space="preserve">ractice </w:t>
      </w:r>
      <w:r w:rsidR="00286D3E">
        <w:t>c</w:t>
      </w:r>
      <w:r w:rsidRPr="00CD21B3" w:rsidR="006C45E0">
        <w:t xml:space="preserve">haracteristics </w:t>
      </w:r>
      <w:r w:rsidR="000B4B5D">
        <w:t xml:space="preserve">to determine the relationship between those characteristics </w:t>
      </w:r>
      <w:r w:rsidRPr="00BD25F8" w:rsidR="000D025A">
        <w:t xml:space="preserve">and </w:t>
      </w:r>
      <w:r w:rsidRPr="00BD25F8" w:rsidR="00D92AD4">
        <w:t>the nu</w:t>
      </w:r>
      <w:r w:rsidRPr="00BD25F8" w:rsidR="00AF0C52">
        <w:t xml:space="preserve">mber of patients receiving </w:t>
      </w:r>
      <w:r w:rsidR="00AE683C">
        <w:t xml:space="preserve">screening, brief intervention, referral to treatment, </w:t>
      </w:r>
      <w:r w:rsidRPr="00BD25F8" w:rsidR="00D92AD4">
        <w:t xml:space="preserve">and/or </w:t>
      </w:r>
      <w:r w:rsidR="00D9330E">
        <w:t>medication-assisted therapy</w:t>
      </w:r>
      <w:r w:rsidRPr="00BD25F8" w:rsidR="000D025A">
        <w:t>.</w:t>
      </w:r>
      <w:r w:rsidR="00BD25F8">
        <w:t xml:space="preserve"> </w:t>
      </w:r>
      <w:r w:rsidR="000B4B5D">
        <w:t xml:space="preserve">Grantees </w:t>
      </w:r>
      <w:r w:rsidR="00286D3E">
        <w:t>will</w:t>
      </w:r>
      <w:r w:rsidR="000B4B5D">
        <w:t xml:space="preserve"> provide the evaluator data to</w:t>
      </w:r>
      <w:r w:rsidR="00286D3E">
        <w:t xml:space="preserve"> analyze the relationship between the type and frequency of practice interactions</w:t>
      </w:r>
      <w:r w:rsidRPr="00BD25F8" w:rsidR="0059371D">
        <w:t xml:space="preserve"> </w:t>
      </w:r>
      <w:r w:rsidRPr="006C45E0" w:rsidR="00CD7778">
        <w:t xml:space="preserve">and the number of patients screened, </w:t>
      </w:r>
      <w:r w:rsidRPr="006C45E0" w:rsidR="0059371D">
        <w:t xml:space="preserve">receiving brief intervention, </w:t>
      </w:r>
      <w:r w:rsidR="002F1E68">
        <w:t xml:space="preserve">medication-assisted therapy, </w:t>
      </w:r>
      <w:r w:rsidRPr="006C45E0" w:rsidR="0059371D">
        <w:t xml:space="preserve">and/or treated for </w:t>
      </w:r>
      <w:r w:rsidR="00D9330E">
        <w:t>unhealthy alcohol use</w:t>
      </w:r>
      <w:r w:rsidRPr="006C45E0" w:rsidR="00CD7778">
        <w:t xml:space="preserve">. </w:t>
      </w:r>
      <w:r w:rsidR="00286D3E">
        <w:t>Grantees will track</w:t>
      </w:r>
      <w:r w:rsidRPr="006C45E0" w:rsidR="00286D3E">
        <w:t xml:space="preserve"> </w:t>
      </w:r>
      <w:r w:rsidR="006C45E0">
        <w:t>changes in practices over time</w:t>
      </w:r>
      <w:r w:rsidR="00240E14">
        <w:t xml:space="preserve"> in order for the evaluator to </w:t>
      </w:r>
      <w:r w:rsidRPr="006C45E0" w:rsidR="0000711B">
        <w:t>assess</w:t>
      </w:r>
      <w:r w:rsidR="00240E14">
        <w:t xml:space="preserve"> </w:t>
      </w:r>
      <w:r w:rsidRPr="006C45E0" w:rsidR="0000711B">
        <w:t xml:space="preserve">what activities the practice is conducting to identify and manage </w:t>
      </w:r>
      <w:r w:rsidR="00D9330E">
        <w:t>unhealthy alcohol use</w:t>
      </w:r>
      <w:r w:rsidR="006C45E0">
        <w:t>.</w:t>
      </w:r>
      <w:r w:rsidRPr="006C45E0" w:rsidR="0000711B">
        <w:t xml:space="preserve"> </w:t>
      </w:r>
    </w:p>
    <w:p w:rsidR="00A56551" w:rsidP="000902A7" w:rsidRDefault="00A56551" w14:paraId="2A30BD3C" w14:textId="77777777">
      <w:pPr>
        <w:pStyle w:val="ListParagraph"/>
        <w:rPr>
          <w:rFonts w:ascii="Times New Roman" w:hAnsi="Times New Roman"/>
        </w:rPr>
      </w:pPr>
    </w:p>
    <w:p w:rsidR="008E4838" w:rsidP="000902A7" w:rsidRDefault="00AE4869" w14:paraId="2E96E6A0" w14:textId="1E4A20C7">
      <w:pPr>
        <w:rPr>
          <w:bCs/>
          <w:color w:val="000000"/>
        </w:rPr>
      </w:pPr>
      <w:r>
        <w:t xml:space="preserve">The </w:t>
      </w:r>
      <w:r w:rsidRPr="00192E52">
        <w:t>AHRQ</w:t>
      </w:r>
      <w:r w:rsidRPr="00954E17">
        <w:rPr>
          <w:i/>
        </w:rPr>
        <w:t xml:space="preserve"> </w:t>
      </w:r>
      <w:r w:rsidR="00126D1A">
        <w:rPr>
          <w:i/>
        </w:rPr>
        <w:t>Addressing</w:t>
      </w:r>
      <w:r w:rsidRPr="00954E17" w:rsidR="00126D1A">
        <w:rPr>
          <w:i/>
        </w:rPr>
        <w:t xml:space="preserve"> </w:t>
      </w:r>
      <w:r w:rsidRPr="00954E17">
        <w:rPr>
          <w:i/>
        </w:rPr>
        <w:t xml:space="preserve">Unhealthy Alcohol Use in Primary Care </w:t>
      </w:r>
      <w:r w:rsidRPr="00954E17" w:rsidR="00AE0A89">
        <w:rPr>
          <w:i/>
        </w:rPr>
        <w:t>I</w:t>
      </w:r>
      <w:r w:rsidRPr="00954E17">
        <w:rPr>
          <w:i/>
        </w:rPr>
        <w:t>nitiative</w:t>
      </w:r>
      <w:r>
        <w:t xml:space="preserve"> is being undertaken pursuant to </w:t>
      </w:r>
      <w:r w:rsidR="004F0C0B">
        <w:rPr>
          <w:bCs/>
          <w:color w:val="000000"/>
        </w:rPr>
        <w:t>AHRQ’s mission</w:t>
      </w:r>
      <w:r w:rsidRPr="007D6434" w:rsidR="004F0C0B">
        <w:rPr>
          <w:bCs/>
          <w:color w:val="000000"/>
        </w:rPr>
        <w:t xml:space="preserve">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sidR="006A5560">
        <w:rPr>
          <w:bCs/>
          <w:color w:val="000000"/>
        </w:rPr>
        <w:t xml:space="preserve"> </w:t>
      </w:r>
      <w:r w:rsidR="004F0C0B">
        <w:rPr>
          <w:bCs/>
          <w:color w:val="000000"/>
        </w:rPr>
        <w:t>42 U.S.C. 299.</w:t>
      </w:r>
    </w:p>
    <w:p w:rsidR="005675BA" w:rsidP="00AE4869" w:rsidRDefault="005675BA" w14:paraId="704F2B7C" w14:textId="77777777">
      <w:pPr>
        <w:rPr>
          <w:bCs/>
          <w:color w:val="000000"/>
        </w:rPr>
      </w:pPr>
    </w:p>
    <w:p w:rsidR="00AB1A72" w:rsidP="00AE4869" w:rsidRDefault="00AB1A72" w14:paraId="2B421C9E" w14:textId="77777777"/>
    <w:p w:rsidR="00DD107D" w:rsidP="00AB1A72" w:rsidRDefault="00DD107D" w14:paraId="6E1A457D" w14:textId="78670551">
      <w:pPr>
        <w:pStyle w:val="Heading2"/>
        <w:spacing w:before="0" w:after="0"/>
      </w:pPr>
      <w:bookmarkStart w:name="_Toc31274459" w:id="9"/>
      <w:bookmarkStart w:name="_Toc35934823" w:id="10"/>
      <w:r>
        <w:t xml:space="preserve">A2. </w:t>
      </w:r>
      <w:r w:rsidRPr="0072204D">
        <w:t xml:space="preserve">Purpose </w:t>
      </w:r>
      <w:r w:rsidR="006F1A31">
        <w:t>and Use of Information</w:t>
      </w:r>
      <w:bookmarkEnd w:id="9"/>
      <w:bookmarkEnd w:id="10"/>
    </w:p>
    <w:p w:rsidR="00A253F5" w:rsidP="00AB1A72" w:rsidRDefault="00A253F5" w14:paraId="2E0A4D7C" w14:textId="77777777">
      <w:pPr>
        <w:widowControl w:val="0"/>
      </w:pPr>
    </w:p>
    <w:p w:rsidR="00B35093" w:rsidP="00954E17" w:rsidRDefault="00DB4362" w14:paraId="4E16911A" w14:textId="27B44831">
      <w:r>
        <w:t>The</w:t>
      </w:r>
      <w:r w:rsidRPr="00A253F5">
        <w:t xml:space="preserve"> </w:t>
      </w:r>
      <w:r w:rsidR="00D9330E">
        <w:t>multisite evaluation</w:t>
      </w:r>
      <w:r w:rsidRPr="00A253F5" w:rsidR="00C039B1">
        <w:t xml:space="preserve"> approach includes three components: 1) a formative evaluation, 2) summative evaluation, and 3) an impact evaluation. The formative evaluation will focus on grantees’ dissemination and implementation of </w:t>
      </w:r>
      <w:r w:rsidR="00AE683C">
        <w:t xml:space="preserve">screening, brief intervention, referral to treatment, </w:t>
      </w:r>
      <w:r w:rsidRPr="00A253F5" w:rsidR="00C039B1">
        <w:t xml:space="preserve">and </w:t>
      </w:r>
      <w:r w:rsidR="00D9330E">
        <w:t>medication-assisted therapy</w:t>
      </w:r>
      <w:r w:rsidRPr="00A253F5" w:rsidR="00C039B1">
        <w:t xml:space="preserve"> in primary care practices. The summative evaluation will assess the strategies grantees implement and whether grantees are increasing the identification and management of </w:t>
      </w:r>
      <w:r w:rsidR="00D9330E">
        <w:t>unhealthy alcohol use</w:t>
      </w:r>
      <w:r w:rsidRPr="00A253F5" w:rsidR="00C039B1">
        <w:t xml:space="preserve"> in primary care, while the impact evaluation will analyze secondary grantee data and evaluate the sustainability of the initiative.</w:t>
      </w:r>
      <w:r w:rsidRPr="00A253F5" w:rsidR="00B35093">
        <w:t xml:space="preserve"> </w:t>
      </w:r>
      <w:r w:rsidRPr="00A253F5" w:rsidR="00B35093">
        <w:lastRenderedPageBreak/>
        <w:t xml:space="preserve">The </w:t>
      </w:r>
      <w:r w:rsidR="0070366B">
        <w:t xml:space="preserve">evaluator’s qualitative </w:t>
      </w:r>
      <w:r w:rsidRPr="00A253F5" w:rsidR="00B35093">
        <w:t xml:space="preserve">data collection described </w:t>
      </w:r>
      <w:r w:rsidR="00E737BC">
        <w:t>below</w:t>
      </w:r>
      <w:r w:rsidRPr="00A253F5" w:rsidR="00E737BC">
        <w:t xml:space="preserve"> </w:t>
      </w:r>
      <w:r w:rsidR="0070366B">
        <w:t xml:space="preserve">and analysis of grantees’ secondary data </w:t>
      </w:r>
      <w:r w:rsidRPr="00A253F5" w:rsidR="00B35093">
        <w:t xml:space="preserve">will support this evaluation. </w:t>
      </w:r>
    </w:p>
    <w:p w:rsidRPr="00A253F5" w:rsidR="00E737BC" w:rsidP="004812AC" w:rsidRDefault="00E737BC" w14:paraId="179C850D" w14:textId="77777777"/>
    <w:p w:rsidR="00B35093" w:rsidP="004812AC" w:rsidRDefault="00954E17" w14:paraId="17039EE6" w14:textId="15788DA4">
      <w:r>
        <w:t xml:space="preserve">The </w:t>
      </w:r>
      <w:r w:rsidR="00D9330E">
        <w:t>multisite evaluation</w:t>
      </w:r>
      <w:r w:rsidRPr="00345F19" w:rsidR="00B35093">
        <w:t xml:space="preserve"> will examine the relationship between contextual factors</w:t>
      </w:r>
      <w:r w:rsidR="0070366B">
        <w:t>,</w:t>
      </w:r>
      <w:r w:rsidRPr="00345F19" w:rsidR="00B35093">
        <w:t xml:space="preserve"> such as practice </w:t>
      </w:r>
      <w:r w:rsidR="0070366B">
        <w:t xml:space="preserve">staff and </w:t>
      </w:r>
      <w:r w:rsidRPr="00345F19" w:rsidR="00B35093">
        <w:t>characteristics</w:t>
      </w:r>
      <w:r w:rsidR="0070366B">
        <w:t xml:space="preserve"> and</w:t>
      </w:r>
      <w:r w:rsidRPr="00345F19" w:rsidR="00B35093">
        <w:t xml:space="preserve"> </w:t>
      </w:r>
      <w:r w:rsidR="00E737BC">
        <w:t>type/frequency</w:t>
      </w:r>
      <w:r w:rsidR="0070366B">
        <w:t xml:space="preserve"> of engagement</w:t>
      </w:r>
      <w:r w:rsidRPr="00345F19" w:rsidR="00B35093">
        <w:t xml:space="preserve"> </w:t>
      </w:r>
      <w:r>
        <w:t xml:space="preserve">in order to illuminate which factors </w:t>
      </w:r>
      <w:r w:rsidR="00D442C3">
        <w:t xml:space="preserve">impact </w:t>
      </w:r>
      <w:r w:rsidR="00AE683C">
        <w:t xml:space="preserve">screening, brief intervention, referral to treatment, </w:t>
      </w:r>
      <w:r w:rsidR="00D442C3">
        <w:t xml:space="preserve">and </w:t>
      </w:r>
      <w:r w:rsidR="00D9330E">
        <w:t>medication-assisted therapy</w:t>
      </w:r>
      <w:r w:rsidR="00D442C3">
        <w:t xml:space="preserve"> implementation</w:t>
      </w:r>
      <w:r w:rsidR="0070366B">
        <w:t>. The evaluator</w:t>
      </w:r>
      <w:r>
        <w:t xml:space="preserve"> will</w:t>
      </w:r>
      <w:r w:rsidRPr="00345F19" w:rsidR="00B35093">
        <w:t xml:space="preserve"> </w:t>
      </w:r>
      <w:r w:rsidR="00D442C3">
        <w:t xml:space="preserve">qualitatively </w:t>
      </w:r>
      <w:r w:rsidRPr="00345F19" w:rsidR="00B35093">
        <w:t>examine the sustainability of the changes introduce</w:t>
      </w:r>
      <w:r w:rsidRPr="00345F19" w:rsidR="0011772E">
        <w:t xml:space="preserve">d during </w:t>
      </w:r>
      <w:r w:rsidR="00D442C3">
        <w:t>the initiative</w:t>
      </w:r>
      <w:r w:rsidR="0070366B">
        <w:t xml:space="preserve"> </w:t>
      </w:r>
      <w:r w:rsidRPr="00345F19" w:rsidR="0011772E">
        <w:t xml:space="preserve">to better understand grantees’ </w:t>
      </w:r>
      <w:r w:rsidR="006A5560">
        <w:t xml:space="preserve">approaches to </w:t>
      </w:r>
      <w:r w:rsidRPr="00345F19" w:rsidR="0011772E">
        <w:t xml:space="preserve">implementing </w:t>
      </w:r>
      <w:r w:rsidR="00D9330E">
        <w:t xml:space="preserve">patient-centered outcomes </w:t>
      </w:r>
      <w:r w:rsidRPr="00345F19" w:rsidR="0011772E">
        <w:t xml:space="preserve">findings and barriers and facilitators to improving the management of </w:t>
      </w:r>
      <w:r w:rsidR="00D9330E">
        <w:t>unhealthy alcohol use</w:t>
      </w:r>
      <w:r w:rsidRPr="00345F19" w:rsidR="0011772E">
        <w:t xml:space="preserve"> in primary </w:t>
      </w:r>
      <w:r w:rsidRPr="004812AC" w:rsidR="00AE0A89">
        <w:t xml:space="preserve">care. </w:t>
      </w:r>
    </w:p>
    <w:p w:rsidRPr="003F4851" w:rsidR="00A56551" w:rsidP="003F4851" w:rsidRDefault="00A56551" w14:paraId="512D2898" w14:textId="77777777">
      <w:pPr>
        <w:rPr>
          <w:u w:val="single"/>
        </w:rPr>
      </w:pPr>
    </w:p>
    <w:p w:rsidR="00D442C3" w:rsidP="000902A7" w:rsidRDefault="00A56551" w14:paraId="4C2E3448" w14:textId="503A4C95">
      <w:r w:rsidRPr="000902A7">
        <w:rPr>
          <w:b/>
        </w:rPr>
        <w:t>S</w:t>
      </w:r>
      <w:r w:rsidR="003F4851">
        <w:rPr>
          <w:b/>
        </w:rPr>
        <w:t>emi-S</w:t>
      </w:r>
      <w:r w:rsidRPr="000902A7">
        <w:rPr>
          <w:b/>
        </w:rPr>
        <w:t>tructured Q</w:t>
      </w:r>
      <w:r w:rsidRPr="000902A7" w:rsidR="00FF046D">
        <w:rPr>
          <w:b/>
        </w:rPr>
        <w:t>ualitativ</w:t>
      </w:r>
      <w:r w:rsidRPr="000902A7">
        <w:rPr>
          <w:b/>
        </w:rPr>
        <w:t xml:space="preserve">e </w:t>
      </w:r>
      <w:r w:rsidR="00E97204">
        <w:rPr>
          <w:b/>
        </w:rPr>
        <w:t xml:space="preserve">Key Informant </w:t>
      </w:r>
      <w:r w:rsidRPr="000902A7">
        <w:rPr>
          <w:b/>
        </w:rPr>
        <w:t>I</w:t>
      </w:r>
      <w:r w:rsidRPr="000902A7" w:rsidR="00FF046D">
        <w:rPr>
          <w:b/>
        </w:rPr>
        <w:t>nterviews</w:t>
      </w:r>
      <w:r w:rsidRPr="00D442C3" w:rsidR="00FF046D">
        <w:t xml:space="preserve"> </w:t>
      </w:r>
      <w:r w:rsidRPr="00D442C3" w:rsidR="00817B7A">
        <w:t xml:space="preserve"> </w:t>
      </w:r>
    </w:p>
    <w:p w:rsidR="00E97204" w:rsidP="00E97204" w:rsidRDefault="00E97204" w14:paraId="1AE89317" w14:textId="77777777"/>
    <w:p w:rsidR="007A16FA" w:rsidP="000902A7" w:rsidRDefault="00D442C3" w14:paraId="5391A3E6" w14:textId="0CDA7358">
      <w:r>
        <w:t xml:space="preserve">Semi-structured qualitative interviews with grantees and practice staff will include telephone and in-person interviews and practice site visits. </w:t>
      </w:r>
      <w:r w:rsidR="00E97204">
        <w:t xml:space="preserve">The interviews will provide </w:t>
      </w:r>
      <w:r w:rsidRPr="00E97204" w:rsidR="00E97204">
        <w:t xml:space="preserve">qualitative data on grantees’ approaches to disseminating and implementing </w:t>
      </w:r>
      <w:r w:rsidR="00D9330E">
        <w:t xml:space="preserve">patient-centered outcomes </w:t>
      </w:r>
      <w:r w:rsidRPr="00E97204" w:rsidR="00E97204">
        <w:t xml:space="preserve">findings and barriers and facilitators to improving the management of </w:t>
      </w:r>
      <w:r w:rsidR="00D9330E">
        <w:t>unhealthy alcohol use</w:t>
      </w:r>
      <w:r w:rsidRPr="00E97204" w:rsidR="00E97204">
        <w:t xml:space="preserve"> in primary care. The interviews will highlight the difference</w:t>
      </w:r>
      <w:r w:rsidR="00787171">
        <w:t>s</w:t>
      </w:r>
      <w:r w:rsidRPr="00E97204" w:rsidR="00E97204">
        <w:t xml:space="preserve"> in grantee strategies and how those differences impact the implementation of </w:t>
      </w:r>
      <w:r w:rsidR="00AE683C">
        <w:t xml:space="preserve">screening, brief intervention, referral to treatment, </w:t>
      </w:r>
      <w:r w:rsidRPr="00E97204" w:rsidR="00E97204">
        <w:t xml:space="preserve">and </w:t>
      </w:r>
      <w:r w:rsidR="00D9330E">
        <w:t>medication-assisted therapy</w:t>
      </w:r>
      <w:r w:rsidRPr="00E97204" w:rsidR="00E97204">
        <w:t xml:space="preserve"> into primary care practices. </w:t>
      </w:r>
      <w:r w:rsidR="00220826">
        <w:t xml:space="preserve">Qualitative key informant interviews provide a deep dive and a more thorough understanding of grantee and primary care practices’ experiences throughout the initiative. Identifying best practices and lessons learned provides critical data for future </w:t>
      </w:r>
      <w:r w:rsidR="00D9330E">
        <w:t>unhealthy alcohol use</w:t>
      </w:r>
      <w:r w:rsidR="00220826">
        <w:t xml:space="preserve"> implementation. </w:t>
      </w:r>
      <w:r w:rsidR="00E97204">
        <w:t>The Key Informant Interview G</w:t>
      </w:r>
      <w:r w:rsidR="00862D0C">
        <w:t xml:space="preserve">uide </w:t>
      </w:r>
      <w:r w:rsidR="00D44CDD">
        <w:t xml:space="preserve">for </w:t>
      </w:r>
      <w:r w:rsidR="00862D0C">
        <w:t>Grantees</w:t>
      </w:r>
      <w:r w:rsidRPr="00E97204" w:rsidR="00E97204">
        <w:t xml:space="preserve"> </w:t>
      </w:r>
      <w:r w:rsidR="00E97204">
        <w:t xml:space="preserve">is contained in </w:t>
      </w:r>
      <w:r w:rsidRPr="000902A7" w:rsidR="00E97204">
        <w:rPr>
          <w:b/>
        </w:rPr>
        <w:t xml:space="preserve">Attachment </w:t>
      </w:r>
      <w:r w:rsidR="00CF0593">
        <w:rPr>
          <w:b/>
        </w:rPr>
        <w:t>B</w:t>
      </w:r>
      <w:r w:rsidR="00E97204">
        <w:t>.</w:t>
      </w:r>
      <w:r w:rsidR="00220826">
        <w:t xml:space="preserve"> T</w:t>
      </w:r>
      <w:r w:rsidR="00E97204">
        <w:t xml:space="preserve">he Key Informant Interview Guide </w:t>
      </w:r>
      <w:r w:rsidR="00D44CDD">
        <w:t>for</w:t>
      </w:r>
      <w:r w:rsidR="00862D0C">
        <w:t xml:space="preserve"> Practices </w:t>
      </w:r>
      <w:r w:rsidR="00E97204">
        <w:t xml:space="preserve">is </w:t>
      </w:r>
      <w:r w:rsidRPr="00862D0C" w:rsidR="00E97204">
        <w:t xml:space="preserve">contained in </w:t>
      </w:r>
      <w:r w:rsidRPr="00862D0C" w:rsidR="00220826">
        <w:rPr>
          <w:b/>
        </w:rPr>
        <w:t>Attachment</w:t>
      </w:r>
      <w:r w:rsidRPr="00862D0C" w:rsidR="00E97204">
        <w:rPr>
          <w:b/>
        </w:rPr>
        <w:t xml:space="preserve"> </w:t>
      </w:r>
      <w:r w:rsidR="00CF0593">
        <w:rPr>
          <w:b/>
        </w:rPr>
        <w:t>C</w:t>
      </w:r>
      <w:r w:rsidRPr="00862D0C" w:rsidR="00E97204">
        <w:t>.</w:t>
      </w:r>
      <w:r w:rsidR="003F4851">
        <w:t xml:space="preserve"> </w:t>
      </w:r>
      <w:r w:rsidR="00787171">
        <w:t xml:space="preserve">The practice interview guide </w:t>
      </w:r>
      <w:r w:rsidRPr="00E97204" w:rsidR="00787171">
        <w:t>cover</w:t>
      </w:r>
      <w:r w:rsidR="00787171">
        <w:t>s</w:t>
      </w:r>
      <w:r w:rsidRPr="00E97204" w:rsidR="00787171">
        <w:t xml:space="preserve"> </w:t>
      </w:r>
      <w:r w:rsidR="00787171">
        <w:t>similar</w:t>
      </w:r>
      <w:r w:rsidRPr="00E97204" w:rsidR="00787171">
        <w:t xml:space="preserve"> domains as </w:t>
      </w:r>
      <w:r w:rsidR="00787171">
        <w:t xml:space="preserve">the grantee version, </w:t>
      </w:r>
      <w:r w:rsidRPr="00E97204" w:rsidR="00787171">
        <w:t xml:space="preserve">but </w:t>
      </w:r>
      <w:r w:rsidR="00787171">
        <w:t xml:space="preserve">is </w:t>
      </w:r>
      <w:r w:rsidRPr="00E97204" w:rsidR="00787171">
        <w:t>tailored to primary care practice personnel.</w:t>
      </w:r>
      <w:r w:rsidR="007A16FA">
        <w:t xml:space="preserve"> In order to test the validity and reliability of the interview guides, the evaluator conduct</w:t>
      </w:r>
      <w:r w:rsidR="00196DFA">
        <w:t>ed</w:t>
      </w:r>
      <w:r w:rsidR="007A16FA">
        <w:t xml:space="preserve"> pilot testing with technical experts and project consultants. The evaluator conduct</w:t>
      </w:r>
      <w:r w:rsidR="00196DFA">
        <w:t>ed</w:t>
      </w:r>
      <w:r w:rsidR="007A16FA">
        <w:t xml:space="preserve"> mock interviews of both practice and grantee interview gui</w:t>
      </w:r>
      <w:r w:rsidRPr="009847E5" w:rsidR="007A16FA">
        <w:t>des</w:t>
      </w:r>
      <w:r w:rsidRPr="009847E5" w:rsidR="009847E5">
        <w:t xml:space="preserve"> to gain feedback on question comprehension and wording</w:t>
      </w:r>
      <w:r w:rsidRPr="009847E5" w:rsidR="007A16FA">
        <w:t xml:space="preserve">. </w:t>
      </w:r>
    </w:p>
    <w:p w:rsidR="00D442C3" w:rsidP="000902A7" w:rsidRDefault="00D442C3" w14:paraId="0C522602" w14:textId="77777777"/>
    <w:p w:rsidR="00E97204" w:rsidP="000902A7" w:rsidRDefault="00D442C3" w14:paraId="03B1EADB" w14:textId="530CFB9C">
      <w:r>
        <w:rPr>
          <w:u w:val="single"/>
        </w:rPr>
        <w:t>Telephone Interviews with Grantees</w:t>
      </w:r>
      <w:r w:rsidR="00421636">
        <w:rPr>
          <w:u w:val="single"/>
        </w:rPr>
        <w:t xml:space="preserve"> and Practices</w:t>
      </w:r>
      <w:r>
        <w:rPr>
          <w:u w:val="single"/>
        </w:rPr>
        <w:t xml:space="preserve">: </w:t>
      </w:r>
      <w:r w:rsidR="00220826">
        <w:t>Key Informant I</w:t>
      </w:r>
      <w:r>
        <w:t>nterviews</w:t>
      </w:r>
      <w:r w:rsidRPr="00D442C3" w:rsidR="00C97B4C">
        <w:t xml:space="preserve"> </w:t>
      </w:r>
      <w:r w:rsidRPr="00D442C3" w:rsidR="004B0291">
        <w:t xml:space="preserve">will be conducted </w:t>
      </w:r>
      <w:r w:rsidRPr="00D442C3" w:rsidR="00C97B4C">
        <w:t>with key staff from each grantee team (i.e., princip</w:t>
      </w:r>
      <w:r w:rsidRPr="00D442C3" w:rsidR="004B0291">
        <w:t>al</w:t>
      </w:r>
      <w:r w:rsidRPr="00D442C3" w:rsidR="00C97B4C">
        <w:t xml:space="preserve"> investigator, evaluation lead, practice facilitator/implementation lead, project manager)</w:t>
      </w:r>
      <w:r w:rsidR="00421636">
        <w:t xml:space="preserve"> and with key staff from one practice affiliated with each grantee </w:t>
      </w:r>
      <w:r w:rsidRPr="00795426" w:rsidR="00421636">
        <w:t xml:space="preserve">(i.e., </w:t>
      </w:r>
      <w:r w:rsidRPr="000902A7" w:rsidR="00795426">
        <w:t>c</w:t>
      </w:r>
      <w:r w:rsidRPr="00795426" w:rsidR="00795426">
        <w:t xml:space="preserve">linician champion, </w:t>
      </w:r>
      <w:r w:rsidRPr="00077011" w:rsidR="00795426">
        <w:t>frontline clinician</w:t>
      </w:r>
      <w:r w:rsidRPr="000902A7" w:rsidR="00795426">
        <w:t>,</w:t>
      </w:r>
      <w:r w:rsidRPr="00795426" w:rsidR="00795426">
        <w:t xml:space="preserve"> </w:t>
      </w:r>
      <w:r w:rsidRPr="000902A7" w:rsidR="00795426">
        <w:t>practice manager,</w:t>
      </w:r>
      <w:r w:rsidRPr="00795426" w:rsidR="00795426">
        <w:t xml:space="preserve"> </w:t>
      </w:r>
      <w:r w:rsidRPr="000902A7" w:rsidR="00795426">
        <w:t xml:space="preserve">non-clinical staff </w:t>
      </w:r>
      <w:r w:rsidR="00795426">
        <w:t>such as front/back office staff or medical assistant</w:t>
      </w:r>
      <w:r w:rsidRPr="00795426" w:rsidR="00421636">
        <w:t>)</w:t>
      </w:r>
      <w:r w:rsidR="00421636">
        <w:t xml:space="preserve"> </w:t>
      </w:r>
      <w:r w:rsidR="00E97204">
        <w:t xml:space="preserve">at the end of Year 1 and again in Year 3. </w:t>
      </w:r>
      <w:r w:rsidRPr="00D442C3" w:rsidR="00C97B4C">
        <w:t xml:space="preserve"> </w:t>
      </w:r>
      <w:r w:rsidRPr="00D442C3" w:rsidR="00996B09">
        <w:t xml:space="preserve">The discussions will cover domains such as understanding methods of supporting practices, </w:t>
      </w:r>
      <w:r>
        <w:t xml:space="preserve">grantee </w:t>
      </w:r>
      <w:r w:rsidR="00291516">
        <w:t xml:space="preserve">and practice </w:t>
      </w:r>
      <w:r w:rsidRPr="00D442C3" w:rsidR="00996B09">
        <w:t xml:space="preserve">barriers and facilitators to implementation, strategies to overcome barriers, and the number and type of staff </w:t>
      </w:r>
      <w:r w:rsidR="00220826">
        <w:t>involved</w:t>
      </w:r>
      <w:r w:rsidRPr="00D442C3" w:rsidR="00996B09">
        <w:t xml:space="preserve">. </w:t>
      </w:r>
      <w:r w:rsidR="00421636">
        <w:t>Using the same semi-structured interview guide</w:t>
      </w:r>
      <w:r w:rsidR="00787171">
        <w:t xml:space="preserve">s </w:t>
      </w:r>
      <w:r w:rsidR="00421636">
        <w:t xml:space="preserve">at different points in time will allow the evaluator to track changes in what is salient to the grantees </w:t>
      </w:r>
      <w:r w:rsidR="00787171">
        <w:t xml:space="preserve">and what is salient to practices </w:t>
      </w:r>
      <w:r w:rsidR="00421636">
        <w:t>over the course of the initiative.</w:t>
      </w:r>
    </w:p>
    <w:p w:rsidR="00E97204" w:rsidP="000902A7" w:rsidRDefault="00E97204" w14:paraId="12FED37D" w14:textId="77777777"/>
    <w:p w:rsidRPr="00E97204" w:rsidR="00A56551" w:rsidP="000902A7" w:rsidRDefault="00E97204" w14:paraId="7563143D" w14:textId="4960C673">
      <w:r w:rsidRPr="000902A7">
        <w:rPr>
          <w:u w:val="single"/>
        </w:rPr>
        <w:t>Site Visits with Grantees and Practices</w:t>
      </w:r>
      <w:r>
        <w:t xml:space="preserve">: In Year 2, </w:t>
      </w:r>
      <w:r w:rsidR="00220826">
        <w:t>i</w:t>
      </w:r>
      <w:r>
        <w:t xml:space="preserve">nterviews will occur in-person </w:t>
      </w:r>
      <w:r w:rsidR="00787171">
        <w:t xml:space="preserve">at grantee locations. </w:t>
      </w:r>
      <w:r w:rsidR="00220826">
        <w:t>The same Key Info</w:t>
      </w:r>
      <w:r w:rsidR="00862D0C">
        <w:t>rmant Interview G</w:t>
      </w:r>
      <w:r w:rsidR="00220826">
        <w:t>uide</w:t>
      </w:r>
      <w:r w:rsidR="00787171">
        <w:t xml:space="preserve"> for Grantees</w:t>
      </w:r>
      <w:r w:rsidR="00220826">
        <w:t xml:space="preserve"> will be used but the in-person meetings will facilitate more </w:t>
      </w:r>
      <w:r w:rsidR="00077011">
        <w:t>active</w:t>
      </w:r>
      <w:r w:rsidR="00220826">
        <w:t xml:space="preserve"> engagement with grantee teams. </w:t>
      </w:r>
      <w:r w:rsidR="00941920">
        <w:t>As possible, during the grantee site visits, practice site visits will also be conducted</w:t>
      </w:r>
      <w:r w:rsidR="00787171">
        <w:t>, using the Key Informant Interview Guide for Practices</w:t>
      </w:r>
      <w:r w:rsidR="00941920">
        <w:t>. Practice d</w:t>
      </w:r>
      <w:r w:rsidRPr="00D442C3" w:rsidR="00996B09">
        <w:t>iscussion</w:t>
      </w:r>
      <w:r w:rsidR="00941920">
        <w:t>s</w:t>
      </w:r>
      <w:r w:rsidRPr="00D442C3" w:rsidR="00996B09">
        <w:t xml:space="preserve"> will be conducted with clinicians and staff at a small </w:t>
      </w:r>
      <w:r w:rsidRPr="00D442C3" w:rsidR="00996B09">
        <w:lastRenderedPageBreak/>
        <w:t xml:space="preserve">number of primary care practices affiliated with each grantee. </w:t>
      </w:r>
      <w:r w:rsidR="00862D0C">
        <w:t xml:space="preserve">Practice site visits will cover </w:t>
      </w:r>
      <w:r w:rsidRPr="00D442C3" w:rsidR="00862D0C">
        <w:t xml:space="preserve">methods of </w:t>
      </w:r>
      <w:r w:rsidR="00AE683C">
        <w:t xml:space="preserve">screening, brief intervention, referral to treatment, </w:t>
      </w:r>
      <w:r w:rsidR="00862D0C">
        <w:t xml:space="preserve">and </w:t>
      </w:r>
      <w:r w:rsidR="00D9330E">
        <w:t>medication-assisted therapy</w:t>
      </w:r>
      <w:r w:rsidR="00862D0C">
        <w:t xml:space="preserve"> implementation into practice flow</w:t>
      </w:r>
      <w:r w:rsidRPr="00D442C3" w:rsidR="00862D0C">
        <w:t xml:space="preserve">, barriers and facilitators to implementation, strategies to overcome barriers, and the number and type of </w:t>
      </w:r>
      <w:r w:rsidR="00862D0C">
        <w:t xml:space="preserve">clinical and non-clinical </w:t>
      </w:r>
      <w:r w:rsidRPr="00D442C3" w:rsidR="00862D0C">
        <w:t xml:space="preserve">staff </w:t>
      </w:r>
      <w:r w:rsidR="00862D0C">
        <w:t>involved</w:t>
      </w:r>
      <w:r w:rsidRPr="00D442C3" w:rsidR="00862D0C">
        <w:t xml:space="preserve">. </w:t>
      </w:r>
    </w:p>
    <w:p w:rsidR="005675BA" w:rsidP="0043565C" w:rsidRDefault="005675BA" w14:paraId="28442830" w14:textId="77777777">
      <w:pPr>
        <w:pStyle w:val="ListParagraph"/>
        <w:rPr>
          <w:rFonts w:ascii="Times New Roman" w:hAnsi="Times New Roman"/>
        </w:rPr>
      </w:pPr>
    </w:p>
    <w:p w:rsidRPr="00A56551" w:rsidR="00AB1A72" w:rsidP="00AB1A72" w:rsidRDefault="00AB1A72" w14:paraId="1C4BCCCA" w14:textId="77777777">
      <w:pPr>
        <w:pStyle w:val="ListParagraph"/>
        <w:rPr>
          <w:rFonts w:ascii="Times New Roman" w:hAnsi="Times New Roman"/>
        </w:rPr>
      </w:pPr>
    </w:p>
    <w:p w:rsidR="00101FAE" w:rsidP="00AB1A72" w:rsidRDefault="00DD107D" w14:paraId="188AFB63" w14:textId="70DFBA3C">
      <w:pPr>
        <w:pStyle w:val="Heading2"/>
        <w:spacing w:before="0" w:after="0"/>
      </w:pPr>
      <w:bookmarkStart w:name="_Toc31274460" w:id="11"/>
      <w:bookmarkStart w:name="_Toc35934824" w:id="12"/>
      <w:r w:rsidRPr="00A56551">
        <w:t>A3. Improved Information Technology to Reduce Burden</w:t>
      </w:r>
      <w:bookmarkEnd w:id="11"/>
      <w:bookmarkEnd w:id="12"/>
    </w:p>
    <w:p w:rsidRPr="00D17320" w:rsidR="00D17320" w:rsidP="00AB1A72" w:rsidRDefault="00D17320" w14:paraId="552B075C" w14:textId="77777777"/>
    <w:p w:rsidR="005675BA" w:rsidRDefault="00077011" w14:paraId="59C681E4" w14:textId="086F70AE">
      <w:r>
        <w:t xml:space="preserve">Rather than conducting all key informant interviews in-person, interviews will be conducted by telephone in </w:t>
      </w:r>
      <w:r w:rsidR="00C630AB">
        <w:t>Y</w:t>
      </w:r>
      <w:r>
        <w:t xml:space="preserve">ears 1 and 3, in order to minimize burden to grantees and practices. </w:t>
      </w:r>
      <w:r w:rsidR="00862D0C">
        <w:t xml:space="preserve">No information technology burdens exist for this qualitative data collection. </w:t>
      </w:r>
    </w:p>
    <w:p w:rsidR="003F4851" w:rsidRDefault="003F4851" w14:paraId="6798DF8C" w14:textId="77777777"/>
    <w:p w:rsidRPr="000F73A3" w:rsidR="00AB1A72" w:rsidRDefault="00AB1A72" w14:paraId="571ABAA4" w14:textId="77777777"/>
    <w:p w:rsidR="00DD107D" w:rsidP="00AB1A72" w:rsidRDefault="00DD107D" w14:paraId="25F50E77" w14:textId="2AD16F25">
      <w:pPr>
        <w:pStyle w:val="Heading2"/>
        <w:spacing w:before="0" w:after="0"/>
      </w:pPr>
      <w:bookmarkStart w:name="_Toc31274461" w:id="13"/>
      <w:bookmarkStart w:name="_Toc35934825" w:id="14"/>
      <w:r>
        <w:t xml:space="preserve">A4. </w:t>
      </w:r>
      <w:r w:rsidRPr="0072204D">
        <w:t>Efforts to Identify Duplication</w:t>
      </w:r>
      <w:bookmarkEnd w:id="13"/>
      <w:bookmarkEnd w:id="14"/>
    </w:p>
    <w:p w:rsidRPr="00D17320" w:rsidR="00D17320" w:rsidP="00AB1A72" w:rsidRDefault="00D17320" w14:paraId="76611EC1" w14:textId="77777777"/>
    <w:p w:rsidR="002333F0" w:rsidP="008E7C2A" w:rsidRDefault="002333F0" w14:paraId="456B4A8A" w14:textId="7E226CE4">
      <w:r>
        <w:t xml:space="preserve">AHRQ is not aware of any other national efforts </w:t>
      </w:r>
      <w:r w:rsidR="00E31A59">
        <w:t xml:space="preserve">to improve management of </w:t>
      </w:r>
      <w:r w:rsidR="00D9330E">
        <w:t>unhealthy alcohol use</w:t>
      </w:r>
      <w:r w:rsidR="00E31A59">
        <w:t xml:space="preserve"> in primary care practices that </w:t>
      </w:r>
      <w:r>
        <w:t>cover</w:t>
      </w:r>
      <w:r w:rsidR="00E31A59">
        <w:t>s</w:t>
      </w:r>
      <w:r>
        <w:t xml:space="preserve"> multiple geographic regions </w:t>
      </w:r>
      <w:r w:rsidR="00E31A59">
        <w:t xml:space="preserve">and </w:t>
      </w:r>
      <w:r>
        <w:t>align</w:t>
      </w:r>
      <w:r w:rsidR="00A71A59">
        <w:t>s</w:t>
      </w:r>
      <w:r w:rsidR="001B7E29">
        <w:t xml:space="preserve"> with the </w:t>
      </w:r>
      <w:r w:rsidRPr="003F18CA" w:rsidR="001B7E29">
        <w:t>United States Preventive Services Task Force</w:t>
      </w:r>
      <w:r>
        <w:t xml:space="preserve">’s 2018 recommendations. While independent </w:t>
      </w:r>
      <w:r w:rsidR="00E31A59">
        <w:t xml:space="preserve">and individual health system/practice </w:t>
      </w:r>
      <w:r w:rsidR="00045A39">
        <w:t xml:space="preserve">screening, brief intervention, referral to treatment, </w:t>
      </w:r>
      <w:r w:rsidR="00E31A59">
        <w:t xml:space="preserve"> and </w:t>
      </w:r>
      <w:r w:rsidR="00D9330E">
        <w:t>medication-assisted therapy</w:t>
      </w:r>
      <w:r w:rsidR="00E31A59">
        <w:t xml:space="preserve"> </w:t>
      </w:r>
      <w:r>
        <w:t>quality improvement efforts may be underway in local environments, the data collected under this national initiative does not currently exist</w:t>
      </w:r>
      <w:r w:rsidR="00BB1177">
        <w:t>, making this data collection necessary</w:t>
      </w:r>
      <w:r w:rsidR="003F4851">
        <w:t>.</w:t>
      </w:r>
    </w:p>
    <w:p w:rsidR="005675BA" w:rsidP="008E7C2A" w:rsidRDefault="005675BA" w14:paraId="2F71FA78" w14:textId="77777777"/>
    <w:p w:rsidR="00AB1A72" w:rsidP="008E7C2A" w:rsidRDefault="00AB1A72" w14:paraId="13A6BE2F" w14:textId="77777777"/>
    <w:p w:rsidR="0034274B" w:rsidP="00AB1A72" w:rsidRDefault="00DD107D" w14:paraId="2BB15D67" w14:textId="7BEAA0E2">
      <w:pPr>
        <w:pStyle w:val="Heading2"/>
        <w:spacing w:before="0" w:after="0"/>
      </w:pPr>
      <w:bookmarkStart w:name="_Toc31274462" w:id="15"/>
      <w:bookmarkStart w:name="_Toc35934826" w:id="16"/>
      <w:r>
        <w:t xml:space="preserve">A5. </w:t>
      </w:r>
      <w:r w:rsidRPr="0072204D">
        <w:t>Involvement of Small Organizations</w:t>
      </w:r>
      <w:bookmarkEnd w:id="15"/>
      <w:bookmarkEnd w:id="16"/>
    </w:p>
    <w:p w:rsidRPr="00D17320" w:rsidR="00D17320" w:rsidP="00AB1A72" w:rsidRDefault="00D17320" w14:paraId="0B3022D7" w14:textId="77777777"/>
    <w:p w:rsidR="00DD107D" w:rsidP="001C7940" w:rsidRDefault="00A14745" w14:paraId="39F0E550" w14:textId="4EA737FD">
      <w:pPr>
        <w:rPr>
          <w:color w:val="FFFFFF" w:themeColor="background1"/>
        </w:rPr>
      </w:pPr>
      <w:r>
        <w:t>Primary care practices</w:t>
      </w:r>
      <w:r w:rsidR="00CC2983">
        <w:t xml:space="preserve"> are the only small organizations </w:t>
      </w:r>
      <w:r w:rsidR="00861C85">
        <w:t>eligible for inclusion</w:t>
      </w:r>
      <w:r w:rsidR="00CC2983">
        <w:t xml:space="preserve"> in the </w:t>
      </w:r>
      <w:r w:rsidR="00D9330E">
        <w:t>multisite evaluation</w:t>
      </w:r>
      <w:r w:rsidR="00861C85">
        <w:t>.</w:t>
      </w:r>
      <w:r w:rsidR="00CC2983">
        <w:t xml:space="preserve"> </w:t>
      </w:r>
      <w:r w:rsidR="007725E4">
        <w:t xml:space="preserve">For this project, only </w:t>
      </w:r>
      <w:r w:rsidR="00DE3C47">
        <w:t>data collection activities</w:t>
      </w:r>
      <w:r w:rsidR="007725E4">
        <w:t xml:space="preserve"> that provide critical information for conducting the evaluation </w:t>
      </w:r>
      <w:r w:rsidR="00DE3C47">
        <w:t>have been</w:t>
      </w:r>
      <w:r w:rsidR="007725E4">
        <w:t xml:space="preserve"> included and the information being requested has been held to the minimum required for the intended use.</w:t>
      </w:r>
      <w:r w:rsidRPr="00D508AF" w:rsidR="00D508AF">
        <w:rPr>
          <w:color w:val="FFFFFF" w:themeColor="background1"/>
        </w:rPr>
        <w:t xml:space="preserve">re </w:t>
      </w:r>
      <w:r w:rsidR="003F4851">
        <w:rPr>
          <w:color w:val="FFFFFF" w:themeColor="background1"/>
        </w:rPr>
        <w:t>practice</w:t>
      </w:r>
    </w:p>
    <w:p w:rsidR="00806ED5" w:rsidP="001C7940" w:rsidRDefault="00806ED5" w14:paraId="05E90C53" w14:textId="77777777">
      <w:pPr>
        <w:rPr>
          <w:color w:val="FFFFFF" w:themeColor="background1"/>
        </w:rPr>
      </w:pPr>
    </w:p>
    <w:p w:rsidRPr="00D508AF" w:rsidR="005675BA" w:rsidP="001C7940" w:rsidRDefault="005675BA" w14:paraId="42A2A3FC" w14:textId="77777777">
      <w:pPr>
        <w:rPr>
          <w:color w:val="FFFFFF" w:themeColor="background1"/>
        </w:rPr>
      </w:pPr>
    </w:p>
    <w:p w:rsidR="00395BDC" w:rsidP="005675BA" w:rsidRDefault="00DD107D" w14:paraId="6999F0BF" w14:textId="77777777">
      <w:pPr>
        <w:pStyle w:val="Heading2"/>
        <w:spacing w:before="0" w:after="0"/>
      </w:pPr>
      <w:bookmarkStart w:name="_Toc31274463" w:id="17"/>
      <w:bookmarkStart w:name="_Toc35934827" w:id="18"/>
      <w:r>
        <w:t xml:space="preserve">A6. </w:t>
      </w:r>
      <w:r w:rsidRPr="0072204D">
        <w:t>Consequences o</w:t>
      </w:r>
      <w:r w:rsidR="004D79F6">
        <w:t>f Less Frequent Data Collection</w:t>
      </w:r>
      <w:bookmarkEnd w:id="17"/>
      <w:bookmarkEnd w:id="18"/>
    </w:p>
    <w:p w:rsidRPr="005675BA" w:rsidR="005675BA" w:rsidP="005675BA" w:rsidRDefault="005675BA" w14:paraId="01839BFC" w14:textId="77777777"/>
    <w:p w:rsidR="00492389" w:rsidP="005675BA" w:rsidRDefault="00492389" w14:paraId="5601235F" w14:textId="43C3D2ED">
      <w:r>
        <w:t xml:space="preserve">This data collection effort will be part of </w:t>
      </w:r>
      <w:r w:rsidR="00C630AB">
        <w:t xml:space="preserve">the </w:t>
      </w:r>
      <w:r w:rsidR="00D9330E">
        <w:t>multisite evaluation</w:t>
      </w:r>
      <w:r>
        <w:t xml:space="preserve"> to assess the a</w:t>
      </w:r>
      <w:r w:rsidR="00AF0C52">
        <w:t xml:space="preserve">doption of </w:t>
      </w:r>
      <w:r w:rsidR="00045A39">
        <w:t>screening, brief intervention, referral to treatment</w:t>
      </w:r>
      <w:r w:rsidR="002F1E68">
        <w:t>, and</w:t>
      </w:r>
      <w:r>
        <w:t xml:space="preserve"> </w:t>
      </w:r>
      <w:r w:rsidR="00D9330E">
        <w:t>medication-assisted therapy</w:t>
      </w:r>
      <w:r>
        <w:t xml:space="preserve"> in primary care practice settings</w:t>
      </w:r>
      <w:r w:rsidR="009E3722">
        <w:t>,</w:t>
      </w:r>
      <w:r>
        <w:t xml:space="preserve"> evaluate the characteristics of primary care practices associated with increases in adoption, and to understand the impact and sustainability of the </w:t>
      </w:r>
      <w:r w:rsidR="009E3722">
        <w:t>initiative within primary care practices</w:t>
      </w:r>
      <w:r>
        <w:t xml:space="preserve">. The planned frequency of data collection is necessary to accurately assess the adoption and effectiveness of the </w:t>
      </w:r>
      <w:r w:rsidR="009E3722">
        <w:t>implementation</w:t>
      </w:r>
      <w:r>
        <w:t>. If the data collection were less frequent, the eval</w:t>
      </w:r>
      <w:r w:rsidR="003F4851">
        <w:t xml:space="preserve">uation could not be completed. </w:t>
      </w:r>
    </w:p>
    <w:p w:rsidRPr="00C8638B" w:rsidR="00492389" w:rsidP="005675BA" w:rsidRDefault="00492389" w14:paraId="0DA5331B" w14:textId="77777777">
      <w:pPr>
        <w:tabs>
          <w:tab w:val="left" w:pos="360"/>
        </w:tabs>
        <w:ind w:left="1440"/>
      </w:pPr>
    </w:p>
    <w:p w:rsidR="00DD107D" w:rsidP="005675BA" w:rsidRDefault="00B842F5" w14:paraId="18A40C76" w14:textId="5263B3EA">
      <w:pPr>
        <w:tabs>
          <w:tab w:val="left" w:pos="360"/>
        </w:tabs>
        <w:rPr>
          <w:bCs/>
        </w:rPr>
      </w:pPr>
      <w:r w:rsidRPr="0054079E">
        <w:rPr>
          <w:bCs/>
        </w:rPr>
        <w:t>The sem</w:t>
      </w:r>
      <w:r>
        <w:rPr>
          <w:bCs/>
        </w:rPr>
        <w:t xml:space="preserve">i-structured </w:t>
      </w:r>
      <w:r w:rsidR="009E3722">
        <w:rPr>
          <w:bCs/>
        </w:rPr>
        <w:t>Key Informant I</w:t>
      </w:r>
      <w:r w:rsidRPr="0054079E">
        <w:rPr>
          <w:bCs/>
        </w:rPr>
        <w:t>nterviews w</w:t>
      </w:r>
      <w:r w:rsidRPr="00A571F9">
        <w:rPr>
          <w:bCs/>
        </w:rPr>
        <w:t xml:space="preserve">ill be </w:t>
      </w:r>
      <w:r>
        <w:rPr>
          <w:bCs/>
        </w:rPr>
        <w:t>conducted</w:t>
      </w:r>
      <w:r w:rsidRPr="00B842F5">
        <w:t xml:space="preserve"> </w:t>
      </w:r>
      <w:r w:rsidRPr="00B842F5">
        <w:rPr>
          <w:bCs/>
        </w:rPr>
        <w:t>annually beginning at the end of Year 1, for a total of three time points per grantee</w:t>
      </w:r>
      <w:r w:rsidRPr="00A571F9">
        <w:rPr>
          <w:bCs/>
        </w:rPr>
        <w:t xml:space="preserve"> </w:t>
      </w:r>
      <w:r>
        <w:rPr>
          <w:bCs/>
        </w:rPr>
        <w:t xml:space="preserve">to collect qualitative information </w:t>
      </w:r>
      <w:r w:rsidR="00550AD5">
        <w:rPr>
          <w:bCs/>
        </w:rPr>
        <w:t xml:space="preserve">on </w:t>
      </w:r>
      <w:r w:rsidRPr="00550AD5" w:rsidR="00550AD5">
        <w:rPr>
          <w:bCs/>
        </w:rPr>
        <w:t xml:space="preserve">grantees’ approaches to disseminating and implementing </w:t>
      </w:r>
      <w:r w:rsidR="00D9330E">
        <w:t>patient-centered outcomes research</w:t>
      </w:r>
      <w:r w:rsidRPr="00550AD5" w:rsidR="00550AD5">
        <w:rPr>
          <w:bCs/>
        </w:rPr>
        <w:t xml:space="preserve"> findings and barriers and facilitators to improving the management of </w:t>
      </w:r>
      <w:r w:rsidR="00D9330E">
        <w:t>unhealthy alcohol use</w:t>
      </w:r>
      <w:r w:rsidRPr="00550AD5" w:rsidR="00550AD5">
        <w:rPr>
          <w:bCs/>
        </w:rPr>
        <w:t xml:space="preserve"> in </w:t>
      </w:r>
      <w:r w:rsidRPr="00550AD5" w:rsidR="00550AD5">
        <w:rPr>
          <w:bCs/>
        </w:rPr>
        <w:lastRenderedPageBreak/>
        <w:t>primary care</w:t>
      </w:r>
      <w:r>
        <w:rPr>
          <w:bCs/>
        </w:rPr>
        <w:t>.</w:t>
      </w:r>
      <w:r w:rsidR="00BB1177">
        <w:rPr>
          <w:bCs/>
        </w:rPr>
        <w:t xml:space="preserve"> Key Informant Interviews will also be conducted with practices in order to collect qualitative information on the processes practices have adopted in order to disseminate and implement </w:t>
      </w:r>
      <w:r w:rsidR="00D9330E">
        <w:t>patient-centered outcomes research</w:t>
      </w:r>
      <w:r w:rsidR="00BB1177">
        <w:rPr>
          <w:bCs/>
        </w:rPr>
        <w:t xml:space="preserve"> findings and barriers and facilitators to improving the management of </w:t>
      </w:r>
      <w:r w:rsidR="00D9330E">
        <w:t>unhealthy alcohol use</w:t>
      </w:r>
      <w:r w:rsidR="00BB1177">
        <w:rPr>
          <w:bCs/>
        </w:rPr>
        <w:t xml:space="preserve"> in primary care.</w:t>
      </w:r>
      <w:r>
        <w:rPr>
          <w:bCs/>
        </w:rPr>
        <w:t xml:space="preserve">  </w:t>
      </w:r>
      <w:r w:rsidRPr="00A571F9">
        <w:rPr>
          <w:bCs/>
        </w:rPr>
        <w:t xml:space="preserve"> </w:t>
      </w:r>
    </w:p>
    <w:p w:rsidR="005675BA" w:rsidP="005675BA" w:rsidRDefault="005675BA" w14:paraId="75717FEA" w14:textId="77777777">
      <w:pPr>
        <w:tabs>
          <w:tab w:val="left" w:pos="360"/>
        </w:tabs>
        <w:rPr>
          <w:bCs/>
        </w:rPr>
      </w:pPr>
    </w:p>
    <w:p w:rsidR="00AB1A72" w:rsidP="00B16929" w:rsidRDefault="00AB1A72" w14:paraId="3E5B2F32" w14:textId="77777777">
      <w:pPr>
        <w:tabs>
          <w:tab w:val="left" w:pos="360"/>
        </w:tabs>
      </w:pPr>
    </w:p>
    <w:p w:rsidR="00D17320" w:rsidP="00AB1A72" w:rsidRDefault="00DD107D" w14:paraId="687EBE44" w14:textId="77777777">
      <w:pPr>
        <w:pStyle w:val="Heading2"/>
        <w:spacing w:before="0" w:after="0"/>
      </w:pPr>
      <w:bookmarkStart w:name="_Toc31274464" w:id="19"/>
      <w:bookmarkStart w:name="_Toc35934828" w:id="20"/>
      <w:r>
        <w:t xml:space="preserve">A7. </w:t>
      </w:r>
      <w:r w:rsidRPr="0072204D">
        <w:t>Special Circumstances</w:t>
      </w:r>
      <w:bookmarkEnd w:id="19"/>
      <w:bookmarkEnd w:id="20"/>
    </w:p>
    <w:p w:rsidRPr="00D17320" w:rsidR="00D17320" w:rsidP="00D17320" w:rsidRDefault="00D17320" w14:paraId="38723167" w14:textId="77777777"/>
    <w:p w:rsidR="00DD107D" w:rsidP="001C7940" w:rsidRDefault="00F3280F" w14:paraId="615627C5" w14:textId="685EC223">
      <w:r w:rsidRPr="00F3280F">
        <w:t>This request is consistent with the general information colle</w:t>
      </w:r>
      <w:r>
        <w:t>ction guidelines of 5 CFR 1320.</w:t>
      </w:r>
      <w:r w:rsidR="00B842F5">
        <w:t>5</w:t>
      </w:r>
      <w:r>
        <w:t>(d</w:t>
      </w:r>
      <w:proofErr w:type="gramStart"/>
      <w:r>
        <w:t>)</w:t>
      </w:r>
      <w:r w:rsidR="00B842F5">
        <w:t>(</w:t>
      </w:r>
      <w:proofErr w:type="gramEnd"/>
      <w:r w:rsidR="00B842F5">
        <w:t>2</w:t>
      </w:r>
      <w:r>
        <w:t>)</w:t>
      </w:r>
      <w:r w:rsidR="003F4851">
        <w:t xml:space="preserve">. </w:t>
      </w:r>
      <w:r w:rsidRPr="00F3280F">
        <w:t>No special circumstances apply.</w:t>
      </w:r>
    </w:p>
    <w:p w:rsidR="005675BA" w:rsidP="001C7940" w:rsidRDefault="005675BA" w14:paraId="1E451BC9" w14:textId="77777777"/>
    <w:p w:rsidR="00D17320" w:rsidP="00AB1A72" w:rsidRDefault="00D17320" w14:paraId="7D0EFE88" w14:textId="77777777"/>
    <w:p w:rsidR="00DD107D" w:rsidP="00AB1A72" w:rsidRDefault="00DD107D" w14:paraId="41408E14" w14:textId="77777777">
      <w:pPr>
        <w:pStyle w:val="Heading2"/>
        <w:spacing w:before="0" w:after="0"/>
      </w:pPr>
      <w:bookmarkStart w:name="_Toc31274465" w:id="21"/>
      <w:bookmarkStart w:name="_Toc35934829" w:id="22"/>
      <w:r w:rsidRPr="000D53DF">
        <w:t>A8. Federal Register Notice and Consultation</w:t>
      </w:r>
      <w:bookmarkEnd w:id="21"/>
      <w:bookmarkEnd w:id="22"/>
    </w:p>
    <w:p w:rsidRPr="00D17320" w:rsidR="00D17320" w:rsidP="00AB1A72" w:rsidRDefault="00D17320" w14:paraId="611C8F2A" w14:textId="77777777"/>
    <w:p w:rsidRPr="00B91D97" w:rsidR="00DD107D" w:rsidP="003F4851" w:rsidRDefault="00DD107D" w14:paraId="6497631D" w14:textId="77777777">
      <w:pPr>
        <w:keepNext/>
        <w:rPr>
          <w:b/>
          <w:i/>
        </w:rPr>
      </w:pPr>
      <w:r w:rsidRPr="004B63ED">
        <w:rPr>
          <w:b/>
          <w:i/>
        </w:rPr>
        <w:t>Federal Register Notice and Comments</w:t>
      </w:r>
    </w:p>
    <w:p w:rsidRPr="004E3A1B" w:rsidR="00C651D1" w:rsidP="00C651D1" w:rsidRDefault="00C651D1" w14:paraId="0EA1E286" w14:textId="5F92E3A1">
      <w:r w:rsidRPr="00C651D1">
        <w:t>In accordance with the Paperwork Reduction Act of 1995 (Pub. L. 104-13) and Office of Management and Budget (OMB) regulations at 5 CFR Part 1320 (60 FR 44978, August 29, 1995), A</w:t>
      </w:r>
      <w:r w:rsidR="00D2080E">
        <w:t>HRQ</w:t>
      </w:r>
      <w:r w:rsidRPr="00C651D1">
        <w:t xml:space="preserve"> published a notice in the Federal Register announcing the agency’s intention to request an OMB review of this information collection activity. This notice was published on </w:t>
      </w:r>
      <w:r w:rsidR="00D2080E">
        <w:t>March</w:t>
      </w:r>
      <w:r w:rsidRPr="00C651D1">
        <w:t xml:space="preserve"> </w:t>
      </w:r>
      <w:r w:rsidR="00D2080E">
        <w:t>30</w:t>
      </w:r>
      <w:r w:rsidRPr="00C651D1">
        <w:t>, 20</w:t>
      </w:r>
      <w:r w:rsidR="00D2080E">
        <w:t>20</w:t>
      </w:r>
      <w:r w:rsidRPr="00C651D1">
        <w:t>, Volume 8</w:t>
      </w:r>
      <w:r w:rsidR="00D2080E">
        <w:t>5</w:t>
      </w:r>
      <w:r w:rsidRPr="00C651D1">
        <w:t xml:space="preserve">, Number </w:t>
      </w:r>
      <w:r w:rsidR="00D2080E">
        <w:t>61</w:t>
      </w:r>
      <w:r w:rsidRPr="00C651D1">
        <w:t xml:space="preserve">, page </w:t>
      </w:r>
      <w:r w:rsidR="00D2080E">
        <w:t>1758</w:t>
      </w:r>
      <w:r w:rsidR="00EF031A">
        <w:t>0</w:t>
      </w:r>
      <w:r w:rsidRPr="00C651D1">
        <w:t xml:space="preserve">, and provided a sixty-day period for public comment. A copy of this notice is attached as Attachment </w:t>
      </w:r>
      <w:r w:rsidR="00D2080E">
        <w:t>D</w:t>
      </w:r>
      <w:r w:rsidRPr="00C651D1">
        <w:t>. During the notice and comment period, the government received no requests for information or substantive comments.</w:t>
      </w:r>
    </w:p>
    <w:p w:rsidR="00DD107D" w:rsidP="003F4851" w:rsidRDefault="00C651D1" w14:paraId="1EC2452D" w14:textId="15D7B0AF">
      <w:r>
        <w:t xml:space="preserve"> </w:t>
      </w:r>
    </w:p>
    <w:p w:rsidR="003F4851" w:rsidP="003F4851" w:rsidRDefault="003F4851" w14:paraId="164A9D92" w14:textId="77777777"/>
    <w:p w:rsidRPr="005813BD" w:rsidR="00DD107D" w:rsidP="003F4851" w:rsidRDefault="00DD107D" w14:paraId="020345B5" w14:textId="77777777">
      <w:pPr>
        <w:pStyle w:val="Heading4"/>
        <w:spacing w:before="0" w:after="0"/>
        <w:rPr>
          <w:b/>
          <w:i w:val="0"/>
          <w:szCs w:val="24"/>
        </w:rPr>
      </w:pPr>
      <w:r w:rsidRPr="005813BD">
        <w:rPr>
          <w:b/>
          <w:szCs w:val="24"/>
        </w:rPr>
        <w:t>Consultation with Experts Outside of the Study</w:t>
      </w:r>
    </w:p>
    <w:p w:rsidR="00C31930" w:rsidP="003F4851" w:rsidRDefault="007039FF" w14:paraId="630F20E6" w14:textId="5E90C404">
      <w:pPr>
        <w:pStyle w:val="NormalSS12"/>
        <w:spacing w:after="0"/>
        <w:ind w:firstLine="0"/>
        <w:jc w:val="left"/>
        <w:rPr>
          <w:rFonts w:ascii="Times New Roman" w:hAnsi="Times New Roman"/>
        </w:rPr>
      </w:pPr>
      <w:r>
        <w:rPr>
          <w:rFonts w:ascii="Times New Roman" w:hAnsi="Times New Roman"/>
        </w:rPr>
        <w:t xml:space="preserve">AHRQ has and </w:t>
      </w:r>
      <w:r w:rsidR="00082335">
        <w:rPr>
          <w:rFonts w:ascii="Times New Roman" w:hAnsi="Times New Roman"/>
        </w:rPr>
        <w:t xml:space="preserve">will </w:t>
      </w:r>
      <w:r>
        <w:rPr>
          <w:rFonts w:ascii="Times New Roman" w:hAnsi="Times New Roman"/>
        </w:rPr>
        <w:t xml:space="preserve">continue to </w:t>
      </w:r>
      <w:r w:rsidR="00082335">
        <w:rPr>
          <w:rFonts w:ascii="Times New Roman" w:hAnsi="Times New Roman"/>
        </w:rPr>
        <w:t xml:space="preserve">engage experts </w:t>
      </w:r>
      <w:r w:rsidR="00B119BA">
        <w:rPr>
          <w:rFonts w:ascii="Times New Roman" w:hAnsi="Times New Roman"/>
        </w:rPr>
        <w:t xml:space="preserve">and key stakeholders for this initiative and evaluation. </w:t>
      </w:r>
      <w:r w:rsidR="00806ED5">
        <w:rPr>
          <w:rFonts w:ascii="Times New Roman" w:hAnsi="Times New Roman"/>
        </w:rPr>
        <w:t>AHRQ will engage i</w:t>
      </w:r>
      <w:r w:rsidRPr="00126666" w:rsidR="00DD107D">
        <w:rPr>
          <w:rFonts w:ascii="Times New Roman" w:hAnsi="Times New Roman"/>
        </w:rPr>
        <w:t>ndividuals and organizations, including the</w:t>
      </w:r>
      <w:r w:rsidR="00CA049F">
        <w:rPr>
          <w:rFonts w:ascii="Times New Roman" w:hAnsi="Times New Roman"/>
        </w:rPr>
        <w:t xml:space="preserve"> </w:t>
      </w:r>
      <w:r w:rsidR="00082335">
        <w:rPr>
          <w:rFonts w:ascii="Times New Roman" w:hAnsi="Times New Roman"/>
        </w:rPr>
        <w:t xml:space="preserve">subject matter experts comprising </w:t>
      </w:r>
      <w:r>
        <w:rPr>
          <w:rFonts w:ascii="Times New Roman" w:hAnsi="Times New Roman"/>
        </w:rPr>
        <w:t>a</w:t>
      </w:r>
      <w:r w:rsidR="00B119BA">
        <w:rPr>
          <w:rFonts w:ascii="Times New Roman" w:hAnsi="Times New Roman"/>
        </w:rPr>
        <w:t xml:space="preserve"> </w:t>
      </w:r>
      <w:r w:rsidR="007A16FA">
        <w:rPr>
          <w:rFonts w:ascii="Times New Roman" w:hAnsi="Times New Roman"/>
        </w:rPr>
        <w:t>technical expert panel</w:t>
      </w:r>
      <w:r w:rsidR="001A1A8E">
        <w:rPr>
          <w:rFonts w:ascii="Times New Roman" w:hAnsi="Times New Roman"/>
        </w:rPr>
        <w:t xml:space="preserve"> and project consultants. Each of these groups have provided guidance on</w:t>
      </w:r>
      <w:r w:rsidR="00B119BA">
        <w:rPr>
          <w:rFonts w:ascii="Times New Roman" w:hAnsi="Times New Roman"/>
        </w:rPr>
        <w:t xml:space="preserve"> developing the proj</w:t>
      </w:r>
      <w:r w:rsidR="001A1A8E">
        <w:rPr>
          <w:rFonts w:ascii="Times New Roman" w:hAnsi="Times New Roman"/>
        </w:rPr>
        <w:t xml:space="preserve">ect plan and design, </w:t>
      </w:r>
      <w:r w:rsidR="009E3722">
        <w:rPr>
          <w:rFonts w:ascii="Times New Roman" w:hAnsi="Times New Roman"/>
        </w:rPr>
        <w:t xml:space="preserve">and </w:t>
      </w:r>
      <w:r w:rsidR="001A1A8E">
        <w:rPr>
          <w:rFonts w:ascii="Times New Roman" w:hAnsi="Times New Roman"/>
        </w:rPr>
        <w:t xml:space="preserve">developing </w:t>
      </w:r>
      <w:r>
        <w:rPr>
          <w:rFonts w:ascii="Times New Roman" w:hAnsi="Times New Roman"/>
        </w:rPr>
        <w:t>the</w:t>
      </w:r>
      <w:r w:rsidR="00B119BA">
        <w:rPr>
          <w:rFonts w:ascii="Times New Roman" w:hAnsi="Times New Roman"/>
        </w:rPr>
        <w:t xml:space="preserve"> evaluation plan and data collection </w:t>
      </w:r>
      <w:r w:rsidR="001A1A8E">
        <w:rPr>
          <w:rFonts w:ascii="Times New Roman" w:hAnsi="Times New Roman"/>
        </w:rPr>
        <w:t>tools</w:t>
      </w:r>
      <w:r w:rsidR="00B119BA">
        <w:rPr>
          <w:rFonts w:ascii="Times New Roman" w:hAnsi="Times New Roman"/>
        </w:rPr>
        <w:t xml:space="preserve">. </w:t>
      </w:r>
      <w:r>
        <w:rPr>
          <w:rFonts w:ascii="Times New Roman" w:hAnsi="Times New Roman"/>
        </w:rPr>
        <w:t xml:space="preserve">The </w:t>
      </w:r>
      <w:r w:rsidR="007A16FA">
        <w:rPr>
          <w:rFonts w:ascii="Times New Roman" w:hAnsi="Times New Roman"/>
        </w:rPr>
        <w:t>panel</w:t>
      </w:r>
      <w:r>
        <w:rPr>
          <w:rFonts w:ascii="Times New Roman" w:hAnsi="Times New Roman"/>
        </w:rPr>
        <w:t xml:space="preserve"> consists of individuals </w:t>
      </w:r>
      <w:r w:rsidR="001A1A8E">
        <w:rPr>
          <w:rFonts w:ascii="Times New Roman" w:hAnsi="Times New Roman"/>
        </w:rPr>
        <w:t xml:space="preserve">with knowledge and expertise </w:t>
      </w:r>
      <w:r w:rsidRPr="00045A39" w:rsidR="001A1A8E">
        <w:rPr>
          <w:rFonts w:ascii="Times New Roman" w:hAnsi="Times New Roman"/>
        </w:rPr>
        <w:t xml:space="preserve">in </w:t>
      </w:r>
      <w:r w:rsidRPr="002F1E68" w:rsidR="00D9330E">
        <w:rPr>
          <w:rFonts w:ascii="Times New Roman" w:hAnsi="Times New Roman"/>
        </w:rPr>
        <w:t>unhealthy alcohol use</w:t>
      </w:r>
      <w:r w:rsidRPr="00045A39" w:rsidR="001A1A8E">
        <w:rPr>
          <w:rFonts w:ascii="Times New Roman" w:hAnsi="Times New Roman"/>
        </w:rPr>
        <w:t xml:space="preserve">, </w:t>
      </w:r>
      <w:r w:rsidRPr="002F1E68" w:rsidR="00045A39">
        <w:rPr>
          <w:rFonts w:ascii="Times New Roman" w:hAnsi="Times New Roman"/>
        </w:rPr>
        <w:t>screening, brief intervention, referral to treatment,</w:t>
      </w:r>
      <w:r w:rsidR="001A1A8E">
        <w:rPr>
          <w:rFonts w:ascii="Times New Roman" w:hAnsi="Times New Roman"/>
        </w:rPr>
        <w:t xml:space="preserve"> and </w:t>
      </w:r>
      <w:r w:rsidR="00D9330E">
        <w:rPr>
          <w:rFonts w:ascii="Times New Roman" w:hAnsi="Times New Roman"/>
        </w:rPr>
        <w:t>medication-assisted therapy</w:t>
      </w:r>
      <w:r w:rsidR="001A1A8E">
        <w:rPr>
          <w:rFonts w:ascii="Times New Roman" w:hAnsi="Times New Roman"/>
        </w:rPr>
        <w:t xml:space="preserve"> implementation, applications in primary care, and evaluation (see </w:t>
      </w:r>
      <w:r w:rsidR="00C31930">
        <w:rPr>
          <w:rFonts w:ascii="Times New Roman" w:hAnsi="Times New Roman"/>
          <w:b/>
        </w:rPr>
        <w:t>Exhibit</w:t>
      </w:r>
      <w:r w:rsidR="001A1A8E">
        <w:rPr>
          <w:rFonts w:ascii="Times New Roman" w:hAnsi="Times New Roman"/>
          <w:b/>
        </w:rPr>
        <w:t xml:space="preserve"> </w:t>
      </w:r>
      <w:r w:rsidR="001860B2">
        <w:rPr>
          <w:rFonts w:ascii="Times New Roman" w:hAnsi="Times New Roman"/>
          <w:b/>
        </w:rPr>
        <w:t>A.1</w:t>
      </w:r>
      <w:r w:rsidR="001A1A8E">
        <w:rPr>
          <w:rFonts w:ascii="Times New Roman" w:hAnsi="Times New Roman"/>
          <w:b/>
        </w:rPr>
        <w:t xml:space="preserve"> </w:t>
      </w:r>
      <w:r w:rsidR="007A16FA">
        <w:rPr>
          <w:rFonts w:ascii="Times New Roman" w:hAnsi="Times New Roman"/>
        </w:rPr>
        <w:t>for list of technical expert panel</w:t>
      </w:r>
      <w:r w:rsidR="001A1A8E">
        <w:rPr>
          <w:rFonts w:ascii="Times New Roman" w:hAnsi="Times New Roman"/>
        </w:rPr>
        <w:t xml:space="preserve"> members). Consultants provide knowledge and expertise in </w:t>
      </w:r>
      <w:r w:rsidR="0034129D">
        <w:rPr>
          <w:rFonts w:ascii="Times New Roman" w:hAnsi="Times New Roman"/>
        </w:rPr>
        <w:t xml:space="preserve">substance use </w:t>
      </w:r>
      <w:r w:rsidR="001A1A8E">
        <w:rPr>
          <w:rFonts w:ascii="Times New Roman" w:hAnsi="Times New Roman"/>
        </w:rPr>
        <w:t xml:space="preserve">prevention, </w:t>
      </w:r>
      <w:r w:rsidR="0034129D">
        <w:rPr>
          <w:rFonts w:ascii="Times New Roman" w:hAnsi="Times New Roman"/>
        </w:rPr>
        <w:t>early intervention</w:t>
      </w:r>
      <w:r w:rsidR="001A1A8E">
        <w:rPr>
          <w:rFonts w:ascii="Times New Roman" w:hAnsi="Times New Roman"/>
        </w:rPr>
        <w:t xml:space="preserve">, and treatment. </w:t>
      </w:r>
      <w:r w:rsidR="007A16FA">
        <w:rPr>
          <w:rFonts w:ascii="Times New Roman" w:hAnsi="Times New Roman"/>
        </w:rPr>
        <w:t>Panel</w:t>
      </w:r>
      <w:r w:rsidR="001A1A8E">
        <w:rPr>
          <w:rFonts w:ascii="Times New Roman" w:hAnsi="Times New Roman"/>
        </w:rPr>
        <w:t xml:space="preserve"> members and consultants are tasked with providing critical feedback on all aspects of this program</w:t>
      </w:r>
      <w:r w:rsidR="00CD21B3">
        <w:rPr>
          <w:rFonts w:ascii="Times New Roman" w:hAnsi="Times New Roman"/>
        </w:rPr>
        <w:t>. This</w:t>
      </w:r>
      <w:r w:rsidR="001A1A8E">
        <w:rPr>
          <w:rFonts w:ascii="Times New Roman" w:hAnsi="Times New Roman"/>
        </w:rPr>
        <w:t xml:space="preserve"> includ</w:t>
      </w:r>
      <w:r w:rsidR="00CD21B3">
        <w:rPr>
          <w:rFonts w:ascii="Times New Roman" w:hAnsi="Times New Roman"/>
        </w:rPr>
        <w:t>es</w:t>
      </w:r>
      <w:r w:rsidR="001A1A8E">
        <w:rPr>
          <w:rFonts w:ascii="Times New Roman" w:hAnsi="Times New Roman"/>
        </w:rPr>
        <w:t xml:space="preserve"> reviewing data collection processes and documents, </w:t>
      </w:r>
      <w:r w:rsidR="00CD21B3">
        <w:rPr>
          <w:rFonts w:ascii="Times New Roman" w:hAnsi="Times New Roman"/>
        </w:rPr>
        <w:t>sharing their expertise</w:t>
      </w:r>
      <w:r w:rsidR="001A1A8E">
        <w:rPr>
          <w:rFonts w:ascii="Times New Roman" w:hAnsi="Times New Roman"/>
        </w:rPr>
        <w:t xml:space="preserve"> on </w:t>
      </w:r>
      <w:r w:rsidRPr="00045A39" w:rsidR="001A1A8E">
        <w:rPr>
          <w:rFonts w:ascii="Times New Roman" w:hAnsi="Times New Roman"/>
        </w:rPr>
        <w:t xml:space="preserve">effective </w:t>
      </w:r>
      <w:r w:rsidR="002F1E68">
        <w:rPr>
          <w:rFonts w:ascii="Times New Roman" w:hAnsi="Times New Roman"/>
        </w:rPr>
        <w:t xml:space="preserve">screening and treatment </w:t>
      </w:r>
      <w:r w:rsidRPr="004D2C9F" w:rsidR="001A1A8E">
        <w:rPr>
          <w:rFonts w:ascii="Times New Roman" w:hAnsi="Times New Roman"/>
        </w:rPr>
        <w:t>implementation</w:t>
      </w:r>
      <w:r w:rsidR="001A1A8E">
        <w:rPr>
          <w:rFonts w:ascii="Times New Roman" w:hAnsi="Times New Roman"/>
        </w:rPr>
        <w:t xml:space="preserve"> and engagement </w:t>
      </w:r>
      <w:r w:rsidR="00CD21B3">
        <w:rPr>
          <w:rFonts w:ascii="Times New Roman" w:hAnsi="Times New Roman"/>
        </w:rPr>
        <w:t xml:space="preserve">processes </w:t>
      </w:r>
      <w:r w:rsidR="002F1E68">
        <w:rPr>
          <w:rFonts w:ascii="Times New Roman" w:hAnsi="Times New Roman"/>
        </w:rPr>
        <w:t>for practices</w:t>
      </w:r>
      <w:r w:rsidR="001A1A8E">
        <w:rPr>
          <w:rFonts w:ascii="Times New Roman" w:hAnsi="Times New Roman"/>
        </w:rPr>
        <w:t xml:space="preserve">, and providing feedback on evaluation strategies. </w:t>
      </w:r>
      <w:r w:rsidR="007A16FA">
        <w:rPr>
          <w:rFonts w:ascii="Times New Roman" w:hAnsi="Times New Roman"/>
        </w:rPr>
        <w:t>Panel</w:t>
      </w:r>
      <w:r w:rsidR="001A1A8E">
        <w:rPr>
          <w:rFonts w:ascii="Times New Roman" w:hAnsi="Times New Roman"/>
        </w:rPr>
        <w:t xml:space="preserve"> members have reviewed and provided feedback on the </w:t>
      </w:r>
      <w:r w:rsidRPr="002F1E68" w:rsidR="00D9330E">
        <w:rPr>
          <w:rFonts w:ascii="Times New Roman" w:hAnsi="Times New Roman"/>
        </w:rPr>
        <w:t>multisite evaluation</w:t>
      </w:r>
      <w:r w:rsidRPr="000902A7" w:rsidR="009E3722">
        <w:rPr>
          <w:rFonts w:ascii="Times New Roman" w:hAnsi="Times New Roman"/>
        </w:rPr>
        <w:t xml:space="preserve"> plan and</w:t>
      </w:r>
      <w:r w:rsidRPr="00D04792" w:rsidR="001A1A8E">
        <w:rPr>
          <w:rFonts w:ascii="Times New Roman" w:hAnsi="Times New Roman"/>
        </w:rPr>
        <w:t xml:space="preserve"> </w:t>
      </w:r>
      <w:r w:rsidR="001A1A8E">
        <w:rPr>
          <w:rFonts w:ascii="Times New Roman" w:hAnsi="Times New Roman"/>
        </w:rPr>
        <w:t xml:space="preserve">engaged in planning and development discussions. </w:t>
      </w:r>
      <w:r w:rsidRPr="0030759A" w:rsidR="0030759A">
        <w:rPr>
          <w:rFonts w:ascii="Times New Roman" w:hAnsi="Times New Roman"/>
        </w:rPr>
        <w:t xml:space="preserve">The first </w:t>
      </w:r>
      <w:r w:rsidR="00B119BA">
        <w:rPr>
          <w:rFonts w:ascii="Times New Roman" w:hAnsi="Times New Roman"/>
        </w:rPr>
        <w:t xml:space="preserve">virtual </w:t>
      </w:r>
      <w:r w:rsidR="007A16FA">
        <w:rPr>
          <w:rFonts w:ascii="Times New Roman" w:hAnsi="Times New Roman"/>
        </w:rPr>
        <w:t>technical expert panel</w:t>
      </w:r>
      <w:r w:rsidRPr="0030759A" w:rsidR="0030759A">
        <w:rPr>
          <w:rFonts w:ascii="Times New Roman" w:hAnsi="Times New Roman"/>
        </w:rPr>
        <w:t xml:space="preserve"> meeting </w:t>
      </w:r>
      <w:r w:rsidR="00B119BA">
        <w:rPr>
          <w:rFonts w:ascii="Times New Roman" w:hAnsi="Times New Roman"/>
        </w:rPr>
        <w:t>occurred on November 21, 2019</w:t>
      </w:r>
      <w:r w:rsidR="009E3722">
        <w:rPr>
          <w:rFonts w:ascii="Times New Roman" w:hAnsi="Times New Roman"/>
        </w:rPr>
        <w:t xml:space="preserve"> and t</w:t>
      </w:r>
      <w:r w:rsidR="00B119BA">
        <w:rPr>
          <w:rFonts w:ascii="Times New Roman" w:hAnsi="Times New Roman"/>
        </w:rPr>
        <w:t xml:space="preserve">he second </w:t>
      </w:r>
      <w:r w:rsidR="009E3722">
        <w:rPr>
          <w:rFonts w:ascii="Times New Roman" w:hAnsi="Times New Roman"/>
        </w:rPr>
        <w:t>on February 18</w:t>
      </w:r>
      <w:r w:rsidRPr="00B16929" w:rsidR="009E3722">
        <w:rPr>
          <w:vertAlign w:val="superscript"/>
        </w:rPr>
        <w:t>th</w:t>
      </w:r>
      <w:r w:rsidR="009E3722">
        <w:rPr>
          <w:rFonts w:ascii="Times New Roman" w:hAnsi="Times New Roman"/>
        </w:rPr>
        <w:t xml:space="preserve">, 2020. </w:t>
      </w:r>
    </w:p>
    <w:p w:rsidR="003A0971" w:rsidP="003F4851" w:rsidRDefault="003A0971" w14:paraId="6C159B34" w14:textId="77777777">
      <w:pPr>
        <w:pStyle w:val="NormalSS12"/>
        <w:spacing w:after="0"/>
        <w:ind w:firstLine="0"/>
        <w:jc w:val="left"/>
        <w:rPr>
          <w:rFonts w:ascii="Times New Roman" w:hAnsi="Times New Roman"/>
        </w:rPr>
      </w:pPr>
    </w:p>
    <w:p w:rsidR="006C4307" w:rsidP="003F4851" w:rsidRDefault="00C31930" w14:paraId="27394747" w14:textId="1CD05B35">
      <w:pPr>
        <w:pStyle w:val="NormalSS12"/>
        <w:spacing w:after="0"/>
        <w:ind w:firstLine="0"/>
        <w:jc w:val="left"/>
        <w:rPr>
          <w:rFonts w:ascii="Times New Roman" w:hAnsi="Times New Roman"/>
          <w:b/>
        </w:rPr>
      </w:pPr>
      <w:r>
        <w:rPr>
          <w:rFonts w:ascii="Times New Roman" w:hAnsi="Times New Roman"/>
        </w:rPr>
        <w:t xml:space="preserve">AHRQ </w:t>
      </w:r>
      <w:r w:rsidR="00286D3E">
        <w:rPr>
          <w:rFonts w:ascii="Times New Roman" w:hAnsi="Times New Roman"/>
        </w:rPr>
        <w:t xml:space="preserve">did not </w:t>
      </w:r>
      <w:r>
        <w:rPr>
          <w:rFonts w:ascii="Times New Roman" w:hAnsi="Times New Roman"/>
        </w:rPr>
        <w:t xml:space="preserve">consult with other federal partners </w:t>
      </w:r>
      <w:r w:rsidR="00286D3E">
        <w:rPr>
          <w:rFonts w:ascii="Times New Roman" w:hAnsi="Times New Roman"/>
        </w:rPr>
        <w:t xml:space="preserve">for this project. </w:t>
      </w:r>
    </w:p>
    <w:p w:rsidR="006C4307" w:rsidP="003F4851" w:rsidRDefault="006C4307" w14:paraId="16965B72" w14:textId="77777777">
      <w:pPr>
        <w:pStyle w:val="NormalSS12"/>
        <w:spacing w:after="0"/>
        <w:ind w:firstLine="0"/>
        <w:jc w:val="left"/>
        <w:rPr>
          <w:rFonts w:ascii="Times New Roman" w:hAnsi="Times New Roman"/>
          <w:b/>
        </w:rPr>
      </w:pPr>
    </w:p>
    <w:p w:rsidR="006C4307" w:rsidP="003F4851" w:rsidRDefault="006C4307" w14:paraId="4C9A76A1" w14:textId="77777777">
      <w:pPr>
        <w:pStyle w:val="NormalSS12"/>
        <w:spacing w:after="0"/>
        <w:ind w:firstLine="0"/>
        <w:jc w:val="left"/>
        <w:rPr>
          <w:rFonts w:ascii="Times New Roman" w:hAnsi="Times New Roman"/>
          <w:b/>
        </w:rPr>
      </w:pPr>
    </w:p>
    <w:p w:rsidR="006C4307" w:rsidP="003F4851" w:rsidRDefault="006C4307" w14:paraId="26C2E876" w14:textId="77777777">
      <w:pPr>
        <w:pStyle w:val="NormalSS12"/>
        <w:spacing w:after="0"/>
        <w:ind w:firstLine="0"/>
        <w:jc w:val="left"/>
        <w:rPr>
          <w:rFonts w:ascii="Times New Roman" w:hAnsi="Times New Roman"/>
          <w:b/>
        </w:rPr>
      </w:pPr>
    </w:p>
    <w:p w:rsidR="006C4307" w:rsidP="003F4851" w:rsidRDefault="006C4307" w14:paraId="6B96D30D" w14:textId="77777777">
      <w:pPr>
        <w:pStyle w:val="NormalSS12"/>
        <w:spacing w:after="0"/>
        <w:ind w:firstLine="0"/>
        <w:jc w:val="left"/>
        <w:rPr>
          <w:rFonts w:ascii="Times New Roman" w:hAnsi="Times New Roman"/>
          <w:b/>
        </w:rPr>
      </w:pPr>
    </w:p>
    <w:p w:rsidR="00E00DAC" w:rsidP="009F7D4A" w:rsidRDefault="00E00DAC" w14:paraId="27430296" w14:textId="77777777">
      <w:pPr>
        <w:pStyle w:val="NormalSS12"/>
        <w:spacing w:after="0"/>
        <w:ind w:firstLine="0"/>
        <w:jc w:val="left"/>
        <w:rPr>
          <w:rFonts w:ascii="Times New Roman" w:hAnsi="Times New Roman"/>
          <w:b/>
        </w:rPr>
        <w:sectPr w:rsidR="00E00DAC" w:rsidSect="00225AF2">
          <w:footerReference w:type="default" r:id="rId14"/>
          <w:pgSz w:w="12240" w:h="15840"/>
          <w:pgMar w:top="1440" w:right="1440" w:bottom="1440" w:left="1440" w:header="720" w:footer="720" w:gutter="0"/>
          <w:cols w:space="720"/>
          <w:noEndnote/>
          <w:docGrid w:linePitch="360"/>
        </w:sectPr>
      </w:pPr>
    </w:p>
    <w:p w:rsidRPr="002F22C7" w:rsidR="00A92DD8" w:rsidP="009F7D4A" w:rsidRDefault="003638BE" w14:paraId="2C986893" w14:textId="185437AF">
      <w:pPr>
        <w:pStyle w:val="NormalSS12"/>
        <w:spacing w:after="0"/>
        <w:ind w:firstLine="0"/>
        <w:jc w:val="left"/>
        <w:rPr>
          <w:rFonts w:ascii="Times New Roman" w:hAnsi="Times New Roman"/>
          <w:b/>
        </w:rPr>
      </w:pPr>
      <w:r w:rsidRPr="003638BE">
        <w:rPr>
          <w:rFonts w:ascii="Times New Roman" w:hAnsi="Times New Roman"/>
          <w:b/>
        </w:rPr>
        <w:lastRenderedPageBreak/>
        <w:t xml:space="preserve">Exhibit </w:t>
      </w:r>
      <w:r w:rsidR="00E42E41">
        <w:rPr>
          <w:rFonts w:ascii="Times New Roman" w:hAnsi="Times New Roman"/>
          <w:b/>
        </w:rPr>
        <w:t>A.</w:t>
      </w:r>
      <w:r w:rsidRPr="003638BE">
        <w:rPr>
          <w:rFonts w:ascii="Times New Roman" w:hAnsi="Times New Roman"/>
          <w:b/>
        </w:rPr>
        <w:t>1</w:t>
      </w:r>
      <w:r w:rsidR="00A92DD8">
        <w:rPr>
          <w:rFonts w:ascii="Times New Roman" w:hAnsi="Times New Roman"/>
        </w:rPr>
        <w:t xml:space="preserve"> </w:t>
      </w:r>
      <w:r w:rsidR="00126D1A">
        <w:rPr>
          <w:rFonts w:ascii="Times New Roman" w:hAnsi="Times New Roman"/>
          <w:b/>
        </w:rPr>
        <w:t xml:space="preserve">Addressing </w:t>
      </w:r>
      <w:r w:rsidR="00D9330E">
        <w:rPr>
          <w:rFonts w:ascii="Times New Roman" w:hAnsi="Times New Roman"/>
          <w:b/>
        </w:rPr>
        <w:t>Unhealthy Alcohol Use</w:t>
      </w:r>
      <w:r w:rsidR="00E00DAC">
        <w:rPr>
          <w:rFonts w:ascii="Times New Roman" w:hAnsi="Times New Roman"/>
          <w:b/>
        </w:rPr>
        <w:t>: Technical Expert Panel Expertise Matrix</w:t>
      </w:r>
    </w:p>
    <w:p w:rsidR="000436B0" w:rsidP="009F7D4A" w:rsidRDefault="006C4307" w14:paraId="5295D3F8" w14:textId="558D3A4C">
      <w:pPr>
        <w:pStyle w:val="NormalSS12"/>
        <w:spacing w:after="0"/>
        <w:ind w:firstLine="0"/>
        <w:jc w:val="left"/>
        <w:rPr>
          <w:rFonts w:ascii="Times New Roman" w:hAnsi="Times New Roman"/>
        </w:rPr>
      </w:pPr>
      <w:r>
        <w:rPr>
          <w:noProof/>
        </w:rPr>
        <w:drawing>
          <wp:inline distT="0" distB="0" distL="0" distR="0" wp14:anchorId="26025C7D" wp14:editId="2717F9F2">
            <wp:extent cx="7750206" cy="526036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93377" cy="5289671"/>
                    </a:xfrm>
                    <a:prstGeom prst="rect">
                      <a:avLst/>
                    </a:prstGeom>
                  </pic:spPr>
                </pic:pic>
              </a:graphicData>
            </a:graphic>
          </wp:inline>
        </w:drawing>
      </w:r>
    </w:p>
    <w:p w:rsidR="00E00DAC" w:rsidP="009F7D4A" w:rsidRDefault="00E00DAC" w14:paraId="6F8703D9" w14:textId="77777777">
      <w:pPr>
        <w:pStyle w:val="NormalSS12"/>
        <w:spacing w:after="0"/>
        <w:ind w:firstLine="0"/>
        <w:jc w:val="left"/>
        <w:rPr>
          <w:rFonts w:ascii="Times New Roman" w:hAnsi="Times New Roman"/>
        </w:rPr>
        <w:sectPr w:rsidR="00E00DAC" w:rsidSect="00E00DAC">
          <w:pgSz w:w="15840" w:h="12240" w:orient="landscape"/>
          <w:pgMar w:top="1440" w:right="1440" w:bottom="1440" w:left="1440" w:header="720" w:footer="720" w:gutter="0"/>
          <w:cols w:space="720"/>
          <w:noEndnote/>
          <w:docGrid w:linePitch="360"/>
        </w:sectPr>
      </w:pPr>
    </w:p>
    <w:p w:rsidR="000436B0" w:rsidP="009F7D4A" w:rsidRDefault="000436B0" w14:paraId="58F1B92C" w14:textId="5DDC827E">
      <w:pPr>
        <w:pStyle w:val="NormalSS12"/>
        <w:spacing w:after="0"/>
        <w:ind w:firstLine="0"/>
        <w:jc w:val="left"/>
        <w:rPr>
          <w:rFonts w:ascii="Times New Roman" w:hAnsi="Times New Roman"/>
        </w:rPr>
      </w:pPr>
    </w:p>
    <w:p w:rsidRPr="00A92DD8" w:rsidR="00DD107D" w:rsidP="00AB1A72" w:rsidRDefault="00DD107D" w14:paraId="6A4996C8" w14:textId="77777777">
      <w:r w:rsidRPr="00A92DD8">
        <w:rPr>
          <w:rFonts w:ascii="Arial" w:hAnsi="Arial"/>
          <w:b/>
          <w:bCs/>
        </w:rPr>
        <w:t>A9. Incentives for Respondents</w:t>
      </w:r>
    </w:p>
    <w:p w:rsidR="005C442A" w:rsidRDefault="005C442A" w14:paraId="48973982" w14:textId="77777777"/>
    <w:p w:rsidR="00B23A60" w:rsidRDefault="00030320" w14:paraId="3FA8A047" w14:textId="71E8E640">
      <w:r>
        <w:t>No incentives are</w:t>
      </w:r>
      <w:r w:rsidR="00061C3F">
        <w:t xml:space="preserve"> planned f</w:t>
      </w:r>
      <w:r w:rsidR="003D6550">
        <w:t xml:space="preserve">or grantees </w:t>
      </w:r>
      <w:r w:rsidR="00806ED5">
        <w:t xml:space="preserve">or practices </w:t>
      </w:r>
      <w:r w:rsidR="00286D3E">
        <w:t xml:space="preserve">contributing </w:t>
      </w:r>
      <w:r w:rsidR="003D6550">
        <w:t xml:space="preserve">data to AHRQ. </w:t>
      </w:r>
    </w:p>
    <w:p w:rsidR="005675BA" w:rsidRDefault="005675BA" w14:paraId="5C47B786" w14:textId="77777777"/>
    <w:p w:rsidRPr="00EA1528" w:rsidR="00EA1528" w:rsidRDefault="00EA1528" w14:paraId="01D90CF7" w14:textId="43199876"/>
    <w:p w:rsidR="00DD107D" w:rsidP="00AB1A72" w:rsidRDefault="00DD107D" w14:paraId="7ED30628" w14:textId="58B307E0">
      <w:pPr>
        <w:pStyle w:val="Heading2"/>
        <w:spacing w:before="0" w:after="0"/>
      </w:pPr>
      <w:bookmarkStart w:name="_Toc31274466" w:id="23"/>
      <w:bookmarkStart w:name="_Toc35934830" w:id="24"/>
      <w:r>
        <w:t xml:space="preserve">A10. </w:t>
      </w:r>
      <w:r w:rsidR="003D6550">
        <w:t>Assurance of Confidentiality</w:t>
      </w:r>
      <w:bookmarkEnd w:id="23"/>
      <w:bookmarkEnd w:id="24"/>
    </w:p>
    <w:p w:rsidRPr="00D17320" w:rsidR="00D17320" w:rsidP="00AB1A72" w:rsidRDefault="00D17320" w14:paraId="66943C6E" w14:textId="77777777"/>
    <w:p w:rsidR="00A56551" w:rsidP="00A56551" w:rsidRDefault="00B83247" w14:paraId="47176B14" w14:textId="350D0BAE">
      <w:pPr>
        <w:rPr>
          <w:b/>
        </w:rPr>
      </w:pPr>
      <w:r w:rsidRPr="006600FF">
        <w:t xml:space="preserve">Individuals will be assured of the </w:t>
      </w:r>
      <w:r>
        <w:t>confidentiality of their responses</w:t>
      </w:r>
      <w:r w:rsidRPr="006600FF">
        <w:t xml:space="preserve"> under Section 944(c) of the Public Health Servic</w:t>
      </w:r>
      <w:r>
        <w:t>e Act. 42 U.S.C. 299c-3(c). This</w:t>
      </w:r>
      <w:r w:rsidRPr="006600FF">
        <w:t xml:space="preserve"> law </w:t>
      </w:r>
      <w:r>
        <w:t>mandates</w:t>
      </w:r>
      <w:r w:rsidRPr="006600FF">
        <w:t xml:space="preserve"> that information </w:t>
      </w:r>
      <w:r>
        <w:t>gathered</w:t>
      </w:r>
      <w:r w:rsidRPr="006600FF">
        <w:t xml:space="preserve"> for research conducted or supported by AHRQ that identifies individuals or establishments be used only for the purpose for which it was supplied. </w:t>
      </w:r>
      <w:r w:rsidRPr="00A56551">
        <w:t xml:space="preserve">Information </w:t>
      </w:r>
      <w:r w:rsidRPr="00A56551" w:rsidR="00070B67">
        <w:t xml:space="preserve">that can be directly identified, </w:t>
      </w:r>
      <w:r w:rsidRPr="00A56551">
        <w:t xml:space="preserve">such as </w:t>
      </w:r>
      <w:r w:rsidRPr="00A56551" w:rsidR="00070B67">
        <w:t xml:space="preserve">patient </w:t>
      </w:r>
      <w:r w:rsidRPr="00A56551">
        <w:t>name and/or social security number will not be collected.</w:t>
      </w:r>
      <w:r w:rsidRPr="00A56551" w:rsidR="00227734">
        <w:t xml:space="preserve"> </w:t>
      </w:r>
      <w:r w:rsidRPr="00A56551" w:rsidR="00070B67">
        <w:t>All collected</w:t>
      </w:r>
      <w:r w:rsidRPr="00A56551" w:rsidR="005C442A">
        <w:t xml:space="preserve"> data will be </w:t>
      </w:r>
      <w:r w:rsidRPr="00A56551" w:rsidR="00070B67">
        <w:t xml:space="preserve">submitted </w:t>
      </w:r>
      <w:r w:rsidRPr="00A56551" w:rsidR="006600FF">
        <w:t>securely to</w:t>
      </w:r>
      <w:r w:rsidRPr="00A56551" w:rsidR="005C442A">
        <w:t xml:space="preserve"> AHRQ’s contractor, </w:t>
      </w:r>
      <w:r w:rsidRPr="00A56551">
        <w:t>NORC at the University of Chicago. All data will be stored on NORC’s secure servers</w:t>
      </w:r>
      <w:r w:rsidRPr="00A56551" w:rsidR="00842B81">
        <w:t>.</w:t>
      </w:r>
      <w:r w:rsidRPr="00B85385" w:rsidR="00842B81">
        <w:rPr>
          <w:b/>
        </w:rPr>
        <w:t xml:space="preserve"> </w:t>
      </w:r>
    </w:p>
    <w:p w:rsidR="00AB1A72" w:rsidP="00A56551" w:rsidRDefault="00AB1A72" w14:paraId="0F6C5421" w14:textId="77777777">
      <w:pPr>
        <w:rPr>
          <w:b/>
        </w:rPr>
      </w:pPr>
    </w:p>
    <w:p w:rsidR="00AB1A72" w:rsidP="00A56551" w:rsidRDefault="00AB1A72" w14:paraId="49E42891" w14:textId="77777777"/>
    <w:p w:rsidR="00DD107D" w:rsidP="00AB1A72" w:rsidRDefault="00DD107D" w14:paraId="7253BC13" w14:textId="6873C4B1">
      <w:pPr>
        <w:pStyle w:val="Heading2"/>
        <w:spacing w:before="0" w:after="0"/>
      </w:pPr>
      <w:bookmarkStart w:name="_Toc31274467" w:id="25"/>
      <w:bookmarkStart w:name="_Toc35934831" w:id="26"/>
      <w:r>
        <w:t xml:space="preserve">A11. </w:t>
      </w:r>
      <w:r w:rsidRPr="0072204D">
        <w:t>Sensitive Questions</w:t>
      </w:r>
      <w:bookmarkEnd w:id="25"/>
      <w:bookmarkEnd w:id="26"/>
    </w:p>
    <w:p w:rsidRPr="00D17320" w:rsidR="00D17320" w:rsidP="00AB1A72" w:rsidRDefault="00D17320" w14:paraId="0A5EF7E5" w14:textId="77777777"/>
    <w:p w:rsidR="008E3E92" w:rsidP="001C7940" w:rsidRDefault="003D6550" w14:paraId="25FE09B3" w14:textId="096A2D8B">
      <w:r>
        <w:t>Neither grantees nor primary care practices will be asked questions of a sensitive nature</w:t>
      </w:r>
      <w:r w:rsidR="0054166B">
        <w:t>.</w:t>
      </w:r>
    </w:p>
    <w:p w:rsidR="00AB1A72" w:rsidP="001C7940" w:rsidRDefault="00AB1A72" w14:paraId="5520994B" w14:textId="77777777"/>
    <w:p w:rsidR="00AB1A72" w:rsidP="001C7940" w:rsidRDefault="00AB1A72" w14:paraId="5EA5C304" w14:textId="77777777"/>
    <w:p w:rsidR="00DD107D" w:rsidP="00AB1A72" w:rsidRDefault="00DD107D" w14:paraId="1DC6ECC6" w14:textId="77777777">
      <w:pPr>
        <w:pStyle w:val="Heading2"/>
        <w:spacing w:before="0" w:after="0"/>
      </w:pPr>
      <w:bookmarkStart w:name="_Toc31274468" w:id="27"/>
      <w:bookmarkStart w:name="_Toc35934832" w:id="28"/>
      <w:r>
        <w:t xml:space="preserve">A12. </w:t>
      </w:r>
      <w:r w:rsidRPr="0072204D">
        <w:t>Estimation of Information Collection Burden</w:t>
      </w:r>
      <w:bookmarkEnd w:id="27"/>
      <w:bookmarkEnd w:id="28"/>
    </w:p>
    <w:p w:rsidRPr="00D17320" w:rsidR="00D17320" w:rsidP="00D17320" w:rsidRDefault="00D17320" w14:paraId="24B37C7A" w14:textId="77777777"/>
    <w:p w:rsidR="0031362C" w:rsidP="0031362C" w:rsidRDefault="0031362C" w14:paraId="002E4617" w14:textId="600E2C70">
      <w:pPr>
        <w:rPr>
          <w:rStyle w:val="Strong"/>
          <w:b w:val="0"/>
        </w:rPr>
      </w:pPr>
      <w:r>
        <w:rPr>
          <w:rStyle w:val="Strong"/>
          <w:b w:val="0"/>
        </w:rPr>
        <w:t>E</w:t>
      </w:r>
      <w:r w:rsidR="00E42E41">
        <w:rPr>
          <w:rStyle w:val="Strong"/>
          <w:b w:val="0"/>
        </w:rPr>
        <w:t>xhibit A.2a</w:t>
      </w:r>
      <w:r>
        <w:rPr>
          <w:rStyle w:val="Strong"/>
          <w:b w:val="0"/>
        </w:rPr>
        <w:t xml:space="preserve"> shows the estimated annualized burden hours for the respondents’ time to complete the </w:t>
      </w:r>
      <w:r w:rsidR="00AE0A89">
        <w:rPr>
          <w:rStyle w:val="Strong"/>
          <w:b w:val="0"/>
        </w:rPr>
        <w:t xml:space="preserve">semi-structured </w:t>
      </w:r>
      <w:r w:rsidR="00C95E36">
        <w:rPr>
          <w:rStyle w:val="Strong"/>
          <w:b w:val="0"/>
        </w:rPr>
        <w:t>Key Informant I</w:t>
      </w:r>
      <w:r w:rsidR="00AE0A89">
        <w:rPr>
          <w:rStyle w:val="Strong"/>
          <w:b w:val="0"/>
        </w:rPr>
        <w:t>nterviews</w:t>
      </w:r>
      <w:r>
        <w:rPr>
          <w:rStyle w:val="Strong"/>
          <w:b w:val="0"/>
        </w:rPr>
        <w:t xml:space="preserve">. </w:t>
      </w:r>
      <w:r w:rsidR="00AC3877">
        <w:rPr>
          <w:rStyle w:val="Strong"/>
          <w:b w:val="0"/>
        </w:rPr>
        <w:t xml:space="preserve">For the </w:t>
      </w:r>
      <w:r w:rsidR="009B4110">
        <w:rPr>
          <w:rStyle w:val="Strong"/>
          <w:b w:val="0"/>
        </w:rPr>
        <w:t>three</w:t>
      </w:r>
      <w:r>
        <w:rPr>
          <w:rStyle w:val="Strong"/>
          <w:b w:val="0"/>
        </w:rPr>
        <w:t>-year clearance period, the estimated annualized burden hours for the</w:t>
      </w:r>
      <w:r w:rsidR="003A0971">
        <w:rPr>
          <w:rStyle w:val="Strong"/>
          <w:b w:val="0"/>
        </w:rPr>
        <w:t xml:space="preserve"> </w:t>
      </w:r>
      <w:r w:rsidR="00C95E36">
        <w:rPr>
          <w:rStyle w:val="Strong"/>
          <w:b w:val="0"/>
        </w:rPr>
        <w:t>interviews</w:t>
      </w:r>
      <w:r w:rsidR="003A0971">
        <w:rPr>
          <w:rStyle w:val="Strong"/>
          <w:b w:val="0"/>
        </w:rPr>
        <w:t xml:space="preserve"> are </w:t>
      </w:r>
      <w:r w:rsidR="00C95E36">
        <w:rPr>
          <w:rStyle w:val="Strong"/>
          <w:b w:val="0"/>
        </w:rPr>
        <w:t>60</w:t>
      </w:r>
      <w:r>
        <w:rPr>
          <w:rStyle w:val="Strong"/>
          <w:b w:val="0"/>
        </w:rPr>
        <w:t xml:space="preserve">. </w:t>
      </w:r>
    </w:p>
    <w:p w:rsidR="0031362C" w:rsidP="0031362C" w:rsidRDefault="0031362C" w14:paraId="0A43806E" w14:textId="77777777">
      <w:pPr>
        <w:rPr>
          <w:rStyle w:val="Strong"/>
          <w:b w:val="0"/>
        </w:rPr>
      </w:pPr>
    </w:p>
    <w:p w:rsidRPr="0073565C" w:rsidR="0031362C" w:rsidP="0031362C" w:rsidRDefault="0031362C" w14:paraId="5AA2A58C" w14:textId="5166E13C">
      <w:r w:rsidRPr="0073565C">
        <w:rPr>
          <w:b/>
          <w:bCs/>
          <w:color w:val="000000"/>
        </w:rPr>
        <w:t xml:space="preserve">Exhibit </w:t>
      </w:r>
      <w:r w:rsidR="00E42E41">
        <w:rPr>
          <w:b/>
          <w:bCs/>
          <w:color w:val="000000"/>
        </w:rPr>
        <w:t>A.2a</w:t>
      </w:r>
      <w:r w:rsidRPr="0073565C" w:rsidR="00AE0A89">
        <w:rPr>
          <w:b/>
          <w:bCs/>
          <w:color w:val="000000"/>
        </w:rPr>
        <w:t> Estimated</w:t>
      </w:r>
      <w:r w:rsidRPr="0073565C">
        <w:rPr>
          <w:b/>
          <w:bCs/>
          <w:color w:val="000000"/>
        </w:rPr>
        <w:t xml:space="preserve"> </w:t>
      </w:r>
      <w:r w:rsidR="002F22C7">
        <w:rPr>
          <w:b/>
          <w:bCs/>
          <w:color w:val="000000"/>
        </w:rPr>
        <w:t>A</w:t>
      </w:r>
      <w:r w:rsidRPr="0073565C">
        <w:rPr>
          <w:b/>
          <w:bCs/>
          <w:color w:val="000000"/>
        </w:rPr>
        <w:t xml:space="preserve">nnualized </w:t>
      </w:r>
      <w:r w:rsidR="002F22C7">
        <w:rPr>
          <w:b/>
          <w:bCs/>
          <w:color w:val="000000"/>
        </w:rPr>
        <w:t>B</w:t>
      </w:r>
      <w:r w:rsidRPr="0073565C">
        <w:rPr>
          <w:b/>
          <w:bCs/>
          <w:color w:val="000000"/>
        </w:rPr>
        <w:t xml:space="preserve">urden </w:t>
      </w:r>
      <w:r w:rsidR="002F22C7">
        <w:rPr>
          <w:b/>
          <w:bCs/>
          <w:color w:val="000000"/>
        </w:rPr>
        <w:t>H</w:t>
      </w:r>
      <w:r w:rsidRPr="0073565C">
        <w:rPr>
          <w:b/>
          <w:bCs/>
          <w:color w:val="000000"/>
        </w:rPr>
        <w:t>ours</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960"/>
        <w:gridCol w:w="1336"/>
        <w:gridCol w:w="1094"/>
        <w:gridCol w:w="1217"/>
        <w:gridCol w:w="1260"/>
      </w:tblGrid>
      <w:tr w:rsidRPr="00E24EA6" w:rsidR="0031362C" w:rsidTr="003A0971" w14:paraId="23E7362C" w14:textId="77777777">
        <w:tc>
          <w:tcPr>
            <w:tcW w:w="3960" w:type="dxa"/>
            <w:shd w:val="clear" w:color="auto" w:fill="auto"/>
            <w:tcMar>
              <w:top w:w="0" w:type="dxa"/>
              <w:left w:w="108" w:type="dxa"/>
              <w:bottom w:w="0" w:type="dxa"/>
              <w:right w:w="108" w:type="dxa"/>
            </w:tcMar>
          </w:tcPr>
          <w:p w:rsidRPr="00E24EA6" w:rsidR="0031362C" w:rsidP="003A0971" w:rsidRDefault="00C47B79" w14:paraId="2CB5CCCF" w14:textId="63EC9622">
            <w:pPr>
              <w:jc w:val="center"/>
              <w:rPr>
                <w:sz w:val="20"/>
                <w:szCs w:val="20"/>
              </w:rPr>
            </w:pPr>
            <w:r>
              <w:rPr>
                <w:sz w:val="20"/>
                <w:szCs w:val="20"/>
              </w:rPr>
              <w:t>Data Collection Activity</w:t>
            </w:r>
          </w:p>
        </w:tc>
        <w:tc>
          <w:tcPr>
            <w:tcW w:w="1336" w:type="dxa"/>
            <w:shd w:val="clear" w:color="auto" w:fill="auto"/>
            <w:tcMar>
              <w:top w:w="0" w:type="dxa"/>
              <w:left w:w="108" w:type="dxa"/>
              <w:bottom w:w="0" w:type="dxa"/>
              <w:right w:w="108" w:type="dxa"/>
            </w:tcMar>
          </w:tcPr>
          <w:p w:rsidRPr="00E24EA6" w:rsidR="0031362C" w:rsidP="003A0971" w:rsidRDefault="0031362C" w14:paraId="557EED66" w14:textId="77777777">
            <w:pPr>
              <w:jc w:val="center"/>
              <w:rPr>
                <w:sz w:val="20"/>
                <w:szCs w:val="20"/>
              </w:rPr>
            </w:pPr>
            <w:r w:rsidRPr="00E24EA6">
              <w:rPr>
                <w:color w:val="000000"/>
                <w:sz w:val="20"/>
                <w:szCs w:val="20"/>
              </w:rPr>
              <w:t>Number of Respondents</w:t>
            </w:r>
          </w:p>
        </w:tc>
        <w:tc>
          <w:tcPr>
            <w:tcW w:w="1094" w:type="dxa"/>
            <w:shd w:val="clear" w:color="auto" w:fill="auto"/>
            <w:tcMar>
              <w:top w:w="0" w:type="dxa"/>
              <w:left w:w="108" w:type="dxa"/>
              <w:bottom w:w="0" w:type="dxa"/>
              <w:right w:w="108" w:type="dxa"/>
            </w:tcMar>
          </w:tcPr>
          <w:p w:rsidRPr="00E24EA6" w:rsidR="0031362C" w:rsidP="003A0971" w:rsidRDefault="0031362C" w14:paraId="016657D9" w14:textId="77777777">
            <w:pPr>
              <w:jc w:val="center"/>
              <w:rPr>
                <w:sz w:val="20"/>
                <w:szCs w:val="20"/>
              </w:rPr>
            </w:pPr>
            <w:r w:rsidRPr="00E24EA6">
              <w:rPr>
                <w:sz w:val="20"/>
                <w:szCs w:val="20"/>
              </w:rPr>
              <w:t>Number of responses per respondent</w:t>
            </w:r>
          </w:p>
        </w:tc>
        <w:tc>
          <w:tcPr>
            <w:tcW w:w="1217" w:type="dxa"/>
          </w:tcPr>
          <w:p w:rsidRPr="00E24EA6" w:rsidR="0031362C" w:rsidP="003A0971" w:rsidRDefault="0031362C" w14:paraId="4E44C1A0" w14:textId="77777777">
            <w:pPr>
              <w:jc w:val="center"/>
              <w:rPr>
                <w:sz w:val="20"/>
                <w:szCs w:val="20"/>
              </w:rPr>
            </w:pPr>
            <w:r w:rsidRPr="00E24EA6">
              <w:rPr>
                <w:color w:val="000000"/>
                <w:sz w:val="20"/>
                <w:szCs w:val="20"/>
              </w:rPr>
              <w:t>Hours per response</w:t>
            </w:r>
          </w:p>
        </w:tc>
        <w:tc>
          <w:tcPr>
            <w:tcW w:w="1260" w:type="dxa"/>
            <w:shd w:val="clear" w:color="auto" w:fill="auto"/>
            <w:tcMar>
              <w:top w:w="0" w:type="dxa"/>
              <w:left w:w="108" w:type="dxa"/>
              <w:bottom w:w="0" w:type="dxa"/>
              <w:right w:w="108" w:type="dxa"/>
            </w:tcMar>
          </w:tcPr>
          <w:p w:rsidRPr="00E24EA6" w:rsidR="0031362C" w:rsidP="003A0971" w:rsidRDefault="0031362C" w14:paraId="3EC4EDE5" w14:textId="77777777">
            <w:pPr>
              <w:jc w:val="center"/>
              <w:rPr>
                <w:sz w:val="20"/>
                <w:szCs w:val="20"/>
              </w:rPr>
            </w:pPr>
            <w:r w:rsidRPr="00E24EA6">
              <w:rPr>
                <w:color w:val="000000"/>
                <w:sz w:val="20"/>
                <w:szCs w:val="20"/>
              </w:rPr>
              <w:t>Total Burden hours</w:t>
            </w:r>
          </w:p>
        </w:tc>
      </w:tr>
      <w:tr w:rsidRPr="00E24EA6" w:rsidR="0031362C" w:rsidTr="00070B67" w14:paraId="4E7DB93F" w14:textId="77777777">
        <w:trPr>
          <w:trHeight w:val="260"/>
        </w:trPr>
        <w:tc>
          <w:tcPr>
            <w:tcW w:w="3960" w:type="dxa"/>
            <w:shd w:val="clear" w:color="auto" w:fill="auto"/>
            <w:tcMar>
              <w:top w:w="0" w:type="dxa"/>
              <w:left w:w="108" w:type="dxa"/>
              <w:bottom w:w="0" w:type="dxa"/>
              <w:right w:w="108" w:type="dxa"/>
            </w:tcMar>
          </w:tcPr>
          <w:p w:rsidRPr="00591C8B" w:rsidR="0031362C" w:rsidP="00070B67" w:rsidRDefault="00591C8B" w14:paraId="7A138E6D" w14:textId="605A7618">
            <w:pPr>
              <w:rPr>
                <w:bCs/>
                <w:color w:val="000000"/>
                <w:sz w:val="20"/>
                <w:szCs w:val="20"/>
              </w:rPr>
            </w:pPr>
            <w:r>
              <w:rPr>
                <w:bCs/>
                <w:color w:val="000000"/>
                <w:sz w:val="20"/>
                <w:szCs w:val="20"/>
              </w:rPr>
              <w:t xml:space="preserve">Semi-Structured Interviews </w:t>
            </w:r>
          </w:p>
        </w:tc>
        <w:tc>
          <w:tcPr>
            <w:tcW w:w="1336" w:type="dxa"/>
            <w:shd w:val="clear" w:color="auto" w:fill="auto"/>
            <w:tcMar>
              <w:top w:w="0" w:type="dxa"/>
              <w:left w:w="108" w:type="dxa"/>
              <w:bottom w:w="0" w:type="dxa"/>
              <w:right w:w="108" w:type="dxa"/>
            </w:tcMar>
          </w:tcPr>
          <w:p w:rsidRPr="00E24EA6" w:rsidR="0031362C" w:rsidP="00E42E41" w:rsidRDefault="00E42E41" w14:paraId="5B4BE1AF" w14:textId="07D5AFE7">
            <w:pPr>
              <w:jc w:val="center"/>
              <w:rPr>
                <w:sz w:val="20"/>
                <w:szCs w:val="20"/>
              </w:rPr>
            </w:pPr>
            <w:r>
              <w:rPr>
                <w:sz w:val="20"/>
                <w:szCs w:val="20"/>
              </w:rPr>
              <w:t>60</w:t>
            </w:r>
          </w:p>
        </w:tc>
        <w:tc>
          <w:tcPr>
            <w:tcW w:w="1094" w:type="dxa"/>
            <w:shd w:val="clear" w:color="auto" w:fill="auto"/>
            <w:tcMar>
              <w:top w:w="0" w:type="dxa"/>
              <w:left w:w="108" w:type="dxa"/>
              <w:bottom w:w="0" w:type="dxa"/>
              <w:right w:w="108" w:type="dxa"/>
            </w:tcMar>
          </w:tcPr>
          <w:p w:rsidRPr="00E24EA6" w:rsidR="0031362C" w:rsidP="0031362C" w:rsidRDefault="00E42E41" w14:paraId="091DDA9B" w14:textId="7D8254A9">
            <w:pPr>
              <w:jc w:val="center"/>
              <w:rPr>
                <w:sz w:val="20"/>
                <w:szCs w:val="20"/>
              </w:rPr>
            </w:pPr>
            <w:r>
              <w:rPr>
                <w:sz w:val="20"/>
                <w:szCs w:val="20"/>
              </w:rPr>
              <w:t>1</w:t>
            </w:r>
          </w:p>
        </w:tc>
        <w:tc>
          <w:tcPr>
            <w:tcW w:w="1217" w:type="dxa"/>
          </w:tcPr>
          <w:p w:rsidRPr="00E24EA6" w:rsidR="0031362C" w:rsidP="0031362C" w:rsidRDefault="00D40F11" w14:paraId="59583297" w14:textId="3ED5042A">
            <w:pPr>
              <w:jc w:val="center"/>
              <w:rPr>
                <w:sz w:val="20"/>
                <w:szCs w:val="20"/>
              </w:rPr>
            </w:pPr>
            <w:r>
              <w:rPr>
                <w:sz w:val="20"/>
                <w:szCs w:val="20"/>
              </w:rPr>
              <w:t>1.0</w:t>
            </w:r>
          </w:p>
        </w:tc>
        <w:tc>
          <w:tcPr>
            <w:tcW w:w="1260" w:type="dxa"/>
            <w:shd w:val="clear" w:color="auto" w:fill="auto"/>
            <w:tcMar>
              <w:top w:w="0" w:type="dxa"/>
              <w:left w:w="108" w:type="dxa"/>
              <w:bottom w:w="0" w:type="dxa"/>
              <w:right w:w="108" w:type="dxa"/>
            </w:tcMar>
          </w:tcPr>
          <w:p w:rsidRPr="00E24EA6" w:rsidR="0031362C" w:rsidP="0031362C" w:rsidRDefault="002F22C7" w14:paraId="2799B33B" w14:textId="52F21DCD">
            <w:pPr>
              <w:jc w:val="center"/>
              <w:rPr>
                <w:sz w:val="20"/>
                <w:szCs w:val="20"/>
              </w:rPr>
            </w:pPr>
            <w:r>
              <w:rPr>
                <w:sz w:val="20"/>
                <w:szCs w:val="20"/>
              </w:rPr>
              <w:t>60</w:t>
            </w:r>
          </w:p>
        </w:tc>
      </w:tr>
      <w:tr w:rsidRPr="00E24EA6" w:rsidR="0031362C" w:rsidTr="00070B67" w14:paraId="5E5C5E71" w14:textId="77777777">
        <w:tc>
          <w:tcPr>
            <w:tcW w:w="3960" w:type="dxa"/>
            <w:shd w:val="clear" w:color="auto" w:fill="auto"/>
            <w:tcMar>
              <w:top w:w="0" w:type="dxa"/>
              <w:left w:w="108" w:type="dxa"/>
              <w:bottom w:w="0" w:type="dxa"/>
              <w:right w:w="108" w:type="dxa"/>
            </w:tcMar>
          </w:tcPr>
          <w:p w:rsidRPr="00E24EA6" w:rsidR="0031362C" w:rsidP="0031362C" w:rsidRDefault="0031362C" w14:paraId="21376DCA" w14:textId="77777777">
            <w:pPr>
              <w:rPr>
                <w:b/>
                <w:sz w:val="20"/>
                <w:szCs w:val="20"/>
              </w:rPr>
            </w:pPr>
            <w:r w:rsidRPr="00E24EA6">
              <w:rPr>
                <w:b/>
                <w:sz w:val="20"/>
                <w:szCs w:val="20"/>
              </w:rPr>
              <w:t>Total</w:t>
            </w:r>
          </w:p>
        </w:tc>
        <w:tc>
          <w:tcPr>
            <w:tcW w:w="1336" w:type="dxa"/>
            <w:shd w:val="clear" w:color="auto" w:fill="auto"/>
            <w:tcMar>
              <w:top w:w="0" w:type="dxa"/>
              <w:left w:w="108" w:type="dxa"/>
              <w:bottom w:w="0" w:type="dxa"/>
              <w:right w:w="108" w:type="dxa"/>
            </w:tcMar>
          </w:tcPr>
          <w:p w:rsidRPr="00E24EA6" w:rsidR="0031362C" w:rsidP="0031362C" w:rsidRDefault="002F22C7" w14:paraId="667BAAA8" w14:textId="104875D2">
            <w:pPr>
              <w:jc w:val="center"/>
              <w:rPr>
                <w:b/>
                <w:sz w:val="20"/>
                <w:szCs w:val="20"/>
              </w:rPr>
            </w:pPr>
            <w:r>
              <w:rPr>
                <w:b/>
                <w:sz w:val="20"/>
                <w:szCs w:val="20"/>
              </w:rPr>
              <w:t>60</w:t>
            </w:r>
          </w:p>
        </w:tc>
        <w:tc>
          <w:tcPr>
            <w:tcW w:w="1094" w:type="dxa"/>
            <w:shd w:val="clear" w:color="auto" w:fill="auto"/>
            <w:tcMar>
              <w:top w:w="0" w:type="dxa"/>
              <w:left w:w="108" w:type="dxa"/>
              <w:bottom w:w="0" w:type="dxa"/>
              <w:right w:w="108" w:type="dxa"/>
            </w:tcMar>
          </w:tcPr>
          <w:p w:rsidRPr="00E24EA6" w:rsidR="0031362C" w:rsidP="0031362C" w:rsidRDefault="0031362C" w14:paraId="314EEBCA" w14:textId="77777777">
            <w:pPr>
              <w:jc w:val="center"/>
              <w:rPr>
                <w:b/>
                <w:sz w:val="20"/>
                <w:szCs w:val="20"/>
              </w:rPr>
            </w:pPr>
          </w:p>
        </w:tc>
        <w:tc>
          <w:tcPr>
            <w:tcW w:w="1217" w:type="dxa"/>
          </w:tcPr>
          <w:p w:rsidRPr="00E24EA6" w:rsidR="0031362C" w:rsidP="0031362C" w:rsidRDefault="0031362C" w14:paraId="3BB8686B" w14:textId="77777777">
            <w:pPr>
              <w:jc w:val="center"/>
              <w:rPr>
                <w:b/>
                <w:bCs/>
                <w:color w:val="000000"/>
                <w:sz w:val="20"/>
                <w:szCs w:val="20"/>
              </w:rPr>
            </w:pPr>
          </w:p>
        </w:tc>
        <w:tc>
          <w:tcPr>
            <w:tcW w:w="1260" w:type="dxa"/>
            <w:shd w:val="clear" w:color="auto" w:fill="auto"/>
            <w:tcMar>
              <w:top w:w="0" w:type="dxa"/>
              <w:left w:w="108" w:type="dxa"/>
              <w:bottom w:w="0" w:type="dxa"/>
              <w:right w:w="108" w:type="dxa"/>
            </w:tcMar>
          </w:tcPr>
          <w:p w:rsidRPr="00E24EA6" w:rsidR="0031362C" w:rsidP="0031362C" w:rsidRDefault="00C95E36" w14:paraId="2C8AA804" w14:textId="46DCC27E">
            <w:pPr>
              <w:jc w:val="center"/>
              <w:rPr>
                <w:b/>
                <w:sz w:val="20"/>
                <w:szCs w:val="20"/>
              </w:rPr>
            </w:pPr>
            <w:r>
              <w:rPr>
                <w:b/>
                <w:sz w:val="20"/>
                <w:szCs w:val="20"/>
              </w:rPr>
              <w:t>60</w:t>
            </w:r>
          </w:p>
        </w:tc>
      </w:tr>
    </w:tbl>
    <w:p w:rsidR="00E557F9" w:rsidP="0031362C" w:rsidRDefault="00E557F9" w14:paraId="05A1E21B" w14:textId="77777777"/>
    <w:p w:rsidR="0031362C" w:rsidP="0031362C" w:rsidRDefault="0031362C" w14:paraId="4F8779DB" w14:textId="7174963A">
      <w:r>
        <w:t>Exhibit A.2</w:t>
      </w:r>
      <w:r w:rsidR="00E42E41">
        <w:t>b</w:t>
      </w:r>
      <w:r>
        <w:t xml:space="preserve"> shows the estimated annualized cost burden based on the respondents’ time to complete the </w:t>
      </w:r>
      <w:r w:rsidR="00C95E36">
        <w:t>Key Informant Interviews</w:t>
      </w:r>
      <w:r>
        <w:t xml:space="preserve">. The total </w:t>
      </w:r>
      <w:r w:rsidR="00117D85">
        <w:t xml:space="preserve">annualized </w:t>
      </w:r>
      <w:r>
        <w:t>cost burden is estimated to be</w:t>
      </w:r>
      <w:r w:rsidR="00117D85">
        <w:t xml:space="preserve"> $</w:t>
      </w:r>
      <w:r w:rsidR="00EB35C6">
        <w:t>6,109</w:t>
      </w:r>
      <w:r w:rsidR="00117D85">
        <w:t xml:space="preserve">. </w:t>
      </w:r>
      <w:r>
        <w:t xml:space="preserve"> </w:t>
      </w:r>
    </w:p>
    <w:p w:rsidR="0031362C" w:rsidP="0031362C" w:rsidRDefault="0031362C" w14:paraId="1B5A9E01" w14:textId="77777777"/>
    <w:p w:rsidRPr="0073565C" w:rsidR="0031362C" w:rsidP="0031362C" w:rsidRDefault="0031362C" w14:paraId="7E6C3EDD" w14:textId="44865D2E">
      <w:r>
        <w:rPr>
          <w:b/>
          <w:bCs/>
          <w:color w:val="000000"/>
        </w:rPr>
        <w:t>Exhibit A.2</w:t>
      </w:r>
      <w:r w:rsidR="00E42E41">
        <w:rPr>
          <w:b/>
          <w:bCs/>
          <w:color w:val="000000"/>
        </w:rPr>
        <w:t>b</w:t>
      </w:r>
      <w:r w:rsidRPr="0073565C">
        <w:rPr>
          <w:b/>
          <w:bCs/>
          <w:color w:val="000000"/>
        </w:rPr>
        <w:t xml:space="preserve"> </w:t>
      </w:r>
      <w:r w:rsidR="002F22C7">
        <w:rPr>
          <w:b/>
        </w:rPr>
        <w:t>Estimated Annualized Cost B</w:t>
      </w:r>
      <w:r w:rsidRPr="0073565C">
        <w:rPr>
          <w:b/>
        </w:rPr>
        <w:t>urden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2767"/>
        <w:gridCol w:w="1260"/>
        <w:gridCol w:w="1350"/>
        <w:gridCol w:w="1350"/>
        <w:gridCol w:w="1440"/>
      </w:tblGrid>
      <w:tr w:rsidRPr="00C93CCC" w:rsidR="0031362C" w:rsidTr="00E00DAC" w14:paraId="3D8A099A" w14:textId="77777777">
        <w:tc>
          <w:tcPr>
            <w:tcW w:w="2767" w:type="dxa"/>
            <w:shd w:val="clear" w:color="auto" w:fill="auto"/>
            <w:tcMar>
              <w:top w:w="0" w:type="dxa"/>
              <w:left w:w="108" w:type="dxa"/>
              <w:bottom w:w="0" w:type="dxa"/>
              <w:right w:w="108" w:type="dxa"/>
            </w:tcMar>
          </w:tcPr>
          <w:p w:rsidRPr="00C93CCC" w:rsidR="0031362C" w:rsidP="003A0971" w:rsidRDefault="0031362C" w14:paraId="19B48E76" w14:textId="77777777">
            <w:pPr>
              <w:jc w:val="center"/>
              <w:rPr>
                <w:sz w:val="20"/>
                <w:szCs w:val="20"/>
              </w:rPr>
            </w:pPr>
            <w:r w:rsidRPr="00C93CCC">
              <w:rPr>
                <w:sz w:val="20"/>
                <w:szCs w:val="20"/>
              </w:rPr>
              <w:t>Form Name</w:t>
            </w:r>
          </w:p>
        </w:tc>
        <w:tc>
          <w:tcPr>
            <w:tcW w:w="1260" w:type="dxa"/>
            <w:shd w:val="clear" w:color="auto" w:fill="auto"/>
            <w:tcMar>
              <w:top w:w="0" w:type="dxa"/>
              <w:left w:w="108" w:type="dxa"/>
              <w:bottom w:w="0" w:type="dxa"/>
              <w:right w:w="108" w:type="dxa"/>
            </w:tcMar>
          </w:tcPr>
          <w:p w:rsidRPr="00C93CCC" w:rsidR="0031362C" w:rsidP="003A0971" w:rsidRDefault="0031362C" w14:paraId="3ECA072E" w14:textId="77777777">
            <w:pPr>
              <w:jc w:val="center"/>
              <w:rPr>
                <w:sz w:val="20"/>
                <w:szCs w:val="20"/>
              </w:rPr>
            </w:pPr>
            <w:r w:rsidRPr="00C93CCC">
              <w:rPr>
                <w:sz w:val="20"/>
                <w:szCs w:val="20"/>
              </w:rPr>
              <w:t>Number of Respondents</w:t>
            </w:r>
          </w:p>
        </w:tc>
        <w:tc>
          <w:tcPr>
            <w:tcW w:w="1350" w:type="dxa"/>
            <w:shd w:val="clear" w:color="auto" w:fill="auto"/>
            <w:tcMar>
              <w:top w:w="0" w:type="dxa"/>
              <w:left w:w="108" w:type="dxa"/>
              <w:bottom w:w="0" w:type="dxa"/>
              <w:right w:w="108" w:type="dxa"/>
            </w:tcMar>
          </w:tcPr>
          <w:p w:rsidRPr="00C93CCC" w:rsidR="0031362C" w:rsidP="003A0971" w:rsidRDefault="0031362C" w14:paraId="67824008" w14:textId="77777777">
            <w:pPr>
              <w:jc w:val="center"/>
              <w:rPr>
                <w:sz w:val="20"/>
                <w:szCs w:val="20"/>
              </w:rPr>
            </w:pPr>
            <w:r w:rsidRPr="00C93CCC">
              <w:rPr>
                <w:sz w:val="20"/>
                <w:szCs w:val="20"/>
              </w:rPr>
              <w:t>Total Burden hours</w:t>
            </w:r>
          </w:p>
        </w:tc>
        <w:tc>
          <w:tcPr>
            <w:tcW w:w="1350" w:type="dxa"/>
          </w:tcPr>
          <w:p w:rsidRPr="00C93CCC" w:rsidR="0031362C" w:rsidP="003A0971" w:rsidRDefault="0031362C" w14:paraId="0ADF6853" w14:textId="77777777">
            <w:pPr>
              <w:jc w:val="center"/>
              <w:rPr>
                <w:sz w:val="20"/>
                <w:szCs w:val="20"/>
              </w:rPr>
            </w:pPr>
            <w:r w:rsidRPr="00C93CCC">
              <w:rPr>
                <w:sz w:val="20"/>
                <w:szCs w:val="20"/>
              </w:rPr>
              <w:t>Average Hourly Wage Rate*</w:t>
            </w:r>
          </w:p>
        </w:tc>
        <w:tc>
          <w:tcPr>
            <w:tcW w:w="1440" w:type="dxa"/>
            <w:shd w:val="clear" w:color="auto" w:fill="auto"/>
            <w:tcMar>
              <w:top w:w="0" w:type="dxa"/>
              <w:left w:w="108" w:type="dxa"/>
              <w:bottom w:w="0" w:type="dxa"/>
              <w:right w:w="108" w:type="dxa"/>
            </w:tcMar>
          </w:tcPr>
          <w:p w:rsidRPr="00C93CCC" w:rsidR="0031362C" w:rsidP="003A0971" w:rsidRDefault="0031362C" w14:paraId="37B1DD78" w14:textId="77777777">
            <w:pPr>
              <w:jc w:val="center"/>
              <w:rPr>
                <w:sz w:val="20"/>
                <w:szCs w:val="20"/>
              </w:rPr>
            </w:pPr>
            <w:r w:rsidRPr="00C93CCC">
              <w:rPr>
                <w:sz w:val="20"/>
                <w:szCs w:val="20"/>
              </w:rPr>
              <w:t>Total  Cost Burden</w:t>
            </w:r>
          </w:p>
        </w:tc>
      </w:tr>
      <w:tr w:rsidRPr="00C93CCC" w:rsidR="00AB51F2" w:rsidTr="00E00DAC" w14:paraId="3BCE7AA3" w14:textId="77777777">
        <w:tc>
          <w:tcPr>
            <w:tcW w:w="2767" w:type="dxa"/>
            <w:shd w:val="clear" w:color="auto" w:fill="auto"/>
            <w:tcMar>
              <w:top w:w="0" w:type="dxa"/>
              <w:left w:w="108" w:type="dxa"/>
              <w:bottom w:w="0" w:type="dxa"/>
              <w:right w:w="108" w:type="dxa"/>
            </w:tcMar>
          </w:tcPr>
          <w:p w:rsidRPr="00070B67" w:rsidR="00AB51F2" w:rsidP="00AB51F2" w:rsidRDefault="00AB51F2" w14:paraId="743046B6" w14:textId="4BDDBF79">
            <w:pPr>
              <w:rPr>
                <w:bCs/>
                <w:sz w:val="20"/>
                <w:szCs w:val="20"/>
              </w:rPr>
            </w:pPr>
            <w:r>
              <w:rPr>
                <w:bCs/>
                <w:sz w:val="20"/>
                <w:szCs w:val="20"/>
              </w:rPr>
              <w:t>Semi-Structured Interviews</w:t>
            </w:r>
          </w:p>
        </w:tc>
        <w:tc>
          <w:tcPr>
            <w:tcW w:w="1260" w:type="dxa"/>
            <w:shd w:val="clear" w:color="auto" w:fill="auto"/>
            <w:tcMar>
              <w:top w:w="0" w:type="dxa"/>
              <w:left w:w="108" w:type="dxa"/>
              <w:bottom w:w="0" w:type="dxa"/>
              <w:right w:w="108" w:type="dxa"/>
            </w:tcMar>
          </w:tcPr>
          <w:p w:rsidRPr="00C93CCC" w:rsidR="00AB51F2" w:rsidP="00AB51F2" w:rsidRDefault="002F22C7" w14:paraId="7B159ED0" w14:textId="55940784">
            <w:pPr>
              <w:jc w:val="center"/>
              <w:rPr>
                <w:sz w:val="20"/>
                <w:szCs w:val="20"/>
              </w:rPr>
            </w:pPr>
            <w:r>
              <w:rPr>
                <w:sz w:val="20"/>
                <w:szCs w:val="20"/>
              </w:rPr>
              <w:t>6</w:t>
            </w:r>
            <w:r w:rsidR="00C47B79">
              <w:rPr>
                <w:sz w:val="20"/>
                <w:szCs w:val="20"/>
              </w:rPr>
              <w:t>0</w:t>
            </w:r>
          </w:p>
        </w:tc>
        <w:tc>
          <w:tcPr>
            <w:tcW w:w="1350" w:type="dxa"/>
            <w:shd w:val="clear" w:color="auto" w:fill="auto"/>
            <w:tcMar>
              <w:top w:w="0" w:type="dxa"/>
              <w:left w:w="108" w:type="dxa"/>
              <w:bottom w:w="0" w:type="dxa"/>
              <w:right w:w="108" w:type="dxa"/>
            </w:tcMar>
          </w:tcPr>
          <w:p w:rsidRPr="00C93CCC" w:rsidR="00AB51F2" w:rsidP="00C47B79" w:rsidRDefault="002F22C7" w14:paraId="077A8495" w14:textId="5396D3F5">
            <w:pPr>
              <w:jc w:val="center"/>
              <w:rPr>
                <w:sz w:val="20"/>
                <w:szCs w:val="20"/>
              </w:rPr>
            </w:pPr>
            <w:r>
              <w:rPr>
                <w:sz w:val="20"/>
                <w:szCs w:val="20"/>
              </w:rPr>
              <w:t>60</w:t>
            </w:r>
          </w:p>
        </w:tc>
        <w:tc>
          <w:tcPr>
            <w:tcW w:w="1350" w:type="dxa"/>
          </w:tcPr>
          <w:p w:rsidRPr="00C93CCC" w:rsidR="00AB51F2" w:rsidP="00117D85" w:rsidRDefault="002C698E" w14:paraId="023CF4B7" w14:textId="6E24CC88">
            <w:pPr>
              <w:jc w:val="center"/>
              <w:rPr>
                <w:sz w:val="20"/>
                <w:szCs w:val="20"/>
              </w:rPr>
            </w:pPr>
            <w:r w:rsidRPr="00C93CCC">
              <w:rPr>
                <w:sz w:val="20"/>
                <w:szCs w:val="20"/>
              </w:rPr>
              <w:t>$</w:t>
            </w:r>
            <w:r>
              <w:rPr>
                <w:sz w:val="20"/>
                <w:szCs w:val="20"/>
              </w:rPr>
              <w:t>101</w:t>
            </w:r>
            <w:r w:rsidRPr="00C93CCC">
              <w:rPr>
                <w:sz w:val="20"/>
                <w:szCs w:val="20"/>
              </w:rPr>
              <w:t>.8</w:t>
            </w:r>
            <w:r>
              <w:rPr>
                <w:sz w:val="20"/>
                <w:szCs w:val="20"/>
              </w:rPr>
              <w:t>2</w:t>
            </w:r>
            <w:r w:rsidRPr="00C93CCC">
              <w:rPr>
                <w:sz w:val="20"/>
                <w:szCs w:val="20"/>
                <w:vertAlign w:val="superscript"/>
              </w:rPr>
              <w:t>a</w:t>
            </w:r>
          </w:p>
        </w:tc>
        <w:tc>
          <w:tcPr>
            <w:tcW w:w="1440" w:type="dxa"/>
            <w:shd w:val="clear" w:color="auto" w:fill="auto"/>
            <w:tcMar>
              <w:top w:w="0" w:type="dxa"/>
              <w:left w:w="108" w:type="dxa"/>
              <w:bottom w:w="0" w:type="dxa"/>
              <w:right w:w="108" w:type="dxa"/>
            </w:tcMar>
          </w:tcPr>
          <w:p w:rsidRPr="00C93CCC" w:rsidR="00AB51F2" w:rsidP="00117D85" w:rsidRDefault="00F233B4" w14:paraId="7784C6E0" w14:textId="3C093FB0">
            <w:pPr>
              <w:jc w:val="center"/>
              <w:rPr>
                <w:sz w:val="20"/>
                <w:szCs w:val="20"/>
              </w:rPr>
            </w:pPr>
            <w:r>
              <w:rPr>
                <w:sz w:val="20"/>
                <w:szCs w:val="20"/>
              </w:rPr>
              <w:t>$6,109</w:t>
            </w:r>
          </w:p>
        </w:tc>
      </w:tr>
      <w:tr w:rsidRPr="00C93CCC" w:rsidR="00AB51F2" w:rsidTr="00E00DAC" w14:paraId="6E4033CB" w14:textId="77777777">
        <w:tc>
          <w:tcPr>
            <w:tcW w:w="2767" w:type="dxa"/>
            <w:shd w:val="clear" w:color="auto" w:fill="auto"/>
            <w:tcMar>
              <w:top w:w="0" w:type="dxa"/>
              <w:left w:w="108" w:type="dxa"/>
              <w:bottom w:w="0" w:type="dxa"/>
              <w:right w:w="108" w:type="dxa"/>
            </w:tcMar>
          </w:tcPr>
          <w:p w:rsidRPr="00C93CCC" w:rsidR="00AB51F2" w:rsidP="00AB51F2" w:rsidRDefault="00AB51F2" w14:paraId="3F5FE47D" w14:textId="506805EF">
            <w:pPr>
              <w:rPr>
                <w:b/>
                <w:sz w:val="20"/>
                <w:szCs w:val="20"/>
              </w:rPr>
            </w:pPr>
            <w:r w:rsidRPr="00C93CCC">
              <w:rPr>
                <w:b/>
                <w:sz w:val="20"/>
                <w:szCs w:val="20"/>
              </w:rPr>
              <w:t>Total</w:t>
            </w:r>
          </w:p>
        </w:tc>
        <w:tc>
          <w:tcPr>
            <w:tcW w:w="1260" w:type="dxa"/>
            <w:shd w:val="clear" w:color="auto" w:fill="auto"/>
            <w:tcMar>
              <w:top w:w="0" w:type="dxa"/>
              <w:left w:w="108" w:type="dxa"/>
              <w:bottom w:w="0" w:type="dxa"/>
              <w:right w:w="108" w:type="dxa"/>
            </w:tcMar>
          </w:tcPr>
          <w:p w:rsidRPr="00C93CCC" w:rsidR="00AB51F2" w:rsidP="00AB51F2" w:rsidRDefault="00C95E36" w14:paraId="5CCD5551" w14:textId="20B42FB9">
            <w:pPr>
              <w:jc w:val="center"/>
              <w:rPr>
                <w:b/>
                <w:sz w:val="20"/>
                <w:szCs w:val="20"/>
              </w:rPr>
            </w:pPr>
            <w:r>
              <w:rPr>
                <w:b/>
                <w:sz w:val="20"/>
                <w:szCs w:val="20"/>
              </w:rPr>
              <w:t>60</w:t>
            </w:r>
          </w:p>
        </w:tc>
        <w:tc>
          <w:tcPr>
            <w:tcW w:w="1350" w:type="dxa"/>
            <w:shd w:val="clear" w:color="auto" w:fill="auto"/>
            <w:tcMar>
              <w:top w:w="0" w:type="dxa"/>
              <w:left w:w="108" w:type="dxa"/>
              <w:bottom w:w="0" w:type="dxa"/>
              <w:right w:w="108" w:type="dxa"/>
            </w:tcMar>
          </w:tcPr>
          <w:p w:rsidRPr="00C93CCC" w:rsidR="00AB51F2" w:rsidP="00AB51F2" w:rsidRDefault="00C95E36" w14:paraId="4C4EF052" w14:textId="3B97A167">
            <w:pPr>
              <w:jc w:val="center"/>
              <w:rPr>
                <w:b/>
                <w:sz w:val="20"/>
                <w:szCs w:val="20"/>
              </w:rPr>
            </w:pPr>
            <w:r>
              <w:rPr>
                <w:b/>
                <w:sz w:val="20"/>
                <w:szCs w:val="20"/>
              </w:rPr>
              <w:t>60</w:t>
            </w:r>
          </w:p>
        </w:tc>
        <w:tc>
          <w:tcPr>
            <w:tcW w:w="1350" w:type="dxa"/>
          </w:tcPr>
          <w:p w:rsidRPr="00C93CCC" w:rsidR="00AB51F2" w:rsidP="00AB51F2" w:rsidRDefault="00AB51F2" w14:paraId="0B666936" w14:textId="77777777">
            <w:pPr>
              <w:jc w:val="center"/>
              <w:rPr>
                <w:b/>
                <w:bCs/>
                <w:sz w:val="20"/>
                <w:szCs w:val="20"/>
              </w:rPr>
            </w:pPr>
          </w:p>
        </w:tc>
        <w:tc>
          <w:tcPr>
            <w:tcW w:w="1440" w:type="dxa"/>
            <w:shd w:val="clear" w:color="auto" w:fill="auto"/>
            <w:tcMar>
              <w:top w:w="0" w:type="dxa"/>
              <w:left w:w="108" w:type="dxa"/>
              <w:bottom w:w="0" w:type="dxa"/>
              <w:right w:w="108" w:type="dxa"/>
            </w:tcMar>
          </w:tcPr>
          <w:p w:rsidRPr="00C93CCC" w:rsidR="00AB51F2" w:rsidP="00117D85" w:rsidRDefault="00117D85" w14:paraId="72DEF3E9" w14:textId="4317B40D">
            <w:pPr>
              <w:jc w:val="center"/>
              <w:rPr>
                <w:b/>
                <w:sz w:val="20"/>
                <w:szCs w:val="20"/>
              </w:rPr>
            </w:pPr>
            <w:r>
              <w:rPr>
                <w:b/>
                <w:sz w:val="20"/>
                <w:szCs w:val="20"/>
              </w:rPr>
              <w:t>$</w:t>
            </w:r>
            <w:r w:rsidR="00C95E36">
              <w:rPr>
                <w:b/>
                <w:sz w:val="20"/>
                <w:szCs w:val="20"/>
              </w:rPr>
              <w:t>6,109</w:t>
            </w:r>
          </w:p>
        </w:tc>
      </w:tr>
    </w:tbl>
    <w:p w:rsidRPr="0006429A" w:rsidR="0031362C" w:rsidP="0031362C" w:rsidRDefault="0031362C" w14:paraId="300FE038" w14:textId="4E9FCA86">
      <w:pPr>
        <w:rPr>
          <w:sz w:val="20"/>
          <w:szCs w:val="20"/>
        </w:rPr>
      </w:pPr>
      <w:r>
        <w:rPr>
          <w:sz w:val="20"/>
          <w:szCs w:val="20"/>
        </w:rPr>
        <w:t>*</w:t>
      </w:r>
      <w:r w:rsidRPr="0006429A">
        <w:rPr>
          <w:sz w:val="20"/>
          <w:szCs w:val="20"/>
        </w:rPr>
        <w:t>National Compensation Survey: Occupational wages in the United States May 201</w:t>
      </w:r>
      <w:r w:rsidR="00E32BF9">
        <w:rPr>
          <w:sz w:val="20"/>
          <w:szCs w:val="20"/>
        </w:rPr>
        <w:t>8</w:t>
      </w:r>
      <w:r w:rsidRPr="0006429A">
        <w:rPr>
          <w:sz w:val="20"/>
          <w:szCs w:val="20"/>
        </w:rPr>
        <w:t xml:space="preserve">“U.S. Department of Labor, Bureau of Labor Statistics:” </w:t>
      </w:r>
      <w:hyperlink w:history="1" r:id="rId16">
        <w:r w:rsidRPr="00E557F9" w:rsidR="00E32BF9">
          <w:rPr>
            <w:rStyle w:val="Hyperlink"/>
            <w:sz w:val="20"/>
            <w:szCs w:val="20"/>
          </w:rPr>
          <w:t>https://www.bls.gov/oes/current/oes_stru.htm</w:t>
        </w:r>
      </w:hyperlink>
      <w:r w:rsidR="00E32BF9">
        <w:rPr>
          <w:sz w:val="20"/>
          <w:szCs w:val="20"/>
        </w:rPr>
        <w:t xml:space="preserve"> </w:t>
      </w:r>
    </w:p>
    <w:p w:rsidRPr="0006429A" w:rsidR="0031362C" w:rsidP="0031362C" w:rsidRDefault="0031362C" w14:paraId="6C19865A" w14:textId="33AC1C47">
      <w:pPr>
        <w:rPr>
          <w:i/>
          <w:sz w:val="20"/>
          <w:szCs w:val="20"/>
        </w:rPr>
      </w:pPr>
      <w:proofErr w:type="gramStart"/>
      <w:r w:rsidRPr="0006429A">
        <w:rPr>
          <w:sz w:val="20"/>
          <w:szCs w:val="20"/>
          <w:vertAlign w:val="superscript"/>
        </w:rPr>
        <w:t>a</w:t>
      </w:r>
      <w:proofErr w:type="gramEnd"/>
      <w:r w:rsidRPr="0006429A">
        <w:rPr>
          <w:b/>
          <w:sz w:val="20"/>
          <w:szCs w:val="20"/>
        </w:rPr>
        <w:t xml:space="preserve"> </w:t>
      </w:r>
      <w:r w:rsidRPr="0006429A">
        <w:rPr>
          <w:sz w:val="20"/>
          <w:szCs w:val="20"/>
        </w:rPr>
        <w:t xml:space="preserve">Based on the mean wages for </w:t>
      </w:r>
      <w:r w:rsidRPr="0006429A">
        <w:rPr>
          <w:i/>
          <w:sz w:val="20"/>
          <w:szCs w:val="20"/>
        </w:rPr>
        <w:t>2</w:t>
      </w:r>
      <w:r w:rsidR="002C698E">
        <w:rPr>
          <w:i/>
          <w:sz w:val="20"/>
          <w:szCs w:val="20"/>
        </w:rPr>
        <w:t>9-1062</w:t>
      </w:r>
      <w:r w:rsidRPr="0006429A">
        <w:rPr>
          <w:i/>
          <w:sz w:val="20"/>
          <w:szCs w:val="20"/>
        </w:rPr>
        <w:t xml:space="preserve"> </w:t>
      </w:r>
      <w:r w:rsidR="002C698E">
        <w:rPr>
          <w:i/>
          <w:sz w:val="20"/>
          <w:szCs w:val="20"/>
        </w:rPr>
        <w:t>Family</w:t>
      </w:r>
      <w:r w:rsidRPr="0006429A">
        <w:rPr>
          <w:i/>
          <w:sz w:val="20"/>
          <w:szCs w:val="20"/>
        </w:rPr>
        <w:t xml:space="preserve"> and </w:t>
      </w:r>
      <w:r w:rsidR="002C698E">
        <w:rPr>
          <w:i/>
          <w:sz w:val="20"/>
          <w:szCs w:val="20"/>
        </w:rPr>
        <w:t>General Practition</w:t>
      </w:r>
      <w:r w:rsidRPr="0006429A">
        <w:rPr>
          <w:i/>
          <w:sz w:val="20"/>
          <w:szCs w:val="20"/>
        </w:rPr>
        <w:t>er</w:t>
      </w:r>
      <w:r w:rsidR="002C698E">
        <w:rPr>
          <w:i/>
          <w:sz w:val="20"/>
          <w:szCs w:val="20"/>
        </w:rPr>
        <w:t>s</w:t>
      </w:r>
    </w:p>
    <w:p w:rsidR="00AB1A72" w:rsidP="0031362C" w:rsidRDefault="00AB1A72" w14:paraId="5DEB9BC9" w14:textId="77777777">
      <w:pPr>
        <w:rPr>
          <w:i/>
          <w:sz w:val="20"/>
          <w:szCs w:val="20"/>
        </w:rPr>
      </w:pPr>
    </w:p>
    <w:p w:rsidRPr="00AB1A72" w:rsidR="00AB1A72" w:rsidP="0031362C" w:rsidRDefault="00AB1A72" w14:paraId="0D286481" w14:textId="77777777">
      <w:pPr>
        <w:rPr>
          <w:i/>
          <w:sz w:val="20"/>
          <w:szCs w:val="20"/>
        </w:rPr>
      </w:pPr>
    </w:p>
    <w:p w:rsidR="00D17320" w:rsidP="00AB1A72" w:rsidRDefault="00DD107D" w14:paraId="459810CB" w14:textId="61A45C1D">
      <w:pPr>
        <w:pStyle w:val="Heading2"/>
        <w:spacing w:before="0" w:after="0"/>
      </w:pPr>
      <w:bookmarkStart w:name="_Toc31274469" w:id="29"/>
      <w:bookmarkStart w:name="_Toc35934833" w:id="30"/>
      <w:r>
        <w:t xml:space="preserve">A13. </w:t>
      </w:r>
      <w:r w:rsidRPr="0072204D">
        <w:t>Cost Burden to Respondents or Record Keepers</w:t>
      </w:r>
      <w:bookmarkEnd w:id="29"/>
      <w:bookmarkEnd w:id="30"/>
    </w:p>
    <w:p w:rsidRPr="00AB1A72" w:rsidR="00AB1A72" w:rsidP="00AB1A72" w:rsidRDefault="00AB1A72" w14:paraId="68633D68" w14:textId="77777777"/>
    <w:p w:rsidR="007B5E86" w:rsidP="00AB1A72" w:rsidRDefault="007B5E86" w14:paraId="4F92EB77" w14:textId="77777777">
      <w:r w:rsidRPr="006C45D0">
        <w:t>Capital and maintenance costs include the purchase of equipment, computers or computer software or services, or storage facilities for records, as a result of complying with this data collection.</w:t>
      </w:r>
      <w:r w:rsidRPr="00A65884">
        <w:rPr>
          <w:i/>
        </w:rPr>
        <w:t xml:space="preserve"> </w:t>
      </w:r>
      <w:r>
        <w:t>There are no direct costs to respondents other than their time to participate in the project.</w:t>
      </w:r>
    </w:p>
    <w:p w:rsidR="00AB1A72" w:rsidP="00AB1A72" w:rsidRDefault="00AB1A72" w14:paraId="3C58629B" w14:textId="77777777"/>
    <w:p w:rsidR="00AB1A72" w:rsidP="00AB1A72" w:rsidRDefault="00AB1A72" w14:paraId="25CB9666" w14:textId="77777777"/>
    <w:p w:rsidR="00DD107D" w:rsidP="00AB1A72" w:rsidRDefault="00DD107D" w14:paraId="5CA36219" w14:textId="77777777">
      <w:pPr>
        <w:pStyle w:val="Heading2"/>
        <w:spacing w:before="0" w:after="0"/>
      </w:pPr>
      <w:bookmarkStart w:name="_Toc31274470" w:id="31"/>
      <w:bookmarkStart w:name="_Toc35934834" w:id="32"/>
      <w:r>
        <w:t xml:space="preserve">A14. </w:t>
      </w:r>
      <w:r w:rsidRPr="0072204D">
        <w:t>Estimate of Cost to the Federal Government</w:t>
      </w:r>
      <w:bookmarkEnd w:id="31"/>
      <w:bookmarkEnd w:id="32"/>
    </w:p>
    <w:p w:rsidRPr="00D17320" w:rsidR="00D17320" w:rsidP="00AB1A72" w:rsidRDefault="00D17320" w14:paraId="3E9E6E7F" w14:textId="77777777"/>
    <w:p w:rsidR="00E00DAC" w:rsidP="00AB1A72" w:rsidRDefault="00B27ED2" w14:paraId="0A384318" w14:textId="6D0CD5FF">
      <w:r>
        <w:t xml:space="preserve">The total </w:t>
      </w:r>
      <w:r w:rsidR="00D43E83">
        <w:t xml:space="preserve">estimated </w:t>
      </w:r>
      <w:r>
        <w:t xml:space="preserve">cost to the Federal government </w:t>
      </w:r>
      <w:r w:rsidR="00D43E83">
        <w:t>is</w:t>
      </w:r>
      <w:r>
        <w:t xml:space="preserve"> </w:t>
      </w:r>
      <w:r w:rsidR="00C11B81">
        <w:t>$</w:t>
      </w:r>
      <w:r w:rsidR="003926F4">
        <w:t>199,582</w:t>
      </w:r>
      <w:r w:rsidR="00D43E83">
        <w:t xml:space="preserve">. This includes the contractor costs for </w:t>
      </w:r>
      <w:r w:rsidR="005C31FE">
        <w:t xml:space="preserve">project development, designing and conducting the evaluation, analyzing and reporting results, and disseminating project findings. </w:t>
      </w:r>
    </w:p>
    <w:p w:rsidR="00330231" w:rsidP="008E68E1" w:rsidRDefault="00881985" w14:paraId="02F752EC" w14:textId="2B72B7BA">
      <w:r>
        <w:t xml:space="preserve"> </w:t>
      </w:r>
    </w:p>
    <w:p w:rsidRPr="004812AC" w:rsidR="006C1773" w:rsidP="008E68E1" w:rsidRDefault="006C1773" w14:paraId="53243145" w14:textId="66470C6C">
      <w:pPr>
        <w:rPr>
          <w:b/>
        </w:rPr>
      </w:pPr>
      <w:r w:rsidRPr="001860B2">
        <w:rPr>
          <w:b/>
        </w:rPr>
        <w:t>Exhibit A.</w:t>
      </w:r>
      <w:r w:rsidRPr="001860B2" w:rsidR="00C57573">
        <w:rPr>
          <w:b/>
        </w:rPr>
        <w:t>3a</w:t>
      </w:r>
      <w:r w:rsidR="00C57573">
        <w:rPr>
          <w:b/>
        </w:rPr>
        <w:t xml:space="preserve"> Estimated Total and Annualized Cost</w:t>
      </w:r>
    </w:p>
    <w:tbl>
      <w:tblPr>
        <w:tblStyle w:val="TableGrid"/>
        <w:tblW w:w="0" w:type="auto"/>
        <w:tblLook w:val="04A0" w:firstRow="1" w:lastRow="0" w:firstColumn="1" w:lastColumn="0" w:noHBand="0" w:noVBand="1"/>
      </w:tblPr>
      <w:tblGrid>
        <w:gridCol w:w="4315"/>
        <w:gridCol w:w="1713"/>
        <w:gridCol w:w="1710"/>
      </w:tblGrid>
      <w:tr w:rsidR="00C57573" w:rsidTr="00E00DAC" w14:paraId="33C06569" w14:textId="77777777">
        <w:tc>
          <w:tcPr>
            <w:tcW w:w="4315" w:type="dxa"/>
          </w:tcPr>
          <w:p w:rsidRPr="004812AC" w:rsidR="00C57573" w:rsidP="008E68E1" w:rsidRDefault="00C57573" w14:paraId="3A872A12" w14:textId="78819B9D">
            <w:pPr>
              <w:rPr>
                <w:b/>
                <w:sz w:val="20"/>
                <w:szCs w:val="20"/>
              </w:rPr>
            </w:pPr>
            <w:r w:rsidRPr="00C57573">
              <w:rPr>
                <w:b/>
                <w:sz w:val="20"/>
                <w:szCs w:val="20"/>
              </w:rPr>
              <w:t>Cost Component</w:t>
            </w:r>
          </w:p>
        </w:tc>
        <w:tc>
          <w:tcPr>
            <w:tcW w:w="1713" w:type="dxa"/>
          </w:tcPr>
          <w:p w:rsidRPr="00B85385" w:rsidR="00C57573" w:rsidP="008E68E1" w:rsidRDefault="00C57573" w14:paraId="6E65CE4D" w14:textId="68F47DF3">
            <w:pPr>
              <w:rPr>
                <w:b/>
                <w:sz w:val="20"/>
                <w:szCs w:val="20"/>
              </w:rPr>
            </w:pPr>
            <w:r w:rsidRPr="00B85385">
              <w:rPr>
                <w:b/>
                <w:sz w:val="20"/>
                <w:szCs w:val="20"/>
              </w:rPr>
              <w:t>Total Cost</w:t>
            </w:r>
          </w:p>
        </w:tc>
        <w:tc>
          <w:tcPr>
            <w:tcW w:w="1710" w:type="dxa"/>
          </w:tcPr>
          <w:p w:rsidRPr="00B85385" w:rsidR="00C57573" w:rsidP="008E68E1" w:rsidRDefault="00C57573" w14:paraId="52A8510A" w14:textId="25D7F10A">
            <w:pPr>
              <w:rPr>
                <w:b/>
                <w:sz w:val="20"/>
                <w:szCs w:val="20"/>
              </w:rPr>
            </w:pPr>
            <w:r w:rsidRPr="00B85385">
              <w:rPr>
                <w:b/>
                <w:sz w:val="20"/>
                <w:szCs w:val="20"/>
              </w:rPr>
              <w:t>Annualized Cost</w:t>
            </w:r>
          </w:p>
        </w:tc>
      </w:tr>
      <w:tr w:rsidR="00C57573" w:rsidTr="00E00DAC" w14:paraId="1C58E09E" w14:textId="77777777">
        <w:tc>
          <w:tcPr>
            <w:tcW w:w="4315" w:type="dxa"/>
          </w:tcPr>
          <w:p w:rsidRPr="004812AC" w:rsidR="00C57573" w:rsidP="00C57573" w:rsidRDefault="003926F4" w14:paraId="76FF4E19" w14:textId="1C21B362">
            <w:pPr>
              <w:rPr>
                <w:sz w:val="20"/>
                <w:szCs w:val="20"/>
              </w:rPr>
            </w:pPr>
            <w:r>
              <w:rPr>
                <w:sz w:val="20"/>
                <w:szCs w:val="20"/>
              </w:rPr>
              <w:t>Project development</w:t>
            </w:r>
          </w:p>
        </w:tc>
        <w:tc>
          <w:tcPr>
            <w:tcW w:w="1713" w:type="dxa"/>
          </w:tcPr>
          <w:p w:rsidRPr="004812AC" w:rsidR="00C57573" w:rsidP="008E68E1" w:rsidRDefault="00712516" w14:paraId="3B6416EF" w14:textId="19456D44">
            <w:pPr>
              <w:rPr>
                <w:sz w:val="20"/>
                <w:szCs w:val="20"/>
              </w:rPr>
            </w:pPr>
            <w:r>
              <w:rPr>
                <w:sz w:val="20"/>
                <w:szCs w:val="20"/>
              </w:rPr>
              <w:t xml:space="preserve"> $19,056</w:t>
            </w:r>
          </w:p>
        </w:tc>
        <w:tc>
          <w:tcPr>
            <w:tcW w:w="1710" w:type="dxa"/>
          </w:tcPr>
          <w:p w:rsidRPr="004812AC" w:rsidR="00C57573" w:rsidP="008E68E1" w:rsidRDefault="00712516" w14:paraId="09D0A06D" w14:textId="461B09A8">
            <w:pPr>
              <w:rPr>
                <w:sz w:val="20"/>
                <w:szCs w:val="20"/>
              </w:rPr>
            </w:pPr>
            <w:r>
              <w:rPr>
                <w:sz w:val="20"/>
                <w:szCs w:val="20"/>
              </w:rPr>
              <w:t xml:space="preserve"> $6,352</w:t>
            </w:r>
          </w:p>
        </w:tc>
      </w:tr>
      <w:tr w:rsidR="00C57573" w:rsidTr="00E00DAC" w14:paraId="0D81C364" w14:textId="77777777">
        <w:tc>
          <w:tcPr>
            <w:tcW w:w="4315" w:type="dxa"/>
          </w:tcPr>
          <w:p w:rsidRPr="004812AC" w:rsidR="00C57573" w:rsidP="008E68E1" w:rsidRDefault="00C57573" w14:paraId="18ADDCE6" w14:textId="1CAFA169">
            <w:pPr>
              <w:rPr>
                <w:sz w:val="20"/>
                <w:szCs w:val="20"/>
              </w:rPr>
            </w:pPr>
            <w:r w:rsidRPr="00C57573">
              <w:rPr>
                <w:sz w:val="20"/>
                <w:szCs w:val="20"/>
              </w:rPr>
              <w:t>Design and conduct evaluation</w:t>
            </w:r>
          </w:p>
        </w:tc>
        <w:tc>
          <w:tcPr>
            <w:tcW w:w="1713" w:type="dxa"/>
          </w:tcPr>
          <w:p w:rsidRPr="004812AC" w:rsidR="00C57573" w:rsidP="008E68E1" w:rsidRDefault="00B40B7B" w14:paraId="610032AD" w14:textId="546B3F90">
            <w:pPr>
              <w:rPr>
                <w:sz w:val="20"/>
                <w:szCs w:val="20"/>
              </w:rPr>
            </w:pPr>
            <w:r>
              <w:rPr>
                <w:sz w:val="20"/>
                <w:szCs w:val="20"/>
              </w:rPr>
              <w:t xml:space="preserve"> $132,816</w:t>
            </w:r>
          </w:p>
        </w:tc>
        <w:tc>
          <w:tcPr>
            <w:tcW w:w="1710" w:type="dxa"/>
          </w:tcPr>
          <w:p w:rsidRPr="004812AC" w:rsidR="00C57573" w:rsidP="008E68E1" w:rsidRDefault="00712516" w14:paraId="5FA50FDB" w14:textId="0AD688E0">
            <w:pPr>
              <w:rPr>
                <w:sz w:val="20"/>
                <w:szCs w:val="20"/>
              </w:rPr>
            </w:pPr>
            <w:r>
              <w:rPr>
                <w:sz w:val="20"/>
                <w:szCs w:val="20"/>
              </w:rPr>
              <w:t xml:space="preserve"> $44,272</w:t>
            </w:r>
          </w:p>
        </w:tc>
      </w:tr>
      <w:tr w:rsidR="00C57573" w:rsidTr="00E00DAC" w14:paraId="0F930A47" w14:textId="77777777">
        <w:tc>
          <w:tcPr>
            <w:tcW w:w="4315" w:type="dxa"/>
          </w:tcPr>
          <w:p w:rsidRPr="004812AC" w:rsidR="00C57573" w:rsidP="008E68E1" w:rsidRDefault="005C31FE" w14:paraId="463197E3" w14:textId="7B8A2F9C">
            <w:pPr>
              <w:rPr>
                <w:sz w:val="20"/>
                <w:szCs w:val="20"/>
              </w:rPr>
            </w:pPr>
            <w:r>
              <w:rPr>
                <w:sz w:val="20"/>
                <w:szCs w:val="20"/>
              </w:rPr>
              <w:t>Analyze and r</w:t>
            </w:r>
            <w:r w:rsidRPr="00C57573" w:rsidR="00C57573">
              <w:rPr>
                <w:sz w:val="20"/>
                <w:szCs w:val="20"/>
              </w:rPr>
              <w:t>eport results</w:t>
            </w:r>
          </w:p>
        </w:tc>
        <w:tc>
          <w:tcPr>
            <w:tcW w:w="1713" w:type="dxa"/>
          </w:tcPr>
          <w:p w:rsidRPr="004812AC" w:rsidR="00C57573" w:rsidP="008E68E1" w:rsidRDefault="00B40B7B" w14:paraId="779CC105" w14:textId="38261F43">
            <w:pPr>
              <w:rPr>
                <w:sz w:val="20"/>
                <w:szCs w:val="20"/>
              </w:rPr>
            </w:pPr>
            <w:r>
              <w:rPr>
                <w:sz w:val="20"/>
                <w:szCs w:val="20"/>
              </w:rPr>
              <w:t xml:space="preserve"> $20,886</w:t>
            </w:r>
          </w:p>
        </w:tc>
        <w:tc>
          <w:tcPr>
            <w:tcW w:w="1710" w:type="dxa"/>
          </w:tcPr>
          <w:p w:rsidRPr="004812AC" w:rsidR="00C57573" w:rsidP="008E68E1" w:rsidRDefault="00712516" w14:paraId="53A5C9B0" w14:textId="326FF402">
            <w:pPr>
              <w:rPr>
                <w:sz w:val="20"/>
                <w:szCs w:val="20"/>
              </w:rPr>
            </w:pPr>
            <w:r>
              <w:rPr>
                <w:sz w:val="20"/>
                <w:szCs w:val="20"/>
              </w:rPr>
              <w:t xml:space="preserve"> $</w:t>
            </w:r>
            <w:r w:rsidR="00B40B7B">
              <w:rPr>
                <w:sz w:val="20"/>
                <w:szCs w:val="20"/>
              </w:rPr>
              <w:t>6,962</w:t>
            </w:r>
          </w:p>
        </w:tc>
      </w:tr>
      <w:tr w:rsidR="00C57573" w:rsidTr="00E00DAC" w14:paraId="482E788C" w14:textId="77777777">
        <w:tc>
          <w:tcPr>
            <w:tcW w:w="4315" w:type="dxa"/>
          </w:tcPr>
          <w:p w:rsidRPr="00C57573" w:rsidR="00C57573" w:rsidP="008E68E1" w:rsidRDefault="00C57573" w14:paraId="75807D26" w14:textId="71EDFE05">
            <w:pPr>
              <w:rPr>
                <w:sz w:val="20"/>
                <w:szCs w:val="20"/>
              </w:rPr>
            </w:pPr>
            <w:r w:rsidRPr="00C57573">
              <w:rPr>
                <w:sz w:val="20"/>
                <w:szCs w:val="20"/>
              </w:rPr>
              <w:t>Disseminate project findings</w:t>
            </w:r>
          </w:p>
        </w:tc>
        <w:tc>
          <w:tcPr>
            <w:tcW w:w="1713" w:type="dxa"/>
          </w:tcPr>
          <w:p w:rsidRPr="004812AC" w:rsidR="00C57573" w:rsidP="008E68E1" w:rsidRDefault="00B40B7B" w14:paraId="5D4E0820" w14:textId="2C78D24D">
            <w:pPr>
              <w:rPr>
                <w:sz w:val="20"/>
                <w:szCs w:val="20"/>
              </w:rPr>
            </w:pPr>
            <w:r>
              <w:rPr>
                <w:sz w:val="20"/>
                <w:szCs w:val="20"/>
              </w:rPr>
              <w:t xml:space="preserve"> $26,824</w:t>
            </w:r>
          </w:p>
        </w:tc>
        <w:tc>
          <w:tcPr>
            <w:tcW w:w="1710" w:type="dxa"/>
          </w:tcPr>
          <w:p w:rsidRPr="004812AC" w:rsidR="00C57573" w:rsidP="008E68E1" w:rsidRDefault="00B40B7B" w14:paraId="159A8E11" w14:textId="5CC66010">
            <w:pPr>
              <w:rPr>
                <w:sz w:val="20"/>
                <w:szCs w:val="20"/>
              </w:rPr>
            </w:pPr>
            <w:r>
              <w:rPr>
                <w:sz w:val="20"/>
                <w:szCs w:val="20"/>
              </w:rPr>
              <w:t xml:space="preserve"> </w:t>
            </w:r>
            <w:r w:rsidR="00712516">
              <w:rPr>
                <w:sz w:val="20"/>
                <w:szCs w:val="20"/>
              </w:rPr>
              <w:t>$8,941</w:t>
            </w:r>
          </w:p>
        </w:tc>
      </w:tr>
      <w:tr w:rsidR="00C57573" w:rsidTr="00E00DAC" w14:paraId="15A62769" w14:textId="77777777">
        <w:tc>
          <w:tcPr>
            <w:tcW w:w="4315" w:type="dxa"/>
          </w:tcPr>
          <w:p w:rsidRPr="004812AC" w:rsidR="00C57573" w:rsidP="008E68E1" w:rsidRDefault="00C57573" w14:paraId="260CBC96" w14:textId="6E27E089">
            <w:pPr>
              <w:rPr>
                <w:b/>
                <w:sz w:val="20"/>
                <w:szCs w:val="20"/>
              </w:rPr>
            </w:pPr>
            <w:r>
              <w:rPr>
                <w:b/>
                <w:sz w:val="20"/>
                <w:szCs w:val="20"/>
              </w:rPr>
              <w:t>Total</w:t>
            </w:r>
          </w:p>
        </w:tc>
        <w:tc>
          <w:tcPr>
            <w:tcW w:w="1713" w:type="dxa"/>
          </w:tcPr>
          <w:p w:rsidRPr="00B85385" w:rsidR="00C57573" w:rsidP="008E68E1" w:rsidRDefault="00712516" w14:paraId="51AB8043" w14:textId="4160257F">
            <w:pPr>
              <w:rPr>
                <w:b/>
                <w:sz w:val="20"/>
                <w:szCs w:val="20"/>
              </w:rPr>
            </w:pPr>
            <w:r>
              <w:rPr>
                <w:b/>
                <w:sz w:val="20"/>
                <w:szCs w:val="20"/>
              </w:rPr>
              <w:t xml:space="preserve"> $199,582</w:t>
            </w:r>
          </w:p>
        </w:tc>
        <w:tc>
          <w:tcPr>
            <w:tcW w:w="1710" w:type="dxa"/>
          </w:tcPr>
          <w:p w:rsidRPr="00B85385" w:rsidR="00C57573" w:rsidP="008E68E1" w:rsidRDefault="00712516" w14:paraId="3B6465E7" w14:textId="208B5141">
            <w:pPr>
              <w:rPr>
                <w:b/>
                <w:sz w:val="20"/>
                <w:szCs w:val="20"/>
              </w:rPr>
            </w:pPr>
            <w:r>
              <w:rPr>
                <w:b/>
                <w:sz w:val="20"/>
                <w:szCs w:val="20"/>
              </w:rPr>
              <w:t xml:space="preserve"> $66,527</w:t>
            </w:r>
          </w:p>
        </w:tc>
      </w:tr>
    </w:tbl>
    <w:p w:rsidR="006518F2" w:rsidP="008E68E1" w:rsidRDefault="006518F2" w14:paraId="2D0CFB9B" w14:textId="56DF6BEE"/>
    <w:p w:rsidRPr="00DA79B5" w:rsidR="006518F2" w:rsidP="006518F2" w:rsidRDefault="006518F2" w14:paraId="2DCF4234" w14:textId="3F48ACDC">
      <w:pPr>
        <w:ind w:firstLine="90"/>
        <w:rPr>
          <w:b/>
        </w:rPr>
      </w:pPr>
      <w:r w:rsidRPr="00DA79B5">
        <w:rPr>
          <w:b/>
        </w:rPr>
        <w:t xml:space="preserve">Exhibit </w:t>
      </w:r>
      <w:r w:rsidR="00E42E41">
        <w:rPr>
          <w:b/>
        </w:rPr>
        <w:t>A.3b</w:t>
      </w:r>
      <w:r w:rsidRPr="00DA79B5">
        <w:rPr>
          <w:b/>
        </w:rPr>
        <w:t xml:space="preserve"> Federal Government Personnel Cost</w:t>
      </w:r>
    </w:p>
    <w:tbl>
      <w:tblPr>
        <w:tblW w:w="8726" w:type="dxa"/>
        <w:tblInd w:w="-8" w:type="dxa"/>
        <w:tblLayout w:type="fixed"/>
        <w:tblCellMar>
          <w:left w:w="100" w:type="dxa"/>
          <w:right w:w="100" w:type="dxa"/>
        </w:tblCellMar>
        <w:tblLook w:val="04A0" w:firstRow="1" w:lastRow="0" w:firstColumn="1" w:lastColumn="0" w:noHBand="0" w:noVBand="1"/>
      </w:tblPr>
      <w:tblGrid>
        <w:gridCol w:w="2781"/>
        <w:gridCol w:w="2250"/>
        <w:gridCol w:w="1440"/>
        <w:gridCol w:w="1132"/>
        <w:gridCol w:w="1123"/>
      </w:tblGrid>
      <w:tr w:rsidRPr="00ED1100" w:rsidR="006518F2" w:rsidTr="001860B2" w14:paraId="623DB598" w14:textId="77777777">
        <w:trPr>
          <w:cantSplit/>
          <w:trHeight w:val="403"/>
        </w:trPr>
        <w:tc>
          <w:tcPr>
            <w:tcW w:w="2781" w:type="dxa"/>
            <w:tcBorders>
              <w:top w:val="single" w:color="auto" w:sz="6" w:space="0"/>
              <w:left w:val="single" w:color="auto" w:sz="6" w:space="0"/>
              <w:bottom w:val="nil"/>
              <w:right w:val="nil"/>
            </w:tcBorders>
            <w:vAlign w:val="bottom"/>
          </w:tcPr>
          <w:p w:rsidRPr="00ED1100" w:rsidR="006518F2" w:rsidP="001608A6" w:rsidRDefault="006518F2" w14:paraId="032BA04F" w14:textId="77777777">
            <w:pPr>
              <w:jc w:val="center"/>
              <w:rPr>
                <w:b/>
                <w:bCs/>
                <w:sz w:val="20"/>
                <w:szCs w:val="20"/>
              </w:rPr>
            </w:pPr>
            <w:r w:rsidRPr="00ED1100">
              <w:rPr>
                <w:b/>
                <w:bCs/>
                <w:sz w:val="20"/>
                <w:szCs w:val="20"/>
              </w:rPr>
              <w:t>Activity</w:t>
            </w:r>
          </w:p>
        </w:tc>
        <w:tc>
          <w:tcPr>
            <w:tcW w:w="2250" w:type="dxa"/>
            <w:tcBorders>
              <w:top w:val="single" w:color="auto" w:sz="6" w:space="0"/>
              <w:left w:val="single" w:color="auto" w:sz="6" w:space="0"/>
              <w:bottom w:val="single" w:color="auto" w:sz="6" w:space="0"/>
              <w:right w:val="nil"/>
            </w:tcBorders>
            <w:vAlign w:val="bottom"/>
          </w:tcPr>
          <w:p w:rsidRPr="00ED1100" w:rsidR="006518F2" w:rsidP="001608A6" w:rsidRDefault="006518F2" w14:paraId="3BB19AE4" w14:textId="77777777">
            <w:pPr>
              <w:jc w:val="center"/>
              <w:rPr>
                <w:b/>
                <w:bCs/>
                <w:sz w:val="20"/>
                <w:szCs w:val="20"/>
              </w:rPr>
            </w:pPr>
            <w:r w:rsidRPr="00ED1100">
              <w:rPr>
                <w:b/>
                <w:bCs/>
                <w:sz w:val="20"/>
                <w:szCs w:val="20"/>
              </w:rPr>
              <w:t>Federal Personnel</w:t>
            </w:r>
          </w:p>
        </w:tc>
        <w:tc>
          <w:tcPr>
            <w:tcW w:w="1440" w:type="dxa"/>
            <w:tcBorders>
              <w:top w:val="single" w:color="auto" w:sz="6" w:space="0"/>
              <w:left w:val="single" w:color="auto" w:sz="6" w:space="0"/>
              <w:bottom w:val="single" w:color="auto" w:sz="6" w:space="0"/>
              <w:right w:val="single" w:color="auto" w:sz="6" w:space="0"/>
            </w:tcBorders>
            <w:vAlign w:val="bottom"/>
          </w:tcPr>
          <w:p w:rsidRPr="00ED1100" w:rsidR="006518F2" w:rsidP="001608A6" w:rsidRDefault="006518F2" w14:paraId="278FEC68" w14:textId="77777777">
            <w:pPr>
              <w:jc w:val="center"/>
              <w:rPr>
                <w:b/>
                <w:bCs/>
                <w:sz w:val="20"/>
                <w:szCs w:val="20"/>
              </w:rPr>
            </w:pPr>
            <w:r>
              <w:rPr>
                <w:b/>
                <w:bCs/>
                <w:sz w:val="20"/>
                <w:szCs w:val="20"/>
              </w:rPr>
              <w:t>Annual Salary</w:t>
            </w:r>
          </w:p>
        </w:tc>
        <w:tc>
          <w:tcPr>
            <w:tcW w:w="1132" w:type="dxa"/>
            <w:tcBorders>
              <w:top w:val="single" w:color="auto" w:sz="6" w:space="0"/>
              <w:left w:val="single" w:color="auto" w:sz="6" w:space="0"/>
              <w:bottom w:val="single" w:color="auto" w:sz="6" w:space="0"/>
              <w:right w:val="nil"/>
            </w:tcBorders>
            <w:vAlign w:val="bottom"/>
          </w:tcPr>
          <w:p w:rsidRPr="00ED1100" w:rsidR="006518F2" w:rsidP="001608A6" w:rsidRDefault="006518F2" w14:paraId="576D1883" w14:textId="77777777">
            <w:pPr>
              <w:jc w:val="center"/>
              <w:rPr>
                <w:b/>
                <w:bCs/>
                <w:sz w:val="20"/>
                <w:szCs w:val="20"/>
              </w:rPr>
            </w:pPr>
            <w:r>
              <w:rPr>
                <w:b/>
                <w:bCs/>
                <w:sz w:val="20"/>
                <w:szCs w:val="20"/>
              </w:rPr>
              <w:t>% of time</w:t>
            </w:r>
          </w:p>
        </w:tc>
        <w:tc>
          <w:tcPr>
            <w:tcW w:w="1123" w:type="dxa"/>
            <w:tcBorders>
              <w:top w:val="single" w:color="auto" w:sz="6" w:space="0"/>
              <w:left w:val="single" w:color="auto" w:sz="6" w:space="0"/>
              <w:bottom w:val="single" w:color="auto" w:sz="6" w:space="0"/>
              <w:right w:val="single" w:color="auto" w:sz="6" w:space="0"/>
            </w:tcBorders>
            <w:vAlign w:val="bottom"/>
          </w:tcPr>
          <w:p w:rsidRPr="00ED1100" w:rsidR="006518F2" w:rsidP="001608A6" w:rsidRDefault="006518F2" w14:paraId="0F52456A" w14:textId="77777777">
            <w:pPr>
              <w:jc w:val="center"/>
              <w:rPr>
                <w:b/>
                <w:bCs/>
                <w:sz w:val="20"/>
                <w:szCs w:val="20"/>
              </w:rPr>
            </w:pPr>
            <w:r w:rsidRPr="00ED1100">
              <w:rPr>
                <w:b/>
                <w:bCs/>
                <w:sz w:val="20"/>
                <w:szCs w:val="20"/>
              </w:rPr>
              <w:t>Cost</w:t>
            </w:r>
          </w:p>
        </w:tc>
      </w:tr>
      <w:tr w:rsidRPr="00ED1100" w:rsidR="006518F2" w:rsidTr="001860B2" w14:paraId="1B85DEDE" w14:textId="77777777">
        <w:trPr>
          <w:cantSplit/>
          <w:trHeight w:val="403"/>
        </w:trPr>
        <w:tc>
          <w:tcPr>
            <w:tcW w:w="2781" w:type="dxa"/>
            <w:tcBorders>
              <w:top w:val="single" w:color="auto" w:sz="6" w:space="0"/>
              <w:left w:val="single" w:color="auto" w:sz="6" w:space="0"/>
              <w:bottom w:val="nil"/>
              <w:right w:val="nil"/>
            </w:tcBorders>
            <w:vAlign w:val="bottom"/>
          </w:tcPr>
          <w:p w:rsidRPr="00ED1100" w:rsidR="006518F2" w:rsidP="001608A6" w:rsidRDefault="00F77152" w14:paraId="746C69FF" w14:textId="17A92629">
            <w:pPr>
              <w:rPr>
                <w:sz w:val="20"/>
                <w:szCs w:val="20"/>
              </w:rPr>
            </w:pPr>
            <w:r>
              <w:rPr>
                <w:sz w:val="20"/>
                <w:szCs w:val="20"/>
              </w:rPr>
              <w:t>Oversight</w:t>
            </w:r>
          </w:p>
        </w:tc>
        <w:tc>
          <w:tcPr>
            <w:tcW w:w="2250" w:type="dxa"/>
            <w:tcBorders>
              <w:top w:val="single" w:color="auto" w:sz="6" w:space="0"/>
              <w:left w:val="single" w:color="auto" w:sz="6" w:space="0"/>
              <w:bottom w:val="single" w:color="auto" w:sz="6" w:space="0"/>
              <w:right w:val="nil"/>
            </w:tcBorders>
          </w:tcPr>
          <w:p w:rsidRPr="00ED1100" w:rsidR="006518F2" w:rsidP="001608A6" w:rsidRDefault="00F77152" w14:paraId="7E2B5D69" w14:textId="151ACA16">
            <w:pPr>
              <w:jc w:val="center"/>
              <w:rPr>
                <w:sz w:val="20"/>
                <w:szCs w:val="20"/>
              </w:rPr>
            </w:pPr>
            <w:r>
              <w:rPr>
                <w:sz w:val="20"/>
                <w:szCs w:val="20"/>
              </w:rPr>
              <w:t>Health Scientist Administrator</w:t>
            </w:r>
          </w:p>
        </w:tc>
        <w:tc>
          <w:tcPr>
            <w:tcW w:w="1440" w:type="dxa"/>
            <w:tcBorders>
              <w:top w:val="single" w:color="auto" w:sz="6" w:space="0"/>
              <w:left w:val="single" w:color="auto" w:sz="6" w:space="0"/>
              <w:bottom w:val="single" w:color="auto" w:sz="6" w:space="0"/>
              <w:right w:val="single" w:color="auto" w:sz="6" w:space="0"/>
            </w:tcBorders>
            <w:vAlign w:val="bottom"/>
          </w:tcPr>
          <w:p w:rsidRPr="00ED1100" w:rsidR="006518F2" w:rsidP="001608A6" w:rsidRDefault="007A16FA" w14:paraId="60AB760F" w14:textId="37978E2B">
            <w:pPr>
              <w:jc w:val="center"/>
              <w:rPr>
                <w:sz w:val="20"/>
                <w:szCs w:val="20"/>
              </w:rPr>
            </w:pPr>
            <w:r>
              <w:rPr>
                <w:sz w:val="20"/>
                <w:szCs w:val="20"/>
              </w:rPr>
              <w:t>$</w:t>
            </w:r>
            <w:r w:rsidR="00F77152">
              <w:rPr>
                <w:sz w:val="20"/>
                <w:szCs w:val="20"/>
              </w:rPr>
              <w:t>160,000</w:t>
            </w:r>
          </w:p>
        </w:tc>
        <w:tc>
          <w:tcPr>
            <w:tcW w:w="1132" w:type="dxa"/>
            <w:tcBorders>
              <w:top w:val="single" w:color="auto" w:sz="6" w:space="0"/>
              <w:left w:val="single" w:color="auto" w:sz="6" w:space="0"/>
              <w:bottom w:val="single" w:color="auto" w:sz="6" w:space="0"/>
              <w:right w:val="nil"/>
            </w:tcBorders>
            <w:vAlign w:val="bottom"/>
          </w:tcPr>
          <w:p w:rsidRPr="00ED1100" w:rsidR="006518F2" w:rsidP="001608A6" w:rsidRDefault="00F77152" w14:paraId="2CDD1376" w14:textId="76DC57A3">
            <w:pPr>
              <w:jc w:val="center"/>
              <w:rPr>
                <w:sz w:val="20"/>
                <w:szCs w:val="20"/>
              </w:rPr>
            </w:pPr>
            <w:r>
              <w:rPr>
                <w:sz w:val="20"/>
                <w:szCs w:val="20"/>
              </w:rPr>
              <w:t>15</w:t>
            </w:r>
          </w:p>
        </w:tc>
        <w:tc>
          <w:tcPr>
            <w:tcW w:w="1123" w:type="dxa"/>
            <w:tcBorders>
              <w:top w:val="single" w:color="auto" w:sz="6" w:space="0"/>
              <w:left w:val="single" w:color="auto" w:sz="6" w:space="0"/>
              <w:bottom w:val="single" w:color="auto" w:sz="6" w:space="0"/>
              <w:right w:val="single" w:color="auto" w:sz="6" w:space="0"/>
            </w:tcBorders>
            <w:vAlign w:val="bottom"/>
          </w:tcPr>
          <w:p w:rsidRPr="00ED1100" w:rsidR="006518F2" w:rsidP="001608A6" w:rsidRDefault="007A16FA" w14:paraId="384072EE" w14:textId="4C35DBEA">
            <w:pPr>
              <w:jc w:val="center"/>
              <w:rPr>
                <w:sz w:val="20"/>
                <w:szCs w:val="20"/>
              </w:rPr>
            </w:pPr>
            <w:r>
              <w:rPr>
                <w:sz w:val="20"/>
                <w:szCs w:val="20"/>
              </w:rPr>
              <w:t>$</w:t>
            </w:r>
            <w:r w:rsidR="009C3D1A">
              <w:rPr>
                <w:sz w:val="20"/>
                <w:szCs w:val="20"/>
              </w:rPr>
              <w:t>24,000</w:t>
            </w:r>
          </w:p>
        </w:tc>
      </w:tr>
      <w:tr w:rsidRPr="00ED1100" w:rsidR="006518F2" w:rsidTr="001860B2" w14:paraId="60469E7E" w14:textId="77777777">
        <w:trPr>
          <w:cantSplit/>
          <w:trHeight w:val="403"/>
        </w:trPr>
        <w:tc>
          <w:tcPr>
            <w:tcW w:w="7603" w:type="dxa"/>
            <w:gridSpan w:val="4"/>
            <w:tcBorders>
              <w:top w:val="single" w:color="auto" w:sz="6" w:space="0"/>
              <w:left w:val="single" w:color="auto" w:sz="6" w:space="0"/>
              <w:bottom w:val="single" w:color="auto" w:sz="6" w:space="0"/>
              <w:right w:val="nil"/>
            </w:tcBorders>
            <w:vAlign w:val="bottom"/>
            <w:hideMark/>
          </w:tcPr>
          <w:p w:rsidRPr="00ED1100" w:rsidR="006518F2" w:rsidP="001608A6" w:rsidRDefault="006518F2" w14:paraId="0BFA2DEF" w14:textId="77777777">
            <w:pPr>
              <w:rPr>
                <w:b/>
                <w:bCs/>
                <w:sz w:val="20"/>
                <w:szCs w:val="20"/>
              </w:rPr>
            </w:pPr>
            <w:r w:rsidRPr="00ED1100">
              <w:rPr>
                <w:b/>
                <w:bCs/>
                <w:sz w:val="20"/>
                <w:szCs w:val="20"/>
              </w:rPr>
              <w:t>Total</w:t>
            </w:r>
          </w:p>
        </w:tc>
        <w:tc>
          <w:tcPr>
            <w:tcW w:w="1123" w:type="dxa"/>
            <w:tcBorders>
              <w:top w:val="single" w:color="auto" w:sz="6" w:space="0"/>
              <w:left w:val="single" w:color="auto" w:sz="6" w:space="0"/>
              <w:bottom w:val="single" w:color="auto" w:sz="6" w:space="0"/>
              <w:right w:val="single" w:color="auto" w:sz="6" w:space="0"/>
            </w:tcBorders>
            <w:vAlign w:val="bottom"/>
            <w:hideMark/>
          </w:tcPr>
          <w:p w:rsidRPr="00ED1100" w:rsidR="006518F2" w:rsidP="001608A6" w:rsidRDefault="007A16FA" w14:paraId="17C0F368" w14:textId="4942871C">
            <w:pPr>
              <w:jc w:val="center"/>
              <w:rPr>
                <w:b/>
                <w:bCs/>
                <w:sz w:val="20"/>
                <w:szCs w:val="20"/>
              </w:rPr>
            </w:pPr>
            <w:r>
              <w:rPr>
                <w:b/>
                <w:bCs/>
                <w:sz w:val="20"/>
                <w:szCs w:val="20"/>
              </w:rPr>
              <w:t>$</w:t>
            </w:r>
            <w:r w:rsidR="009C3D1A">
              <w:rPr>
                <w:b/>
                <w:bCs/>
                <w:sz w:val="20"/>
                <w:szCs w:val="20"/>
              </w:rPr>
              <w:t>24,000</w:t>
            </w:r>
          </w:p>
        </w:tc>
      </w:tr>
    </w:tbl>
    <w:p w:rsidR="00AB1A72" w:rsidP="00310E8C" w:rsidRDefault="00AB1A72" w14:paraId="63A9FE6E" w14:textId="77777777">
      <w:pPr>
        <w:pStyle w:val="Heading2"/>
      </w:pPr>
      <w:bookmarkStart w:name="_Toc31274471" w:id="33"/>
    </w:p>
    <w:p w:rsidR="00DD107D" w:rsidP="00AB1A72" w:rsidRDefault="00DD107D" w14:paraId="6534CDA5" w14:textId="77777777">
      <w:pPr>
        <w:pStyle w:val="Heading2"/>
        <w:spacing w:before="0" w:after="0"/>
      </w:pPr>
      <w:bookmarkStart w:name="_Toc35934835" w:id="34"/>
      <w:r>
        <w:t xml:space="preserve">A15. </w:t>
      </w:r>
      <w:r w:rsidR="00310E8C">
        <w:t>Cha</w:t>
      </w:r>
      <w:r w:rsidRPr="0072204D">
        <w:t>nge in Burden</w:t>
      </w:r>
      <w:bookmarkEnd w:id="33"/>
      <w:bookmarkEnd w:id="34"/>
    </w:p>
    <w:p w:rsidRPr="00D17320" w:rsidR="00D17320" w:rsidP="00AB1A72" w:rsidRDefault="00D17320" w14:paraId="351FFDFD" w14:textId="77777777"/>
    <w:p w:rsidR="00DD107D" w:rsidP="00907530" w:rsidRDefault="0040403A" w14:paraId="35C22FB3" w14:textId="65E73393">
      <w:pPr>
        <w:jc w:val="both"/>
      </w:pPr>
      <w:r>
        <w:t>This is a</w:t>
      </w:r>
      <w:r w:rsidR="00E555D7">
        <w:t xml:space="preserve"> new request under OMB</w:t>
      </w:r>
      <w:r w:rsidR="00FD1EE8">
        <w:t>, thus no chang</w:t>
      </w:r>
      <w:r w:rsidR="00806ED5">
        <w:t>es in hour burden are</w:t>
      </w:r>
      <w:r w:rsidR="00FD1EE8">
        <w:t xml:space="preserve"> expected or reported here</w:t>
      </w:r>
      <w:r w:rsidR="002332C2">
        <w:t>.</w:t>
      </w:r>
      <w:r w:rsidR="005813BD">
        <w:t xml:space="preserve"> </w:t>
      </w:r>
    </w:p>
    <w:p w:rsidR="003F4851" w:rsidP="00907530" w:rsidRDefault="003F4851" w14:paraId="478BB03F" w14:textId="77777777">
      <w:pPr>
        <w:jc w:val="both"/>
      </w:pPr>
    </w:p>
    <w:p w:rsidR="003F4851" w:rsidP="00907530" w:rsidRDefault="003F4851" w14:paraId="1B788482" w14:textId="77777777">
      <w:pPr>
        <w:jc w:val="both"/>
      </w:pPr>
    </w:p>
    <w:p w:rsidR="00D17320" w:rsidP="00AB1A72" w:rsidRDefault="00DD107D" w14:paraId="6F7433F2" w14:textId="77777777">
      <w:pPr>
        <w:pStyle w:val="Heading2"/>
        <w:spacing w:before="0" w:after="0"/>
      </w:pPr>
      <w:bookmarkStart w:name="_Toc35934836" w:id="35"/>
      <w:bookmarkStart w:name="_Toc31274472" w:id="36"/>
      <w:r w:rsidRPr="005A64C5">
        <w:t>A16. Plan and Time Schedule for Information Collection, Tabulation and Publication</w:t>
      </w:r>
      <w:bookmarkEnd w:id="35"/>
    </w:p>
    <w:bookmarkEnd w:id="36"/>
    <w:p w:rsidRPr="005A64C5" w:rsidR="00DD107D" w:rsidP="00D17320" w:rsidRDefault="00DD107D" w14:paraId="75ACC110" w14:textId="57F9AABF"/>
    <w:tbl>
      <w:tblPr>
        <w:tblStyle w:val="TableGrid"/>
        <w:tblW w:w="0" w:type="auto"/>
        <w:tblLook w:val="04A0" w:firstRow="1" w:lastRow="0" w:firstColumn="1" w:lastColumn="0" w:noHBand="0" w:noVBand="1"/>
      </w:tblPr>
      <w:tblGrid>
        <w:gridCol w:w="4855"/>
        <w:gridCol w:w="2790"/>
      </w:tblGrid>
      <w:tr w:rsidR="00137081" w:rsidTr="00D85EF6" w14:paraId="62F06CCB" w14:textId="77777777">
        <w:tc>
          <w:tcPr>
            <w:tcW w:w="4855" w:type="dxa"/>
          </w:tcPr>
          <w:p w:rsidRPr="004812AC" w:rsidR="00137081" w:rsidP="00137081" w:rsidRDefault="00137081" w14:paraId="692FDD20" w14:textId="439B648B">
            <w:pPr>
              <w:jc w:val="both"/>
              <w:rPr>
                <w:b/>
                <w:i/>
                <w:sz w:val="20"/>
                <w:szCs w:val="20"/>
              </w:rPr>
            </w:pPr>
            <w:r w:rsidRPr="004812AC">
              <w:rPr>
                <w:b/>
                <w:i/>
                <w:sz w:val="20"/>
                <w:szCs w:val="20"/>
              </w:rPr>
              <w:t>Activity</w:t>
            </w:r>
          </w:p>
        </w:tc>
        <w:tc>
          <w:tcPr>
            <w:tcW w:w="2790" w:type="dxa"/>
          </w:tcPr>
          <w:p w:rsidRPr="00B85385" w:rsidR="00137081" w:rsidP="00137081" w:rsidRDefault="00137081" w14:paraId="6C430A56" w14:textId="3B6D0F30">
            <w:pPr>
              <w:jc w:val="both"/>
              <w:rPr>
                <w:b/>
                <w:i/>
                <w:sz w:val="20"/>
                <w:szCs w:val="20"/>
              </w:rPr>
            </w:pPr>
            <w:r w:rsidRPr="00B85385">
              <w:rPr>
                <w:b/>
                <w:i/>
                <w:sz w:val="20"/>
                <w:szCs w:val="20"/>
              </w:rPr>
              <w:t>Month, Year</w:t>
            </w:r>
          </w:p>
        </w:tc>
      </w:tr>
      <w:tr w:rsidR="00137081" w:rsidTr="00D85EF6" w14:paraId="51184360" w14:textId="77777777">
        <w:tc>
          <w:tcPr>
            <w:tcW w:w="4855" w:type="dxa"/>
          </w:tcPr>
          <w:p w:rsidRPr="00B85385" w:rsidR="00137081" w:rsidP="00137081" w:rsidRDefault="00137081" w14:paraId="4585F6C6" w14:textId="60E0B3AA">
            <w:pPr>
              <w:jc w:val="both"/>
              <w:rPr>
                <w:b/>
                <w:i/>
                <w:sz w:val="20"/>
                <w:szCs w:val="20"/>
              </w:rPr>
            </w:pPr>
            <w:r w:rsidRPr="004812AC">
              <w:rPr>
                <w:sz w:val="20"/>
                <w:szCs w:val="20"/>
              </w:rPr>
              <w:t>Beginni</w:t>
            </w:r>
            <w:r w:rsidRPr="00B85385">
              <w:rPr>
                <w:sz w:val="20"/>
                <w:szCs w:val="20"/>
              </w:rPr>
              <w:t>ng of data collection</w:t>
            </w:r>
          </w:p>
        </w:tc>
        <w:tc>
          <w:tcPr>
            <w:tcW w:w="2790" w:type="dxa"/>
          </w:tcPr>
          <w:p w:rsidRPr="00B85385" w:rsidR="00137081" w:rsidP="004812AC" w:rsidRDefault="00137081" w14:paraId="3F58EA10" w14:textId="37267988">
            <w:pPr>
              <w:rPr>
                <w:sz w:val="20"/>
                <w:szCs w:val="20"/>
              </w:rPr>
            </w:pPr>
            <w:r w:rsidRPr="00B85385">
              <w:rPr>
                <w:sz w:val="20"/>
                <w:szCs w:val="20"/>
              </w:rPr>
              <w:t xml:space="preserve">September-November 2020 </w:t>
            </w:r>
          </w:p>
        </w:tc>
      </w:tr>
      <w:tr w:rsidR="009F3ED3" w:rsidTr="00D85EF6" w14:paraId="51DF6D67" w14:textId="77777777">
        <w:tc>
          <w:tcPr>
            <w:tcW w:w="4855" w:type="dxa"/>
          </w:tcPr>
          <w:p w:rsidRPr="00B85385" w:rsidR="009F3ED3" w:rsidP="004812AC" w:rsidRDefault="009F3ED3" w14:paraId="77729E61" w14:textId="0ECDA5A7">
            <w:pPr>
              <w:rPr>
                <w:sz w:val="20"/>
                <w:szCs w:val="20"/>
              </w:rPr>
            </w:pPr>
            <w:r w:rsidRPr="004812AC">
              <w:rPr>
                <w:sz w:val="20"/>
                <w:szCs w:val="20"/>
              </w:rPr>
              <w:t>NIH/</w:t>
            </w:r>
            <w:proofErr w:type="spellStart"/>
            <w:r w:rsidRPr="004812AC">
              <w:rPr>
                <w:sz w:val="20"/>
                <w:szCs w:val="20"/>
              </w:rPr>
              <w:t>AcademyHealth</w:t>
            </w:r>
            <w:proofErr w:type="spellEnd"/>
            <w:r>
              <w:rPr>
                <w:sz w:val="20"/>
                <w:szCs w:val="20"/>
              </w:rPr>
              <w:t xml:space="preserve"> </w:t>
            </w:r>
            <w:r w:rsidRPr="004812AC">
              <w:rPr>
                <w:sz w:val="20"/>
                <w:szCs w:val="20"/>
              </w:rPr>
              <w:t>Annual Conference on the Science of Dissemination and Implementation in Heal</w:t>
            </w:r>
            <w:r w:rsidRPr="00B85385">
              <w:rPr>
                <w:sz w:val="20"/>
                <w:szCs w:val="20"/>
              </w:rPr>
              <w:t>th</w:t>
            </w:r>
          </w:p>
        </w:tc>
        <w:tc>
          <w:tcPr>
            <w:tcW w:w="2790" w:type="dxa"/>
          </w:tcPr>
          <w:p w:rsidRPr="00B85385" w:rsidR="009F3ED3" w:rsidRDefault="009F3ED3" w14:paraId="0332E09C" w14:textId="08479DE5">
            <w:pPr>
              <w:rPr>
                <w:sz w:val="20"/>
                <w:szCs w:val="20"/>
              </w:rPr>
            </w:pPr>
            <w:r w:rsidRPr="00B85385">
              <w:rPr>
                <w:sz w:val="20"/>
                <w:szCs w:val="20"/>
              </w:rPr>
              <w:t>Fall 2021</w:t>
            </w:r>
          </w:p>
        </w:tc>
      </w:tr>
      <w:tr w:rsidR="009F3ED3" w:rsidTr="00D85EF6" w14:paraId="44869938" w14:textId="77777777">
        <w:tc>
          <w:tcPr>
            <w:tcW w:w="4855" w:type="dxa"/>
          </w:tcPr>
          <w:p w:rsidRPr="004812AC" w:rsidR="009F3ED3" w:rsidP="009F3ED3" w:rsidRDefault="009F3ED3" w14:paraId="6B4E29AC" w14:textId="5DB840FA">
            <w:pPr>
              <w:jc w:val="both"/>
              <w:rPr>
                <w:sz w:val="20"/>
                <w:szCs w:val="20"/>
              </w:rPr>
            </w:pPr>
            <w:r w:rsidRPr="004812AC">
              <w:rPr>
                <w:sz w:val="20"/>
                <w:szCs w:val="20"/>
              </w:rPr>
              <w:t>End of data collection</w:t>
            </w:r>
          </w:p>
        </w:tc>
        <w:tc>
          <w:tcPr>
            <w:tcW w:w="2790" w:type="dxa"/>
          </w:tcPr>
          <w:p w:rsidRPr="00B85385" w:rsidR="009F3ED3" w:rsidP="009F3ED3" w:rsidRDefault="009F3ED3" w14:paraId="30A1A6BE" w14:textId="6C784631">
            <w:pPr>
              <w:rPr>
                <w:sz w:val="20"/>
                <w:szCs w:val="20"/>
              </w:rPr>
            </w:pPr>
            <w:r w:rsidRPr="00B85385">
              <w:rPr>
                <w:sz w:val="20"/>
                <w:szCs w:val="20"/>
              </w:rPr>
              <w:t xml:space="preserve">June-August 2022 </w:t>
            </w:r>
          </w:p>
        </w:tc>
      </w:tr>
      <w:tr w:rsidR="009F3ED3" w:rsidTr="00D85EF6" w14:paraId="4ADC63A1" w14:textId="77777777">
        <w:tc>
          <w:tcPr>
            <w:tcW w:w="4855" w:type="dxa"/>
          </w:tcPr>
          <w:p w:rsidRPr="004812AC" w:rsidR="009F3ED3" w:rsidP="009F3ED3" w:rsidRDefault="009F3ED3" w14:paraId="43D64344" w14:textId="09F08DB0">
            <w:pPr>
              <w:jc w:val="both"/>
              <w:rPr>
                <w:sz w:val="20"/>
                <w:szCs w:val="20"/>
              </w:rPr>
            </w:pPr>
            <w:r w:rsidRPr="004812AC">
              <w:rPr>
                <w:sz w:val="20"/>
                <w:szCs w:val="20"/>
              </w:rPr>
              <w:t>Public Webinar</w:t>
            </w:r>
          </w:p>
        </w:tc>
        <w:tc>
          <w:tcPr>
            <w:tcW w:w="2790" w:type="dxa"/>
          </w:tcPr>
          <w:p w:rsidRPr="00B85385" w:rsidR="009F3ED3" w:rsidP="009F3ED3" w:rsidRDefault="009F3ED3" w14:paraId="0DDF4EBD" w14:textId="5D470DFD">
            <w:pPr>
              <w:rPr>
                <w:sz w:val="20"/>
                <w:szCs w:val="20"/>
              </w:rPr>
            </w:pPr>
            <w:r w:rsidRPr="00B85385">
              <w:rPr>
                <w:sz w:val="20"/>
                <w:szCs w:val="20"/>
              </w:rPr>
              <w:t>June-August 2022</w:t>
            </w:r>
          </w:p>
        </w:tc>
      </w:tr>
      <w:tr w:rsidR="009F3ED3" w:rsidTr="00D85EF6" w14:paraId="10A52ECF" w14:textId="77777777">
        <w:tc>
          <w:tcPr>
            <w:tcW w:w="4855" w:type="dxa"/>
          </w:tcPr>
          <w:p w:rsidRPr="004812AC" w:rsidR="009F3ED3" w:rsidP="009F3ED3" w:rsidRDefault="009F3ED3" w14:paraId="1E480946" w14:textId="35317B31">
            <w:pPr>
              <w:jc w:val="both"/>
              <w:rPr>
                <w:sz w:val="20"/>
                <w:szCs w:val="20"/>
              </w:rPr>
            </w:pPr>
            <w:r w:rsidRPr="004812AC">
              <w:rPr>
                <w:sz w:val="20"/>
                <w:szCs w:val="20"/>
              </w:rPr>
              <w:t>AHRQ Social Media &amp; Website Updates</w:t>
            </w:r>
          </w:p>
        </w:tc>
        <w:tc>
          <w:tcPr>
            <w:tcW w:w="2790" w:type="dxa"/>
          </w:tcPr>
          <w:p w:rsidRPr="00B85385" w:rsidR="009F3ED3" w:rsidP="009F3ED3" w:rsidRDefault="009F3ED3" w14:paraId="4C987AA0" w14:textId="38C6943B">
            <w:pPr>
              <w:rPr>
                <w:sz w:val="20"/>
                <w:szCs w:val="20"/>
              </w:rPr>
            </w:pPr>
            <w:r w:rsidRPr="00B85385">
              <w:rPr>
                <w:sz w:val="20"/>
                <w:szCs w:val="20"/>
              </w:rPr>
              <w:t>September 2020 – August 2022</w:t>
            </w:r>
          </w:p>
        </w:tc>
      </w:tr>
      <w:tr w:rsidR="009F3ED3" w:rsidTr="00D85EF6" w14:paraId="752A2196" w14:textId="77777777">
        <w:tc>
          <w:tcPr>
            <w:tcW w:w="4855" w:type="dxa"/>
          </w:tcPr>
          <w:p w:rsidRPr="00B85385" w:rsidR="009F3ED3" w:rsidP="004812AC" w:rsidRDefault="009F3ED3" w14:paraId="73DB4FBF" w14:textId="5958A534">
            <w:pPr>
              <w:rPr>
                <w:sz w:val="20"/>
                <w:szCs w:val="20"/>
              </w:rPr>
            </w:pPr>
            <w:r w:rsidRPr="004812AC">
              <w:rPr>
                <w:sz w:val="20"/>
                <w:szCs w:val="20"/>
              </w:rPr>
              <w:lastRenderedPageBreak/>
              <w:t>NIH/</w:t>
            </w:r>
            <w:proofErr w:type="spellStart"/>
            <w:r w:rsidRPr="004812AC">
              <w:rPr>
                <w:sz w:val="20"/>
                <w:szCs w:val="20"/>
              </w:rPr>
              <w:t>AcademyHealth</w:t>
            </w:r>
            <w:proofErr w:type="spellEnd"/>
            <w:r w:rsidRPr="004812AC">
              <w:rPr>
                <w:sz w:val="20"/>
                <w:szCs w:val="20"/>
              </w:rPr>
              <w:t xml:space="preserve"> Annual Conference </w:t>
            </w:r>
            <w:r w:rsidRPr="00B85385">
              <w:rPr>
                <w:sz w:val="20"/>
                <w:szCs w:val="20"/>
              </w:rPr>
              <w:t>on the Science of Dissemination and Implementation in Health</w:t>
            </w:r>
          </w:p>
        </w:tc>
        <w:tc>
          <w:tcPr>
            <w:tcW w:w="2790" w:type="dxa"/>
          </w:tcPr>
          <w:p w:rsidRPr="00B85385" w:rsidR="009F3ED3" w:rsidP="009F3ED3" w:rsidRDefault="009F3ED3" w14:paraId="3F8F3D29" w14:textId="2A6AAC17">
            <w:pPr>
              <w:rPr>
                <w:sz w:val="20"/>
                <w:szCs w:val="20"/>
              </w:rPr>
            </w:pPr>
            <w:r w:rsidRPr="00B85385">
              <w:rPr>
                <w:sz w:val="20"/>
                <w:szCs w:val="20"/>
              </w:rPr>
              <w:t>Fall 2022</w:t>
            </w:r>
          </w:p>
        </w:tc>
      </w:tr>
      <w:tr w:rsidR="009F3ED3" w:rsidTr="00D85EF6" w14:paraId="251DEA28" w14:textId="77777777">
        <w:tc>
          <w:tcPr>
            <w:tcW w:w="4855" w:type="dxa"/>
          </w:tcPr>
          <w:p w:rsidRPr="00B85385" w:rsidR="009F3ED3" w:rsidP="009F3ED3" w:rsidRDefault="009F3ED3" w14:paraId="4E18A256" w14:textId="1D5925FA">
            <w:pPr>
              <w:jc w:val="both"/>
              <w:rPr>
                <w:b/>
                <w:i/>
                <w:sz w:val="20"/>
                <w:szCs w:val="20"/>
              </w:rPr>
            </w:pPr>
            <w:r w:rsidRPr="004812AC">
              <w:rPr>
                <w:sz w:val="20"/>
                <w:szCs w:val="20"/>
              </w:rPr>
              <w:t>Final manuscript submitted (estimated)</w:t>
            </w:r>
          </w:p>
        </w:tc>
        <w:tc>
          <w:tcPr>
            <w:tcW w:w="2790" w:type="dxa"/>
          </w:tcPr>
          <w:p w:rsidRPr="004812AC" w:rsidR="009F3ED3" w:rsidP="004812AC" w:rsidRDefault="009F3ED3" w14:paraId="22189BCE" w14:textId="48B6BDDE">
            <w:pPr>
              <w:rPr>
                <w:sz w:val="20"/>
                <w:szCs w:val="20"/>
              </w:rPr>
            </w:pPr>
            <w:r w:rsidRPr="00B85385">
              <w:rPr>
                <w:sz w:val="20"/>
                <w:szCs w:val="20"/>
              </w:rPr>
              <w:t xml:space="preserve">June-August 2023 </w:t>
            </w:r>
          </w:p>
        </w:tc>
      </w:tr>
    </w:tbl>
    <w:p w:rsidR="00AB1A72" w:rsidP="00AB1A72" w:rsidRDefault="00AB1A72" w14:paraId="6A2B1C6C" w14:textId="77777777">
      <w:pPr>
        <w:pStyle w:val="Heading2"/>
        <w:spacing w:before="0" w:after="0"/>
      </w:pPr>
      <w:bookmarkStart w:name="_Toc31274473" w:id="37"/>
    </w:p>
    <w:p w:rsidR="00AB1A72" w:rsidP="00AB1A72" w:rsidRDefault="00AB1A72" w14:paraId="12EE4A95" w14:textId="77777777">
      <w:pPr>
        <w:pStyle w:val="Heading2"/>
        <w:spacing w:before="0" w:after="0"/>
      </w:pPr>
    </w:p>
    <w:p w:rsidR="00DD107D" w:rsidP="00AB1A72" w:rsidRDefault="00DD107D" w14:paraId="2684D648" w14:textId="77777777">
      <w:pPr>
        <w:pStyle w:val="Heading2"/>
        <w:spacing w:before="0" w:after="0"/>
      </w:pPr>
      <w:bookmarkStart w:name="_Toc35934837" w:id="38"/>
      <w:r>
        <w:t xml:space="preserve">A17. </w:t>
      </w:r>
      <w:r w:rsidRPr="0072204D">
        <w:t>Reasons Not to Display OMB Expiration Date</w:t>
      </w:r>
      <w:bookmarkEnd w:id="37"/>
      <w:bookmarkEnd w:id="38"/>
    </w:p>
    <w:p w:rsidRPr="00D17320" w:rsidR="00D17320" w:rsidP="00AB1A72" w:rsidRDefault="00D17320" w14:paraId="7C599868" w14:textId="77777777"/>
    <w:p w:rsidR="00AB1A72" w:rsidP="00B23A60" w:rsidRDefault="00DD107D" w14:paraId="636C0DBE" w14:textId="4ED4929A">
      <w:r w:rsidRPr="00347543">
        <w:t>All instruments will display the expiration date for OMB approval.</w:t>
      </w:r>
    </w:p>
    <w:p w:rsidR="003F4851" w:rsidP="00B23A60" w:rsidRDefault="003F4851" w14:paraId="4C08ED4B" w14:textId="77777777"/>
    <w:p w:rsidR="00AB1A72" w:rsidP="00B23A60" w:rsidRDefault="00AB1A72" w14:paraId="4358136E" w14:textId="77777777"/>
    <w:p w:rsidR="00DD107D" w:rsidP="00AB1A72" w:rsidRDefault="00DD107D" w14:paraId="6DDB159A" w14:textId="77777777">
      <w:pPr>
        <w:pStyle w:val="Heading2"/>
        <w:spacing w:before="0" w:after="0"/>
      </w:pPr>
      <w:bookmarkStart w:name="_Toc31274474" w:id="39"/>
      <w:bookmarkStart w:name="_Toc35934838" w:id="40"/>
      <w:r w:rsidRPr="000B5EA8">
        <w:t>A18. Exceptions to Certification for Paperwork Reduction Act Submissions</w:t>
      </w:r>
      <w:bookmarkEnd w:id="39"/>
      <w:bookmarkEnd w:id="40"/>
    </w:p>
    <w:p w:rsidRPr="00D17320" w:rsidR="00D17320" w:rsidP="00AB1A72" w:rsidRDefault="00D17320" w14:paraId="7470BA8B" w14:textId="77777777"/>
    <w:p w:rsidR="006C7A34" w:rsidP="00B23A60" w:rsidRDefault="00DD107D" w14:paraId="0FF7C843" w14:textId="078E145B">
      <w:r w:rsidRPr="00347543">
        <w:rPr>
          <w:szCs w:val="22"/>
        </w:rPr>
        <w:t>No exceptions are necessary for this information collection.</w:t>
      </w:r>
      <w:r>
        <w:tab/>
      </w:r>
    </w:p>
    <w:p w:rsidR="005675BA" w:rsidP="00B23A60" w:rsidRDefault="005675BA" w14:paraId="3A90B5CA" w14:textId="77777777"/>
    <w:p w:rsidR="005675BA" w:rsidP="00B23A60" w:rsidRDefault="005675BA" w14:paraId="5C9AE551" w14:textId="77777777"/>
    <w:p w:rsidR="007A3B3E" w:rsidP="005675BA" w:rsidRDefault="007A3B3E" w14:paraId="12DD32E4" w14:textId="02E52E1D">
      <w:pPr>
        <w:pStyle w:val="Heading2"/>
        <w:spacing w:before="0" w:after="0"/>
      </w:pPr>
      <w:bookmarkStart w:name="_Toc31274475" w:id="41"/>
      <w:bookmarkStart w:name="_Toc35934839" w:id="42"/>
      <w:r>
        <w:t>List of Attachments</w:t>
      </w:r>
      <w:bookmarkEnd w:id="41"/>
      <w:bookmarkEnd w:id="42"/>
    </w:p>
    <w:p w:rsidRPr="005675BA" w:rsidR="005675BA" w:rsidP="005675BA" w:rsidRDefault="005675BA" w14:paraId="49558153" w14:textId="77777777"/>
    <w:p w:rsidR="00CF0593" w:rsidP="00117D85" w:rsidRDefault="00CF0593" w14:paraId="022C1992" w14:textId="3781D714">
      <w:r>
        <w:t xml:space="preserve">Attachment A: </w:t>
      </w:r>
      <w:r w:rsidR="00D67870">
        <w:t>AHRQ RFA-HS-18-002</w:t>
      </w:r>
      <w:r>
        <w:t xml:space="preserve"> – Required Data</w:t>
      </w:r>
    </w:p>
    <w:p w:rsidR="00117D85" w:rsidP="00117D85" w:rsidRDefault="00117D85" w14:paraId="58ED3927" w14:textId="526F9F3C">
      <w:r>
        <w:t>Attachment</w:t>
      </w:r>
      <w:r w:rsidR="003C6B14">
        <w:t xml:space="preserve"> </w:t>
      </w:r>
      <w:r w:rsidR="00CF0593">
        <w:t>B</w:t>
      </w:r>
      <w:r>
        <w:t xml:space="preserve">: Key Informant Interview Guides </w:t>
      </w:r>
      <w:r w:rsidR="00862D0C">
        <w:t xml:space="preserve">- </w:t>
      </w:r>
      <w:r>
        <w:t>Grantees</w:t>
      </w:r>
    </w:p>
    <w:p w:rsidR="00117D85" w:rsidP="00291EE5" w:rsidRDefault="00117D85" w14:paraId="45582DDD" w14:textId="1F3CAFB1">
      <w:pPr>
        <w:tabs>
          <w:tab w:val="left" w:pos="6291"/>
        </w:tabs>
      </w:pPr>
      <w:r>
        <w:t xml:space="preserve">Attachment </w:t>
      </w:r>
      <w:r w:rsidR="00CF0593">
        <w:t>C</w:t>
      </w:r>
      <w:r>
        <w:t xml:space="preserve">: Key Informant Interview Guides </w:t>
      </w:r>
      <w:r w:rsidR="00862D0C">
        <w:t xml:space="preserve">- </w:t>
      </w:r>
      <w:r>
        <w:t>Practices</w:t>
      </w:r>
      <w:r w:rsidR="00291EE5">
        <w:tab/>
      </w:r>
    </w:p>
    <w:p w:rsidRPr="00BE61AA" w:rsidR="00291EE5" w:rsidP="00291EE5" w:rsidRDefault="00291EE5" w14:paraId="2A8D4879" w14:textId="762CEC8B">
      <w:pPr>
        <w:tabs>
          <w:tab w:val="left" w:pos="6291"/>
        </w:tabs>
      </w:pPr>
      <w:r>
        <w:t xml:space="preserve">Attachment </w:t>
      </w:r>
      <w:r w:rsidR="00CF0593">
        <w:t>D</w:t>
      </w:r>
      <w:r>
        <w:t>: Federal Register Notice</w:t>
      </w:r>
    </w:p>
    <w:sectPr w:rsidRPr="00BE61AA" w:rsidR="00291EE5" w:rsidSect="00E00DAC">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BC451" w14:textId="77777777" w:rsidR="002F1E68" w:rsidRDefault="002F1E68" w:rsidP="008E3950">
      <w:r>
        <w:separator/>
      </w:r>
    </w:p>
  </w:endnote>
  <w:endnote w:type="continuationSeparator" w:id="0">
    <w:p w14:paraId="34903D28" w14:textId="77777777" w:rsidR="002F1E68" w:rsidRDefault="002F1E68" w:rsidP="008E3950">
      <w:r>
        <w:continuationSeparator/>
      </w:r>
    </w:p>
  </w:endnote>
  <w:endnote w:type="continuationNotice" w:id="1">
    <w:p w14:paraId="02636A27" w14:textId="77777777" w:rsidR="002F1E68" w:rsidRDefault="002F1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837864"/>
      <w:docPartObj>
        <w:docPartGallery w:val="Page Numbers (Bottom of Page)"/>
        <w:docPartUnique/>
      </w:docPartObj>
    </w:sdtPr>
    <w:sdtEndPr/>
    <w:sdtContent>
      <w:p w14:paraId="04F04461" w14:textId="77777777" w:rsidR="002F1E68" w:rsidRDefault="002F1E68">
        <w:pPr>
          <w:pStyle w:val="Footer"/>
          <w:jc w:val="right"/>
        </w:pPr>
        <w:proofErr w:type="gramStart"/>
        <w:r>
          <w:t>Page  |</w:t>
        </w:r>
        <w:proofErr w:type="gramEnd"/>
        <w:r>
          <w:t xml:space="preserve">  </w:t>
        </w:r>
        <w:r>
          <w:fldChar w:fldCharType="begin"/>
        </w:r>
        <w:r>
          <w:instrText xml:space="preserve"> PAGE   \* MERGEFORMAT </w:instrText>
        </w:r>
        <w:r>
          <w:fldChar w:fldCharType="separate"/>
        </w:r>
        <w:r>
          <w:rPr>
            <w:noProof/>
          </w:rPr>
          <w:t>iv</w:t>
        </w:r>
        <w:r>
          <w:rPr>
            <w:noProof/>
          </w:rPr>
          <w:fldChar w:fldCharType="end"/>
        </w:r>
        <w:r>
          <w:t xml:space="preserve"> </w:t>
        </w:r>
      </w:p>
    </w:sdtContent>
  </w:sdt>
  <w:p w14:paraId="107BE04F" w14:textId="77777777" w:rsidR="002F1E68" w:rsidRPr="00D721EB" w:rsidRDefault="002F1E68" w:rsidP="00D721E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1181" w14:textId="6FF75D4A" w:rsidR="002F1E68" w:rsidRPr="00CC35B7" w:rsidRDefault="002F1E68" w:rsidP="00D721EB">
    <w:pPr>
      <w:pStyle w:val="Footer"/>
      <w:jc w:val="right"/>
    </w:pPr>
    <w:proofErr w:type="gramStart"/>
    <w:r w:rsidRPr="004812AC">
      <w:rPr>
        <w:sz w:val="20"/>
        <w:szCs w:val="20"/>
      </w:rPr>
      <w:t xml:space="preserve">Page </w:t>
    </w:r>
    <w:r w:rsidRPr="00CC35B7">
      <w:t xml:space="preserve"> |</w:t>
    </w:r>
    <w:proofErr w:type="gramEnd"/>
    <w:r w:rsidRPr="00CC35B7">
      <w:t xml:space="preserve">  </w:t>
    </w:r>
    <w:r w:rsidRPr="004812AC">
      <w:rPr>
        <w:sz w:val="20"/>
        <w:szCs w:val="20"/>
      </w:rPr>
      <w:fldChar w:fldCharType="begin"/>
    </w:r>
    <w:r w:rsidRPr="00291EE5">
      <w:rPr>
        <w:sz w:val="20"/>
        <w:szCs w:val="20"/>
      </w:rPr>
      <w:instrText xml:space="preserve"> PAGE   \* MERGEFORMAT </w:instrText>
    </w:r>
    <w:r w:rsidRPr="004812AC">
      <w:rPr>
        <w:sz w:val="20"/>
        <w:szCs w:val="20"/>
      </w:rPr>
      <w:fldChar w:fldCharType="separate"/>
    </w:r>
    <w:r w:rsidR="00C46C0E">
      <w:rPr>
        <w:noProof/>
        <w:sz w:val="20"/>
        <w:szCs w:val="20"/>
      </w:rPr>
      <w:t>3</w:t>
    </w:r>
    <w:r w:rsidRPr="004812A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A55F4" w14:textId="77777777" w:rsidR="002F1E68" w:rsidRDefault="002F1E68" w:rsidP="008E3950">
      <w:r>
        <w:separator/>
      </w:r>
    </w:p>
  </w:footnote>
  <w:footnote w:type="continuationSeparator" w:id="0">
    <w:p w14:paraId="0A38E8F2" w14:textId="77777777" w:rsidR="002F1E68" w:rsidRDefault="002F1E68" w:rsidP="008E3950">
      <w:r>
        <w:continuationSeparator/>
      </w:r>
    </w:p>
  </w:footnote>
  <w:footnote w:type="continuationNotice" w:id="1">
    <w:p w14:paraId="632C697F" w14:textId="77777777" w:rsidR="002F1E68" w:rsidRDefault="002F1E68"/>
  </w:footnote>
  <w:footnote w:id="2">
    <w:p w14:paraId="51994203" w14:textId="25B58CB2" w:rsidR="002F1E68" w:rsidRPr="00EC7F39" w:rsidRDefault="002F1E68" w:rsidP="005200CE">
      <w:pPr>
        <w:pStyle w:val="FootnoteText"/>
      </w:pPr>
      <w:r w:rsidRPr="00EC7F39">
        <w:rPr>
          <w:rStyle w:val="FootnoteReference"/>
        </w:rPr>
        <w:footnoteRef/>
      </w:r>
      <w:r w:rsidRPr="00EC7F39">
        <w:t xml:space="preserve"> </w:t>
      </w:r>
      <w:r>
        <w:rPr>
          <w:color w:val="333333"/>
          <w:lang w:val="en"/>
        </w:rPr>
        <w:t xml:space="preserve">National Institutes of Health (NIH), National Institute on Alcohol Abuse and Alcoholism. Alcohol Facts and Statistics. December 2019. Available at </w:t>
      </w:r>
      <w:hyperlink r:id="rId1" w:history="1">
        <w:r w:rsidRPr="00D23E8F">
          <w:rPr>
            <w:rStyle w:val="Hyperlink"/>
          </w:rPr>
          <w:t>https://www.niaaa.nih.gov/publications/brochures-and-fact-sheets/alcohol-facts-and-statistics</w:t>
        </w:r>
      </w:hyperlink>
    </w:p>
  </w:footnote>
  <w:footnote w:id="3">
    <w:p w14:paraId="7F86455A" w14:textId="73A183EA" w:rsidR="002F1E68" w:rsidRPr="00EC7F39" w:rsidRDefault="002F1E68" w:rsidP="005200CE">
      <w:pPr>
        <w:pStyle w:val="FootnoteText"/>
      </w:pPr>
      <w:r w:rsidRPr="00EC7F39">
        <w:rPr>
          <w:rStyle w:val="FootnoteReference"/>
        </w:rPr>
        <w:footnoteRef/>
      </w:r>
      <w:r w:rsidRPr="00EC7F39">
        <w:t xml:space="preserve"> </w:t>
      </w:r>
      <w:r w:rsidRPr="000F73A3">
        <w:rPr>
          <w:shd w:val="clear" w:color="auto" w:fill="FFFFFF"/>
        </w:rPr>
        <w:t xml:space="preserve">White, A. M., Castle, I.-J. P., </w:t>
      </w:r>
      <w:proofErr w:type="spellStart"/>
      <w:r w:rsidRPr="000F73A3">
        <w:rPr>
          <w:shd w:val="clear" w:color="auto" w:fill="FFFFFF"/>
        </w:rPr>
        <w:t>Hingson</w:t>
      </w:r>
      <w:proofErr w:type="spellEnd"/>
      <w:r w:rsidRPr="000F73A3">
        <w:rPr>
          <w:shd w:val="clear" w:color="auto" w:fill="FFFFFF"/>
        </w:rPr>
        <w:t>, R. W., &amp; Powell, P. A. (2020). Using Death Certificates to Explore Changes in Alcohol-Related Mortality in the United States, 1999 to 2017. </w:t>
      </w:r>
      <w:r w:rsidRPr="000F73A3">
        <w:rPr>
          <w:i/>
        </w:rPr>
        <w:t>Alcoholism: Clinical and Experimental Research</w:t>
      </w:r>
      <w:r w:rsidRPr="000F73A3">
        <w:rPr>
          <w:shd w:val="clear" w:color="auto" w:fill="FFFFFF"/>
        </w:rPr>
        <w:t>, </w:t>
      </w:r>
      <w:r w:rsidRPr="000F73A3">
        <w:rPr>
          <w:i/>
        </w:rPr>
        <w:t>44</w:t>
      </w:r>
      <w:r w:rsidRPr="000F73A3">
        <w:rPr>
          <w:shd w:val="clear" w:color="auto" w:fill="FFFFFF"/>
        </w:rPr>
        <w:t xml:space="preserve">(1), 178–187. </w:t>
      </w:r>
      <w:proofErr w:type="spellStart"/>
      <w:r w:rsidRPr="000F73A3">
        <w:rPr>
          <w:shd w:val="clear" w:color="auto" w:fill="FFFFFF"/>
        </w:rPr>
        <w:t>doi</w:t>
      </w:r>
      <w:proofErr w:type="spellEnd"/>
      <w:r w:rsidRPr="000F73A3">
        <w:rPr>
          <w:shd w:val="clear" w:color="auto" w:fill="FFFFFF"/>
        </w:rPr>
        <w:t>: 10.1111/acer.14239</w:t>
      </w:r>
    </w:p>
  </w:footnote>
  <w:footnote w:id="4">
    <w:p w14:paraId="1E6B441D" w14:textId="2E748D3C" w:rsidR="002F1E68" w:rsidRPr="009F3ABD" w:rsidRDefault="002F1E68" w:rsidP="005200CE">
      <w:pPr>
        <w:rPr>
          <w:color w:val="0000FF"/>
          <w:sz w:val="20"/>
          <w:szCs w:val="20"/>
          <w:u w:val="single"/>
          <w:lang w:val="en"/>
        </w:rPr>
      </w:pPr>
      <w:r w:rsidRPr="00EC7F39">
        <w:rPr>
          <w:rStyle w:val="FootnoteReference"/>
          <w:sz w:val="20"/>
          <w:szCs w:val="20"/>
        </w:rPr>
        <w:footnoteRef/>
      </w:r>
      <w:r w:rsidRPr="00EC7F39">
        <w:rPr>
          <w:sz w:val="20"/>
          <w:szCs w:val="20"/>
        </w:rPr>
        <w:t xml:space="preserve"> </w:t>
      </w:r>
      <w:proofErr w:type="spellStart"/>
      <w:proofErr w:type="gramStart"/>
      <w:r w:rsidRPr="000F73A3">
        <w:rPr>
          <w:sz w:val="20"/>
          <w:szCs w:val="20"/>
          <w:lang w:val="en"/>
        </w:rPr>
        <w:t>Rehm</w:t>
      </w:r>
      <w:proofErr w:type="spellEnd"/>
      <w:r w:rsidRPr="000F73A3">
        <w:rPr>
          <w:sz w:val="20"/>
          <w:szCs w:val="20"/>
          <w:lang w:val="en"/>
        </w:rPr>
        <w:t xml:space="preserve">  J</w:t>
      </w:r>
      <w:proofErr w:type="gramEnd"/>
      <w:r w:rsidRPr="000F73A3">
        <w:rPr>
          <w:sz w:val="20"/>
          <w:szCs w:val="20"/>
          <w:lang w:val="en"/>
        </w:rPr>
        <w:t xml:space="preserve">, </w:t>
      </w:r>
      <w:proofErr w:type="spellStart"/>
      <w:r w:rsidRPr="000F73A3">
        <w:rPr>
          <w:sz w:val="20"/>
          <w:szCs w:val="20"/>
          <w:lang w:val="en"/>
        </w:rPr>
        <w:t>Gmel</w:t>
      </w:r>
      <w:proofErr w:type="spellEnd"/>
      <w:r w:rsidRPr="000F73A3">
        <w:rPr>
          <w:sz w:val="20"/>
          <w:szCs w:val="20"/>
          <w:lang w:val="en"/>
        </w:rPr>
        <w:t xml:space="preserve">  GE  </w:t>
      </w:r>
      <w:proofErr w:type="spellStart"/>
      <w:r w:rsidRPr="000F73A3">
        <w:rPr>
          <w:sz w:val="20"/>
          <w:szCs w:val="20"/>
          <w:lang w:val="en"/>
        </w:rPr>
        <w:t>Sr</w:t>
      </w:r>
      <w:proofErr w:type="spellEnd"/>
      <w:r w:rsidRPr="000F73A3">
        <w:rPr>
          <w:sz w:val="20"/>
          <w:szCs w:val="20"/>
          <w:lang w:val="en"/>
        </w:rPr>
        <w:t xml:space="preserve">, </w:t>
      </w:r>
      <w:proofErr w:type="spellStart"/>
      <w:r w:rsidRPr="000F73A3">
        <w:rPr>
          <w:sz w:val="20"/>
          <w:szCs w:val="20"/>
          <w:lang w:val="en"/>
        </w:rPr>
        <w:t>Gmel</w:t>
      </w:r>
      <w:proofErr w:type="spellEnd"/>
      <w:r w:rsidRPr="000F73A3">
        <w:rPr>
          <w:sz w:val="20"/>
          <w:szCs w:val="20"/>
          <w:lang w:val="en"/>
        </w:rPr>
        <w:t xml:space="preserve">  G,  et al.  The relationship between different dimensions of alcohol use and the burden of disease—an update.  Addiction. 2017</w:t>
      </w:r>
      <w:proofErr w:type="gramStart"/>
      <w:r w:rsidRPr="000F73A3">
        <w:rPr>
          <w:sz w:val="20"/>
          <w:szCs w:val="20"/>
          <w:lang w:val="en"/>
        </w:rPr>
        <w:t>;112</w:t>
      </w:r>
      <w:proofErr w:type="gramEnd"/>
      <w:r w:rsidRPr="000F73A3">
        <w:rPr>
          <w:sz w:val="20"/>
          <w:szCs w:val="20"/>
          <w:lang w:val="en"/>
        </w:rPr>
        <w:t>(6):968-1001. doi</w:t>
      </w:r>
      <w:r w:rsidRPr="00EC7F39">
        <w:rPr>
          <w:color w:val="333333"/>
          <w:sz w:val="20"/>
          <w:szCs w:val="20"/>
          <w:lang w:val="en"/>
        </w:rPr>
        <w:t>:</w:t>
      </w:r>
      <w:r w:rsidRPr="00EC7F39">
        <w:rPr>
          <w:rStyle w:val="Hyperlink"/>
          <w:sz w:val="20"/>
          <w:szCs w:val="20"/>
          <w:lang w:val="en"/>
        </w:rPr>
        <w:t>10.1111/add.13757</w:t>
      </w:r>
    </w:p>
  </w:footnote>
  <w:footnote w:id="5">
    <w:p w14:paraId="1420D9DD" w14:textId="77777777" w:rsidR="002F1E68" w:rsidRPr="00EC7F39" w:rsidRDefault="002F1E68" w:rsidP="005200CE">
      <w:pPr>
        <w:pStyle w:val="FootnoteText"/>
      </w:pPr>
      <w:r w:rsidRPr="00EC7F39">
        <w:rPr>
          <w:rStyle w:val="FootnoteReference"/>
        </w:rPr>
        <w:footnoteRef/>
      </w:r>
      <w:r w:rsidRPr="00EC7F39">
        <w:t xml:space="preserve"> Sacks JJ, Gonzales KR, </w:t>
      </w:r>
      <w:proofErr w:type="spellStart"/>
      <w:r w:rsidRPr="00EC7F39">
        <w:t>Bouchery</w:t>
      </w:r>
      <w:proofErr w:type="spellEnd"/>
      <w:r w:rsidRPr="00EC7F39">
        <w:t xml:space="preserve"> EE, </w:t>
      </w:r>
      <w:proofErr w:type="spellStart"/>
      <w:proofErr w:type="gramStart"/>
      <w:r w:rsidRPr="00EC7F39">
        <w:t>Tomedi</w:t>
      </w:r>
      <w:proofErr w:type="spellEnd"/>
      <w:proofErr w:type="gramEnd"/>
      <w:r w:rsidRPr="00EC7F39">
        <w:t xml:space="preserve"> LE, Brewer RD. 2010 national and state costs of excessive alcohol consumption. </w:t>
      </w:r>
      <w:r w:rsidRPr="00EC7F39">
        <w:rPr>
          <w:i/>
          <w:iCs/>
        </w:rPr>
        <w:t xml:space="preserve">Am J </w:t>
      </w:r>
      <w:proofErr w:type="spellStart"/>
      <w:r w:rsidRPr="00EC7F39">
        <w:rPr>
          <w:i/>
          <w:iCs/>
        </w:rPr>
        <w:t>Prev</w:t>
      </w:r>
      <w:proofErr w:type="spellEnd"/>
      <w:r w:rsidRPr="00EC7F39">
        <w:rPr>
          <w:i/>
          <w:iCs/>
        </w:rPr>
        <w:t xml:space="preserve"> Med. </w:t>
      </w:r>
      <w:r w:rsidRPr="00EC7F39">
        <w:t>2015</w:t>
      </w:r>
      <w:proofErr w:type="gramStart"/>
      <w:r w:rsidRPr="00EC7F39">
        <w:t>;49</w:t>
      </w:r>
      <w:proofErr w:type="gramEnd"/>
      <w:r w:rsidRPr="00EC7F39">
        <w:t xml:space="preserve">(5):e73–e79. </w:t>
      </w:r>
      <w:hyperlink r:id="rId2" w:history="1">
        <w:r w:rsidRPr="00EC7F39">
          <w:rPr>
            <w:rStyle w:val="Hyperlink"/>
          </w:rPr>
          <w:t>https://doi.org/10.1016/j.amepre.2015.05.031</w:t>
        </w:r>
      </w:hyperlink>
    </w:p>
  </w:footnote>
  <w:footnote w:id="6">
    <w:p w14:paraId="4B52B825" w14:textId="77777777" w:rsidR="002F1E68" w:rsidRPr="00EC7F39" w:rsidRDefault="002F1E68" w:rsidP="005200CE">
      <w:pPr>
        <w:pStyle w:val="FootnoteText"/>
      </w:pPr>
      <w:r w:rsidRPr="00EC7F39">
        <w:rPr>
          <w:rStyle w:val="FootnoteReference"/>
        </w:rPr>
        <w:footnoteRef/>
      </w:r>
      <w:r w:rsidRPr="00EC7F39">
        <w:t xml:space="preserve"> Substance Abuse and Mental Health Services Administration (SAMHSA). Key substance use and mental health indicators in the United States: Results from the 2018 National Survey on Drug Use and Health. (HHS Publication No. PEP19-5068, NSDUH Series H-54). Rockville, MD: Center for Behavioral Health Statistics and Quality, Substance Abuse and Mental Health Services Administration; 2019. Available at: </w:t>
      </w:r>
      <w:hyperlink r:id="rId3" w:history="1">
        <w:r w:rsidRPr="00EC7F39">
          <w:rPr>
            <w:rStyle w:val="Hyperlink"/>
          </w:rPr>
          <w:t>https://www.samhsa.gov/data/ sites/default/files/cbhsq-reports/NSDUHNationalFindingsReport2018/ NSDUHNationalFindingsReport2018.pdf</w:t>
        </w:r>
      </w:hyperlink>
      <w:r w:rsidRPr="00EC7F39">
        <w:t>.</w:t>
      </w:r>
    </w:p>
  </w:footnote>
  <w:footnote w:id="7">
    <w:p w14:paraId="3F6F3A82" w14:textId="77777777" w:rsidR="002F1E68" w:rsidRPr="00EC7F39" w:rsidRDefault="002F1E68" w:rsidP="005200CE">
      <w:pPr>
        <w:pStyle w:val="FootnoteText"/>
      </w:pPr>
      <w:r w:rsidRPr="00EC7F39">
        <w:rPr>
          <w:rStyle w:val="FootnoteReference"/>
        </w:rPr>
        <w:footnoteRef/>
      </w:r>
      <w:r w:rsidRPr="00EC7F39">
        <w:t xml:space="preserve"> Centers for Disease Control and Prevention (CDC). Alcohol screening and counseling. Vital Signs. January 2014. Available at </w:t>
      </w:r>
      <w:hyperlink r:id="rId4" w:history="1">
        <w:r w:rsidRPr="00EC7F39">
          <w:rPr>
            <w:rStyle w:val="Hyperlink"/>
          </w:rPr>
          <w:t>https://www.cdc.gov/vitalsigns/alcohol-screening-counseling/index.html</w:t>
        </w:r>
      </w:hyperlink>
      <w:r w:rsidRPr="00EC7F39">
        <w:t xml:space="preserve">. </w:t>
      </w:r>
    </w:p>
  </w:footnote>
  <w:footnote w:id="8">
    <w:p w14:paraId="2924699D" w14:textId="77777777" w:rsidR="002F1E68" w:rsidRPr="00EC7F39" w:rsidRDefault="002F1E68" w:rsidP="005200CE">
      <w:pPr>
        <w:pStyle w:val="FootnoteText"/>
      </w:pPr>
      <w:r w:rsidRPr="00EC7F39">
        <w:rPr>
          <w:rStyle w:val="FootnoteReference"/>
        </w:rPr>
        <w:footnoteRef/>
      </w:r>
      <w:r w:rsidRPr="00EC7F39">
        <w:t xml:space="preserve"> Substance Abuse and Mental Health Services Administration (SAMHSA). 2017 National Survey on Drug Use and Health (NSDUH). Table 5.5A—Alcohol Use Disorder in Past Year </w:t>
      </w:r>
      <w:proofErr w:type="gramStart"/>
      <w:r w:rsidRPr="00EC7F39">
        <w:t>Among</w:t>
      </w:r>
      <w:proofErr w:type="gramEnd"/>
      <w:r w:rsidRPr="00EC7F39">
        <w:t xml:space="preserve"> Persons Aged 12 or Older, by Age Group and Demographic Characteristics: Numbers in Thousands, 2016 and 2017; 2018. Available at: </w:t>
      </w:r>
      <w:hyperlink w:history="1">
        <w:r w:rsidRPr="00EC7F39">
          <w:rPr>
            <w:rStyle w:val="Hyperlink"/>
          </w:rPr>
          <w:t>https://www.samhsa. gov/data/sites/default/files/cbhsq-reports/NSDUHDetailedTabs2017/NSDUHDetailedTabs 2017.htm#tab5-5A</w:t>
        </w:r>
      </w:hyperlink>
      <w:r w:rsidRPr="00EC7F39">
        <w:rPr>
          <w:rStyle w:val="Hyperlink"/>
        </w:rPr>
        <w:t>.</w:t>
      </w:r>
    </w:p>
  </w:footnote>
  <w:footnote w:id="9">
    <w:p w14:paraId="74F48473" w14:textId="77777777" w:rsidR="002F1E68" w:rsidRPr="00EC7F39" w:rsidRDefault="002F1E68" w:rsidP="005200CE">
      <w:pPr>
        <w:pStyle w:val="FootnoteText"/>
        <w:rPr>
          <w:color w:val="0000FF"/>
          <w:u w:val="single"/>
        </w:rPr>
      </w:pPr>
      <w:r w:rsidRPr="00EC7F39">
        <w:rPr>
          <w:rStyle w:val="FootnoteReference"/>
        </w:rPr>
        <w:footnoteRef/>
      </w:r>
      <w:r w:rsidRPr="00EC7F39">
        <w:t xml:space="preserve"> National Institute on Alcohol Abuse and Alcoholism (NIAAA). Alcohol Facts and Statistics. Available at: </w:t>
      </w:r>
      <w:hyperlink r:id="rId5" w:history="1">
        <w:r w:rsidRPr="00EC7F39">
          <w:rPr>
            <w:rStyle w:val="Hyperlink"/>
          </w:rPr>
          <w:t>https://www.niaaa.nih.gov/publications/brochures-and-fact-sheets/alcohol-facts-and-statistics</w:t>
        </w:r>
      </w:hyperlink>
    </w:p>
  </w:footnote>
  <w:footnote w:id="10">
    <w:p w14:paraId="42F8A0A2" w14:textId="0F27AD95" w:rsidR="002F1E68" w:rsidRDefault="002F1E68">
      <w:pPr>
        <w:pStyle w:val="FootnoteText"/>
      </w:pPr>
      <w:r>
        <w:rPr>
          <w:rStyle w:val="FootnoteReference"/>
        </w:rPr>
        <w:footnoteRef/>
      </w:r>
      <w:r>
        <w:t xml:space="preserve"> </w:t>
      </w:r>
      <w:r w:rsidRPr="009F3ABD">
        <w:t>US Preventive Services Task Force. Screening and Behavioral Counseling Interventions to Reduce Unhealthy Alcohol Use in Adolescents and Adults: US Preventive Services Task Force Recommendation Statement. JAMA. 2018</w:t>
      </w:r>
      <w:proofErr w:type="gramStart"/>
      <w:r w:rsidRPr="009F3ABD">
        <w:t>;320</w:t>
      </w:r>
      <w:proofErr w:type="gramEnd"/>
      <w:r w:rsidRPr="009F3ABD">
        <w:t xml:space="preserve">(18):1899–1909. </w:t>
      </w:r>
      <w:proofErr w:type="spellStart"/>
      <w:r w:rsidRPr="009F3ABD">
        <w:t>doi:https</w:t>
      </w:r>
      <w:proofErr w:type="spellEnd"/>
      <w:r w:rsidRPr="009F3ABD">
        <w:t>://doi.org/10.1001/jama.2018.16789</w:t>
      </w:r>
    </w:p>
  </w:footnote>
  <w:footnote w:id="11">
    <w:p w14:paraId="438E2DE7" w14:textId="0C689B75" w:rsidR="002F1E68" w:rsidRPr="00EC7F39" w:rsidRDefault="002F1E68" w:rsidP="005200CE">
      <w:pPr>
        <w:pStyle w:val="desc2"/>
        <w:shd w:val="clear" w:color="auto" w:fill="FFFFFF"/>
        <w:rPr>
          <w:sz w:val="20"/>
          <w:szCs w:val="20"/>
          <w:lang w:val="en"/>
        </w:rPr>
      </w:pPr>
      <w:r w:rsidRPr="00EC7F39">
        <w:rPr>
          <w:rStyle w:val="FootnoteReference"/>
          <w:sz w:val="20"/>
          <w:szCs w:val="20"/>
        </w:rPr>
        <w:footnoteRef/>
      </w:r>
      <w:r w:rsidRPr="00EC7F39">
        <w:rPr>
          <w:sz w:val="20"/>
          <w:szCs w:val="20"/>
        </w:rPr>
        <w:t xml:space="preserve"> </w:t>
      </w:r>
      <w:r w:rsidRPr="00EC7F39">
        <w:rPr>
          <w:sz w:val="20"/>
          <w:szCs w:val="20"/>
          <w:lang w:val="en"/>
        </w:rPr>
        <w:t xml:space="preserve">O'Connor EA, Perdue LA, </w:t>
      </w:r>
      <w:proofErr w:type="spellStart"/>
      <w:r w:rsidRPr="00EC7F39">
        <w:rPr>
          <w:sz w:val="20"/>
          <w:szCs w:val="20"/>
          <w:lang w:val="en"/>
        </w:rPr>
        <w:t>Senger</w:t>
      </w:r>
      <w:proofErr w:type="spellEnd"/>
      <w:r w:rsidRPr="00EC7F39">
        <w:rPr>
          <w:sz w:val="20"/>
          <w:szCs w:val="20"/>
          <w:lang w:val="en"/>
        </w:rPr>
        <w:t xml:space="preserve"> CA, </w:t>
      </w:r>
      <w:proofErr w:type="spellStart"/>
      <w:r w:rsidRPr="00EC7F39">
        <w:rPr>
          <w:sz w:val="20"/>
          <w:szCs w:val="20"/>
          <w:lang w:val="en"/>
        </w:rPr>
        <w:t>Rushkin</w:t>
      </w:r>
      <w:proofErr w:type="spellEnd"/>
      <w:r w:rsidRPr="00EC7F39">
        <w:rPr>
          <w:sz w:val="20"/>
          <w:szCs w:val="20"/>
          <w:lang w:val="en"/>
        </w:rPr>
        <w:t xml:space="preserve"> M, </w:t>
      </w:r>
      <w:proofErr w:type="spellStart"/>
      <w:r w:rsidRPr="00EC7F39">
        <w:rPr>
          <w:sz w:val="20"/>
          <w:szCs w:val="20"/>
          <w:lang w:val="en"/>
        </w:rPr>
        <w:t>Patnode</w:t>
      </w:r>
      <w:proofErr w:type="spellEnd"/>
      <w:r w:rsidRPr="00EC7F39">
        <w:rPr>
          <w:sz w:val="20"/>
          <w:szCs w:val="20"/>
          <w:lang w:val="en"/>
        </w:rPr>
        <w:t xml:space="preserve"> CD, Bean SI, Jonas DE. Screening and behavioral counseling interventions to reduce unhealthy alcohol use in adolescents and adults: updated evidence report and systematic review for the US Preventive Services Task Force. </w:t>
      </w:r>
      <w:r w:rsidRPr="00EC7F39">
        <w:rPr>
          <w:rStyle w:val="jrnl"/>
          <w:sz w:val="20"/>
          <w:szCs w:val="20"/>
          <w:lang w:val="en"/>
        </w:rPr>
        <w:t>JAMA</w:t>
      </w:r>
      <w:r w:rsidRPr="00EC7F39">
        <w:rPr>
          <w:sz w:val="20"/>
          <w:szCs w:val="20"/>
          <w:lang w:val="en"/>
        </w:rPr>
        <w:t>. 2018</w:t>
      </w:r>
      <w:proofErr w:type="gramStart"/>
      <w:r w:rsidRPr="00EC7F39">
        <w:rPr>
          <w:sz w:val="20"/>
          <w:szCs w:val="20"/>
          <w:lang w:val="en"/>
        </w:rPr>
        <w:t>;320</w:t>
      </w:r>
      <w:proofErr w:type="gramEnd"/>
      <w:r w:rsidRPr="00EC7F39">
        <w:rPr>
          <w:sz w:val="20"/>
          <w:szCs w:val="20"/>
          <w:lang w:val="en"/>
        </w:rPr>
        <w:t xml:space="preserve">(18):1910-1928. </w:t>
      </w:r>
      <w:proofErr w:type="spellStart"/>
      <w:proofErr w:type="gramStart"/>
      <w:r w:rsidRPr="00EC7F39">
        <w:rPr>
          <w:sz w:val="20"/>
          <w:szCs w:val="20"/>
          <w:lang w:val="en"/>
        </w:rPr>
        <w:t>doi</w:t>
      </w:r>
      <w:proofErr w:type="spellEnd"/>
      <w:proofErr w:type="gramEnd"/>
      <w:r w:rsidRPr="00EC7F39">
        <w:rPr>
          <w:sz w:val="20"/>
          <w:szCs w:val="20"/>
          <w:lang w:val="en"/>
        </w:rPr>
        <w:t xml:space="preserve">: 10.1001/jama.2018.12086. </w:t>
      </w:r>
    </w:p>
  </w:footnote>
  <w:footnote w:id="12">
    <w:p w14:paraId="4083C4FE" w14:textId="796C139E" w:rsidR="002F1E68" w:rsidRPr="00EC7F39" w:rsidRDefault="002F1E68" w:rsidP="005200CE">
      <w:pPr>
        <w:pStyle w:val="FootnoteText"/>
      </w:pPr>
      <w:r w:rsidRPr="00EC7F39">
        <w:rPr>
          <w:rStyle w:val="FootnoteReference"/>
        </w:rPr>
        <w:footnoteRef/>
      </w:r>
      <w:r w:rsidRPr="00EC7F39">
        <w:t xml:space="preserve"> US Preventive Services Task Force. </w:t>
      </w:r>
      <w:r w:rsidRPr="00EC7F39">
        <w:rPr>
          <w:rStyle w:val="Emphasis"/>
          <w:color w:val="000000"/>
          <w:shd w:val="clear" w:color="auto" w:fill="FFFFFF"/>
        </w:rPr>
        <w:t>Ninth Annual Report to Congress on High-Priority Evidence Gaps for Clinical Preventi</w:t>
      </w:r>
      <w:r>
        <w:rPr>
          <w:rStyle w:val="Emphasis"/>
          <w:color w:val="000000"/>
          <w:shd w:val="clear" w:color="auto" w:fill="FFFFFF"/>
        </w:rPr>
        <w:t>ve Services. November 2019. Ava</w:t>
      </w:r>
      <w:r w:rsidRPr="00EC7F39">
        <w:rPr>
          <w:rStyle w:val="Emphasis"/>
          <w:color w:val="000000"/>
          <w:shd w:val="clear" w:color="auto" w:fill="FFFFFF"/>
        </w:rPr>
        <w:t>i</w:t>
      </w:r>
      <w:r>
        <w:rPr>
          <w:rStyle w:val="Emphasis"/>
          <w:color w:val="000000"/>
          <w:shd w:val="clear" w:color="auto" w:fill="FFFFFF"/>
        </w:rPr>
        <w:t>l</w:t>
      </w:r>
      <w:r w:rsidRPr="00EC7F39">
        <w:rPr>
          <w:rStyle w:val="Emphasis"/>
          <w:color w:val="000000"/>
          <w:shd w:val="clear" w:color="auto" w:fill="FFFFFF"/>
        </w:rPr>
        <w:t xml:space="preserve">able at: </w:t>
      </w:r>
      <w:r w:rsidRPr="00EC7F39">
        <w:rPr>
          <w:color w:val="000000"/>
          <w:shd w:val="clear" w:color="auto" w:fill="FFFFFF"/>
        </w:rPr>
        <w:t xml:space="preserve">https://www.uspreventiveservicestaskforce.org/Page/ Name/ninth-annual-report-to-congress-on-high-priority-evidence-gaps-for-clinical-preventive-services. </w:t>
      </w:r>
    </w:p>
  </w:footnote>
  <w:footnote w:id="13">
    <w:p w14:paraId="1A292875" w14:textId="77777777" w:rsidR="002F1E68" w:rsidRPr="00EC7F39" w:rsidRDefault="002F1E68" w:rsidP="005200CE">
      <w:pPr>
        <w:pStyle w:val="FootnoteText"/>
      </w:pPr>
      <w:r w:rsidRPr="00EC7F39">
        <w:rPr>
          <w:rStyle w:val="FootnoteReference"/>
        </w:rPr>
        <w:footnoteRef/>
      </w:r>
      <w:r w:rsidRPr="00EC7F39">
        <w:t xml:space="preserve"> SAMHSA Medication for the Treatment of Alcohol Use Disorder: A Brief Guide. Available at: https://store.samhsa.gov/system/files/sma15-4907.pdf.</w:t>
      </w:r>
    </w:p>
  </w:footnote>
  <w:footnote w:id="14">
    <w:p w14:paraId="3801BE5C" w14:textId="77777777" w:rsidR="002F1E68" w:rsidRPr="00EC7F39" w:rsidRDefault="002F1E68" w:rsidP="005200CE">
      <w:pPr>
        <w:pStyle w:val="FootnoteText"/>
      </w:pPr>
      <w:r w:rsidRPr="00EC7F39">
        <w:rPr>
          <w:rStyle w:val="FootnoteReference"/>
        </w:rPr>
        <w:footnoteRef/>
      </w:r>
      <w:r w:rsidRPr="00EC7F39">
        <w:t xml:space="preserve"> Jonas DE, </w:t>
      </w:r>
      <w:proofErr w:type="spellStart"/>
      <w:r w:rsidRPr="00EC7F39">
        <w:t>Amick</w:t>
      </w:r>
      <w:proofErr w:type="spellEnd"/>
      <w:r w:rsidRPr="00EC7F39">
        <w:t xml:space="preserve"> HR, </w:t>
      </w:r>
      <w:proofErr w:type="spellStart"/>
      <w:r w:rsidRPr="00EC7F39">
        <w:t>Feltner</w:t>
      </w:r>
      <w:proofErr w:type="spellEnd"/>
      <w:r w:rsidRPr="00EC7F39">
        <w:t xml:space="preserve"> C, et al. Pharmacotherapy for adults with alcohol use disorders in outpatient settings: a systematic review and meta-analysis. JAMA. 2014</w:t>
      </w:r>
      <w:proofErr w:type="gramStart"/>
      <w:r w:rsidRPr="00EC7F39">
        <w:t>;311</w:t>
      </w:r>
      <w:proofErr w:type="gramEnd"/>
      <w:r w:rsidRPr="00EC7F39">
        <w:t>(18):1889-1900.</w:t>
      </w:r>
    </w:p>
  </w:footnote>
  <w:footnote w:id="15">
    <w:p w14:paraId="35F0AF8E" w14:textId="77777777" w:rsidR="002F1E68" w:rsidRPr="00EC7F39" w:rsidRDefault="002F1E68" w:rsidP="005200CE">
      <w:pPr>
        <w:pStyle w:val="FootnoteText"/>
      </w:pPr>
      <w:r w:rsidRPr="00EC7F39">
        <w:rPr>
          <w:rStyle w:val="FootnoteReference"/>
        </w:rPr>
        <w:footnoteRef/>
      </w:r>
      <w:r w:rsidRPr="00EC7F39">
        <w:t xml:space="preserve"> Principles of Drug Addiction Treatment: A Research Guide (Third Edition). NIDA. 2018. https://www.drugabuse.gov/node/pdf/675/principles-of-drug-addiction-treatment-a-research-based-guidethird-edition.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5B621BC"/>
    <w:lvl w:ilvl="0">
      <w:start w:val="1"/>
      <w:numFmt w:val="lowerLetter"/>
      <w:pStyle w:val="ListBullet"/>
      <w:lvlText w:val="%1."/>
      <w:lvlJc w:val="left"/>
      <w:pPr>
        <w:ind w:left="720" w:hanging="360"/>
      </w:pPr>
      <w:rPr>
        <w:rFonts w:cs="Times New Roman" w:hint="default"/>
        <w:b w:val="0"/>
        <w:i w:val="0"/>
        <w:color w:val="auto"/>
        <w:sz w:val="24"/>
        <w:u w:val="none"/>
      </w:rPr>
    </w:lvl>
  </w:abstractNum>
  <w:abstractNum w:abstractNumId="1" w15:restartNumberingAfterBreak="0">
    <w:nsid w:val="FFFFFF88"/>
    <w:multiLevelType w:val="singleLevel"/>
    <w:tmpl w:val="DDB60BF6"/>
    <w:lvl w:ilvl="0">
      <w:start w:val="1"/>
      <w:numFmt w:val="decimal"/>
      <w:pStyle w:val="ListNumber2"/>
      <w:lvlText w:val="%1."/>
      <w:lvlJc w:val="left"/>
      <w:pPr>
        <w:tabs>
          <w:tab w:val="num" w:pos="531"/>
        </w:tabs>
        <w:ind w:left="531" w:hanging="360"/>
      </w:pPr>
      <w:rPr>
        <w:rFonts w:cs="Times New Roman"/>
        <w:b w:val="0"/>
      </w:rPr>
    </w:lvl>
  </w:abstractNum>
  <w:abstractNum w:abstractNumId="2" w15:restartNumberingAfterBreak="0">
    <w:nsid w:val="FFFFFF89"/>
    <w:multiLevelType w:val="singleLevel"/>
    <w:tmpl w:val="4F90CAF0"/>
    <w:lvl w:ilvl="0">
      <w:start w:val="1"/>
      <w:numFmt w:val="bullet"/>
      <w:pStyle w:val="ListNumber"/>
      <w:lvlText w:val=""/>
      <w:lvlJc w:val="left"/>
      <w:pPr>
        <w:tabs>
          <w:tab w:val="num" w:pos="360"/>
        </w:tabs>
        <w:ind w:left="360" w:hanging="360"/>
      </w:pPr>
      <w:rPr>
        <w:rFonts w:ascii="Symbol" w:hAnsi="Symbol" w:hint="default"/>
      </w:rPr>
    </w:lvl>
  </w:abstractNum>
  <w:abstractNum w:abstractNumId="3" w15:restartNumberingAfterBreak="0">
    <w:nsid w:val="004331C5"/>
    <w:multiLevelType w:val="hybridMultilevel"/>
    <w:tmpl w:val="0F22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4D46FE"/>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8513E7"/>
    <w:multiLevelType w:val="hybridMultilevel"/>
    <w:tmpl w:val="841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132D5"/>
    <w:multiLevelType w:val="hybridMultilevel"/>
    <w:tmpl w:val="670C952A"/>
    <w:lvl w:ilvl="0" w:tplc="C06A1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61066"/>
    <w:multiLevelType w:val="hybridMultilevel"/>
    <w:tmpl w:val="81B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A319E4"/>
    <w:multiLevelType w:val="hybridMultilevel"/>
    <w:tmpl w:val="75D27B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3D708F"/>
    <w:multiLevelType w:val="hybridMultilevel"/>
    <w:tmpl w:val="C66822D4"/>
    <w:lvl w:ilvl="0" w:tplc="9FCE2F36">
      <w:start w:val="1"/>
      <w:numFmt w:val="bullet"/>
      <w:lvlText w:val="•"/>
      <w:lvlJc w:val="left"/>
      <w:pPr>
        <w:tabs>
          <w:tab w:val="num" w:pos="720"/>
        </w:tabs>
        <w:ind w:left="720" w:hanging="360"/>
      </w:pPr>
      <w:rPr>
        <w:rFonts w:ascii="Arial" w:hAnsi="Arial" w:hint="default"/>
      </w:rPr>
    </w:lvl>
    <w:lvl w:ilvl="1" w:tplc="749C202A" w:tentative="1">
      <w:start w:val="1"/>
      <w:numFmt w:val="bullet"/>
      <w:lvlText w:val="•"/>
      <w:lvlJc w:val="left"/>
      <w:pPr>
        <w:tabs>
          <w:tab w:val="num" w:pos="1440"/>
        </w:tabs>
        <w:ind w:left="1440" w:hanging="360"/>
      </w:pPr>
      <w:rPr>
        <w:rFonts w:ascii="Arial" w:hAnsi="Arial" w:hint="default"/>
      </w:rPr>
    </w:lvl>
    <w:lvl w:ilvl="2" w:tplc="607C092C" w:tentative="1">
      <w:start w:val="1"/>
      <w:numFmt w:val="bullet"/>
      <w:lvlText w:val="•"/>
      <w:lvlJc w:val="left"/>
      <w:pPr>
        <w:tabs>
          <w:tab w:val="num" w:pos="2160"/>
        </w:tabs>
        <w:ind w:left="2160" w:hanging="360"/>
      </w:pPr>
      <w:rPr>
        <w:rFonts w:ascii="Arial" w:hAnsi="Arial" w:hint="default"/>
      </w:rPr>
    </w:lvl>
    <w:lvl w:ilvl="3" w:tplc="1944BE8E" w:tentative="1">
      <w:start w:val="1"/>
      <w:numFmt w:val="bullet"/>
      <w:lvlText w:val="•"/>
      <w:lvlJc w:val="left"/>
      <w:pPr>
        <w:tabs>
          <w:tab w:val="num" w:pos="2880"/>
        </w:tabs>
        <w:ind w:left="2880" w:hanging="360"/>
      </w:pPr>
      <w:rPr>
        <w:rFonts w:ascii="Arial" w:hAnsi="Arial" w:hint="default"/>
      </w:rPr>
    </w:lvl>
    <w:lvl w:ilvl="4" w:tplc="E1947500" w:tentative="1">
      <w:start w:val="1"/>
      <w:numFmt w:val="bullet"/>
      <w:lvlText w:val="•"/>
      <w:lvlJc w:val="left"/>
      <w:pPr>
        <w:tabs>
          <w:tab w:val="num" w:pos="3600"/>
        </w:tabs>
        <w:ind w:left="3600" w:hanging="360"/>
      </w:pPr>
      <w:rPr>
        <w:rFonts w:ascii="Arial" w:hAnsi="Arial" w:hint="default"/>
      </w:rPr>
    </w:lvl>
    <w:lvl w:ilvl="5" w:tplc="F70ACB58" w:tentative="1">
      <w:start w:val="1"/>
      <w:numFmt w:val="bullet"/>
      <w:lvlText w:val="•"/>
      <w:lvlJc w:val="left"/>
      <w:pPr>
        <w:tabs>
          <w:tab w:val="num" w:pos="4320"/>
        </w:tabs>
        <w:ind w:left="4320" w:hanging="360"/>
      </w:pPr>
      <w:rPr>
        <w:rFonts w:ascii="Arial" w:hAnsi="Arial" w:hint="default"/>
      </w:rPr>
    </w:lvl>
    <w:lvl w:ilvl="6" w:tplc="AD88AFC0" w:tentative="1">
      <w:start w:val="1"/>
      <w:numFmt w:val="bullet"/>
      <w:lvlText w:val="•"/>
      <w:lvlJc w:val="left"/>
      <w:pPr>
        <w:tabs>
          <w:tab w:val="num" w:pos="5040"/>
        </w:tabs>
        <w:ind w:left="5040" w:hanging="360"/>
      </w:pPr>
      <w:rPr>
        <w:rFonts w:ascii="Arial" w:hAnsi="Arial" w:hint="default"/>
      </w:rPr>
    </w:lvl>
    <w:lvl w:ilvl="7" w:tplc="C6D8F92E" w:tentative="1">
      <w:start w:val="1"/>
      <w:numFmt w:val="bullet"/>
      <w:lvlText w:val="•"/>
      <w:lvlJc w:val="left"/>
      <w:pPr>
        <w:tabs>
          <w:tab w:val="num" w:pos="5760"/>
        </w:tabs>
        <w:ind w:left="5760" w:hanging="360"/>
      </w:pPr>
      <w:rPr>
        <w:rFonts w:ascii="Arial" w:hAnsi="Arial" w:hint="default"/>
      </w:rPr>
    </w:lvl>
    <w:lvl w:ilvl="8" w:tplc="DB76F8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2532C9"/>
    <w:multiLevelType w:val="hybridMultilevel"/>
    <w:tmpl w:val="20187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FE2A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953C1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8E2201"/>
    <w:multiLevelType w:val="hybridMultilevel"/>
    <w:tmpl w:val="89F04F26"/>
    <w:lvl w:ilvl="0" w:tplc="C216398E">
      <w:start w:val="1"/>
      <w:numFmt w:val="bullet"/>
      <w:lvlText w:val="•"/>
      <w:lvlJc w:val="left"/>
      <w:pPr>
        <w:tabs>
          <w:tab w:val="num" w:pos="720"/>
        </w:tabs>
        <w:ind w:left="720" w:hanging="360"/>
      </w:pPr>
      <w:rPr>
        <w:rFonts w:ascii="Arial" w:hAnsi="Arial" w:hint="default"/>
      </w:rPr>
    </w:lvl>
    <w:lvl w:ilvl="1" w:tplc="45008424">
      <w:start w:val="1"/>
      <w:numFmt w:val="bullet"/>
      <w:lvlText w:val="•"/>
      <w:lvlJc w:val="left"/>
      <w:pPr>
        <w:tabs>
          <w:tab w:val="num" w:pos="1440"/>
        </w:tabs>
        <w:ind w:left="1440" w:hanging="360"/>
      </w:pPr>
      <w:rPr>
        <w:rFonts w:ascii="Arial" w:hAnsi="Arial" w:hint="default"/>
      </w:rPr>
    </w:lvl>
    <w:lvl w:ilvl="2" w:tplc="E5FED414" w:tentative="1">
      <w:start w:val="1"/>
      <w:numFmt w:val="bullet"/>
      <w:lvlText w:val="•"/>
      <w:lvlJc w:val="left"/>
      <w:pPr>
        <w:tabs>
          <w:tab w:val="num" w:pos="2160"/>
        </w:tabs>
        <w:ind w:left="2160" w:hanging="360"/>
      </w:pPr>
      <w:rPr>
        <w:rFonts w:ascii="Arial" w:hAnsi="Arial" w:hint="default"/>
      </w:rPr>
    </w:lvl>
    <w:lvl w:ilvl="3" w:tplc="B75CF6AC" w:tentative="1">
      <w:start w:val="1"/>
      <w:numFmt w:val="bullet"/>
      <w:lvlText w:val="•"/>
      <w:lvlJc w:val="left"/>
      <w:pPr>
        <w:tabs>
          <w:tab w:val="num" w:pos="2880"/>
        </w:tabs>
        <w:ind w:left="2880" w:hanging="360"/>
      </w:pPr>
      <w:rPr>
        <w:rFonts w:ascii="Arial" w:hAnsi="Arial" w:hint="default"/>
      </w:rPr>
    </w:lvl>
    <w:lvl w:ilvl="4" w:tplc="DC80C57E" w:tentative="1">
      <w:start w:val="1"/>
      <w:numFmt w:val="bullet"/>
      <w:lvlText w:val="•"/>
      <w:lvlJc w:val="left"/>
      <w:pPr>
        <w:tabs>
          <w:tab w:val="num" w:pos="3600"/>
        </w:tabs>
        <w:ind w:left="3600" w:hanging="360"/>
      </w:pPr>
      <w:rPr>
        <w:rFonts w:ascii="Arial" w:hAnsi="Arial" w:hint="default"/>
      </w:rPr>
    </w:lvl>
    <w:lvl w:ilvl="5" w:tplc="01AC81C2" w:tentative="1">
      <w:start w:val="1"/>
      <w:numFmt w:val="bullet"/>
      <w:lvlText w:val="•"/>
      <w:lvlJc w:val="left"/>
      <w:pPr>
        <w:tabs>
          <w:tab w:val="num" w:pos="4320"/>
        </w:tabs>
        <w:ind w:left="4320" w:hanging="360"/>
      </w:pPr>
      <w:rPr>
        <w:rFonts w:ascii="Arial" w:hAnsi="Arial" w:hint="default"/>
      </w:rPr>
    </w:lvl>
    <w:lvl w:ilvl="6" w:tplc="62ACC070" w:tentative="1">
      <w:start w:val="1"/>
      <w:numFmt w:val="bullet"/>
      <w:lvlText w:val="•"/>
      <w:lvlJc w:val="left"/>
      <w:pPr>
        <w:tabs>
          <w:tab w:val="num" w:pos="5040"/>
        </w:tabs>
        <w:ind w:left="5040" w:hanging="360"/>
      </w:pPr>
      <w:rPr>
        <w:rFonts w:ascii="Arial" w:hAnsi="Arial" w:hint="default"/>
      </w:rPr>
    </w:lvl>
    <w:lvl w:ilvl="7" w:tplc="0658D4FC" w:tentative="1">
      <w:start w:val="1"/>
      <w:numFmt w:val="bullet"/>
      <w:lvlText w:val="•"/>
      <w:lvlJc w:val="left"/>
      <w:pPr>
        <w:tabs>
          <w:tab w:val="num" w:pos="5760"/>
        </w:tabs>
        <w:ind w:left="5760" w:hanging="360"/>
      </w:pPr>
      <w:rPr>
        <w:rFonts w:ascii="Arial" w:hAnsi="Arial" w:hint="default"/>
      </w:rPr>
    </w:lvl>
    <w:lvl w:ilvl="8" w:tplc="68027E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AAC25C0"/>
    <w:multiLevelType w:val="hybridMultilevel"/>
    <w:tmpl w:val="80C2F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925EE3"/>
    <w:multiLevelType w:val="hybridMultilevel"/>
    <w:tmpl w:val="C7547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2C7048"/>
    <w:multiLevelType w:val="hybridMultilevel"/>
    <w:tmpl w:val="08D2B1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E8E05A7"/>
    <w:multiLevelType w:val="hybridMultilevel"/>
    <w:tmpl w:val="08D2B1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7632F6"/>
    <w:multiLevelType w:val="hybridMultilevel"/>
    <w:tmpl w:val="A6B05B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6E60AD"/>
    <w:multiLevelType w:val="hybridMultilevel"/>
    <w:tmpl w:val="4C92E7DC"/>
    <w:lvl w:ilvl="0" w:tplc="CB5AD8CE">
      <w:start w:val="1"/>
      <w:numFmt w:val="bullet"/>
      <w:lvlText w:val="■"/>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E5720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7C1D7D"/>
    <w:multiLevelType w:val="hybridMultilevel"/>
    <w:tmpl w:val="E5C0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9B36B3"/>
    <w:multiLevelType w:val="hybridMultilevel"/>
    <w:tmpl w:val="1BBA072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B803AC"/>
    <w:multiLevelType w:val="hybridMultilevel"/>
    <w:tmpl w:val="089CBE56"/>
    <w:lvl w:ilvl="0" w:tplc="E8B2785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3C59F7"/>
    <w:multiLevelType w:val="multilevel"/>
    <w:tmpl w:val="E02A3EB2"/>
    <w:lvl w:ilvl="0">
      <w:start w:val="1"/>
      <w:numFmt w:val="bullet"/>
      <w:lvlText w:val=""/>
      <w:lvlJc w:val="left"/>
      <w:pPr>
        <w:tabs>
          <w:tab w:val="num" w:pos="720"/>
        </w:tabs>
        <w:ind w:left="720" w:hanging="360"/>
      </w:pPr>
      <w:rPr>
        <w:rFonts w:ascii="Wingdings" w:hAnsi="Wingdings" w:hint="default"/>
        <w:color w:val="auto"/>
        <w:u w:color="1F497D" w:themeColor="text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F33799"/>
    <w:multiLevelType w:val="hybridMultilevel"/>
    <w:tmpl w:val="3C5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9E63BFD"/>
    <w:multiLevelType w:val="hybridMultilevel"/>
    <w:tmpl w:val="C1D46C8A"/>
    <w:lvl w:ilvl="0" w:tplc="CDB8BA1C">
      <w:start w:val="1"/>
      <w:numFmt w:val="bullet"/>
      <w:lvlText w:val=""/>
      <w:lvlJc w:val="left"/>
      <w:pPr>
        <w:tabs>
          <w:tab w:val="num" w:pos="270"/>
        </w:tabs>
        <w:ind w:left="990" w:hanging="360"/>
      </w:pPr>
      <w:rPr>
        <w:rFonts w:ascii="Wingdings" w:hAnsi="Wingdings" w:hint="default"/>
        <w:sz w:val="16"/>
      </w:rPr>
    </w:lvl>
    <w:lvl w:ilvl="1" w:tplc="04090003">
      <w:start w:val="1"/>
      <w:numFmt w:val="bullet"/>
      <w:lvlText w:val="o"/>
      <w:lvlJc w:val="left"/>
      <w:pPr>
        <w:tabs>
          <w:tab w:val="num" w:pos="990"/>
        </w:tabs>
        <w:ind w:left="990" w:hanging="360"/>
      </w:pPr>
      <w:rPr>
        <w:rFonts w:ascii="Courier New" w:hAnsi="Courier New" w:cs="Courier New" w:hint="default"/>
        <w:sz w:val="16"/>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1" w15:restartNumberingAfterBreak="0">
    <w:nsid w:val="1A8357F4"/>
    <w:multiLevelType w:val="hybridMultilevel"/>
    <w:tmpl w:val="888CF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BA05FA"/>
    <w:multiLevelType w:val="hybridMultilevel"/>
    <w:tmpl w:val="05E4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F20888"/>
    <w:multiLevelType w:val="hybridMultilevel"/>
    <w:tmpl w:val="E8A82D6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7359FC"/>
    <w:multiLevelType w:val="hybridMultilevel"/>
    <w:tmpl w:val="C862EA86"/>
    <w:lvl w:ilvl="0" w:tplc="CBB2119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882B6E"/>
    <w:multiLevelType w:val="hybridMultilevel"/>
    <w:tmpl w:val="E736B970"/>
    <w:lvl w:ilvl="0" w:tplc="EC0AC700">
      <w:start w:val="1"/>
      <w:numFmt w:val="bullet"/>
      <w:lvlText w:val="-"/>
      <w:lvlJc w:val="left"/>
      <w:pPr>
        <w:ind w:left="990" w:hanging="360"/>
      </w:pPr>
      <w:rPr>
        <w:rFonts w:ascii="Calibri" w:eastAsiaTheme="minorHAnsi" w:hAnsi="Calibri" w:cstheme="minorBidi"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21A26D4D"/>
    <w:multiLevelType w:val="hybridMultilevel"/>
    <w:tmpl w:val="079C4C4A"/>
    <w:lvl w:ilvl="0" w:tplc="15C0C2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9E71C8"/>
    <w:multiLevelType w:val="hybridMultilevel"/>
    <w:tmpl w:val="B83A2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F0455E"/>
    <w:multiLevelType w:val="hybridMultilevel"/>
    <w:tmpl w:val="1F1E16CE"/>
    <w:lvl w:ilvl="0" w:tplc="42B0CD0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8B7C92"/>
    <w:multiLevelType w:val="hybridMultilevel"/>
    <w:tmpl w:val="A12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BE1B6E"/>
    <w:multiLevelType w:val="hybridMultilevel"/>
    <w:tmpl w:val="1C22C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DF03A1"/>
    <w:multiLevelType w:val="hybridMultilevel"/>
    <w:tmpl w:val="35FA1E54"/>
    <w:lvl w:ilvl="0" w:tplc="ECECD8B4">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DE25D7"/>
    <w:multiLevelType w:val="hybridMultilevel"/>
    <w:tmpl w:val="B19C1A4C"/>
    <w:lvl w:ilvl="0" w:tplc="E8B2785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27404"/>
    <w:multiLevelType w:val="hybridMultilevel"/>
    <w:tmpl w:val="2A2C4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10B3C0E"/>
    <w:multiLevelType w:val="hybridMultilevel"/>
    <w:tmpl w:val="5D365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5C3F5D"/>
    <w:multiLevelType w:val="hybridMultilevel"/>
    <w:tmpl w:val="0C5E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8D31AE"/>
    <w:multiLevelType w:val="hybridMultilevel"/>
    <w:tmpl w:val="3164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BA5144"/>
    <w:multiLevelType w:val="hybridMultilevel"/>
    <w:tmpl w:val="BCD844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221F2C"/>
    <w:multiLevelType w:val="hybridMultilevel"/>
    <w:tmpl w:val="228CDDF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51" w15:restartNumberingAfterBreak="0">
    <w:nsid w:val="3AFA54CB"/>
    <w:multiLevelType w:val="hybridMultilevel"/>
    <w:tmpl w:val="89EC8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976226"/>
    <w:multiLevelType w:val="hybridMultilevel"/>
    <w:tmpl w:val="3F8E7F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3F0452"/>
    <w:multiLevelType w:val="multilevel"/>
    <w:tmpl w:val="86D04CDE"/>
    <w:numStyleLink w:val="bullet1Garamond"/>
  </w:abstractNum>
  <w:abstractNum w:abstractNumId="54" w15:restartNumberingAfterBreak="0">
    <w:nsid w:val="3E1571C6"/>
    <w:multiLevelType w:val="hybridMultilevel"/>
    <w:tmpl w:val="1FCEA280"/>
    <w:lvl w:ilvl="0" w:tplc="EE3C258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633734"/>
    <w:multiLevelType w:val="hybridMultilevel"/>
    <w:tmpl w:val="0F0EE72C"/>
    <w:lvl w:ilvl="0" w:tplc="42B0CD0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178569D"/>
    <w:multiLevelType w:val="hybridMultilevel"/>
    <w:tmpl w:val="CD5E0D9A"/>
    <w:lvl w:ilvl="0" w:tplc="E8B2785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8A10DA"/>
    <w:multiLevelType w:val="hybridMultilevel"/>
    <w:tmpl w:val="44783E0A"/>
    <w:lvl w:ilvl="0" w:tplc="78CA3E64">
      <w:start w:val="1"/>
      <w:numFmt w:val="bullet"/>
      <w:lvlText w:val="•"/>
      <w:lvlJc w:val="left"/>
      <w:pPr>
        <w:tabs>
          <w:tab w:val="num" w:pos="720"/>
        </w:tabs>
        <w:ind w:left="720" w:hanging="360"/>
      </w:pPr>
      <w:rPr>
        <w:rFonts w:ascii="Arial" w:hAnsi="Arial" w:hint="default"/>
      </w:rPr>
    </w:lvl>
    <w:lvl w:ilvl="1" w:tplc="04B4BEC8" w:tentative="1">
      <w:start w:val="1"/>
      <w:numFmt w:val="bullet"/>
      <w:lvlText w:val="•"/>
      <w:lvlJc w:val="left"/>
      <w:pPr>
        <w:tabs>
          <w:tab w:val="num" w:pos="1440"/>
        </w:tabs>
        <w:ind w:left="1440" w:hanging="360"/>
      </w:pPr>
      <w:rPr>
        <w:rFonts w:ascii="Arial" w:hAnsi="Arial" w:hint="default"/>
      </w:rPr>
    </w:lvl>
    <w:lvl w:ilvl="2" w:tplc="767A8B0C" w:tentative="1">
      <w:start w:val="1"/>
      <w:numFmt w:val="bullet"/>
      <w:lvlText w:val="•"/>
      <w:lvlJc w:val="left"/>
      <w:pPr>
        <w:tabs>
          <w:tab w:val="num" w:pos="2160"/>
        </w:tabs>
        <w:ind w:left="2160" w:hanging="360"/>
      </w:pPr>
      <w:rPr>
        <w:rFonts w:ascii="Arial" w:hAnsi="Arial" w:hint="default"/>
      </w:rPr>
    </w:lvl>
    <w:lvl w:ilvl="3" w:tplc="D46609F2" w:tentative="1">
      <w:start w:val="1"/>
      <w:numFmt w:val="bullet"/>
      <w:lvlText w:val="•"/>
      <w:lvlJc w:val="left"/>
      <w:pPr>
        <w:tabs>
          <w:tab w:val="num" w:pos="2880"/>
        </w:tabs>
        <w:ind w:left="2880" w:hanging="360"/>
      </w:pPr>
      <w:rPr>
        <w:rFonts w:ascii="Arial" w:hAnsi="Arial" w:hint="default"/>
      </w:rPr>
    </w:lvl>
    <w:lvl w:ilvl="4" w:tplc="FB929E9E" w:tentative="1">
      <w:start w:val="1"/>
      <w:numFmt w:val="bullet"/>
      <w:lvlText w:val="•"/>
      <w:lvlJc w:val="left"/>
      <w:pPr>
        <w:tabs>
          <w:tab w:val="num" w:pos="3600"/>
        </w:tabs>
        <w:ind w:left="3600" w:hanging="360"/>
      </w:pPr>
      <w:rPr>
        <w:rFonts w:ascii="Arial" w:hAnsi="Arial" w:hint="default"/>
      </w:rPr>
    </w:lvl>
    <w:lvl w:ilvl="5" w:tplc="C100B522" w:tentative="1">
      <w:start w:val="1"/>
      <w:numFmt w:val="bullet"/>
      <w:lvlText w:val="•"/>
      <w:lvlJc w:val="left"/>
      <w:pPr>
        <w:tabs>
          <w:tab w:val="num" w:pos="4320"/>
        </w:tabs>
        <w:ind w:left="4320" w:hanging="360"/>
      </w:pPr>
      <w:rPr>
        <w:rFonts w:ascii="Arial" w:hAnsi="Arial" w:hint="default"/>
      </w:rPr>
    </w:lvl>
    <w:lvl w:ilvl="6" w:tplc="75BADB8C" w:tentative="1">
      <w:start w:val="1"/>
      <w:numFmt w:val="bullet"/>
      <w:lvlText w:val="•"/>
      <w:lvlJc w:val="left"/>
      <w:pPr>
        <w:tabs>
          <w:tab w:val="num" w:pos="5040"/>
        </w:tabs>
        <w:ind w:left="5040" w:hanging="360"/>
      </w:pPr>
      <w:rPr>
        <w:rFonts w:ascii="Arial" w:hAnsi="Arial" w:hint="default"/>
      </w:rPr>
    </w:lvl>
    <w:lvl w:ilvl="7" w:tplc="378A12E0" w:tentative="1">
      <w:start w:val="1"/>
      <w:numFmt w:val="bullet"/>
      <w:lvlText w:val="•"/>
      <w:lvlJc w:val="left"/>
      <w:pPr>
        <w:tabs>
          <w:tab w:val="num" w:pos="5760"/>
        </w:tabs>
        <w:ind w:left="5760" w:hanging="360"/>
      </w:pPr>
      <w:rPr>
        <w:rFonts w:ascii="Arial" w:hAnsi="Arial" w:hint="default"/>
      </w:rPr>
    </w:lvl>
    <w:lvl w:ilvl="8" w:tplc="80D0525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2D065AB"/>
    <w:multiLevelType w:val="hybridMultilevel"/>
    <w:tmpl w:val="57F4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C942EF"/>
    <w:multiLevelType w:val="hybridMultilevel"/>
    <w:tmpl w:val="F8D8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1A42D9"/>
    <w:multiLevelType w:val="hybridMultilevel"/>
    <w:tmpl w:val="8358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977CD7"/>
    <w:multiLevelType w:val="hybridMultilevel"/>
    <w:tmpl w:val="4B3EF976"/>
    <w:lvl w:ilvl="0" w:tplc="F07EBB5C">
      <w:start w:val="1"/>
      <w:numFmt w:val="bullet"/>
      <w:lvlText w:val=""/>
      <w:lvlJc w:val="left"/>
      <w:pPr>
        <w:ind w:left="1020" w:hanging="360"/>
      </w:pPr>
      <w:rPr>
        <w:rFonts w:ascii="Wingdings" w:hAnsi="Wingdings" w:hint="default"/>
        <w:spacing w:val="0"/>
        <w:position w:val="0"/>
        <w:sz w:val="20"/>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62"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A274AC"/>
    <w:multiLevelType w:val="hybridMultilevel"/>
    <w:tmpl w:val="1B1660E6"/>
    <w:lvl w:ilvl="0" w:tplc="72DA8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AC64E3"/>
    <w:multiLevelType w:val="hybridMultilevel"/>
    <w:tmpl w:val="43A8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C53C06"/>
    <w:multiLevelType w:val="hybridMultilevel"/>
    <w:tmpl w:val="1F4CFC4A"/>
    <w:lvl w:ilvl="0" w:tplc="433244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E543F3"/>
    <w:multiLevelType w:val="hybridMultilevel"/>
    <w:tmpl w:val="EE6A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5511F0"/>
    <w:multiLevelType w:val="hybridMultilevel"/>
    <w:tmpl w:val="A6B05B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D42240D"/>
    <w:multiLevelType w:val="hybridMultilevel"/>
    <w:tmpl w:val="95B4A0D8"/>
    <w:lvl w:ilvl="0" w:tplc="E8B2785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647C98"/>
    <w:multiLevelType w:val="hybridMultilevel"/>
    <w:tmpl w:val="3042B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1753A97"/>
    <w:multiLevelType w:val="hybridMultilevel"/>
    <w:tmpl w:val="5CBAE1A2"/>
    <w:lvl w:ilvl="0" w:tplc="D7961692">
      <w:start w:val="5"/>
      <w:numFmt w:val="bullet"/>
      <w:lvlText w:val="-"/>
      <w:lvlJc w:val="left"/>
      <w:pPr>
        <w:ind w:left="2160" w:hanging="360"/>
      </w:pPr>
      <w:rPr>
        <w:rFonts w:ascii="Calibri" w:eastAsiaTheme="minorHAns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53286D1C"/>
    <w:multiLevelType w:val="hybridMultilevel"/>
    <w:tmpl w:val="18F00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9659DA"/>
    <w:multiLevelType w:val="hybridMultilevel"/>
    <w:tmpl w:val="92A0A188"/>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DA4496"/>
    <w:multiLevelType w:val="hybridMultilevel"/>
    <w:tmpl w:val="5C24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7B7800"/>
    <w:multiLevelType w:val="hybridMultilevel"/>
    <w:tmpl w:val="284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E8333A"/>
    <w:multiLevelType w:val="hybridMultilevel"/>
    <w:tmpl w:val="34F4CB2A"/>
    <w:lvl w:ilvl="0" w:tplc="356E3262">
      <w:start w:val="1"/>
      <w:numFmt w:val="upperLetter"/>
      <w:lvlText w:val="%1."/>
      <w:lvlJc w:val="left"/>
      <w:pPr>
        <w:ind w:left="720" w:hanging="360"/>
      </w:pPr>
      <w:rPr>
        <w:rFonts w:ascii="Arial Narrow" w:hAnsi="Arial Narrow"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3F5741"/>
    <w:multiLevelType w:val="hybridMultilevel"/>
    <w:tmpl w:val="36D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C320E3"/>
    <w:multiLevelType w:val="hybridMultilevel"/>
    <w:tmpl w:val="92181FF2"/>
    <w:lvl w:ilvl="0" w:tplc="7572251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531E1D"/>
    <w:multiLevelType w:val="hybridMultilevel"/>
    <w:tmpl w:val="F9A260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9021E9"/>
    <w:multiLevelType w:val="hybridMultilevel"/>
    <w:tmpl w:val="16784738"/>
    <w:lvl w:ilvl="0" w:tplc="F24AA0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7D204E"/>
    <w:multiLevelType w:val="hybridMultilevel"/>
    <w:tmpl w:val="A678E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F45DF3"/>
    <w:multiLevelType w:val="hybridMultilevel"/>
    <w:tmpl w:val="FBB4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5B1E67"/>
    <w:multiLevelType w:val="hybridMultilevel"/>
    <w:tmpl w:val="F5043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984AE1"/>
    <w:multiLevelType w:val="hybridMultilevel"/>
    <w:tmpl w:val="A39C0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BF34FE"/>
    <w:multiLevelType w:val="hybridMultilevel"/>
    <w:tmpl w:val="725EF224"/>
    <w:lvl w:ilvl="0" w:tplc="E50C9B1C">
      <w:start w:val="1"/>
      <w:numFmt w:val="bullet"/>
      <w:lvlText w:val="•"/>
      <w:lvlJc w:val="left"/>
      <w:pPr>
        <w:tabs>
          <w:tab w:val="num" w:pos="720"/>
        </w:tabs>
        <w:ind w:left="720" w:hanging="360"/>
      </w:pPr>
      <w:rPr>
        <w:rFonts w:ascii="Arial" w:hAnsi="Arial" w:hint="default"/>
      </w:rPr>
    </w:lvl>
    <w:lvl w:ilvl="1" w:tplc="0B1EFCA8" w:tentative="1">
      <w:start w:val="1"/>
      <w:numFmt w:val="bullet"/>
      <w:lvlText w:val="•"/>
      <w:lvlJc w:val="left"/>
      <w:pPr>
        <w:tabs>
          <w:tab w:val="num" w:pos="1440"/>
        </w:tabs>
        <w:ind w:left="1440" w:hanging="360"/>
      </w:pPr>
      <w:rPr>
        <w:rFonts w:ascii="Arial" w:hAnsi="Arial" w:hint="default"/>
      </w:rPr>
    </w:lvl>
    <w:lvl w:ilvl="2" w:tplc="4342C49C" w:tentative="1">
      <w:start w:val="1"/>
      <w:numFmt w:val="bullet"/>
      <w:lvlText w:val="•"/>
      <w:lvlJc w:val="left"/>
      <w:pPr>
        <w:tabs>
          <w:tab w:val="num" w:pos="2160"/>
        </w:tabs>
        <w:ind w:left="2160" w:hanging="360"/>
      </w:pPr>
      <w:rPr>
        <w:rFonts w:ascii="Arial" w:hAnsi="Arial" w:hint="default"/>
      </w:rPr>
    </w:lvl>
    <w:lvl w:ilvl="3" w:tplc="3B464822" w:tentative="1">
      <w:start w:val="1"/>
      <w:numFmt w:val="bullet"/>
      <w:lvlText w:val="•"/>
      <w:lvlJc w:val="left"/>
      <w:pPr>
        <w:tabs>
          <w:tab w:val="num" w:pos="2880"/>
        </w:tabs>
        <w:ind w:left="2880" w:hanging="360"/>
      </w:pPr>
      <w:rPr>
        <w:rFonts w:ascii="Arial" w:hAnsi="Arial" w:hint="default"/>
      </w:rPr>
    </w:lvl>
    <w:lvl w:ilvl="4" w:tplc="B48ABB5A" w:tentative="1">
      <w:start w:val="1"/>
      <w:numFmt w:val="bullet"/>
      <w:lvlText w:val="•"/>
      <w:lvlJc w:val="left"/>
      <w:pPr>
        <w:tabs>
          <w:tab w:val="num" w:pos="3600"/>
        </w:tabs>
        <w:ind w:left="3600" w:hanging="360"/>
      </w:pPr>
      <w:rPr>
        <w:rFonts w:ascii="Arial" w:hAnsi="Arial" w:hint="default"/>
      </w:rPr>
    </w:lvl>
    <w:lvl w:ilvl="5" w:tplc="2168EB7E" w:tentative="1">
      <w:start w:val="1"/>
      <w:numFmt w:val="bullet"/>
      <w:lvlText w:val="•"/>
      <w:lvlJc w:val="left"/>
      <w:pPr>
        <w:tabs>
          <w:tab w:val="num" w:pos="4320"/>
        </w:tabs>
        <w:ind w:left="4320" w:hanging="360"/>
      </w:pPr>
      <w:rPr>
        <w:rFonts w:ascii="Arial" w:hAnsi="Arial" w:hint="default"/>
      </w:rPr>
    </w:lvl>
    <w:lvl w:ilvl="6" w:tplc="DABCF100" w:tentative="1">
      <w:start w:val="1"/>
      <w:numFmt w:val="bullet"/>
      <w:lvlText w:val="•"/>
      <w:lvlJc w:val="left"/>
      <w:pPr>
        <w:tabs>
          <w:tab w:val="num" w:pos="5040"/>
        </w:tabs>
        <w:ind w:left="5040" w:hanging="360"/>
      </w:pPr>
      <w:rPr>
        <w:rFonts w:ascii="Arial" w:hAnsi="Arial" w:hint="default"/>
      </w:rPr>
    </w:lvl>
    <w:lvl w:ilvl="7" w:tplc="34E2119A" w:tentative="1">
      <w:start w:val="1"/>
      <w:numFmt w:val="bullet"/>
      <w:lvlText w:val="•"/>
      <w:lvlJc w:val="left"/>
      <w:pPr>
        <w:tabs>
          <w:tab w:val="num" w:pos="5760"/>
        </w:tabs>
        <w:ind w:left="5760" w:hanging="360"/>
      </w:pPr>
      <w:rPr>
        <w:rFonts w:ascii="Arial" w:hAnsi="Arial" w:hint="default"/>
      </w:rPr>
    </w:lvl>
    <w:lvl w:ilvl="8" w:tplc="A89A8E70"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57F183B"/>
    <w:multiLevelType w:val="hybridMultilevel"/>
    <w:tmpl w:val="D97AC110"/>
    <w:lvl w:ilvl="0" w:tplc="389E8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19296B"/>
    <w:multiLevelType w:val="multilevel"/>
    <w:tmpl w:val="CDE68F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HAnsi" w:hint="default"/>
      </w:rPr>
    </w:lvl>
    <w:lvl w:ilvl="2">
      <w:start w:val="1"/>
      <w:numFmt w:val="upperLetter"/>
      <w:lvlText w:val="%3."/>
      <w:lvlJc w:val="left"/>
      <w:pPr>
        <w:ind w:left="2160" w:hanging="360"/>
      </w:pPr>
      <w:rPr>
        <w:rFonts w:ascii="Arial Narrow" w:hAnsi="Arial Narrow" w:cs="Times New Roman" w:hint="default"/>
        <w:sz w:val="20"/>
      </w:rPr>
    </w:lvl>
    <w:lvl w:ilvl="3">
      <w:start w:val="3"/>
      <w:numFmt w:val="upperLetter"/>
      <w:lvlText w:val="%4&gt;"/>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F708B9"/>
    <w:multiLevelType w:val="hybridMultilevel"/>
    <w:tmpl w:val="A01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A50FEB"/>
    <w:multiLevelType w:val="hybridMultilevel"/>
    <w:tmpl w:val="B3E268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186430"/>
    <w:multiLevelType w:val="hybridMultilevel"/>
    <w:tmpl w:val="9FAAAE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1" w15:restartNumberingAfterBreak="0">
    <w:nsid w:val="6E7F558C"/>
    <w:multiLevelType w:val="hybridMultilevel"/>
    <w:tmpl w:val="2D1AA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EB563D2"/>
    <w:multiLevelType w:val="hybridMultilevel"/>
    <w:tmpl w:val="EF6A6BB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8D100F"/>
    <w:multiLevelType w:val="hybridMultilevel"/>
    <w:tmpl w:val="72466930"/>
    <w:lvl w:ilvl="0" w:tplc="4FF26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F4102C"/>
    <w:multiLevelType w:val="hybridMultilevel"/>
    <w:tmpl w:val="5D24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505D8E"/>
    <w:multiLevelType w:val="hybridMultilevel"/>
    <w:tmpl w:val="C60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27E80"/>
    <w:multiLevelType w:val="hybridMultilevel"/>
    <w:tmpl w:val="B600D4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5746D8"/>
    <w:multiLevelType w:val="hybridMultilevel"/>
    <w:tmpl w:val="175EE4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EB3FAB"/>
    <w:multiLevelType w:val="hybridMultilevel"/>
    <w:tmpl w:val="755C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74196A"/>
    <w:multiLevelType w:val="hybridMultilevel"/>
    <w:tmpl w:val="69DCAD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0E4B0B"/>
    <w:multiLevelType w:val="multilevel"/>
    <w:tmpl w:val="CDE68F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HAnsi" w:hint="default"/>
      </w:rPr>
    </w:lvl>
    <w:lvl w:ilvl="2">
      <w:start w:val="1"/>
      <w:numFmt w:val="upperLetter"/>
      <w:lvlText w:val="%3."/>
      <w:lvlJc w:val="left"/>
      <w:pPr>
        <w:ind w:left="2160" w:hanging="360"/>
      </w:pPr>
      <w:rPr>
        <w:rFonts w:ascii="Arial Narrow" w:hAnsi="Arial Narrow" w:cs="Times New Roman" w:hint="default"/>
        <w:sz w:val="20"/>
      </w:rPr>
    </w:lvl>
    <w:lvl w:ilvl="3">
      <w:start w:val="3"/>
      <w:numFmt w:val="upperLetter"/>
      <w:lvlText w:val="%4&gt;"/>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E820C72"/>
    <w:multiLevelType w:val="hybridMultilevel"/>
    <w:tmpl w:val="2F16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8C165C"/>
    <w:multiLevelType w:val="hybridMultilevel"/>
    <w:tmpl w:val="E82443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F081E36"/>
    <w:multiLevelType w:val="hybridMultilevel"/>
    <w:tmpl w:val="7C20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27"/>
  </w:num>
  <w:num w:numId="6">
    <w:abstractNumId w:val="30"/>
  </w:num>
  <w:num w:numId="7">
    <w:abstractNumId w:val="89"/>
  </w:num>
  <w:num w:numId="8">
    <w:abstractNumId w:val="14"/>
  </w:num>
  <w:num w:numId="9">
    <w:abstractNumId w:val="60"/>
  </w:num>
  <w:num w:numId="10">
    <w:abstractNumId w:val="10"/>
  </w:num>
  <w:num w:numId="11">
    <w:abstractNumId w:val="84"/>
  </w:num>
  <w:num w:numId="12">
    <w:abstractNumId w:val="57"/>
  </w:num>
  <w:num w:numId="13">
    <w:abstractNumId w:val="15"/>
  </w:num>
  <w:num w:numId="14">
    <w:abstractNumId w:val="36"/>
  </w:num>
  <w:num w:numId="15">
    <w:abstractNumId w:val="58"/>
  </w:num>
  <w:num w:numId="16">
    <w:abstractNumId w:val="61"/>
  </w:num>
  <w:num w:numId="17">
    <w:abstractNumId w:val="8"/>
  </w:num>
  <w:num w:numId="18">
    <w:abstractNumId w:val="81"/>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2"/>
  </w:num>
  <w:num w:numId="22">
    <w:abstractNumId w:val="72"/>
  </w:num>
  <w:num w:numId="23">
    <w:abstractNumId w:val="93"/>
  </w:num>
  <w:num w:numId="24">
    <w:abstractNumId w:val="80"/>
  </w:num>
  <w:num w:numId="25">
    <w:abstractNumId w:val="8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5"/>
  </w:num>
  <w:num w:numId="29">
    <w:abstractNumId w:val="98"/>
  </w:num>
  <w:num w:numId="30">
    <w:abstractNumId w:val="50"/>
  </w:num>
  <w:num w:numId="31">
    <w:abstractNumId w:val="77"/>
  </w:num>
  <w:num w:numId="32">
    <w:abstractNumId w:val="79"/>
  </w:num>
  <w:num w:numId="33">
    <w:abstractNumId w:val="12"/>
  </w:num>
  <w:num w:numId="34">
    <w:abstractNumId w:val="53"/>
  </w:num>
  <w:num w:numId="35">
    <w:abstractNumId w:val="78"/>
  </w:num>
  <w:num w:numId="36">
    <w:abstractNumId w:val="63"/>
  </w:num>
  <w:num w:numId="37">
    <w:abstractNumId w:val="70"/>
  </w:num>
  <w:num w:numId="38">
    <w:abstractNumId w:val="5"/>
  </w:num>
  <w:num w:numId="39">
    <w:abstractNumId w:val="99"/>
  </w:num>
  <w:num w:numId="40">
    <w:abstractNumId w:val="74"/>
  </w:num>
  <w:num w:numId="41">
    <w:abstractNumId w:val="46"/>
  </w:num>
  <w:num w:numId="42">
    <w:abstractNumId w:val="97"/>
  </w:num>
  <w:num w:numId="43">
    <w:abstractNumId w:val="26"/>
  </w:num>
  <w:num w:numId="44">
    <w:abstractNumId w:val="29"/>
  </w:num>
  <w:num w:numId="45">
    <w:abstractNumId w:val="35"/>
  </w:num>
  <w:num w:numId="46">
    <w:abstractNumId w:val="56"/>
  </w:num>
  <w:num w:numId="47">
    <w:abstractNumId w:val="25"/>
  </w:num>
  <w:num w:numId="48">
    <w:abstractNumId w:val="43"/>
  </w:num>
  <w:num w:numId="49">
    <w:abstractNumId w:val="68"/>
  </w:num>
  <w:num w:numId="50">
    <w:abstractNumId w:val="85"/>
  </w:num>
  <w:num w:numId="51">
    <w:abstractNumId w:val="48"/>
  </w:num>
  <w:num w:numId="52">
    <w:abstractNumId w:val="76"/>
  </w:num>
  <w:num w:numId="53">
    <w:abstractNumId w:val="40"/>
  </w:num>
  <w:num w:numId="54">
    <w:abstractNumId w:val="102"/>
  </w:num>
  <w:num w:numId="55">
    <w:abstractNumId w:val="47"/>
  </w:num>
  <w:num w:numId="56">
    <w:abstractNumId w:val="73"/>
  </w:num>
  <w:num w:numId="57">
    <w:abstractNumId w:val="91"/>
  </w:num>
  <w:num w:numId="58">
    <w:abstractNumId w:val="3"/>
  </w:num>
  <w:num w:numId="59">
    <w:abstractNumId w:val="33"/>
  </w:num>
  <w:num w:numId="60">
    <w:abstractNumId w:val="23"/>
  </w:num>
  <w:num w:numId="61">
    <w:abstractNumId w:val="39"/>
  </w:num>
  <w:num w:numId="62">
    <w:abstractNumId w:val="55"/>
  </w:num>
  <w:num w:numId="63">
    <w:abstractNumId w:val="59"/>
  </w:num>
  <w:num w:numId="64">
    <w:abstractNumId w:val="11"/>
  </w:num>
  <w:num w:numId="65">
    <w:abstractNumId w:val="75"/>
  </w:num>
  <w:num w:numId="66">
    <w:abstractNumId w:val="51"/>
  </w:num>
  <w:num w:numId="67">
    <w:abstractNumId w:val="86"/>
  </w:num>
  <w:num w:numId="68">
    <w:abstractNumId w:val="49"/>
  </w:num>
  <w:num w:numId="69">
    <w:abstractNumId w:val="101"/>
  </w:num>
  <w:num w:numId="70">
    <w:abstractNumId w:val="104"/>
  </w:num>
  <w:num w:numId="71">
    <w:abstractNumId w:val="66"/>
  </w:num>
  <w:num w:numId="72">
    <w:abstractNumId w:val="22"/>
  </w:num>
  <w:num w:numId="73">
    <w:abstractNumId w:val="64"/>
  </w:num>
  <w:num w:numId="74">
    <w:abstractNumId w:val="94"/>
  </w:num>
  <w:num w:numId="75">
    <w:abstractNumId w:val="92"/>
  </w:num>
  <w:num w:numId="76">
    <w:abstractNumId w:val="31"/>
  </w:num>
  <w:num w:numId="77">
    <w:abstractNumId w:val="37"/>
  </w:num>
  <w:num w:numId="78">
    <w:abstractNumId w:val="6"/>
  </w:num>
  <w:num w:numId="79">
    <w:abstractNumId w:val="16"/>
  </w:num>
  <w:num w:numId="80">
    <w:abstractNumId w:val="19"/>
  </w:num>
  <w:num w:numId="81">
    <w:abstractNumId w:val="21"/>
  </w:num>
  <w:num w:numId="82">
    <w:abstractNumId w:val="45"/>
  </w:num>
  <w:num w:numId="83">
    <w:abstractNumId w:val="67"/>
  </w:num>
  <w:num w:numId="84">
    <w:abstractNumId w:val="65"/>
  </w:num>
  <w:num w:numId="85">
    <w:abstractNumId w:val="20"/>
  </w:num>
  <w:num w:numId="86">
    <w:abstractNumId w:val="83"/>
  </w:num>
  <w:num w:numId="87">
    <w:abstractNumId w:val="41"/>
  </w:num>
  <w:num w:numId="88">
    <w:abstractNumId w:val="34"/>
  </w:num>
  <w:num w:numId="89">
    <w:abstractNumId w:val="88"/>
  </w:num>
  <w:num w:numId="90">
    <w:abstractNumId w:val="38"/>
  </w:num>
  <w:num w:numId="91">
    <w:abstractNumId w:val="52"/>
  </w:num>
  <w:num w:numId="92">
    <w:abstractNumId w:val="24"/>
  </w:num>
  <w:num w:numId="93">
    <w:abstractNumId w:val="13"/>
  </w:num>
  <w:num w:numId="94">
    <w:abstractNumId w:val="18"/>
  </w:num>
  <w:num w:numId="95">
    <w:abstractNumId w:val="42"/>
  </w:num>
  <w:num w:numId="96">
    <w:abstractNumId w:val="9"/>
  </w:num>
  <w:num w:numId="97">
    <w:abstractNumId w:val="71"/>
  </w:num>
  <w:num w:numId="98">
    <w:abstractNumId w:val="96"/>
  </w:num>
  <w:num w:numId="99">
    <w:abstractNumId w:val="100"/>
  </w:num>
  <w:num w:numId="100">
    <w:abstractNumId w:val="82"/>
  </w:num>
  <w:num w:numId="101">
    <w:abstractNumId w:val="103"/>
  </w:num>
  <w:num w:numId="102">
    <w:abstractNumId w:val="69"/>
  </w:num>
  <w:num w:numId="103">
    <w:abstractNumId w:val="54"/>
  </w:num>
  <w:num w:numId="104">
    <w:abstractNumId w:val="62"/>
  </w:num>
  <w:num w:numId="105">
    <w:abstractNumId w:val="7"/>
  </w:num>
  <w:num w:numId="106">
    <w:abstractNumId w:val="4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08"/>
    <w:rsid w:val="00000035"/>
    <w:rsid w:val="0000127A"/>
    <w:rsid w:val="000046DE"/>
    <w:rsid w:val="00004DBF"/>
    <w:rsid w:val="0000711B"/>
    <w:rsid w:val="000108F7"/>
    <w:rsid w:val="00011B78"/>
    <w:rsid w:val="00011D96"/>
    <w:rsid w:val="00012B60"/>
    <w:rsid w:val="00014163"/>
    <w:rsid w:val="000149BC"/>
    <w:rsid w:val="00014DFC"/>
    <w:rsid w:val="00015EAA"/>
    <w:rsid w:val="0001706B"/>
    <w:rsid w:val="00017410"/>
    <w:rsid w:val="00020BA1"/>
    <w:rsid w:val="0002148A"/>
    <w:rsid w:val="000223C5"/>
    <w:rsid w:val="00025168"/>
    <w:rsid w:val="00026E10"/>
    <w:rsid w:val="0002763A"/>
    <w:rsid w:val="00027D10"/>
    <w:rsid w:val="00027E75"/>
    <w:rsid w:val="0003016E"/>
    <w:rsid w:val="00030320"/>
    <w:rsid w:val="000306DE"/>
    <w:rsid w:val="0003113B"/>
    <w:rsid w:val="0003186C"/>
    <w:rsid w:val="000318E7"/>
    <w:rsid w:val="00032D74"/>
    <w:rsid w:val="00032D7F"/>
    <w:rsid w:val="00034B82"/>
    <w:rsid w:val="000352F7"/>
    <w:rsid w:val="00036022"/>
    <w:rsid w:val="000375C2"/>
    <w:rsid w:val="000376C2"/>
    <w:rsid w:val="00040ADA"/>
    <w:rsid w:val="00041072"/>
    <w:rsid w:val="00043277"/>
    <w:rsid w:val="000436B0"/>
    <w:rsid w:val="000439E1"/>
    <w:rsid w:val="000440CD"/>
    <w:rsid w:val="000448C6"/>
    <w:rsid w:val="00044DBB"/>
    <w:rsid w:val="00045A39"/>
    <w:rsid w:val="0004602C"/>
    <w:rsid w:val="000466AF"/>
    <w:rsid w:val="000466CD"/>
    <w:rsid w:val="00046A7A"/>
    <w:rsid w:val="00047DCC"/>
    <w:rsid w:val="0005115D"/>
    <w:rsid w:val="00051362"/>
    <w:rsid w:val="00053866"/>
    <w:rsid w:val="00053E85"/>
    <w:rsid w:val="00054F56"/>
    <w:rsid w:val="00055248"/>
    <w:rsid w:val="000563C6"/>
    <w:rsid w:val="00056589"/>
    <w:rsid w:val="00057571"/>
    <w:rsid w:val="00057C93"/>
    <w:rsid w:val="00060800"/>
    <w:rsid w:val="00061060"/>
    <w:rsid w:val="00061C3F"/>
    <w:rsid w:val="00062FB2"/>
    <w:rsid w:val="00063730"/>
    <w:rsid w:val="00064A0B"/>
    <w:rsid w:val="00064A9D"/>
    <w:rsid w:val="00065790"/>
    <w:rsid w:val="00065AD6"/>
    <w:rsid w:val="00067BC6"/>
    <w:rsid w:val="0007054E"/>
    <w:rsid w:val="00070B67"/>
    <w:rsid w:val="00071391"/>
    <w:rsid w:val="000714E2"/>
    <w:rsid w:val="00071AAB"/>
    <w:rsid w:val="00072C68"/>
    <w:rsid w:val="00072DFB"/>
    <w:rsid w:val="00073819"/>
    <w:rsid w:val="00074319"/>
    <w:rsid w:val="0007456E"/>
    <w:rsid w:val="000746E2"/>
    <w:rsid w:val="00075BB2"/>
    <w:rsid w:val="00077011"/>
    <w:rsid w:val="0008115B"/>
    <w:rsid w:val="00082335"/>
    <w:rsid w:val="00086956"/>
    <w:rsid w:val="00087873"/>
    <w:rsid w:val="000902A7"/>
    <w:rsid w:val="00092418"/>
    <w:rsid w:val="000925A6"/>
    <w:rsid w:val="00093E8F"/>
    <w:rsid w:val="00094619"/>
    <w:rsid w:val="000A126C"/>
    <w:rsid w:val="000A1318"/>
    <w:rsid w:val="000A221C"/>
    <w:rsid w:val="000A22BE"/>
    <w:rsid w:val="000A22F4"/>
    <w:rsid w:val="000A2785"/>
    <w:rsid w:val="000A3D76"/>
    <w:rsid w:val="000A4832"/>
    <w:rsid w:val="000A5725"/>
    <w:rsid w:val="000A5BF2"/>
    <w:rsid w:val="000A5D14"/>
    <w:rsid w:val="000B198A"/>
    <w:rsid w:val="000B1ACF"/>
    <w:rsid w:val="000B24F6"/>
    <w:rsid w:val="000B36C9"/>
    <w:rsid w:val="000B4430"/>
    <w:rsid w:val="000B46D1"/>
    <w:rsid w:val="000B4B5D"/>
    <w:rsid w:val="000B6A14"/>
    <w:rsid w:val="000B7268"/>
    <w:rsid w:val="000C1A4C"/>
    <w:rsid w:val="000C505C"/>
    <w:rsid w:val="000C6419"/>
    <w:rsid w:val="000C654E"/>
    <w:rsid w:val="000C6E6A"/>
    <w:rsid w:val="000C77E9"/>
    <w:rsid w:val="000C7FBE"/>
    <w:rsid w:val="000D025A"/>
    <w:rsid w:val="000D0775"/>
    <w:rsid w:val="000D0A87"/>
    <w:rsid w:val="000D22EE"/>
    <w:rsid w:val="000D4737"/>
    <w:rsid w:val="000D4952"/>
    <w:rsid w:val="000D5430"/>
    <w:rsid w:val="000D56DF"/>
    <w:rsid w:val="000D6F71"/>
    <w:rsid w:val="000D7524"/>
    <w:rsid w:val="000D7A0A"/>
    <w:rsid w:val="000E2645"/>
    <w:rsid w:val="000E28D6"/>
    <w:rsid w:val="000E30C4"/>
    <w:rsid w:val="000E353D"/>
    <w:rsid w:val="000E3CE0"/>
    <w:rsid w:val="000E43CB"/>
    <w:rsid w:val="000E552E"/>
    <w:rsid w:val="000E7DAC"/>
    <w:rsid w:val="000F19FF"/>
    <w:rsid w:val="000F2F38"/>
    <w:rsid w:val="000F3344"/>
    <w:rsid w:val="000F3601"/>
    <w:rsid w:val="000F45B7"/>
    <w:rsid w:val="000F73A3"/>
    <w:rsid w:val="00100B7D"/>
    <w:rsid w:val="00100DDD"/>
    <w:rsid w:val="00101852"/>
    <w:rsid w:val="00101FAE"/>
    <w:rsid w:val="00104195"/>
    <w:rsid w:val="0010434F"/>
    <w:rsid w:val="00104427"/>
    <w:rsid w:val="001061A3"/>
    <w:rsid w:val="00106A3E"/>
    <w:rsid w:val="001077F9"/>
    <w:rsid w:val="00110A12"/>
    <w:rsid w:val="001110D2"/>
    <w:rsid w:val="00112712"/>
    <w:rsid w:val="00112743"/>
    <w:rsid w:val="00114BD2"/>
    <w:rsid w:val="001157F4"/>
    <w:rsid w:val="00115CE3"/>
    <w:rsid w:val="0011772E"/>
    <w:rsid w:val="00117D85"/>
    <w:rsid w:val="00120FD0"/>
    <w:rsid w:val="001212DB"/>
    <w:rsid w:val="00121C42"/>
    <w:rsid w:val="00122254"/>
    <w:rsid w:val="001264F7"/>
    <w:rsid w:val="00126D1A"/>
    <w:rsid w:val="001306A2"/>
    <w:rsid w:val="00132293"/>
    <w:rsid w:val="001325FB"/>
    <w:rsid w:val="001331C7"/>
    <w:rsid w:val="001355C7"/>
    <w:rsid w:val="00135853"/>
    <w:rsid w:val="00135CF9"/>
    <w:rsid w:val="00136E96"/>
    <w:rsid w:val="00137081"/>
    <w:rsid w:val="00137402"/>
    <w:rsid w:val="00142157"/>
    <w:rsid w:val="00142539"/>
    <w:rsid w:val="00142EBD"/>
    <w:rsid w:val="001435B6"/>
    <w:rsid w:val="001450B6"/>
    <w:rsid w:val="00145A1B"/>
    <w:rsid w:val="001500CD"/>
    <w:rsid w:val="0015098F"/>
    <w:rsid w:val="00151383"/>
    <w:rsid w:val="001513DD"/>
    <w:rsid w:val="00151423"/>
    <w:rsid w:val="001529AB"/>
    <w:rsid w:val="001533F2"/>
    <w:rsid w:val="00155D2D"/>
    <w:rsid w:val="001562A7"/>
    <w:rsid w:val="001571C5"/>
    <w:rsid w:val="00160469"/>
    <w:rsid w:val="001608A6"/>
    <w:rsid w:val="001626A6"/>
    <w:rsid w:val="00162CB7"/>
    <w:rsid w:val="00164B00"/>
    <w:rsid w:val="001657CB"/>
    <w:rsid w:val="001662F0"/>
    <w:rsid w:val="00166896"/>
    <w:rsid w:val="00167A4D"/>
    <w:rsid w:val="0017007E"/>
    <w:rsid w:val="00173578"/>
    <w:rsid w:val="00173BBE"/>
    <w:rsid w:val="001746E3"/>
    <w:rsid w:val="00174DA5"/>
    <w:rsid w:val="001756C2"/>
    <w:rsid w:val="00176588"/>
    <w:rsid w:val="00176D3C"/>
    <w:rsid w:val="001774EB"/>
    <w:rsid w:val="001777E3"/>
    <w:rsid w:val="00180DA5"/>
    <w:rsid w:val="00181642"/>
    <w:rsid w:val="001836CE"/>
    <w:rsid w:val="00183776"/>
    <w:rsid w:val="00183BD9"/>
    <w:rsid w:val="00184346"/>
    <w:rsid w:val="001849B6"/>
    <w:rsid w:val="00185693"/>
    <w:rsid w:val="001860B2"/>
    <w:rsid w:val="001866F0"/>
    <w:rsid w:val="00186929"/>
    <w:rsid w:val="00186F88"/>
    <w:rsid w:val="00190D6A"/>
    <w:rsid w:val="00192E52"/>
    <w:rsid w:val="001938FE"/>
    <w:rsid w:val="00194E41"/>
    <w:rsid w:val="00194FDC"/>
    <w:rsid w:val="00196DFA"/>
    <w:rsid w:val="00196E15"/>
    <w:rsid w:val="0019739D"/>
    <w:rsid w:val="00197E04"/>
    <w:rsid w:val="001A013C"/>
    <w:rsid w:val="001A0778"/>
    <w:rsid w:val="001A0C7B"/>
    <w:rsid w:val="001A1A8E"/>
    <w:rsid w:val="001A3388"/>
    <w:rsid w:val="001A33E3"/>
    <w:rsid w:val="001A52A0"/>
    <w:rsid w:val="001B0D0F"/>
    <w:rsid w:val="001B15F0"/>
    <w:rsid w:val="001B5E04"/>
    <w:rsid w:val="001B5E46"/>
    <w:rsid w:val="001B6ECE"/>
    <w:rsid w:val="001B71C5"/>
    <w:rsid w:val="001B7846"/>
    <w:rsid w:val="001B7E29"/>
    <w:rsid w:val="001C359E"/>
    <w:rsid w:val="001C7940"/>
    <w:rsid w:val="001D39DF"/>
    <w:rsid w:val="001D4136"/>
    <w:rsid w:val="001D74DE"/>
    <w:rsid w:val="001D78FD"/>
    <w:rsid w:val="001E00E4"/>
    <w:rsid w:val="001E26B4"/>
    <w:rsid w:val="001E28D9"/>
    <w:rsid w:val="001E299E"/>
    <w:rsid w:val="001E2B9A"/>
    <w:rsid w:val="001E4453"/>
    <w:rsid w:val="001E5794"/>
    <w:rsid w:val="001E5BC7"/>
    <w:rsid w:val="001E6093"/>
    <w:rsid w:val="001E637D"/>
    <w:rsid w:val="001E6FBE"/>
    <w:rsid w:val="001E72D8"/>
    <w:rsid w:val="001E7DD4"/>
    <w:rsid w:val="001F1830"/>
    <w:rsid w:val="001F2037"/>
    <w:rsid w:val="001F651B"/>
    <w:rsid w:val="001F6F95"/>
    <w:rsid w:val="001F784F"/>
    <w:rsid w:val="00200263"/>
    <w:rsid w:val="00201888"/>
    <w:rsid w:val="00201CBA"/>
    <w:rsid w:val="0020243C"/>
    <w:rsid w:val="0020327D"/>
    <w:rsid w:val="002042D2"/>
    <w:rsid w:val="0020623D"/>
    <w:rsid w:val="002068E4"/>
    <w:rsid w:val="0020695C"/>
    <w:rsid w:val="002069AC"/>
    <w:rsid w:val="00210094"/>
    <w:rsid w:val="0021044F"/>
    <w:rsid w:val="00214E35"/>
    <w:rsid w:val="00220826"/>
    <w:rsid w:val="00220C75"/>
    <w:rsid w:val="00220F21"/>
    <w:rsid w:val="00222789"/>
    <w:rsid w:val="002243B3"/>
    <w:rsid w:val="00225AF2"/>
    <w:rsid w:val="00225BE9"/>
    <w:rsid w:val="00225C81"/>
    <w:rsid w:val="00225EB3"/>
    <w:rsid w:val="00227734"/>
    <w:rsid w:val="0023136A"/>
    <w:rsid w:val="00231B15"/>
    <w:rsid w:val="00231CD4"/>
    <w:rsid w:val="002332C2"/>
    <w:rsid w:val="002333F0"/>
    <w:rsid w:val="00234E62"/>
    <w:rsid w:val="00235882"/>
    <w:rsid w:val="002373B2"/>
    <w:rsid w:val="00240E14"/>
    <w:rsid w:val="00241567"/>
    <w:rsid w:val="00241A55"/>
    <w:rsid w:val="00242E75"/>
    <w:rsid w:val="00244BB9"/>
    <w:rsid w:val="0024650F"/>
    <w:rsid w:val="00246F2F"/>
    <w:rsid w:val="002473A9"/>
    <w:rsid w:val="00251847"/>
    <w:rsid w:val="00252404"/>
    <w:rsid w:val="00252E9B"/>
    <w:rsid w:val="00252F46"/>
    <w:rsid w:val="00253450"/>
    <w:rsid w:val="002535FE"/>
    <w:rsid w:val="0025377B"/>
    <w:rsid w:val="00253CCF"/>
    <w:rsid w:val="00254930"/>
    <w:rsid w:val="00255D6E"/>
    <w:rsid w:val="00256CF3"/>
    <w:rsid w:val="0026069F"/>
    <w:rsid w:val="00261442"/>
    <w:rsid w:val="00262C11"/>
    <w:rsid w:val="00265F13"/>
    <w:rsid w:val="00266E20"/>
    <w:rsid w:val="00267C70"/>
    <w:rsid w:val="0027030E"/>
    <w:rsid w:val="00270362"/>
    <w:rsid w:val="00270937"/>
    <w:rsid w:val="002713CD"/>
    <w:rsid w:val="00271AA2"/>
    <w:rsid w:val="00273E07"/>
    <w:rsid w:val="0027493D"/>
    <w:rsid w:val="00274F15"/>
    <w:rsid w:val="002756C7"/>
    <w:rsid w:val="002756E9"/>
    <w:rsid w:val="00276ECD"/>
    <w:rsid w:val="002800C5"/>
    <w:rsid w:val="00280146"/>
    <w:rsid w:val="002807E1"/>
    <w:rsid w:val="00283707"/>
    <w:rsid w:val="00283F06"/>
    <w:rsid w:val="0028431A"/>
    <w:rsid w:val="00284F9B"/>
    <w:rsid w:val="00285216"/>
    <w:rsid w:val="00285231"/>
    <w:rsid w:val="002855C7"/>
    <w:rsid w:val="00285D9A"/>
    <w:rsid w:val="00285F58"/>
    <w:rsid w:val="00286D3E"/>
    <w:rsid w:val="0028757B"/>
    <w:rsid w:val="00287827"/>
    <w:rsid w:val="0029040E"/>
    <w:rsid w:val="00291516"/>
    <w:rsid w:val="00291EE5"/>
    <w:rsid w:val="00292758"/>
    <w:rsid w:val="002942F7"/>
    <w:rsid w:val="0029472E"/>
    <w:rsid w:val="00294AD5"/>
    <w:rsid w:val="00294BDB"/>
    <w:rsid w:val="00294CC2"/>
    <w:rsid w:val="00295459"/>
    <w:rsid w:val="002954E0"/>
    <w:rsid w:val="002975F9"/>
    <w:rsid w:val="002A1FA8"/>
    <w:rsid w:val="002A2153"/>
    <w:rsid w:val="002A2575"/>
    <w:rsid w:val="002A3DF0"/>
    <w:rsid w:val="002A41F9"/>
    <w:rsid w:val="002A43A0"/>
    <w:rsid w:val="002A619A"/>
    <w:rsid w:val="002A7842"/>
    <w:rsid w:val="002B13A6"/>
    <w:rsid w:val="002B2ED0"/>
    <w:rsid w:val="002B462D"/>
    <w:rsid w:val="002B77AF"/>
    <w:rsid w:val="002B7DE5"/>
    <w:rsid w:val="002C00A7"/>
    <w:rsid w:val="002C1C96"/>
    <w:rsid w:val="002C252B"/>
    <w:rsid w:val="002C35B4"/>
    <w:rsid w:val="002C3FF7"/>
    <w:rsid w:val="002C498D"/>
    <w:rsid w:val="002C55EE"/>
    <w:rsid w:val="002C5A21"/>
    <w:rsid w:val="002C60CD"/>
    <w:rsid w:val="002C60DA"/>
    <w:rsid w:val="002C698E"/>
    <w:rsid w:val="002C7303"/>
    <w:rsid w:val="002C7B25"/>
    <w:rsid w:val="002D3AA3"/>
    <w:rsid w:val="002D3EC4"/>
    <w:rsid w:val="002D6BDA"/>
    <w:rsid w:val="002D714A"/>
    <w:rsid w:val="002D75B9"/>
    <w:rsid w:val="002E1469"/>
    <w:rsid w:val="002E1FC7"/>
    <w:rsid w:val="002E30B8"/>
    <w:rsid w:val="002E31D9"/>
    <w:rsid w:val="002E3CF3"/>
    <w:rsid w:val="002E3ECB"/>
    <w:rsid w:val="002E517C"/>
    <w:rsid w:val="002E5537"/>
    <w:rsid w:val="002E75DF"/>
    <w:rsid w:val="002F0519"/>
    <w:rsid w:val="002F09B4"/>
    <w:rsid w:val="002F108D"/>
    <w:rsid w:val="002F1813"/>
    <w:rsid w:val="002F1BCD"/>
    <w:rsid w:val="002F1E68"/>
    <w:rsid w:val="002F22C7"/>
    <w:rsid w:val="002F284A"/>
    <w:rsid w:val="002F302A"/>
    <w:rsid w:val="002F321A"/>
    <w:rsid w:val="002F3746"/>
    <w:rsid w:val="002F3A70"/>
    <w:rsid w:val="002F46D1"/>
    <w:rsid w:val="002F581D"/>
    <w:rsid w:val="002F6B74"/>
    <w:rsid w:val="002F6DBA"/>
    <w:rsid w:val="00300721"/>
    <w:rsid w:val="00300945"/>
    <w:rsid w:val="00300FB3"/>
    <w:rsid w:val="00301072"/>
    <w:rsid w:val="003028A3"/>
    <w:rsid w:val="00302DC2"/>
    <w:rsid w:val="0030355C"/>
    <w:rsid w:val="0030506A"/>
    <w:rsid w:val="00306643"/>
    <w:rsid w:val="00306FA5"/>
    <w:rsid w:val="0030759A"/>
    <w:rsid w:val="00307F58"/>
    <w:rsid w:val="00310B23"/>
    <w:rsid w:val="00310E8C"/>
    <w:rsid w:val="003123EA"/>
    <w:rsid w:val="0031362C"/>
    <w:rsid w:val="00313A52"/>
    <w:rsid w:val="00313BDB"/>
    <w:rsid w:val="00316153"/>
    <w:rsid w:val="00317820"/>
    <w:rsid w:val="00321226"/>
    <w:rsid w:val="00324E64"/>
    <w:rsid w:val="00325531"/>
    <w:rsid w:val="0032567C"/>
    <w:rsid w:val="00326C38"/>
    <w:rsid w:val="00326E81"/>
    <w:rsid w:val="003270CF"/>
    <w:rsid w:val="00327AF1"/>
    <w:rsid w:val="00330231"/>
    <w:rsid w:val="00332B65"/>
    <w:rsid w:val="00333531"/>
    <w:rsid w:val="003341D0"/>
    <w:rsid w:val="00334E50"/>
    <w:rsid w:val="003355E2"/>
    <w:rsid w:val="00336F55"/>
    <w:rsid w:val="00337948"/>
    <w:rsid w:val="00337F3F"/>
    <w:rsid w:val="00340AA5"/>
    <w:rsid w:val="00340BC2"/>
    <w:rsid w:val="0034129D"/>
    <w:rsid w:val="0034131D"/>
    <w:rsid w:val="0034148A"/>
    <w:rsid w:val="003426DD"/>
    <w:rsid w:val="0034274B"/>
    <w:rsid w:val="003428AA"/>
    <w:rsid w:val="0034332F"/>
    <w:rsid w:val="00343DA3"/>
    <w:rsid w:val="003440CE"/>
    <w:rsid w:val="00345F19"/>
    <w:rsid w:val="00346501"/>
    <w:rsid w:val="00347AE1"/>
    <w:rsid w:val="00352E4C"/>
    <w:rsid w:val="00354A77"/>
    <w:rsid w:val="00356E7E"/>
    <w:rsid w:val="003575D8"/>
    <w:rsid w:val="00360231"/>
    <w:rsid w:val="00360722"/>
    <w:rsid w:val="00362705"/>
    <w:rsid w:val="00362A42"/>
    <w:rsid w:val="00363056"/>
    <w:rsid w:val="003632A5"/>
    <w:rsid w:val="003638BE"/>
    <w:rsid w:val="0036686A"/>
    <w:rsid w:val="003668F6"/>
    <w:rsid w:val="00366EA0"/>
    <w:rsid w:val="00367AAD"/>
    <w:rsid w:val="003705E8"/>
    <w:rsid w:val="00371D38"/>
    <w:rsid w:val="00371EE2"/>
    <w:rsid w:val="00372EAB"/>
    <w:rsid w:val="003754EB"/>
    <w:rsid w:val="00376F3D"/>
    <w:rsid w:val="0038076B"/>
    <w:rsid w:val="0038138C"/>
    <w:rsid w:val="00385A46"/>
    <w:rsid w:val="0038649E"/>
    <w:rsid w:val="003872D3"/>
    <w:rsid w:val="00387818"/>
    <w:rsid w:val="00387906"/>
    <w:rsid w:val="00390633"/>
    <w:rsid w:val="003926F4"/>
    <w:rsid w:val="003955BE"/>
    <w:rsid w:val="003958CF"/>
    <w:rsid w:val="00395BDC"/>
    <w:rsid w:val="003A0971"/>
    <w:rsid w:val="003A10D8"/>
    <w:rsid w:val="003A189A"/>
    <w:rsid w:val="003A295B"/>
    <w:rsid w:val="003A4A38"/>
    <w:rsid w:val="003A7382"/>
    <w:rsid w:val="003B1C08"/>
    <w:rsid w:val="003B1E06"/>
    <w:rsid w:val="003B2BA0"/>
    <w:rsid w:val="003B40CF"/>
    <w:rsid w:val="003B45F8"/>
    <w:rsid w:val="003B50ED"/>
    <w:rsid w:val="003B5A72"/>
    <w:rsid w:val="003B5BA4"/>
    <w:rsid w:val="003B5BCE"/>
    <w:rsid w:val="003B677F"/>
    <w:rsid w:val="003B680F"/>
    <w:rsid w:val="003B6FB2"/>
    <w:rsid w:val="003C0E66"/>
    <w:rsid w:val="003C145B"/>
    <w:rsid w:val="003C19A3"/>
    <w:rsid w:val="003C1DF0"/>
    <w:rsid w:val="003C2992"/>
    <w:rsid w:val="003C34EE"/>
    <w:rsid w:val="003C3567"/>
    <w:rsid w:val="003C39BF"/>
    <w:rsid w:val="003C3A9B"/>
    <w:rsid w:val="003C6609"/>
    <w:rsid w:val="003C6B14"/>
    <w:rsid w:val="003C71BF"/>
    <w:rsid w:val="003D3148"/>
    <w:rsid w:val="003D31DD"/>
    <w:rsid w:val="003D6550"/>
    <w:rsid w:val="003D7139"/>
    <w:rsid w:val="003E0943"/>
    <w:rsid w:val="003E0D06"/>
    <w:rsid w:val="003E2BC7"/>
    <w:rsid w:val="003E3F59"/>
    <w:rsid w:val="003E531C"/>
    <w:rsid w:val="003E5F2B"/>
    <w:rsid w:val="003E735A"/>
    <w:rsid w:val="003F06F5"/>
    <w:rsid w:val="003F0947"/>
    <w:rsid w:val="003F18CA"/>
    <w:rsid w:val="003F1F64"/>
    <w:rsid w:val="003F25C3"/>
    <w:rsid w:val="003F3F05"/>
    <w:rsid w:val="003F4851"/>
    <w:rsid w:val="003F4AAF"/>
    <w:rsid w:val="003F5BD8"/>
    <w:rsid w:val="003F7E4B"/>
    <w:rsid w:val="003F7FB2"/>
    <w:rsid w:val="004007BC"/>
    <w:rsid w:val="00400CAF"/>
    <w:rsid w:val="004017BF"/>
    <w:rsid w:val="00402698"/>
    <w:rsid w:val="00403420"/>
    <w:rsid w:val="00403C8A"/>
    <w:rsid w:val="0040403A"/>
    <w:rsid w:val="004066E6"/>
    <w:rsid w:val="00406CD1"/>
    <w:rsid w:val="00407080"/>
    <w:rsid w:val="004111E9"/>
    <w:rsid w:val="004112F5"/>
    <w:rsid w:val="004117A7"/>
    <w:rsid w:val="00413444"/>
    <w:rsid w:val="00414608"/>
    <w:rsid w:val="00416617"/>
    <w:rsid w:val="00421636"/>
    <w:rsid w:val="00421E20"/>
    <w:rsid w:val="0042208A"/>
    <w:rsid w:val="00422CE3"/>
    <w:rsid w:val="0042308C"/>
    <w:rsid w:val="004260BD"/>
    <w:rsid w:val="00426BE2"/>
    <w:rsid w:val="00430166"/>
    <w:rsid w:val="004301B0"/>
    <w:rsid w:val="00430336"/>
    <w:rsid w:val="004346A3"/>
    <w:rsid w:val="004346B7"/>
    <w:rsid w:val="00435051"/>
    <w:rsid w:val="0043565C"/>
    <w:rsid w:val="00437A2C"/>
    <w:rsid w:val="004403C7"/>
    <w:rsid w:val="00440482"/>
    <w:rsid w:val="00440638"/>
    <w:rsid w:val="00441CA3"/>
    <w:rsid w:val="00442F84"/>
    <w:rsid w:val="00446AD1"/>
    <w:rsid w:val="004507BF"/>
    <w:rsid w:val="00450FCD"/>
    <w:rsid w:val="00451808"/>
    <w:rsid w:val="00451DB1"/>
    <w:rsid w:val="00452B49"/>
    <w:rsid w:val="004548A5"/>
    <w:rsid w:val="00454EB8"/>
    <w:rsid w:val="004553EE"/>
    <w:rsid w:val="0045593D"/>
    <w:rsid w:val="00456458"/>
    <w:rsid w:val="00456DEA"/>
    <w:rsid w:val="00457F9F"/>
    <w:rsid w:val="00460909"/>
    <w:rsid w:val="0046166C"/>
    <w:rsid w:val="00461CEC"/>
    <w:rsid w:val="004633F0"/>
    <w:rsid w:val="00463548"/>
    <w:rsid w:val="00463D62"/>
    <w:rsid w:val="004653DB"/>
    <w:rsid w:val="00470313"/>
    <w:rsid w:val="004705EB"/>
    <w:rsid w:val="004713B2"/>
    <w:rsid w:val="00471872"/>
    <w:rsid w:val="00471FAE"/>
    <w:rsid w:val="004729D3"/>
    <w:rsid w:val="00473F01"/>
    <w:rsid w:val="004740E6"/>
    <w:rsid w:val="0047581C"/>
    <w:rsid w:val="004812AC"/>
    <w:rsid w:val="004832F9"/>
    <w:rsid w:val="00484B22"/>
    <w:rsid w:val="00486158"/>
    <w:rsid w:val="0049115C"/>
    <w:rsid w:val="00492389"/>
    <w:rsid w:val="004923E7"/>
    <w:rsid w:val="004929C7"/>
    <w:rsid w:val="004939C9"/>
    <w:rsid w:val="004947A8"/>
    <w:rsid w:val="00494971"/>
    <w:rsid w:val="00494AB1"/>
    <w:rsid w:val="00494B8E"/>
    <w:rsid w:val="004956DA"/>
    <w:rsid w:val="00495747"/>
    <w:rsid w:val="00495952"/>
    <w:rsid w:val="004A0BC8"/>
    <w:rsid w:val="004A25D2"/>
    <w:rsid w:val="004A32D7"/>
    <w:rsid w:val="004A349A"/>
    <w:rsid w:val="004A39BD"/>
    <w:rsid w:val="004A491D"/>
    <w:rsid w:val="004A51E7"/>
    <w:rsid w:val="004A6A4B"/>
    <w:rsid w:val="004A7B28"/>
    <w:rsid w:val="004B0291"/>
    <w:rsid w:val="004B2362"/>
    <w:rsid w:val="004B2985"/>
    <w:rsid w:val="004B4164"/>
    <w:rsid w:val="004B50A6"/>
    <w:rsid w:val="004B5EFF"/>
    <w:rsid w:val="004B6E46"/>
    <w:rsid w:val="004C1D14"/>
    <w:rsid w:val="004C2F5B"/>
    <w:rsid w:val="004C3831"/>
    <w:rsid w:val="004C41B8"/>
    <w:rsid w:val="004C54D3"/>
    <w:rsid w:val="004C5B5C"/>
    <w:rsid w:val="004C5DE7"/>
    <w:rsid w:val="004C6ED4"/>
    <w:rsid w:val="004C7149"/>
    <w:rsid w:val="004D019A"/>
    <w:rsid w:val="004D1B22"/>
    <w:rsid w:val="004D280E"/>
    <w:rsid w:val="004D2C9F"/>
    <w:rsid w:val="004D2D55"/>
    <w:rsid w:val="004D4151"/>
    <w:rsid w:val="004D4727"/>
    <w:rsid w:val="004D5FD7"/>
    <w:rsid w:val="004D6DB9"/>
    <w:rsid w:val="004D79F6"/>
    <w:rsid w:val="004D7AA8"/>
    <w:rsid w:val="004E0389"/>
    <w:rsid w:val="004E08E3"/>
    <w:rsid w:val="004E0D6C"/>
    <w:rsid w:val="004E1401"/>
    <w:rsid w:val="004E1FA7"/>
    <w:rsid w:val="004E3A2C"/>
    <w:rsid w:val="004E4911"/>
    <w:rsid w:val="004E53AB"/>
    <w:rsid w:val="004E5A7E"/>
    <w:rsid w:val="004E6078"/>
    <w:rsid w:val="004E6627"/>
    <w:rsid w:val="004F0815"/>
    <w:rsid w:val="004F0C0B"/>
    <w:rsid w:val="004F1559"/>
    <w:rsid w:val="004F1E1A"/>
    <w:rsid w:val="004F2BEB"/>
    <w:rsid w:val="004F4299"/>
    <w:rsid w:val="004F5245"/>
    <w:rsid w:val="004F6358"/>
    <w:rsid w:val="004F65C2"/>
    <w:rsid w:val="004F686A"/>
    <w:rsid w:val="004F761B"/>
    <w:rsid w:val="004F786B"/>
    <w:rsid w:val="004F7D38"/>
    <w:rsid w:val="004F7F07"/>
    <w:rsid w:val="005004EC"/>
    <w:rsid w:val="00501FDD"/>
    <w:rsid w:val="00502F09"/>
    <w:rsid w:val="00503089"/>
    <w:rsid w:val="00503BCD"/>
    <w:rsid w:val="00505C97"/>
    <w:rsid w:val="0050663C"/>
    <w:rsid w:val="00507B37"/>
    <w:rsid w:val="00507E02"/>
    <w:rsid w:val="00507E93"/>
    <w:rsid w:val="00511BD8"/>
    <w:rsid w:val="00512046"/>
    <w:rsid w:val="00512084"/>
    <w:rsid w:val="005120AC"/>
    <w:rsid w:val="0051308F"/>
    <w:rsid w:val="005141E9"/>
    <w:rsid w:val="0051486D"/>
    <w:rsid w:val="005148BF"/>
    <w:rsid w:val="005164F9"/>
    <w:rsid w:val="005176B0"/>
    <w:rsid w:val="005200CE"/>
    <w:rsid w:val="005201C6"/>
    <w:rsid w:val="005202E9"/>
    <w:rsid w:val="0052079F"/>
    <w:rsid w:val="00521044"/>
    <w:rsid w:val="00523165"/>
    <w:rsid w:val="00523B20"/>
    <w:rsid w:val="00524AEB"/>
    <w:rsid w:val="00525E5A"/>
    <w:rsid w:val="00526DF1"/>
    <w:rsid w:val="00527233"/>
    <w:rsid w:val="005308BD"/>
    <w:rsid w:val="00532EE2"/>
    <w:rsid w:val="00533803"/>
    <w:rsid w:val="005338D6"/>
    <w:rsid w:val="0053610C"/>
    <w:rsid w:val="005370F2"/>
    <w:rsid w:val="00540673"/>
    <w:rsid w:val="0054166B"/>
    <w:rsid w:val="00541E4D"/>
    <w:rsid w:val="005456FD"/>
    <w:rsid w:val="00545EEF"/>
    <w:rsid w:val="005473E7"/>
    <w:rsid w:val="00550AD5"/>
    <w:rsid w:val="00550D30"/>
    <w:rsid w:val="00551001"/>
    <w:rsid w:val="005511AD"/>
    <w:rsid w:val="00551400"/>
    <w:rsid w:val="005514E5"/>
    <w:rsid w:val="0055419E"/>
    <w:rsid w:val="00554B24"/>
    <w:rsid w:val="00554FAC"/>
    <w:rsid w:val="00555C0C"/>
    <w:rsid w:val="00556195"/>
    <w:rsid w:val="005561DE"/>
    <w:rsid w:val="00556493"/>
    <w:rsid w:val="00556CF3"/>
    <w:rsid w:val="00556D1D"/>
    <w:rsid w:val="0056082C"/>
    <w:rsid w:val="005613F9"/>
    <w:rsid w:val="005662EB"/>
    <w:rsid w:val="00566AA7"/>
    <w:rsid w:val="0056727D"/>
    <w:rsid w:val="005675BA"/>
    <w:rsid w:val="00567C79"/>
    <w:rsid w:val="005727C5"/>
    <w:rsid w:val="005732BC"/>
    <w:rsid w:val="00573A3C"/>
    <w:rsid w:val="005758EB"/>
    <w:rsid w:val="0057628D"/>
    <w:rsid w:val="0057693E"/>
    <w:rsid w:val="00576E57"/>
    <w:rsid w:val="00577054"/>
    <w:rsid w:val="00577191"/>
    <w:rsid w:val="00577AA8"/>
    <w:rsid w:val="00577E85"/>
    <w:rsid w:val="00580136"/>
    <w:rsid w:val="00580C5C"/>
    <w:rsid w:val="005813BD"/>
    <w:rsid w:val="00582146"/>
    <w:rsid w:val="005825C7"/>
    <w:rsid w:val="00585617"/>
    <w:rsid w:val="005858B0"/>
    <w:rsid w:val="00585AD0"/>
    <w:rsid w:val="00591C8B"/>
    <w:rsid w:val="005920AD"/>
    <w:rsid w:val="0059296A"/>
    <w:rsid w:val="00592BCC"/>
    <w:rsid w:val="0059371D"/>
    <w:rsid w:val="0059394B"/>
    <w:rsid w:val="005942EA"/>
    <w:rsid w:val="005948A8"/>
    <w:rsid w:val="00594997"/>
    <w:rsid w:val="0059603D"/>
    <w:rsid w:val="00596AB2"/>
    <w:rsid w:val="005A1268"/>
    <w:rsid w:val="005A2721"/>
    <w:rsid w:val="005A3352"/>
    <w:rsid w:val="005A4FF6"/>
    <w:rsid w:val="005A521F"/>
    <w:rsid w:val="005A6AF3"/>
    <w:rsid w:val="005A7C49"/>
    <w:rsid w:val="005B1B39"/>
    <w:rsid w:val="005B1F61"/>
    <w:rsid w:val="005B4EBC"/>
    <w:rsid w:val="005B5AD3"/>
    <w:rsid w:val="005B5B0E"/>
    <w:rsid w:val="005B6660"/>
    <w:rsid w:val="005B76F8"/>
    <w:rsid w:val="005C0571"/>
    <w:rsid w:val="005C0B46"/>
    <w:rsid w:val="005C0D49"/>
    <w:rsid w:val="005C0EC2"/>
    <w:rsid w:val="005C22C5"/>
    <w:rsid w:val="005C28D1"/>
    <w:rsid w:val="005C291A"/>
    <w:rsid w:val="005C31FE"/>
    <w:rsid w:val="005C3FF9"/>
    <w:rsid w:val="005C442A"/>
    <w:rsid w:val="005C4B7E"/>
    <w:rsid w:val="005C6609"/>
    <w:rsid w:val="005C6BF9"/>
    <w:rsid w:val="005C7281"/>
    <w:rsid w:val="005C7649"/>
    <w:rsid w:val="005D02EA"/>
    <w:rsid w:val="005D09B6"/>
    <w:rsid w:val="005D2473"/>
    <w:rsid w:val="005D2D31"/>
    <w:rsid w:val="005D4EAD"/>
    <w:rsid w:val="005D52C9"/>
    <w:rsid w:val="005D61FA"/>
    <w:rsid w:val="005D681E"/>
    <w:rsid w:val="005D6FC6"/>
    <w:rsid w:val="005E077B"/>
    <w:rsid w:val="005E1E71"/>
    <w:rsid w:val="005E7CF2"/>
    <w:rsid w:val="005F106F"/>
    <w:rsid w:val="005F3D9F"/>
    <w:rsid w:val="005F5B3A"/>
    <w:rsid w:val="005F5D14"/>
    <w:rsid w:val="005F625C"/>
    <w:rsid w:val="005F65EF"/>
    <w:rsid w:val="005F70EC"/>
    <w:rsid w:val="00601811"/>
    <w:rsid w:val="00602476"/>
    <w:rsid w:val="00603B84"/>
    <w:rsid w:val="00604B6C"/>
    <w:rsid w:val="00604D51"/>
    <w:rsid w:val="0060651F"/>
    <w:rsid w:val="00606A2C"/>
    <w:rsid w:val="00606CCD"/>
    <w:rsid w:val="00606FE0"/>
    <w:rsid w:val="00607E9C"/>
    <w:rsid w:val="00607F23"/>
    <w:rsid w:val="00610133"/>
    <w:rsid w:val="00610DF6"/>
    <w:rsid w:val="0061214F"/>
    <w:rsid w:val="006130AF"/>
    <w:rsid w:val="00613133"/>
    <w:rsid w:val="0061319E"/>
    <w:rsid w:val="006149AC"/>
    <w:rsid w:val="00616057"/>
    <w:rsid w:val="006165F9"/>
    <w:rsid w:val="00617C09"/>
    <w:rsid w:val="006207FA"/>
    <w:rsid w:val="00620A8C"/>
    <w:rsid w:val="00621191"/>
    <w:rsid w:val="00621944"/>
    <w:rsid w:val="00624B28"/>
    <w:rsid w:val="006257AE"/>
    <w:rsid w:val="00625D81"/>
    <w:rsid w:val="00625E51"/>
    <w:rsid w:val="00625E9D"/>
    <w:rsid w:val="006268E8"/>
    <w:rsid w:val="00627003"/>
    <w:rsid w:val="00630FB0"/>
    <w:rsid w:val="00631F8C"/>
    <w:rsid w:val="0063234D"/>
    <w:rsid w:val="006332F8"/>
    <w:rsid w:val="00633763"/>
    <w:rsid w:val="006337DA"/>
    <w:rsid w:val="00635818"/>
    <w:rsid w:val="00636BD2"/>
    <w:rsid w:val="00637192"/>
    <w:rsid w:val="00637248"/>
    <w:rsid w:val="0064064C"/>
    <w:rsid w:val="0064209A"/>
    <w:rsid w:val="006441D8"/>
    <w:rsid w:val="00645600"/>
    <w:rsid w:val="006503BA"/>
    <w:rsid w:val="006518F2"/>
    <w:rsid w:val="006530F1"/>
    <w:rsid w:val="00655330"/>
    <w:rsid w:val="00655A1F"/>
    <w:rsid w:val="00655D0A"/>
    <w:rsid w:val="0065618B"/>
    <w:rsid w:val="006600FF"/>
    <w:rsid w:val="00660447"/>
    <w:rsid w:val="00661341"/>
    <w:rsid w:val="00662851"/>
    <w:rsid w:val="0066315C"/>
    <w:rsid w:val="006649D6"/>
    <w:rsid w:val="00664BA3"/>
    <w:rsid w:val="00666733"/>
    <w:rsid w:val="00667AB4"/>
    <w:rsid w:val="006716C4"/>
    <w:rsid w:val="00672B0F"/>
    <w:rsid w:val="00672DDA"/>
    <w:rsid w:val="00673DCD"/>
    <w:rsid w:val="00674D06"/>
    <w:rsid w:val="00677B00"/>
    <w:rsid w:val="00682A51"/>
    <w:rsid w:val="00682E7C"/>
    <w:rsid w:val="00683D6A"/>
    <w:rsid w:val="0068546E"/>
    <w:rsid w:val="00686C39"/>
    <w:rsid w:val="0069026E"/>
    <w:rsid w:val="00691AA2"/>
    <w:rsid w:val="006922A5"/>
    <w:rsid w:val="006923F5"/>
    <w:rsid w:val="00692EA3"/>
    <w:rsid w:val="006936D0"/>
    <w:rsid w:val="00693B05"/>
    <w:rsid w:val="00696082"/>
    <w:rsid w:val="00697087"/>
    <w:rsid w:val="006A46D4"/>
    <w:rsid w:val="006A47CD"/>
    <w:rsid w:val="006A4DB1"/>
    <w:rsid w:val="006A5560"/>
    <w:rsid w:val="006A641E"/>
    <w:rsid w:val="006A6A32"/>
    <w:rsid w:val="006A712F"/>
    <w:rsid w:val="006B0F50"/>
    <w:rsid w:val="006B126F"/>
    <w:rsid w:val="006B2509"/>
    <w:rsid w:val="006B2577"/>
    <w:rsid w:val="006B4B70"/>
    <w:rsid w:val="006B4E90"/>
    <w:rsid w:val="006B6FBC"/>
    <w:rsid w:val="006B726B"/>
    <w:rsid w:val="006B7F1A"/>
    <w:rsid w:val="006C0B8D"/>
    <w:rsid w:val="006C1146"/>
    <w:rsid w:val="006C1773"/>
    <w:rsid w:val="006C386B"/>
    <w:rsid w:val="006C3D51"/>
    <w:rsid w:val="006C4307"/>
    <w:rsid w:val="006C45E0"/>
    <w:rsid w:val="006C5DB4"/>
    <w:rsid w:val="006C63E8"/>
    <w:rsid w:val="006C66AA"/>
    <w:rsid w:val="006C6AE3"/>
    <w:rsid w:val="006C76E8"/>
    <w:rsid w:val="006C7A34"/>
    <w:rsid w:val="006C7B05"/>
    <w:rsid w:val="006D004F"/>
    <w:rsid w:val="006D2842"/>
    <w:rsid w:val="006D5182"/>
    <w:rsid w:val="006D553B"/>
    <w:rsid w:val="006D6593"/>
    <w:rsid w:val="006D6701"/>
    <w:rsid w:val="006E110B"/>
    <w:rsid w:val="006E24C9"/>
    <w:rsid w:val="006E430E"/>
    <w:rsid w:val="006E4606"/>
    <w:rsid w:val="006F02D7"/>
    <w:rsid w:val="006F0468"/>
    <w:rsid w:val="006F0A24"/>
    <w:rsid w:val="006F125C"/>
    <w:rsid w:val="006F1A31"/>
    <w:rsid w:val="006F215B"/>
    <w:rsid w:val="006F395D"/>
    <w:rsid w:val="006F7C98"/>
    <w:rsid w:val="006F7EB1"/>
    <w:rsid w:val="006F7EF2"/>
    <w:rsid w:val="00700A0C"/>
    <w:rsid w:val="00701256"/>
    <w:rsid w:val="0070366B"/>
    <w:rsid w:val="007039FF"/>
    <w:rsid w:val="00703F88"/>
    <w:rsid w:val="00704B0A"/>
    <w:rsid w:val="00704C73"/>
    <w:rsid w:val="00707EA2"/>
    <w:rsid w:val="00710478"/>
    <w:rsid w:val="00712516"/>
    <w:rsid w:val="00712A0E"/>
    <w:rsid w:val="007153EB"/>
    <w:rsid w:val="00715C85"/>
    <w:rsid w:val="00720AAB"/>
    <w:rsid w:val="007210CA"/>
    <w:rsid w:val="007228DA"/>
    <w:rsid w:val="00722A28"/>
    <w:rsid w:val="007232BD"/>
    <w:rsid w:val="007241D7"/>
    <w:rsid w:val="007249F2"/>
    <w:rsid w:val="00724A45"/>
    <w:rsid w:val="00725272"/>
    <w:rsid w:val="00725345"/>
    <w:rsid w:val="00725798"/>
    <w:rsid w:val="0072639D"/>
    <w:rsid w:val="00733251"/>
    <w:rsid w:val="007333F8"/>
    <w:rsid w:val="00733AD6"/>
    <w:rsid w:val="00735882"/>
    <w:rsid w:val="00735D3A"/>
    <w:rsid w:val="007362ED"/>
    <w:rsid w:val="00737D17"/>
    <w:rsid w:val="00740278"/>
    <w:rsid w:val="00740BA4"/>
    <w:rsid w:val="00742259"/>
    <w:rsid w:val="007433B7"/>
    <w:rsid w:val="007448CF"/>
    <w:rsid w:val="00745B34"/>
    <w:rsid w:val="00745B59"/>
    <w:rsid w:val="007476B3"/>
    <w:rsid w:val="00751507"/>
    <w:rsid w:val="00753370"/>
    <w:rsid w:val="00754471"/>
    <w:rsid w:val="0075470F"/>
    <w:rsid w:val="00755FD5"/>
    <w:rsid w:val="007579D3"/>
    <w:rsid w:val="007579F1"/>
    <w:rsid w:val="007618CE"/>
    <w:rsid w:val="00764D46"/>
    <w:rsid w:val="007657E8"/>
    <w:rsid w:val="0076718C"/>
    <w:rsid w:val="0076731F"/>
    <w:rsid w:val="00767F37"/>
    <w:rsid w:val="0077164A"/>
    <w:rsid w:val="007722BD"/>
    <w:rsid w:val="007725E4"/>
    <w:rsid w:val="00773218"/>
    <w:rsid w:val="00773A3B"/>
    <w:rsid w:val="0077405E"/>
    <w:rsid w:val="00774EAA"/>
    <w:rsid w:val="0077552C"/>
    <w:rsid w:val="007756D1"/>
    <w:rsid w:val="00775E77"/>
    <w:rsid w:val="007763E7"/>
    <w:rsid w:val="007773ED"/>
    <w:rsid w:val="00777490"/>
    <w:rsid w:val="00780DFA"/>
    <w:rsid w:val="00781A6A"/>
    <w:rsid w:val="007833A8"/>
    <w:rsid w:val="00784ED7"/>
    <w:rsid w:val="007854C1"/>
    <w:rsid w:val="007861F5"/>
    <w:rsid w:val="00786DFE"/>
    <w:rsid w:val="00787171"/>
    <w:rsid w:val="00787198"/>
    <w:rsid w:val="00787E2B"/>
    <w:rsid w:val="007903E6"/>
    <w:rsid w:val="00790C07"/>
    <w:rsid w:val="00791277"/>
    <w:rsid w:val="00791987"/>
    <w:rsid w:val="00792276"/>
    <w:rsid w:val="007926C0"/>
    <w:rsid w:val="00792B16"/>
    <w:rsid w:val="00793BC5"/>
    <w:rsid w:val="007940B2"/>
    <w:rsid w:val="0079465E"/>
    <w:rsid w:val="00795426"/>
    <w:rsid w:val="007961E3"/>
    <w:rsid w:val="00797469"/>
    <w:rsid w:val="007A0B55"/>
    <w:rsid w:val="007A16FA"/>
    <w:rsid w:val="007A35E3"/>
    <w:rsid w:val="007A3B3E"/>
    <w:rsid w:val="007A4152"/>
    <w:rsid w:val="007A4200"/>
    <w:rsid w:val="007A423D"/>
    <w:rsid w:val="007A4CFB"/>
    <w:rsid w:val="007A639B"/>
    <w:rsid w:val="007B01FF"/>
    <w:rsid w:val="007B068C"/>
    <w:rsid w:val="007B0BF4"/>
    <w:rsid w:val="007B1A51"/>
    <w:rsid w:val="007B2604"/>
    <w:rsid w:val="007B3451"/>
    <w:rsid w:val="007B3C5A"/>
    <w:rsid w:val="007B4C29"/>
    <w:rsid w:val="007B5DAD"/>
    <w:rsid w:val="007B5E86"/>
    <w:rsid w:val="007B7C03"/>
    <w:rsid w:val="007C1C24"/>
    <w:rsid w:val="007C2E64"/>
    <w:rsid w:val="007C413F"/>
    <w:rsid w:val="007C4598"/>
    <w:rsid w:val="007C5645"/>
    <w:rsid w:val="007C5F9D"/>
    <w:rsid w:val="007C6C91"/>
    <w:rsid w:val="007C7A58"/>
    <w:rsid w:val="007C7B4E"/>
    <w:rsid w:val="007D1769"/>
    <w:rsid w:val="007D36ED"/>
    <w:rsid w:val="007D6703"/>
    <w:rsid w:val="007D6D62"/>
    <w:rsid w:val="007D6F18"/>
    <w:rsid w:val="007D7458"/>
    <w:rsid w:val="007D750E"/>
    <w:rsid w:val="007E0564"/>
    <w:rsid w:val="007E1C11"/>
    <w:rsid w:val="007E2218"/>
    <w:rsid w:val="007E22E3"/>
    <w:rsid w:val="007E3F21"/>
    <w:rsid w:val="007E43C7"/>
    <w:rsid w:val="007E682F"/>
    <w:rsid w:val="007F0C45"/>
    <w:rsid w:val="007F1008"/>
    <w:rsid w:val="007F35BA"/>
    <w:rsid w:val="007F431D"/>
    <w:rsid w:val="007F5F55"/>
    <w:rsid w:val="007F60DE"/>
    <w:rsid w:val="007F6222"/>
    <w:rsid w:val="007F65FE"/>
    <w:rsid w:val="007F698A"/>
    <w:rsid w:val="007F6A7E"/>
    <w:rsid w:val="007F7F08"/>
    <w:rsid w:val="008007B2"/>
    <w:rsid w:val="00803361"/>
    <w:rsid w:val="008045ED"/>
    <w:rsid w:val="00806ED5"/>
    <w:rsid w:val="00811162"/>
    <w:rsid w:val="00812AAB"/>
    <w:rsid w:val="008138E3"/>
    <w:rsid w:val="008146A6"/>
    <w:rsid w:val="00815F33"/>
    <w:rsid w:val="00816402"/>
    <w:rsid w:val="0081720C"/>
    <w:rsid w:val="008173BB"/>
    <w:rsid w:val="00817B7A"/>
    <w:rsid w:val="00817E73"/>
    <w:rsid w:val="00821984"/>
    <w:rsid w:val="008228C5"/>
    <w:rsid w:val="00824F0C"/>
    <w:rsid w:val="0083080C"/>
    <w:rsid w:val="008313CE"/>
    <w:rsid w:val="00831B5A"/>
    <w:rsid w:val="00831DED"/>
    <w:rsid w:val="00832474"/>
    <w:rsid w:val="00832591"/>
    <w:rsid w:val="008348FA"/>
    <w:rsid w:val="00834DDF"/>
    <w:rsid w:val="008354F4"/>
    <w:rsid w:val="00836982"/>
    <w:rsid w:val="00836C52"/>
    <w:rsid w:val="0084058E"/>
    <w:rsid w:val="00841E8D"/>
    <w:rsid w:val="00842B81"/>
    <w:rsid w:val="00844710"/>
    <w:rsid w:val="008450F3"/>
    <w:rsid w:val="00845BC3"/>
    <w:rsid w:val="00845E34"/>
    <w:rsid w:val="008462B4"/>
    <w:rsid w:val="00846464"/>
    <w:rsid w:val="00846857"/>
    <w:rsid w:val="00850556"/>
    <w:rsid w:val="008505A4"/>
    <w:rsid w:val="00850857"/>
    <w:rsid w:val="00851836"/>
    <w:rsid w:val="00853E07"/>
    <w:rsid w:val="0085403F"/>
    <w:rsid w:val="008540A8"/>
    <w:rsid w:val="0085602C"/>
    <w:rsid w:val="0085786B"/>
    <w:rsid w:val="00860B1B"/>
    <w:rsid w:val="00861A6A"/>
    <w:rsid w:val="00861B58"/>
    <w:rsid w:val="00861C85"/>
    <w:rsid w:val="00861D9A"/>
    <w:rsid w:val="00862D0C"/>
    <w:rsid w:val="00863406"/>
    <w:rsid w:val="00865CA8"/>
    <w:rsid w:val="008677C7"/>
    <w:rsid w:val="008678AB"/>
    <w:rsid w:val="00871E11"/>
    <w:rsid w:val="00872CDE"/>
    <w:rsid w:val="0087343E"/>
    <w:rsid w:val="008735D7"/>
    <w:rsid w:val="00874D95"/>
    <w:rsid w:val="008752B7"/>
    <w:rsid w:val="00876E4B"/>
    <w:rsid w:val="00880DC8"/>
    <w:rsid w:val="008810DB"/>
    <w:rsid w:val="00881985"/>
    <w:rsid w:val="00883285"/>
    <w:rsid w:val="0088492E"/>
    <w:rsid w:val="00886599"/>
    <w:rsid w:val="0088678F"/>
    <w:rsid w:val="00886962"/>
    <w:rsid w:val="0088712B"/>
    <w:rsid w:val="008873A1"/>
    <w:rsid w:val="00890675"/>
    <w:rsid w:val="00891B68"/>
    <w:rsid w:val="008923CD"/>
    <w:rsid w:val="00893193"/>
    <w:rsid w:val="008934E0"/>
    <w:rsid w:val="008A123C"/>
    <w:rsid w:val="008A12C3"/>
    <w:rsid w:val="008A2DC0"/>
    <w:rsid w:val="008A7564"/>
    <w:rsid w:val="008B096E"/>
    <w:rsid w:val="008B1415"/>
    <w:rsid w:val="008B1F02"/>
    <w:rsid w:val="008B218E"/>
    <w:rsid w:val="008B30A2"/>
    <w:rsid w:val="008B58C9"/>
    <w:rsid w:val="008B5F44"/>
    <w:rsid w:val="008B6162"/>
    <w:rsid w:val="008B6F25"/>
    <w:rsid w:val="008C0AA6"/>
    <w:rsid w:val="008C1CD2"/>
    <w:rsid w:val="008C24B8"/>
    <w:rsid w:val="008C263C"/>
    <w:rsid w:val="008C36C4"/>
    <w:rsid w:val="008C5630"/>
    <w:rsid w:val="008C5C08"/>
    <w:rsid w:val="008C6970"/>
    <w:rsid w:val="008C79BB"/>
    <w:rsid w:val="008D0978"/>
    <w:rsid w:val="008D30F7"/>
    <w:rsid w:val="008D4233"/>
    <w:rsid w:val="008D5808"/>
    <w:rsid w:val="008D68A6"/>
    <w:rsid w:val="008D6CDE"/>
    <w:rsid w:val="008D7803"/>
    <w:rsid w:val="008E0E60"/>
    <w:rsid w:val="008E0EE2"/>
    <w:rsid w:val="008E3032"/>
    <w:rsid w:val="008E3950"/>
    <w:rsid w:val="008E3E92"/>
    <w:rsid w:val="008E4370"/>
    <w:rsid w:val="008E4838"/>
    <w:rsid w:val="008E68E1"/>
    <w:rsid w:val="008E699E"/>
    <w:rsid w:val="008E7C2A"/>
    <w:rsid w:val="008F02BD"/>
    <w:rsid w:val="008F075D"/>
    <w:rsid w:val="008F1C31"/>
    <w:rsid w:val="008F3021"/>
    <w:rsid w:val="008F650E"/>
    <w:rsid w:val="008F6D6E"/>
    <w:rsid w:val="008F6DC1"/>
    <w:rsid w:val="008F7C1E"/>
    <w:rsid w:val="0090028B"/>
    <w:rsid w:val="0090314E"/>
    <w:rsid w:val="00903BDC"/>
    <w:rsid w:val="00903D80"/>
    <w:rsid w:val="00904546"/>
    <w:rsid w:val="0090646B"/>
    <w:rsid w:val="00906649"/>
    <w:rsid w:val="00907530"/>
    <w:rsid w:val="009101B2"/>
    <w:rsid w:val="0091121B"/>
    <w:rsid w:val="009116B8"/>
    <w:rsid w:val="00913078"/>
    <w:rsid w:val="00914958"/>
    <w:rsid w:val="009165CB"/>
    <w:rsid w:val="00916C5D"/>
    <w:rsid w:val="0091781D"/>
    <w:rsid w:val="00917AE1"/>
    <w:rsid w:val="00917E95"/>
    <w:rsid w:val="00921E41"/>
    <w:rsid w:val="0092205B"/>
    <w:rsid w:val="00922345"/>
    <w:rsid w:val="00922603"/>
    <w:rsid w:val="00922B8B"/>
    <w:rsid w:val="00924BB2"/>
    <w:rsid w:val="00924E35"/>
    <w:rsid w:val="009252C9"/>
    <w:rsid w:val="009268D4"/>
    <w:rsid w:val="00927C22"/>
    <w:rsid w:val="009307E6"/>
    <w:rsid w:val="009313A7"/>
    <w:rsid w:val="00931A29"/>
    <w:rsid w:val="00933846"/>
    <w:rsid w:val="00934FC9"/>
    <w:rsid w:val="00936680"/>
    <w:rsid w:val="00937140"/>
    <w:rsid w:val="00940A35"/>
    <w:rsid w:val="00941920"/>
    <w:rsid w:val="00942EB3"/>
    <w:rsid w:val="009438AF"/>
    <w:rsid w:val="00944334"/>
    <w:rsid w:val="0094456D"/>
    <w:rsid w:val="0094577A"/>
    <w:rsid w:val="009457F1"/>
    <w:rsid w:val="00945936"/>
    <w:rsid w:val="009469F6"/>
    <w:rsid w:val="0094743A"/>
    <w:rsid w:val="0094746B"/>
    <w:rsid w:val="00947617"/>
    <w:rsid w:val="00952D62"/>
    <w:rsid w:val="00954E17"/>
    <w:rsid w:val="00955ED7"/>
    <w:rsid w:val="009565E7"/>
    <w:rsid w:val="0095713A"/>
    <w:rsid w:val="00961A7A"/>
    <w:rsid w:val="00962264"/>
    <w:rsid w:val="0096356A"/>
    <w:rsid w:val="00966518"/>
    <w:rsid w:val="0097106F"/>
    <w:rsid w:val="00971C8B"/>
    <w:rsid w:val="00971F62"/>
    <w:rsid w:val="00974204"/>
    <w:rsid w:val="00974362"/>
    <w:rsid w:val="0097657B"/>
    <w:rsid w:val="009806B4"/>
    <w:rsid w:val="00980971"/>
    <w:rsid w:val="009813CE"/>
    <w:rsid w:val="00982598"/>
    <w:rsid w:val="009847E5"/>
    <w:rsid w:val="00984B13"/>
    <w:rsid w:val="0098508B"/>
    <w:rsid w:val="009855BA"/>
    <w:rsid w:val="00986661"/>
    <w:rsid w:val="00992E6E"/>
    <w:rsid w:val="00994850"/>
    <w:rsid w:val="00996516"/>
    <w:rsid w:val="00996B09"/>
    <w:rsid w:val="009A0A9E"/>
    <w:rsid w:val="009A0B72"/>
    <w:rsid w:val="009A10DB"/>
    <w:rsid w:val="009A1A65"/>
    <w:rsid w:val="009A1F9A"/>
    <w:rsid w:val="009A2026"/>
    <w:rsid w:val="009A39A5"/>
    <w:rsid w:val="009A726E"/>
    <w:rsid w:val="009B0745"/>
    <w:rsid w:val="009B08E4"/>
    <w:rsid w:val="009B236A"/>
    <w:rsid w:val="009B2A58"/>
    <w:rsid w:val="009B37CB"/>
    <w:rsid w:val="009B3AE1"/>
    <w:rsid w:val="009B4110"/>
    <w:rsid w:val="009B4452"/>
    <w:rsid w:val="009B4B17"/>
    <w:rsid w:val="009B5815"/>
    <w:rsid w:val="009B61C4"/>
    <w:rsid w:val="009B6301"/>
    <w:rsid w:val="009C1D85"/>
    <w:rsid w:val="009C1FBF"/>
    <w:rsid w:val="009C2E71"/>
    <w:rsid w:val="009C3D1A"/>
    <w:rsid w:val="009C40AA"/>
    <w:rsid w:val="009C56F0"/>
    <w:rsid w:val="009D01FB"/>
    <w:rsid w:val="009D0B6D"/>
    <w:rsid w:val="009D13BE"/>
    <w:rsid w:val="009D1925"/>
    <w:rsid w:val="009D579C"/>
    <w:rsid w:val="009E3722"/>
    <w:rsid w:val="009E4878"/>
    <w:rsid w:val="009E640F"/>
    <w:rsid w:val="009E6948"/>
    <w:rsid w:val="009E715B"/>
    <w:rsid w:val="009E71C0"/>
    <w:rsid w:val="009E7B4A"/>
    <w:rsid w:val="009F12DC"/>
    <w:rsid w:val="009F1624"/>
    <w:rsid w:val="009F24FF"/>
    <w:rsid w:val="009F273A"/>
    <w:rsid w:val="009F3ABD"/>
    <w:rsid w:val="009F3ED3"/>
    <w:rsid w:val="009F4A76"/>
    <w:rsid w:val="009F4D23"/>
    <w:rsid w:val="009F650C"/>
    <w:rsid w:val="009F6B60"/>
    <w:rsid w:val="009F7D4A"/>
    <w:rsid w:val="00A0043E"/>
    <w:rsid w:val="00A013BF"/>
    <w:rsid w:val="00A01FF7"/>
    <w:rsid w:val="00A024C7"/>
    <w:rsid w:val="00A02972"/>
    <w:rsid w:val="00A042F7"/>
    <w:rsid w:val="00A05C68"/>
    <w:rsid w:val="00A07BAA"/>
    <w:rsid w:val="00A107A9"/>
    <w:rsid w:val="00A10DD1"/>
    <w:rsid w:val="00A11B56"/>
    <w:rsid w:val="00A12B71"/>
    <w:rsid w:val="00A14745"/>
    <w:rsid w:val="00A15325"/>
    <w:rsid w:val="00A1563D"/>
    <w:rsid w:val="00A17897"/>
    <w:rsid w:val="00A179C3"/>
    <w:rsid w:val="00A203EB"/>
    <w:rsid w:val="00A219BC"/>
    <w:rsid w:val="00A222C7"/>
    <w:rsid w:val="00A23728"/>
    <w:rsid w:val="00A2425A"/>
    <w:rsid w:val="00A253F5"/>
    <w:rsid w:val="00A25959"/>
    <w:rsid w:val="00A25FD7"/>
    <w:rsid w:val="00A26028"/>
    <w:rsid w:val="00A3094F"/>
    <w:rsid w:val="00A339B6"/>
    <w:rsid w:val="00A34048"/>
    <w:rsid w:val="00A3454E"/>
    <w:rsid w:val="00A352DC"/>
    <w:rsid w:val="00A36433"/>
    <w:rsid w:val="00A369F2"/>
    <w:rsid w:val="00A40223"/>
    <w:rsid w:val="00A40559"/>
    <w:rsid w:val="00A44202"/>
    <w:rsid w:val="00A454A1"/>
    <w:rsid w:val="00A46411"/>
    <w:rsid w:val="00A47300"/>
    <w:rsid w:val="00A4782D"/>
    <w:rsid w:val="00A5083E"/>
    <w:rsid w:val="00A530C5"/>
    <w:rsid w:val="00A53153"/>
    <w:rsid w:val="00A54BF0"/>
    <w:rsid w:val="00A5553D"/>
    <w:rsid w:val="00A562C1"/>
    <w:rsid w:val="00A56551"/>
    <w:rsid w:val="00A56DD0"/>
    <w:rsid w:val="00A57183"/>
    <w:rsid w:val="00A5791E"/>
    <w:rsid w:val="00A57B8A"/>
    <w:rsid w:val="00A60000"/>
    <w:rsid w:val="00A61122"/>
    <w:rsid w:val="00A639C4"/>
    <w:rsid w:val="00A6571F"/>
    <w:rsid w:val="00A6791E"/>
    <w:rsid w:val="00A70BA6"/>
    <w:rsid w:val="00A71A59"/>
    <w:rsid w:val="00A724A6"/>
    <w:rsid w:val="00A72ED8"/>
    <w:rsid w:val="00A7389B"/>
    <w:rsid w:val="00A74736"/>
    <w:rsid w:val="00A74A0B"/>
    <w:rsid w:val="00A751DD"/>
    <w:rsid w:val="00A7625B"/>
    <w:rsid w:val="00A77950"/>
    <w:rsid w:val="00A77A84"/>
    <w:rsid w:val="00A77DED"/>
    <w:rsid w:val="00A820AA"/>
    <w:rsid w:val="00A853C6"/>
    <w:rsid w:val="00A854EF"/>
    <w:rsid w:val="00A85C52"/>
    <w:rsid w:val="00A85CDB"/>
    <w:rsid w:val="00A87657"/>
    <w:rsid w:val="00A909CF"/>
    <w:rsid w:val="00A90A12"/>
    <w:rsid w:val="00A90F84"/>
    <w:rsid w:val="00A9210A"/>
    <w:rsid w:val="00A9256C"/>
    <w:rsid w:val="00A92DD8"/>
    <w:rsid w:val="00A9421C"/>
    <w:rsid w:val="00A97EC4"/>
    <w:rsid w:val="00AA0608"/>
    <w:rsid w:val="00AA0C25"/>
    <w:rsid w:val="00AA0DBD"/>
    <w:rsid w:val="00AA1618"/>
    <w:rsid w:val="00AA1A4B"/>
    <w:rsid w:val="00AA23F1"/>
    <w:rsid w:val="00AA434A"/>
    <w:rsid w:val="00AA7302"/>
    <w:rsid w:val="00AA76D5"/>
    <w:rsid w:val="00AB05B0"/>
    <w:rsid w:val="00AB0F79"/>
    <w:rsid w:val="00AB1994"/>
    <w:rsid w:val="00AB1A72"/>
    <w:rsid w:val="00AB4C14"/>
    <w:rsid w:val="00AB51F2"/>
    <w:rsid w:val="00AB5557"/>
    <w:rsid w:val="00AB63E1"/>
    <w:rsid w:val="00AB73B7"/>
    <w:rsid w:val="00AB749C"/>
    <w:rsid w:val="00AB7BFB"/>
    <w:rsid w:val="00AC0A0B"/>
    <w:rsid w:val="00AC0F32"/>
    <w:rsid w:val="00AC0F4C"/>
    <w:rsid w:val="00AC1A37"/>
    <w:rsid w:val="00AC297C"/>
    <w:rsid w:val="00AC2CBB"/>
    <w:rsid w:val="00AC3877"/>
    <w:rsid w:val="00AC59C4"/>
    <w:rsid w:val="00AC643D"/>
    <w:rsid w:val="00AC6561"/>
    <w:rsid w:val="00AC68C7"/>
    <w:rsid w:val="00AC6D28"/>
    <w:rsid w:val="00AD25CB"/>
    <w:rsid w:val="00AD2764"/>
    <w:rsid w:val="00AD2A01"/>
    <w:rsid w:val="00AD417E"/>
    <w:rsid w:val="00AD4C7B"/>
    <w:rsid w:val="00AD5CB3"/>
    <w:rsid w:val="00AD6551"/>
    <w:rsid w:val="00AD674A"/>
    <w:rsid w:val="00AD77B0"/>
    <w:rsid w:val="00AE095D"/>
    <w:rsid w:val="00AE0A89"/>
    <w:rsid w:val="00AE12CB"/>
    <w:rsid w:val="00AE1811"/>
    <w:rsid w:val="00AE1EEC"/>
    <w:rsid w:val="00AE28A1"/>
    <w:rsid w:val="00AE356F"/>
    <w:rsid w:val="00AE3C00"/>
    <w:rsid w:val="00AE4059"/>
    <w:rsid w:val="00AE4869"/>
    <w:rsid w:val="00AE4A73"/>
    <w:rsid w:val="00AE4CD0"/>
    <w:rsid w:val="00AE548C"/>
    <w:rsid w:val="00AE597B"/>
    <w:rsid w:val="00AE6634"/>
    <w:rsid w:val="00AE683C"/>
    <w:rsid w:val="00AE7B83"/>
    <w:rsid w:val="00AF0AB4"/>
    <w:rsid w:val="00AF0C52"/>
    <w:rsid w:val="00AF19EF"/>
    <w:rsid w:val="00AF1A29"/>
    <w:rsid w:val="00AF7130"/>
    <w:rsid w:val="00AF74E7"/>
    <w:rsid w:val="00AF7EEF"/>
    <w:rsid w:val="00B02C8F"/>
    <w:rsid w:val="00B0381A"/>
    <w:rsid w:val="00B05430"/>
    <w:rsid w:val="00B0671D"/>
    <w:rsid w:val="00B070EC"/>
    <w:rsid w:val="00B07458"/>
    <w:rsid w:val="00B1092B"/>
    <w:rsid w:val="00B10CC5"/>
    <w:rsid w:val="00B10CD7"/>
    <w:rsid w:val="00B11235"/>
    <w:rsid w:val="00B119BA"/>
    <w:rsid w:val="00B11C1E"/>
    <w:rsid w:val="00B11CE5"/>
    <w:rsid w:val="00B12627"/>
    <w:rsid w:val="00B14E96"/>
    <w:rsid w:val="00B1508E"/>
    <w:rsid w:val="00B15D1B"/>
    <w:rsid w:val="00B1642A"/>
    <w:rsid w:val="00B16929"/>
    <w:rsid w:val="00B20E5E"/>
    <w:rsid w:val="00B219D0"/>
    <w:rsid w:val="00B21EFA"/>
    <w:rsid w:val="00B23468"/>
    <w:rsid w:val="00B2358B"/>
    <w:rsid w:val="00B23A60"/>
    <w:rsid w:val="00B23A61"/>
    <w:rsid w:val="00B260DD"/>
    <w:rsid w:val="00B268A2"/>
    <w:rsid w:val="00B2697A"/>
    <w:rsid w:val="00B26E0A"/>
    <w:rsid w:val="00B27ED2"/>
    <w:rsid w:val="00B305A2"/>
    <w:rsid w:val="00B307DA"/>
    <w:rsid w:val="00B3232B"/>
    <w:rsid w:val="00B35093"/>
    <w:rsid w:val="00B35C0A"/>
    <w:rsid w:val="00B37D8A"/>
    <w:rsid w:val="00B40B7B"/>
    <w:rsid w:val="00B41C12"/>
    <w:rsid w:val="00B42D31"/>
    <w:rsid w:val="00B44628"/>
    <w:rsid w:val="00B46074"/>
    <w:rsid w:val="00B460C8"/>
    <w:rsid w:val="00B4718D"/>
    <w:rsid w:val="00B50425"/>
    <w:rsid w:val="00B54106"/>
    <w:rsid w:val="00B5734E"/>
    <w:rsid w:val="00B57959"/>
    <w:rsid w:val="00B57AC6"/>
    <w:rsid w:val="00B60390"/>
    <w:rsid w:val="00B60B7C"/>
    <w:rsid w:val="00B60C4F"/>
    <w:rsid w:val="00B648C0"/>
    <w:rsid w:val="00B64BDA"/>
    <w:rsid w:val="00B66297"/>
    <w:rsid w:val="00B6662A"/>
    <w:rsid w:val="00B66B13"/>
    <w:rsid w:val="00B70480"/>
    <w:rsid w:val="00B709D2"/>
    <w:rsid w:val="00B714C2"/>
    <w:rsid w:val="00B716F9"/>
    <w:rsid w:val="00B71853"/>
    <w:rsid w:val="00B7204C"/>
    <w:rsid w:val="00B72098"/>
    <w:rsid w:val="00B725F5"/>
    <w:rsid w:val="00B72C01"/>
    <w:rsid w:val="00B73260"/>
    <w:rsid w:val="00B7389E"/>
    <w:rsid w:val="00B74022"/>
    <w:rsid w:val="00B746D2"/>
    <w:rsid w:val="00B74B2F"/>
    <w:rsid w:val="00B75425"/>
    <w:rsid w:val="00B7603C"/>
    <w:rsid w:val="00B764F9"/>
    <w:rsid w:val="00B76923"/>
    <w:rsid w:val="00B76AE9"/>
    <w:rsid w:val="00B76C2C"/>
    <w:rsid w:val="00B77CEC"/>
    <w:rsid w:val="00B817ED"/>
    <w:rsid w:val="00B81E9D"/>
    <w:rsid w:val="00B83213"/>
    <w:rsid w:val="00B83247"/>
    <w:rsid w:val="00B83B56"/>
    <w:rsid w:val="00B83E19"/>
    <w:rsid w:val="00B842F5"/>
    <w:rsid w:val="00B848C0"/>
    <w:rsid w:val="00B85385"/>
    <w:rsid w:val="00B874B9"/>
    <w:rsid w:val="00B87A99"/>
    <w:rsid w:val="00B90184"/>
    <w:rsid w:val="00B90432"/>
    <w:rsid w:val="00B90C91"/>
    <w:rsid w:val="00B92C49"/>
    <w:rsid w:val="00B938EF"/>
    <w:rsid w:val="00B94383"/>
    <w:rsid w:val="00B972DF"/>
    <w:rsid w:val="00B974E4"/>
    <w:rsid w:val="00B97CE0"/>
    <w:rsid w:val="00BA0738"/>
    <w:rsid w:val="00BA2323"/>
    <w:rsid w:val="00BA53F8"/>
    <w:rsid w:val="00BA63BE"/>
    <w:rsid w:val="00BB07D3"/>
    <w:rsid w:val="00BB0C2A"/>
    <w:rsid w:val="00BB1177"/>
    <w:rsid w:val="00BB1AA7"/>
    <w:rsid w:val="00BB1BDA"/>
    <w:rsid w:val="00BB295F"/>
    <w:rsid w:val="00BB2F68"/>
    <w:rsid w:val="00BB52D7"/>
    <w:rsid w:val="00BB5E20"/>
    <w:rsid w:val="00BB5EDC"/>
    <w:rsid w:val="00BC04C6"/>
    <w:rsid w:val="00BC09A8"/>
    <w:rsid w:val="00BC2A32"/>
    <w:rsid w:val="00BC32C9"/>
    <w:rsid w:val="00BC393D"/>
    <w:rsid w:val="00BC4AEA"/>
    <w:rsid w:val="00BC6D46"/>
    <w:rsid w:val="00BC7A69"/>
    <w:rsid w:val="00BC7C87"/>
    <w:rsid w:val="00BD0671"/>
    <w:rsid w:val="00BD107B"/>
    <w:rsid w:val="00BD209B"/>
    <w:rsid w:val="00BD20C7"/>
    <w:rsid w:val="00BD25F8"/>
    <w:rsid w:val="00BD4955"/>
    <w:rsid w:val="00BD4B7B"/>
    <w:rsid w:val="00BD7180"/>
    <w:rsid w:val="00BE040C"/>
    <w:rsid w:val="00BE0A21"/>
    <w:rsid w:val="00BE0F7D"/>
    <w:rsid w:val="00BE2303"/>
    <w:rsid w:val="00BE256B"/>
    <w:rsid w:val="00BE3DE9"/>
    <w:rsid w:val="00BE4FAC"/>
    <w:rsid w:val="00BE50CE"/>
    <w:rsid w:val="00BE52B2"/>
    <w:rsid w:val="00BE5CF2"/>
    <w:rsid w:val="00BE61AA"/>
    <w:rsid w:val="00BF234B"/>
    <w:rsid w:val="00BF2371"/>
    <w:rsid w:val="00BF28F7"/>
    <w:rsid w:val="00BF542F"/>
    <w:rsid w:val="00BF571C"/>
    <w:rsid w:val="00BF6447"/>
    <w:rsid w:val="00BF6C5B"/>
    <w:rsid w:val="00BF7837"/>
    <w:rsid w:val="00BF7A87"/>
    <w:rsid w:val="00C00A70"/>
    <w:rsid w:val="00C022F7"/>
    <w:rsid w:val="00C039B1"/>
    <w:rsid w:val="00C03E3B"/>
    <w:rsid w:val="00C05704"/>
    <w:rsid w:val="00C05C83"/>
    <w:rsid w:val="00C05DE0"/>
    <w:rsid w:val="00C07532"/>
    <w:rsid w:val="00C076CD"/>
    <w:rsid w:val="00C079F4"/>
    <w:rsid w:val="00C07E27"/>
    <w:rsid w:val="00C11B81"/>
    <w:rsid w:val="00C14303"/>
    <w:rsid w:val="00C15068"/>
    <w:rsid w:val="00C15A68"/>
    <w:rsid w:val="00C1626C"/>
    <w:rsid w:val="00C17BAE"/>
    <w:rsid w:val="00C20245"/>
    <w:rsid w:val="00C21031"/>
    <w:rsid w:val="00C22507"/>
    <w:rsid w:val="00C231BE"/>
    <w:rsid w:val="00C23FBA"/>
    <w:rsid w:val="00C23FC6"/>
    <w:rsid w:val="00C24B6E"/>
    <w:rsid w:val="00C25DBF"/>
    <w:rsid w:val="00C26B5E"/>
    <w:rsid w:val="00C26C2C"/>
    <w:rsid w:val="00C27529"/>
    <w:rsid w:val="00C31930"/>
    <w:rsid w:val="00C31944"/>
    <w:rsid w:val="00C32A6F"/>
    <w:rsid w:val="00C32AAB"/>
    <w:rsid w:val="00C331E7"/>
    <w:rsid w:val="00C33217"/>
    <w:rsid w:val="00C33D1F"/>
    <w:rsid w:val="00C36A0C"/>
    <w:rsid w:val="00C36F53"/>
    <w:rsid w:val="00C408F7"/>
    <w:rsid w:val="00C415B3"/>
    <w:rsid w:val="00C42665"/>
    <w:rsid w:val="00C428BE"/>
    <w:rsid w:val="00C42A86"/>
    <w:rsid w:val="00C42DBE"/>
    <w:rsid w:val="00C437D2"/>
    <w:rsid w:val="00C445E2"/>
    <w:rsid w:val="00C457EC"/>
    <w:rsid w:val="00C464F2"/>
    <w:rsid w:val="00C46C0E"/>
    <w:rsid w:val="00C47120"/>
    <w:rsid w:val="00C47B79"/>
    <w:rsid w:val="00C518AC"/>
    <w:rsid w:val="00C52B3A"/>
    <w:rsid w:val="00C541C0"/>
    <w:rsid w:val="00C55CE0"/>
    <w:rsid w:val="00C56136"/>
    <w:rsid w:val="00C57573"/>
    <w:rsid w:val="00C57954"/>
    <w:rsid w:val="00C6024F"/>
    <w:rsid w:val="00C61176"/>
    <w:rsid w:val="00C611FA"/>
    <w:rsid w:val="00C630AB"/>
    <w:rsid w:val="00C634BC"/>
    <w:rsid w:val="00C6444A"/>
    <w:rsid w:val="00C64566"/>
    <w:rsid w:val="00C651D1"/>
    <w:rsid w:val="00C6627D"/>
    <w:rsid w:val="00C66D16"/>
    <w:rsid w:val="00C66F86"/>
    <w:rsid w:val="00C70136"/>
    <w:rsid w:val="00C71774"/>
    <w:rsid w:val="00C72762"/>
    <w:rsid w:val="00C73A5D"/>
    <w:rsid w:val="00C74413"/>
    <w:rsid w:val="00C74E9D"/>
    <w:rsid w:val="00C75077"/>
    <w:rsid w:val="00C75786"/>
    <w:rsid w:val="00C7614B"/>
    <w:rsid w:val="00C767F7"/>
    <w:rsid w:val="00C770E7"/>
    <w:rsid w:val="00C775A8"/>
    <w:rsid w:val="00C80574"/>
    <w:rsid w:val="00C811DD"/>
    <w:rsid w:val="00C841B1"/>
    <w:rsid w:val="00C84F61"/>
    <w:rsid w:val="00C86470"/>
    <w:rsid w:val="00C86B10"/>
    <w:rsid w:val="00C9035E"/>
    <w:rsid w:val="00C92518"/>
    <w:rsid w:val="00C92A2C"/>
    <w:rsid w:val="00C93BB8"/>
    <w:rsid w:val="00C940C0"/>
    <w:rsid w:val="00C95DCF"/>
    <w:rsid w:val="00C95E36"/>
    <w:rsid w:val="00C95F94"/>
    <w:rsid w:val="00C97B4C"/>
    <w:rsid w:val="00CA049F"/>
    <w:rsid w:val="00CA09ED"/>
    <w:rsid w:val="00CA1D2A"/>
    <w:rsid w:val="00CA3511"/>
    <w:rsid w:val="00CA4FAD"/>
    <w:rsid w:val="00CA571A"/>
    <w:rsid w:val="00CA7014"/>
    <w:rsid w:val="00CB5FE1"/>
    <w:rsid w:val="00CB6885"/>
    <w:rsid w:val="00CB6A57"/>
    <w:rsid w:val="00CB7B62"/>
    <w:rsid w:val="00CC1A0F"/>
    <w:rsid w:val="00CC2983"/>
    <w:rsid w:val="00CC2CFA"/>
    <w:rsid w:val="00CC35B7"/>
    <w:rsid w:val="00CC3937"/>
    <w:rsid w:val="00CC3BA9"/>
    <w:rsid w:val="00CC3D25"/>
    <w:rsid w:val="00CC4CC2"/>
    <w:rsid w:val="00CD13A6"/>
    <w:rsid w:val="00CD21B3"/>
    <w:rsid w:val="00CD2569"/>
    <w:rsid w:val="00CD3BD3"/>
    <w:rsid w:val="00CD41D3"/>
    <w:rsid w:val="00CD53BE"/>
    <w:rsid w:val="00CD6501"/>
    <w:rsid w:val="00CD6747"/>
    <w:rsid w:val="00CD68BA"/>
    <w:rsid w:val="00CD6CA2"/>
    <w:rsid w:val="00CD7038"/>
    <w:rsid w:val="00CD73FF"/>
    <w:rsid w:val="00CD7438"/>
    <w:rsid w:val="00CD7778"/>
    <w:rsid w:val="00CE029A"/>
    <w:rsid w:val="00CE0ED6"/>
    <w:rsid w:val="00CE2937"/>
    <w:rsid w:val="00CE29AE"/>
    <w:rsid w:val="00CE30E2"/>
    <w:rsid w:val="00CF0593"/>
    <w:rsid w:val="00CF3618"/>
    <w:rsid w:val="00CF3F47"/>
    <w:rsid w:val="00CF5646"/>
    <w:rsid w:val="00CF63AE"/>
    <w:rsid w:val="00CF6FBA"/>
    <w:rsid w:val="00D007DF"/>
    <w:rsid w:val="00D00EA2"/>
    <w:rsid w:val="00D01176"/>
    <w:rsid w:val="00D01AF1"/>
    <w:rsid w:val="00D01F2E"/>
    <w:rsid w:val="00D031F3"/>
    <w:rsid w:val="00D033F8"/>
    <w:rsid w:val="00D03D2C"/>
    <w:rsid w:val="00D03DBB"/>
    <w:rsid w:val="00D04792"/>
    <w:rsid w:val="00D04A87"/>
    <w:rsid w:val="00D04B11"/>
    <w:rsid w:val="00D11A2C"/>
    <w:rsid w:val="00D11FF7"/>
    <w:rsid w:val="00D13870"/>
    <w:rsid w:val="00D13DBB"/>
    <w:rsid w:val="00D14A6F"/>
    <w:rsid w:val="00D16449"/>
    <w:rsid w:val="00D166DD"/>
    <w:rsid w:val="00D17320"/>
    <w:rsid w:val="00D17989"/>
    <w:rsid w:val="00D20244"/>
    <w:rsid w:val="00D2080E"/>
    <w:rsid w:val="00D211D9"/>
    <w:rsid w:val="00D21DE1"/>
    <w:rsid w:val="00D23035"/>
    <w:rsid w:val="00D24437"/>
    <w:rsid w:val="00D25008"/>
    <w:rsid w:val="00D3136E"/>
    <w:rsid w:val="00D3179A"/>
    <w:rsid w:val="00D319B8"/>
    <w:rsid w:val="00D342F6"/>
    <w:rsid w:val="00D3557A"/>
    <w:rsid w:val="00D3708B"/>
    <w:rsid w:val="00D3749A"/>
    <w:rsid w:val="00D37851"/>
    <w:rsid w:val="00D40F11"/>
    <w:rsid w:val="00D42552"/>
    <w:rsid w:val="00D4288C"/>
    <w:rsid w:val="00D43329"/>
    <w:rsid w:val="00D43E83"/>
    <w:rsid w:val="00D442C3"/>
    <w:rsid w:val="00D44CDD"/>
    <w:rsid w:val="00D4532E"/>
    <w:rsid w:val="00D45D64"/>
    <w:rsid w:val="00D46BDF"/>
    <w:rsid w:val="00D46F5D"/>
    <w:rsid w:val="00D508AF"/>
    <w:rsid w:val="00D52114"/>
    <w:rsid w:val="00D5286D"/>
    <w:rsid w:val="00D5358B"/>
    <w:rsid w:val="00D54AB1"/>
    <w:rsid w:val="00D5607A"/>
    <w:rsid w:val="00D566F5"/>
    <w:rsid w:val="00D57E6C"/>
    <w:rsid w:val="00D62105"/>
    <w:rsid w:val="00D63417"/>
    <w:rsid w:val="00D6488B"/>
    <w:rsid w:val="00D64B89"/>
    <w:rsid w:val="00D65922"/>
    <w:rsid w:val="00D65FF7"/>
    <w:rsid w:val="00D66EEA"/>
    <w:rsid w:val="00D67870"/>
    <w:rsid w:val="00D721EB"/>
    <w:rsid w:val="00D72651"/>
    <w:rsid w:val="00D73768"/>
    <w:rsid w:val="00D744A0"/>
    <w:rsid w:val="00D75A1E"/>
    <w:rsid w:val="00D75EEB"/>
    <w:rsid w:val="00D7660F"/>
    <w:rsid w:val="00D76F5E"/>
    <w:rsid w:val="00D7733C"/>
    <w:rsid w:val="00D77B06"/>
    <w:rsid w:val="00D77FC0"/>
    <w:rsid w:val="00D8003F"/>
    <w:rsid w:val="00D84225"/>
    <w:rsid w:val="00D852A0"/>
    <w:rsid w:val="00D8544C"/>
    <w:rsid w:val="00D859FB"/>
    <w:rsid w:val="00D85BE8"/>
    <w:rsid w:val="00D85EF6"/>
    <w:rsid w:val="00D866EA"/>
    <w:rsid w:val="00D925C1"/>
    <w:rsid w:val="00D92AD4"/>
    <w:rsid w:val="00D9330E"/>
    <w:rsid w:val="00D935B7"/>
    <w:rsid w:val="00D93A3C"/>
    <w:rsid w:val="00D93C7B"/>
    <w:rsid w:val="00D947F0"/>
    <w:rsid w:val="00D94871"/>
    <w:rsid w:val="00D95422"/>
    <w:rsid w:val="00D97592"/>
    <w:rsid w:val="00D97E95"/>
    <w:rsid w:val="00D97F9D"/>
    <w:rsid w:val="00DA0344"/>
    <w:rsid w:val="00DA0DE1"/>
    <w:rsid w:val="00DA1D11"/>
    <w:rsid w:val="00DA3536"/>
    <w:rsid w:val="00DA3A31"/>
    <w:rsid w:val="00DA3A97"/>
    <w:rsid w:val="00DA4DEF"/>
    <w:rsid w:val="00DA5C8B"/>
    <w:rsid w:val="00DA5FFC"/>
    <w:rsid w:val="00DA622A"/>
    <w:rsid w:val="00DA6EEA"/>
    <w:rsid w:val="00DA7F9C"/>
    <w:rsid w:val="00DB1338"/>
    <w:rsid w:val="00DB4362"/>
    <w:rsid w:val="00DB5FD6"/>
    <w:rsid w:val="00DB65BC"/>
    <w:rsid w:val="00DB6C7B"/>
    <w:rsid w:val="00DC31FE"/>
    <w:rsid w:val="00DC42DD"/>
    <w:rsid w:val="00DC4A70"/>
    <w:rsid w:val="00DC5453"/>
    <w:rsid w:val="00DC748D"/>
    <w:rsid w:val="00DD0634"/>
    <w:rsid w:val="00DD06FD"/>
    <w:rsid w:val="00DD107D"/>
    <w:rsid w:val="00DD1145"/>
    <w:rsid w:val="00DD1EF9"/>
    <w:rsid w:val="00DD3412"/>
    <w:rsid w:val="00DD3511"/>
    <w:rsid w:val="00DD3BC3"/>
    <w:rsid w:val="00DD4685"/>
    <w:rsid w:val="00DD5847"/>
    <w:rsid w:val="00DD6733"/>
    <w:rsid w:val="00DD7C14"/>
    <w:rsid w:val="00DE03A7"/>
    <w:rsid w:val="00DE180F"/>
    <w:rsid w:val="00DE25EF"/>
    <w:rsid w:val="00DE2F38"/>
    <w:rsid w:val="00DE2FB6"/>
    <w:rsid w:val="00DE3C47"/>
    <w:rsid w:val="00DE3C87"/>
    <w:rsid w:val="00DE478A"/>
    <w:rsid w:val="00DE5447"/>
    <w:rsid w:val="00DE62F3"/>
    <w:rsid w:val="00DE7E0E"/>
    <w:rsid w:val="00DE7F93"/>
    <w:rsid w:val="00DF06D8"/>
    <w:rsid w:val="00DF098C"/>
    <w:rsid w:val="00DF0D6E"/>
    <w:rsid w:val="00DF103E"/>
    <w:rsid w:val="00DF15CD"/>
    <w:rsid w:val="00DF2F4F"/>
    <w:rsid w:val="00DF3124"/>
    <w:rsid w:val="00DF315B"/>
    <w:rsid w:val="00DF395A"/>
    <w:rsid w:val="00DF3A7C"/>
    <w:rsid w:val="00DF3DA6"/>
    <w:rsid w:val="00DF4FEA"/>
    <w:rsid w:val="00DF5789"/>
    <w:rsid w:val="00DF5E87"/>
    <w:rsid w:val="00DF676A"/>
    <w:rsid w:val="00DF7FBA"/>
    <w:rsid w:val="00E00711"/>
    <w:rsid w:val="00E00DAC"/>
    <w:rsid w:val="00E00DEC"/>
    <w:rsid w:val="00E03749"/>
    <w:rsid w:val="00E040A0"/>
    <w:rsid w:val="00E0643E"/>
    <w:rsid w:val="00E06786"/>
    <w:rsid w:val="00E077DD"/>
    <w:rsid w:val="00E07C00"/>
    <w:rsid w:val="00E114B7"/>
    <w:rsid w:val="00E158CC"/>
    <w:rsid w:val="00E21B69"/>
    <w:rsid w:val="00E22488"/>
    <w:rsid w:val="00E233C4"/>
    <w:rsid w:val="00E233CB"/>
    <w:rsid w:val="00E25322"/>
    <w:rsid w:val="00E27A8B"/>
    <w:rsid w:val="00E30A0B"/>
    <w:rsid w:val="00E310C4"/>
    <w:rsid w:val="00E31A59"/>
    <w:rsid w:val="00E31F4E"/>
    <w:rsid w:val="00E32BF9"/>
    <w:rsid w:val="00E33A94"/>
    <w:rsid w:val="00E33AFA"/>
    <w:rsid w:val="00E359F2"/>
    <w:rsid w:val="00E36D14"/>
    <w:rsid w:val="00E40A2C"/>
    <w:rsid w:val="00E40BBF"/>
    <w:rsid w:val="00E418A1"/>
    <w:rsid w:val="00E422B8"/>
    <w:rsid w:val="00E42E41"/>
    <w:rsid w:val="00E432EB"/>
    <w:rsid w:val="00E43DBD"/>
    <w:rsid w:val="00E4470B"/>
    <w:rsid w:val="00E4531D"/>
    <w:rsid w:val="00E459F8"/>
    <w:rsid w:val="00E4747F"/>
    <w:rsid w:val="00E50075"/>
    <w:rsid w:val="00E50187"/>
    <w:rsid w:val="00E54045"/>
    <w:rsid w:val="00E555D7"/>
    <w:rsid w:val="00E557F9"/>
    <w:rsid w:val="00E60F76"/>
    <w:rsid w:val="00E615A9"/>
    <w:rsid w:val="00E62012"/>
    <w:rsid w:val="00E640B8"/>
    <w:rsid w:val="00E67D46"/>
    <w:rsid w:val="00E67DCD"/>
    <w:rsid w:val="00E67DDA"/>
    <w:rsid w:val="00E701E7"/>
    <w:rsid w:val="00E71F4B"/>
    <w:rsid w:val="00E737BC"/>
    <w:rsid w:val="00E739A5"/>
    <w:rsid w:val="00E73B1E"/>
    <w:rsid w:val="00E743AA"/>
    <w:rsid w:val="00E74A44"/>
    <w:rsid w:val="00E759DC"/>
    <w:rsid w:val="00E76F89"/>
    <w:rsid w:val="00E77562"/>
    <w:rsid w:val="00E776F5"/>
    <w:rsid w:val="00E77723"/>
    <w:rsid w:val="00E77B66"/>
    <w:rsid w:val="00E77CC2"/>
    <w:rsid w:val="00E80A66"/>
    <w:rsid w:val="00E8201F"/>
    <w:rsid w:val="00E830D5"/>
    <w:rsid w:val="00E83272"/>
    <w:rsid w:val="00E83DAC"/>
    <w:rsid w:val="00E84198"/>
    <w:rsid w:val="00E8456B"/>
    <w:rsid w:val="00E84AF7"/>
    <w:rsid w:val="00E8573D"/>
    <w:rsid w:val="00E8581D"/>
    <w:rsid w:val="00E8636F"/>
    <w:rsid w:val="00E863A3"/>
    <w:rsid w:val="00E872E8"/>
    <w:rsid w:val="00E87CF5"/>
    <w:rsid w:val="00E90455"/>
    <w:rsid w:val="00E908E6"/>
    <w:rsid w:val="00E91072"/>
    <w:rsid w:val="00E91C5A"/>
    <w:rsid w:val="00E91DC1"/>
    <w:rsid w:val="00E9444A"/>
    <w:rsid w:val="00E95579"/>
    <w:rsid w:val="00E955F9"/>
    <w:rsid w:val="00E95BC7"/>
    <w:rsid w:val="00E965F9"/>
    <w:rsid w:val="00E96608"/>
    <w:rsid w:val="00E97204"/>
    <w:rsid w:val="00E975C8"/>
    <w:rsid w:val="00EA0966"/>
    <w:rsid w:val="00EA0C6F"/>
    <w:rsid w:val="00EA1528"/>
    <w:rsid w:val="00EA1B06"/>
    <w:rsid w:val="00EA4CAA"/>
    <w:rsid w:val="00EA61CF"/>
    <w:rsid w:val="00EA6625"/>
    <w:rsid w:val="00EA742E"/>
    <w:rsid w:val="00EA7927"/>
    <w:rsid w:val="00EA7B1B"/>
    <w:rsid w:val="00EB1CDE"/>
    <w:rsid w:val="00EB2BE3"/>
    <w:rsid w:val="00EB35C6"/>
    <w:rsid w:val="00EB3A30"/>
    <w:rsid w:val="00EB47B2"/>
    <w:rsid w:val="00EB4CD8"/>
    <w:rsid w:val="00EB67A4"/>
    <w:rsid w:val="00EB71F8"/>
    <w:rsid w:val="00EC04F9"/>
    <w:rsid w:val="00EC0727"/>
    <w:rsid w:val="00EC0B59"/>
    <w:rsid w:val="00EC4330"/>
    <w:rsid w:val="00EC5A7B"/>
    <w:rsid w:val="00EC5F24"/>
    <w:rsid w:val="00EC72B0"/>
    <w:rsid w:val="00EC7B23"/>
    <w:rsid w:val="00ED1B96"/>
    <w:rsid w:val="00ED30C3"/>
    <w:rsid w:val="00ED4C41"/>
    <w:rsid w:val="00ED7306"/>
    <w:rsid w:val="00EE0435"/>
    <w:rsid w:val="00EE11F4"/>
    <w:rsid w:val="00EE25BF"/>
    <w:rsid w:val="00EE25D3"/>
    <w:rsid w:val="00EE41CB"/>
    <w:rsid w:val="00EE4D4B"/>
    <w:rsid w:val="00EE77F2"/>
    <w:rsid w:val="00EE784A"/>
    <w:rsid w:val="00EE7E2E"/>
    <w:rsid w:val="00EF031A"/>
    <w:rsid w:val="00EF03A7"/>
    <w:rsid w:val="00EF1AFA"/>
    <w:rsid w:val="00EF2FF9"/>
    <w:rsid w:val="00EF4656"/>
    <w:rsid w:val="00EF493C"/>
    <w:rsid w:val="00EF57D8"/>
    <w:rsid w:val="00EF7038"/>
    <w:rsid w:val="00EF71CF"/>
    <w:rsid w:val="00EF7F25"/>
    <w:rsid w:val="00F02961"/>
    <w:rsid w:val="00F037E3"/>
    <w:rsid w:val="00F04D92"/>
    <w:rsid w:val="00F04E9D"/>
    <w:rsid w:val="00F05C19"/>
    <w:rsid w:val="00F06D45"/>
    <w:rsid w:val="00F132F6"/>
    <w:rsid w:val="00F15B8F"/>
    <w:rsid w:val="00F169A2"/>
    <w:rsid w:val="00F16AD8"/>
    <w:rsid w:val="00F16B88"/>
    <w:rsid w:val="00F16D1D"/>
    <w:rsid w:val="00F16DF7"/>
    <w:rsid w:val="00F16F7E"/>
    <w:rsid w:val="00F207FB"/>
    <w:rsid w:val="00F208A7"/>
    <w:rsid w:val="00F22109"/>
    <w:rsid w:val="00F22C64"/>
    <w:rsid w:val="00F233B4"/>
    <w:rsid w:val="00F23ED2"/>
    <w:rsid w:val="00F24987"/>
    <w:rsid w:val="00F24C1D"/>
    <w:rsid w:val="00F25AE7"/>
    <w:rsid w:val="00F268EE"/>
    <w:rsid w:val="00F31E4D"/>
    <w:rsid w:val="00F322B2"/>
    <w:rsid w:val="00F32693"/>
    <w:rsid w:val="00F3280F"/>
    <w:rsid w:val="00F32EF3"/>
    <w:rsid w:val="00F3314C"/>
    <w:rsid w:val="00F33F6D"/>
    <w:rsid w:val="00F35822"/>
    <w:rsid w:val="00F37574"/>
    <w:rsid w:val="00F377F8"/>
    <w:rsid w:val="00F37FA1"/>
    <w:rsid w:val="00F40CB6"/>
    <w:rsid w:val="00F414FE"/>
    <w:rsid w:val="00F41F24"/>
    <w:rsid w:val="00F449BB"/>
    <w:rsid w:val="00F45B71"/>
    <w:rsid w:val="00F463A8"/>
    <w:rsid w:val="00F4678D"/>
    <w:rsid w:val="00F46F9A"/>
    <w:rsid w:val="00F471C2"/>
    <w:rsid w:val="00F529B8"/>
    <w:rsid w:val="00F5368A"/>
    <w:rsid w:val="00F536EC"/>
    <w:rsid w:val="00F56968"/>
    <w:rsid w:val="00F57C2F"/>
    <w:rsid w:val="00F57E70"/>
    <w:rsid w:val="00F6097E"/>
    <w:rsid w:val="00F60C9B"/>
    <w:rsid w:val="00F60E62"/>
    <w:rsid w:val="00F61877"/>
    <w:rsid w:val="00F6391C"/>
    <w:rsid w:val="00F65230"/>
    <w:rsid w:val="00F65361"/>
    <w:rsid w:val="00F65FA2"/>
    <w:rsid w:val="00F66C67"/>
    <w:rsid w:val="00F677E5"/>
    <w:rsid w:val="00F67ED7"/>
    <w:rsid w:val="00F7111F"/>
    <w:rsid w:val="00F71153"/>
    <w:rsid w:val="00F74805"/>
    <w:rsid w:val="00F76833"/>
    <w:rsid w:val="00F77152"/>
    <w:rsid w:val="00F77BDE"/>
    <w:rsid w:val="00F80B57"/>
    <w:rsid w:val="00F80BBB"/>
    <w:rsid w:val="00F826BF"/>
    <w:rsid w:val="00F827AF"/>
    <w:rsid w:val="00F828A9"/>
    <w:rsid w:val="00F83E89"/>
    <w:rsid w:val="00F8575B"/>
    <w:rsid w:val="00F85EBE"/>
    <w:rsid w:val="00F86FA3"/>
    <w:rsid w:val="00F87ECD"/>
    <w:rsid w:val="00F9109B"/>
    <w:rsid w:val="00F92A4A"/>
    <w:rsid w:val="00F93434"/>
    <w:rsid w:val="00F936B7"/>
    <w:rsid w:val="00F952B3"/>
    <w:rsid w:val="00F95EC1"/>
    <w:rsid w:val="00FA012B"/>
    <w:rsid w:val="00FA2042"/>
    <w:rsid w:val="00FA326A"/>
    <w:rsid w:val="00FA3582"/>
    <w:rsid w:val="00FA547A"/>
    <w:rsid w:val="00FA57AD"/>
    <w:rsid w:val="00FB00A4"/>
    <w:rsid w:val="00FB00CA"/>
    <w:rsid w:val="00FB0545"/>
    <w:rsid w:val="00FB071B"/>
    <w:rsid w:val="00FB0F45"/>
    <w:rsid w:val="00FB1CBE"/>
    <w:rsid w:val="00FB26AA"/>
    <w:rsid w:val="00FB4F6B"/>
    <w:rsid w:val="00FB551F"/>
    <w:rsid w:val="00FB5B46"/>
    <w:rsid w:val="00FB7BE7"/>
    <w:rsid w:val="00FC299E"/>
    <w:rsid w:val="00FC4168"/>
    <w:rsid w:val="00FC679B"/>
    <w:rsid w:val="00FC77B0"/>
    <w:rsid w:val="00FD0483"/>
    <w:rsid w:val="00FD1511"/>
    <w:rsid w:val="00FD1ED2"/>
    <w:rsid w:val="00FD1EE8"/>
    <w:rsid w:val="00FD2586"/>
    <w:rsid w:val="00FD2BE9"/>
    <w:rsid w:val="00FD3122"/>
    <w:rsid w:val="00FD36AC"/>
    <w:rsid w:val="00FD39D5"/>
    <w:rsid w:val="00FD4481"/>
    <w:rsid w:val="00FD486B"/>
    <w:rsid w:val="00FD61B5"/>
    <w:rsid w:val="00FD6407"/>
    <w:rsid w:val="00FE01DD"/>
    <w:rsid w:val="00FE0AAB"/>
    <w:rsid w:val="00FE1AFC"/>
    <w:rsid w:val="00FE295D"/>
    <w:rsid w:val="00FE2A69"/>
    <w:rsid w:val="00FE4010"/>
    <w:rsid w:val="00FE65AD"/>
    <w:rsid w:val="00FE718C"/>
    <w:rsid w:val="00FE7EFF"/>
    <w:rsid w:val="00FF046D"/>
    <w:rsid w:val="00FF0D7F"/>
    <w:rsid w:val="00FF0F34"/>
    <w:rsid w:val="00FF13A1"/>
    <w:rsid w:val="00FF1774"/>
    <w:rsid w:val="00FF1F7A"/>
    <w:rsid w:val="00FF4449"/>
    <w:rsid w:val="00FF5313"/>
    <w:rsid w:val="00FF6F8C"/>
    <w:rsid w:val="00FF7C92"/>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DC103A4"/>
  <w15:docId w15:val="{579C86C2-039E-4A9A-9599-3356B3D1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3E6"/>
    <w:rPr>
      <w:sz w:val="24"/>
      <w:szCs w:val="24"/>
    </w:rPr>
  </w:style>
  <w:style w:type="paragraph" w:styleId="Heading1">
    <w:name w:val="heading 1"/>
    <w:basedOn w:val="Normal"/>
    <w:next w:val="Normal"/>
    <w:link w:val="Heading1Char"/>
    <w:qFormat/>
    <w:locked/>
    <w:rsid w:val="00FF1F7A"/>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uiPriority w:val="99"/>
    <w:qFormat/>
    <w:locked/>
    <w:rsid w:val="00FF1F7A"/>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uiPriority w:val="99"/>
    <w:qFormat/>
    <w:rsid w:val="00D721EB"/>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locked/>
    <w:rsid w:val="00A90F8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1F7A"/>
    <w:rPr>
      <w:rFonts w:ascii="Arial Bold" w:hAnsi="Arial Bold" w:cs="Times New Roman"/>
      <w:b/>
      <w:caps/>
      <w:sz w:val="24"/>
      <w:szCs w:val="24"/>
    </w:rPr>
  </w:style>
  <w:style w:type="character" w:customStyle="1" w:styleId="Heading2Char">
    <w:name w:val="Heading 2 Char"/>
    <w:basedOn w:val="DefaultParagraphFont"/>
    <w:link w:val="Heading2"/>
    <w:uiPriority w:val="99"/>
    <w:locked/>
    <w:rsid w:val="00FF1F7A"/>
    <w:rPr>
      <w:rFonts w:ascii="Arial" w:hAnsi="Arial" w:cs="Times New Roman"/>
      <w:b/>
      <w:bCs/>
      <w:sz w:val="24"/>
      <w:szCs w:val="24"/>
    </w:rPr>
  </w:style>
  <w:style w:type="character" w:customStyle="1" w:styleId="Heading3Char">
    <w:name w:val="Heading 3 Char"/>
    <w:basedOn w:val="DefaultParagraphFont"/>
    <w:link w:val="Heading3"/>
    <w:uiPriority w:val="99"/>
    <w:semiHidden/>
    <w:locked/>
    <w:rsid w:val="00620A8C"/>
    <w:rPr>
      <w:rFonts w:ascii="Cambria" w:hAnsi="Cambria" w:cs="Times New Roman"/>
      <w:b/>
      <w:bCs/>
      <w:sz w:val="26"/>
      <w:szCs w:val="26"/>
    </w:rPr>
  </w:style>
  <w:style w:type="character" w:customStyle="1" w:styleId="Heading4Char">
    <w:name w:val="Heading 4 Char"/>
    <w:basedOn w:val="DefaultParagraphFont"/>
    <w:link w:val="Heading4"/>
    <w:locked/>
    <w:rsid w:val="00A90F84"/>
    <w:rPr>
      <w:rFonts w:eastAsia="Times New Roman" w:cs="Times New Roman"/>
      <w:bCs/>
      <w:i/>
      <w:sz w:val="28"/>
      <w:szCs w:val="28"/>
    </w:rPr>
  </w:style>
  <w:style w:type="table" w:styleId="TableGrid">
    <w:name w:val="Table Grid"/>
    <w:basedOn w:val="TableNormal"/>
    <w:uiPriority w:val="59"/>
    <w:rsid w:val="007722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767F7"/>
    <w:rPr>
      <w:rFonts w:cs="Times New Roman"/>
      <w:sz w:val="16"/>
      <w:szCs w:val="16"/>
    </w:rPr>
  </w:style>
  <w:style w:type="paragraph" w:styleId="CommentText">
    <w:name w:val="annotation text"/>
    <w:basedOn w:val="Normal"/>
    <w:link w:val="CommentTextChar"/>
    <w:uiPriority w:val="99"/>
    <w:rsid w:val="00C767F7"/>
    <w:rPr>
      <w:sz w:val="20"/>
      <w:szCs w:val="20"/>
    </w:rPr>
  </w:style>
  <w:style w:type="character" w:customStyle="1" w:styleId="CommentTextChar">
    <w:name w:val="Comment Text Char"/>
    <w:basedOn w:val="DefaultParagraphFont"/>
    <w:link w:val="CommentText"/>
    <w:uiPriority w:val="99"/>
    <w:locked/>
    <w:rsid w:val="00620A8C"/>
    <w:rPr>
      <w:rFonts w:cs="Times New Roman"/>
      <w:sz w:val="20"/>
      <w:szCs w:val="20"/>
    </w:rPr>
  </w:style>
  <w:style w:type="paragraph" w:styleId="CommentSubject">
    <w:name w:val="annotation subject"/>
    <w:basedOn w:val="CommentText"/>
    <w:next w:val="CommentText"/>
    <w:link w:val="CommentSubjectChar"/>
    <w:rsid w:val="00C767F7"/>
    <w:rPr>
      <w:b/>
      <w:bCs/>
    </w:rPr>
  </w:style>
  <w:style w:type="character" w:customStyle="1" w:styleId="CommentSubjectChar">
    <w:name w:val="Comment Subject Char"/>
    <w:basedOn w:val="CommentTextChar"/>
    <w:link w:val="CommentSubject"/>
    <w:locked/>
    <w:rsid w:val="00620A8C"/>
    <w:rPr>
      <w:rFonts w:cs="Times New Roman"/>
      <w:b/>
      <w:bCs/>
      <w:sz w:val="20"/>
      <w:szCs w:val="20"/>
    </w:rPr>
  </w:style>
  <w:style w:type="paragraph" w:styleId="BalloonText">
    <w:name w:val="Balloon Text"/>
    <w:basedOn w:val="Normal"/>
    <w:link w:val="BalloonTextChar"/>
    <w:rsid w:val="00C767F7"/>
    <w:rPr>
      <w:rFonts w:ascii="Tahoma" w:hAnsi="Tahoma" w:cs="Tahoma"/>
      <w:sz w:val="16"/>
      <w:szCs w:val="16"/>
    </w:rPr>
  </w:style>
  <w:style w:type="character" w:customStyle="1" w:styleId="BalloonTextChar">
    <w:name w:val="Balloon Text Char"/>
    <w:basedOn w:val="DefaultParagraphFont"/>
    <w:link w:val="BalloonText"/>
    <w:locked/>
    <w:rsid w:val="00620A8C"/>
    <w:rPr>
      <w:rFonts w:cs="Times New Roman"/>
      <w:sz w:val="2"/>
    </w:rPr>
  </w:style>
  <w:style w:type="character" w:styleId="Hyperlink">
    <w:name w:val="Hyperlink"/>
    <w:basedOn w:val="DefaultParagraphFont"/>
    <w:uiPriority w:val="99"/>
    <w:rsid w:val="00DD3BC3"/>
    <w:rPr>
      <w:rFonts w:cs="Times New Roman"/>
      <w:color w:val="0000FF"/>
      <w:u w:val="single"/>
    </w:rPr>
  </w:style>
  <w:style w:type="character" w:customStyle="1" w:styleId="billtextchangedfrom">
    <w:name w:val="bill_text_changed_from"/>
    <w:basedOn w:val="DefaultParagraphFont"/>
    <w:uiPriority w:val="99"/>
    <w:rsid w:val="000E353D"/>
    <w:rPr>
      <w:rFonts w:cs="Times New Roman"/>
    </w:rPr>
  </w:style>
  <w:style w:type="character" w:customStyle="1" w:styleId="billtextchangedto">
    <w:name w:val="bill_text_changed_to"/>
    <w:basedOn w:val="DefaultParagraphFont"/>
    <w:uiPriority w:val="99"/>
    <w:rsid w:val="000E353D"/>
    <w:rPr>
      <w:rFonts w:cs="Times New Roman"/>
    </w:rPr>
  </w:style>
  <w:style w:type="paragraph" w:customStyle="1" w:styleId="billtextsection">
    <w:name w:val="bill_text_section"/>
    <w:basedOn w:val="Normal"/>
    <w:uiPriority w:val="99"/>
    <w:rsid w:val="000E353D"/>
    <w:pPr>
      <w:spacing w:before="100" w:beforeAutospacing="1" w:after="100" w:afterAutospacing="1"/>
    </w:pPr>
  </w:style>
  <w:style w:type="character" w:customStyle="1" w:styleId="billtextsectionmenu">
    <w:name w:val="bill_text_section_menu"/>
    <w:basedOn w:val="DefaultParagraphFont"/>
    <w:uiPriority w:val="99"/>
    <w:rsid w:val="000E353D"/>
    <w:rPr>
      <w:rFonts w:cs="Times New Roman"/>
    </w:rPr>
  </w:style>
  <w:style w:type="character" w:customStyle="1" w:styleId="billtextinserted">
    <w:name w:val="bill_text_inserted"/>
    <w:basedOn w:val="DefaultParagraphFont"/>
    <w:uiPriority w:val="99"/>
    <w:rsid w:val="000E353D"/>
    <w:rPr>
      <w:rFonts w:cs="Times New Roman"/>
    </w:rPr>
  </w:style>
  <w:style w:type="paragraph" w:styleId="Header">
    <w:name w:val="header"/>
    <w:basedOn w:val="Normal"/>
    <w:link w:val="HeaderChar"/>
    <w:uiPriority w:val="99"/>
    <w:rsid w:val="008E3950"/>
    <w:pPr>
      <w:tabs>
        <w:tab w:val="center" w:pos="4680"/>
        <w:tab w:val="right" w:pos="9360"/>
      </w:tabs>
    </w:pPr>
  </w:style>
  <w:style w:type="character" w:customStyle="1" w:styleId="HeaderChar">
    <w:name w:val="Header Char"/>
    <w:basedOn w:val="DefaultParagraphFont"/>
    <w:link w:val="Header"/>
    <w:uiPriority w:val="99"/>
    <w:locked/>
    <w:rsid w:val="008E3950"/>
    <w:rPr>
      <w:rFonts w:cs="Times New Roman"/>
      <w:sz w:val="24"/>
      <w:szCs w:val="24"/>
    </w:rPr>
  </w:style>
  <w:style w:type="paragraph" w:styleId="Footer">
    <w:name w:val="footer"/>
    <w:basedOn w:val="Normal"/>
    <w:link w:val="FooterChar"/>
    <w:uiPriority w:val="99"/>
    <w:rsid w:val="008E3950"/>
    <w:pPr>
      <w:tabs>
        <w:tab w:val="center" w:pos="4680"/>
        <w:tab w:val="right" w:pos="9360"/>
      </w:tabs>
    </w:pPr>
  </w:style>
  <w:style w:type="character" w:customStyle="1" w:styleId="FooterChar">
    <w:name w:val="Footer Char"/>
    <w:basedOn w:val="DefaultParagraphFont"/>
    <w:link w:val="Footer"/>
    <w:uiPriority w:val="99"/>
    <w:locked/>
    <w:rsid w:val="008E3950"/>
    <w:rPr>
      <w:rFonts w:cs="Times New Roman"/>
      <w:sz w:val="24"/>
      <w:szCs w:val="24"/>
    </w:rPr>
  </w:style>
  <w:style w:type="paragraph" w:styleId="BodyText">
    <w:name w:val="Body Text"/>
    <w:basedOn w:val="Normal"/>
    <w:link w:val="BodyTextChar"/>
    <w:semiHidden/>
    <w:rsid w:val="00FA57AD"/>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semiHidden/>
    <w:locked/>
    <w:rsid w:val="00FA57AD"/>
    <w:rPr>
      <w:rFonts w:cs="Times New Roman"/>
      <w:sz w:val="22"/>
    </w:rPr>
  </w:style>
  <w:style w:type="paragraph" w:styleId="ListParagraph">
    <w:name w:val="List Paragraph"/>
    <w:basedOn w:val="Normal"/>
    <w:link w:val="ListParagraphChar"/>
    <w:uiPriority w:val="34"/>
    <w:qFormat/>
    <w:rsid w:val="00C076CD"/>
    <w:pPr>
      <w:ind w:left="720"/>
      <w:contextualSpacing/>
    </w:pPr>
    <w:rPr>
      <w:rFonts w:ascii="Calibri" w:hAnsi="Calibri"/>
    </w:rPr>
  </w:style>
  <w:style w:type="paragraph" w:customStyle="1" w:styleId="CM38">
    <w:name w:val="CM38"/>
    <w:basedOn w:val="Normal"/>
    <w:next w:val="Normal"/>
    <w:uiPriority w:val="99"/>
    <w:rsid w:val="00C076CD"/>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C076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D37851"/>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D37851"/>
    <w:pPr>
      <w:numPr>
        <w:numId w:val="4"/>
      </w:numPr>
      <w:spacing w:after="60" w:line="276" w:lineRule="auto"/>
    </w:pPr>
    <w:rPr>
      <w:sz w:val="24"/>
      <w:szCs w:val="24"/>
    </w:rPr>
  </w:style>
  <w:style w:type="paragraph" w:customStyle="1" w:styleId="NORCCVBullet1">
    <w:name w:val="NORC CV Bullet 1"/>
    <w:uiPriority w:val="99"/>
    <w:rsid w:val="00D37851"/>
    <w:pPr>
      <w:numPr>
        <w:numId w:val="5"/>
      </w:numPr>
      <w:spacing w:after="80" w:line="276" w:lineRule="auto"/>
    </w:pPr>
  </w:style>
  <w:style w:type="paragraph" w:customStyle="1" w:styleId="NORC-BodyFirstLineIndentJustified">
    <w:name w:val="NORC-Body First Line Indent Justified"/>
    <w:uiPriority w:val="99"/>
    <w:rsid w:val="00D37851"/>
    <w:pPr>
      <w:ind w:firstLine="360"/>
      <w:jc w:val="both"/>
    </w:pPr>
    <w:rPr>
      <w:rFonts w:ascii="Garamond" w:hAnsi="Garamond"/>
      <w:sz w:val="24"/>
      <w:szCs w:val="24"/>
    </w:rPr>
  </w:style>
  <w:style w:type="character" w:customStyle="1" w:styleId="NORC-Bullet1Char">
    <w:name w:val="NORC-Bullet 1 Char"/>
    <w:basedOn w:val="DefaultParagraphFont"/>
    <w:link w:val="NORC-Bullet1"/>
    <w:uiPriority w:val="99"/>
    <w:locked/>
    <w:rsid w:val="00D37851"/>
    <w:rPr>
      <w:sz w:val="24"/>
      <w:szCs w:val="24"/>
    </w:rPr>
  </w:style>
  <w:style w:type="paragraph" w:styleId="NormalWeb">
    <w:name w:val="Normal (Web)"/>
    <w:basedOn w:val="Normal"/>
    <w:uiPriority w:val="99"/>
    <w:semiHidden/>
    <w:rsid w:val="001B7846"/>
    <w:pPr>
      <w:spacing w:before="120" w:after="120" w:line="240" w:lineRule="atLeast"/>
    </w:pPr>
    <w:rPr>
      <w:rFonts w:ascii="Verdana" w:hAnsi="Verdana"/>
      <w:color w:val="000000"/>
      <w:sz w:val="17"/>
      <w:szCs w:val="17"/>
    </w:rPr>
  </w:style>
  <w:style w:type="paragraph" w:styleId="ListBullet">
    <w:name w:val="List Bullet"/>
    <w:basedOn w:val="Normal"/>
    <w:uiPriority w:val="99"/>
    <w:rsid w:val="00FA57AD"/>
    <w:pPr>
      <w:numPr>
        <w:numId w:val="3"/>
      </w:numPr>
      <w:tabs>
        <w:tab w:val="num" w:pos="360"/>
      </w:tabs>
      <w:ind w:left="360"/>
      <w:contextualSpacing/>
    </w:pPr>
  </w:style>
  <w:style w:type="paragraph" w:styleId="ListNumber">
    <w:name w:val="List Number"/>
    <w:basedOn w:val="Normal"/>
    <w:uiPriority w:val="99"/>
    <w:rsid w:val="00FA57AD"/>
    <w:pPr>
      <w:numPr>
        <w:numId w:val="1"/>
      </w:numPr>
      <w:tabs>
        <w:tab w:val="clear" w:pos="360"/>
        <w:tab w:val="num" w:pos="531"/>
      </w:tabs>
      <w:spacing w:before="180" w:after="60"/>
      <w:ind w:left="531"/>
    </w:pPr>
  </w:style>
  <w:style w:type="paragraph" w:styleId="ListNumber2">
    <w:name w:val="List Number 2"/>
    <w:basedOn w:val="Normal"/>
    <w:uiPriority w:val="99"/>
    <w:rsid w:val="00FA57AD"/>
    <w:pPr>
      <w:numPr>
        <w:numId w:val="2"/>
      </w:numPr>
      <w:spacing w:after="120"/>
    </w:pPr>
  </w:style>
  <w:style w:type="paragraph" w:styleId="Title">
    <w:name w:val="Title"/>
    <w:basedOn w:val="Normal"/>
    <w:next w:val="Normal"/>
    <w:link w:val="TitleChar"/>
    <w:uiPriority w:val="99"/>
    <w:qFormat/>
    <w:locked/>
    <w:rsid w:val="00C33D1F"/>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locked/>
    <w:rsid w:val="00C33D1F"/>
    <w:rPr>
      <w:rFonts w:ascii="Arial" w:hAnsi="Arial" w:cs="Times New Roman"/>
      <w:b/>
      <w:bCs/>
      <w:kern w:val="28"/>
      <w:sz w:val="32"/>
      <w:szCs w:val="32"/>
    </w:rPr>
  </w:style>
  <w:style w:type="paragraph" w:styleId="BodyText2">
    <w:name w:val="Body Text 2"/>
    <w:basedOn w:val="Normal"/>
    <w:link w:val="BodyText2Char"/>
    <w:uiPriority w:val="99"/>
    <w:rsid w:val="00A90F84"/>
    <w:pPr>
      <w:spacing w:after="120" w:line="480" w:lineRule="auto"/>
    </w:pPr>
  </w:style>
  <w:style w:type="character" w:customStyle="1" w:styleId="BodyText2Char">
    <w:name w:val="Body Text 2 Char"/>
    <w:basedOn w:val="DefaultParagraphFont"/>
    <w:link w:val="BodyText2"/>
    <w:uiPriority w:val="99"/>
    <w:locked/>
    <w:rsid w:val="00A90F84"/>
    <w:rPr>
      <w:rFonts w:cs="Times New Roman"/>
      <w:sz w:val="24"/>
      <w:szCs w:val="24"/>
    </w:rPr>
  </w:style>
  <w:style w:type="paragraph" w:styleId="Subtitle">
    <w:name w:val="Subtitle"/>
    <w:basedOn w:val="Normal"/>
    <w:next w:val="Normal"/>
    <w:link w:val="SubtitleChar"/>
    <w:uiPriority w:val="99"/>
    <w:qFormat/>
    <w:locked/>
    <w:rsid w:val="00C33D1F"/>
    <w:pPr>
      <w:spacing w:after="480"/>
      <w:jc w:val="center"/>
      <w:outlineLvl w:val="1"/>
    </w:pPr>
    <w:rPr>
      <w:rFonts w:ascii="Arial" w:hAnsi="Arial"/>
      <w:b/>
      <w:sz w:val="26"/>
    </w:rPr>
  </w:style>
  <w:style w:type="character" w:customStyle="1" w:styleId="SubtitleChar">
    <w:name w:val="Subtitle Char"/>
    <w:basedOn w:val="DefaultParagraphFont"/>
    <w:link w:val="Subtitle"/>
    <w:uiPriority w:val="99"/>
    <w:locked/>
    <w:rsid w:val="00C33D1F"/>
    <w:rPr>
      <w:rFonts w:ascii="Arial" w:hAnsi="Arial" w:cs="Times New Roman"/>
      <w:b/>
      <w:sz w:val="24"/>
      <w:szCs w:val="24"/>
    </w:rPr>
  </w:style>
  <w:style w:type="paragraph" w:customStyle="1" w:styleId="ExhibitTitle">
    <w:name w:val="Exhibit Title"/>
    <w:basedOn w:val="Normal"/>
    <w:uiPriority w:val="99"/>
    <w:rsid w:val="007903E6"/>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C09A8"/>
    <w:pPr>
      <w:keepNext/>
      <w:spacing w:before="60" w:after="40"/>
      <w:jc w:val="center"/>
    </w:pPr>
    <w:rPr>
      <w:rFonts w:ascii="Arial" w:hAnsi="Arial"/>
      <w:b/>
      <w:color w:val="000000"/>
      <w:sz w:val="18"/>
      <w:szCs w:val="20"/>
    </w:rPr>
  </w:style>
  <w:style w:type="paragraph" w:customStyle="1" w:styleId="TableTextLeft">
    <w:name w:val="Table Text Left"/>
    <w:rsid w:val="007903E6"/>
    <w:pPr>
      <w:spacing w:before="40" w:after="40"/>
    </w:pPr>
    <w:rPr>
      <w:rFonts w:ascii="Arial" w:hAnsi="Arial"/>
      <w:sz w:val="18"/>
    </w:rPr>
  </w:style>
  <w:style w:type="paragraph" w:customStyle="1" w:styleId="TableSubheadLeft">
    <w:name w:val="Table Subhead Left"/>
    <w:uiPriority w:val="99"/>
    <w:rsid w:val="00BC09A8"/>
    <w:pPr>
      <w:spacing w:before="60" w:after="60"/>
    </w:pPr>
    <w:rPr>
      <w:rFonts w:ascii="Arial" w:hAnsi="Arial"/>
      <w:b/>
      <w:bCs/>
      <w:color w:val="000000"/>
      <w:sz w:val="20"/>
    </w:rPr>
  </w:style>
  <w:style w:type="paragraph" w:customStyle="1" w:styleId="TableTextRight">
    <w:name w:val="Table Text Right"/>
    <w:uiPriority w:val="99"/>
    <w:rsid w:val="00BC09A8"/>
    <w:pPr>
      <w:spacing w:before="60" w:after="60"/>
      <w:jc w:val="right"/>
    </w:pPr>
    <w:rPr>
      <w:rFonts w:ascii="Arial" w:hAnsi="Arial"/>
      <w:sz w:val="20"/>
    </w:rPr>
  </w:style>
  <w:style w:type="paragraph" w:styleId="TOC1">
    <w:name w:val="toc 1"/>
    <w:basedOn w:val="Normal"/>
    <w:next w:val="Normal"/>
    <w:uiPriority w:val="39"/>
    <w:locked/>
    <w:rsid w:val="00A53153"/>
    <w:pPr>
      <w:tabs>
        <w:tab w:val="left" w:pos="432"/>
        <w:tab w:val="right" w:leader="dot" w:pos="9360"/>
      </w:tabs>
      <w:spacing w:before="240" w:after="60"/>
    </w:pPr>
  </w:style>
  <w:style w:type="paragraph" w:styleId="TOC2">
    <w:name w:val="toc 2"/>
    <w:basedOn w:val="Normal"/>
    <w:next w:val="Normal"/>
    <w:uiPriority w:val="39"/>
    <w:locked/>
    <w:rsid w:val="00A53153"/>
    <w:pPr>
      <w:tabs>
        <w:tab w:val="left" w:pos="1008"/>
        <w:tab w:val="right" w:leader="dot" w:pos="9360"/>
      </w:tabs>
      <w:spacing w:before="60"/>
      <w:ind w:left="432"/>
    </w:pPr>
  </w:style>
  <w:style w:type="paragraph" w:styleId="TOC3">
    <w:name w:val="toc 3"/>
    <w:basedOn w:val="Normal"/>
    <w:next w:val="Normal"/>
    <w:uiPriority w:val="39"/>
    <w:locked/>
    <w:rsid w:val="00D721EB"/>
    <w:pPr>
      <w:tabs>
        <w:tab w:val="left" w:pos="1800"/>
        <w:tab w:val="right" w:leader="dot" w:pos="9360"/>
      </w:tabs>
      <w:ind w:left="1728" w:hanging="720"/>
    </w:pPr>
    <w:rPr>
      <w:i/>
    </w:rPr>
  </w:style>
  <w:style w:type="paragraph" w:styleId="TableofFigures">
    <w:name w:val="table of figures"/>
    <w:basedOn w:val="Normal"/>
    <w:next w:val="Normal"/>
    <w:uiPriority w:val="99"/>
    <w:rsid w:val="0079465E"/>
    <w:pPr>
      <w:spacing w:before="240" w:after="240"/>
    </w:pPr>
  </w:style>
  <w:style w:type="paragraph" w:styleId="FootnoteText">
    <w:name w:val="footnote text"/>
    <w:aliases w:val="F1,ft,footnote text"/>
    <w:basedOn w:val="Normal"/>
    <w:link w:val="FootnoteTextChar"/>
    <w:rsid w:val="007D7458"/>
    <w:rPr>
      <w:sz w:val="20"/>
      <w:szCs w:val="20"/>
    </w:rPr>
  </w:style>
  <w:style w:type="character" w:customStyle="1" w:styleId="FootnoteTextChar">
    <w:name w:val="Footnote Text Char"/>
    <w:aliases w:val="F1 Char,ft Char,footnote text Char"/>
    <w:basedOn w:val="DefaultParagraphFont"/>
    <w:link w:val="FootnoteText"/>
    <w:locked/>
    <w:rsid w:val="007D7458"/>
    <w:rPr>
      <w:rFonts w:cs="Times New Roman"/>
    </w:rPr>
  </w:style>
  <w:style w:type="character" w:styleId="FootnoteReference">
    <w:name w:val="footnote reference"/>
    <w:aliases w:val="fr,footnote reference"/>
    <w:basedOn w:val="DefaultParagraphFont"/>
    <w:uiPriority w:val="99"/>
    <w:rsid w:val="007D7458"/>
    <w:rPr>
      <w:rFonts w:cs="Times New Roman"/>
      <w:vertAlign w:val="superscript"/>
    </w:rPr>
  </w:style>
  <w:style w:type="paragraph" w:customStyle="1" w:styleId="P1-StandPara">
    <w:name w:val="P1-Stand Para"/>
    <w:uiPriority w:val="99"/>
    <w:rsid w:val="00F46F9A"/>
    <w:pPr>
      <w:spacing w:line="360" w:lineRule="atLeast"/>
      <w:ind w:firstLine="1152"/>
      <w:jc w:val="both"/>
    </w:pPr>
    <w:rPr>
      <w:szCs w:val="20"/>
    </w:rPr>
  </w:style>
  <w:style w:type="character" w:styleId="PageNumber">
    <w:name w:val="page number"/>
    <w:basedOn w:val="DefaultParagraphFont"/>
    <w:rsid w:val="00DD107D"/>
  </w:style>
  <w:style w:type="paragraph" w:customStyle="1" w:styleId="ReportCover-Title">
    <w:name w:val="ReportCover-Title"/>
    <w:basedOn w:val="Normal"/>
    <w:rsid w:val="00DD107D"/>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DD107D"/>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DD107D"/>
    <w:pPr>
      <w:spacing w:line="260" w:lineRule="exact"/>
    </w:pPr>
    <w:rPr>
      <w:rFonts w:ascii="Franklin Gothic Medium" w:hAnsi="Franklin Gothic Medium"/>
      <w:color w:val="003C79"/>
      <w:sz w:val="20"/>
      <w:szCs w:val="20"/>
    </w:rPr>
  </w:style>
  <w:style w:type="character" w:styleId="Emphasis">
    <w:name w:val="Emphasis"/>
    <w:uiPriority w:val="20"/>
    <w:qFormat/>
    <w:locked/>
    <w:rsid w:val="00DD107D"/>
    <w:rPr>
      <w:rFonts w:cs="Times New Roman"/>
      <w:i/>
      <w:iCs/>
    </w:rPr>
  </w:style>
  <w:style w:type="paragraph" w:customStyle="1" w:styleId="NormalSS12">
    <w:name w:val="NormalSS 12"/>
    <w:basedOn w:val="Normal"/>
    <w:rsid w:val="00DD107D"/>
    <w:pPr>
      <w:tabs>
        <w:tab w:val="left" w:pos="432"/>
      </w:tabs>
      <w:spacing w:after="240"/>
      <w:ind w:firstLine="432"/>
      <w:jc w:val="both"/>
    </w:pPr>
    <w:rPr>
      <w:rFonts w:ascii="Garamond" w:eastAsia="Calibri" w:hAnsi="Garamond"/>
    </w:rPr>
  </w:style>
  <w:style w:type="paragraph" w:styleId="NoSpacing">
    <w:name w:val="No Spacing"/>
    <w:uiPriority w:val="1"/>
    <w:qFormat/>
    <w:rsid w:val="00DD107D"/>
    <w:pPr>
      <w:widowControl w:val="0"/>
    </w:pPr>
    <w:rPr>
      <w:rFonts w:ascii="Courier New" w:hAnsi="Courier New"/>
      <w:snapToGrid w:val="0"/>
      <w:sz w:val="24"/>
      <w:szCs w:val="20"/>
    </w:rPr>
  </w:style>
  <w:style w:type="paragraph" w:styleId="EndnoteText">
    <w:name w:val="endnote text"/>
    <w:basedOn w:val="Normal"/>
    <w:link w:val="EndnoteTextChar"/>
    <w:uiPriority w:val="99"/>
    <w:rsid w:val="00DD107D"/>
    <w:rPr>
      <w:sz w:val="20"/>
      <w:szCs w:val="20"/>
    </w:rPr>
  </w:style>
  <w:style w:type="character" w:customStyle="1" w:styleId="EndnoteTextChar">
    <w:name w:val="Endnote Text Char"/>
    <w:basedOn w:val="DefaultParagraphFont"/>
    <w:link w:val="EndnoteText"/>
    <w:uiPriority w:val="99"/>
    <w:rsid w:val="00DD107D"/>
    <w:rPr>
      <w:sz w:val="20"/>
      <w:szCs w:val="20"/>
    </w:rPr>
  </w:style>
  <w:style w:type="character" w:styleId="EndnoteReference">
    <w:name w:val="endnote reference"/>
    <w:uiPriority w:val="99"/>
    <w:rsid w:val="00DD107D"/>
    <w:rPr>
      <w:vertAlign w:val="superscript"/>
    </w:rPr>
  </w:style>
  <w:style w:type="character" w:styleId="FollowedHyperlink">
    <w:name w:val="FollowedHyperlink"/>
    <w:rsid w:val="00DD107D"/>
    <w:rPr>
      <w:color w:val="800080"/>
      <w:u w:val="single"/>
    </w:rPr>
  </w:style>
  <w:style w:type="paragraph" w:styleId="Revision">
    <w:name w:val="Revision"/>
    <w:hidden/>
    <w:uiPriority w:val="99"/>
    <w:semiHidden/>
    <w:rsid w:val="0097657B"/>
    <w:rPr>
      <w:sz w:val="24"/>
      <w:szCs w:val="24"/>
    </w:rPr>
  </w:style>
  <w:style w:type="character" w:styleId="Strong">
    <w:name w:val="Strong"/>
    <w:basedOn w:val="DefaultParagraphFont"/>
    <w:uiPriority w:val="22"/>
    <w:qFormat/>
    <w:locked/>
    <w:rsid w:val="00D01176"/>
    <w:rPr>
      <w:b/>
      <w:bCs/>
    </w:rPr>
  </w:style>
  <w:style w:type="table" w:customStyle="1" w:styleId="TableGridLight1">
    <w:name w:val="Table Grid Light1"/>
    <w:basedOn w:val="TableNormal"/>
    <w:uiPriority w:val="40"/>
    <w:rsid w:val="00CD6C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D6C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10E8C"/>
    <w:pPr>
      <w:keepNext/>
      <w:keepLines/>
      <w:widowControl/>
      <w:tabs>
        <w:tab w:val="clear" w:pos="700"/>
      </w:tabs>
      <w:autoSpaceDE/>
      <w:autoSpaceDN/>
      <w:adjustRightInd/>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customStyle="1" w:styleId="ListParagraphChar">
    <w:name w:val="List Paragraph Char"/>
    <w:link w:val="ListParagraph"/>
    <w:uiPriority w:val="34"/>
    <w:locked/>
    <w:rsid w:val="00F8575B"/>
    <w:rPr>
      <w:rFonts w:ascii="Calibri" w:hAnsi="Calibri"/>
      <w:sz w:val="24"/>
      <w:szCs w:val="24"/>
    </w:rPr>
  </w:style>
  <w:style w:type="paragraph" w:customStyle="1" w:styleId="NORCProposalBodySingleSpacing11ptGaramond">
    <w:name w:val="NORC Proposal Body Single Spacing 11pt Garamond"/>
    <w:qFormat/>
    <w:rsid w:val="00332B65"/>
    <w:pPr>
      <w:spacing w:after="180"/>
    </w:pPr>
    <w:rPr>
      <w:rFonts w:ascii="Garamond" w:hAnsi="Garamond" w:cs="AGaramond-Regular"/>
      <w:szCs w:val="20"/>
    </w:rPr>
  </w:style>
  <w:style w:type="numbering" w:customStyle="1" w:styleId="bullet1Garamond">
    <w:name w:val="bullet 1 Garamond"/>
    <w:basedOn w:val="NoList"/>
    <w:rsid w:val="00332B65"/>
    <w:pPr>
      <w:numPr>
        <w:numId w:val="33"/>
      </w:numPr>
    </w:pPr>
  </w:style>
  <w:style w:type="paragraph" w:customStyle="1" w:styleId="NORCBullet1GaramondSquare">
    <w:name w:val="NORC Bullet 1 (Garamond Square)"/>
    <w:qFormat/>
    <w:rsid w:val="00332B65"/>
    <w:pPr>
      <w:numPr>
        <w:numId w:val="34"/>
      </w:numPr>
      <w:tabs>
        <w:tab w:val="left" w:pos="360"/>
      </w:tabs>
    </w:pPr>
    <w:rPr>
      <w:rFonts w:ascii="Garamond" w:hAnsi="Garamond"/>
      <w:szCs w:val="20"/>
    </w:rPr>
  </w:style>
  <w:style w:type="paragraph" w:customStyle="1" w:styleId="MarkforTableHeading">
    <w:name w:val="Mark for Table Heading"/>
    <w:basedOn w:val="Normal"/>
    <w:next w:val="Normal"/>
    <w:qFormat/>
    <w:rsid w:val="00DD3511"/>
    <w:pPr>
      <w:keepNext/>
      <w:tabs>
        <w:tab w:val="left" w:pos="432"/>
      </w:tabs>
      <w:spacing w:after="60"/>
      <w:jc w:val="both"/>
    </w:pPr>
    <w:rPr>
      <w:b/>
      <w:sz w:val="20"/>
    </w:rPr>
  </w:style>
  <w:style w:type="paragraph" w:customStyle="1" w:styleId="MarkforFigureHeading">
    <w:name w:val="Mark for Figure Heading"/>
    <w:basedOn w:val="Normal"/>
    <w:next w:val="Normal"/>
    <w:qFormat/>
    <w:rsid w:val="00DD3511"/>
    <w:pPr>
      <w:keepNext/>
      <w:tabs>
        <w:tab w:val="left" w:pos="432"/>
      </w:tabs>
      <w:spacing w:after="60"/>
      <w:jc w:val="both"/>
    </w:pPr>
    <w:rPr>
      <w:b/>
      <w:sz w:val="20"/>
    </w:rPr>
  </w:style>
  <w:style w:type="paragraph" w:customStyle="1" w:styleId="TableText">
    <w:name w:val="Table Text"/>
    <w:basedOn w:val="Normal"/>
    <w:qFormat/>
    <w:rsid w:val="00DD3511"/>
    <w:rPr>
      <w:sz w:val="20"/>
    </w:rPr>
  </w:style>
  <w:style w:type="table" w:customStyle="1" w:styleId="TableGrid1">
    <w:name w:val="Table Grid1"/>
    <w:basedOn w:val="TableNormal"/>
    <w:next w:val="TableGrid"/>
    <w:uiPriority w:val="39"/>
    <w:rsid w:val="006024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enter">
    <w:name w:val="Table Head Center"/>
    <w:basedOn w:val="Normal"/>
    <w:qFormat/>
    <w:rsid w:val="00034B82"/>
    <w:pPr>
      <w:keepNext/>
      <w:keepLines/>
      <w:spacing w:before="20" w:after="20"/>
      <w:jc w:val="center"/>
    </w:pPr>
    <w:rPr>
      <w:rFonts w:ascii="Arial Narrow" w:hAnsi="Arial Narrow"/>
      <w:b/>
      <w:sz w:val="18"/>
      <w:szCs w:val="18"/>
    </w:rPr>
  </w:style>
  <w:style w:type="paragraph" w:customStyle="1" w:styleId="TableBullet1">
    <w:name w:val="Table Bullet 1"/>
    <w:basedOn w:val="Normal"/>
    <w:qFormat/>
    <w:rsid w:val="00034B82"/>
    <w:pPr>
      <w:keepLines/>
      <w:tabs>
        <w:tab w:val="left" w:pos="288"/>
      </w:tabs>
      <w:ind w:left="144" w:hanging="144"/>
    </w:pPr>
    <w:rPr>
      <w:rFonts w:ascii="Arial Narrow" w:hAnsi="Arial Narrow"/>
      <w:sz w:val="18"/>
      <w:szCs w:val="18"/>
    </w:rPr>
  </w:style>
  <w:style w:type="character" w:customStyle="1" w:styleId="jrnl">
    <w:name w:val="jrnl"/>
    <w:basedOn w:val="DefaultParagraphFont"/>
    <w:rsid w:val="005200CE"/>
  </w:style>
  <w:style w:type="paragraph" w:customStyle="1" w:styleId="desc2">
    <w:name w:val="desc2"/>
    <w:basedOn w:val="Normal"/>
    <w:rsid w:val="005200CE"/>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1831">
      <w:bodyDiv w:val="1"/>
      <w:marLeft w:val="0"/>
      <w:marRight w:val="0"/>
      <w:marTop w:val="0"/>
      <w:marBottom w:val="0"/>
      <w:divBdr>
        <w:top w:val="none" w:sz="0" w:space="0" w:color="auto"/>
        <w:left w:val="none" w:sz="0" w:space="0" w:color="auto"/>
        <w:bottom w:val="none" w:sz="0" w:space="0" w:color="auto"/>
        <w:right w:val="none" w:sz="0" w:space="0" w:color="auto"/>
      </w:divBdr>
      <w:divsChild>
        <w:div w:id="560869210">
          <w:marLeft w:val="446"/>
          <w:marRight w:val="0"/>
          <w:marTop w:val="0"/>
          <w:marBottom w:val="0"/>
          <w:divBdr>
            <w:top w:val="none" w:sz="0" w:space="0" w:color="auto"/>
            <w:left w:val="none" w:sz="0" w:space="0" w:color="auto"/>
            <w:bottom w:val="none" w:sz="0" w:space="0" w:color="auto"/>
            <w:right w:val="none" w:sz="0" w:space="0" w:color="auto"/>
          </w:divBdr>
        </w:div>
        <w:div w:id="564998157">
          <w:marLeft w:val="446"/>
          <w:marRight w:val="0"/>
          <w:marTop w:val="0"/>
          <w:marBottom w:val="0"/>
          <w:divBdr>
            <w:top w:val="none" w:sz="0" w:space="0" w:color="auto"/>
            <w:left w:val="none" w:sz="0" w:space="0" w:color="auto"/>
            <w:bottom w:val="none" w:sz="0" w:space="0" w:color="auto"/>
            <w:right w:val="none" w:sz="0" w:space="0" w:color="auto"/>
          </w:divBdr>
        </w:div>
        <w:div w:id="672606944">
          <w:marLeft w:val="446"/>
          <w:marRight w:val="0"/>
          <w:marTop w:val="0"/>
          <w:marBottom w:val="0"/>
          <w:divBdr>
            <w:top w:val="none" w:sz="0" w:space="0" w:color="auto"/>
            <w:left w:val="none" w:sz="0" w:space="0" w:color="auto"/>
            <w:bottom w:val="none" w:sz="0" w:space="0" w:color="auto"/>
            <w:right w:val="none" w:sz="0" w:space="0" w:color="auto"/>
          </w:divBdr>
        </w:div>
        <w:div w:id="1076434120">
          <w:marLeft w:val="446"/>
          <w:marRight w:val="0"/>
          <w:marTop w:val="0"/>
          <w:marBottom w:val="0"/>
          <w:divBdr>
            <w:top w:val="none" w:sz="0" w:space="0" w:color="auto"/>
            <w:left w:val="none" w:sz="0" w:space="0" w:color="auto"/>
            <w:bottom w:val="none" w:sz="0" w:space="0" w:color="auto"/>
            <w:right w:val="none" w:sz="0" w:space="0" w:color="auto"/>
          </w:divBdr>
        </w:div>
        <w:div w:id="2026788876">
          <w:marLeft w:val="446"/>
          <w:marRight w:val="0"/>
          <w:marTop w:val="0"/>
          <w:marBottom w:val="0"/>
          <w:divBdr>
            <w:top w:val="none" w:sz="0" w:space="0" w:color="auto"/>
            <w:left w:val="none" w:sz="0" w:space="0" w:color="auto"/>
            <w:bottom w:val="none" w:sz="0" w:space="0" w:color="auto"/>
            <w:right w:val="none" w:sz="0" w:space="0" w:color="auto"/>
          </w:divBdr>
        </w:div>
        <w:div w:id="531459187">
          <w:marLeft w:val="446"/>
          <w:marRight w:val="0"/>
          <w:marTop w:val="0"/>
          <w:marBottom w:val="0"/>
          <w:divBdr>
            <w:top w:val="none" w:sz="0" w:space="0" w:color="auto"/>
            <w:left w:val="none" w:sz="0" w:space="0" w:color="auto"/>
            <w:bottom w:val="none" w:sz="0" w:space="0" w:color="auto"/>
            <w:right w:val="none" w:sz="0" w:space="0" w:color="auto"/>
          </w:divBdr>
        </w:div>
        <w:div w:id="517933154">
          <w:marLeft w:val="446"/>
          <w:marRight w:val="0"/>
          <w:marTop w:val="0"/>
          <w:marBottom w:val="0"/>
          <w:divBdr>
            <w:top w:val="none" w:sz="0" w:space="0" w:color="auto"/>
            <w:left w:val="none" w:sz="0" w:space="0" w:color="auto"/>
            <w:bottom w:val="none" w:sz="0" w:space="0" w:color="auto"/>
            <w:right w:val="none" w:sz="0" w:space="0" w:color="auto"/>
          </w:divBdr>
        </w:div>
        <w:div w:id="497892492">
          <w:marLeft w:val="446"/>
          <w:marRight w:val="0"/>
          <w:marTop w:val="0"/>
          <w:marBottom w:val="0"/>
          <w:divBdr>
            <w:top w:val="none" w:sz="0" w:space="0" w:color="auto"/>
            <w:left w:val="none" w:sz="0" w:space="0" w:color="auto"/>
            <w:bottom w:val="none" w:sz="0" w:space="0" w:color="auto"/>
            <w:right w:val="none" w:sz="0" w:space="0" w:color="auto"/>
          </w:divBdr>
        </w:div>
        <w:div w:id="1935092105">
          <w:marLeft w:val="446"/>
          <w:marRight w:val="0"/>
          <w:marTop w:val="0"/>
          <w:marBottom w:val="0"/>
          <w:divBdr>
            <w:top w:val="none" w:sz="0" w:space="0" w:color="auto"/>
            <w:left w:val="none" w:sz="0" w:space="0" w:color="auto"/>
            <w:bottom w:val="none" w:sz="0" w:space="0" w:color="auto"/>
            <w:right w:val="none" w:sz="0" w:space="0" w:color="auto"/>
          </w:divBdr>
        </w:div>
      </w:divsChild>
    </w:div>
    <w:div w:id="141973210">
      <w:bodyDiv w:val="1"/>
      <w:marLeft w:val="0"/>
      <w:marRight w:val="0"/>
      <w:marTop w:val="0"/>
      <w:marBottom w:val="0"/>
      <w:divBdr>
        <w:top w:val="none" w:sz="0" w:space="0" w:color="auto"/>
        <w:left w:val="none" w:sz="0" w:space="0" w:color="auto"/>
        <w:bottom w:val="none" w:sz="0" w:space="0" w:color="auto"/>
        <w:right w:val="none" w:sz="0" w:space="0" w:color="auto"/>
      </w:divBdr>
    </w:div>
    <w:div w:id="270282715">
      <w:bodyDiv w:val="1"/>
      <w:marLeft w:val="0"/>
      <w:marRight w:val="0"/>
      <w:marTop w:val="0"/>
      <w:marBottom w:val="0"/>
      <w:divBdr>
        <w:top w:val="none" w:sz="0" w:space="0" w:color="auto"/>
        <w:left w:val="none" w:sz="0" w:space="0" w:color="auto"/>
        <w:bottom w:val="none" w:sz="0" w:space="0" w:color="auto"/>
        <w:right w:val="none" w:sz="0" w:space="0" w:color="auto"/>
      </w:divBdr>
      <w:divsChild>
        <w:div w:id="1023167178">
          <w:marLeft w:val="0"/>
          <w:marRight w:val="0"/>
          <w:marTop w:val="0"/>
          <w:marBottom w:val="0"/>
          <w:divBdr>
            <w:top w:val="none" w:sz="0" w:space="0" w:color="auto"/>
            <w:left w:val="none" w:sz="0" w:space="0" w:color="auto"/>
            <w:bottom w:val="none" w:sz="0" w:space="0" w:color="auto"/>
            <w:right w:val="none" w:sz="0" w:space="0" w:color="auto"/>
          </w:divBdr>
        </w:div>
        <w:div w:id="1147865999">
          <w:marLeft w:val="0"/>
          <w:marRight w:val="0"/>
          <w:marTop w:val="0"/>
          <w:marBottom w:val="0"/>
          <w:divBdr>
            <w:top w:val="none" w:sz="0" w:space="0" w:color="auto"/>
            <w:left w:val="none" w:sz="0" w:space="0" w:color="auto"/>
            <w:bottom w:val="none" w:sz="0" w:space="0" w:color="auto"/>
            <w:right w:val="none" w:sz="0" w:space="0" w:color="auto"/>
          </w:divBdr>
        </w:div>
        <w:div w:id="43527305">
          <w:marLeft w:val="0"/>
          <w:marRight w:val="0"/>
          <w:marTop w:val="0"/>
          <w:marBottom w:val="0"/>
          <w:divBdr>
            <w:top w:val="none" w:sz="0" w:space="0" w:color="auto"/>
            <w:left w:val="none" w:sz="0" w:space="0" w:color="auto"/>
            <w:bottom w:val="none" w:sz="0" w:space="0" w:color="auto"/>
            <w:right w:val="none" w:sz="0" w:space="0" w:color="auto"/>
          </w:divBdr>
        </w:div>
        <w:div w:id="377818810">
          <w:marLeft w:val="0"/>
          <w:marRight w:val="0"/>
          <w:marTop w:val="0"/>
          <w:marBottom w:val="0"/>
          <w:divBdr>
            <w:top w:val="none" w:sz="0" w:space="0" w:color="auto"/>
            <w:left w:val="none" w:sz="0" w:space="0" w:color="auto"/>
            <w:bottom w:val="none" w:sz="0" w:space="0" w:color="auto"/>
            <w:right w:val="none" w:sz="0" w:space="0" w:color="auto"/>
          </w:divBdr>
        </w:div>
      </w:divsChild>
    </w:div>
    <w:div w:id="390424437">
      <w:bodyDiv w:val="1"/>
      <w:marLeft w:val="0"/>
      <w:marRight w:val="0"/>
      <w:marTop w:val="0"/>
      <w:marBottom w:val="0"/>
      <w:divBdr>
        <w:top w:val="none" w:sz="0" w:space="0" w:color="auto"/>
        <w:left w:val="none" w:sz="0" w:space="0" w:color="auto"/>
        <w:bottom w:val="none" w:sz="0" w:space="0" w:color="auto"/>
        <w:right w:val="none" w:sz="0" w:space="0" w:color="auto"/>
      </w:divBdr>
    </w:div>
    <w:div w:id="401678271">
      <w:bodyDiv w:val="1"/>
      <w:marLeft w:val="0"/>
      <w:marRight w:val="0"/>
      <w:marTop w:val="0"/>
      <w:marBottom w:val="0"/>
      <w:divBdr>
        <w:top w:val="none" w:sz="0" w:space="0" w:color="auto"/>
        <w:left w:val="none" w:sz="0" w:space="0" w:color="auto"/>
        <w:bottom w:val="none" w:sz="0" w:space="0" w:color="auto"/>
        <w:right w:val="none" w:sz="0" w:space="0" w:color="auto"/>
      </w:divBdr>
    </w:div>
    <w:div w:id="509222084">
      <w:marLeft w:val="0"/>
      <w:marRight w:val="0"/>
      <w:marTop w:val="0"/>
      <w:marBottom w:val="0"/>
      <w:divBdr>
        <w:top w:val="none" w:sz="0" w:space="0" w:color="auto"/>
        <w:left w:val="none" w:sz="0" w:space="0" w:color="auto"/>
        <w:bottom w:val="none" w:sz="0" w:space="0" w:color="auto"/>
        <w:right w:val="none" w:sz="0" w:space="0" w:color="auto"/>
      </w:divBdr>
      <w:divsChild>
        <w:div w:id="509222086">
          <w:marLeft w:val="0"/>
          <w:marRight w:val="0"/>
          <w:marTop w:val="0"/>
          <w:marBottom w:val="0"/>
          <w:divBdr>
            <w:top w:val="none" w:sz="0" w:space="0" w:color="auto"/>
            <w:left w:val="none" w:sz="0" w:space="0" w:color="auto"/>
            <w:bottom w:val="none" w:sz="0" w:space="0" w:color="auto"/>
            <w:right w:val="none" w:sz="0" w:space="0" w:color="auto"/>
          </w:divBdr>
          <w:divsChild>
            <w:div w:id="509222091">
              <w:marLeft w:val="0"/>
              <w:marRight w:val="0"/>
              <w:marTop w:val="0"/>
              <w:marBottom w:val="0"/>
              <w:divBdr>
                <w:top w:val="none" w:sz="0" w:space="0" w:color="auto"/>
                <w:left w:val="none" w:sz="0" w:space="0" w:color="auto"/>
                <w:bottom w:val="none" w:sz="0" w:space="0" w:color="auto"/>
                <w:right w:val="none" w:sz="0" w:space="0" w:color="auto"/>
              </w:divBdr>
              <w:divsChild>
                <w:div w:id="5092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2087">
      <w:marLeft w:val="0"/>
      <w:marRight w:val="0"/>
      <w:marTop w:val="0"/>
      <w:marBottom w:val="0"/>
      <w:divBdr>
        <w:top w:val="none" w:sz="0" w:space="0" w:color="auto"/>
        <w:left w:val="none" w:sz="0" w:space="0" w:color="auto"/>
        <w:bottom w:val="none" w:sz="0" w:space="0" w:color="auto"/>
        <w:right w:val="none" w:sz="0" w:space="0" w:color="auto"/>
      </w:divBdr>
      <w:divsChild>
        <w:div w:id="509222076">
          <w:marLeft w:val="720"/>
          <w:marRight w:val="720"/>
          <w:marTop w:val="100"/>
          <w:marBottom w:val="100"/>
          <w:divBdr>
            <w:top w:val="none" w:sz="0" w:space="0" w:color="auto"/>
            <w:left w:val="none" w:sz="0" w:space="0" w:color="auto"/>
            <w:bottom w:val="none" w:sz="0" w:space="0" w:color="auto"/>
            <w:right w:val="none" w:sz="0" w:space="0" w:color="auto"/>
          </w:divBdr>
          <w:divsChild>
            <w:div w:id="509222073">
              <w:marLeft w:val="0"/>
              <w:marRight w:val="0"/>
              <w:marTop w:val="0"/>
              <w:marBottom w:val="0"/>
              <w:divBdr>
                <w:top w:val="none" w:sz="0" w:space="0" w:color="auto"/>
                <w:left w:val="none" w:sz="0" w:space="0" w:color="auto"/>
                <w:bottom w:val="none" w:sz="0" w:space="0" w:color="auto"/>
                <w:right w:val="none" w:sz="0" w:space="0" w:color="auto"/>
              </w:divBdr>
            </w:div>
            <w:div w:id="509222077">
              <w:marLeft w:val="0"/>
              <w:marRight w:val="0"/>
              <w:marTop w:val="0"/>
              <w:marBottom w:val="0"/>
              <w:divBdr>
                <w:top w:val="none" w:sz="0" w:space="0" w:color="auto"/>
                <w:left w:val="none" w:sz="0" w:space="0" w:color="auto"/>
                <w:bottom w:val="none" w:sz="0" w:space="0" w:color="auto"/>
                <w:right w:val="none" w:sz="0" w:space="0" w:color="auto"/>
              </w:divBdr>
            </w:div>
            <w:div w:id="509222079">
              <w:marLeft w:val="0"/>
              <w:marRight w:val="0"/>
              <w:marTop w:val="0"/>
              <w:marBottom w:val="0"/>
              <w:divBdr>
                <w:top w:val="none" w:sz="0" w:space="0" w:color="auto"/>
                <w:left w:val="none" w:sz="0" w:space="0" w:color="auto"/>
                <w:bottom w:val="none" w:sz="0" w:space="0" w:color="auto"/>
                <w:right w:val="none" w:sz="0" w:space="0" w:color="auto"/>
              </w:divBdr>
            </w:div>
            <w:div w:id="509222083">
              <w:marLeft w:val="0"/>
              <w:marRight w:val="0"/>
              <w:marTop w:val="0"/>
              <w:marBottom w:val="0"/>
              <w:divBdr>
                <w:top w:val="none" w:sz="0" w:space="0" w:color="auto"/>
                <w:left w:val="none" w:sz="0" w:space="0" w:color="auto"/>
                <w:bottom w:val="none" w:sz="0" w:space="0" w:color="auto"/>
                <w:right w:val="none" w:sz="0" w:space="0" w:color="auto"/>
              </w:divBdr>
            </w:div>
            <w:div w:id="509222085">
              <w:marLeft w:val="0"/>
              <w:marRight w:val="0"/>
              <w:marTop w:val="0"/>
              <w:marBottom w:val="0"/>
              <w:divBdr>
                <w:top w:val="none" w:sz="0" w:space="0" w:color="auto"/>
                <w:left w:val="none" w:sz="0" w:space="0" w:color="auto"/>
                <w:bottom w:val="none" w:sz="0" w:space="0" w:color="auto"/>
                <w:right w:val="none" w:sz="0" w:space="0" w:color="auto"/>
              </w:divBdr>
            </w:div>
            <w:div w:id="509222088">
              <w:marLeft w:val="0"/>
              <w:marRight w:val="0"/>
              <w:marTop w:val="0"/>
              <w:marBottom w:val="0"/>
              <w:divBdr>
                <w:top w:val="none" w:sz="0" w:space="0" w:color="auto"/>
                <w:left w:val="none" w:sz="0" w:space="0" w:color="auto"/>
                <w:bottom w:val="none" w:sz="0" w:space="0" w:color="auto"/>
                <w:right w:val="none" w:sz="0" w:space="0" w:color="auto"/>
              </w:divBdr>
            </w:div>
            <w:div w:id="509222092">
              <w:marLeft w:val="0"/>
              <w:marRight w:val="0"/>
              <w:marTop w:val="0"/>
              <w:marBottom w:val="0"/>
              <w:divBdr>
                <w:top w:val="none" w:sz="0" w:space="0" w:color="auto"/>
                <w:left w:val="none" w:sz="0" w:space="0" w:color="auto"/>
                <w:bottom w:val="none" w:sz="0" w:space="0" w:color="auto"/>
                <w:right w:val="none" w:sz="0" w:space="0" w:color="auto"/>
              </w:divBdr>
            </w:div>
            <w:div w:id="509222095">
              <w:marLeft w:val="0"/>
              <w:marRight w:val="0"/>
              <w:marTop w:val="0"/>
              <w:marBottom w:val="0"/>
              <w:divBdr>
                <w:top w:val="none" w:sz="0" w:space="0" w:color="auto"/>
                <w:left w:val="none" w:sz="0" w:space="0" w:color="auto"/>
                <w:bottom w:val="none" w:sz="0" w:space="0" w:color="auto"/>
                <w:right w:val="none" w:sz="0" w:space="0" w:color="auto"/>
              </w:divBdr>
            </w:div>
            <w:div w:id="509222096">
              <w:marLeft w:val="0"/>
              <w:marRight w:val="0"/>
              <w:marTop w:val="0"/>
              <w:marBottom w:val="0"/>
              <w:divBdr>
                <w:top w:val="none" w:sz="0" w:space="0" w:color="auto"/>
                <w:left w:val="none" w:sz="0" w:space="0" w:color="auto"/>
                <w:bottom w:val="none" w:sz="0" w:space="0" w:color="auto"/>
                <w:right w:val="none" w:sz="0" w:space="0" w:color="auto"/>
              </w:divBdr>
            </w:div>
          </w:divsChild>
        </w:div>
        <w:div w:id="509222080">
          <w:marLeft w:val="720"/>
          <w:marRight w:val="720"/>
          <w:marTop w:val="100"/>
          <w:marBottom w:val="100"/>
          <w:divBdr>
            <w:top w:val="none" w:sz="0" w:space="0" w:color="auto"/>
            <w:left w:val="none" w:sz="0" w:space="0" w:color="auto"/>
            <w:bottom w:val="none" w:sz="0" w:space="0" w:color="auto"/>
            <w:right w:val="none" w:sz="0" w:space="0" w:color="auto"/>
          </w:divBdr>
          <w:divsChild>
            <w:div w:id="509222074">
              <w:marLeft w:val="0"/>
              <w:marRight w:val="0"/>
              <w:marTop w:val="0"/>
              <w:marBottom w:val="0"/>
              <w:divBdr>
                <w:top w:val="none" w:sz="0" w:space="0" w:color="auto"/>
                <w:left w:val="none" w:sz="0" w:space="0" w:color="auto"/>
                <w:bottom w:val="none" w:sz="0" w:space="0" w:color="auto"/>
                <w:right w:val="none" w:sz="0" w:space="0" w:color="auto"/>
              </w:divBdr>
            </w:div>
            <w:div w:id="509222082">
              <w:marLeft w:val="0"/>
              <w:marRight w:val="0"/>
              <w:marTop w:val="0"/>
              <w:marBottom w:val="0"/>
              <w:divBdr>
                <w:top w:val="none" w:sz="0" w:space="0" w:color="auto"/>
                <w:left w:val="none" w:sz="0" w:space="0" w:color="auto"/>
                <w:bottom w:val="none" w:sz="0" w:space="0" w:color="auto"/>
                <w:right w:val="none" w:sz="0" w:space="0" w:color="auto"/>
              </w:divBdr>
            </w:div>
            <w:div w:id="509222089">
              <w:marLeft w:val="0"/>
              <w:marRight w:val="0"/>
              <w:marTop w:val="0"/>
              <w:marBottom w:val="0"/>
              <w:divBdr>
                <w:top w:val="none" w:sz="0" w:space="0" w:color="auto"/>
                <w:left w:val="none" w:sz="0" w:space="0" w:color="auto"/>
                <w:bottom w:val="none" w:sz="0" w:space="0" w:color="auto"/>
                <w:right w:val="none" w:sz="0" w:space="0" w:color="auto"/>
              </w:divBdr>
            </w:div>
            <w:div w:id="5092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090">
      <w:marLeft w:val="0"/>
      <w:marRight w:val="0"/>
      <w:marTop w:val="0"/>
      <w:marBottom w:val="0"/>
      <w:divBdr>
        <w:top w:val="none" w:sz="0" w:space="0" w:color="auto"/>
        <w:left w:val="none" w:sz="0" w:space="0" w:color="auto"/>
        <w:bottom w:val="none" w:sz="0" w:space="0" w:color="auto"/>
        <w:right w:val="none" w:sz="0" w:space="0" w:color="auto"/>
      </w:divBdr>
    </w:div>
    <w:div w:id="509222094">
      <w:marLeft w:val="0"/>
      <w:marRight w:val="0"/>
      <w:marTop w:val="0"/>
      <w:marBottom w:val="0"/>
      <w:divBdr>
        <w:top w:val="none" w:sz="0" w:space="0" w:color="auto"/>
        <w:left w:val="none" w:sz="0" w:space="0" w:color="auto"/>
        <w:bottom w:val="none" w:sz="0" w:space="0" w:color="auto"/>
        <w:right w:val="none" w:sz="0" w:space="0" w:color="auto"/>
      </w:divBdr>
      <w:divsChild>
        <w:div w:id="509222081">
          <w:marLeft w:val="0"/>
          <w:marRight w:val="0"/>
          <w:marTop w:val="0"/>
          <w:marBottom w:val="0"/>
          <w:divBdr>
            <w:top w:val="none" w:sz="0" w:space="0" w:color="auto"/>
            <w:left w:val="none" w:sz="0" w:space="0" w:color="auto"/>
            <w:bottom w:val="none" w:sz="0" w:space="0" w:color="auto"/>
            <w:right w:val="none" w:sz="0" w:space="0" w:color="auto"/>
          </w:divBdr>
          <w:divsChild>
            <w:div w:id="509222097">
              <w:marLeft w:val="0"/>
              <w:marRight w:val="0"/>
              <w:marTop w:val="0"/>
              <w:marBottom w:val="0"/>
              <w:divBdr>
                <w:top w:val="none" w:sz="0" w:space="0" w:color="auto"/>
                <w:left w:val="none" w:sz="0" w:space="0" w:color="auto"/>
                <w:bottom w:val="none" w:sz="0" w:space="0" w:color="auto"/>
                <w:right w:val="none" w:sz="0" w:space="0" w:color="auto"/>
              </w:divBdr>
              <w:divsChild>
                <w:div w:id="509222078">
                  <w:marLeft w:val="0"/>
                  <w:marRight w:val="0"/>
                  <w:marTop w:val="0"/>
                  <w:marBottom w:val="0"/>
                  <w:divBdr>
                    <w:top w:val="none" w:sz="0" w:space="0" w:color="auto"/>
                    <w:left w:val="none" w:sz="0" w:space="0" w:color="auto"/>
                    <w:bottom w:val="none" w:sz="0" w:space="0" w:color="auto"/>
                    <w:right w:val="none" w:sz="0" w:space="0" w:color="auto"/>
                  </w:divBdr>
                  <w:divsChild>
                    <w:div w:id="50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2099">
      <w:marLeft w:val="0"/>
      <w:marRight w:val="0"/>
      <w:marTop w:val="0"/>
      <w:marBottom w:val="0"/>
      <w:divBdr>
        <w:top w:val="none" w:sz="0" w:space="0" w:color="auto"/>
        <w:left w:val="none" w:sz="0" w:space="0" w:color="auto"/>
        <w:bottom w:val="none" w:sz="0" w:space="0" w:color="auto"/>
        <w:right w:val="none" w:sz="0" w:space="0" w:color="auto"/>
      </w:divBdr>
    </w:div>
    <w:div w:id="509222100">
      <w:marLeft w:val="0"/>
      <w:marRight w:val="0"/>
      <w:marTop w:val="0"/>
      <w:marBottom w:val="0"/>
      <w:divBdr>
        <w:top w:val="none" w:sz="0" w:space="0" w:color="auto"/>
        <w:left w:val="none" w:sz="0" w:space="0" w:color="auto"/>
        <w:bottom w:val="none" w:sz="0" w:space="0" w:color="auto"/>
        <w:right w:val="none" w:sz="0" w:space="0" w:color="auto"/>
      </w:divBdr>
    </w:div>
    <w:div w:id="509222101">
      <w:marLeft w:val="0"/>
      <w:marRight w:val="0"/>
      <w:marTop w:val="0"/>
      <w:marBottom w:val="0"/>
      <w:divBdr>
        <w:top w:val="none" w:sz="0" w:space="0" w:color="auto"/>
        <w:left w:val="none" w:sz="0" w:space="0" w:color="auto"/>
        <w:bottom w:val="none" w:sz="0" w:space="0" w:color="auto"/>
        <w:right w:val="none" w:sz="0" w:space="0" w:color="auto"/>
      </w:divBdr>
    </w:div>
    <w:div w:id="509222102">
      <w:marLeft w:val="0"/>
      <w:marRight w:val="0"/>
      <w:marTop w:val="0"/>
      <w:marBottom w:val="0"/>
      <w:divBdr>
        <w:top w:val="none" w:sz="0" w:space="0" w:color="auto"/>
        <w:left w:val="none" w:sz="0" w:space="0" w:color="auto"/>
        <w:bottom w:val="none" w:sz="0" w:space="0" w:color="auto"/>
        <w:right w:val="none" w:sz="0" w:space="0" w:color="auto"/>
      </w:divBdr>
    </w:div>
    <w:div w:id="509222103">
      <w:marLeft w:val="0"/>
      <w:marRight w:val="0"/>
      <w:marTop w:val="0"/>
      <w:marBottom w:val="0"/>
      <w:divBdr>
        <w:top w:val="none" w:sz="0" w:space="0" w:color="auto"/>
        <w:left w:val="none" w:sz="0" w:space="0" w:color="auto"/>
        <w:bottom w:val="none" w:sz="0" w:space="0" w:color="auto"/>
        <w:right w:val="none" w:sz="0" w:space="0" w:color="auto"/>
      </w:divBdr>
    </w:div>
    <w:div w:id="509222104">
      <w:marLeft w:val="0"/>
      <w:marRight w:val="0"/>
      <w:marTop w:val="0"/>
      <w:marBottom w:val="0"/>
      <w:divBdr>
        <w:top w:val="none" w:sz="0" w:space="0" w:color="auto"/>
        <w:left w:val="none" w:sz="0" w:space="0" w:color="auto"/>
        <w:bottom w:val="none" w:sz="0" w:space="0" w:color="auto"/>
        <w:right w:val="none" w:sz="0" w:space="0" w:color="auto"/>
      </w:divBdr>
    </w:div>
    <w:div w:id="509222105">
      <w:marLeft w:val="0"/>
      <w:marRight w:val="0"/>
      <w:marTop w:val="0"/>
      <w:marBottom w:val="0"/>
      <w:divBdr>
        <w:top w:val="none" w:sz="0" w:space="0" w:color="auto"/>
        <w:left w:val="none" w:sz="0" w:space="0" w:color="auto"/>
        <w:bottom w:val="none" w:sz="0" w:space="0" w:color="auto"/>
        <w:right w:val="none" w:sz="0" w:space="0" w:color="auto"/>
      </w:divBdr>
    </w:div>
    <w:div w:id="509222106">
      <w:marLeft w:val="0"/>
      <w:marRight w:val="0"/>
      <w:marTop w:val="0"/>
      <w:marBottom w:val="0"/>
      <w:divBdr>
        <w:top w:val="none" w:sz="0" w:space="0" w:color="auto"/>
        <w:left w:val="none" w:sz="0" w:space="0" w:color="auto"/>
        <w:bottom w:val="none" w:sz="0" w:space="0" w:color="auto"/>
        <w:right w:val="none" w:sz="0" w:space="0" w:color="auto"/>
      </w:divBdr>
    </w:div>
    <w:div w:id="509222107">
      <w:marLeft w:val="0"/>
      <w:marRight w:val="0"/>
      <w:marTop w:val="0"/>
      <w:marBottom w:val="0"/>
      <w:divBdr>
        <w:top w:val="none" w:sz="0" w:space="0" w:color="auto"/>
        <w:left w:val="none" w:sz="0" w:space="0" w:color="auto"/>
        <w:bottom w:val="none" w:sz="0" w:space="0" w:color="auto"/>
        <w:right w:val="none" w:sz="0" w:space="0" w:color="auto"/>
      </w:divBdr>
    </w:div>
    <w:div w:id="509222108">
      <w:marLeft w:val="0"/>
      <w:marRight w:val="0"/>
      <w:marTop w:val="0"/>
      <w:marBottom w:val="0"/>
      <w:divBdr>
        <w:top w:val="none" w:sz="0" w:space="0" w:color="auto"/>
        <w:left w:val="none" w:sz="0" w:space="0" w:color="auto"/>
        <w:bottom w:val="none" w:sz="0" w:space="0" w:color="auto"/>
        <w:right w:val="none" w:sz="0" w:space="0" w:color="auto"/>
      </w:divBdr>
    </w:div>
    <w:div w:id="530261204">
      <w:bodyDiv w:val="1"/>
      <w:marLeft w:val="0"/>
      <w:marRight w:val="0"/>
      <w:marTop w:val="0"/>
      <w:marBottom w:val="0"/>
      <w:divBdr>
        <w:top w:val="none" w:sz="0" w:space="0" w:color="auto"/>
        <w:left w:val="none" w:sz="0" w:space="0" w:color="auto"/>
        <w:bottom w:val="none" w:sz="0" w:space="0" w:color="auto"/>
        <w:right w:val="none" w:sz="0" w:space="0" w:color="auto"/>
      </w:divBdr>
    </w:div>
    <w:div w:id="576594736">
      <w:bodyDiv w:val="1"/>
      <w:marLeft w:val="0"/>
      <w:marRight w:val="0"/>
      <w:marTop w:val="0"/>
      <w:marBottom w:val="0"/>
      <w:divBdr>
        <w:top w:val="none" w:sz="0" w:space="0" w:color="auto"/>
        <w:left w:val="none" w:sz="0" w:space="0" w:color="auto"/>
        <w:bottom w:val="none" w:sz="0" w:space="0" w:color="auto"/>
        <w:right w:val="none" w:sz="0" w:space="0" w:color="auto"/>
      </w:divBdr>
    </w:div>
    <w:div w:id="584652476">
      <w:bodyDiv w:val="1"/>
      <w:marLeft w:val="0"/>
      <w:marRight w:val="0"/>
      <w:marTop w:val="0"/>
      <w:marBottom w:val="0"/>
      <w:divBdr>
        <w:top w:val="none" w:sz="0" w:space="0" w:color="auto"/>
        <w:left w:val="none" w:sz="0" w:space="0" w:color="auto"/>
        <w:bottom w:val="none" w:sz="0" w:space="0" w:color="auto"/>
        <w:right w:val="none" w:sz="0" w:space="0" w:color="auto"/>
      </w:divBdr>
    </w:div>
    <w:div w:id="593904400">
      <w:bodyDiv w:val="1"/>
      <w:marLeft w:val="0"/>
      <w:marRight w:val="0"/>
      <w:marTop w:val="0"/>
      <w:marBottom w:val="0"/>
      <w:divBdr>
        <w:top w:val="none" w:sz="0" w:space="0" w:color="auto"/>
        <w:left w:val="none" w:sz="0" w:space="0" w:color="auto"/>
        <w:bottom w:val="none" w:sz="0" w:space="0" w:color="auto"/>
        <w:right w:val="none" w:sz="0" w:space="0" w:color="auto"/>
      </w:divBdr>
    </w:div>
    <w:div w:id="603345281">
      <w:bodyDiv w:val="1"/>
      <w:marLeft w:val="0"/>
      <w:marRight w:val="0"/>
      <w:marTop w:val="0"/>
      <w:marBottom w:val="0"/>
      <w:divBdr>
        <w:top w:val="none" w:sz="0" w:space="0" w:color="auto"/>
        <w:left w:val="none" w:sz="0" w:space="0" w:color="auto"/>
        <w:bottom w:val="none" w:sz="0" w:space="0" w:color="auto"/>
        <w:right w:val="none" w:sz="0" w:space="0" w:color="auto"/>
      </w:divBdr>
    </w:div>
    <w:div w:id="606275033">
      <w:bodyDiv w:val="1"/>
      <w:marLeft w:val="0"/>
      <w:marRight w:val="0"/>
      <w:marTop w:val="0"/>
      <w:marBottom w:val="0"/>
      <w:divBdr>
        <w:top w:val="none" w:sz="0" w:space="0" w:color="auto"/>
        <w:left w:val="none" w:sz="0" w:space="0" w:color="auto"/>
        <w:bottom w:val="none" w:sz="0" w:space="0" w:color="auto"/>
        <w:right w:val="none" w:sz="0" w:space="0" w:color="auto"/>
      </w:divBdr>
    </w:div>
    <w:div w:id="615261815">
      <w:bodyDiv w:val="1"/>
      <w:marLeft w:val="0"/>
      <w:marRight w:val="0"/>
      <w:marTop w:val="0"/>
      <w:marBottom w:val="0"/>
      <w:divBdr>
        <w:top w:val="none" w:sz="0" w:space="0" w:color="auto"/>
        <w:left w:val="none" w:sz="0" w:space="0" w:color="auto"/>
        <w:bottom w:val="none" w:sz="0" w:space="0" w:color="auto"/>
        <w:right w:val="none" w:sz="0" w:space="0" w:color="auto"/>
      </w:divBdr>
    </w:div>
    <w:div w:id="687021114">
      <w:bodyDiv w:val="1"/>
      <w:marLeft w:val="0"/>
      <w:marRight w:val="0"/>
      <w:marTop w:val="0"/>
      <w:marBottom w:val="0"/>
      <w:divBdr>
        <w:top w:val="none" w:sz="0" w:space="0" w:color="auto"/>
        <w:left w:val="none" w:sz="0" w:space="0" w:color="auto"/>
        <w:bottom w:val="none" w:sz="0" w:space="0" w:color="auto"/>
        <w:right w:val="none" w:sz="0" w:space="0" w:color="auto"/>
      </w:divBdr>
      <w:divsChild>
        <w:div w:id="1796682217">
          <w:marLeft w:val="446"/>
          <w:marRight w:val="0"/>
          <w:marTop w:val="0"/>
          <w:marBottom w:val="0"/>
          <w:divBdr>
            <w:top w:val="none" w:sz="0" w:space="0" w:color="auto"/>
            <w:left w:val="none" w:sz="0" w:space="0" w:color="auto"/>
            <w:bottom w:val="none" w:sz="0" w:space="0" w:color="auto"/>
            <w:right w:val="none" w:sz="0" w:space="0" w:color="auto"/>
          </w:divBdr>
        </w:div>
        <w:div w:id="1538350563">
          <w:marLeft w:val="446"/>
          <w:marRight w:val="0"/>
          <w:marTop w:val="0"/>
          <w:marBottom w:val="0"/>
          <w:divBdr>
            <w:top w:val="none" w:sz="0" w:space="0" w:color="auto"/>
            <w:left w:val="none" w:sz="0" w:space="0" w:color="auto"/>
            <w:bottom w:val="none" w:sz="0" w:space="0" w:color="auto"/>
            <w:right w:val="none" w:sz="0" w:space="0" w:color="auto"/>
          </w:divBdr>
        </w:div>
        <w:div w:id="1771706150">
          <w:marLeft w:val="446"/>
          <w:marRight w:val="0"/>
          <w:marTop w:val="0"/>
          <w:marBottom w:val="0"/>
          <w:divBdr>
            <w:top w:val="none" w:sz="0" w:space="0" w:color="auto"/>
            <w:left w:val="none" w:sz="0" w:space="0" w:color="auto"/>
            <w:bottom w:val="none" w:sz="0" w:space="0" w:color="auto"/>
            <w:right w:val="none" w:sz="0" w:space="0" w:color="auto"/>
          </w:divBdr>
        </w:div>
        <w:div w:id="214660193">
          <w:marLeft w:val="446"/>
          <w:marRight w:val="0"/>
          <w:marTop w:val="0"/>
          <w:marBottom w:val="0"/>
          <w:divBdr>
            <w:top w:val="none" w:sz="0" w:space="0" w:color="auto"/>
            <w:left w:val="none" w:sz="0" w:space="0" w:color="auto"/>
            <w:bottom w:val="none" w:sz="0" w:space="0" w:color="auto"/>
            <w:right w:val="none" w:sz="0" w:space="0" w:color="auto"/>
          </w:divBdr>
        </w:div>
        <w:div w:id="2015183185">
          <w:marLeft w:val="446"/>
          <w:marRight w:val="0"/>
          <w:marTop w:val="0"/>
          <w:marBottom w:val="0"/>
          <w:divBdr>
            <w:top w:val="none" w:sz="0" w:space="0" w:color="auto"/>
            <w:left w:val="none" w:sz="0" w:space="0" w:color="auto"/>
            <w:bottom w:val="none" w:sz="0" w:space="0" w:color="auto"/>
            <w:right w:val="none" w:sz="0" w:space="0" w:color="auto"/>
          </w:divBdr>
        </w:div>
        <w:div w:id="1050615700">
          <w:marLeft w:val="446"/>
          <w:marRight w:val="0"/>
          <w:marTop w:val="0"/>
          <w:marBottom w:val="0"/>
          <w:divBdr>
            <w:top w:val="none" w:sz="0" w:space="0" w:color="auto"/>
            <w:left w:val="none" w:sz="0" w:space="0" w:color="auto"/>
            <w:bottom w:val="none" w:sz="0" w:space="0" w:color="auto"/>
            <w:right w:val="none" w:sz="0" w:space="0" w:color="auto"/>
          </w:divBdr>
        </w:div>
        <w:div w:id="1537742451">
          <w:marLeft w:val="446"/>
          <w:marRight w:val="0"/>
          <w:marTop w:val="0"/>
          <w:marBottom w:val="0"/>
          <w:divBdr>
            <w:top w:val="none" w:sz="0" w:space="0" w:color="auto"/>
            <w:left w:val="none" w:sz="0" w:space="0" w:color="auto"/>
            <w:bottom w:val="none" w:sz="0" w:space="0" w:color="auto"/>
            <w:right w:val="none" w:sz="0" w:space="0" w:color="auto"/>
          </w:divBdr>
        </w:div>
        <w:div w:id="1945459893">
          <w:marLeft w:val="446"/>
          <w:marRight w:val="0"/>
          <w:marTop w:val="0"/>
          <w:marBottom w:val="0"/>
          <w:divBdr>
            <w:top w:val="none" w:sz="0" w:space="0" w:color="auto"/>
            <w:left w:val="none" w:sz="0" w:space="0" w:color="auto"/>
            <w:bottom w:val="none" w:sz="0" w:space="0" w:color="auto"/>
            <w:right w:val="none" w:sz="0" w:space="0" w:color="auto"/>
          </w:divBdr>
        </w:div>
        <w:div w:id="1511527939">
          <w:marLeft w:val="446"/>
          <w:marRight w:val="0"/>
          <w:marTop w:val="0"/>
          <w:marBottom w:val="0"/>
          <w:divBdr>
            <w:top w:val="none" w:sz="0" w:space="0" w:color="auto"/>
            <w:left w:val="none" w:sz="0" w:space="0" w:color="auto"/>
            <w:bottom w:val="none" w:sz="0" w:space="0" w:color="auto"/>
            <w:right w:val="none" w:sz="0" w:space="0" w:color="auto"/>
          </w:divBdr>
        </w:div>
        <w:div w:id="951130344">
          <w:marLeft w:val="446"/>
          <w:marRight w:val="0"/>
          <w:marTop w:val="0"/>
          <w:marBottom w:val="0"/>
          <w:divBdr>
            <w:top w:val="none" w:sz="0" w:space="0" w:color="auto"/>
            <w:left w:val="none" w:sz="0" w:space="0" w:color="auto"/>
            <w:bottom w:val="none" w:sz="0" w:space="0" w:color="auto"/>
            <w:right w:val="none" w:sz="0" w:space="0" w:color="auto"/>
          </w:divBdr>
        </w:div>
        <w:div w:id="1762289999">
          <w:marLeft w:val="446"/>
          <w:marRight w:val="0"/>
          <w:marTop w:val="0"/>
          <w:marBottom w:val="0"/>
          <w:divBdr>
            <w:top w:val="none" w:sz="0" w:space="0" w:color="auto"/>
            <w:left w:val="none" w:sz="0" w:space="0" w:color="auto"/>
            <w:bottom w:val="none" w:sz="0" w:space="0" w:color="auto"/>
            <w:right w:val="none" w:sz="0" w:space="0" w:color="auto"/>
          </w:divBdr>
        </w:div>
        <w:div w:id="726102434">
          <w:marLeft w:val="446"/>
          <w:marRight w:val="0"/>
          <w:marTop w:val="0"/>
          <w:marBottom w:val="0"/>
          <w:divBdr>
            <w:top w:val="none" w:sz="0" w:space="0" w:color="auto"/>
            <w:left w:val="none" w:sz="0" w:space="0" w:color="auto"/>
            <w:bottom w:val="none" w:sz="0" w:space="0" w:color="auto"/>
            <w:right w:val="none" w:sz="0" w:space="0" w:color="auto"/>
          </w:divBdr>
        </w:div>
        <w:div w:id="242380772">
          <w:marLeft w:val="446"/>
          <w:marRight w:val="0"/>
          <w:marTop w:val="0"/>
          <w:marBottom w:val="0"/>
          <w:divBdr>
            <w:top w:val="none" w:sz="0" w:space="0" w:color="auto"/>
            <w:left w:val="none" w:sz="0" w:space="0" w:color="auto"/>
            <w:bottom w:val="none" w:sz="0" w:space="0" w:color="auto"/>
            <w:right w:val="none" w:sz="0" w:space="0" w:color="auto"/>
          </w:divBdr>
        </w:div>
        <w:div w:id="1507480807">
          <w:marLeft w:val="446"/>
          <w:marRight w:val="0"/>
          <w:marTop w:val="0"/>
          <w:marBottom w:val="0"/>
          <w:divBdr>
            <w:top w:val="none" w:sz="0" w:space="0" w:color="auto"/>
            <w:left w:val="none" w:sz="0" w:space="0" w:color="auto"/>
            <w:bottom w:val="none" w:sz="0" w:space="0" w:color="auto"/>
            <w:right w:val="none" w:sz="0" w:space="0" w:color="auto"/>
          </w:divBdr>
        </w:div>
        <w:div w:id="666515746">
          <w:marLeft w:val="446"/>
          <w:marRight w:val="0"/>
          <w:marTop w:val="0"/>
          <w:marBottom w:val="0"/>
          <w:divBdr>
            <w:top w:val="none" w:sz="0" w:space="0" w:color="auto"/>
            <w:left w:val="none" w:sz="0" w:space="0" w:color="auto"/>
            <w:bottom w:val="none" w:sz="0" w:space="0" w:color="auto"/>
            <w:right w:val="none" w:sz="0" w:space="0" w:color="auto"/>
          </w:divBdr>
        </w:div>
        <w:div w:id="375399288">
          <w:marLeft w:val="446"/>
          <w:marRight w:val="0"/>
          <w:marTop w:val="0"/>
          <w:marBottom w:val="0"/>
          <w:divBdr>
            <w:top w:val="none" w:sz="0" w:space="0" w:color="auto"/>
            <w:left w:val="none" w:sz="0" w:space="0" w:color="auto"/>
            <w:bottom w:val="none" w:sz="0" w:space="0" w:color="auto"/>
            <w:right w:val="none" w:sz="0" w:space="0" w:color="auto"/>
          </w:divBdr>
        </w:div>
      </w:divsChild>
    </w:div>
    <w:div w:id="754017748">
      <w:bodyDiv w:val="1"/>
      <w:marLeft w:val="0"/>
      <w:marRight w:val="0"/>
      <w:marTop w:val="0"/>
      <w:marBottom w:val="0"/>
      <w:divBdr>
        <w:top w:val="none" w:sz="0" w:space="0" w:color="auto"/>
        <w:left w:val="none" w:sz="0" w:space="0" w:color="auto"/>
        <w:bottom w:val="none" w:sz="0" w:space="0" w:color="auto"/>
        <w:right w:val="none" w:sz="0" w:space="0" w:color="auto"/>
      </w:divBdr>
    </w:div>
    <w:div w:id="756707837">
      <w:bodyDiv w:val="1"/>
      <w:marLeft w:val="0"/>
      <w:marRight w:val="0"/>
      <w:marTop w:val="0"/>
      <w:marBottom w:val="0"/>
      <w:divBdr>
        <w:top w:val="none" w:sz="0" w:space="0" w:color="auto"/>
        <w:left w:val="none" w:sz="0" w:space="0" w:color="auto"/>
        <w:bottom w:val="none" w:sz="0" w:space="0" w:color="auto"/>
        <w:right w:val="none" w:sz="0" w:space="0" w:color="auto"/>
      </w:divBdr>
      <w:divsChild>
        <w:div w:id="779033716">
          <w:marLeft w:val="0"/>
          <w:marRight w:val="0"/>
          <w:marTop w:val="0"/>
          <w:marBottom w:val="0"/>
          <w:divBdr>
            <w:top w:val="none" w:sz="0" w:space="0" w:color="auto"/>
            <w:left w:val="none" w:sz="0" w:space="0" w:color="auto"/>
            <w:bottom w:val="none" w:sz="0" w:space="0" w:color="auto"/>
            <w:right w:val="none" w:sz="0" w:space="0" w:color="auto"/>
          </w:divBdr>
        </w:div>
        <w:div w:id="221136004">
          <w:marLeft w:val="0"/>
          <w:marRight w:val="0"/>
          <w:marTop w:val="0"/>
          <w:marBottom w:val="0"/>
          <w:divBdr>
            <w:top w:val="none" w:sz="0" w:space="0" w:color="auto"/>
            <w:left w:val="none" w:sz="0" w:space="0" w:color="auto"/>
            <w:bottom w:val="none" w:sz="0" w:space="0" w:color="auto"/>
            <w:right w:val="none" w:sz="0" w:space="0" w:color="auto"/>
          </w:divBdr>
        </w:div>
        <w:div w:id="271085408">
          <w:marLeft w:val="0"/>
          <w:marRight w:val="0"/>
          <w:marTop w:val="0"/>
          <w:marBottom w:val="0"/>
          <w:divBdr>
            <w:top w:val="none" w:sz="0" w:space="0" w:color="auto"/>
            <w:left w:val="none" w:sz="0" w:space="0" w:color="auto"/>
            <w:bottom w:val="none" w:sz="0" w:space="0" w:color="auto"/>
            <w:right w:val="none" w:sz="0" w:space="0" w:color="auto"/>
          </w:divBdr>
        </w:div>
        <w:div w:id="1613197571">
          <w:marLeft w:val="0"/>
          <w:marRight w:val="0"/>
          <w:marTop w:val="0"/>
          <w:marBottom w:val="0"/>
          <w:divBdr>
            <w:top w:val="none" w:sz="0" w:space="0" w:color="auto"/>
            <w:left w:val="none" w:sz="0" w:space="0" w:color="auto"/>
            <w:bottom w:val="none" w:sz="0" w:space="0" w:color="auto"/>
            <w:right w:val="none" w:sz="0" w:space="0" w:color="auto"/>
          </w:divBdr>
        </w:div>
      </w:divsChild>
    </w:div>
    <w:div w:id="817187329">
      <w:bodyDiv w:val="1"/>
      <w:marLeft w:val="0"/>
      <w:marRight w:val="0"/>
      <w:marTop w:val="0"/>
      <w:marBottom w:val="0"/>
      <w:divBdr>
        <w:top w:val="none" w:sz="0" w:space="0" w:color="auto"/>
        <w:left w:val="none" w:sz="0" w:space="0" w:color="auto"/>
        <w:bottom w:val="none" w:sz="0" w:space="0" w:color="auto"/>
        <w:right w:val="none" w:sz="0" w:space="0" w:color="auto"/>
      </w:divBdr>
      <w:divsChild>
        <w:div w:id="1560049700">
          <w:marLeft w:val="446"/>
          <w:marRight w:val="0"/>
          <w:marTop w:val="0"/>
          <w:marBottom w:val="0"/>
          <w:divBdr>
            <w:top w:val="none" w:sz="0" w:space="0" w:color="auto"/>
            <w:left w:val="none" w:sz="0" w:space="0" w:color="auto"/>
            <w:bottom w:val="none" w:sz="0" w:space="0" w:color="auto"/>
            <w:right w:val="none" w:sz="0" w:space="0" w:color="auto"/>
          </w:divBdr>
        </w:div>
        <w:div w:id="1608002768">
          <w:marLeft w:val="446"/>
          <w:marRight w:val="0"/>
          <w:marTop w:val="0"/>
          <w:marBottom w:val="0"/>
          <w:divBdr>
            <w:top w:val="none" w:sz="0" w:space="0" w:color="auto"/>
            <w:left w:val="none" w:sz="0" w:space="0" w:color="auto"/>
            <w:bottom w:val="none" w:sz="0" w:space="0" w:color="auto"/>
            <w:right w:val="none" w:sz="0" w:space="0" w:color="auto"/>
          </w:divBdr>
        </w:div>
      </w:divsChild>
    </w:div>
    <w:div w:id="830145135">
      <w:bodyDiv w:val="1"/>
      <w:marLeft w:val="0"/>
      <w:marRight w:val="0"/>
      <w:marTop w:val="0"/>
      <w:marBottom w:val="0"/>
      <w:divBdr>
        <w:top w:val="none" w:sz="0" w:space="0" w:color="auto"/>
        <w:left w:val="none" w:sz="0" w:space="0" w:color="auto"/>
        <w:bottom w:val="none" w:sz="0" w:space="0" w:color="auto"/>
        <w:right w:val="none" w:sz="0" w:space="0" w:color="auto"/>
      </w:divBdr>
    </w:div>
    <w:div w:id="967928167">
      <w:bodyDiv w:val="1"/>
      <w:marLeft w:val="0"/>
      <w:marRight w:val="0"/>
      <w:marTop w:val="0"/>
      <w:marBottom w:val="0"/>
      <w:divBdr>
        <w:top w:val="none" w:sz="0" w:space="0" w:color="auto"/>
        <w:left w:val="none" w:sz="0" w:space="0" w:color="auto"/>
        <w:bottom w:val="none" w:sz="0" w:space="0" w:color="auto"/>
        <w:right w:val="none" w:sz="0" w:space="0" w:color="auto"/>
      </w:divBdr>
    </w:div>
    <w:div w:id="970356993">
      <w:bodyDiv w:val="1"/>
      <w:marLeft w:val="0"/>
      <w:marRight w:val="0"/>
      <w:marTop w:val="0"/>
      <w:marBottom w:val="0"/>
      <w:divBdr>
        <w:top w:val="none" w:sz="0" w:space="0" w:color="auto"/>
        <w:left w:val="none" w:sz="0" w:space="0" w:color="auto"/>
        <w:bottom w:val="none" w:sz="0" w:space="0" w:color="auto"/>
        <w:right w:val="none" w:sz="0" w:space="0" w:color="auto"/>
      </w:divBdr>
      <w:divsChild>
        <w:div w:id="1522088552">
          <w:marLeft w:val="0"/>
          <w:marRight w:val="0"/>
          <w:marTop w:val="0"/>
          <w:marBottom w:val="0"/>
          <w:divBdr>
            <w:top w:val="none" w:sz="0" w:space="0" w:color="auto"/>
            <w:left w:val="none" w:sz="0" w:space="0" w:color="auto"/>
            <w:bottom w:val="none" w:sz="0" w:space="0" w:color="auto"/>
            <w:right w:val="none" w:sz="0" w:space="0" w:color="auto"/>
          </w:divBdr>
          <w:divsChild>
            <w:div w:id="1059674467">
              <w:marLeft w:val="0"/>
              <w:marRight w:val="0"/>
              <w:marTop w:val="0"/>
              <w:marBottom w:val="0"/>
              <w:divBdr>
                <w:top w:val="none" w:sz="0" w:space="0" w:color="auto"/>
                <w:left w:val="none" w:sz="0" w:space="0" w:color="auto"/>
                <w:bottom w:val="none" w:sz="0" w:space="0" w:color="auto"/>
                <w:right w:val="none" w:sz="0" w:space="0" w:color="auto"/>
              </w:divBdr>
              <w:divsChild>
                <w:div w:id="14022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373">
      <w:bodyDiv w:val="1"/>
      <w:marLeft w:val="0"/>
      <w:marRight w:val="0"/>
      <w:marTop w:val="0"/>
      <w:marBottom w:val="0"/>
      <w:divBdr>
        <w:top w:val="none" w:sz="0" w:space="0" w:color="auto"/>
        <w:left w:val="none" w:sz="0" w:space="0" w:color="auto"/>
        <w:bottom w:val="none" w:sz="0" w:space="0" w:color="auto"/>
        <w:right w:val="none" w:sz="0" w:space="0" w:color="auto"/>
      </w:divBdr>
    </w:div>
    <w:div w:id="1127503535">
      <w:bodyDiv w:val="1"/>
      <w:marLeft w:val="0"/>
      <w:marRight w:val="0"/>
      <w:marTop w:val="0"/>
      <w:marBottom w:val="0"/>
      <w:divBdr>
        <w:top w:val="none" w:sz="0" w:space="0" w:color="auto"/>
        <w:left w:val="none" w:sz="0" w:space="0" w:color="auto"/>
        <w:bottom w:val="none" w:sz="0" w:space="0" w:color="auto"/>
        <w:right w:val="none" w:sz="0" w:space="0" w:color="auto"/>
      </w:divBdr>
    </w:div>
    <w:div w:id="1155606041">
      <w:bodyDiv w:val="1"/>
      <w:marLeft w:val="0"/>
      <w:marRight w:val="0"/>
      <w:marTop w:val="0"/>
      <w:marBottom w:val="0"/>
      <w:divBdr>
        <w:top w:val="none" w:sz="0" w:space="0" w:color="auto"/>
        <w:left w:val="none" w:sz="0" w:space="0" w:color="auto"/>
        <w:bottom w:val="none" w:sz="0" w:space="0" w:color="auto"/>
        <w:right w:val="none" w:sz="0" w:space="0" w:color="auto"/>
      </w:divBdr>
    </w:div>
    <w:div w:id="1225873433">
      <w:bodyDiv w:val="1"/>
      <w:marLeft w:val="0"/>
      <w:marRight w:val="0"/>
      <w:marTop w:val="0"/>
      <w:marBottom w:val="0"/>
      <w:divBdr>
        <w:top w:val="none" w:sz="0" w:space="0" w:color="auto"/>
        <w:left w:val="none" w:sz="0" w:space="0" w:color="auto"/>
        <w:bottom w:val="none" w:sz="0" w:space="0" w:color="auto"/>
        <w:right w:val="none" w:sz="0" w:space="0" w:color="auto"/>
      </w:divBdr>
    </w:div>
    <w:div w:id="1425609400">
      <w:bodyDiv w:val="1"/>
      <w:marLeft w:val="0"/>
      <w:marRight w:val="0"/>
      <w:marTop w:val="0"/>
      <w:marBottom w:val="0"/>
      <w:divBdr>
        <w:top w:val="none" w:sz="0" w:space="0" w:color="auto"/>
        <w:left w:val="none" w:sz="0" w:space="0" w:color="auto"/>
        <w:bottom w:val="none" w:sz="0" w:space="0" w:color="auto"/>
        <w:right w:val="none" w:sz="0" w:space="0" w:color="auto"/>
      </w:divBdr>
    </w:div>
    <w:div w:id="1650986574">
      <w:bodyDiv w:val="1"/>
      <w:marLeft w:val="0"/>
      <w:marRight w:val="0"/>
      <w:marTop w:val="0"/>
      <w:marBottom w:val="0"/>
      <w:divBdr>
        <w:top w:val="none" w:sz="0" w:space="0" w:color="auto"/>
        <w:left w:val="none" w:sz="0" w:space="0" w:color="auto"/>
        <w:bottom w:val="none" w:sz="0" w:space="0" w:color="auto"/>
        <w:right w:val="none" w:sz="0" w:space="0" w:color="auto"/>
      </w:divBdr>
    </w:div>
    <w:div w:id="1712799820">
      <w:bodyDiv w:val="1"/>
      <w:marLeft w:val="0"/>
      <w:marRight w:val="0"/>
      <w:marTop w:val="0"/>
      <w:marBottom w:val="0"/>
      <w:divBdr>
        <w:top w:val="none" w:sz="0" w:space="0" w:color="auto"/>
        <w:left w:val="none" w:sz="0" w:space="0" w:color="auto"/>
        <w:bottom w:val="none" w:sz="0" w:space="0" w:color="auto"/>
        <w:right w:val="none" w:sz="0" w:space="0" w:color="auto"/>
      </w:divBdr>
    </w:div>
    <w:div w:id="1715692893">
      <w:bodyDiv w:val="1"/>
      <w:marLeft w:val="0"/>
      <w:marRight w:val="0"/>
      <w:marTop w:val="0"/>
      <w:marBottom w:val="0"/>
      <w:divBdr>
        <w:top w:val="none" w:sz="0" w:space="0" w:color="auto"/>
        <w:left w:val="none" w:sz="0" w:space="0" w:color="auto"/>
        <w:bottom w:val="none" w:sz="0" w:space="0" w:color="auto"/>
        <w:right w:val="none" w:sz="0" w:space="0" w:color="auto"/>
      </w:divBdr>
    </w:div>
    <w:div w:id="1754037611">
      <w:bodyDiv w:val="1"/>
      <w:marLeft w:val="0"/>
      <w:marRight w:val="0"/>
      <w:marTop w:val="0"/>
      <w:marBottom w:val="0"/>
      <w:divBdr>
        <w:top w:val="none" w:sz="0" w:space="0" w:color="auto"/>
        <w:left w:val="none" w:sz="0" w:space="0" w:color="auto"/>
        <w:bottom w:val="none" w:sz="0" w:space="0" w:color="auto"/>
        <w:right w:val="none" w:sz="0" w:space="0" w:color="auto"/>
      </w:divBdr>
    </w:div>
    <w:div w:id="1865091283">
      <w:bodyDiv w:val="1"/>
      <w:marLeft w:val="0"/>
      <w:marRight w:val="0"/>
      <w:marTop w:val="0"/>
      <w:marBottom w:val="0"/>
      <w:divBdr>
        <w:top w:val="none" w:sz="0" w:space="0" w:color="auto"/>
        <w:left w:val="none" w:sz="0" w:space="0" w:color="auto"/>
        <w:bottom w:val="none" w:sz="0" w:space="0" w:color="auto"/>
        <w:right w:val="none" w:sz="0" w:space="0" w:color="auto"/>
      </w:divBdr>
      <w:divsChild>
        <w:div w:id="1080100760">
          <w:marLeft w:val="446"/>
          <w:marRight w:val="0"/>
          <w:marTop w:val="0"/>
          <w:marBottom w:val="0"/>
          <w:divBdr>
            <w:top w:val="none" w:sz="0" w:space="0" w:color="auto"/>
            <w:left w:val="none" w:sz="0" w:space="0" w:color="auto"/>
            <w:bottom w:val="none" w:sz="0" w:space="0" w:color="auto"/>
            <w:right w:val="none" w:sz="0" w:space="0" w:color="auto"/>
          </w:divBdr>
        </w:div>
        <w:div w:id="1579707185">
          <w:marLeft w:val="446"/>
          <w:marRight w:val="0"/>
          <w:marTop w:val="0"/>
          <w:marBottom w:val="0"/>
          <w:divBdr>
            <w:top w:val="none" w:sz="0" w:space="0" w:color="auto"/>
            <w:left w:val="none" w:sz="0" w:space="0" w:color="auto"/>
            <w:bottom w:val="none" w:sz="0" w:space="0" w:color="auto"/>
            <w:right w:val="none" w:sz="0" w:space="0" w:color="auto"/>
          </w:divBdr>
        </w:div>
        <w:div w:id="1506283279">
          <w:marLeft w:val="446"/>
          <w:marRight w:val="0"/>
          <w:marTop w:val="0"/>
          <w:marBottom w:val="0"/>
          <w:divBdr>
            <w:top w:val="none" w:sz="0" w:space="0" w:color="auto"/>
            <w:left w:val="none" w:sz="0" w:space="0" w:color="auto"/>
            <w:bottom w:val="none" w:sz="0" w:space="0" w:color="auto"/>
            <w:right w:val="none" w:sz="0" w:space="0" w:color="auto"/>
          </w:divBdr>
        </w:div>
        <w:div w:id="520052624">
          <w:marLeft w:val="446"/>
          <w:marRight w:val="0"/>
          <w:marTop w:val="0"/>
          <w:marBottom w:val="0"/>
          <w:divBdr>
            <w:top w:val="none" w:sz="0" w:space="0" w:color="auto"/>
            <w:left w:val="none" w:sz="0" w:space="0" w:color="auto"/>
            <w:bottom w:val="none" w:sz="0" w:space="0" w:color="auto"/>
            <w:right w:val="none" w:sz="0" w:space="0" w:color="auto"/>
          </w:divBdr>
        </w:div>
        <w:div w:id="437525366">
          <w:marLeft w:val="446"/>
          <w:marRight w:val="0"/>
          <w:marTop w:val="0"/>
          <w:marBottom w:val="0"/>
          <w:divBdr>
            <w:top w:val="none" w:sz="0" w:space="0" w:color="auto"/>
            <w:left w:val="none" w:sz="0" w:space="0" w:color="auto"/>
            <w:bottom w:val="none" w:sz="0" w:space="0" w:color="auto"/>
            <w:right w:val="none" w:sz="0" w:space="0" w:color="auto"/>
          </w:divBdr>
        </w:div>
        <w:div w:id="1104954391">
          <w:marLeft w:val="446"/>
          <w:marRight w:val="0"/>
          <w:marTop w:val="0"/>
          <w:marBottom w:val="0"/>
          <w:divBdr>
            <w:top w:val="none" w:sz="0" w:space="0" w:color="auto"/>
            <w:left w:val="none" w:sz="0" w:space="0" w:color="auto"/>
            <w:bottom w:val="none" w:sz="0" w:space="0" w:color="auto"/>
            <w:right w:val="none" w:sz="0" w:space="0" w:color="auto"/>
          </w:divBdr>
        </w:div>
        <w:div w:id="163202427">
          <w:marLeft w:val="446"/>
          <w:marRight w:val="0"/>
          <w:marTop w:val="0"/>
          <w:marBottom w:val="0"/>
          <w:divBdr>
            <w:top w:val="none" w:sz="0" w:space="0" w:color="auto"/>
            <w:left w:val="none" w:sz="0" w:space="0" w:color="auto"/>
            <w:bottom w:val="none" w:sz="0" w:space="0" w:color="auto"/>
            <w:right w:val="none" w:sz="0" w:space="0" w:color="auto"/>
          </w:divBdr>
        </w:div>
        <w:div w:id="1652834426">
          <w:marLeft w:val="446"/>
          <w:marRight w:val="0"/>
          <w:marTop w:val="0"/>
          <w:marBottom w:val="0"/>
          <w:divBdr>
            <w:top w:val="none" w:sz="0" w:space="0" w:color="auto"/>
            <w:left w:val="none" w:sz="0" w:space="0" w:color="auto"/>
            <w:bottom w:val="none" w:sz="0" w:space="0" w:color="auto"/>
            <w:right w:val="none" w:sz="0" w:space="0" w:color="auto"/>
          </w:divBdr>
        </w:div>
        <w:div w:id="1015810210">
          <w:marLeft w:val="446"/>
          <w:marRight w:val="0"/>
          <w:marTop w:val="0"/>
          <w:marBottom w:val="0"/>
          <w:divBdr>
            <w:top w:val="none" w:sz="0" w:space="0" w:color="auto"/>
            <w:left w:val="none" w:sz="0" w:space="0" w:color="auto"/>
            <w:bottom w:val="none" w:sz="0" w:space="0" w:color="auto"/>
            <w:right w:val="none" w:sz="0" w:space="0" w:color="auto"/>
          </w:divBdr>
        </w:div>
      </w:divsChild>
    </w:div>
    <w:div w:id="20594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hrq.gov/hrqa9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_stru.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amhsa.gov/data/%20sites/default/files/cbhsq-reports/NSDUHNationalFindingsReport2018/%20NSDUHNationalFindingsReport2018.pdf" TargetMode="External"/><Relationship Id="rId2" Type="http://schemas.openxmlformats.org/officeDocument/2006/relationships/hyperlink" Target="https://doi.org/10.1016/j.amepre.2015.05.031" TargetMode="External"/><Relationship Id="rId1" Type="http://schemas.openxmlformats.org/officeDocument/2006/relationships/hyperlink" Target="https://www.niaaa.nih.gov/publications/brochures-and-fact-sheets/alcohol-facts-and-statistics" TargetMode="External"/><Relationship Id="rId5" Type="http://schemas.openxmlformats.org/officeDocument/2006/relationships/hyperlink" Target="https://www.niaaa.nih.gov/publications/brochures-and-fact-sheets/alcohol-facts-and-statistics" TargetMode="External"/><Relationship Id="rId4" Type="http://schemas.openxmlformats.org/officeDocument/2006/relationships/hyperlink" Target="https://www.cdc.gov/vitalsigns/alcohol-screening-counsel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1D51B26ED824AB5FCF1DBA11C797D" ma:contentTypeVersion="0" ma:contentTypeDescription="Create a new document." ma:contentTypeScope="" ma:versionID="a11707a4e357588f529c485c88aa8bd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ACBA-F0F8-40C2-A706-AE39CE02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3F19D-CC99-402A-81E6-7422E5B05D77}">
  <ds:schemaRefs>
    <ds:schemaRef ds:uri="http://purl.org/dc/terms/"/>
    <ds:schemaRef ds:uri="http://schemas.openxmlformats.org/package/2006/metadata/core-properties"/>
    <ds:schemaRef ds:uri="2499937d-34f2-4984-8519-b47ecdf1611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73988B1-B57E-4262-8E33-0C57A2D1AE0B}">
  <ds:schemaRefs>
    <ds:schemaRef ds:uri="http://schemas.microsoft.com/sharepoint/v3/contenttype/forms"/>
  </ds:schemaRefs>
</ds:datastoreItem>
</file>

<file path=customXml/itemProps4.xml><?xml version="1.0" encoding="utf-8"?>
<ds:datastoreItem xmlns:ds="http://schemas.openxmlformats.org/officeDocument/2006/customXml" ds:itemID="{45979B2E-F949-4C32-92AF-9EE9DD5D3E76}">
  <ds:schemaRefs>
    <ds:schemaRef ds:uri="http://schemas.microsoft.com/sharepoint/events"/>
  </ds:schemaRefs>
</ds:datastoreItem>
</file>

<file path=customXml/itemProps5.xml><?xml version="1.0" encoding="utf-8"?>
<ds:datastoreItem xmlns:ds="http://schemas.openxmlformats.org/officeDocument/2006/customXml" ds:itemID="{6DE28ACB-9505-43E0-B305-FC2B299E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3581</Words>
  <Characters>23028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vt:lpstr>
    </vt:vector>
  </TitlesOfParts>
  <Company>Self</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Patrick Moulding</dc:creator>
  <cp:lastModifiedBy>Brown, Erwin (AHRQ/CFACT)</cp:lastModifiedBy>
  <cp:revision>5</cp:revision>
  <cp:lastPrinted>2015-05-12T20:12:00Z</cp:lastPrinted>
  <dcterms:created xsi:type="dcterms:W3CDTF">2020-05-28T22:45:00Z</dcterms:created>
  <dcterms:modified xsi:type="dcterms:W3CDTF">2020-06-15T18:44:00Z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0x0101000A51D51B26ED824AB5FCF1DBA11C797D</vt:lpwstr>
  </property>
</Properties>
</file>