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3B" w:rsidP="006C653B" w:rsidRDefault="006C653B" w14:paraId="3346DC62" w14:textId="77777777">
      <w:pPr>
        <w:keepLines/>
        <w:jc w:val="center"/>
        <w:rPr>
          <w:b/>
          <w:sz w:val="36"/>
          <w:szCs w:val="36"/>
        </w:rPr>
      </w:pPr>
    </w:p>
    <w:p w:rsidRPr="00345F19" w:rsidR="006C653B" w:rsidP="006C653B" w:rsidRDefault="006C653B" w14:paraId="40B22D49" w14:textId="40815A2B">
      <w:pPr>
        <w:keepLines/>
        <w:jc w:val="center"/>
        <w:rPr>
          <w:b/>
          <w:sz w:val="36"/>
          <w:szCs w:val="36"/>
        </w:rPr>
      </w:pPr>
      <w:r w:rsidRPr="00345F19">
        <w:rPr>
          <w:b/>
          <w:sz w:val="36"/>
          <w:szCs w:val="36"/>
        </w:rPr>
        <w:t xml:space="preserve">Supporting Statement </w:t>
      </w:r>
    </w:p>
    <w:p w:rsidRPr="00345F19" w:rsidR="006C653B" w:rsidP="006C653B" w:rsidRDefault="006C653B" w14:paraId="0E8030ED" w14:textId="0A1A6FFC">
      <w:pPr>
        <w:keepLines/>
        <w:jc w:val="center"/>
        <w:rPr>
          <w:b/>
          <w:sz w:val="36"/>
          <w:szCs w:val="36"/>
        </w:rPr>
      </w:pPr>
      <w:r w:rsidRPr="00345F19">
        <w:rPr>
          <w:b/>
          <w:sz w:val="36"/>
          <w:szCs w:val="36"/>
        </w:rPr>
        <w:t xml:space="preserve">Part </w:t>
      </w:r>
      <w:r>
        <w:rPr>
          <w:b/>
          <w:sz w:val="36"/>
          <w:szCs w:val="36"/>
        </w:rPr>
        <w:t>B</w:t>
      </w:r>
    </w:p>
    <w:p w:rsidRPr="00DD107D" w:rsidR="006C653B" w:rsidP="006C653B" w:rsidRDefault="006C653B" w14:paraId="66E19AAF" w14:textId="77777777">
      <w:pPr>
        <w:keepLines/>
        <w:jc w:val="center"/>
        <w:rPr>
          <w:sz w:val="28"/>
          <w:szCs w:val="28"/>
        </w:rPr>
      </w:pPr>
    </w:p>
    <w:p w:rsidRPr="00DD107D" w:rsidR="006C653B" w:rsidP="006C653B" w:rsidRDefault="006C653B" w14:paraId="77F81A51" w14:textId="77777777">
      <w:pPr>
        <w:keepLines/>
        <w:jc w:val="center"/>
        <w:rPr>
          <w:sz w:val="28"/>
          <w:szCs w:val="28"/>
        </w:rPr>
      </w:pPr>
    </w:p>
    <w:p w:rsidR="006C653B" w:rsidP="006C653B" w:rsidRDefault="006C653B" w14:paraId="0416811A" w14:textId="77777777">
      <w:pPr>
        <w:keepLines/>
        <w:jc w:val="center"/>
      </w:pPr>
    </w:p>
    <w:p w:rsidRPr="00345F19" w:rsidR="006C653B" w:rsidP="006C653B" w:rsidRDefault="006C653B" w14:paraId="6E6376AB" w14:textId="3F537430">
      <w:pPr>
        <w:keepLines/>
        <w:jc w:val="center"/>
        <w:rPr>
          <w:b/>
          <w:sz w:val="36"/>
          <w:szCs w:val="36"/>
        </w:rPr>
      </w:pPr>
      <w:r w:rsidRPr="00345F19">
        <w:rPr>
          <w:b/>
          <w:sz w:val="36"/>
          <w:szCs w:val="36"/>
        </w:rPr>
        <w:t xml:space="preserve">AHRQ </w:t>
      </w:r>
      <w:r w:rsidR="00CB7395">
        <w:rPr>
          <w:b/>
          <w:sz w:val="36"/>
          <w:szCs w:val="36"/>
        </w:rPr>
        <w:t>Addressing</w:t>
      </w:r>
      <w:r w:rsidRPr="00345F19" w:rsidR="00CB7395">
        <w:rPr>
          <w:b/>
          <w:sz w:val="36"/>
          <w:szCs w:val="36"/>
        </w:rPr>
        <w:t xml:space="preserve"> </w:t>
      </w:r>
      <w:r w:rsidRPr="00345F19">
        <w:rPr>
          <w:b/>
          <w:sz w:val="36"/>
          <w:szCs w:val="36"/>
        </w:rPr>
        <w:t>Unhealthy Alcohol Use in Primary Care Initiative</w:t>
      </w:r>
    </w:p>
    <w:p w:rsidRPr="00986661" w:rsidR="006C653B" w:rsidP="006C653B" w:rsidRDefault="006C653B" w14:paraId="78CC6F1C" w14:textId="77777777">
      <w:pPr>
        <w:keepLines/>
        <w:jc w:val="center"/>
      </w:pPr>
    </w:p>
    <w:p w:rsidR="006C653B" w:rsidP="006C653B" w:rsidRDefault="006C653B" w14:paraId="55CF8214" w14:textId="77777777">
      <w:pPr>
        <w:keepLines/>
        <w:jc w:val="center"/>
        <w:rPr>
          <w:b/>
        </w:rPr>
      </w:pPr>
    </w:p>
    <w:p w:rsidR="006C653B" w:rsidP="006C653B" w:rsidRDefault="006C653B" w14:paraId="14BE0B51" w14:textId="77777777">
      <w:pPr>
        <w:keepLines/>
        <w:jc w:val="center"/>
        <w:rPr>
          <w:b/>
        </w:rPr>
      </w:pPr>
    </w:p>
    <w:p w:rsidR="006C653B" w:rsidP="006C653B" w:rsidRDefault="006C653B" w14:paraId="59C4D1EE" w14:textId="77777777">
      <w:pPr>
        <w:keepLines/>
        <w:jc w:val="center"/>
        <w:rPr>
          <w:b/>
        </w:rPr>
      </w:pPr>
    </w:p>
    <w:p w:rsidRPr="00345F19" w:rsidR="006C653B" w:rsidP="006C653B" w:rsidRDefault="006C653B" w14:paraId="6EB67771" w14:textId="77777777">
      <w:pPr>
        <w:jc w:val="center"/>
        <w:rPr>
          <w:sz w:val="28"/>
          <w:szCs w:val="28"/>
        </w:rPr>
      </w:pPr>
      <w:r w:rsidRPr="00345F19">
        <w:rPr>
          <w:sz w:val="28"/>
          <w:szCs w:val="28"/>
        </w:rPr>
        <w:t>Agency for Healthcare Research and Quality (AHRQ)</w:t>
      </w:r>
    </w:p>
    <w:p w:rsidRPr="00345F19" w:rsidR="006C653B" w:rsidP="006C653B" w:rsidRDefault="006C653B" w14:paraId="69111E0A" w14:textId="77777777">
      <w:pPr>
        <w:jc w:val="center"/>
        <w:rPr>
          <w:sz w:val="28"/>
          <w:szCs w:val="28"/>
        </w:rPr>
      </w:pPr>
    </w:p>
    <w:p w:rsidRPr="00345F19" w:rsidR="006C653B" w:rsidP="006C653B" w:rsidRDefault="006C653B" w14:paraId="50BA465D" w14:textId="77777777">
      <w:pPr>
        <w:jc w:val="center"/>
        <w:rPr>
          <w:sz w:val="28"/>
          <w:szCs w:val="28"/>
        </w:rPr>
      </w:pPr>
    </w:p>
    <w:p w:rsidRPr="00345F19" w:rsidR="006C653B" w:rsidP="006C653B" w:rsidRDefault="006C653B" w14:paraId="152A4ABC" w14:textId="77777777">
      <w:pPr>
        <w:keepLines/>
        <w:jc w:val="center"/>
        <w:rPr>
          <w:sz w:val="28"/>
          <w:szCs w:val="28"/>
        </w:rPr>
      </w:pPr>
    </w:p>
    <w:p w:rsidRPr="00345F19" w:rsidR="006C653B" w:rsidP="006C653B" w:rsidRDefault="006C653B" w14:paraId="1281C5D2" w14:textId="77777777">
      <w:pPr>
        <w:keepLines/>
        <w:rPr>
          <w:sz w:val="28"/>
          <w:szCs w:val="28"/>
        </w:rPr>
      </w:pPr>
    </w:p>
    <w:p w:rsidRPr="00345F19" w:rsidR="006C653B" w:rsidP="006C653B" w:rsidRDefault="006C653B" w14:paraId="178ED39F" w14:textId="77777777">
      <w:pPr>
        <w:keepLines/>
        <w:jc w:val="center"/>
        <w:rPr>
          <w:sz w:val="28"/>
          <w:szCs w:val="28"/>
        </w:rPr>
      </w:pPr>
    </w:p>
    <w:p w:rsidRPr="005F7809" w:rsidR="002C76DB" w:rsidP="005D201F" w:rsidRDefault="006C653B" w14:paraId="48D04F17" w14:textId="69A45AA9">
      <w:pPr>
        <w:keepLines/>
        <w:jc w:val="center"/>
      </w:pPr>
      <w:r w:rsidRPr="00345F19">
        <w:rPr>
          <w:sz w:val="28"/>
          <w:szCs w:val="28"/>
        </w:rPr>
        <w:t xml:space="preserve">Version: </w:t>
      </w:r>
      <w:r w:rsidR="00263AD6">
        <w:rPr>
          <w:sz w:val="28"/>
          <w:szCs w:val="28"/>
        </w:rPr>
        <w:t>May 28</w:t>
      </w:r>
      <w:bookmarkStart w:name="_GoBack" w:id="0"/>
      <w:bookmarkEnd w:id="0"/>
      <w:r w:rsidR="00DD3565">
        <w:rPr>
          <w:sz w:val="28"/>
          <w:szCs w:val="28"/>
        </w:rPr>
        <w:t>, 2020</w:t>
      </w:r>
    </w:p>
    <w:p w:rsidRPr="002C76DB" w:rsidR="002C76DB" w:rsidP="002C76DB" w:rsidRDefault="002C76DB" w14:paraId="7A76F813" w14:textId="77777777">
      <w:pPr>
        <w:keepLines/>
        <w:jc w:val="center"/>
      </w:pPr>
      <w:r w:rsidRPr="002C76DB">
        <w:t xml:space="preserve"> </w:t>
      </w:r>
    </w:p>
    <w:p w:rsidR="007323AE" w:rsidP="002C76DB" w:rsidRDefault="002C76DB" w14:paraId="4117DF1F" w14:textId="77777777">
      <w:pPr>
        <w:spacing w:after="240" w:line="360" w:lineRule="auto"/>
        <w:jc w:val="center"/>
        <w:outlineLvl w:val="0"/>
        <w:rPr>
          <w:rFonts w:ascii="Arial" w:hAnsi="Arial"/>
          <w:b/>
          <w:bCs/>
          <w:kern w:val="28"/>
          <w:sz w:val="26"/>
          <w:szCs w:val="32"/>
        </w:rPr>
        <w:sectPr w:rsidR="007323AE" w:rsidSect="007070F4">
          <w:pgSz w:w="12240" w:h="15840"/>
          <w:pgMar w:top="1440" w:right="1440" w:bottom="1440" w:left="1440" w:header="720" w:footer="720" w:gutter="0"/>
          <w:cols w:space="720"/>
          <w:docGrid w:linePitch="360"/>
        </w:sectPr>
      </w:pPr>
      <w:r w:rsidRPr="002C76DB">
        <w:rPr>
          <w:rFonts w:ascii="Arial" w:hAnsi="Arial"/>
          <w:b/>
          <w:bCs/>
          <w:kern w:val="28"/>
          <w:sz w:val="26"/>
          <w:szCs w:val="32"/>
        </w:rPr>
        <w:br w:type="page"/>
      </w:r>
    </w:p>
    <w:p w:rsidRPr="009D7A21" w:rsidR="002C76DB" w:rsidP="002C76DB" w:rsidRDefault="002C76DB" w14:paraId="4BD78998" w14:textId="77777777">
      <w:pPr>
        <w:spacing w:after="240" w:line="360" w:lineRule="auto"/>
        <w:jc w:val="center"/>
        <w:outlineLvl w:val="0"/>
        <w:rPr>
          <w:b/>
          <w:bCs/>
          <w:kern w:val="28"/>
        </w:rPr>
      </w:pPr>
      <w:r w:rsidRPr="009D7A21">
        <w:rPr>
          <w:b/>
          <w:bCs/>
          <w:kern w:val="28"/>
        </w:rPr>
        <w:lastRenderedPageBreak/>
        <w:t>TABLE OF CONTENTS</w:t>
      </w:r>
    </w:p>
    <w:p w:rsidR="009E7588" w:rsidRDefault="00A72416" w14:paraId="7AD557F1" w14:textId="77777777">
      <w:pPr>
        <w:pStyle w:val="TOC1"/>
        <w:rPr>
          <w:rFonts w:asciiTheme="minorHAnsi" w:hAnsiTheme="minorHAnsi" w:eastAsiaTheme="minorEastAsia" w:cstheme="minorBidi"/>
          <w:noProof/>
          <w:sz w:val="22"/>
          <w:szCs w:val="22"/>
        </w:rPr>
      </w:pPr>
      <w:r>
        <w:fldChar w:fldCharType="begin"/>
      </w:r>
      <w:r>
        <w:instrText xml:space="preserve"> TOC \h \z \t "TOC1,1,TOC2,2" </w:instrText>
      </w:r>
      <w:r>
        <w:fldChar w:fldCharType="separate"/>
      </w:r>
      <w:hyperlink w:history="1" w:anchor="_Toc35934327">
        <w:r w:rsidRPr="00DA74E2" w:rsidR="009E7588">
          <w:rPr>
            <w:rStyle w:val="Hyperlink"/>
            <w:noProof/>
          </w:rPr>
          <w:t>B. Collections of Information Employing Statistical Methods</w:t>
        </w:r>
        <w:r w:rsidR="009E7588">
          <w:rPr>
            <w:noProof/>
            <w:webHidden/>
          </w:rPr>
          <w:tab/>
        </w:r>
        <w:r w:rsidR="009E7588">
          <w:rPr>
            <w:noProof/>
            <w:webHidden/>
          </w:rPr>
          <w:fldChar w:fldCharType="begin"/>
        </w:r>
        <w:r w:rsidR="009E7588">
          <w:rPr>
            <w:noProof/>
            <w:webHidden/>
          </w:rPr>
          <w:instrText xml:space="preserve"> PAGEREF _Toc35934327 \h </w:instrText>
        </w:r>
        <w:r w:rsidR="009E7588">
          <w:rPr>
            <w:noProof/>
            <w:webHidden/>
          </w:rPr>
        </w:r>
        <w:r w:rsidR="009E7588">
          <w:rPr>
            <w:noProof/>
            <w:webHidden/>
          </w:rPr>
          <w:fldChar w:fldCharType="separate"/>
        </w:r>
        <w:r w:rsidR="009E7588">
          <w:rPr>
            <w:noProof/>
            <w:webHidden/>
          </w:rPr>
          <w:t>1</w:t>
        </w:r>
        <w:r w:rsidR="009E7588">
          <w:rPr>
            <w:noProof/>
            <w:webHidden/>
          </w:rPr>
          <w:fldChar w:fldCharType="end"/>
        </w:r>
      </w:hyperlink>
    </w:p>
    <w:p w:rsidR="009E7588" w:rsidRDefault="00263AD6" w14:paraId="659BAEB6" w14:textId="77777777">
      <w:pPr>
        <w:pStyle w:val="TOC20"/>
        <w:tabs>
          <w:tab w:val="right" w:leader="dot" w:pos="9350"/>
        </w:tabs>
        <w:rPr>
          <w:rFonts w:asciiTheme="minorHAnsi" w:hAnsiTheme="minorHAnsi" w:eastAsiaTheme="minorEastAsia" w:cstheme="minorBidi"/>
          <w:noProof/>
          <w:sz w:val="22"/>
          <w:szCs w:val="22"/>
        </w:rPr>
      </w:pPr>
      <w:hyperlink w:history="1" w:anchor="_Toc35934328">
        <w:r w:rsidRPr="00DA74E2" w:rsidR="009E7588">
          <w:rPr>
            <w:rStyle w:val="Hyperlink"/>
            <w:noProof/>
          </w:rPr>
          <w:t>B1. Respondent Universe and Sampling Methods</w:t>
        </w:r>
        <w:r w:rsidR="009E7588">
          <w:rPr>
            <w:noProof/>
            <w:webHidden/>
          </w:rPr>
          <w:tab/>
        </w:r>
        <w:r w:rsidR="009E7588">
          <w:rPr>
            <w:noProof/>
            <w:webHidden/>
          </w:rPr>
          <w:fldChar w:fldCharType="begin"/>
        </w:r>
        <w:r w:rsidR="009E7588">
          <w:rPr>
            <w:noProof/>
            <w:webHidden/>
          </w:rPr>
          <w:instrText xml:space="preserve"> PAGEREF _Toc35934328 \h </w:instrText>
        </w:r>
        <w:r w:rsidR="009E7588">
          <w:rPr>
            <w:noProof/>
            <w:webHidden/>
          </w:rPr>
        </w:r>
        <w:r w:rsidR="009E7588">
          <w:rPr>
            <w:noProof/>
            <w:webHidden/>
          </w:rPr>
          <w:fldChar w:fldCharType="separate"/>
        </w:r>
        <w:r w:rsidR="009E7588">
          <w:rPr>
            <w:noProof/>
            <w:webHidden/>
          </w:rPr>
          <w:t>1</w:t>
        </w:r>
        <w:r w:rsidR="009E7588">
          <w:rPr>
            <w:noProof/>
            <w:webHidden/>
          </w:rPr>
          <w:fldChar w:fldCharType="end"/>
        </w:r>
      </w:hyperlink>
    </w:p>
    <w:p w:rsidR="009E7588" w:rsidRDefault="00263AD6" w14:paraId="208A6731" w14:textId="77777777">
      <w:pPr>
        <w:pStyle w:val="TOC20"/>
        <w:tabs>
          <w:tab w:val="right" w:leader="dot" w:pos="9350"/>
        </w:tabs>
        <w:rPr>
          <w:rFonts w:asciiTheme="minorHAnsi" w:hAnsiTheme="minorHAnsi" w:eastAsiaTheme="minorEastAsia" w:cstheme="minorBidi"/>
          <w:noProof/>
          <w:sz w:val="22"/>
          <w:szCs w:val="22"/>
        </w:rPr>
      </w:pPr>
      <w:hyperlink w:history="1" w:anchor="_Toc35934329">
        <w:r w:rsidRPr="00DA74E2" w:rsidR="009E7588">
          <w:rPr>
            <w:rStyle w:val="Hyperlink"/>
            <w:noProof/>
          </w:rPr>
          <w:t>B2. Procedures for Collection of Information</w:t>
        </w:r>
        <w:r w:rsidR="009E7588">
          <w:rPr>
            <w:noProof/>
            <w:webHidden/>
          </w:rPr>
          <w:tab/>
        </w:r>
        <w:r w:rsidR="009E7588">
          <w:rPr>
            <w:noProof/>
            <w:webHidden/>
          </w:rPr>
          <w:fldChar w:fldCharType="begin"/>
        </w:r>
        <w:r w:rsidR="009E7588">
          <w:rPr>
            <w:noProof/>
            <w:webHidden/>
          </w:rPr>
          <w:instrText xml:space="preserve"> PAGEREF _Toc35934329 \h </w:instrText>
        </w:r>
        <w:r w:rsidR="009E7588">
          <w:rPr>
            <w:noProof/>
            <w:webHidden/>
          </w:rPr>
        </w:r>
        <w:r w:rsidR="009E7588">
          <w:rPr>
            <w:noProof/>
            <w:webHidden/>
          </w:rPr>
          <w:fldChar w:fldCharType="separate"/>
        </w:r>
        <w:r w:rsidR="009E7588">
          <w:rPr>
            <w:noProof/>
            <w:webHidden/>
          </w:rPr>
          <w:t>2</w:t>
        </w:r>
        <w:r w:rsidR="009E7588">
          <w:rPr>
            <w:noProof/>
            <w:webHidden/>
          </w:rPr>
          <w:fldChar w:fldCharType="end"/>
        </w:r>
      </w:hyperlink>
    </w:p>
    <w:p w:rsidR="009E7588" w:rsidRDefault="00263AD6" w14:paraId="78A58BED" w14:textId="77777777">
      <w:pPr>
        <w:pStyle w:val="TOC20"/>
        <w:tabs>
          <w:tab w:val="right" w:leader="dot" w:pos="9350"/>
        </w:tabs>
        <w:rPr>
          <w:rFonts w:asciiTheme="minorHAnsi" w:hAnsiTheme="minorHAnsi" w:eastAsiaTheme="minorEastAsia" w:cstheme="minorBidi"/>
          <w:noProof/>
          <w:sz w:val="22"/>
          <w:szCs w:val="22"/>
        </w:rPr>
      </w:pPr>
      <w:hyperlink w:history="1" w:anchor="_Toc35934330">
        <w:r w:rsidRPr="00DA74E2" w:rsidR="009E7588">
          <w:rPr>
            <w:rStyle w:val="Hyperlink"/>
            <w:noProof/>
          </w:rPr>
          <w:t>B3. Methods to Maximize Response Rates</w:t>
        </w:r>
        <w:r w:rsidR="009E7588">
          <w:rPr>
            <w:noProof/>
            <w:webHidden/>
          </w:rPr>
          <w:tab/>
        </w:r>
        <w:r w:rsidR="009E7588">
          <w:rPr>
            <w:noProof/>
            <w:webHidden/>
          </w:rPr>
          <w:fldChar w:fldCharType="begin"/>
        </w:r>
        <w:r w:rsidR="009E7588">
          <w:rPr>
            <w:noProof/>
            <w:webHidden/>
          </w:rPr>
          <w:instrText xml:space="preserve"> PAGEREF _Toc35934330 \h </w:instrText>
        </w:r>
        <w:r w:rsidR="009E7588">
          <w:rPr>
            <w:noProof/>
            <w:webHidden/>
          </w:rPr>
        </w:r>
        <w:r w:rsidR="009E7588">
          <w:rPr>
            <w:noProof/>
            <w:webHidden/>
          </w:rPr>
          <w:fldChar w:fldCharType="separate"/>
        </w:r>
        <w:r w:rsidR="009E7588">
          <w:rPr>
            <w:noProof/>
            <w:webHidden/>
          </w:rPr>
          <w:t>3</w:t>
        </w:r>
        <w:r w:rsidR="009E7588">
          <w:rPr>
            <w:noProof/>
            <w:webHidden/>
          </w:rPr>
          <w:fldChar w:fldCharType="end"/>
        </w:r>
      </w:hyperlink>
    </w:p>
    <w:p w:rsidR="009E7588" w:rsidRDefault="00263AD6" w14:paraId="01F60E18" w14:textId="77777777">
      <w:pPr>
        <w:pStyle w:val="TOC20"/>
        <w:tabs>
          <w:tab w:val="right" w:leader="dot" w:pos="9350"/>
        </w:tabs>
        <w:rPr>
          <w:rFonts w:asciiTheme="minorHAnsi" w:hAnsiTheme="minorHAnsi" w:eastAsiaTheme="minorEastAsia" w:cstheme="minorBidi"/>
          <w:noProof/>
          <w:sz w:val="22"/>
          <w:szCs w:val="22"/>
        </w:rPr>
      </w:pPr>
      <w:hyperlink w:history="1" w:anchor="_Toc35934331">
        <w:r w:rsidRPr="00DA74E2" w:rsidR="009E7588">
          <w:rPr>
            <w:rStyle w:val="Hyperlink"/>
            <w:noProof/>
          </w:rPr>
          <w:t>B4. Tests of Procedures or Methods to Be Undertaken</w:t>
        </w:r>
        <w:r w:rsidR="009E7588">
          <w:rPr>
            <w:noProof/>
            <w:webHidden/>
          </w:rPr>
          <w:tab/>
        </w:r>
        <w:r w:rsidR="009E7588">
          <w:rPr>
            <w:noProof/>
            <w:webHidden/>
          </w:rPr>
          <w:fldChar w:fldCharType="begin"/>
        </w:r>
        <w:r w:rsidR="009E7588">
          <w:rPr>
            <w:noProof/>
            <w:webHidden/>
          </w:rPr>
          <w:instrText xml:space="preserve"> PAGEREF _Toc35934331 \h </w:instrText>
        </w:r>
        <w:r w:rsidR="009E7588">
          <w:rPr>
            <w:noProof/>
            <w:webHidden/>
          </w:rPr>
        </w:r>
        <w:r w:rsidR="009E7588">
          <w:rPr>
            <w:noProof/>
            <w:webHidden/>
          </w:rPr>
          <w:fldChar w:fldCharType="separate"/>
        </w:r>
        <w:r w:rsidR="009E7588">
          <w:rPr>
            <w:noProof/>
            <w:webHidden/>
          </w:rPr>
          <w:t>3</w:t>
        </w:r>
        <w:r w:rsidR="009E7588">
          <w:rPr>
            <w:noProof/>
            <w:webHidden/>
          </w:rPr>
          <w:fldChar w:fldCharType="end"/>
        </w:r>
      </w:hyperlink>
    </w:p>
    <w:p w:rsidR="009E7588" w:rsidRDefault="00263AD6" w14:paraId="57876018" w14:textId="77777777">
      <w:pPr>
        <w:pStyle w:val="TOC20"/>
        <w:tabs>
          <w:tab w:val="right" w:leader="dot" w:pos="9350"/>
        </w:tabs>
        <w:rPr>
          <w:rFonts w:asciiTheme="minorHAnsi" w:hAnsiTheme="minorHAnsi" w:eastAsiaTheme="minorEastAsia" w:cstheme="minorBidi"/>
          <w:noProof/>
          <w:sz w:val="22"/>
          <w:szCs w:val="22"/>
        </w:rPr>
      </w:pPr>
      <w:hyperlink w:history="1" w:anchor="_Toc35934332">
        <w:r w:rsidRPr="00DA74E2" w:rsidR="009E7588">
          <w:rPr>
            <w:rStyle w:val="Hyperlink"/>
            <w:noProof/>
          </w:rPr>
          <w:t>B5. Statistical Consultants</w:t>
        </w:r>
        <w:r w:rsidR="009E7588">
          <w:rPr>
            <w:noProof/>
            <w:webHidden/>
          </w:rPr>
          <w:tab/>
        </w:r>
        <w:r w:rsidR="009E7588">
          <w:rPr>
            <w:noProof/>
            <w:webHidden/>
          </w:rPr>
          <w:fldChar w:fldCharType="begin"/>
        </w:r>
        <w:r w:rsidR="009E7588">
          <w:rPr>
            <w:noProof/>
            <w:webHidden/>
          </w:rPr>
          <w:instrText xml:space="preserve"> PAGEREF _Toc35934332 \h </w:instrText>
        </w:r>
        <w:r w:rsidR="009E7588">
          <w:rPr>
            <w:noProof/>
            <w:webHidden/>
          </w:rPr>
        </w:r>
        <w:r w:rsidR="009E7588">
          <w:rPr>
            <w:noProof/>
            <w:webHidden/>
          </w:rPr>
          <w:fldChar w:fldCharType="separate"/>
        </w:r>
        <w:r w:rsidR="009E7588">
          <w:rPr>
            <w:noProof/>
            <w:webHidden/>
          </w:rPr>
          <w:t>3</w:t>
        </w:r>
        <w:r w:rsidR="009E7588">
          <w:rPr>
            <w:noProof/>
            <w:webHidden/>
          </w:rPr>
          <w:fldChar w:fldCharType="end"/>
        </w:r>
      </w:hyperlink>
    </w:p>
    <w:p w:rsidRPr="002C76DB" w:rsidR="002C76DB" w:rsidP="002C76DB" w:rsidRDefault="00A72416" w14:paraId="0B29D5BE" w14:textId="4C4AC18B">
      <w:pPr>
        <w:spacing w:after="240" w:line="360" w:lineRule="auto"/>
        <w:outlineLvl w:val="0"/>
      </w:pPr>
      <w:r>
        <w:fldChar w:fldCharType="end"/>
      </w:r>
    </w:p>
    <w:p w:rsidR="009A7B10" w:rsidP="002C76DB" w:rsidRDefault="009A7B10" w14:paraId="36C07427" w14:textId="77777777"/>
    <w:p w:rsidR="002C76DB" w:rsidRDefault="002C76DB" w14:paraId="01DB0F3C" w14:textId="77777777">
      <w:pPr>
        <w:spacing w:after="200" w:line="276" w:lineRule="auto"/>
        <w:rPr>
          <w:b/>
        </w:rPr>
      </w:pPr>
      <w:r>
        <w:rPr>
          <w:b/>
        </w:rPr>
        <w:br w:type="page"/>
      </w:r>
    </w:p>
    <w:p w:rsidR="007323AE" w:rsidP="002C76DB" w:rsidRDefault="007323AE" w14:paraId="4BE41E94" w14:textId="77777777">
      <w:pPr>
        <w:pStyle w:val="Title"/>
        <w:spacing w:after="0"/>
        <w:sectPr w:rsidR="007323AE" w:rsidSect="00DD3565">
          <w:footerReference w:type="default" r:id="rId12"/>
          <w:footerReference w:type="first" r:id="rId13"/>
          <w:pgSz w:w="12240" w:h="15840"/>
          <w:pgMar w:top="1440" w:right="1440" w:bottom="1440" w:left="1440" w:header="720" w:footer="720" w:gutter="0"/>
          <w:pgNumType w:fmt="lowerRoman" w:start="1"/>
          <w:cols w:space="720"/>
          <w:titlePg/>
          <w:docGrid w:linePitch="360"/>
        </w:sectPr>
      </w:pPr>
      <w:bookmarkStart w:name="_Toc418077522" w:id="1"/>
    </w:p>
    <w:bookmarkEnd w:id="1"/>
    <w:p w:rsidR="002C76DB" w:rsidP="006F69AD" w:rsidRDefault="002C76DB" w14:paraId="447549DB" w14:textId="77777777">
      <w:pPr>
        <w:rPr>
          <w:rFonts w:ascii="Arial Black" w:hAnsi="Arial Black"/>
          <w:sz w:val="28"/>
          <w:szCs w:val="28"/>
        </w:rPr>
      </w:pPr>
    </w:p>
    <w:p w:rsidRPr="006F69AD" w:rsidR="002C76DB" w:rsidP="006F69AD" w:rsidRDefault="002C76DB" w14:paraId="629F223C" w14:textId="3D5B26BA">
      <w:pPr>
        <w:pStyle w:val="TOC10"/>
        <w:tabs>
          <w:tab w:val="clear" w:pos="720"/>
        </w:tabs>
        <w:rPr>
          <w:sz w:val="28"/>
          <w:szCs w:val="28"/>
        </w:rPr>
      </w:pPr>
      <w:bookmarkStart w:name="_Toc35934327" w:id="2"/>
      <w:r w:rsidRPr="006F69AD">
        <w:rPr>
          <w:sz w:val="28"/>
          <w:szCs w:val="28"/>
        </w:rPr>
        <w:t xml:space="preserve">B. </w:t>
      </w:r>
      <w:r w:rsidRPr="006F69AD" w:rsidR="006C653B">
        <w:rPr>
          <w:sz w:val="28"/>
          <w:szCs w:val="28"/>
        </w:rPr>
        <w:t>Collections of Information Employing Statistical Methods</w:t>
      </w:r>
      <w:bookmarkEnd w:id="2"/>
      <w:r w:rsidRPr="006F69AD" w:rsidR="006C653B">
        <w:rPr>
          <w:sz w:val="28"/>
          <w:szCs w:val="28"/>
        </w:rPr>
        <w:t xml:space="preserve"> </w:t>
      </w:r>
    </w:p>
    <w:p w:rsidR="002C76DB" w:rsidP="002C76DB" w:rsidRDefault="002C76DB" w14:paraId="0DF1432C" w14:textId="77777777">
      <w:pPr>
        <w:rPr>
          <w:rFonts w:ascii="Arial Bold" w:hAnsi="Arial Bold"/>
          <w:b/>
        </w:rPr>
      </w:pPr>
    </w:p>
    <w:p w:rsidR="00F81DE4" w:rsidP="00F81DE4" w:rsidRDefault="006C653B" w14:paraId="79C09143" w14:textId="3ED8E932">
      <w:r>
        <w:t xml:space="preserve">The data collection </w:t>
      </w:r>
      <w:r w:rsidR="006F69AD">
        <w:t>described below</w:t>
      </w:r>
      <w:r>
        <w:t xml:space="preserve"> is </w:t>
      </w:r>
      <w:r w:rsidR="006F69AD">
        <w:t>part of the multi</w:t>
      </w:r>
      <w:r w:rsidR="009E7588">
        <w:t>site evaluation</w:t>
      </w:r>
      <w:r w:rsidR="006F69AD">
        <w:t xml:space="preserve"> of the AHRQ </w:t>
      </w:r>
      <w:r w:rsidR="00CB7395">
        <w:rPr>
          <w:i/>
        </w:rPr>
        <w:t>Addressing</w:t>
      </w:r>
      <w:r w:rsidRPr="006F69AD" w:rsidR="00CB7395">
        <w:rPr>
          <w:i/>
        </w:rPr>
        <w:t xml:space="preserve"> </w:t>
      </w:r>
      <w:r w:rsidRPr="006F69AD" w:rsidR="006F69AD">
        <w:rPr>
          <w:i/>
        </w:rPr>
        <w:t>Unhealthy Alcohol Use in Primary Care Initiative</w:t>
      </w:r>
      <w:r w:rsidR="006F69AD">
        <w:t>.</w:t>
      </w:r>
      <w:r w:rsidR="00F81DE4">
        <w:t xml:space="preserve">  The </w:t>
      </w:r>
      <w:r w:rsidR="00062941">
        <w:t xml:space="preserve">multisite evaluation </w:t>
      </w:r>
      <w:r w:rsidR="00237187">
        <w:t xml:space="preserve">will draw upon primary data collection by the evaluator in the form of semi-structured </w:t>
      </w:r>
      <w:r w:rsidR="00555EB1">
        <w:t>Key I</w:t>
      </w:r>
      <w:r w:rsidR="009961E7">
        <w:t xml:space="preserve">nformant </w:t>
      </w:r>
      <w:r w:rsidR="00555EB1">
        <w:t>I</w:t>
      </w:r>
      <w:r w:rsidR="00237187">
        <w:t xml:space="preserve">nterviews and secondary data collected by six grantee teams working with primary care practices. Together, this data will be used to </w:t>
      </w:r>
      <w:r w:rsidR="00F81DE4">
        <w:t xml:space="preserve">assess the efforts of </w:t>
      </w:r>
      <w:r w:rsidR="00555EB1">
        <w:t>the six grantees funded by AHRQ</w:t>
      </w:r>
      <w:r w:rsidR="00F81DE4">
        <w:t xml:space="preserve"> and in particular will evaluate: (1) the success of grantees in engaging and recruiting primary care practices for implementation of </w:t>
      </w:r>
      <w:r w:rsidR="00BA22E3">
        <w:t>screening and brief intervention, referral to treatment</w:t>
      </w:r>
      <w:r w:rsidR="009961E7">
        <w:t>,</w:t>
      </w:r>
      <w:r w:rsidR="00BA22E3">
        <w:t xml:space="preserve"> </w:t>
      </w:r>
      <w:r w:rsidR="00F81DE4">
        <w:t xml:space="preserve">and </w:t>
      </w:r>
      <w:r w:rsidR="00BA22E3">
        <w:t>medication-assisted therapy</w:t>
      </w:r>
      <w:r w:rsidR="00F81DE4">
        <w:t>; (2) the e</w:t>
      </w:r>
      <w:r w:rsidRPr="00F81DE4" w:rsidR="00F81DE4">
        <w:t>ffectiveness of the grantees’ collective dissemination and implementation strategies, and the factors associated with the success and/or</w:t>
      </w:r>
      <w:r w:rsidR="00555EB1">
        <w:t xml:space="preserve"> failure of the strategies as they relate</w:t>
      </w:r>
      <w:r w:rsidRPr="00F81DE4" w:rsidR="00F81DE4">
        <w:t xml:space="preserve"> to populations, settings</w:t>
      </w:r>
      <w:r w:rsidR="003F7E98">
        <w:t>,</w:t>
      </w:r>
      <w:r w:rsidRPr="00F81DE4" w:rsidR="00F81DE4">
        <w:t xml:space="preserve"> and the influence of contextual factors; </w:t>
      </w:r>
      <w:r w:rsidR="00F81DE4">
        <w:t>(3) s</w:t>
      </w:r>
      <w:r w:rsidRPr="00F81DE4" w:rsidR="00F81DE4">
        <w:t>uccess at the practice level in increasing the number of patients screened, identified, and treated; and</w:t>
      </w:r>
      <w:r w:rsidR="00F81DE4">
        <w:t xml:space="preserve"> (4) o</w:t>
      </w:r>
      <w:r w:rsidRPr="00F81DE4" w:rsidR="00F81DE4">
        <w:t>verall impact on changes in processes or outcomes that can be attributed to the initiative.</w:t>
      </w:r>
      <w:r w:rsidR="00237187">
        <w:t xml:space="preserve"> </w:t>
      </w:r>
    </w:p>
    <w:p w:rsidRPr="00F81DE4" w:rsidR="00037923" w:rsidP="00F81DE4" w:rsidRDefault="00037923" w14:paraId="0F089227" w14:textId="77777777"/>
    <w:p w:rsidRPr="00F81DE4" w:rsidR="006C653B" w:rsidP="002C76DB" w:rsidRDefault="006C653B" w14:paraId="221B27F1" w14:textId="1872AA78"/>
    <w:p w:rsidRPr="00A72416" w:rsidR="00BB5D97" w:rsidP="00A72416" w:rsidRDefault="00965C17" w14:paraId="7BAAAD9F" w14:textId="4FD13673">
      <w:pPr>
        <w:pStyle w:val="TOC2"/>
      </w:pPr>
      <w:bookmarkStart w:name="_Toc35934328" w:id="3"/>
      <w:r>
        <w:t>B</w:t>
      </w:r>
      <w:r w:rsidRPr="00A72416" w:rsidR="00BB5D97">
        <w:t>1. Respondent Universe and Sampling Methods</w:t>
      </w:r>
      <w:bookmarkEnd w:id="3"/>
    </w:p>
    <w:p w:rsidR="00273583" w:rsidP="00273583" w:rsidRDefault="00273583" w14:paraId="41B6389B" w14:textId="77777777">
      <w:pPr>
        <w:pStyle w:val="TOC2"/>
        <w:rPr>
          <w:rFonts w:ascii="Times New Roman" w:hAnsi="Times New Roman" w:cs="Times New Roman"/>
          <w:b w:val="0"/>
        </w:rPr>
      </w:pPr>
    </w:p>
    <w:p w:rsidRPr="00555EB1" w:rsidR="001E1292" w:rsidP="00937941" w:rsidRDefault="004A0371" w14:paraId="0D82A43A" w14:textId="612F1E54">
      <w:pPr>
        <w:rPr>
          <w:b/>
          <w:i/>
        </w:rPr>
      </w:pPr>
      <w:r w:rsidRPr="00555EB1">
        <w:rPr>
          <w:b/>
          <w:i/>
        </w:rPr>
        <w:t>Recruitment Methods, Respondent Selection</w:t>
      </w:r>
      <w:r w:rsidRPr="00555EB1" w:rsidR="00965C17">
        <w:rPr>
          <w:b/>
          <w:i/>
        </w:rPr>
        <w:t>,</w:t>
      </w:r>
      <w:r w:rsidRPr="00555EB1">
        <w:rPr>
          <w:b/>
          <w:i/>
        </w:rPr>
        <w:t xml:space="preserve"> and Sample Size</w:t>
      </w:r>
    </w:p>
    <w:p w:rsidR="003050C8" w:rsidP="00937941" w:rsidRDefault="003050C8" w14:paraId="4CD9B72E" w14:textId="77777777"/>
    <w:p w:rsidR="00211237" w:rsidP="00211237" w:rsidRDefault="00211237" w14:paraId="66F810CA" w14:textId="56E5B6C5">
      <w:r>
        <w:t xml:space="preserve">The multisite, mixed-methods evaluation will include primary data collection by the evaluator, NORC at the University of Chicago. </w:t>
      </w:r>
      <w:r w:rsidR="00203456">
        <w:t xml:space="preserve">NORC will conduct an independent evaluation using this data as well as </w:t>
      </w:r>
      <w:r>
        <w:t xml:space="preserve"> </w:t>
      </w:r>
      <w:r w:rsidR="00203456">
        <w:t xml:space="preserve"> </w:t>
      </w:r>
      <w:r w:rsidR="00D92475">
        <w:t xml:space="preserve">a core set of </w:t>
      </w:r>
      <w:r>
        <w:t>data collected by the six grantee teams working with 750 primary care practices</w:t>
      </w:r>
      <w:r w:rsidR="00237187">
        <w:t xml:space="preserve"> and shared with the evaluator</w:t>
      </w:r>
      <w:r>
        <w:t>. Collectively the data will allow the evaluator to assess the i</w:t>
      </w:r>
      <w:r w:rsidRPr="001513DD">
        <w:t xml:space="preserve">mplementation and impact of the </w:t>
      </w:r>
      <w:r>
        <w:t xml:space="preserve">six </w:t>
      </w:r>
      <w:r w:rsidRPr="001513DD">
        <w:t>grants</w:t>
      </w:r>
      <w:r>
        <w:t xml:space="preserve">. </w:t>
      </w:r>
    </w:p>
    <w:p w:rsidRPr="006F69AD" w:rsidR="00211237" w:rsidP="00937941" w:rsidRDefault="00211237" w14:paraId="129E88F0" w14:textId="77777777"/>
    <w:p w:rsidRPr="00937941" w:rsidR="00211237" w:rsidP="00211237" w:rsidRDefault="00211237" w14:paraId="3DC15371" w14:textId="13ABA2C2">
      <w:pPr>
        <w:rPr>
          <w:u w:val="single"/>
        </w:rPr>
      </w:pPr>
      <w:r>
        <w:rPr>
          <w:u w:val="single"/>
        </w:rPr>
        <w:t xml:space="preserve">Primary </w:t>
      </w:r>
      <w:r w:rsidR="00555EB1">
        <w:rPr>
          <w:u w:val="single"/>
        </w:rPr>
        <w:t xml:space="preserve">Qualitative Data Collection </w:t>
      </w:r>
      <w:r w:rsidR="001624BE">
        <w:rPr>
          <w:u w:val="single"/>
        </w:rPr>
        <w:t>by</w:t>
      </w:r>
      <w:r w:rsidRPr="00937941">
        <w:rPr>
          <w:u w:val="single"/>
        </w:rPr>
        <w:t xml:space="preserve"> </w:t>
      </w:r>
      <w:r w:rsidR="00555EB1">
        <w:rPr>
          <w:u w:val="single"/>
        </w:rPr>
        <w:t>E</w:t>
      </w:r>
      <w:r w:rsidRPr="00937941">
        <w:rPr>
          <w:u w:val="single"/>
        </w:rPr>
        <w:t xml:space="preserve">valuator </w:t>
      </w:r>
    </w:p>
    <w:p w:rsidR="00211237" w:rsidP="00211237" w:rsidRDefault="00211237" w14:paraId="3CAAE566" w14:textId="2F9AB728">
      <w:r>
        <w:t xml:space="preserve">The evaluator will conduct semi-structured qualitative interviews with two groups of respondents: grantee teams and primary care practice staff, for a total of 60 respondents </w:t>
      </w:r>
      <w:r w:rsidR="001624BE">
        <w:t>annually (See Exhibit B.1</w:t>
      </w:r>
      <w:r>
        <w:t xml:space="preserve">, below). </w:t>
      </w:r>
    </w:p>
    <w:p w:rsidR="00211237" w:rsidP="00211237" w:rsidRDefault="00211237" w14:paraId="032F619C" w14:textId="77777777"/>
    <w:p w:rsidR="00211237" w:rsidP="00211237" w:rsidRDefault="00211237" w14:paraId="4BC05232" w14:textId="35152CC6">
      <w:r>
        <w:t xml:space="preserve">For grantee </w:t>
      </w:r>
      <w:r w:rsidR="001624BE">
        <w:t>Key Informant I</w:t>
      </w:r>
      <w:r>
        <w:t xml:space="preserve">nterviews, the evaluator will aim to recruit approximately five respondents from each of the six grantee teams for a total of 30 respondents. Respondents for the grantee team interviews will be selected in order to represent the key roles on the grantee teams, namely: principal investigator, co-investigator, evaluation lead, practice facilitator/implementation lead, and project manager. The evaluator will utilize existing relationships with the staff in these roles on grantee teams and </w:t>
      </w:r>
      <w:r w:rsidR="009961E7">
        <w:t xml:space="preserve">in </w:t>
      </w:r>
      <w:r>
        <w:t xml:space="preserve">consultation with AHRQ to determine who will be interviewed. </w:t>
      </w:r>
    </w:p>
    <w:p w:rsidR="00211237" w:rsidP="00211237" w:rsidRDefault="00211237" w14:paraId="2C1E2EAB" w14:textId="77777777"/>
    <w:p w:rsidR="00211237" w:rsidP="00211237" w:rsidRDefault="00211237" w14:paraId="1CF1332F" w14:textId="203D5738">
      <w:r>
        <w:t xml:space="preserve">For primary care practice </w:t>
      </w:r>
      <w:r w:rsidR="001624BE">
        <w:t>Key Informant I</w:t>
      </w:r>
      <w:r>
        <w:t xml:space="preserve">nterviews, the evaluator will aim to recruit approximately five respondents from one primary care practice selected from each of the six grantees (a total of six primary care practices) for a total of 30 respondents. Primary care practices will be selected by the evaluator in consultation with AHRQ and grantees. Respondents for the primary care practice staff interviews will be selected in order to represent key roles </w:t>
      </w:r>
      <w:r>
        <w:lastRenderedPageBreak/>
        <w:t xml:space="preserve">within primary care practices who are implementing the initiative, namely: one clinician champion, two frontline clinicians, one practice manager, and one non-clinical staff member (e.g., medical assistant, rooming staff). For the practices involved in qualitative interviews, the grantee teams will help identify staff members in these roles. </w:t>
      </w:r>
    </w:p>
    <w:p w:rsidR="00211237" w:rsidP="00211237" w:rsidRDefault="00211237" w14:paraId="6C455C7A" w14:textId="77777777"/>
    <w:p w:rsidRPr="00937941" w:rsidR="00211237" w:rsidP="00211237" w:rsidRDefault="001624BE" w14:paraId="3BF99C52" w14:textId="03CA57E3">
      <w:pPr>
        <w:rPr>
          <w:b/>
        </w:rPr>
      </w:pPr>
      <w:r>
        <w:rPr>
          <w:b/>
        </w:rPr>
        <w:t>Exhibit B.1</w:t>
      </w:r>
      <w:r w:rsidRPr="00937941" w:rsidR="00211237">
        <w:rPr>
          <w:b/>
        </w:rPr>
        <w:t xml:space="preserve"> Qualitative Semi-Structured Interview Respondents</w:t>
      </w:r>
    </w:p>
    <w:tbl>
      <w:tblPr>
        <w:tblStyle w:val="TableGrid"/>
        <w:tblW w:w="0" w:type="auto"/>
        <w:tblLook w:val="04A0" w:firstRow="1" w:lastRow="0" w:firstColumn="1" w:lastColumn="0" w:noHBand="0" w:noVBand="1"/>
      </w:tblPr>
      <w:tblGrid>
        <w:gridCol w:w="2065"/>
        <w:gridCol w:w="5400"/>
        <w:gridCol w:w="1350"/>
      </w:tblGrid>
      <w:tr w:rsidR="00211237" w:rsidTr="00F5388E" w14:paraId="15A89DBB" w14:textId="77777777">
        <w:tc>
          <w:tcPr>
            <w:tcW w:w="2065" w:type="dxa"/>
          </w:tcPr>
          <w:p w:rsidRPr="00937941" w:rsidR="00211237" w:rsidP="00F5388E" w:rsidRDefault="00211237" w14:paraId="71EED41F" w14:textId="77777777">
            <w:pPr>
              <w:rPr>
                <w:b/>
                <w:sz w:val="20"/>
                <w:szCs w:val="20"/>
              </w:rPr>
            </w:pPr>
            <w:r w:rsidRPr="00937941">
              <w:rPr>
                <w:b/>
                <w:sz w:val="20"/>
                <w:szCs w:val="20"/>
              </w:rPr>
              <w:t>Respondent Type</w:t>
            </w:r>
          </w:p>
        </w:tc>
        <w:tc>
          <w:tcPr>
            <w:tcW w:w="5400" w:type="dxa"/>
          </w:tcPr>
          <w:p w:rsidRPr="00937941" w:rsidR="00211237" w:rsidP="00F5388E" w:rsidRDefault="00211237" w14:paraId="724C9D66" w14:textId="77777777">
            <w:pPr>
              <w:rPr>
                <w:b/>
                <w:sz w:val="20"/>
                <w:szCs w:val="20"/>
              </w:rPr>
            </w:pPr>
            <w:r w:rsidRPr="00937941">
              <w:rPr>
                <w:b/>
                <w:sz w:val="20"/>
                <w:szCs w:val="20"/>
              </w:rPr>
              <w:t>Key Roles Represented</w:t>
            </w:r>
          </w:p>
        </w:tc>
        <w:tc>
          <w:tcPr>
            <w:tcW w:w="1350" w:type="dxa"/>
          </w:tcPr>
          <w:p w:rsidRPr="00937941" w:rsidR="00211237" w:rsidP="00F5388E" w:rsidRDefault="00211237" w14:paraId="003F40E1" w14:textId="77777777">
            <w:pPr>
              <w:rPr>
                <w:b/>
                <w:sz w:val="20"/>
                <w:szCs w:val="20"/>
              </w:rPr>
            </w:pPr>
            <w:r w:rsidRPr="00937941">
              <w:rPr>
                <w:b/>
                <w:sz w:val="20"/>
                <w:szCs w:val="20"/>
              </w:rPr>
              <w:t>Respondents</w:t>
            </w:r>
          </w:p>
        </w:tc>
      </w:tr>
      <w:tr w:rsidR="00211237" w:rsidTr="00F5388E" w14:paraId="4671A533" w14:textId="77777777">
        <w:tc>
          <w:tcPr>
            <w:tcW w:w="2065" w:type="dxa"/>
          </w:tcPr>
          <w:p w:rsidRPr="00F6465F" w:rsidR="00211237" w:rsidP="00F5388E" w:rsidRDefault="00211237" w14:paraId="00B7C5F0" w14:textId="77777777">
            <w:pPr>
              <w:rPr>
                <w:b/>
                <w:sz w:val="20"/>
                <w:szCs w:val="20"/>
              </w:rPr>
            </w:pPr>
            <w:r>
              <w:rPr>
                <w:sz w:val="20"/>
                <w:szCs w:val="20"/>
              </w:rPr>
              <w:t>Grantee T</w:t>
            </w:r>
            <w:r w:rsidRPr="00F6465F">
              <w:rPr>
                <w:sz w:val="20"/>
                <w:szCs w:val="20"/>
              </w:rPr>
              <w:t xml:space="preserve">eams </w:t>
            </w:r>
          </w:p>
        </w:tc>
        <w:tc>
          <w:tcPr>
            <w:tcW w:w="5400" w:type="dxa"/>
          </w:tcPr>
          <w:p w:rsidRPr="00F6465F" w:rsidR="00211237" w:rsidP="00F5388E" w:rsidRDefault="00211237" w14:paraId="2531301C" w14:textId="77777777">
            <w:pPr>
              <w:rPr>
                <w:b/>
                <w:sz w:val="20"/>
                <w:szCs w:val="20"/>
              </w:rPr>
            </w:pPr>
            <w:r>
              <w:rPr>
                <w:sz w:val="20"/>
                <w:szCs w:val="20"/>
              </w:rPr>
              <w:t>p</w:t>
            </w:r>
            <w:r w:rsidRPr="00F6465F">
              <w:rPr>
                <w:sz w:val="20"/>
                <w:szCs w:val="20"/>
              </w:rPr>
              <w:t xml:space="preserve">rincipal </w:t>
            </w:r>
            <w:r>
              <w:rPr>
                <w:sz w:val="20"/>
                <w:szCs w:val="20"/>
              </w:rPr>
              <w:t>i</w:t>
            </w:r>
            <w:r w:rsidRPr="00F6465F">
              <w:rPr>
                <w:sz w:val="20"/>
                <w:szCs w:val="20"/>
              </w:rPr>
              <w:t xml:space="preserve">nvestigator, </w:t>
            </w:r>
            <w:r>
              <w:rPr>
                <w:sz w:val="20"/>
                <w:szCs w:val="20"/>
              </w:rPr>
              <w:t>c</w:t>
            </w:r>
            <w:r w:rsidRPr="00F6465F">
              <w:rPr>
                <w:sz w:val="20"/>
                <w:szCs w:val="20"/>
              </w:rPr>
              <w:t>o-investigator, evaluation lead, practice facilitator/impl</w:t>
            </w:r>
            <w:r>
              <w:rPr>
                <w:sz w:val="20"/>
                <w:szCs w:val="20"/>
              </w:rPr>
              <w:t>ementation lead, project manager</w:t>
            </w:r>
          </w:p>
        </w:tc>
        <w:tc>
          <w:tcPr>
            <w:tcW w:w="1350" w:type="dxa"/>
          </w:tcPr>
          <w:p w:rsidRPr="00F6465F" w:rsidR="00211237" w:rsidP="00F5388E" w:rsidRDefault="00211237" w14:paraId="6B0F5661" w14:textId="77777777">
            <w:pPr>
              <w:rPr>
                <w:b/>
                <w:sz w:val="20"/>
                <w:szCs w:val="20"/>
              </w:rPr>
            </w:pPr>
            <w:r w:rsidRPr="00F6465F">
              <w:rPr>
                <w:sz w:val="20"/>
                <w:szCs w:val="20"/>
              </w:rPr>
              <w:t>30</w:t>
            </w:r>
          </w:p>
        </w:tc>
      </w:tr>
      <w:tr w:rsidR="00211237" w:rsidTr="00F5388E" w14:paraId="5A8EC1BA" w14:textId="77777777">
        <w:tc>
          <w:tcPr>
            <w:tcW w:w="2065" w:type="dxa"/>
          </w:tcPr>
          <w:p w:rsidRPr="00F6465F" w:rsidR="00211237" w:rsidP="00F5388E" w:rsidRDefault="00211237" w14:paraId="10DB66FA" w14:textId="77777777">
            <w:pPr>
              <w:rPr>
                <w:b/>
                <w:sz w:val="20"/>
                <w:szCs w:val="20"/>
              </w:rPr>
            </w:pPr>
            <w:r w:rsidRPr="00F6465F">
              <w:rPr>
                <w:sz w:val="20"/>
                <w:szCs w:val="20"/>
              </w:rPr>
              <w:t>Primary Care Practice Staff</w:t>
            </w:r>
          </w:p>
        </w:tc>
        <w:tc>
          <w:tcPr>
            <w:tcW w:w="5400" w:type="dxa"/>
          </w:tcPr>
          <w:p w:rsidRPr="00F6465F" w:rsidR="00211237" w:rsidP="00237187" w:rsidRDefault="00211237" w14:paraId="4C0A494E" w14:textId="49FA6BD6">
            <w:pPr>
              <w:rPr>
                <w:b/>
                <w:sz w:val="20"/>
                <w:szCs w:val="20"/>
              </w:rPr>
            </w:pPr>
            <w:r>
              <w:rPr>
                <w:sz w:val="20"/>
                <w:szCs w:val="20"/>
              </w:rPr>
              <w:t>1 c</w:t>
            </w:r>
            <w:r w:rsidRPr="00F6465F">
              <w:rPr>
                <w:sz w:val="20"/>
                <w:szCs w:val="20"/>
              </w:rPr>
              <w:t xml:space="preserve">linician champion, 2 frontline clinicians, </w:t>
            </w:r>
            <w:r>
              <w:rPr>
                <w:sz w:val="20"/>
                <w:szCs w:val="20"/>
              </w:rPr>
              <w:t xml:space="preserve">1 </w:t>
            </w:r>
            <w:r w:rsidRPr="00F6465F">
              <w:rPr>
                <w:sz w:val="20"/>
                <w:szCs w:val="20"/>
              </w:rPr>
              <w:t xml:space="preserve">practice manager, </w:t>
            </w:r>
            <w:r>
              <w:rPr>
                <w:sz w:val="20"/>
                <w:szCs w:val="20"/>
              </w:rPr>
              <w:t xml:space="preserve">1 </w:t>
            </w:r>
            <w:r w:rsidRPr="00F6465F">
              <w:rPr>
                <w:sz w:val="20"/>
                <w:szCs w:val="20"/>
              </w:rPr>
              <w:t xml:space="preserve">non-clinical staff (e.g., medical assistant, </w:t>
            </w:r>
            <w:r w:rsidR="00237187">
              <w:rPr>
                <w:sz w:val="20"/>
                <w:szCs w:val="20"/>
              </w:rPr>
              <w:t>front/back office</w:t>
            </w:r>
            <w:r w:rsidRPr="00F6465F">
              <w:rPr>
                <w:sz w:val="20"/>
                <w:szCs w:val="20"/>
              </w:rPr>
              <w:t xml:space="preserve"> staff)</w:t>
            </w:r>
          </w:p>
        </w:tc>
        <w:tc>
          <w:tcPr>
            <w:tcW w:w="1350" w:type="dxa"/>
          </w:tcPr>
          <w:p w:rsidRPr="00F6465F" w:rsidR="00211237" w:rsidP="00F5388E" w:rsidRDefault="00211237" w14:paraId="41AB0FED" w14:textId="77777777">
            <w:pPr>
              <w:rPr>
                <w:b/>
                <w:sz w:val="20"/>
                <w:szCs w:val="20"/>
              </w:rPr>
            </w:pPr>
            <w:r w:rsidRPr="00F6465F">
              <w:rPr>
                <w:sz w:val="20"/>
                <w:szCs w:val="20"/>
              </w:rPr>
              <w:t>30</w:t>
            </w:r>
          </w:p>
        </w:tc>
      </w:tr>
      <w:tr w:rsidR="00211237" w:rsidTr="00F5388E" w14:paraId="067F3721" w14:textId="77777777">
        <w:tc>
          <w:tcPr>
            <w:tcW w:w="7465" w:type="dxa"/>
            <w:gridSpan w:val="2"/>
          </w:tcPr>
          <w:p w:rsidRPr="00937941" w:rsidR="00211237" w:rsidP="00F5388E" w:rsidRDefault="00211237" w14:paraId="31AAD31D" w14:textId="77777777">
            <w:pPr>
              <w:jc w:val="right"/>
              <w:rPr>
                <w:b/>
                <w:sz w:val="20"/>
                <w:szCs w:val="20"/>
              </w:rPr>
            </w:pPr>
            <w:r w:rsidRPr="00937941">
              <w:rPr>
                <w:b/>
                <w:sz w:val="20"/>
                <w:szCs w:val="20"/>
              </w:rPr>
              <w:t>Total</w:t>
            </w:r>
          </w:p>
        </w:tc>
        <w:tc>
          <w:tcPr>
            <w:tcW w:w="1350" w:type="dxa"/>
          </w:tcPr>
          <w:p w:rsidRPr="00937941" w:rsidR="00211237" w:rsidP="00F5388E" w:rsidRDefault="00211237" w14:paraId="0171D183" w14:textId="77777777">
            <w:pPr>
              <w:rPr>
                <w:b/>
                <w:sz w:val="20"/>
                <w:szCs w:val="20"/>
              </w:rPr>
            </w:pPr>
            <w:r w:rsidRPr="00937941">
              <w:rPr>
                <w:b/>
                <w:sz w:val="20"/>
                <w:szCs w:val="20"/>
              </w:rPr>
              <w:t>60</w:t>
            </w:r>
          </w:p>
        </w:tc>
      </w:tr>
    </w:tbl>
    <w:p w:rsidR="00211237" w:rsidP="00937941" w:rsidRDefault="00211237" w14:paraId="2B7A7363" w14:textId="77777777">
      <w:pPr>
        <w:rPr>
          <w:u w:val="single"/>
        </w:rPr>
      </w:pPr>
    </w:p>
    <w:p w:rsidRPr="00555EB1" w:rsidR="00211237" w:rsidP="00937941" w:rsidRDefault="00555EB1" w14:paraId="5A01FCF3" w14:textId="6116209C">
      <w:pPr>
        <w:rPr>
          <w:u w:val="single"/>
        </w:rPr>
      </w:pPr>
      <w:r>
        <w:rPr>
          <w:u w:val="single"/>
        </w:rPr>
        <w:t xml:space="preserve">Secondary Data Collected By Grantees </w:t>
      </w:r>
      <w:r w:rsidR="001624BE">
        <w:rPr>
          <w:u w:val="single"/>
        </w:rPr>
        <w:t>&amp;</w:t>
      </w:r>
      <w:r>
        <w:rPr>
          <w:u w:val="single"/>
        </w:rPr>
        <w:t xml:space="preserve"> Analyzed By E</w:t>
      </w:r>
      <w:r w:rsidRPr="00555EB1" w:rsidR="00211237">
        <w:rPr>
          <w:u w:val="single"/>
        </w:rPr>
        <w:t>valuator</w:t>
      </w:r>
    </w:p>
    <w:p w:rsidR="00DF1442" w:rsidP="00555EB1" w:rsidRDefault="00757C17" w14:paraId="72675480" w14:textId="63254196">
      <w:pPr>
        <w:rPr>
          <w:b/>
        </w:rPr>
      </w:pPr>
      <w:r>
        <w:t>Grantees will be conducting their own data collection with p</w:t>
      </w:r>
      <w:r w:rsidR="00DF1442">
        <w:t>rimary care practices</w:t>
      </w:r>
      <w:r w:rsidR="00831FDE">
        <w:t xml:space="preserve">. Collected data will be submitted to the evaluator for analysis and evaluation of the following items: </w:t>
      </w:r>
      <w:r w:rsidR="00CB7395">
        <w:t>changes in the number of patients receiving screening, brief intervention, referral to treatment, and medication-assisted therapy; the relationship between practice characteristics and the number of patients receiving screening, brief intervention, referral to treatment, and medication-assisted therapy; the relationship between the type and frequency of practice interventions and the number of patients screened, receiving brief intervention, referral to treatment, or medication-assisted therapy; and changes over time in the activities practices conduct to identify and manage unhealthy alcohol use. Aggregate d</w:t>
      </w:r>
      <w:r>
        <w:t xml:space="preserve">ata from these instruments will be </w:t>
      </w:r>
      <w:r w:rsidR="007B4B8B">
        <w:t>shared with</w:t>
      </w:r>
      <w:r>
        <w:t xml:space="preserve"> the evaluator for analysis</w:t>
      </w:r>
      <w:r w:rsidR="00D92475">
        <w:t xml:space="preserve"> at the grantee and initiative-wide level</w:t>
      </w:r>
      <w:r>
        <w:t xml:space="preserve">; the evaluator will not be involved in the collection of this data. </w:t>
      </w:r>
    </w:p>
    <w:p w:rsidR="00F6465F" w:rsidP="00DF1442" w:rsidRDefault="00F6465F" w14:paraId="268E680B" w14:textId="77777777">
      <w:pPr>
        <w:pStyle w:val="TOC2"/>
        <w:rPr>
          <w:b w:val="0"/>
        </w:rPr>
      </w:pPr>
    </w:p>
    <w:p w:rsidRPr="00937941" w:rsidR="00F4724E" w:rsidP="00937941" w:rsidRDefault="00BB501E" w14:paraId="2A12F476" w14:textId="18360E48">
      <w:pPr>
        <w:rPr>
          <w:b/>
          <w:i/>
        </w:rPr>
      </w:pPr>
      <w:r w:rsidRPr="00937941">
        <w:rPr>
          <w:b/>
          <w:i/>
        </w:rPr>
        <w:t>Response Rates</w:t>
      </w:r>
    </w:p>
    <w:p w:rsidRPr="00E9477E" w:rsidR="00965C17" w:rsidP="00937941" w:rsidRDefault="00965C17" w14:paraId="2822C6A6" w14:textId="77777777">
      <w:pPr>
        <w:rPr>
          <w:b/>
        </w:rPr>
      </w:pPr>
    </w:p>
    <w:p w:rsidRPr="00937941" w:rsidR="00757C17" w:rsidP="00757C17" w:rsidRDefault="006678A9" w14:paraId="282509AC" w14:textId="7DE9E982">
      <w:pPr>
        <w:rPr>
          <w:u w:val="single"/>
        </w:rPr>
      </w:pPr>
      <w:r>
        <w:rPr>
          <w:u w:val="single"/>
        </w:rPr>
        <w:t>Qualitative Key Informant Interviews</w:t>
      </w:r>
    </w:p>
    <w:p w:rsidRPr="00555EB1" w:rsidR="00757C17" w:rsidP="00937941" w:rsidRDefault="00757C17" w14:paraId="37D3F256" w14:textId="0233EBAB">
      <w:pPr>
        <w:rPr>
          <w:b/>
        </w:rPr>
      </w:pPr>
      <w:r>
        <w:t xml:space="preserve">Based on our experience with previous qualitative recruitment efforts in health care organizations, </w:t>
      </w:r>
      <w:r w:rsidRPr="00937941">
        <w:t>we anticipate a 90 percent positive</w:t>
      </w:r>
      <w:r>
        <w:t xml:space="preserve"> response to </w:t>
      </w:r>
      <w:r w:rsidR="006678A9">
        <w:t xml:space="preserve">invitations for semi-structured, </w:t>
      </w:r>
      <w:r w:rsidR="009961E7">
        <w:t>k</w:t>
      </w:r>
      <w:r w:rsidR="006678A9">
        <w:t xml:space="preserve">ey </w:t>
      </w:r>
      <w:r w:rsidR="009961E7">
        <w:t>i</w:t>
      </w:r>
      <w:r w:rsidR="006678A9">
        <w:t>nformant</w:t>
      </w:r>
      <w:r>
        <w:t xml:space="preserve"> interviews with grantee teams and primary care practice staff. </w:t>
      </w:r>
    </w:p>
    <w:p w:rsidRPr="009A7B10" w:rsidR="00037923" w:rsidP="00937941" w:rsidRDefault="00037923" w14:paraId="56DB8AEE" w14:textId="77777777"/>
    <w:p w:rsidRPr="005F0CC3" w:rsidR="004F6A48" w:rsidP="004F6A48" w:rsidRDefault="004F6A48" w14:paraId="27737618" w14:textId="77777777"/>
    <w:p w:rsidRPr="00A72416" w:rsidR="004F6A48" w:rsidP="00A72416" w:rsidRDefault="00965C17" w14:paraId="4BAD88EF" w14:textId="592BA538">
      <w:pPr>
        <w:pStyle w:val="TOC2"/>
      </w:pPr>
      <w:bookmarkStart w:name="_Toc35934329" w:id="4"/>
      <w:r>
        <w:t>B</w:t>
      </w:r>
      <w:r w:rsidRPr="00A72416" w:rsidR="00A72416">
        <w:t>2.</w:t>
      </w:r>
      <w:r w:rsidRPr="00A72416" w:rsidR="001E7CE7">
        <w:t xml:space="preserve"> </w:t>
      </w:r>
      <w:r w:rsidRPr="00A72416" w:rsidR="004F6A48">
        <w:t>Procedures for Collection of Information</w:t>
      </w:r>
      <w:bookmarkEnd w:id="4"/>
    </w:p>
    <w:p w:rsidR="0032652E" w:rsidP="004F6A48" w:rsidRDefault="0032652E" w14:paraId="0EC94475" w14:textId="4D0E3845"/>
    <w:p w:rsidR="00145C09" w:rsidP="00937941" w:rsidRDefault="007321FA" w14:paraId="2200B7EF" w14:textId="2751F2AF">
      <w:r>
        <w:t>This project consists of</w:t>
      </w:r>
      <w:r w:rsidR="00CC4291">
        <w:t xml:space="preserve"> </w:t>
      </w:r>
      <w:r w:rsidR="006678A9">
        <w:t>one primary qualitative data collection activity by the evaluator and</w:t>
      </w:r>
      <w:r w:rsidR="00097A68">
        <w:t xml:space="preserve"> </w:t>
      </w:r>
      <w:r w:rsidR="006678A9">
        <w:t xml:space="preserve">will </w:t>
      </w:r>
      <w:r w:rsidR="0032652E">
        <w:t>c</w:t>
      </w:r>
      <w:r w:rsidR="00097A68">
        <w:t xml:space="preserve">ontribute substantively to the </w:t>
      </w:r>
      <w:r w:rsidR="00217962">
        <w:t>multisite</w:t>
      </w:r>
      <w:r w:rsidR="0061143F">
        <w:t xml:space="preserve">. </w:t>
      </w:r>
    </w:p>
    <w:p w:rsidR="006D7BBD" w:rsidP="00937941" w:rsidRDefault="006D7BBD" w14:paraId="22905D15" w14:textId="77777777"/>
    <w:p w:rsidRPr="00BC30FA" w:rsidR="00BC2BB5" w:rsidP="00BA22E3" w:rsidRDefault="006678A9" w14:paraId="049E83A8" w14:textId="37A95769">
      <w:r w:rsidRPr="004D5665">
        <w:rPr>
          <w:b/>
        </w:rPr>
        <w:t>Semi-Structured Qualitative Interviews</w:t>
      </w:r>
      <w:r w:rsidRPr="00BC2BB5">
        <w:rPr>
          <w:b/>
          <w:i/>
        </w:rPr>
        <w:t>.</w:t>
      </w:r>
      <w:r>
        <w:t xml:space="preserve"> The evaluator will conduct in-person and/or telephone discussions with key staff from each grantee team (i.e., principal investigator, co-investigator, evaluation lead, practice facilitation/implementation lead, and project manager) and with clinicians and staff at one primary care practi</w:t>
      </w:r>
      <w:r w:rsidR="001624BE">
        <w:t xml:space="preserve">ce working with each grantee. Key Informant </w:t>
      </w:r>
      <w:r>
        <w:t xml:space="preserve">Interviews will be conducted annually beginning at the end of Year 1, for a total of three time points per grantee. During Years 1 and 3 the interviews will be conducted by phone, while Year 2 </w:t>
      </w:r>
      <w:r w:rsidR="001624BE">
        <w:t>interviews will be collected in-</w:t>
      </w:r>
      <w:r>
        <w:t xml:space="preserve">person. The interviews for both grantee teams and primary care </w:t>
      </w:r>
      <w:r>
        <w:lastRenderedPageBreak/>
        <w:t xml:space="preserve">practice staff will cover domains such as understanding the practice </w:t>
      </w:r>
      <w:r w:rsidR="00117DDA">
        <w:t>implementation</w:t>
      </w:r>
      <w:r>
        <w:t xml:space="preserve"> and changes overtime, methods of supporting practices, barriers and facilitators to dissemination and implementation, strategies to overcome barriers, and the number and type of </w:t>
      </w:r>
      <w:r w:rsidR="00117DDA">
        <w:t xml:space="preserve">staff implementing </w:t>
      </w:r>
      <w:r w:rsidR="00062941">
        <w:t>screening, brief intervention, referral to treatment,</w:t>
      </w:r>
      <w:r w:rsidR="00117DDA">
        <w:t xml:space="preserve"> and </w:t>
      </w:r>
      <w:r w:rsidR="00203456">
        <w:t>medication-assisted therapy</w:t>
      </w:r>
      <w:r>
        <w:t>. Semi-structured interview g</w:t>
      </w:r>
      <w:r w:rsidRPr="001A056C">
        <w:t>u</w:t>
      </w:r>
      <w:r>
        <w:t>ides for grantee teams</w:t>
      </w:r>
      <w:r w:rsidRPr="001A056C">
        <w:t xml:space="preserve"> and </w:t>
      </w:r>
      <w:r>
        <w:t xml:space="preserve">primary care </w:t>
      </w:r>
      <w:r w:rsidRPr="001A056C">
        <w:t xml:space="preserve">practice </w:t>
      </w:r>
      <w:r>
        <w:t xml:space="preserve">staff are contained in </w:t>
      </w:r>
      <w:r w:rsidRPr="00176083">
        <w:rPr>
          <w:b/>
        </w:rPr>
        <w:t xml:space="preserve">Attachments </w:t>
      </w:r>
      <w:r w:rsidR="00555EB1">
        <w:rPr>
          <w:b/>
        </w:rPr>
        <w:t>A</w:t>
      </w:r>
      <w:r w:rsidRPr="00642EF8">
        <w:rPr>
          <w:b/>
        </w:rPr>
        <w:t xml:space="preserve"> </w:t>
      </w:r>
      <w:r w:rsidRPr="00642EF8">
        <w:t>and</w:t>
      </w:r>
      <w:r w:rsidRPr="00642EF8">
        <w:rPr>
          <w:b/>
        </w:rPr>
        <w:t xml:space="preserve"> </w:t>
      </w:r>
      <w:r w:rsidR="00555EB1">
        <w:rPr>
          <w:b/>
        </w:rPr>
        <w:t>B</w:t>
      </w:r>
      <w:r w:rsidRPr="00642EF8">
        <w:t>,</w:t>
      </w:r>
      <w:r w:rsidRPr="001A056C">
        <w:t xml:space="preserve"> respectively.</w:t>
      </w:r>
      <w:r w:rsidR="00BC30FA">
        <w:t xml:space="preserve"> In order to test the validity and reliability of the interview guides, the evaluator conducted pilot testing with technical experts and project consultants. The evaluator conducted mock interviews of both practice and grantee interview gui</w:t>
      </w:r>
      <w:r w:rsidRPr="009847E5" w:rsidR="00BC30FA">
        <w:t xml:space="preserve">des to gain feedback on question comprehension and wording. </w:t>
      </w:r>
    </w:p>
    <w:p w:rsidR="008F2300" w:rsidP="002B1C51" w:rsidRDefault="008F2300" w14:paraId="6E28CF8F" w14:textId="77777777">
      <w:pPr>
        <w:rPr>
          <w:b/>
        </w:rPr>
      </w:pPr>
    </w:p>
    <w:p w:rsidRPr="00555EB1" w:rsidR="008E47B1" w:rsidP="002B1C51" w:rsidRDefault="006C615D" w14:paraId="0E3398AF" w14:textId="51CB7B04">
      <w:pPr>
        <w:rPr>
          <w:b/>
          <w:i/>
        </w:rPr>
      </w:pPr>
      <w:r w:rsidRPr="008E47B1">
        <w:rPr>
          <w:b/>
          <w:i/>
        </w:rPr>
        <w:t>Evaluation Design</w:t>
      </w:r>
    </w:p>
    <w:p w:rsidR="006C615D" w:rsidP="002B1C51" w:rsidRDefault="006C615D" w14:paraId="386BE365" w14:textId="29E2F612"/>
    <w:p w:rsidRPr="00555EB1" w:rsidR="00DF08E6" w:rsidP="006C615D" w:rsidRDefault="006C615D" w14:paraId="1B210656" w14:textId="396F930E">
      <w:r w:rsidRPr="00965C17">
        <w:rPr>
          <w:b/>
        </w:rPr>
        <w:t>Qualitative Analysis.</w:t>
      </w:r>
      <w:r>
        <w:t xml:space="preserve"> </w:t>
      </w:r>
      <w:r w:rsidRPr="006C615D">
        <w:t xml:space="preserve">The project will conduct semi-structured </w:t>
      </w:r>
      <w:r w:rsidR="001624BE">
        <w:t>K</w:t>
      </w:r>
      <w:r w:rsidR="006678A9">
        <w:t xml:space="preserve">ey </w:t>
      </w:r>
      <w:r w:rsidR="001624BE">
        <w:t>I</w:t>
      </w:r>
      <w:r w:rsidR="006678A9">
        <w:t>nformant</w:t>
      </w:r>
      <w:r w:rsidRPr="006C615D" w:rsidR="006678A9">
        <w:t xml:space="preserve"> </w:t>
      </w:r>
      <w:r w:rsidR="001624BE">
        <w:t>I</w:t>
      </w:r>
      <w:r w:rsidRPr="006C615D">
        <w:t xml:space="preserve">nterviews </w:t>
      </w:r>
      <w:r w:rsidR="003B1512">
        <w:t xml:space="preserve">annually </w:t>
      </w:r>
      <w:r w:rsidRPr="006C615D">
        <w:t xml:space="preserve">to </w:t>
      </w:r>
      <w:r w:rsidRPr="003F5965" w:rsidR="003B1512">
        <w:t xml:space="preserve">better understand grantees’ approaches to disseminating and implementing </w:t>
      </w:r>
      <w:r w:rsidR="004D5665">
        <w:t>patient-centered outcomes</w:t>
      </w:r>
      <w:r w:rsidRPr="003F5965" w:rsidR="003B1512">
        <w:t xml:space="preserve"> findings</w:t>
      </w:r>
      <w:r w:rsidR="00DF08E6">
        <w:t>, primary care practices</w:t>
      </w:r>
      <w:r w:rsidR="001624BE">
        <w:t>’</w:t>
      </w:r>
      <w:r w:rsidR="00DF08E6">
        <w:t xml:space="preserve"> experiences with </w:t>
      </w:r>
      <w:r w:rsidR="00117DDA">
        <w:t>implementation</w:t>
      </w:r>
      <w:r w:rsidR="00DF08E6">
        <w:t>,</w:t>
      </w:r>
      <w:r w:rsidRPr="003F5965" w:rsidR="003B1512">
        <w:t xml:space="preserve"> and barriers and facilitators to improving the management of </w:t>
      </w:r>
      <w:r w:rsidR="00062941">
        <w:t>unhealthy alcohol use</w:t>
      </w:r>
      <w:r w:rsidRPr="003F5965" w:rsidR="00062941">
        <w:t xml:space="preserve"> </w:t>
      </w:r>
      <w:r w:rsidRPr="003F5965" w:rsidR="003B1512">
        <w:t>in primary care.</w:t>
      </w:r>
      <w:r w:rsidRPr="006C615D">
        <w:t xml:space="preserve"> These </w:t>
      </w:r>
      <w:r w:rsidR="00DF08E6">
        <w:t>interviews</w:t>
      </w:r>
      <w:r w:rsidRPr="006C615D">
        <w:t xml:space="preserve"> will occur</w:t>
      </w:r>
      <w:r w:rsidR="003B1512">
        <w:t xml:space="preserve"> </w:t>
      </w:r>
      <w:r w:rsidR="00DF08E6">
        <w:t>three times during the three year study period and interviews will be coded for themes using NVivo qualitative data analysis software. Qualitative analysis will also be used to help understand differences in implementation across the grantees, and to supplement quantitative findings about changes in performance rates on the process measures.</w:t>
      </w:r>
    </w:p>
    <w:p w:rsidR="00385ECF" w:rsidP="006C615D" w:rsidRDefault="00385ECF" w14:paraId="6EBA7B8C" w14:textId="77777777"/>
    <w:p w:rsidRPr="005F0CC3" w:rsidR="009437B8" w:rsidP="004F6A48" w:rsidRDefault="009437B8" w14:paraId="3779170F" w14:textId="77777777">
      <w:pPr>
        <w:rPr>
          <w:b/>
        </w:rPr>
      </w:pPr>
    </w:p>
    <w:p w:rsidR="004F6A48" w:rsidP="00A72416" w:rsidRDefault="00965C17" w14:paraId="3B767C9B" w14:textId="7A6E4A27">
      <w:pPr>
        <w:pStyle w:val="TOC2"/>
      </w:pPr>
      <w:bookmarkStart w:name="_Toc35934330" w:id="5"/>
      <w:r>
        <w:t>B</w:t>
      </w:r>
      <w:r w:rsidRPr="00A72416" w:rsidR="004F6A48">
        <w:t>3. Methods to Maximize Response Rates</w:t>
      </w:r>
      <w:bookmarkEnd w:id="5"/>
      <w:r w:rsidRPr="00A72416" w:rsidR="004F6A48">
        <w:t xml:space="preserve"> </w:t>
      </w:r>
    </w:p>
    <w:p w:rsidRPr="00A72416" w:rsidR="00965C17" w:rsidP="00A72416" w:rsidRDefault="00965C17" w14:paraId="45CC46A4" w14:textId="77777777">
      <w:pPr>
        <w:pStyle w:val="TOC2"/>
      </w:pPr>
    </w:p>
    <w:p w:rsidR="00562254" w:rsidP="00562254" w:rsidRDefault="00562254" w14:paraId="027D86EF" w14:textId="146A17AF">
      <w:r>
        <w:t xml:space="preserve">The </w:t>
      </w:r>
      <w:r w:rsidR="006678A9">
        <w:t xml:space="preserve">qualitative </w:t>
      </w:r>
      <w:r>
        <w:t>data collection planned under this project is part of a</w:t>
      </w:r>
      <w:r w:rsidR="00CB7395">
        <w:t xml:space="preserve"> cross-grantee</w:t>
      </w:r>
      <w:r>
        <w:t xml:space="preserve"> evaluation to assess </w:t>
      </w:r>
      <w:r w:rsidR="006219B4">
        <w:t xml:space="preserve">implementation of </w:t>
      </w:r>
      <w:r w:rsidR="00062941">
        <w:t xml:space="preserve">screening, brief intervention, referral to treatment, </w:t>
      </w:r>
      <w:r w:rsidR="006219B4">
        <w:t xml:space="preserve">and </w:t>
      </w:r>
      <w:r w:rsidR="00203456">
        <w:t xml:space="preserve">medication-assisted therapy </w:t>
      </w:r>
      <w:r w:rsidR="006219B4">
        <w:t xml:space="preserve">for </w:t>
      </w:r>
      <w:r w:rsidR="00062941">
        <w:t>unhealthy alcohol use</w:t>
      </w:r>
      <w:r w:rsidR="006219B4">
        <w:t xml:space="preserve"> in primary care practices</w:t>
      </w:r>
      <w:r>
        <w:t xml:space="preserve">. </w:t>
      </w:r>
      <w:r w:rsidR="006678A9">
        <w:t xml:space="preserve">As a part of AHRQ’s </w:t>
      </w:r>
      <w:r w:rsidR="00062941">
        <w:t>unhealthy alcohol use</w:t>
      </w:r>
      <w:r w:rsidR="006678A9">
        <w:t xml:space="preserve"> initiative funding, grantees agreed to engage with the evaluator, including </w:t>
      </w:r>
      <w:r w:rsidR="00B73D92">
        <w:t xml:space="preserve">participating in </w:t>
      </w:r>
      <w:r w:rsidR="006678A9">
        <w:t xml:space="preserve">telephone and in-person interviews and site visits. </w:t>
      </w:r>
      <w:r>
        <w:t xml:space="preserve">The </w:t>
      </w:r>
      <w:r w:rsidR="00822EA4">
        <w:t>grantees</w:t>
      </w:r>
      <w:r>
        <w:t xml:space="preserve"> will </w:t>
      </w:r>
      <w:r w:rsidR="006678A9">
        <w:t xml:space="preserve">assist in </w:t>
      </w:r>
      <w:r>
        <w:t>recruit</w:t>
      </w:r>
      <w:r w:rsidR="006678A9">
        <w:t>ing</w:t>
      </w:r>
      <w:r>
        <w:t xml:space="preserve"> primary care practices that have indicated a willingness to participate </w:t>
      </w:r>
      <w:r w:rsidR="006678A9">
        <w:t>for the practice site visits</w:t>
      </w:r>
      <w:r w:rsidR="001B4691">
        <w:t xml:space="preserve">. </w:t>
      </w:r>
      <w:r>
        <w:t xml:space="preserve"> </w:t>
      </w:r>
    </w:p>
    <w:p w:rsidRPr="00CC4AE1" w:rsidR="00037923" w:rsidP="00555EB1" w:rsidRDefault="00037923" w14:paraId="3F6D9F1B" w14:textId="77777777">
      <w:pPr>
        <w:rPr>
          <w:rFonts w:eastAsia="Calibri"/>
        </w:rPr>
      </w:pPr>
    </w:p>
    <w:p w:rsidR="004F6A48" w:rsidP="00CC4AE1" w:rsidRDefault="004F6A48" w14:paraId="4B971E33" w14:textId="77777777">
      <w:pPr>
        <w:autoSpaceDE w:val="0"/>
        <w:autoSpaceDN w:val="0"/>
        <w:adjustRightInd w:val="0"/>
        <w:rPr>
          <w:b/>
          <w:i/>
        </w:rPr>
      </w:pPr>
    </w:p>
    <w:p w:rsidRPr="00A72416" w:rsidR="004F6A48" w:rsidP="00555EB1" w:rsidRDefault="00965C17" w14:paraId="1D62300D" w14:textId="741FC130">
      <w:pPr>
        <w:pStyle w:val="TOC2"/>
      </w:pPr>
      <w:bookmarkStart w:name="_Toc35934331" w:id="6"/>
      <w:r>
        <w:t>B</w:t>
      </w:r>
      <w:r w:rsidRPr="00A72416" w:rsidR="004F6A48">
        <w:t>4. Tes</w:t>
      </w:r>
      <w:r w:rsidR="006945BE">
        <w:t>ts of Procedures or Methods to B</w:t>
      </w:r>
      <w:r w:rsidRPr="00A72416" w:rsidR="004F6A48">
        <w:t>e Undertaken</w:t>
      </w:r>
      <w:bookmarkEnd w:id="6"/>
    </w:p>
    <w:p w:rsidRPr="005F0CC3" w:rsidR="004F6A48" w:rsidP="00CC4AE1" w:rsidRDefault="004F6A48" w14:paraId="5ADA2B2D" w14:textId="77777777"/>
    <w:p w:rsidR="004F6A48" w:rsidP="00CC4AE1" w:rsidRDefault="00395E9D" w14:paraId="49598DEA" w14:textId="6CAB3492">
      <w:r>
        <w:t xml:space="preserve">The </w:t>
      </w:r>
      <w:r w:rsidR="007B4B8B">
        <w:t xml:space="preserve">Key Informant Interview </w:t>
      </w:r>
      <w:r w:rsidR="00B73D92">
        <w:t>G</w:t>
      </w:r>
      <w:r>
        <w:t>uides</w:t>
      </w:r>
      <w:r w:rsidR="00BB0EAB">
        <w:t xml:space="preserve"> </w:t>
      </w:r>
      <w:r w:rsidRPr="005F0CC3" w:rsidR="004F65E5">
        <w:t>were developed</w:t>
      </w:r>
      <w:r w:rsidR="007B4B8B">
        <w:t xml:space="preserve"> by drawing on the evaluator’s past experience conducting research projects aimed at programs designed to reduce substance use and program evaluations involving qualitative data collection and analysis. They were also developed </w:t>
      </w:r>
      <w:r w:rsidR="00BB0EAB">
        <w:t xml:space="preserve">in collaboration with AHRQ </w:t>
      </w:r>
      <w:r w:rsidR="0061143F">
        <w:t xml:space="preserve">and with input on feasibility collected from grantee </w:t>
      </w:r>
      <w:r w:rsidR="00244314">
        <w:t xml:space="preserve">teams </w:t>
      </w:r>
      <w:r w:rsidRPr="005F0CC3" w:rsidR="004F65E5">
        <w:t xml:space="preserve">to capture </w:t>
      </w:r>
      <w:r w:rsidR="00BB0EAB">
        <w:t xml:space="preserve">information </w:t>
      </w:r>
      <w:r w:rsidRPr="005F0CC3" w:rsidR="004F65E5">
        <w:t xml:space="preserve">specific </w:t>
      </w:r>
      <w:r w:rsidR="00BB0EAB">
        <w:t xml:space="preserve">to </w:t>
      </w:r>
      <w:r w:rsidRPr="00BB0EAB" w:rsidR="00BB0EAB">
        <w:rPr>
          <w:i/>
        </w:rPr>
        <w:t xml:space="preserve">AHRQs </w:t>
      </w:r>
      <w:r w:rsidR="00CB7395">
        <w:rPr>
          <w:i/>
        </w:rPr>
        <w:t>Addressing</w:t>
      </w:r>
      <w:r w:rsidRPr="00BB0EAB" w:rsidR="00CB7395">
        <w:rPr>
          <w:i/>
        </w:rPr>
        <w:t xml:space="preserve"> </w:t>
      </w:r>
      <w:r w:rsidRPr="00BB0EAB" w:rsidR="00BB0EAB">
        <w:rPr>
          <w:i/>
        </w:rPr>
        <w:t>Unhealthy Alcoho</w:t>
      </w:r>
      <w:r w:rsidR="00BB0EAB">
        <w:rPr>
          <w:i/>
        </w:rPr>
        <w:t xml:space="preserve">l Use in Primary Care Initiative. </w:t>
      </w:r>
      <w:r w:rsidR="0061143F">
        <w:t xml:space="preserve">The project will utilize regular phone meetings to gather feedback from the grantees and assess factors that facilitated or hindered implementation of the data collection. </w:t>
      </w:r>
    </w:p>
    <w:p w:rsidRPr="0061143F" w:rsidR="00037923" w:rsidP="004F6A48" w:rsidRDefault="00037923" w14:paraId="6B7DB60F" w14:textId="77777777">
      <w:pPr>
        <w:rPr>
          <w:b/>
        </w:rPr>
      </w:pPr>
    </w:p>
    <w:p w:rsidR="00083B09" w:rsidP="004F6A48" w:rsidRDefault="00083B09" w14:paraId="761BA21D" w14:textId="77777777"/>
    <w:p w:rsidRPr="00A72416" w:rsidR="004F6A48" w:rsidP="00A72416" w:rsidRDefault="00965C17" w14:paraId="7EF6964B" w14:textId="7FE38737">
      <w:pPr>
        <w:pStyle w:val="TOC2"/>
      </w:pPr>
      <w:bookmarkStart w:name="_Toc35934332" w:id="7"/>
      <w:r>
        <w:t>B5</w:t>
      </w:r>
      <w:r w:rsidRPr="00A72416" w:rsidR="004F6A48">
        <w:t xml:space="preserve">. Statistical </w:t>
      </w:r>
      <w:r w:rsidR="0064555B">
        <w:t>Consultants</w:t>
      </w:r>
      <w:bookmarkEnd w:id="7"/>
      <w:r w:rsidRPr="00A72416" w:rsidR="004F6A48">
        <w:t xml:space="preserve"> </w:t>
      </w:r>
    </w:p>
    <w:p w:rsidRPr="005F0CC3" w:rsidR="004F6A48" w:rsidP="004F6A48" w:rsidRDefault="004F6A48" w14:paraId="2C0BD6FE" w14:textId="3C5DB736"/>
    <w:p w:rsidRPr="005F0CC3" w:rsidR="00E0726A" w:rsidP="004F6A48" w:rsidRDefault="00E0726A" w14:paraId="402A9332" w14:textId="0C55E8A0">
      <w:r>
        <w:lastRenderedPageBreak/>
        <w:t xml:space="preserve">NORC at the University of Chicago will </w:t>
      </w:r>
      <w:r w:rsidR="0061143F">
        <w:t>serve as the primary consultant</w:t>
      </w:r>
      <w:r>
        <w:t xml:space="preserve"> for statistical aspects of the design and analysis of the evaluation data. </w:t>
      </w:r>
      <w:r w:rsidR="00F02454">
        <w:t>See Exhibit B</w:t>
      </w:r>
      <w:r w:rsidR="001624BE">
        <w:t>.2</w:t>
      </w:r>
      <w:r w:rsidR="00F02454">
        <w:t xml:space="preserve"> for a list of statistical consultants. </w:t>
      </w:r>
    </w:p>
    <w:p w:rsidRPr="005F0CC3" w:rsidR="004F6A48" w:rsidP="004F6A48" w:rsidRDefault="004F6A48" w14:paraId="6B370A70" w14:textId="77777777"/>
    <w:p w:rsidRPr="005F0CC3" w:rsidR="004F6A48" w:rsidP="00537E48" w:rsidRDefault="001B2254" w14:paraId="39986DAA" w14:textId="5B65258D">
      <w:pPr>
        <w:keepLines/>
        <w:tabs>
          <w:tab w:val="left" w:pos="0"/>
        </w:tabs>
        <w:jc w:val="both"/>
        <w:rPr>
          <w:caps/>
        </w:rPr>
      </w:pPr>
      <w:r w:rsidRPr="00DC3A55">
        <w:rPr>
          <w:b/>
        </w:rPr>
        <w:t xml:space="preserve">Exhibit </w:t>
      </w:r>
      <w:r w:rsidR="00F4724E">
        <w:rPr>
          <w:b/>
        </w:rPr>
        <w:t>B</w:t>
      </w:r>
      <w:r w:rsidR="001624BE">
        <w:rPr>
          <w:b/>
        </w:rPr>
        <w:t>.2</w:t>
      </w:r>
      <w:r w:rsidRPr="00F4724E">
        <w:rPr>
          <w:b/>
        </w:rPr>
        <w:t xml:space="preserve"> </w:t>
      </w:r>
      <w:r w:rsidRPr="00F4724E" w:rsidR="00E0726A">
        <w:rPr>
          <w:b/>
        </w:rPr>
        <w:t>List of Statistical Consultants</w:t>
      </w:r>
    </w:p>
    <w:tbl>
      <w:tblPr>
        <w:tblW w:w="72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043"/>
        <w:gridCol w:w="5242"/>
      </w:tblGrid>
      <w:tr w:rsidRPr="00E0726A" w:rsidR="00C455BA" w:rsidTr="00555EB1" w14:paraId="1BDF2BD6" w14:textId="77777777">
        <w:trPr>
          <w:cantSplit/>
          <w:tblHeader/>
        </w:trPr>
        <w:tc>
          <w:tcPr>
            <w:tcW w:w="2043" w:type="dxa"/>
            <w:shd w:val="clear" w:color="auto" w:fill="auto"/>
            <w:tcMar>
              <w:top w:w="0" w:type="dxa"/>
              <w:left w:w="108" w:type="dxa"/>
              <w:bottom w:w="0" w:type="dxa"/>
              <w:right w:w="108" w:type="dxa"/>
            </w:tcMar>
            <w:vAlign w:val="center"/>
            <w:hideMark/>
          </w:tcPr>
          <w:p w:rsidRPr="00E0726A" w:rsidR="00C455BA" w:rsidP="00E0726A" w:rsidRDefault="00C455BA" w14:paraId="177FAD53" w14:textId="77777777">
            <w:pPr>
              <w:rPr>
                <w:b/>
                <w:sz w:val="20"/>
                <w:szCs w:val="20"/>
              </w:rPr>
            </w:pPr>
            <w:r w:rsidRPr="00E0726A">
              <w:rPr>
                <w:b/>
                <w:sz w:val="20"/>
                <w:szCs w:val="20"/>
              </w:rPr>
              <w:t>Name</w:t>
            </w:r>
          </w:p>
        </w:tc>
        <w:tc>
          <w:tcPr>
            <w:tcW w:w="5242" w:type="dxa"/>
            <w:shd w:val="clear" w:color="auto" w:fill="auto"/>
            <w:tcMar>
              <w:top w:w="0" w:type="dxa"/>
              <w:left w:w="108" w:type="dxa"/>
              <w:bottom w:w="0" w:type="dxa"/>
              <w:right w:w="108" w:type="dxa"/>
            </w:tcMar>
            <w:vAlign w:val="center"/>
            <w:hideMark/>
          </w:tcPr>
          <w:p w:rsidRPr="00E0726A" w:rsidR="00C455BA" w:rsidP="00E0726A" w:rsidRDefault="00C455BA" w14:paraId="1829010D" w14:textId="77777777">
            <w:pPr>
              <w:rPr>
                <w:b/>
                <w:sz w:val="20"/>
                <w:szCs w:val="20"/>
              </w:rPr>
            </w:pPr>
            <w:r w:rsidRPr="00E0726A">
              <w:rPr>
                <w:b/>
                <w:sz w:val="20"/>
                <w:szCs w:val="20"/>
              </w:rPr>
              <w:t>Title and Institution</w:t>
            </w:r>
          </w:p>
        </w:tc>
      </w:tr>
      <w:tr w:rsidRPr="00E0726A" w:rsidR="00C455BA" w:rsidTr="00555EB1" w14:paraId="3E83CD15" w14:textId="77777777">
        <w:trPr>
          <w:cantSplit/>
          <w:trHeight w:val="260"/>
        </w:trPr>
        <w:tc>
          <w:tcPr>
            <w:tcW w:w="2043" w:type="dxa"/>
            <w:shd w:val="clear" w:color="auto" w:fill="auto"/>
            <w:tcMar>
              <w:top w:w="0" w:type="dxa"/>
              <w:left w:w="108" w:type="dxa"/>
              <w:bottom w:w="0" w:type="dxa"/>
              <w:right w:w="108" w:type="dxa"/>
            </w:tcMar>
          </w:tcPr>
          <w:p w:rsidRPr="00E0726A" w:rsidR="00C455BA" w:rsidP="00E0726A" w:rsidRDefault="00C455BA" w14:paraId="5BA16EB5" w14:textId="45DFAC20">
            <w:pPr>
              <w:rPr>
                <w:sz w:val="20"/>
                <w:szCs w:val="20"/>
              </w:rPr>
            </w:pPr>
            <w:r>
              <w:rPr>
                <w:sz w:val="20"/>
                <w:szCs w:val="20"/>
              </w:rPr>
              <w:t>Weiwei Liu, PhD</w:t>
            </w:r>
          </w:p>
        </w:tc>
        <w:tc>
          <w:tcPr>
            <w:tcW w:w="5242" w:type="dxa"/>
            <w:shd w:val="clear" w:color="auto" w:fill="auto"/>
            <w:tcMar>
              <w:top w:w="0" w:type="dxa"/>
              <w:left w:w="108" w:type="dxa"/>
              <w:bottom w:w="0" w:type="dxa"/>
              <w:right w:w="108" w:type="dxa"/>
            </w:tcMar>
          </w:tcPr>
          <w:p w:rsidRPr="00E0726A" w:rsidR="00C455BA" w:rsidP="00E0726A" w:rsidRDefault="00C455BA" w14:paraId="5B20F7E9" w14:textId="16B78246">
            <w:pPr>
              <w:rPr>
                <w:sz w:val="20"/>
                <w:szCs w:val="20"/>
              </w:rPr>
            </w:pPr>
            <w:r>
              <w:rPr>
                <w:sz w:val="20"/>
                <w:szCs w:val="20"/>
              </w:rPr>
              <w:t>Senior Research Scientist, NORC</w:t>
            </w:r>
          </w:p>
        </w:tc>
      </w:tr>
    </w:tbl>
    <w:p w:rsidRPr="005F0CC3" w:rsidR="004F6A48" w:rsidP="004F6A48" w:rsidRDefault="00E0726A" w14:paraId="0A576A35" w14:textId="54268131">
      <w:pPr>
        <w:rPr>
          <w:b/>
        </w:rPr>
      </w:pPr>
      <w:r>
        <w:rPr>
          <w:b/>
        </w:rPr>
        <w:t xml:space="preserve"> </w:t>
      </w:r>
    </w:p>
    <w:p w:rsidRPr="004F6A48" w:rsidR="00C230B5" w:rsidP="004F6A48" w:rsidRDefault="00E0726A" w14:paraId="3A546EAC" w14:textId="7F0CBCB2">
      <w:r w:rsidRPr="00E0726A">
        <w:t xml:space="preserve">The </w:t>
      </w:r>
      <w:r w:rsidR="00395E9D">
        <w:t xml:space="preserve">secondary </w:t>
      </w:r>
      <w:r w:rsidRPr="00E0726A">
        <w:t xml:space="preserve">data will be collected by </w:t>
      </w:r>
      <w:r w:rsidR="0061143F">
        <w:t xml:space="preserve">grantees and shared with </w:t>
      </w:r>
      <w:r w:rsidRPr="00E0726A">
        <w:t>NORC at the University of Chicago</w:t>
      </w:r>
      <w:r w:rsidR="0061143F">
        <w:t xml:space="preserve"> for </w:t>
      </w:r>
      <w:r w:rsidR="005A3742">
        <w:t xml:space="preserve">multisite </w:t>
      </w:r>
      <w:r w:rsidR="0061143F">
        <w:t>analysis</w:t>
      </w:r>
      <w:r w:rsidRPr="00E0726A">
        <w:t xml:space="preserve">. </w:t>
      </w:r>
    </w:p>
    <w:sectPr w:rsidRPr="004F6A48" w:rsidR="00C230B5" w:rsidSect="00E73DAE">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75FF6" w14:textId="77777777" w:rsidR="001B58D4" w:rsidRDefault="001B58D4" w:rsidP="00200DF2">
      <w:r>
        <w:separator/>
      </w:r>
    </w:p>
  </w:endnote>
  <w:endnote w:type="continuationSeparator" w:id="0">
    <w:p w14:paraId="4E1C0188" w14:textId="77777777" w:rsidR="001B58D4" w:rsidRDefault="001B58D4" w:rsidP="00200DF2">
      <w:r>
        <w:continuationSeparator/>
      </w:r>
    </w:p>
  </w:endnote>
  <w:endnote w:type="continuationNotice" w:id="1">
    <w:p w14:paraId="2754EBA0" w14:textId="77777777" w:rsidR="001B58D4" w:rsidRDefault="001B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444912"/>
      <w:docPartObj>
        <w:docPartGallery w:val="Page Numbers (Bottom of Page)"/>
        <w:docPartUnique/>
      </w:docPartObj>
    </w:sdtPr>
    <w:sdtEndPr/>
    <w:sdtContent>
      <w:p w14:paraId="04162089" w14:textId="0B6F3D66" w:rsidR="000F3A88" w:rsidRDefault="000F3A88">
        <w:pPr>
          <w:pStyle w:val="Footer"/>
          <w:jc w:val="right"/>
        </w:pPr>
        <w:r>
          <w:t xml:space="preserve">Page | </w:t>
        </w:r>
        <w:r>
          <w:fldChar w:fldCharType="begin"/>
        </w:r>
        <w:r>
          <w:instrText xml:space="preserve"> PAGE   \* MERGEFORMAT </w:instrText>
        </w:r>
        <w:r>
          <w:fldChar w:fldCharType="separate"/>
        </w:r>
        <w:r w:rsidR="00263AD6">
          <w:rPr>
            <w:noProof/>
          </w:rPr>
          <w:t>4</w:t>
        </w:r>
        <w:r>
          <w:rPr>
            <w:noProof/>
          </w:rPr>
          <w:fldChar w:fldCharType="end"/>
        </w:r>
        <w:r>
          <w:t xml:space="preserve"> </w:t>
        </w:r>
      </w:p>
    </w:sdtContent>
  </w:sdt>
  <w:p w14:paraId="5FEAD4BA" w14:textId="77777777" w:rsidR="000F3A88" w:rsidRDefault="000F3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591629213"/>
      <w:docPartObj>
        <w:docPartGallery w:val="Page Numbers (Bottom of Page)"/>
        <w:docPartUnique/>
      </w:docPartObj>
    </w:sdtPr>
    <w:sdtEndPr/>
    <w:sdtContent>
      <w:p w14:paraId="5E2B37D9" w14:textId="2D8B0994" w:rsidR="000F3A88" w:rsidRPr="007323AE" w:rsidRDefault="000F3A88">
        <w:pPr>
          <w:pStyle w:val="Footer"/>
          <w:jc w:val="right"/>
          <w:rPr>
            <w:rFonts w:ascii="Arial" w:hAnsi="Arial" w:cs="Arial"/>
            <w:sz w:val="20"/>
            <w:szCs w:val="20"/>
          </w:rPr>
        </w:pPr>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263AD6">
          <w:rPr>
            <w:rFonts w:ascii="Arial" w:hAnsi="Arial" w:cs="Arial"/>
            <w:noProof/>
            <w:sz w:val="20"/>
            <w:szCs w:val="20"/>
          </w:rPr>
          <w:t>i</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3B0A7A31" w14:textId="77777777" w:rsidR="000F3A88" w:rsidRDefault="000F3A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61712706"/>
      <w:docPartObj>
        <w:docPartGallery w:val="Page Numbers (Bottom of Page)"/>
        <w:docPartUnique/>
      </w:docPartObj>
    </w:sdtPr>
    <w:sdtEndPr/>
    <w:sdtContent>
      <w:p w14:paraId="0BDC7579" w14:textId="439CD8C4" w:rsidR="000F3A88" w:rsidRPr="007323AE" w:rsidRDefault="000F3A88">
        <w:pPr>
          <w:pStyle w:val="Footer"/>
          <w:jc w:val="right"/>
          <w:rPr>
            <w:rFonts w:ascii="Arial" w:hAnsi="Arial" w:cs="Arial"/>
            <w:sz w:val="20"/>
            <w:szCs w:val="20"/>
          </w:rPr>
        </w:pPr>
        <w:r w:rsidRPr="007323AE">
          <w:rPr>
            <w:rFonts w:ascii="Arial" w:hAnsi="Arial" w:cs="Arial"/>
            <w:sz w:val="20"/>
            <w:szCs w:val="20"/>
          </w:rPr>
          <w:t xml:space="preserve">Page </w:t>
        </w:r>
        <w:r>
          <w:rPr>
            <w:rFonts w:ascii="Arial" w:hAnsi="Arial" w:cs="Arial"/>
            <w:sz w:val="20"/>
            <w:szCs w:val="20"/>
          </w:rPr>
          <w:t xml:space="preserve"> </w:t>
        </w:r>
        <w:r w:rsidRPr="007323AE">
          <w:rPr>
            <w:rFonts w:ascii="Arial" w:hAnsi="Arial" w:cs="Arial"/>
            <w:sz w:val="20"/>
            <w:szCs w:val="20"/>
          </w:rPr>
          <w:t>|</w:t>
        </w:r>
        <w:r>
          <w:rPr>
            <w:rFonts w:ascii="Arial" w:hAnsi="Arial" w:cs="Arial"/>
            <w:sz w:val="20"/>
            <w:szCs w:val="20"/>
          </w:rPr>
          <w:t xml:space="preserve"> </w:t>
        </w:r>
        <w:r w:rsidRPr="007323AE">
          <w:rPr>
            <w:rFonts w:ascii="Arial" w:hAnsi="Arial" w:cs="Arial"/>
            <w:sz w:val="20"/>
            <w:szCs w:val="20"/>
          </w:rPr>
          <w:t xml:space="preserve"> </w:t>
        </w:r>
        <w:r w:rsidRPr="007323AE">
          <w:rPr>
            <w:rFonts w:ascii="Arial" w:hAnsi="Arial" w:cs="Arial"/>
            <w:sz w:val="20"/>
            <w:szCs w:val="20"/>
          </w:rPr>
          <w:fldChar w:fldCharType="begin"/>
        </w:r>
        <w:r w:rsidRPr="007323AE">
          <w:rPr>
            <w:rFonts w:ascii="Arial" w:hAnsi="Arial" w:cs="Arial"/>
            <w:sz w:val="20"/>
            <w:szCs w:val="20"/>
          </w:rPr>
          <w:instrText xml:space="preserve"> PAGE   \* MERGEFORMAT </w:instrText>
        </w:r>
        <w:r w:rsidRPr="007323AE">
          <w:rPr>
            <w:rFonts w:ascii="Arial" w:hAnsi="Arial" w:cs="Arial"/>
            <w:sz w:val="20"/>
            <w:szCs w:val="20"/>
          </w:rPr>
          <w:fldChar w:fldCharType="separate"/>
        </w:r>
        <w:r w:rsidR="00263AD6">
          <w:rPr>
            <w:rFonts w:ascii="Arial" w:hAnsi="Arial" w:cs="Arial"/>
            <w:noProof/>
            <w:sz w:val="20"/>
            <w:szCs w:val="20"/>
          </w:rPr>
          <w:t>1</w:t>
        </w:r>
        <w:r w:rsidRPr="007323AE">
          <w:rPr>
            <w:rFonts w:ascii="Arial" w:hAnsi="Arial" w:cs="Arial"/>
            <w:noProof/>
            <w:sz w:val="20"/>
            <w:szCs w:val="20"/>
          </w:rPr>
          <w:fldChar w:fldCharType="end"/>
        </w:r>
        <w:r w:rsidRPr="007323AE">
          <w:rPr>
            <w:rFonts w:ascii="Arial" w:hAnsi="Arial" w:cs="Arial"/>
            <w:sz w:val="20"/>
            <w:szCs w:val="20"/>
          </w:rPr>
          <w:t xml:space="preserve"> </w:t>
        </w:r>
      </w:p>
    </w:sdtContent>
  </w:sdt>
  <w:p w14:paraId="239353F6" w14:textId="77777777" w:rsidR="000F3A88" w:rsidRDefault="000F3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F1DED" w14:textId="77777777" w:rsidR="001B58D4" w:rsidRDefault="001B58D4" w:rsidP="00200DF2">
      <w:r>
        <w:separator/>
      </w:r>
    </w:p>
  </w:footnote>
  <w:footnote w:type="continuationSeparator" w:id="0">
    <w:p w14:paraId="19805C39" w14:textId="77777777" w:rsidR="001B58D4" w:rsidRDefault="001B58D4" w:rsidP="00200DF2">
      <w:r>
        <w:continuationSeparator/>
      </w:r>
    </w:p>
  </w:footnote>
  <w:footnote w:type="continuationNotice" w:id="1">
    <w:p w14:paraId="0900E43D" w14:textId="77777777" w:rsidR="001B58D4" w:rsidRDefault="001B58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75AF2C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1" w15:restartNumberingAfterBreak="0">
    <w:nsid w:val="047118A9"/>
    <w:multiLevelType w:val="hybridMultilevel"/>
    <w:tmpl w:val="746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821BE"/>
    <w:multiLevelType w:val="hybridMultilevel"/>
    <w:tmpl w:val="73C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C25C0"/>
    <w:multiLevelType w:val="hybridMultilevel"/>
    <w:tmpl w:val="80C2F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13A65"/>
    <w:multiLevelType w:val="hybridMultilevel"/>
    <w:tmpl w:val="EC3A2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3A67"/>
    <w:multiLevelType w:val="hybridMultilevel"/>
    <w:tmpl w:val="7690FA1A"/>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D11B6"/>
    <w:multiLevelType w:val="hybridMultilevel"/>
    <w:tmpl w:val="6F186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66E8C"/>
    <w:multiLevelType w:val="hybridMultilevel"/>
    <w:tmpl w:val="9B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75728"/>
    <w:multiLevelType w:val="hybridMultilevel"/>
    <w:tmpl w:val="B548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A306F8"/>
    <w:multiLevelType w:val="hybridMultilevel"/>
    <w:tmpl w:val="35A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45BA0"/>
    <w:multiLevelType w:val="hybridMultilevel"/>
    <w:tmpl w:val="AA8E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A48EE"/>
    <w:multiLevelType w:val="hybridMultilevel"/>
    <w:tmpl w:val="308E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D4CF6"/>
    <w:multiLevelType w:val="hybridMultilevel"/>
    <w:tmpl w:val="7D4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5BC7"/>
    <w:multiLevelType w:val="hybridMultilevel"/>
    <w:tmpl w:val="675A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2411B"/>
    <w:multiLevelType w:val="hybridMultilevel"/>
    <w:tmpl w:val="2EC0F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26D89"/>
    <w:multiLevelType w:val="hybridMultilevel"/>
    <w:tmpl w:val="C7C2F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571C6"/>
    <w:multiLevelType w:val="hybridMultilevel"/>
    <w:tmpl w:val="1FCEA280"/>
    <w:lvl w:ilvl="0" w:tplc="EE3C258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6379A6"/>
    <w:multiLevelType w:val="hybridMultilevel"/>
    <w:tmpl w:val="4A86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543F3"/>
    <w:multiLevelType w:val="hybridMultilevel"/>
    <w:tmpl w:val="EE6A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1099E"/>
    <w:multiLevelType w:val="hybridMultilevel"/>
    <w:tmpl w:val="14962360"/>
    <w:lvl w:ilvl="0" w:tplc="FD9835A2">
      <w:start w:val="6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E52AC"/>
    <w:multiLevelType w:val="hybridMultilevel"/>
    <w:tmpl w:val="2B44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96BDA"/>
    <w:multiLevelType w:val="hybridMultilevel"/>
    <w:tmpl w:val="8F38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87906"/>
    <w:multiLevelType w:val="hybridMultilevel"/>
    <w:tmpl w:val="61D6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380206"/>
    <w:multiLevelType w:val="hybridMultilevel"/>
    <w:tmpl w:val="B192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640D2"/>
    <w:multiLevelType w:val="hybridMultilevel"/>
    <w:tmpl w:val="029C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E5920"/>
    <w:multiLevelType w:val="hybridMultilevel"/>
    <w:tmpl w:val="B07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563D2"/>
    <w:multiLevelType w:val="hybridMultilevel"/>
    <w:tmpl w:val="EF6A6BB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20278"/>
    <w:multiLevelType w:val="hybridMultilevel"/>
    <w:tmpl w:val="B50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F52F2"/>
    <w:multiLevelType w:val="hybridMultilevel"/>
    <w:tmpl w:val="8E84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2636F"/>
    <w:multiLevelType w:val="hybridMultilevel"/>
    <w:tmpl w:val="373A19E4"/>
    <w:lvl w:ilvl="0" w:tplc="6A1088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4919DF"/>
    <w:multiLevelType w:val="hybridMultilevel"/>
    <w:tmpl w:val="892C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476CA"/>
    <w:multiLevelType w:val="hybridMultilevel"/>
    <w:tmpl w:val="F7C8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C240B"/>
    <w:multiLevelType w:val="hybridMultilevel"/>
    <w:tmpl w:val="E5CA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46A59"/>
    <w:multiLevelType w:val="hybridMultilevel"/>
    <w:tmpl w:val="2A62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81E36"/>
    <w:multiLevelType w:val="hybridMultilevel"/>
    <w:tmpl w:val="7C20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8"/>
  </w:num>
  <w:num w:numId="4">
    <w:abstractNumId w:val="20"/>
  </w:num>
  <w:num w:numId="5">
    <w:abstractNumId w:val="5"/>
  </w:num>
  <w:num w:numId="6">
    <w:abstractNumId w:val="13"/>
  </w:num>
  <w:num w:numId="7">
    <w:abstractNumId w:val="26"/>
  </w:num>
  <w:num w:numId="8">
    <w:abstractNumId w:val="0"/>
  </w:num>
  <w:num w:numId="9">
    <w:abstractNumId w:val="34"/>
  </w:num>
  <w:num w:numId="10">
    <w:abstractNumId w:val="16"/>
  </w:num>
  <w:num w:numId="11">
    <w:abstractNumId w:val="6"/>
  </w:num>
  <w:num w:numId="12">
    <w:abstractNumId w:val="7"/>
  </w:num>
  <w:num w:numId="13">
    <w:abstractNumId w:val="4"/>
  </w:num>
  <w:num w:numId="14">
    <w:abstractNumId w:val="30"/>
  </w:num>
  <w:num w:numId="15">
    <w:abstractNumId w:val="8"/>
  </w:num>
  <w:num w:numId="16">
    <w:abstractNumId w:val="31"/>
  </w:num>
  <w:num w:numId="17">
    <w:abstractNumId w:val="14"/>
  </w:num>
  <w:num w:numId="18">
    <w:abstractNumId w:val="2"/>
  </w:num>
  <w:num w:numId="19">
    <w:abstractNumId w:val="11"/>
  </w:num>
  <w:num w:numId="20">
    <w:abstractNumId w:val="9"/>
  </w:num>
  <w:num w:numId="21">
    <w:abstractNumId w:val="19"/>
  </w:num>
  <w:num w:numId="22">
    <w:abstractNumId w:val="35"/>
  </w:num>
  <w:num w:numId="23">
    <w:abstractNumId w:val="10"/>
  </w:num>
  <w:num w:numId="24">
    <w:abstractNumId w:val="25"/>
  </w:num>
  <w:num w:numId="25">
    <w:abstractNumId w:val="3"/>
  </w:num>
  <w:num w:numId="26">
    <w:abstractNumId w:val="17"/>
  </w:num>
  <w:num w:numId="27">
    <w:abstractNumId w:val="22"/>
  </w:num>
  <w:num w:numId="28">
    <w:abstractNumId w:val="21"/>
  </w:num>
  <w:num w:numId="29">
    <w:abstractNumId w:val="33"/>
  </w:num>
  <w:num w:numId="30">
    <w:abstractNumId w:val="27"/>
  </w:num>
  <w:num w:numId="31">
    <w:abstractNumId w:val="29"/>
  </w:num>
  <w:num w:numId="32">
    <w:abstractNumId w:val="15"/>
  </w:num>
  <w:num w:numId="33">
    <w:abstractNumId w:val="24"/>
  </w:num>
  <w:num w:numId="34">
    <w:abstractNumId w:val="23"/>
  </w:num>
  <w:num w:numId="35">
    <w:abstractNumId w:val="3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81"/>
    <w:rsid w:val="00004747"/>
    <w:rsid w:val="000161B8"/>
    <w:rsid w:val="000205CB"/>
    <w:rsid w:val="000213A0"/>
    <w:rsid w:val="00024CA9"/>
    <w:rsid w:val="00034CB5"/>
    <w:rsid w:val="000370F5"/>
    <w:rsid w:val="00037923"/>
    <w:rsid w:val="00043B1A"/>
    <w:rsid w:val="00044AFC"/>
    <w:rsid w:val="000463DD"/>
    <w:rsid w:val="00052134"/>
    <w:rsid w:val="000578D8"/>
    <w:rsid w:val="00061021"/>
    <w:rsid w:val="00062941"/>
    <w:rsid w:val="00063FAA"/>
    <w:rsid w:val="00070D27"/>
    <w:rsid w:val="00076C9C"/>
    <w:rsid w:val="0007726B"/>
    <w:rsid w:val="00077F8F"/>
    <w:rsid w:val="00083B09"/>
    <w:rsid w:val="00083C17"/>
    <w:rsid w:val="00084020"/>
    <w:rsid w:val="00086FE4"/>
    <w:rsid w:val="00091181"/>
    <w:rsid w:val="000912E9"/>
    <w:rsid w:val="00092CAA"/>
    <w:rsid w:val="00096969"/>
    <w:rsid w:val="00097A68"/>
    <w:rsid w:val="000A1190"/>
    <w:rsid w:val="000A396F"/>
    <w:rsid w:val="000A3F30"/>
    <w:rsid w:val="000A681F"/>
    <w:rsid w:val="000B0246"/>
    <w:rsid w:val="000C0249"/>
    <w:rsid w:val="000C039F"/>
    <w:rsid w:val="000C52F0"/>
    <w:rsid w:val="000D7279"/>
    <w:rsid w:val="000D7C72"/>
    <w:rsid w:val="000D7CDE"/>
    <w:rsid w:val="000E52AB"/>
    <w:rsid w:val="000F0076"/>
    <w:rsid w:val="000F14D4"/>
    <w:rsid w:val="000F2BD7"/>
    <w:rsid w:val="000F2E58"/>
    <w:rsid w:val="000F3A88"/>
    <w:rsid w:val="000F4C08"/>
    <w:rsid w:val="000F4CEE"/>
    <w:rsid w:val="000F54A2"/>
    <w:rsid w:val="000F7B95"/>
    <w:rsid w:val="000F7BED"/>
    <w:rsid w:val="00105116"/>
    <w:rsid w:val="00114B9A"/>
    <w:rsid w:val="0011592C"/>
    <w:rsid w:val="00117DDA"/>
    <w:rsid w:val="00120CDF"/>
    <w:rsid w:val="001227E5"/>
    <w:rsid w:val="001231AE"/>
    <w:rsid w:val="00124173"/>
    <w:rsid w:val="001249E6"/>
    <w:rsid w:val="001275BB"/>
    <w:rsid w:val="00133DC0"/>
    <w:rsid w:val="00135C4E"/>
    <w:rsid w:val="001370C5"/>
    <w:rsid w:val="00140799"/>
    <w:rsid w:val="00145C09"/>
    <w:rsid w:val="00145F5B"/>
    <w:rsid w:val="0014773F"/>
    <w:rsid w:val="00147C35"/>
    <w:rsid w:val="00151433"/>
    <w:rsid w:val="001520F5"/>
    <w:rsid w:val="00153F65"/>
    <w:rsid w:val="001577A9"/>
    <w:rsid w:val="001624BE"/>
    <w:rsid w:val="00162BAD"/>
    <w:rsid w:val="00172F4A"/>
    <w:rsid w:val="00176083"/>
    <w:rsid w:val="0017698D"/>
    <w:rsid w:val="0018004F"/>
    <w:rsid w:val="00185038"/>
    <w:rsid w:val="00185CD5"/>
    <w:rsid w:val="0018678C"/>
    <w:rsid w:val="00187811"/>
    <w:rsid w:val="00194490"/>
    <w:rsid w:val="00195155"/>
    <w:rsid w:val="001953D8"/>
    <w:rsid w:val="001A056C"/>
    <w:rsid w:val="001A232C"/>
    <w:rsid w:val="001A3AF4"/>
    <w:rsid w:val="001A3D1D"/>
    <w:rsid w:val="001B0ECD"/>
    <w:rsid w:val="001B2254"/>
    <w:rsid w:val="001B4691"/>
    <w:rsid w:val="001B58D4"/>
    <w:rsid w:val="001C0F94"/>
    <w:rsid w:val="001C26E4"/>
    <w:rsid w:val="001C794B"/>
    <w:rsid w:val="001D1088"/>
    <w:rsid w:val="001E0A63"/>
    <w:rsid w:val="001E1292"/>
    <w:rsid w:val="001E7C10"/>
    <w:rsid w:val="001E7CE7"/>
    <w:rsid w:val="001F1C06"/>
    <w:rsid w:val="00200645"/>
    <w:rsid w:val="00200DF2"/>
    <w:rsid w:val="00202149"/>
    <w:rsid w:val="00203456"/>
    <w:rsid w:val="00205C5F"/>
    <w:rsid w:val="00206F4C"/>
    <w:rsid w:val="0020791C"/>
    <w:rsid w:val="00211237"/>
    <w:rsid w:val="00213042"/>
    <w:rsid w:val="00214E17"/>
    <w:rsid w:val="00217962"/>
    <w:rsid w:val="00220785"/>
    <w:rsid w:val="00223191"/>
    <w:rsid w:val="00223EF7"/>
    <w:rsid w:val="002325D7"/>
    <w:rsid w:val="00234473"/>
    <w:rsid w:val="00236AAA"/>
    <w:rsid w:val="00237187"/>
    <w:rsid w:val="00243C38"/>
    <w:rsid w:val="00244314"/>
    <w:rsid w:val="00263AD6"/>
    <w:rsid w:val="00266049"/>
    <w:rsid w:val="002673E6"/>
    <w:rsid w:val="00272F38"/>
    <w:rsid w:val="00273583"/>
    <w:rsid w:val="00273ACA"/>
    <w:rsid w:val="002750C7"/>
    <w:rsid w:val="00275191"/>
    <w:rsid w:val="00276AF6"/>
    <w:rsid w:val="00284B99"/>
    <w:rsid w:val="002915C9"/>
    <w:rsid w:val="00293C6C"/>
    <w:rsid w:val="002947FE"/>
    <w:rsid w:val="002B0380"/>
    <w:rsid w:val="002B09BA"/>
    <w:rsid w:val="002B1C51"/>
    <w:rsid w:val="002B3766"/>
    <w:rsid w:val="002C0EB2"/>
    <w:rsid w:val="002C27A4"/>
    <w:rsid w:val="002C76DB"/>
    <w:rsid w:val="002D0557"/>
    <w:rsid w:val="002D0B42"/>
    <w:rsid w:val="002D20A7"/>
    <w:rsid w:val="002E2DC1"/>
    <w:rsid w:val="002E3967"/>
    <w:rsid w:val="002E3D40"/>
    <w:rsid w:val="002F5005"/>
    <w:rsid w:val="00304F57"/>
    <w:rsid w:val="003050C8"/>
    <w:rsid w:val="003052E9"/>
    <w:rsid w:val="00310EF0"/>
    <w:rsid w:val="003133FB"/>
    <w:rsid w:val="00313BF0"/>
    <w:rsid w:val="00320456"/>
    <w:rsid w:val="00322828"/>
    <w:rsid w:val="00324DC4"/>
    <w:rsid w:val="0032652E"/>
    <w:rsid w:val="00340798"/>
    <w:rsid w:val="00341670"/>
    <w:rsid w:val="00346F09"/>
    <w:rsid w:val="00350BAC"/>
    <w:rsid w:val="00363CAB"/>
    <w:rsid w:val="00365D87"/>
    <w:rsid w:val="00366561"/>
    <w:rsid w:val="00371E22"/>
    <w:rsid w:val="003739A7"/>
    <w:rsid w:val="00375DE6"/>
    <w:rsid w:val="0037656B"/>
    <w:rsid w:val="00384C76"/>
    <w:rsid w:val="00385ECF"/>
    <w:rsid w:val="00387024"/>
    <w:rsid w:val="00387DB9"/>
    <w:rsid w:val="00391244"/>
    <w:rsid w:val="003920F6"/>
    <w:rsid w:val="00395E9D"/>
    <w:rsid w:val="00397BFB"/>
    <w:rsid w:val="00397D26"/>
    <w:rsid w:val="003A43C4"/>
    <w:rsid w:val="003A79FF"/>
    <w:rsid w:val="003B017D"/>
    <w:rsid w:val="003B1512"/>
    <w:rsid w:val="003B219E"/>
    <w:rsid w:val="003B25BE"/>
    <w:rsid w:val="003B4AE6"/>
    <w:rsid w:val="003B4FAE"/>
    <w:rsid w:val="003B63B4"/>
    <w:rsid w:val="003B683A"/>
    <w:rsid w:val="003C22FD"/>
    <w:rsid w:val="003C5571"/>
    <w:rsid w:val="003C7AA4"/>
    <w:rsid w:val="003D37EA"/>
    <w:rsid w:val="003D7C77"/>
    <w:rsid w:val="003E48F6"/>
    <w:rsid w:val="003E5269"/>
    <w:rsid w:val="003F0A66"/>
    <w:rsid w:val="003F3751"/>
    <w:rsid w:val="003F5965"/>
    <w:rsid w:val="003F7E98"/>
    <w:rsid w:val="0040062F"/>
    <w:rsid w:val="00413C29"/>
    <w:rsid w:val="0041665D"/>
    <w:rsid w:val="0041748B"/>
    <w:rsid w:val="00420B14"/>
    <w:rsid w:val="004222CF"/>
    <w:rsid w:val="0042682E"/>
    <w:rsid w:val="00426F0B"/>
    <w:rsid w:val="00430C10"/>
    <w:rsid w:val="00452184"/>
    <w:rsid w:val="00454E7B"/>
    <w:rsid w:val="00455B83"/>
    <w:rsid w:val="00463F84"/>
    <w:rsid w:val="00465D06"/>
    <w:rsid w:val="00470ABA"/>
    <w:rsid w:val="00471F43"/>
    <w:rsid w:val="00475050"/>
    <w:rsid w:val="00477818"/>
    <w:rsid w:val="00485088"/>
    <w:rsid w:val="00487E42"/>
    <w:rsid w:val="00490802"/>
    <w:rsid w:val="00491BC4"/>
    <w:rsid w:val="00492787"/>
    <w:rsid w:val="00493856"/>
    <w:rsid w:val="00496A4A"/>
    <w:rsid w:val="004A0371"/>
    <w:rsid w:val="004A1041"/>
    <w:rsid w:val="004A217A"/>
    <w:rsid w:val="004A2783"/>
    <w:rsid w:val="004A2DB7"/>
    <w:rsid w:val="004B2E68"/>
    <w:rsid w:val="004B47BE"/>
    <w:rsid w:val="004B4B90"/>
    <w:rsid w:val="004B4C31"/>
    <w:rsid w:val="004B5022"/>
    <w:rsid w:val="004B6803"/>
    <w:rsid w:val="004C2FF0"/>
    <w:rsid w:val="004C345D"/>
    <w:rsid w:val="004D2CBB"/>
    <w:rsid w:val="004D3180"/>
    <w:rsid w:val="004D3ED2"/>
    <w:rsid w:val="004D5665"/>
    <w:rsid w:val="004D760F"/>
    <w:rsid w:val="004D7D23"/>
    <w:rsid w:val="004E10AD"/>
    <w:rsid w:val="004E248B"/>
    <w:rsid w:val="004E2EFE"/>
    <w:rsid w:val="004E5AB3"/>
    <w:rsid w:val="004F2F0D"/>
    <w:rsid w:val="004F6085"/>
    <w:rsid w:val="004F65E5"/>
    <w:rsid w:val="004F6A48"/>
    <w:rsid w:val="004F78B8"/>
    <w:rsid w:val="00501A8E"/>
    <w:rsid w:val="005041B3"/>
    <w:rsid w:val="00506963"/>
    <w:rsid w:val="00506B46"/>
    <w:rsid w:val="0051007E"/>
    <w:rsid w:val="00520B3C"/>
    <w:rsid w:val="00523CAA"/>
    <w:rsid w:val="0052646E"/>
    <w:rsid w:val="0052794B"/>
    <w:rsid w:val="00530720"/>
    <w:rsid w:val="00532B52"/>
    <w:rsid w:val="00533962"/>
    <w:rsid w:val="005342F9"/>
    <w:rsid w:val="005378DD"/>
    <w:rsid w:val="00537E48"/>
    <w:rsid w:val="0054704C"/>
    <w:rsid w:val="00551179"/>
    <w:rsid w:val="005549EF"/>
    <w:rsid w:val="00555EB1"/>
    <w:rsid w:val="00557D2B"/>
    <w:rsid w:val="00562254"/>
    <w:rsid w:val="005643EC"/>
    <w:rsid w:val="00564437"/>
    <w:rsid w:val="0056655C"/>
    <w:rsid w:val="00567526"/>
    <w:rsid w:val="0057210F"/>
    <w:rsid w:val="00577001"/>
    <w:rsid w:val="0058032D"/>
    <w:rsid w:val="0058575F"/>
    <w:rsid w:val="005A11BD"/>
    <w:rsid w:val="005A130A"/>
    <w:rsid w:val="005A2931"/>
    <w:rsid w:val="005A3742"/>
    <w:rsid w:val="005A59AD"/>
    <w:rsid w:val="005B5F2C"/>
    <w:rsid w:val="005B7074"/>
    <w:rsid w:val="005C2C41"/>
    <w:rsid w:val="005D201F"/>
    <w:rsid w:val="005D29A8"/>
    <w:rsid w:val="005D7C1E"/>
    <w:rsid w:val="005E1D57"/>
    <w:rsid w:val="005E5853"/>
    <w:rsid w:val="005F1D7D"/>
    <w:rsid w:val="005F2A2D"/>
    <w:rsid w:val="005F2F30"/>
    <w:rsid w:val="005F3D10"/>
    <w:rsid w:val="005F7809"/>
    <w:rsid w:val="005F7ACE"/>
    <w:rsid w:val="00600542"/>
    <w:rsid w:val="00600A6C"/>
    <w:rsid w:val="00607CE0"/>
    <w:rsid w:val="0061143F"/>
    <w:rsid w:val="00617703"/>
    <w:rsid w:val="0062006A"/>
    <w:rsid w:val="00620F30"/>
    <w:rsid w:val="00621128"/>
    <w:rsid w:val="00621634"/>
    <w:rsid w:val="006219B4"/>
    <w:rsid w:val="00623699"/>
    <w:rsid w:val="00630048"/>
    <w:rsid w:val="0063677A"/>
    <w:rsid w:val="00636AD1"/>
    <w:rsid w:val="00641D56"/>
    <w:rsid w:val="00642E8A"/>
    <w:rsid w:val="00642EF8"/>
    <w:rsid w:val="0064555B"/>
    <w:rsid w:val="00647E56"/>
    <w:rsid w:val="00654097"/>
    <w:rsid w:val="00654800"/>
    <w:rsid w:val="00656703"/>
    <w:rsid w:val="00656F9B"/>
    <w:rsid w:val="00662BFA"/>
    <w:rsid w:val="0066404E"/>
    <w:rsid w:val="006678A9"/>
    <w:rsid w:val="00672CBB"/>
    <w:rsid w:val="006731BC"/>
    <w:rsid w:val="00673A9A"/>
    <w:rsid w:val="00683CA0"/>
    <w:rsid w:val="00686DAD"/>
    <w:rsid w:val="006870FA"/>
    <w:rsid w:val="00693D30"/>
    <w:rsid w:val="00693ED9"/>
    <w:rsid w:val="006945BE"/>
    <w:rsid w:val="006974BD"/>
    <w:rsid w:val="006A5DB0"/>
    <w:rsid w:val="006B3899"/>
    <w:rsid w:val="006B545C"/>
    <w:rsid w:val="006B7567"/>
    <w:rsid w:val="006B7D87"/>
    <w:rsid w:val="006C2D1F"/>
    <w:rsid w:val="006C615D"/>
    <w:rsid w:val="006C653B"/>
    <w:rsid w:val="006D7478"/>
    <w:rsid w:val="006D7BBD"/>
    <w:rsid w:val="006E2555"/>
    <w:rsid w:val="006E7676"/>
    <w:rsid w:val="006F1921"/>
    <w:rsid w:val="006F2518"/>
    <w:rsid w:val="006F30DF"/>
    <w:rsid w:val="006F69AD"/>
    <w:rsid w:val="006F6EDC"/>
    <w:rsid w:val="007070F4"/>
    <w:rsid w:val="007073BC"/>
    <w:rsid w:val="00716F95"/>
    <w:rsid w:val="00717835"/>
    <w:rsid w:val="0071793C"/>
    <w:rsid w:val="00724DB4"/>
    <w:rsid w:val="00725FEB"/>
    <w:rsid w:val="007261FF"/>
    <w:rsid w:val="007274F8"/>
    <w:rsid w:val="00730D05"/>
    <w:rsid w:val="007321FA"/>
    <w:rsid w:val="007323AE"/>
    <w:rsid w:val="00732E32"/>
    <w:rsid w:val="00734BFB"/>
    <w:rsid w:val="00736D15"/>
    <w:rsid w:val="007418FA"/>
    <w:rsid w:val="00746CEA"/>
    <w:rsid w:val="00747BAC"/>
    <w:rsid w:val="00750F26"/>
    <w:rsid w:val="00757C17"/>
    <w:rsid w:val="0077090E"/>
    <w:rsid w:val="00773093"/>
    <w:rsid w:val="007813E2"/>
    <w:rsid w:val="007815AE"/>
    <w:rsid w:val="0078183B"/>
    <w:rsid w:val="0078307A"/>
    <w:rsid w:val="00783DBE"/>
    <w:rsid w:val="0079304F"/>
    <w:rsid w:val="00793AD6"/>
    <w:rsid w:val="007A23EF"/>
    <w:rsid w:val="007A4E81"/>
    <w:rsid w:val="007A61B0"/>
    <w:rsid w:val="007B4B09"/>
    <w:rsid w:val="007B4B8B"/>
    <w:rsid w:val="007B54AE"/>
    <w:rsid w:val="007B626C"/>
    <w:rsid w:val="007B6A61"/>
    <w:rsid w:val="007C1713"/>
    <w:rsid w:val="007C38B4"/>
    <w:rsid w:val="007C58CE"/>
    <w:rsid w:val="007D6D4A"/>
    <w:rsid w:val="007E62A4"/>
    <w:rsid w:val="007F0243"/>
    <w:rsid w:val="007F2D83"/>
    <w:rsid w:val="007F4FD3"/>
    <w:rsid w:val="00813F50"/>
    <w:rsid w:val="00816BD8"/>
    <w:rsid w:val="00817AF3"/>
    <w:rsid w:val="00822EA4"/>
    <w:rsid w:val="008300F8"/>
    <w:rsid w:val="0083061F"/>
    <w:rsid w:val="00830D2C"/>
    <w:rsid w:val="00830DC6"/>
    <w:rsid w:val="00831008"/>
    <w:rsid w:val="00831FDE"/>
    <w:rsid w:val="0083294A"/>
    <w:rsid w:val="0083402E"/>
    <w:rsid w:val="0083482B"/>
    <w:rsid w:val="008371ED"/>
    <w:rsid w:val="00846E38"/>
    <w:rsid w:val="00856149"/>
    <w:rsid w:val="00864186"/>
    <w:rsid w:val="00867B32"/>
    <w:rsid w:val="0087308F"/>
    <w:rsid w:val="008749B4"/>
    <w:rsid w:val="008856A9"/>
    <w:rsid w:val="0088574B"/>
    <w:rsid w:val="008873A1"/>
    <w:rsid w:val="00887DE5"/>
    <w:rsid w:val="00890903"/>
    <w:rsid w:val="008911E9"/>
    <w:rsid w:val="00892B9C"/>
    <w:rsid w:val="008933DA"/>
    <w:rsid w:val="008A4E91"/>
    <w:rsid w:val="008A704E"/>
    <w:rsid w:val="008A7C6E"/>
    <w:rsid w:val="008B071F"/>
    <w:rsid w:val="008C2C30"/>
    <w:rsid w:val="008D06F8"/>
    <w:rsid w:val="008D2CB5"/>
    <w:rsid w:val="008D7415"/>
    <w:rsid w:val="008E0CF4"/>
    <w:rsid w:val="008E39B4"/>
    <w:rsid w:val="008E47B1"/>
    <w:rsid w:val="008E55CC"/>
    <w:rsid w:val="008E784D"/>
    <w:rsid w:val="008F02B0"/>
    <w:rsid w:val="008F2300"/>
    <w:rsid w:val="008F53BA"/>
    <w:rsid w:val="00903D9E"/>
    <w:rsid w:val="00906264"/>
    <w:rsid w:val="00911623"/>
    <w:rsid w:val="00912C14"/>
    <w:rsid w:val="00912FE8"/>
    <w:rsid w:val="00920C8E"/>
    <w:rsid w:val="009230F3"/>
    <w:rsid w:val="00926591"/>
    <w:rsid w:val="0093007B"/>
    <w:rsid w:val="00937941"/>
    <w:rsid w:val="009404B5"/>
    <w:rsid w:val="009405FC"/>
    <w:rsid w:val="009437B8"/>
    <w:rsid w:val="00945183"/>
    <w:rsid w:val="00955807"/>
    <w:rsid w:val="00955C80"/>
    <w:rsid w:val="009560C6"/>
    <w:rsid w:val="00960316"/>
    <w:rsid w:val="0096048F"/>
    <w:rsid w:val="0096168F"/>
    <w:rsid w:val="0096184B"/>
    <w:rsid w:val="009649EB"/>
    <w:rsid w:val="00965C17"/>
    <w:rsid w:val="00965FA5"/>
    <w:rsid w:val="00971791"/>
    <w:rsid w:val="00990D69"/>
    <w:rsid w:val="009961E7"/>
    <w:rsid w:val="009A07BE"/>
    <w:rsid w:val="009A7B10"/>
    <w:rsid w:val="009B4D42"/>
    <w:rsid w:val="009B7402"/>
    <w:rsid w:val="009C2F2C"/>
    <w:rsid w:val="009C4FF5"/>
    <w:rsid w:val="009C7110"/>
    <w:rsid w:val="009C7632"/>
    <w:rsid w:val="009D7A21"/>
    <w:rsid w:val="009E7588"/>
    <w:rsid w:val="009F1EF5"/>
    <w:rsid w:val="009F467B"/>
    <w:rsid w:val="009F4F91"/>
    <w:rsid w:val="009F7901"/>
    <w:rsid w:val="00A05580"/>
    <w:rsid w:val="00A10FEE"/>
    <w:rsid w:val="00A14438"/>
    <w:rsid w:val="00A20209"/>
    <w:rsid w:val="00A20492"/>
    <w:rsid w:val="00A237F6"/>
    <w:rsid w:val="00A2554F"/>
    <w:rsid w:val="00A2615B"/>
    <w:rsid w:val="00A27D32"/>
    <w:rsid w:val="00A31A8D"/>
    <w:rsid w:val="00A3324A"/>
    <w:rsid w:val="00A33F83"/>
    <w:rsid w:val="00A35D76"/>
    <w:rsid w:val="00A35E65"/>
    <w:rsid w:val="00A36C10"/>
    <w:rsid w:val="00A44EF8"/>
    <w:rsid w:val="00A46CAB"/>
    <w:rsid w:val="00A5022F"/>
    <w:rsid w:val="00A52F46"/>
    <w:rsid w:val="00A54A4C"/>
    <w:rsid w:val="00A70634"/>
    <w:rsid w:val="00A71E04"/>
    <w:rsid w:val="00A72416"/>
    <w:rsid w:val="00A73499"/>
    <w:rsid w:val="00A774F8"/>
    <w:rsid w:val="00A85294"/>
    <w:rsid w:val="00A859EC"/>
    <w:rsid w:val="00A9301D"/>
    <w:rsid w:val="00A946DA"/>
    <w:rsid w:val="00A97B66"/>
    <w:rsid w:val="00AA0D10"/>
    <w:rsid w:val="00AB1FC0"/>
    <w:rsid w:val="00AB51DE"/>
    <w:rsid w:val="00AB537D"/>
    <w:rsid w:val="00AD0CA6"/>
    <w:rsid w:val="00AD108F"/>
    <w:rsid w:val="00AD488D"/>
    <w:rsid w:val="00AD6F52"/>
    <w:rsid w:val="00AD7866"/>
    <w:rsid w:val="00AE5FB7"/>
    <w:rsid w:val="00AE6033"/>
    <w:rsid w:val="00AF3072"/>
    <w:rsid w:val="00AF42D9"/>
    <w:rsid w:val="00AF4632"/>
    <w:rsid w:val="00B00664"/>
    <w:rsid w:val="00B01CB7"/>
    <w:rsid w:val="00B04545"/>
    <w:rsid w:val="00B06CE9"/>
    <w:rsid w:val="00B07A4F"/>
    <w:rsid w:val="00B13EBB"/>
    <w:rsid w:val="00B17AC8"/>
    <w:rsid w:val="00B20A34"/>
    <w:rsid w:val="00B2150C"/>
    <w:rsid w:val="00B21745"/>
    <w:rsid w:val="00B22252"/>
    <w:rsid w:val="00B24B8B"/>
    <w:rsid w:val="00B30F3F"/>
    <w:rsid w:val="00B3718C"/>
    <w:rsid w:val="00B45906"/>
    <w:rsid w:val="00B46B88"/>
    <w:rsid w:val="00B50914"/>
    <w:rsid w:val="00B53C5A"/>
    <w:rsid w:val="00B60EB6"/>
    <w:rsid w:val="00B6117E"/>
    <w:rsid w:val="00B7067E"/>
    <w:rsid w:val="00B71F54"/>
    <w:rsid w:val="00B72493"/>
    <w:rsid w:val="00B72A26"/>
    <w:rsid w:val="00B738BD"/>
    <w:rsid w:val="00B73D92"/>
    <w:rsid w:val="00B7623E"/>
    <w:rsid w:val="00B76E68"/>
    <w:rsid w:val="00B77533"/>
    <w:rsid w:val="00B843E1"/>
    <w:rsid w:val="00B8456B"/>
    <w:rsid w:val="00B91A01"/>
    <w:rsid w:val="00B9271D"/>
    <w:rsid w:val="00B93E2F"/>
    <w:rsid w:val="00B9725E"/>
    <w:rsid w:val="00BA212E"/>
    <w:rsid w:val="00BA22E3"/>
    <w:rsid w:val="00BA44B7"/>
    <w:rsid w:val="00BB0EAB"/>
    <w:rsid w:val="00BB49EA"/>
    <w:rsid w:val="00BB501E"/>
    <w:rsid w:val="00BB5D97"/>
    <w:rsid w:val="00BB68BD"/>
    <w:rsid w:val="00BB746A"/>
    <w:rsid w:val="00BC1FED"/>
    <w:rsid w:val="00BC2BB5"/>
    <w:rsid w:val="00BC30FA"/>
    <w:rsid w:val="00BC4160"/>
    <w:rsid w:val="00BC706D"/>
    <w:rsid w:val="00BC778E"/>
    <w:rsid w:val="00BC7EF7"/>
    <w:rsid w:val="00BC7F81"/>
    <w:rsid w:val="00BD2E48"/>
    <w:rsid w:val="00BE0D69"/>
    <w:rsid w:val="00BE2CD6"/>
    <w:rsid w:val="00BE589A"/>
    <w:rsid w:val="00BE5EEA"/>
    <w:rsid w:val="00BF0352"/>
    <w:rsid w:val="00BF2959"/>
    <w:rsid w:val="00C01AC6"/>
    <w:rsid w:val="00C07C20"/>
    <w:rsid w:val="00C223EB"/>
    <w:rsid w:val="00C230B5"/>
    <w:rsid w:val="00C232A2"/>
    <w:rsid w:val="00C31476"/>
    <w:rsid w:val="00C32027"/>
    <w:rsid w:val="00C333D9"/>
    <w:rsid w:val="00C37705"/>
    <w:rsid w:val="00C44418"/>
    <w:rsid w:val="00C455BA"/>
    <w:rsid w:val="00C51263"/>
    <w:rsid w:val="00C547DF"/>
    <w:rsid w:val="00C735BC"/>
    <w:rsid w:val="00C759B0"/>
    <w:rsid w:val="00C75DF6"/>
    <w:rsid w:val="00C81315"/>
    <w:rsid w:val="00C84B50"/>
    <w:rsid w:val="00C87F03"/>
    <w:rsid w:val="00C90B21"/>
    <w:rsid w:val="00C9140A"/>
    <w:rsid w:val="00C9516F"/>
    <w:rsid w:val="00C96113"/>
    <w:rsid w:val="00CA3382"/>
    <w:rsid w:val="00CB7395"/>
    <w:rsid w:val="00CB7A39"/>
    <w:rsid w:val="00CC4291"/>
    <w:rsid w:val="00CC4AE1"/>
    <w:rsid w:val="00CC4FEF"/>
    <w:rsid w:val="00CC50C3"/>
    <w:rsid w:val="00CD0E79"/>
    <w:rsid w:val="00CD30FE"/>
    <w:rsid w:val="00CD3F6C"/>
    <w:rsid w:val="00CD7A9C"/>
    <w:rsid w:val="00CE2303"/>
    <w:rsid w:val="00CE3F32"/>
    <w:rsid w:val="00CF373B"/>
    <w:rsid w:val="00D012DB"/>
    <w:rsid w:val="00D01BE1"/>
    <w:rsid w:val="00D050F8"/>
    <w:rsid w:val="00D056B7"/>
    <w:rsid w:val="00D32284"/>
    <w:rsid w:val="00D329DB"/>
    <w:rsid w:val="00D32C46"/>
    <w:rsid w:val="00D4730E"/>
    <w:rsid w:val="00D50C23"/>
    <w:rsid w:val="00D5328D"/>
    <w:rsid w:val="00D550C4"/>
    <w:rsid w:val="00D55FA7"/>
    <w:rsid w:val="00D56EB7"/>
    <w:rsid w:val="00D57439"/>
    <w:rsid w:val="00D619F5"/>
    <w:rsid w:val="00D63A32"/>
    <w:rsid w:val="00D70182"/>
    <w:rsid w:val="00D73F79"/>
    <w:rsid w:val="00D75780"/>
    <w:rsid w:val="00D77C4D"/>
    <w:rsid w:val="00D8295D"/>
    <w:rsid w:val="00D82E64"/>
    <w:rsid w:val="00D872B8"/>
    <w:rsid w:val="00D914F5"/>
    <w:rsid w:val="00D91610"/>
    <w:rsid w:val="00D91733"/>
    <w:rsid w:val="00D92475"/>
    <w:rsid w:val="00D928C7"/>
    <w:rsid w:val="00D93DD5"/>
    <w:rsid w:val="00DA1BF2"/>
    <w:rsid w:val="00DA2FA8"/>
    <w:rsid w:val="00DA63F8"/>
    <w:rsid w:val="00DB13F9"/>
    <w:rsid w:val="00DB4FF3"/>
    <w:rsid w:val="00DC0C52"/>
    <w:rsid w:val="00DC20C4"/>
    <w:rsid w:val="00DC3A55"/>
    <w:rsid w:val="00DC3ABD"/>
    <w:rsid w:val="00DD0E27"/>
    <w:rsid w:val="00DD1DCC"/>
    <w:rsid w:val="00DD32FE"/>
    <w:rsid w:val="00DD3565"/>
    <w:rsid w:val="00DE0A40"/>
    <w:rsid w:val="00DE0FE5"/>
    <w:rsid w:val="00DE184B"/>
    <w:rsid w:val="00DE277E"/>
    <w:rsid w:val="00DE487D"/>
    <w:rsid w:val="00DE6476"/>
    <w:rsid w:val="00DF08E6"/>
    <w:rsid w:val="00DF1442"/>
    <w:rsid w:val="00DF7893"/>
    <w:rsid w:val="00DF7E41"/>
    <w:rsid w:val="00E013B9"/>
    <w:rsid w:val="00E0726A"/>
    <w:rsid w:val="00E102FA"/>
    <w:rsid w:val="00E23C62"/>
    <w:rsid w:val="00E329BD"/>
    <w:rsid w:val="00E34761"/>
    <w:rsid w:val="00E40A9E"/>
    <w:rsid w:val="00E42100"/>
    <w:rsid w:val="00E43069"/>
    <w:rsid w:val="00E45D8F"/>
    <w:rsid w:val="00E503CB"/>
    <w:rsid w:val="00E52996"/>
    <w:rsid w:val="00E5555F"/>
    <w:rsid w:val="00E56713"/>
    <w:rsid w:val="00E56AEC"/>
    <w:rsid w:val="00E63B78"/>
    <w:rsid w:val="00E646B1"/>
    <w:rsid w:val="00E64989"/>
    <w:rsid w:val="00E64B37"/>
    <w:rsid w:val="00E65168"/>
    <w:rsid w:val="00E66CB2"/>
    <w:rsid w:val="00E7316E"/>
    <w:rsid w:val="00E73DAE"/>
    <w:rsid w:val="00E73F99"/>
    <w:rsid w:val="00E75D4D"/>
    <w:rsid w:val="00E815FA"/>
    <w:rsid w:val="00E837ED"/>
    <w:rsid w:val="00E90579"/>
    <w:rsid w:val="00E905ED"/>
    <w:rsid w:val="00E9477E"/>
    <w:rsid w:val="00E94E0C"/>
    <w:rsid w:val="00E95B32"/>
    <w:rsid w:val="00EA007F"/>
    <w:rsid w:val="00EA58FA"/>
    <w:rsid w:val="00EB1061"/>
    <w:rsid w:val="00EB6670"/>
    <w:rsid w:val="00EC0529"/>
    <w:rsid w:val="00EC34DA"/>
    <w:rsid w:val="00EC540A"/>
    <w:rsid w:val="00ED30BC"/>
    <w:rsid w:val="00ED3E75"/>
    <w:rsid w:val="00ED7202"/>
    <w:rsid w:val="00EE06C9"/>
    <w:rsid w:val="00EE2FAA"/>
    <w:rsid w:val="00EE3D99"/>
    <w:rsid w:val="00EE5978"/>
    <w:rsid w:val="00EF2C32"/>
    <w:rsid w:val="00F00653"/>
    <w:rsid w:val="00F02454"/>
    <w:rsid w:val="00F024CF"/>
    <w:rsid w:val="00F04759"/>
    <w:rsid w:val="00F17DFB"/>
    <w:rsid w:val="00F21A18"/>
    <w:rsid w:val="00F23AEE"/>
    <w:rsid w:val="00F2517D"/>
    <w:rsid w:val="00F251BA"/>
    <w:rsid w:val="00F2595F"/>
    <w:rsid w:val="00F25FF2"/>
    <w:rsid w:val="00F30D68"/>
    <w:rsid w:val="00F3264B"/>
    <w:rsid w:val="00F34EAB"/>
    <w:rsid w:val="00F43EB3"/>
    <w:rsid w:val="00F4724E"/>
    <w:rsid w:val="00F51585"/>
    <w:rsid w:val="00F61188"/>
    <w:rsid w:val="00F6465F"/>
    <w:rsid w:val="00F655DC"/>
    <w:rsid w:val="00F6762D"/>
    <w:rsid w:val="00F70640"/>
    <w:rsid w:val="00F70ADA"/>
    <w:rsid w:val="00F76012"/>
    <w:rsid w:val="00F81555"/>
    <w:rsid w:val="00F81DE4"/>
    <w:rsid w:val="00F81F7C"/>
    <w:rsid w:val="00FA1E5B"/>
    <w:rsid w:val="00FB0871"/>
    <w:rsid w:val="00FB199D"/>
    <w:rsid w:val="00FB6966"/>
    <w:rsid w:val="00FB6C19"/>
    <w:rsid w:val="00FC6586"/>
    <w:rsid w:val="00FC79A1"/>
    <w:rsid w:val="00FC7C8D"/>
    <w:rsid w:val="00FD2A80"/>
    <w:rsid w:val="00FD3656"/>
    <w:rsid w:val="00FD5C67"/>
    <w:rsid w:val="00FD605E"/>
    <w:rsid w:val="00FD6DB8"/>
    <w:rsid w:val="00FE6F28"/>
    <w:rsid w:val="00FE72E4"/>
    <w:rsid w:val="00FF2FFA"/>
    <w:rsid w:val="00FF6E4F"/>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4ADE"/>
  <w15:docId w15:val="{5469FD66-5945-4D06-9562-517B058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76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724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012DB"/>
    <w:pPr>
      <w:keepNext/>
      <w:keepLines/>
      <w:spacing w:before="40" w:line="360"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4E81"/>
    <w:rPr>
      <w:color w:val="0000FF"/>
      <w:u w:val="single"/>
    </w:rPr>
  </w:style>
  <w:style w:type="paragraph" w:styleId="NoSpacing">
    <w:name w:val="No Spacing"/>
    <w:uiPriority w:val="1"/>
    <w:qFormat/>
    <w:rsid w:val="007A4E8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4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A4E81"/>
    <w:rPr>
      <w:rFonts w:cs="Times New Roman"/>
      <w:sz w:val="16"/>
      <w:szCs w:val="16"/>
    </w:rPr>
  </w:style>
  <w:style w:type="paragraph" w:styleId="CommentText">
    <w:name w:val="annotation text"/>
    <w:basedOn w:val="Normal"/>
    <w:link w:val="CommentTextChar"/>
    <w:uiPriority w:val="99"/>
    <w:rsid w:val="007A4E81"/>
    <w:rPr>
      <w:sz w:val="20"/>
      <w:szCs w:val="20"/>
    </w:rPr>
  </w:style>
  <w:style w:type="character" w:customStyle="1" w:styleId="CommentTextChar">
    <w:name w:val="Comment Text Char"/>
    <w:basedOn w:val="DefaultParagraphFont"/>
    <w:link w:val="CommentText"/>
    <w:uiPriority w:val="99"/>
    <w:rsid w:val="007A4E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4E81"/>
    <w:rPr>
      <w:rFonts w:ascii="Tahoma" w:hAnsi="Tahoma" w:cs="Tahoma"/>
      <w:sz w:val="16"/>
      <w:szCs w:val="16"/>
    </w:rPr>
  </w:style>
  <w:style w:type="character" w:customStyle="1" w:styleId="BalloonTextChar">
    <w:name w:val="Balloon Text Char"/>
    <w:basedOn w:val="DefaultParagraphFont"/>
    <w:link w:val="BalloonText"/>
    <w:uiPriority w:val="99"/>
    <w:semiHidden/>
    <w:rsid w:val="007A4E81"/>
    <w:rPr>
      <w:rFonts w:ascii="Tahoma" w:eastAsia="Times New Roman" w:hAnsi="Tahoma" w:cs="Tahoma"/>
      <w:sz w:val="16"/>
      <w:szCs w:val="16"/>
    </w:rPr>
  </w:style>
  <w:style w:type="paragraph" w:styleId="ListParagraph">
    <w:name w:val="List Paragraph"/>
    <w:basedOn w:val="Normal"/>
    <w:link w:val="ListParagraphChar"/>
    <w:uiPriority w:val="34"/>
    <w:qFormat/>
    <w:rsid w:val="00773093"/>
    <w:pPr>
      <w:ind w:left="720"/>
      <w:contextualSpacing/>
    </w:pPr>
    <w:rPr>
      <w:rFonts w:ascii="Calibri" w:hAnsi="Calibri"/>
    </w:rPr>
  </w:style>
  <w:style w:type="character" w:customStyle="1" w:styleId="ListParagraphChar">
    <w:name w:val="List Paragraph Char"/>
    <w:link w:val="ListParagraph"/>
    <w:uiPriority w:val="34"/>
    <w:locked/>
    <w:rsid w:val="00773093"/>
    <w:rPr>
      <w:rFonts w:ascii="Calibri" w:eastAsia="Times New Roman" w:hAnsi="Calibri" w:cs="Times New Roman"/>
      <w:sz w:val="24"/>
      <w:szCs w:val="24"/>
    </w:rPr>
  </w:style>
  <w:style w:type="paragraph" w:styleId="FootnoteText">
    <w:name w:val="footnote text"/>
    <w:basedOn w:val="Normal"/>
    <w:link w:val="FootnoteTextChar"/>
    <w:uiPriority w:val="99"/>
    <w:rsid w:val="00200DF2"/>
    <w:pPr>
      <w:spacing w:after="60" w:line="360" w:lineRule="auto"/>
    </w:pPr>
    <w:rPr>
      <w:rFonts w:eastAsiaTheme="minorHAnsi"/>
      <w:sz w:val="18"/>
      <w:szCs w:val="20"/>
    </w:rPr>
  </w:style>
  <w:style w:type="character" w:customStyle="1" w:styleId="FootnoteTextChar">
    <w:name w:val="Footnote Text Char"/>
    <w:basedOn w:val="DefaultParagraphFont"/>
    <w:link w:val="FootnoteText"/>
    <w:uiPriority w:val="99"/>
    <w:rsid w:val="00200DF2"/>
    <w:rPr>
      <w:rFonts w:ascii="Times New Roman" w:hAnsi="Times New Roman" w:cs="Times New Roman"/>
      <w:sz w:val="18"/>
      <w:szCs w:val="20"/>
    </w:rPr>
  </w:style>
  <w:style w:type="character" w:styleId="FootnoteReference">
    <w:name w:val="footnote reference"/>
    <w:basedOn w:val="DefaultParagraphFont"/>
    <w:uiPriority w:val="99"/>
    <w:rsid w:val="00200DF2"/>
    <w:rPr>
      <w:vertAlign w:val="superscript"/>
    </w:rPr>
  </w:style>
  <w:style w:type="character" w:styleId="Strong">
    <w:name w:val="Strong"/>
    <w:basedOn w:val="DefaultParagraphFont"/>
    <w:uiPriority w:val="22"/>
    <w:qFormat/>
    <w:rsid w:val="00783DBE"/>
    <w:rPr>
      <w:b/>
      <w:bCs/>
    </w:rPr>
  </w:style>
  <w:style w:type="character" w:customStyle="1" w:styleId="Heading4Char">
    <w:name w:val="Heading 4 Char"/>
    <w:basedOn w:val="DefaultParagraphFont"/>
    <w:link w:val="Heading4"/>
    <w:uiPriority w:val="9"/>
    <w:rsid w:val="00D012DB"/>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7073BC"/>
    <w:rPr>
      <w:b/>
      <w:bCs/>
    </w:rPr>
  </w:style>
  <w:style w:type="character" w:customStyle="1" w:styleId="CommentSubjectChar">
    <w:name w:val="Comment Subject Char"/>
    <w:basedOn w:val="CommentTextChar"/>
    <w:link w:val="CommentSubject"/>
    <w:uiPriority w:val="99"/>
    <w:semiHidden/>
    <w:rsid w:val="007073BC"/>
    <w:rPr>
      <w:rFonts w:ascii="Times New Roman" w:eastAsia="Times New Roman" w:hAnsi="Times New Roman" w:cs="Times New Roman"/>
      <w:b/>
      <w:bCs/>
      <w:sz w:val="20"/>
      <w:szCs w:val="20"/>
    </w:rPr>
  </w:style>
  <w:style w:type="paragraph" w:customStyle="1" w:styleId="NormalSS12">
    <w:name w:val="NormalSS 12"/>
    <w:basedOn w:val="Normal"/>
    <w:rsid w:val="00890903"/>
    <w:pPr>
      <w:tabs>
        <w:tab w:val="left" w:pos="432"/>
      </w:tabs>
      <w:spacing w:after="240"/>
      <w:ind w:firstLine="432"/>
      <w:jc w:val="both"/>
    </w:pPr>
    <w:rPr>
      <w:rFonts w:ascii="Garamond" w:eastAsia="Calibri" w:hAnsi="Garamond"/>
    </w:rPr>
  </w:style>
  <w:style w:type="paragraph" w:styleId="ListBullet">
    <w:name w:val="List Bullet"/>
    <w:basedOn w:val="Normal"/>
    <w:rsid w:val="00890903"/>
    <w:pPr>
      <w:numPr>
        <w:numId w:val="8"/>
      </w:numPr>
      <w:spacing w:after="60" w:line="360" w:lineRule="auto"/>
    </w:pPr>
    <w:rPr>
      <w:rFonts w:eastAsiaTheme="minorHAnsi"/>
      <w:sz w:val="22"/>
      <w:szCs w:val="22"/>
    </w:rPr>
  </w:style>
  <w:style w:type="paragraph" w:styleId="EndnoteText">
    <w:name w:val="endnote text"/>
    <w:basedOn w:val="Normal"/>
    <w:link w:val="EndnoteTextChar"/>
    <w:uiPriority w:val="99"/>
    <w:rsid w:val="00A2615B"/>
    <w:rPr>
      <w:sz w:val="20"/>
      <w:szCs w:val="20"/>
    </w:rPr>
  </w:style>
  <w:style w:type="character" w:customStyle="1" w:styleId="EndnoteTextChar">
    <w:name w:val="Endnote Text Char"/>
    <w:basedOn w:val="DefaultParagraphFont"/>
    <w:link w:val="EndnoteText"/>
    <w:uiPriority w:val="99"/>
    <w:rsid w:val="00A2615B"/>
    <w:rPr>
      <w:rFonts w:ascii="Times New Roman" w:eastAsia="Times New Roman" w:hAnsi="Times New Roman" w:cs="Times New Roman"/>
      <w:sz w:val="20"/>
      <w:szCs w:val="20"/>
    </w:rPr>
  </w:style>
  <w:style w:type="character" w:styleId="EndnoteReference">
    <w:name w:val="endnote reference"/>
    <w:uiPriority w:val="99"/>
    <w:rsid w:val="00A2615B"/>
    <w:rPr>
      <w:vertAlign w:val="superscript"/>
    </w:rPr>
  </w:style>
  <w:style w:type="character" w:customStyle="1" w:styleId="Heading1Char">
    <w:name w:val="Heading 1 Char"/>
    <w:basedOn w:val="DefaultParagraphFont"/>
    <w:link w:val="Heading1"/>
    <w:uiPriority w:val="9"/>
    <w:rsid w:val="002C76D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94E0C"/>
    <w:pPr>
      <w:tabs>
        <w:tab w:val="left" w:pos="360"/>
        <w:tab w:val="right" w:leader="dot" w:pos="9350"/>
      </w:tabs>
      <w:spacing w:after="100"/>
    </w:pPr>
  </w:style>
  <w:style w:type="paragraph" w:styleId="Title">
    <w:name w:val="Title"/>
    <w:basedOn w:val="Normal"/>
    <w:next w:val="Normal"/>
    <w:link w:val="TitleChar"/>
    <w:uiPriority w:val="99"/>
    <w:qFormat/>
    <w:rsid w:val="002C76DB"/>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uiPriority w:val="99"/>
    <w:rsid w:val="002C76DB"/>
    <w:rPr>
      <w:rFonts w:ascii="Arial" w:eastAsia="Times New Roman" w:hAnsi="Arial" w:cs="Times New Roman"/>
      <w:b/>
      <w:bCs/>
      <w:kern w:val="28"/>
      <w:sz w:val="26"/>
      <w:szCs w:val="32"/>
    </w:rPr>
  </w:style>
  <w:style w:type="paragraph" w:customStyle="1" w:styleId="TOC10">
    <w:name w:val="TOC1"/>
    <w:basedOn w:val="Normal"/>
    <w:qFormat/>
    <w:rsid w:val="00A72416"/>
    <w:pPr>
      <w:tabs>
        <w:tab w:val="left" w:pos="720"/>
      </w:tabs>
    </w:pPr>
    <w:rPr>
      <w:rFonts w:ascii="Arial Bold" w:hAnsi="Arial Bold"/>
      <w:b/>
    </w:rPr>
  </w:style>
  <w:style w:type="paragraph" w:customStyle="1" w:styleId="TOC2">
    <w:name w:val="TOC2"/>
    <w:basedOn w:val="Normal"/>
    <w:qFormat/>
    <w:rsid w:val="00A72416"/>
    <w:rPr>
      <w:rFonts w:ascii="Arial" w:hAnsi="Arial" w:cs="Arial"/>
      <w:b/>
    </w:rPr>
  </w:style>
  <w:style w:type="character" w:customStyle="1" w:styleId="Heading2Char">
    <w:name w:val="Heading 2 Char"/>
    <w:basedOn w:val="DefaultParagraphFont"/>
    <w:link w:val="Heading2"/>
    <w:uiPriority w:val="9"/>
    <w:semiHidden/>
    <w:rsid w:val="00A72416"/>
    <w:rPr>
      <w:rFonts w:asciiTheme="majorHAnsi" w:eastAsiaTheme="majorEastAsia" w:hAnsiTheme="majorHAnsi" w:cstheme="majorBidi"/>
      <w:color w:val="365F91" w:themeColor="accent1" w:themeShade="BF"/>
      <w:sz w:val="26"/>
      <w:szCs w:val="26"/>
    </w:rPr>
  </w:style>
  <w:style w:type="paragraph" w:styleId="TOC20">
    <w:name w:val="toc 2"/>
    <w:basedOn w:val="Normal"/>
    <w:next w:val="Normal"/>
    <w:autoRedefine/>
    <w:uiPriority w:val="39"/>
    <w:unhideWhenUsed/>
    <w:rsid w:val="00A72416"/>
    <w:pPr>
      <w:spacing w:after="100"/>
      <w:ind w:left="240"/>
    </w:pPr>
  </w:style>
  <w:style w:type="paragraph" w:styleId="Header">
    <w:name w:val="header"/>
    <w:basedOn w:val="Normal"/>
    <w:link w:val="HeaderChar"/>
    <w:uiPriority w:val="99"/>
    <w:unhideWhenUsed/>
    <w:rsid w:val="00DF7893"/>
    <w:pPr>
      <w:tabs>
        <w:tab w:val="center" w:pos="4680"/>
        <w:tab w:val="right" w:pos="9360"/>
      </w:tabs>
    </w:pPr>
  </w:style>
  <w:style w:type="character" w:customStyle="1" w:styleId="HeaderChar">
    <w:name w:val="Header Char"/>
    <w:basedOn w:val="DefaultParagraphFont"/>
    <w:link w:val="Header"/>
    <w:uiPriority w:val="99"/>
    <w:rsid w:val="00DF78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7893"/>
    <w:pPr>
      <w:tabs>
        <w:tab w:val="center" w:pos="4680"/>
        <w:tab w:val="right" w:pos="9360"/>
      </w:tabs>
    </w:pPr>
  </w:style>
  <w:style w:type="character" w:customStyle="1" w:styleId="FooterChar">
    <w:name w:val="Footer Char"/>
    <w:basedOn w:val="DefaultParagraphFont"/>
    <w:link w:val="Footer"/>
    <w:uiPriority w:val="99"/>
    <w:rsid w:val="00DF7893"/>
    <w:rPr>
      <w:rFonts w:ascii="Times New Roman" w:eastAsia="Times New Roman" w:hAnsi="Times New Roman" w:cs="Times New Roman"/>
      <w:sz w:val="24"/>
      <w:szCs w:val="24"/>
    </w:rPr>
  </w:style>
  <w:style w:type="table" w:customStyle="1" w:styleId="ListTable4-Accent11">
    <w:name w:val="List Table 4 - Accent 11"/>
    <w:basedOn w:val="TableNormal"/>
    <w:uiPriority w:val="49"/>
    <w:rsid w:val="003A79F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F6085"/>
    <w:pPr>
      <w:spacing w:after="0" w:line="240" w:lineRule="auto"/>
    </w:pPr>
    <w:rPr>
      <w:rFonts w:ascii="Times New Roman" w:eastAsia="Times New Roman" w:hAnsi="Times New Roman" w:cs="Times New Roman"/>
      <w:sz w:val="24"/>
      <w:szCs w:val="24"/>
    </w:rPr>
  </w:style>
  <w:style w:type="character" w:customStyle="1" w:styleId="NORCCaption-Color">
    <w:name w:val="NORC Caption - Color"/>
    <w:qFormat/>
    <w:rsid w:val="001C794B"/>
    <w:rPr>
      <w:rFonts w:ascii="Arial Narrow" w:hAnsi="Arial Narrow"/>
      <w:b/>
      <w:color w:val="8AB3A4"/>
      <w:sz w:val="22"/>
    </w:rPr>
  </w:style>
  <w:style w:type="paragraph" w:customStyle="1" w:styleId="Normal0">
    <w:name w:val="[Normal]"/>
    <w:rsid w:val="004B6803"/>
    <w:pPr>
      <w:widowControl w:val="0"/>
      <w:autoSpaceDE w:val="0"/>
      <w:autoSpaceDN w:val="0"/>
      <w:adjustRightInd w:val="0"/>
      <w:spacing w:after="0" w:line="240" w:lineRule="auto"/>
    </w:pPr>
    <w:rPr>
      <w:rFonts w:ascii="Arial" w:hAnsi="Arial" w:cs="Arial"/>
      <w:sz w:val="24"/>
      <w:szCs w:val="24"/>
      <w:lang w:val="x-none"/>
    </w:rPr>
  </w:style>
  <w:style w:type="paragraph" w:styleId="Subtitle">
    <w:name w:val="Subtitle"/>
    <w:basedOn w:val="Normal"/>
    <w:next w:val="Normal"/>
    <w:link w:val="SubtitleChar"/>
    <w:uiPriority w:val="11"/>
    <w:qFormat/>
    <w:rsid w:val="00CC4AE1"/>
    <w:pPr>
      <w:numPr>
        <w:ilvl w:val="1"/>
      </w:numPr>
      <w:spacing w:line="288" w:lineRule="auto"/>
    </w:pPr>
    <w:rPr>
      <w:rFonts w:eastAsiaTheme="majorEastAsia" w:cstheme="majorBidi"/>
      <w:i/>
      <w:iCs/>
      <w:color w:val="000000" w:themeColor="text1"/>
      <w:spacing w:val="15"/>
      <w:szCs w:val="22"/>
    </w:rPr>
  </w:style>
  <w:style w:type="character" w:customStyle="1" w:styleId="SubtitleChar">
    <w:name w:val="Subtitle Char"/>
    <w:basedOn w:val="DefaultParagraphFont"/>
    <w:link w:val="Subtitle"/>
    <w:uiPriority w:val="11"/>
    <w:rsid w:val="00CC4AE1"/>
    <w:rPr>
      <w:rFonts w:ascii="Times New Roman" w:eastAsiaTheme="majorEastAsia" w:hAnsi="Times New Roman" w:cstheme="majorBidi"/>
      <w:i/>
      <w:iCs/>
      <w:color w:val="000000" w:themeColor="text1"/>
      <w:spacing w:val="15"/>
      <w:sz w:val="24"/>
    </w:rPr>
  </w:style>
  <w:style w:type="character" w:styleId="IntenseEmphasis">
    <w:name w:val="Intense Emphasis"/>
    <w:basedOn w:val="DefaultParagraphFont"/>
    <w:uiPriority w:val="21"/>
    <w:qFormat/>
    <w:rsid w:val="00CC4AE1"/>
    <w:rPr>
      <w:b/>
      <w:bCs/>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82700">
      <w:bodyDiv w:val="1"/>
      <w:marLeft w:val="0"/>
      <w:marRight w:val="0"/>
      <w:marTop w:val="0"/>
      <w:marBottom w:val="0"/>
      <w:divBdr>
        <w:top w:val="none" w:sz="0" w:space="0" w:color="auto"/>
        <w:left w:val="none" w:sz="0" w:space="0" w:color="auto"/>
        <w:bottom w:val="none" w:sz="0" w:space="0" w:color="auto"/>
        <w:right w:val="none" w:sz="0" w:space="0" w:color="auto"/>
      </w:divBdr>
    </w:div>
    <w:div w:id="572816623">
      <w:bodyDiv w:val="1"/>
      <w:marLeft w:val="0"/>
      <w:marRight w:val="0"/>
      <w:marTop w:val="0"/>
      <w:marBottom w:val="0"/>
      <w:divBdr>
        <w:top w:val="none" w:sz="0" w:space="0" w:color="auto"/>
        <w:left w:val="none" w:sz="0" w:space="0" w:color="auto"/>
        <w:bottom w:val="none" w:sz="0" w:space="0" w:color="auto"/>
        <w:right w:val="none" w:sz="0" w:space="0" w:color="auto"/>
      </w:divBdr>
    </w:div>
    <w:div w:id="697583877">
      <w:bodyDiv w:val="1"/>
      <w:marLeft w:val="0"/>
      <w:marRight w:val="0"/>
      <w:marTop w:val="0"/>
      <w:marBottom w:val="0"/>
      <w:divBdr>
        <w:top w:val="none" w:sz="0" w:space="0" w:color="auto"/>
        <w:left w:val="none" w:sz="0" w:space="0" w:color="auto"/>
        <w:bottom w:val="none" w:sz="0" w:space="0" w:color="auto"/>
        <w:right w:val="none" w:sz="0" w:space="0" w:color="auto"/>
      </w:divBdr>
    </w:div>
    <w:div w:id="819155900">
      <w:bodyDiv w:val="1"/>
      <w:marLeft w:val="0"/>
      <w:marRight w:val="0"/>
      <w:marTop w:val="0"/>
      <w:marBottom w:val="0"/>
      <w:divBdr>
        <w:top w:val="none" w:sz="0" w:space="0" w:color="auto"/>
        <w:left w:val="none" w:sz="0" w:space="0" w:color="auto"/>
        <w:bottom w:val="none" w:sz="0" w:space="0" w:color="auto"/>
        <w:right w:val="none" w:sz="0" w:space="0" w:color="auto"/>
      </w:divBdr>
    </w:div>
    <w:div w:id="1923030872">
      <w:bodyDiv w:val="1"/>
      <w:marLeft w:val="0"/>
      <w:marRight w:val="0"/>
      <w:marTop w:val="0"/>
      <w:marBottom w:val="0"/>
      <w:divBdr>
        <w:top w:val="none" w:sz="0" w:space="0" w:color="auto"/>
        <w:left w:val="none" w:sz="0" w:space="0" w:color="auto"/>
        <w:bottom w:val="none" w:sz="0" w:space="0" w:color="auto"/>
        <w:right w:val="none" w:sz="0" w:space="0" w:color="auto"/>
      </w:divBdr>
    </w:div>
    <w:div w:id="2014910784">
      <w:bodyDiv w:val="1"/>
      <w:marLeft w:val="0"/>
      <w:marRight w:val="0"/>
      <w:marTop w:val="0"/>
      <w:marBottom w:val="0"/>
      <w:divBdr>
        <w:top w:val="none" w:sz="0" w:space="0" w:color="auto"/>
        <w:left w:val="none" w:sz="0" w:space="0" w:color="auto"/>
        <w:bottom w:val="none" w:sz="0" w:space="0" w:color="auto"/>
        <w:right w:val="none" w:sz="0" w:space="0" w:color="auto"/>
      </w:divBdr>
    </w:div>
    <w:div w:id="21288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51D51B26ED824AB5FCF1DBA11C797D" ma:contentTypeVersion="0" ma:contentTypeDescription="Create a new document." ma:contentTypeScope="" ma:versionID="a11707a4e357588f529c485c88aa8bd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C804-0416-4191-80B8-1CD1B474DF8B}">
  <ds:schemaRefs>
    <ds:schemaRef ds:uri="http://schemas.microsoft.com/sharepoint/events"/>
  </ds:schemaRefs>
</ds:datastoreItem>
</file>

<file path=customXml/itemProps2.xml><?xml version="1.0" encoding="utf-8"?>
<ds:datastoreItem xmlns:ds="http://schemas.openxmlformats.org/officeDocument/2006/customXml" ds:itemID="{95730F15-3D36-405A-9A8E-73BC29FCBDFF}">
  <ds:schemaRefs>
    <ds:schemaRef ds:uri="http://schemas.microsoft.com/sharepoint/v3/contenttype/forms"/>
  </ds:schemaRefs>
</ds:datastoreItem>
</file>

<file path=customXml/itemProps3.xml><?xml version="1.0" encoding="utf-8"?>
<ds:datastoreItem xmlns:ds="http://schemas.openxmlformats.org/officeDocument/2006/customXml" ds:itemID="{04C5579E-F304-436A-BB68-874794F9EC33}">
  <ds:schemaRefs>
    <ds:schemaRef ds:uri="http://purl.org/dc/terms/"/>
    <ds:schemaRef ds:uri="http://schemas.openxmlformats.org/package/2006/metadata/core-properties"/>
    <ds:schemaRef ds:uri="2499937d-34f2-4984-8519-b47ecdf1611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9F0FEB5-5EAE-4563-94A8-CBCA896CF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3F0D5-D8C2-456F-9140-BB1216DA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NORC</dc:creator>
  <cp:lastModifiedBy>Adrienne Call</cp:lastModifiedBy>
  <cp:revision>2</cp:revision>
  <cp:lastPrinted>2016-02-25T23:25:00Z</cp:lastPrinted>
  <dcterms:created xsi:type="dcterms:W3CDTF">2020-05-28T22:46:00Z</dcterms:created>
  <dcterms:modified xsi:type="dcterms:W3CDTF">2020-05-28T22:46:00Z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0x0101000A51D51B26ED824AB5FCF1DBA11C797D</vt:lpwstr>
  </property>
</Properties>
</file>