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ADB" w:rsidP="00CA1687" w:rsidRDefault="0043666F" w14:paraId="0501F94C" w14:textId="77777777">
      <w:pPr>
        <w:pStyle w:val="Heading1"/>
        <w:spacing w:before="73"/>
        <w:ind w:left="1181" w:right="30" w:hanging="936"/>
        <w:jc w:val="center"/>
      </w:pPr>
      <w:bookmarkStart w:name="Supporting_Statement_for_Essential_Healt" w:id="0"/>
      <w:bookmarkEnd w:id="0"/>
      <w:r>
        <w:t>Supporting Statement for Essential Health Benefits Benchmark Plans</w:t>
      </w:r>
      <w:bookmarkStart w:name="(CMS-10448/OMB_control_number:_0938-1174" w:id="1"/>
      <w:bookmarkEnd w:id="1"/>
    </w:p>
    <w:p w:rsidR="005600BB" w:rsidP="00CA1687" w:rsidRDefault="00115ADB" w14:paraId="37C59587" w14:textId="77777777">
      <w:pPr>
        <w:pStyle w:val="Heading1"/>
        <w:spacing w:before="73"/>
        <w:ind w:left="1181" w:right="30" w:hanging="936"/>
        <w:jc w:val="center"/>
      </w:pPr>
      <w:r>
        <w:t xml:space="preserve">(CMS-10448/OMB </w:t>
      </w:r>
      <w:r w:rsidR="0043666F">
        <w:t>control number: 0938-1174)</w:t>
      </w:r>
    </w:p>
    <w:p w:rsidRPr="00251817" w:rsidR="005600BB" w:rsidP="00CA1687" w:rsidRDefault="0043666F" w14:paraId="3206295F" w14:textId="77777777">
      <w:pPr>
        <w:pStyle w:val="ListParagraph"/>
        <w:numPr>
          <w:ilvl w:val="0"/>
          <w:numId w:val="3"/>
        </w:numPr>
        <w:tabs>
          <w:tab w:val="left" w:pos="1170"/>
        </w:tabs>
        <w:spacing w:before="102"/>
        <w:ind w:left="720" w:right="30" w:hanging="720"/>
        <w:rPr>
          <w:b/>
          <w:sz w:val="24"/>
          <w:u w:val="single"/>
        </w:rPr>
      </w:pPr>
      <w:bookmarkStart w:name="A._Background" w:id="2"/>
      <w:bookmarkEnd w:id="2"/>
      <w:r w:rsidRPr="00251817">
        <w:rPr>
          <w:b/>
          <w:sz w:val="24"/>
          <w:u w:val="single"/>
        </w:rPr>
        <w:t>Background</w:t>
      </w:r>
    </w:p>
    <w:p w:rsidR="005600BB" w:rsidP="00CA1687" w:rsidRDefault="005600BB" w14:paraId="316DE65F" w14:textId="77777777">
      <w:pPr>
        <w:pStyle w:val="BodyText"/>
        <w:spacing w:before="5"/>
        <w:ind w:right="30"/>
        <w:rPr>
          <w:b/>
        </w:rPr>
      </w:pPr>
    </w:p>
    <w:p w:rsidRPr="00775830" w:rsidR="005600BB" w:rsidP="00CA1687" w:rsidRDefault="0043666F" w14:paraId="04E28728" w14:textId="09D9D588">
      <w:pPr>
        <w:ind w:right="30"/>
        <w:rPr>
          <w:sz w:val="24"/>
        </w:rPr>
      </w:pPr>
      <w:bookmarkStart w:name="On_March_23,_2010,_the_Patient_Protectio" w:id="3"/>
      <w:bookmarkEnd w:id="3"/>
      <w:r w:rsidRPr="00775830">
        <w:rPr>
          <w:sz w:val="24"/>
        </w:rPr>
        <w:t>On March 23, 2010, the Patient Protection and Affordable Care Act (PPACA; P.L. 111-148) was signed into law, and on March 30, 2010, the Health Care and Education Reconciliation Act of 2010 (P.L. 111-152) was signed into law. The two laws implement various health insurance policies, including the essential health benefits (EHB). Beginning in 2014, all non-grandfathered health plans in the individual and small group market must cover EHB, as defined by the Secretary of Health and Human Services. The PPACA directs that EHB reflect the scope of benefits covered by a typical employer plan and cover at least the following 10 general categories of items and services:</w:t>
      </w:r>
    </w:p>
    <w:p w:rsidR="005600BB" w:rsidP="00CA1687" w:rsidRDefault="005600BB" w14:paraId="0167BB96" w14:textId="77777777">
      <w:pPr>
        <w:pStyle w:val="BodyText"/>
        <w:ind w:right="30"/>
      </w:pPr>
    </w:p>
    <w:p w:rsidRPr="00775830" w:rsidR="005600BB" w:rsidP="00CA1687" w:rsidRDefault="0043666F" w14:paraId="039429DC" w14:textId="1E70FAC2">
      <w:pPr>
        <w:pStyle w:val="ListParagraph"/>
        <w:numPr>
          <w:ilvl w:val="0"/>
          <w:numId w:val="7"/>
        </w:numPr>
        <w:ind w:right="30"/>
        <w:rPr>
          <w:sz w:val="24"/>
        </w:rPr>
      </w:pPr>
      <w:bookmarkStart w:name="(1)_Ambulatory_patient_services._" w:id="4"/>
      <w:bookmarkStart w:name="(2)_Emergency_services." w:id="5"/>
      <w:bookmarkEnd w:id="4"/>
      <w:bookmarkEnd w:id="5"/>
      <w:r w:rsidRPr="00775830">
        <w:rPr>
          <w:sz w:val="24"/>
        </w:rPr>
        <w:t>Ambulatory patient services.</w:t>
      </w:r>
    </w:p>
    <w:p w:rsidRPr="00775830" w:rsidR="005600BB" w:rsidP="00CA1687" w:rsidRDefault="0043666F" w14:paraId="66169185" w14:textId="6388B657">
      <w:pPr>
        <w:pStyle w:val="ListParagraph"/>
        <w:numPr>
          <w:ilvl w:val="0"/>
          <w:numId w:val="7"/>
        </w:numPr>
        <w:ind w:right="30"/>
        <w:rPr>
          <w:sz w:val="24"/>
        </w:rPr>
      </w:pPr>
      <w:bookmarkStart w:name="(3)_Hospitalization." w:id="6"/>
      <w:bookmarkEnd w:id="6"/>
      <w:r w:rsidRPr="00775830">
        <w:rPr>
          <w:sz w:val="24"/>
        </w:rPr>
        <w:t>Emergency services.</w:t>
      </w:r>
    </w:p>
    <w:p w:rsidRPr="00775830" w:rsidR="005600BB" w:rsidP="00CA1687" w:rsidRDefault="0043666F" w14:paraId="0AD99449" w14:textId="7ABDBAF6">
      <w:pPr>
        <w:pStyle w:val="ListParagraph"/>
        <w:numPr>
          <w:ilvl w:val="0"/>
          <w:numId w:val="7"/>
        </w:numPr>
        <w:ind w:right="30"/>
        <w:rPr>
          <w:sz w:val="24"/>
        </w:rPr>
      </w:pPr>
      <w:bookmarkStart w:name="(4)_Maternity_and_newborn_care.`" w:id="7"/>
      <w:bookmarkEnd w:id="7"/>
      <w:r w:rsidRPr="00775830">
        <w:rPr>
          <w:sz w:val="24"/>
        </w:rPr>
        <w:t>Hospitalization.</w:t>
      </w:r>
    </w:p>
    <w:p w:rsidRPr="00775830" w:rsidR="005600BB" w:rsidP="00CA1687" w:rsidRDefault="0043666F" w14:paraId="581A7D80" w14:textId="04E180C0">
      <w:pPr>
        <w:pStyle w:val="ListParagraph"/>
        <w:numPr>
          <w:ilvl w:val="0"/>
          <w:numId w:val="7"/>
        </w:numPr>
        <w:ind w:right="30"/>
        <w:rPr>
          <w:sz w:val="24"/>
        </w:rPr>
      </w:pPr>
      <w:bookmarkStart w:name="(5)_Mental_health_and_substance_use_diso" w:id="8"/>
      <w:bookmarkEnd w:id="8"/>
      <w:r w:rsidRPr="00775830">
        <w:rPr>
          <w:sz w:val="24"/>
        </w:rPr>
        <w:t>Maternity and newborn care.</w:t>
      </w:r>
    </w:p>
    <w:p w:rsidRPr="00775830" w:rsidR="005600BB" w:rsidP="00CA1687" w:rsidRDefault="0043666F" w14:paraId="0B4D6E32" w14:textId="15FD2C75">
      <w:pPr>
        <w:pStyle w:val="ListParagraph"/>
        <w:numPr>
          <w:ilvl w:val="0"/>
          <w:numId w:val="7"/>
        </w:numPr>
        <w:ind w:right="30"/>
        <w:rPr>
          <w:sz w:val="24"/>
        </w:rPr>
      </w:pPr>
      <w:bookmarkStart w:name="(6)_Prescription_drugs." w:id="9"/>
      <w:bookmarkEnd w:id="9"/>
      <w:r w:rsidRPr="00775830">
        <w:rPr>
          <w:sz w:val="24"/>
        </w:rPr>
        <w:t>Mental health and substance use disorder services, including behavioral health treatment.</w:t>
      </w:r>
    </w:p>
    <w:p w:rsidRPr="00775830" w:rsidR="005600BB" w:rsidP="00CA1687" w:rsidRDefault="0043666F" w14:paraId="34892DB6" w14:textId="2023062E">
      <w:pPr>
        <w:pStyle w:val="ListParagraph"/>
        <w:numPr>
          <w:ilvl w:val="0"/>
          <w:numId w:val="7"/>
        </w:numPr>
        <w:ind w:right="30"/>
        <w:rPr>
          <w:sz w:val="24"/>
        </w:rPr>
      </w:pPr>
      <w:bookmarkStart w:name="(7)_Rehabilitative_and_habilitative_serv" w:id="10"/>
      <w:bookmarkEnd w:id="10"/>
      <w:r w:rsidRPr="00775830">
        <w:rPr>
          <w:sz w:val="24"/>
        </w:rPr>
        <w:t>Prescription drugs.</w:t>
      </w:r>
    </w:p>
    <w:p w:rsidRPr="00775830" w:rsidR="005600BB" w:rsidP="00CA1687" w:rsidRDefault="0043666F" w14:paraId="0DAB65C7" w14:textId="1964A0DD">
      <w:pPr>
        <w:pStyle w:val="ListParagraph"/>
        <w:numPr>
          <w:ilvl w:val="0"/>
          <w:numId w:val="7"/>
        </w:numPr>
        <w:ind w:right="30"/>
        <w:rPr>
          <w:sz w:val="24"/>
        </w:rPr>
      </w:pPr>
      <w:bookmarkStart w:name="(8)_Laboratory_services." w:id="11"/>
      <w:bookmarkEnd w:id="11"/>
      <w:r w:rsidRPr="00775830">
        <w:rPr>
          <w:sz w:val="24"/>
        </w:rPr>
        <w:t xml:space="preserve">Rehabilitative and </w:t>
      </w:r>
      <w:proofErr w:type="spellStart"/>
      <w:r w:rsidRPr="00775830">
        <w:rPr>
          <w:sz w:val="24"/>
        </w:rPr>
        <w:t>habilitative</w:t>
      </w:r>
      <w:proofErr w:type="spellEnd"/>
      <w:r w:rsidRPr="00775830">
        <w:rPr>
          <w:sz w:val="24"/>
        </w:rPr>
        <w:t xml:space="preserve"> services and devices.</w:t>
      </w:r>
    </w:p>
    <w:p w:rsidRPr="00775830" w:rsidR="005600BB" w:rsidP="00CA1687" w:rsidRDefault="0043666F" w14:paraId="036C41CA" w14:textId="2D17B24C">
      <w:pPr>
        <w:pStyle w:val="ListParagraph"/>
        <w:numPr>
          <w:ilvl w:val="0"/>
          <w:numId w:val="7"/>
        </w:numPr>
        <w:ind w:right="30"/>
        <w:rPr>
          <w:sz w:val="24"/>
        </w:rPr>
      </w:pPr>
      <w:bookmarkStart w:name="(9)_Preventive_and_wellness_services_and" w:id="12"/>
      <w:bookmarkEnd w:id="12"/>
      <w:r w:rsidRPr="00775830">
        <w:rPr>
          <w:sz w:val="24"/>
        </w:rPr>
        <w:t>Laboratory services.</w:t>
      </w:r>
    </w:p>
    <w:p w:rsidR="00722A6C" w:rsidP="00CA1687" w:rsidRDefault="0043666F" w14:paraId="2D6BF77A" w14:textId="77777777">
      <w:pPr>
        <w:pStyle w:val="ListParagraph"/>
        <w:numPr>
          <w:ilvl w:val="0"/>
          <w:numId w:val="7"/>
        </w:numPr>
        <w:ind w:right="30"/>
        <w:rPr>
          <w:sz w:val="24"/>
        </w:rPr>
      </w:pPr>
      <w:bookmarkStart w:name="(10)_Pediatric_services,_including_oral_" w:id="13"/>
      <w:bookmarkEnd w:id="13"/>
      <w:r w:rsidRPr="00775830">
        <w:rPr>
          <w:sz w:val="24"/>
        </w:rPr>
        <w:t>Preventive and wellness services and chronic disease management.</w:t>
      </w:r>
    </w:p>
    <w:p w:rsidRPr="00722A6C" w:rsidR="005600BB" w:rsidP="00CA1687" w:rsidRDefault="00722A6C" w14:paraId="72A4CC79" w14:textId="1770B57C">
      <w:pPr>
        <w:ind w:left="360" w:right="30"/>
        <w:rPr>
          <w:sz w:val="24"/>
        </w:rPr>
      </w:pPr>
      <w:r>
        <w:rPr>
          <w:sz w:val="24"/>
        </w:rPr>
        <w:t xml:space="preserve">(10) </w:t>
      </w:r>
      <w:r w:rsidRPr="00722A6C" w:rsidR="0043666F">
        <w:rPr>
          <w:sz w:val="24"/>
        </w:rPr>
        <w:t>Pediatric services, including oral and vision care.</w:t>
      </w:r>
    </w:p>
    <w:p w:rsidR="005600BB" w:rsidP="00CA1687" w:rsidRDefault="005600BB" w14:paraId="37454341" w14:textId="77777777">
      <w:pPr>
        <w:pStyle w:val="BodyText"/>
        <w:spacing w:before="5"/>
        <w:ind w:right="30"/>
        <w:rPr>
          <w:sz w:val="25"/>
        </w:rPr>
      </w:pPr>
    </w:p>
    <w:p w:rsidR="00C93E4E" w:rsidP="00CA1687" w:rsidRDefault="00C93E4E" w14:paraId="0ED8CAE5" w14:textId="2DEC603A">
      <w:pPr>
        <w:pStyle w:val="BodyText"/>
        <w:ind w:right="30"/>
      </w:pPr>
      <w:bookmarkStart w:name="Pursuant_to_Section_1302_of_the_PPACA_an" w:id="14"/>
      <w:bookmarkStart w:name="Act,_as_amended_by_section_1201_of_the_P" w:id="15"/>
      <w:bookmarkEnd w:id="14"/>
      <w:bookmarkEnd w:id="15"/>
      <w:r>
        <w:rPr>
          <w:b/>
        </w:rPr>
        <w:t>EHB-Benchmark Plan Selection</w:t>
      </w:r>
    </w:p>
    <w:p w:rsidRPr="00775830" w:rsidR="005600BB" w:rsidP="00CA1687" w:rsidRDefault="0043666F" w14:paraId="5264A080" w14:textId="2EC7C8D6">
      <w:pPr>
        <w:ind w:right="30"/>
        <w:rPr>
          <w:sz w:val="24"/>
        </w:rPr>
      </w:pPr>
      <w:r w:rsidRPr="00775830">
        <w:rPr>
          <w:sz w:val="24"/>
        </w:rPr>
        <w:t>Pursuant to Section 1302 of the PPACA and Section 2707 of the Public Health Service</w:t>
      </w:r>
      <w:r w:rsidR="00EE6877">
        <w:rPr>
          <w:sz w:val="24"/>
        </w:rPr>
        <w:t xml:space="preserve"> </w:t>
      </w:r>
      <w:r w:rsidRPr="00775830">
        <w:rPr>
          <w:sz w:val="24"/>
        </w:rPr>
        <w:t xml:space="preserve">Act, as amended by section 1201 of the PPACA, CMS released a bulletin on December 16, 2011 (EHB </w:t>
      </w:r>
      <w:r w:rsidRPr="00775830" w:rsidR="0000751F">
        <w:rPr>
          <w:sz w:val="24"/>
        </w:rPr>
        <w:t>Bulletin)</w:t>
      </w:r>
      <w:r w:rsidRPr="00775830" w:rsidR="0000751F">
        <w:rPr>
          <w:sz w:val="24"/>
          <w:vertAlign w:val="superscript"/>
        </w:rPr>
        <w:footnoteReference w:id="1"/>
      </w:r>
      <w:r w:rsidRPr="00775830" w:rsidR="0000751F">
        <w:rPr>
          <w:sz w:val="24"/>
        </w:rPr>
        <w:t xml:space="preserve"> </w:t>
      </w:r>
      <w:r w:rsidRPr="00775830">
        <w:rPr>
          <w:sz w:val="24"/>
        </w:rPr>
        <w:t xml:space="preserve">describing its intent to define EHB by reference to a </w:t>
      </w:r>
      <w:r w:rsidR="009F7BD4">
        <w:rPr>
          <w:sz w:val="24"/>
        </w:rPr>
        <w:t>s</w:t>
      </w:r>
      <w:r w:rsidRPr="00775830">
        <w:rPr>
          <w:sz w:val="24"/>
        </w:rPr>
        <w:t xml:space="preserve">tate-specific benchmark plan. That policy was finalized in the rule </w:t>
      </w:r>
      <w:r w:rsidRPr="00775830">
        <w:rPr>
          <w:i/>
          <w:sz w:val="24"/>
        </w:rPr>
        <w:t>Patient Protection and Affordable Care Act; Standards Related to Essential Health Benefits, Actuarial Value, and Accreditation; Final Rule</w:t>
      </w:r>
      <w:r w:rsidRPr="00775830">
        <w:rPr>
          <w:sz w:val="24"/>
        </w:rPr>
        <w:t xml:space="preserve"> (EHB Final Rule) (78 FR 12834), published on February 25, 2013.</w:t>
      </w:r>
      <w:r w:rsidRPr="00775830" w:rsidR="0000751F">
        <w:rPr>
          <w:sz w:val="24"/>
          <w:vertAlign w:val="superscript"/>
        </w:rPr>
        <w:footnoteReference w:id="2"/>
      </w:r>
      <w:r w:rsidRPr="00775830" w:rsidR="0000751F">
        <w:rPr>
          <w:sz w:val="24"/>
        </w:rPr>
        <w:t xml:space="preserve"> </w:t>
      </w:r>
      <w:r w:rsidRPr="00775830">
        <w:rPr>
          <w:sz w:val="24"/>
        </w:rPr>
        <w:t xml:space="preserve">In order to establish an EHB-benchmark plan in each </w:t>
      </w:r>
      <w:r w:rsidR="009F7BD4">
        <w:rPr>
          <w:sz w:val="24"/>
        </w:rPr>
        <w:t>s</w:t>
      </w:r>
      <w:r w:rsidRPr="00775830">
        <w:rPr>
          <w:sz w:val="24"/>
        </w:rPr>
        <w:t xml:space="preserve">tate, in 2012, CMS asked </w:t>
      </w:r>
      <w:r w:rsidR="009F7BD4">
        <w:rPr>
          <w:sz w:val="24"/>
        </w:rPr>
        <w:t>s</w:t>
      </w:r>
      <w:r w:rsidRPr="00775830">
        <w:rPr>
          <w:sz w:val="24"/>
        </w:rPr>
        <w:t xml:space="preserve">tates to voluntarily identify an EHB-benchmark plan from 10 options that were provided in the EHB Bulletin. The EHB Final Rule applied those benchmark plans starting in the 2014 plan year as a transitional policy. Then, in 2015, CMS asked </w:t>
      </w:r>
      <w:r w:rsidR="009F7BD4">
        <w:rPr>
          <w:sz w:val="24"/>
        </w:rPr>
        <w:t>s</w:t>
      </w:r>
      <w:r w:rsidRPr="00775830">
        <w:rPr>
          <w:sz w:val="24"/>
        </w:rPr>
        <w:t>tates to voluntarily identify an EHB- benchmark plan from those 10 options for a second time based on 2014 plans that would apply beginning in the 2017 plan year.</w:t>
      </w:r>
    </w:p>
    <w:p w:rsidRPr="00775830" w:rsidR="005600BB" w:rsidP="00CA1687" w:rsidRDefault="005600BB" w14:paraId="796E323A" w14:textId="77777777">
      <w:pPr>
        <w:ind w:right="30"/>
        <w:rPr>
          <w:sz w:val="24"/>
        </w:rPr>
      </w:pPr>
    </w:p>
    <w:p w:rsidRPr="00775830" w:rsidR="005600BB" w:rsidP="00CA1687" w:rsidRDefault="0043666F" w14:paraId="1389D236" w14:textId="320486B9">
      <w:pPr>
        <w:ind w:right="30"/>
        <w:rPr>
          <w:sz w:val="24"/>
        </w:rPr>
      </w:pPr>
      <w:bookmarkStart w:name="In_the_final_rule_entitled_the_HHS_Notic" w:id="16"/>
      <w:bookmarkEnd w:id="16"/>
      <w:r w:rsidRPr="00775830">
        <w:rPr>
          <w:sz w:val="24"/>
        </w:rPr>
        <w:t>In the final rule entitled the HHS Notice of Benefit and Payment Parameters for 2019 (2019 Final Payment Notice; CMS-9930-F),</w:t>
      </w:r>
      <w:r w:rsidRPr="00775830" w:rsidR="0000751F">
        <w:rPr>
          <w:sz w:val="24"/>
          <w:vertAlign w:val="superscript"/>
        </w:rPr>
        <w:footnoteReference w:id="3"/>
      </w:r>
      <w:r w:rsidRPr="00775830">
        <w:rPr>
          <w:sz w:val="24"/>
          <w:vertAlign w:val="superscript"/>
        </w:rPr>
        <w:t xml:space="preserve"> </w:t>
      </w:r>
      <w:r w:rsidRPr="00775830">
        <w:rPr>
          <w:sz w:val="24"/>
        </w:rPr>
        <w:t xml:space="preserve">we changed the </w:t>
      </w:r>
      <w:r w:rsidR="009F7BD4">
        <w:rPr>
          <w:sz w:val="24"/>
        </w:rPr>
        <w:t>s</w:t>
      </w:r>
      <w:r w:rsidRPr="00775830">
        <w:rPr>
          <w:sz w:val="24"/>
        </w:rPr>
        <w:t>tate’s EHB-benchmark plan selection process beginning for 2020 plan year. For plan years beginning on or after January 1, 2020, subject to</w:t>
      </w:r>
    </w:p>
    <w:p w:rsidRPr="00775830" w:rsidR="0000751F" w:rsidP="00CA1687" w:rsidRDefault="0043666F" w14:paraId="7D34A16A" w14:textId="72B12EC3">
      <w:pPr>
        <w:ind w:right="30"/>
        <w:rPr>
          <w:sz w:val="24"/>
        </w:rPr>
      </w:pPr>
      <w:r w:rsidRPr="00775830">
        <w:rPr>
          <w:sz w:val="24"/>
        </w:rPr>
        <w:t xml:space="preserve">§156.111(b), (c), (d) and (e), a </w:t>
      </w:r>
      <w:r w:rsidR="009F7BD4">
        <w:rPr>
          <w:sz w:val="24"/>
        </w:rPr>
        <w:t>s</w:t>
      </w:r>
      <w:r w:rsidRPr="00775830">
        <w:rPr>
          <w:sz w:val="24"/>
        </w:rPr>
        <w:t>tate may change its EHB-benchmark plan by:</w:t>
      </w:r>
      <w:r w:rsidRPr="00775830" w:rsidR="0000751F">
        <w:rPr>
          <w:sz w:val="24"/>
        </w:rPr>
        <w:t xml:space="preserve"> </w:t>
      </w:r>
    </w:p>
    <w:p w:rsidR="0000751F" w:rsidP="00CA1687" w:rsidRDefault="0000751F" w14:paraId="1A441AEE" w14:textId="77777777">
      <w:pPr>
        <w:pStyle w:val="BodyText"/>
        <w:spacing w:line="273" w:lineRule="exact"/>
        <w:ind w:left="119" w:right="30"/>
        <w:rPr>
          <w:sz w:val="22"/>
        </w:rPr>
      </w:pPr>
    </w:p>
    <w:p w:rsidRPr="00775830" w:rsidR="005600BB" w:rsidP="00CA1687" w:rsidRDefault="0043666F" w14:paraId="53AA88C3" w14:textId="125BDA97">
      <w:pPr>
        <w:pStyle w:val="ListParagraph"/>
        <w:numPr>
          <w:ilvl w:val="0"/>
          <w:numId w:val="6"/>
        </w:numPr>
        <w:ind w:right="30"/>
        <w:rPr>
          <w:sz w:val="24"/>
        </w:rPr>
      </w:pPr>
      <w:bookmarkStart w:name="_bookmark0" w:id="17"/>
      <w:bookmarkStart w:name="_bookmark1" w:id="18"/>
      <w:bookmarkStart w:name="_bookmark2" w:id="19"/>
      <w:bookmarkStart w:name="(1)_Selecting_the_EHB-benchmark_plan_tha" w:id="20"/>
      <w:bookmarkEnd w:id="17"/>
      <w:bookmarkEnd w:id="18"/>
      <w:bookmarkEnd w:id="19"/>
      <w:bookmarkEnd w:id="20"/>
      <w:r w:rsidRPr="00775830">
        <w:rPr>
          <w:sz w:val="24"/>
        </w:rPr>
        <w:t xml:space="preserve">Selecting the EHB-benchmark plan that another </w:t>
      </w:r>
      <w:r w:rsidR="009F7BD4">
        <w:rPr>
          <w:sz w:val="24"/>
        </w:rPr>
        <w:t>s</w:t>
      </w:r>
      <w:r w:rsidRPr="00775830">
        <w:rPr>
          <w:sz w:val="24"/>
        </w:rPr>
        <w:t>tate used for the 2017 plan year under</w:t>
      </w:r>
    </w:p>
    <w:p w:rsidRPr="00775830" w:rsidR="005600BB" w:rsidP="00CA1687" w:rsidRDefault="0043666F" w14:paraId="504D77C2" w14:textId="1BC15A26">
      <w:pPr>
        <w:ind w:left="720" w:right="30"/>
        <w:rPr>
          <w:sz w:val="24"/>
        </w:rPr>
      </w:pPr>
      <w:r w:rsidRPr="00775830">
        <w:rPr>
          <w:sz w:val="24"/>
        </w:rPr>
        <w:t>§156.100 and §156.110;</w:t>
      </w:r>
    </w:p>
    <w:p w:rsidRPr="00775830" w:rsidR="00C93E4E" w:rsidP="00CA1687" w:rsidRDefault="00C93E4E" w14:paraId="63AC1914" w14:textId="77777777">
      <w:pPr>
        <w:ind w:right="30"/>
        <w:rPr>
          <w:sz w:val="24"/>
        </w:rPr>
      </w:pPr>
    </w:p>
    <w:p w:rsidRPr="00775830" w:rsidR="005600BB" w:rsidP="00CA1687" w:rsidRDefault="0043666F" w14:paraId="46F81BED" w14:textId="68DD8E1F">
      <w:pPr>
        <w:pStyle w:val="ListParagraph"/>
        <w:numPr>
          <w:ilvl w:val="0"/>
          <w:numId w:val="6"/>
        </w:numPr>
        <w:ind w:right="30"/>
        <w:rPr>
          <w:sz w:val="24"/>
        </w:rPr>
      </w:pPr>
      <w:bookmarkStart w:name="(2)_Replacing_one_or_more_categories_of_" w:id="21"/>
      <w:bookmarkEnd w:id="21"/>
      <w:r w:rsidRPr="00775830">
        <w:rPr>
          <w:sz w:val="24"/>
        </w:rPr>
        <w:t xml:space="preserve">Replacing one or more categories of EHBs under §156.110(a) under its EHB-benchmark plan used for the 2017 plan year with the same category or categories of EHB from the EHB- benchmark plan that another </w:t>
      </w:r>
      <w:r w:rsidR="009F7BD4">
        <w:rPr>
          <w:sz w:val="24"/>
        </w:rPr>
        <w:t>s</w:t>
      </w:r>
      <w:r w:rsidRPr="00775830">
        <w:rPr>
          <w:sz w:val="24"/>
        </w:rPr>
        <w:t>tate used for the 2017 plan year under §156.100 and §156.110; or</w:t>
      </w:r>
    </w:p>
    <w:p w:rsidRPr="00775830" w:rsidR="00C93E4E" w:rsidP="00CA1687" w:rsidRDefault="00C93E4E" w14:paraId="625731B7" w14:textId="77777777">
      <w:pPr>
        <w:ind w:right="30"/>
        <w:rPr>
          <w:sz w:val="24"/>
        </w:rPr>
      </w:pPr>
    </w:p>
    <w:p w:rsidRPr="00775830" w:rsidR="00C93E4E" w:rsidP="00CA1687" w:rsidRDefault="0043666F" w14:paraId="347A9392" w14:textId="16A22F1B">
      <w:pPr>
        <w:pStyle w:val="ListParagraph"/>
        <w:numPr>
          <w:ilvl w:val="0"/>
          <w:numId w:val="6"/>
        </w:numPr>
        <w:ind w:right="30"/>
        <w:rPr>
          <w:sz w:val="24"/>
        </w:rPr>
      </w:pPr>
      <w:bookmarkStart w:name="(3)_Otherwise_selecting_a_set_of_benefit" w:id="22"/>
      <w:bookmarkEnd w:id="22"/>
      <w:r w:rsidRPr="00775830">
        <w:rPr>
          <w:sz w:val="24"/>
        </w:rPr>
        <w:t xml:space="preserve">Otherwise selecting a set of benefits that would become the </w:t>
      </w:r>
      <w:r w:rsidR="009F7BD4">
        <w:rPr>
          <w:sz w:val="24"/>
        </w:rPr>
        <w:t>s</w:t>
      </w:r>
      <w:r w:rsidRPr="00775830">
        <w:rPr>
          <w:sz w:val="24"/>
        </w:rPr>
        <w:t>tate’s EHB-benchmark plan.</w:t>
      </w:r>
      <w:bookmarkStart w:name="To_reflect_this_change,_CMS_is_revising_" w:id="23"/>
      <w:bookmarkEnd w:id="23"/>
    </w:p>
    <w:p w:rsidRPr="00C93E4E" w:rsidR="00C93E4E" w:rsidP="00CA1687" w:rsidRDefault="00C93E4E" w14:paraId="51187A8C" w14:textId="77777777">
      <w:pPr>
        <w:tabs>
          <w:tab w:val="left" w:pos="1178"/>
        </w:tabs>
        <w:ind w:right="30"/>
        <w:rPr>
          <w:sz w:val="24"/>
        </w:rPr>
      </w:pPr>
    </w:p>
    <w:p w:rsidRPr="009F3A02" w:rsidR="00C93E4E" w:rsidP="00CA1687" w:rsidRDefault="00C93E4E" w14:paraId="560289BE" w14:textId="77777777">
      <w:pPr>
        <w:pStyle w:val="BodyText"/>
        <w:spacing w:line="276" w:lineRule="exact"/>
        <w:ind w:right="30"/>
      </w:pPr>
      <w:r>
        <w:rPr>
          <w:b/>
        </w:rPr>
        <w:t>Annual Reporting of State Mandates</w:t>
      </w:r>
    </w:p>
    <w:p w:rsidR="0058216D" w:rsidP="00CA1687" w:rsidRDefault="00F7371B" w14:paraId="34525917" w14:textId="7CB2AB77">
      <w:pPr>
        <w:pStyle w:val="BodyText"/>
        <w:ind w:right="30"/>
      </w:pPr>
      <w:r w:rsidRPr="00F7371B">
        <w:t>Section 1311(d)(3)(B) of the PPACA permits a state to require QHPs offered in the state to cover benefits in addition to EHB, but requires the state to make payments, either to the individual enrollee or to the issuer on behalf of the enrollee, to defray the cost of these additional state-required benefits.</w:t>
      </w:r>
      <w:r>
        <w:t xml:space="preserve"> </w:t>
      </w:r>
      <w:r w:rsidRPr="00F7371B">
        <w:t>In the EHB final rule</w:t>
      </w:r>
      <w:r>
        <w:t xml:space="preserve">, </w:t>
      </w:r>
      <w:r w:rsidRPr="00F7371B">
        <w:t>we</w:t>
      </w:r>
      <w:r>
        <w:t xml:space="preserve"> codified this requirement at</w:t>
      </w:r>
      <w:r w:rsidRPr="00F7371B">
        <w:t xml:space="preserve"> §155.170</w:t>
      </w:r>
      <w:r>
        <w:t xml:space="preserve"> and </w:t>
      </w:r>
      <w:r w:rsidRPr="00F7371B">
        <w:t>finalized a standard at §155.170(a)(2) that specifies benefits mandated by state action taking place on or before December 31, 2011, even if not effective until a later date, may be considered EHB, such that the state is not required to defray costs for these state-required benefits. Under this policy, benefits mandated by state action taking place after December 31, 2011</w:t>
      </w:r>
      <w:r>
        <w:t>,</w:t>
      </w:r>
      <w:r w:rsidRPr="00F7371B">
        <w:t xml:space="preserve"> are considered in addition to EHB, even if the mandate</w:t>
      </w:r>
      <w:r w:rsidR="009F7BD4">
        <w:t>d</w:t>
      </w:r>
      <w:r w:rsidRPr="00F7371B">
        <w:t xml:space="preserve"> benefits also are embedded in the state’s selected EHB-benchmark plan. In such cases, states must defray the associated costs of QHP coverage of such benefits, and those costs should not be included in the percentage of premium attributable to coverage of EHB for purpose of calculating premium tax credits.</w:t>
      </w:r>
    </w:p>
    <w:p w:rsidR="009619F6" w:rsidP="00CA1687" w:rsidRDefault="00F7371B" w14:paraId="417CCEDD" w14:textId="1389FA0D">
      <w:pPr>
        <w:pStyle w:val="BodyText"/>
        <w:spacing w:before="196"/>
        <w:ind w:right="30"/>
      </w:pPr>
      <w:r>
        <w:t xml:space="preserve">In the </w:t>
      </w:r>
      <w:r w:rsidR="00A76299">
        <w:t xml:space="preserve">final </w:t>
      </w:r>
      <w:r>
        <w:t xml:space="preserve">rule entitled </w:t>
      </w:r>
      <w:r w:rsidRPr="009C2427">
        <w:rPr>
          <w:i/>
        </w:rPr>
        <w:t>HHS Notice of Benefit and Payment Parameters for 20</w:t>
      </w:r>
      <w:r>
        <w:rPr>
          <w:i/>
        </w:rPr>
        <w:t>21</w:t>
      </w:r>
      <w:r>
        <w:t xml:space="preserve"> (</w:t>
      </w:r>
      <w:r w:rsidR="009F3A02">
        <w:t>2021</w:t>
      </w:r>
      <w:r>
        <w:t xml:space="preserve"> Payment Notice; CMS-9916</w:t>
      </w:r>
      <w:r w:rsidRPr="00F7371B">
        <w:t>-</w:t>
      </w:r>
      <w:r w:rsidR="00A76299">
        <w:t>F</w:t>
      </w:r>
      <w:r w:rsidRPr="00F7371B">
        <w:t>)</w:t>
      </w:r>
      <w:r>
        <w:t>,</w:t>
      </w:r>
      <w:r>
        <w:rPr>
          <w:rStyle w:val="FootnoteReference"/>
        </w:rPr>
        <w:footnoteReference w:id="4"/>
      </w:r>
      <w:r w:rsidRPr="00F7371B">
        <w:t xml:space="preserve"> we </w:t>
      </w:r>
      <w:r w:rsidR="00A76299">
        <w:t>finalized</w:t>
      </w:r>
      <w:r w:rsidR="009619F6">
        <w:t xml:space="preserve"> </w:t>
      </w:r>
      <w:r w:rsidR="00A76299">
        <w:t>amendments to</w:t>
      </w:r>
      <w:r w:rsidRPr="00F7371B" w:rsidR="00A76299">
        <w:t xml:space="preserve"> </w:t>
      </w:r>
      <w:r w:rsidRPr="00F7371B">
        <w:t xml:space="preserve">§156.111(d) and </w:t>
      </w:r>
      <w:r w:rsidR="009619F6">
        <w:t>adding</w:t>
      </w:r>
      <w:r w:rsidRPr="00F7371B">
        <w:t xml:space="preserve"> new §156.111(f) to require states to annually notify HHS in a format and manner specified by HHS, and by a date determined by HHS, of any state-required benefits applicable to QHPs in the individual and/or small group market that are considered to be “in addition to EHB” in accordance with §155.170(a)(3). As part of this collection at §156.111(f), we also </w:t>
      </w:r>
      <w:r w:rsidR="00A76299">
        <w:t>finalized</w:t>
      </w:r>
      <w:r w:rsidRPr="00F7371B" w:rsidR="00A76299">
        <w:t xml:space="preserve"> </w:t>
      </w:r>
      <w:r w:rsidRPr="00F7371B">
        <w:t xml:space="preserve">that states identify which state-required benefits are not in addition to EHB and do not require defrayal in accordance with §155.170, and provide the basis for the state’s determination. </w:t>
      </w:r>
      <w:r w:rsidRPr="009619F6" w:rsidR="009619F6">
        <w:t xml:space="preserve">A state’s submission </w:t>
      </w:r>
      <w:r w:rsidR="00A76299">
        <w:t>will</w:t>
      </w:r>
      <w:r w:rsidRPr="009619F6" w:rsidR="00A76299">
        <w:t xml:space="preserve"> </w:t>
      </w:r>
      <w:r w:rsidRPr="009619F6" w:rsidR="009619F6">
        <w:t xml:space="preserve">be required to describe all benefits requirements under state mandates applicable to QHPs in the individual or small group market that were imposed on or before December 31, 2011, that were </w:t>
      </w:r>
      <w:r w:rsidR="009F7BD4">
        <w:t xml:space="preserve">still </w:t>
      </w:r>
      <w:r w:rsidRPr="009619F6" w:rsidR="009619F6">
        <w:t xml:space="preserve">in effect on December 31, 2011, as well as all benefits requirements under state mandates that were imposed any time after December 31, 2011 applicable to the individual or small group market.  For example, if a state benefit requirement applicable to QHPs in the individual or small group market was imposed before December 31, 2011, but was no longer in effect on December 31, 2011, then the state </w:t>
      </w:r>
      <w:r w:rsidR="00A76299">
        <w:t>is</w:t>
      </w:r>
      <w:r w:rsidRPr="009619F6" w:rsidR="00A76299">
        <w:t xml:space="preserve"> </w:t>
      </w:r>
      <w:r w:rsidRPr="009619F6" w:rsidR="009619F6">
        <w:t xml:space="preserve">not </w:t>
      </w:r>
      <w:proofErr w:type="gramStart"/>
      <w:r w:rsidRPr="009619F6" w:rsidR="009619F6">
        <w:t>be</w:t>
      </w:r>
      <w:proofErr w:type="gramEnd"/>
      <w:r w:rsidRPr="009619F6" w:rsidR="009619F6">
        <w:t xml:space="preserve"> expected to include that state mandate in its report. The state’s report </w:t>
      </w:r>
      <w:r w:rsidR="00A76299">
        <w:t xml:space="preserve">must also </w:t>
      </w:r>
      <w:r w:rsidRPr="009619F6" w:rsidR="009619F6">
        <w:t xml:space="preserve">describe whether any of the state benefit requirements in the report were amended or repealed after December 31, 2011.  Information in the state’s report </w:t>
      </w:r>
      <w:r w:rsidR="00A76299">
        <w:t xml:space="preserve">must </w:t>
      </w:r>
      <w:r w:rsidRPr="009619F6" w:rsidR="009619F6">
        <w:t>be accurate as of the day that is at least 60 days prior to the annual reporting submission deadline set by HHS.</w:t>
      </w:r>
    </w:p>
    <w:p w:rsidR="00F7371B" w:rsidP="00CA1687" w:rsidRDefault="00765261" w14:paraId="5630A95C" w14:textId="24CC401C">
      <w:pPr>
        <w:pStyle w:val="BodyText"/>
        <w:spacing w:before="196"/>
        <w:ind w:right="30"/>
      </w:pPr>
      <w:r w:rsidRPr="00765261">
        <w:t xml:space="preserve">We also </w:t>
      </w:r>
      <w:r w:rsidR="00A76299">
        <w:t>finalized</w:t>
      </w:r>
      <w:r w:rsidRPr="00765261" w:rsidR="00A76299">
        <w:t xml:space="preserve"> </w:t>
      </w:r>
      <w:r w:rsidRPr="00765261">
        <w:t>at §156.111(d)(2) that if the state does not notify HHS of its required benefits considered to be in addition to EHB by the annual reporting submission deadline, or does not do so in the form and manner specified by HHS, HHS will determine which benefits are in addition to EHB for the state for the applicable plan year. HHS’s determination of which benefits are in addition to EHB would become part of the definition of EHB for the applicable state for the applicable plan year.</w:t>
      </w:r>
    </w:p>
    <w:p w:rsidR="00775830" w:rsidP="00CA1687" w:rsidRDefault="00775830" w14:paraId="74E1375D" w14:textId="77777777">
      <w:pPr>
        <w:pStyle w:val="BodyText"/>
        <w:ind w:left="119" w:right="30"/>
      </w:pPr>
    </w:p>
    <w:p w:rsidRPr="00775830" w:rsidR="005600BB" w:rsidP="00CA1687" w:rsidRDefault="0043666F" w14:paraId="23DE1EBE" w14:textId="2540BA49">
      <w:pPr>
        <w:ind w:right="30"/>
        <w:rPr>
          <w:sz w:val="24"/>
        </w:rPr>
      </w:pPr>
      <w:r w:rsidRPr="00775830">
        <w:rPr>
          <w:sz w:val="24"/>
        </w:rPr>
        <w:t xml:space="preserve">CMS </w:t>
      </w:r>
      <w:r w:rsidR="00A76299">
        <w:rPr>
          <w:sz w:val="24"/>
        </w:rPr>
        <w:t>is amending</w:t>
      </w:r>
      <w:r w:rsidRPr="00775830">
        <w:rPr>
          <w:sz w:val="24"/>
        </w:rPr>
        <w:t xml:space="preserve"> the existing information collection requirements in order to reflect the </w:t>
      </w:r>
      <w:r w:rsidR="00A76299">
        <w:rPr>
          <w:sz w:val="24"/>
        </w:rPr>
        <w:t xml:space="preserve">finalized </w:t>
      </w:r>
      <w:r w:rsidRPr="00775830">
        <w:rPr>
          <w:sz w:val="24"/>
        </w:rPr>
        <w:t xml:space="preserve">policy changes to obtain information for when a </w:t>
      </w:r>
      <w:r w:rsidR="001B0F38">
        <w:rPr>
          <w:sz w:val="24"/>
        </w:rPr>
        <w:t>s</w:t>
      </w:r>
      <w:r w:rsidRPr="00775830">
        <w:rPr>
          <w:sz w:val="24"/>
        </w:rPr>
        <w:t xml:space="preserve">tate </w:t>
      </w:r>
      <w:r w:rsidRPr="00775830" w:rsidR="00765261">
        <w:rPr>
          <w:sz w:val="24"/>
        </w:rPr>
        <w:t>annu</w:t>
      </w:r>
      <w:r w:rsidRPr="00775830" w:rsidR="009619F6">
        <w:rPr>
          <w:sz w:val="24"/>
        </w:rPr>
        <w:t>ally reports to HHS on its state-</w:t>
      </w:r>
      <w:r w:rsidRPr="00775830" w:rsidR="00765261">
        <w:rPr>
          <w:sz w:val="24"/>
        </w:rPr>
        <w:t xml:space="preserve">required </w:t>
      </w:r>
      <w:r w:rsidRPr="00775830" w:rsidR="00765261">
        <w:rPr>
          <w:sz w:val="24"/>
        </w:rPr>
        <w:lastRenderedPageBreak/>
        <w:t>benefits</w:t>
      </w:r>
      <w:r w:rsidRPr="00775830">
        <w:rPr>
          <w:sz w:val="24"/>
        </w:rPr>
        <w:t xml:space="preserve">. </w:t>
      </w:r>
    </w:p>
    <w:p w:rsidR="005600BB" w:rsidP="00CA1687" w:rsidRDefault="005600BB" w14:paraId="1B4E1D37" w14:textId="77777777">
      <w:pPr>
        <w:pStyle w:val="BodyText"/>
        <w:spacing w:before="4"/>
        <w:ind w:right="30"/>
      </w:pPr>
    </w:p>
    <w:p w:rsidRPr="000D235C" w:rsidR="005600BB" w:rsidP="00CA1687" w:rsidRDefault="0043666F" w14:paraId="1EC397AE" w14:textId="77777777">
      <w:pPr>
        <w:pStyle w:val="Heading1"/>
        <w:numPr>
          <w:ilvl w:val="0"/>
          <w:numId w:val="3"/>
        </w:numPr>
        <w:tabs>
          <w:tab w:val="left" w:pos="990"/>
        </w:tabs>
        <w:ind w:left="720" w:right="30" w:hanging="720"/>
        <w:rPr>
          <w:u w:val="single"/>
        </w:rPr>
      </w:pPr>
      <w:bookmarkStart w:name="B._Justification" w:id="24"/>
      <w:bookmarkEnd w:id="24"/>
      <w:r w:rsidRPr="000D235C">
        <w:rPr>
          <w:u w:val="single"/>
        </w:rPr>
        <w:t>Justification</w:t>
      </w:r>
    </w:p>
    <w:p w:rsidR="005600BB" w:rsidP="00CA1687" w:rsidRDefault="005600BB" w14:paraId="509EB9BD" w14:textId="77777777">
      <w:pPr>
        <w:pStyle w:val="BodyText"/>
        <w:spacing w:before="5"/>
        <w:ind w:right="30"/>
        <w:rPr>
          <w:b/>
          <w:sz w:val="25"/>
        </w:rPr>
      </w:pPr>
    </w:p>
    <w:p w:rsidRPr="000D235C" w:rsidR="005600BB" w:rsidP="00CA1687" w:rsidRDefault="0043666F" w14:paraId="74486518" w14:textId="77777777">
      <w:pPr>
        <w:pStyle w:val="ListParagraph"/>
        <w:numPr>
          <w:ilvl w:val="0"/>
          <w:numId w:val="1"/>
        </w:numPr>
        <w:tabs>
          <w:tab w:val="left" w:pos="1170"/>
        </w:tabs>
        <w:ind w:left="720" w:right="30" w:hanging="720"/>
        <w:jc w:val="left"/>
        <w:rPr>
          <w:sz w:val="24"/>
          <w:u w:val="single"/>
        </w:rPr>
      </w:pPr>
      <w:bookmarkStart w:name="1._Need_and_Legal_Basis" w:id="25"/>
      <w:bookmarkEnd w:id="25"/>
      <w:r w:rsidRPr="000D235C">
        <w:rPr>
          <w:sz w:val="24"/>
          <w:u w:val="single"/>
        </w:rPr>
        <w:t>Need and Legal</w:t>
      </w:r>
      <w:r w:rsidRPr="000D235C">
        <w:rPr>
          <w:spacing w:val="-8"/>
          <w:sz w:val="24"/>
          <w:u w:val="single"/>
        </w:rPr>
        <w:t xml:space="preserve"> </w:t>
      </w:r>
      <w:r w:rsidRPr="000D235C">
        <w:rPr>
          <w:sz w:val="24"/>
          <w:u w:val="single"/>
        </w:rPr>
        <w:t>Basis</w:t>
      </w:r>
    </w:p>
    <w:p w:rsidR="005600BB" w:rsidP="00CA1687" w:rsidRDefault="005600BB" w14:paraId="185B36F8" w14:textId="77777777">
      <w:pPr>
        <w:pStyle w:val="BodyText"/>
        <w:ind w:right="30"/>
        <w:rPr>
          <w:b/>
          <w:sz w:val="25"/>
        </w:rPr>
      </w:pPr>
    </w:p>
    <w:p w:rsidR="001B0F38" w:rsidP="00CA1687" w:rsidRDefault="001B0F38" w14:paraId="30454993" w14:textId="77777777">
      <w:pPr>
        <w:pStyle w:val="BodyText"/>
        <w:ind w:right="30"/>
      </w:pPr>
      <w:bookmarkStart w:name="Section_1302_of_the_PPACA_requires_that_" w:id="26"/>
      <w:bookmarkEnd w:id="26"/>
      <w:r>
        <w:rPr>
          <w:b/>
        </w:rPr>
        <w:t>EHB-Benchmark Plan Selection</w:t>
      </w:r>
    </w:p>
    <w:p w:rsidRPr="00775830" w:rsidR="005600BB" w:rsidP="00CA1687" w:rsidRDefault="0043666F" w14:paraId="7E587546" w14:textId="3F3756AA">
      <w:pPr>
        <w:ind w:right="30"/>
        <w:rPr>
          <w:sz w:val="24"/>
        </w:rPr>
      </w:pPr>
      <w:r w:rsidRPr="00775830">
        <w:rPr>
          <w:sz w:val="24"/>
        </w:rPr>
        <w:t xml:space="preserve">Section 1302 of the PPACA requires that all non-grandfathered individual and small group health plans provide EHB, as defined by the Secretary. Section 1321(a) requires HHS to issue regulations setting standards for meeting the requirements under title I of the PPACA. On June 5, 2012, HHS published Data Collection to Support Standards Related to Essential Health Benefits; Recognition of Entities for the Accreditation of Qualified Health Plans (77 FR 33133), initially authorizing CMS to collect data from potential default EHB-benchmark plan issuers in each </w:t>
      </w:r>
      <w:r w:rsidR="001B0F38">
        <w:rPr>
          <w:sz w:val="24"/>
        </w:rPr>
        <w:t>s</w:t>
      </w:r>
      <w:r w:rsidRPr="00775830">
        <w:rPr>
          <w:sz w:val="24"/>
        </w:rPr>
        <w:t xml:space="preserve">tate.  The </w:t>
      </w:r>
      <w:r w:rsidRPr="00775830" w:rsidR="00055751">
        <w:rPr>
          <w:sz w:val="24"/>
        </w:rPr>
        <w:t xml:space="preserve">ICR </w:t>
      </w:r>
      <w:r w:rsidRPr="00775830">
        <w:rPr>
          <w:sz w:val="24"/>
        </w:rPr>
        <w:t xml:space="preserve">associated with that proposed rule addressed </w:t>
      </w:r>
      <w:r w:rsidR="001B0F38">
        <w:rPr>
          <w:sz w:val="24"/>
        </w:rPr>
        <w:t>s</w:t>
      </w:r>
      <w:r w:rsidRPr="00775830">
        <w:rPr>
          <w:sz w:val="24"/>
        </w:rPr>
        <w:t>tates’ selection of their own benchmark plan. The proposed rule was finalized and published on July 20, 2012</w:t>
      </w:r>
      <w:r w:rsidR="001B0F38">
        <w:rPr>
          <w:sz w:val="24"/>
        </w:rPr>
        <w:t>,</w:t>
      </w:r>
      <w:r w:rsidRPr="00775830">
        <w:rPr>
          <w:sz w:val="24"/>
        </w:rPr>
        <w:t xml:space="preserve"> at 77 FR 42658. A revised ICR was published with the HHS Notice of Benefit and Payment Parameters for 2016 (CMS-9944-P and CMS-9937-F) and the ICR was finalized on August 28, 2015.  As part of the 2019 Proposed Payment Notice, we proposed to revise this ICR which also proposed to add one new EHB section to the regulation at §156.111. We </w:t>
      </w:r>
      <w:r w:rsidRPr="00775830" w:rsidR="00E22E55">
        <w:rPr>
          <w:sz w:val="24"/>
        </w:rPr>
        <w:t xml:space="preserve">finalized </w:t>
      </w:r>
      <w:r w:rsidRPr="00775830">
        <w:rPr>
          <w:sz w:val="24"/>
        </w:rPr>
        <w:t xml:space="preserve">new regulations at §156.111 for a </w:t>
      </w:r>
      <w:r w:rsidR="001B0F38">
        <w:rPr>
          <w:sz w:val="24"/>
        </w:rPr>
        <w:t>s</w:t>
      </w:r>
      <w:r w:rsidRPr="00775830">
        <w:rPr>
          <w:sz w:val="24"/>
        </w:rPr>
        <w:t>tate’s EHB-benchmark plan as part of the 2019 Final Payment Notice</w:t>
      </w:r>
      <w:r w:rsidRPr="00775830" w:rsidR="00E22E55">
        <w:rPr>
          <w:sz w:val="24"/>
        </w:rPr>
        <w:t xml:space="preserve"> published on April 17, 2018, and simultaneously published a revised ICR to reflect these changes on April 16, 2018</w:t>
      </w:r>
      <w:r w:rsidRPr="00775830">
        <w:rPr>
          <w:sz w:val="24"/>
        </w:rPr>
        <w:t>.</w:t>
      </w:r>
      <w:r w:rsidRPr="00775830" w:rsidR="009F3A02">
        <w:rPr>
          <w:sz w:val="24"/>
        </w:rPr>
        <w:t xml:space="preserve"> As part of the 2021 Proposed Payment Notice, we propose</w:t>
      </w:r>
      <w:r w:rsidR="0028061E">
        <w:rPr>
          <w:sz w:val="24"/>
        </w:rPr>
        <w:t>d</w:t>
      </w:r>
      <w:r w:rsidRPr="00775830" w:rsidR="009F3A02">
        <w:rPr>
          <w:sz w:val="24"/>
        </w:rPr>
        <w:t xml:space="preserve"> to revise this ICR requesting a 60-day public comm</w:t>
      </w:r>
      <w:r w:rsidRPr="00775830" w:rsidR="00F60AF1">
        <w:rPr>
          <w:sz w:val="24"/>
        </w:rPr>
        <w:t>ent process, which propose</w:t>
      </w:r>
      <w:r w:rsidR="0028061E">
        <w:rPr>
          <w:sz w:val="24"/>
        </w:rPr>
        <w:t>d</w:t>
      </w:r>
      <w:r w:rsidRPr="00775830" w:rsidR="009F3A02">
        <w:rPr>
          <w:sz w:val="24"/>
        </w:rPr>
        <w:t xml:space="preserve"> to add new EHB sections to the regulation at §156.111(d) and (f).</w:t>
      </w:r>
    </w:p>
    <w:p w:rsidR="005600BB" w:rsidP="00CA1687" w:rsidRDefault="005600BB" w14:paraId="2297EC94" w14:textId="77777777">
      <w:pPr>
        <w:pStyle w:val="BodyText"/>
        <w:spacing w:before="11"/>
        <w:ind w:right="30"/>
        <w:rPr>
          <w:sz w:val="23"/>
        </w:rPr>
      </w:pPr>
    </w:p>
    <w:p w:rsidRPr="00775830" w:rsidR="005600BB" w:rsidP="00CA1687" w:rsidRDefault="0043666F" w14:paraId="7B4F17AD" w14:textId="0CB570B8">
      <w:pPr>
        <w:ind w:right="30"/>
        <w:rPr>
          <w:sz w:val="24"/>
        </w:rPr>
      </w:pPr>
      <w:bookmarkStart w:name="In_accordance_with_§156.111(e),_for_plan" w:id="27"/>
      <w:bookmarkEnd w:id="27"/>
      <w:r w:rsidRPr="00775830">
        <w:rPr>
          <w:sz w:val="24"/>
        </w:rPr>
        <w:t xml:space="preserve">In accordance with §156.111(e), for plan years beginning on or after January 1, </w:t>
      </w:r>
      <w:r w:rsidRPr="00775830" w:rsidR="009F3A02">
        <w:rPr>
          <w:sz w:val="24"/>
        </w:rPr>
        <w:t>2020</w:t>
      </w:r>
      <w:r w:rsidRPr="00775830">
        <w:rPr>
          <w:sz w:val="24"/>
        </w:rPr>
        <w:t xml:space="preserve">, a </w:t>
      </w:r>
      <w:r w:rsidR="001B0F38">
        <w:rPr>
          <w:sz w:val="24"/>
        </w:rPr>
        <w:t>s</w:t>
      </w:r>
      <w:r w:rsidRPr="00775830">
        <w:rPr>
          <w:sz w:val="24"/>
        </w:rPr>
        <w:t>tate changing its EHB-benchmark plan using one of the options at §156.111(a) must submit documents specified by HHS in a format and manner by a date determined by HHS. These required documents include:</w:t>
      </w:r>
    </w:p>
    <w:p w:rsidRPr="00775830" w:rsidR="005600BB" w:rsidP="00CA1687" w:rsidRDefault="005600BB" w14:paraId="244C3F6F" w14:textId="77777777">
      <w:pPr>
        <w:ind w:right="30"/>
        <w:rPr>
          <w:sz w:val="24"/>
        </w:rPr>
      </w:pPr>
    </w:p>
    <w:p w:rsidRPr="00775830" w:rsidR="005600BB" w:rsidP="00CA1687" w:rsidRDefault="0043666F" w14:paraId="1C2A5B45" w14:textId="4C7C6F8E">
      <w:pPr>
        <w:pStyle w:val="ListParagraph"/>
        <w:numPr>
          <w:ilvl w:val="0"/>
          <w:numId w:val="4"/>
        </w:numPr>
        <w:ind w:right="30"/>
        <w:rPr>
          <w:sz w:val="24"/>
        </w:rPr>
      </w:pPr>
      <w:bookmarkStart w:name="(1)_A_document_confirming_that_the_State" w:id="28"/>
      <w:bookmarkEnd w:id="28"/>
      <w:r w:rsidRPr="00775830">
        <w:rPr>
          <w:sz w:val="24"/>
        </w:rPr>
        <w:t xml:space="preserve">A document confirming that the </w:t>
      </w:r>
      <w:r w:rsidR="001B0F38">
        <w:rPr>
          <w:sz w:val="24"/>
        </w:rPr>
        <w:t>s</w:t>
      </w:r>
      <w:r w:rsidRPr="00775830">
        <w:rPr>
          <w:sz w:val="24"/>
        </w:rPr>
        <w:t xml:space="preserve">tate’s EHB-benchmark plan definition complies with the requirements under paragraphs (a), (b) and (c), including information on which selection option under proposed §156.111(a) the </w:t>
      </w:r>
      <w:r w:rsidR="001B0F38">
        <w:rPr>
          <w:sz w:val="24"/>
        </w:rPr>
        <w:t>s</w:t>
      </w:r>
      <w:r w:rsidRPr="00775830">
        <w:rPr>
          <w:sz w:val="24"/>
        </w:rPr>
        <w:t xml:space="preserve">tate is using, and whether the </w:t>
      </w:r>
      <w:r w:rsidR="001B0F38">
        <w:rPr>
          <w:sz w:val="24"/>
        </w:rPr>
        <w:t>s</w:t>
      </w:r>
      <w:r w:rsidRPr="00775830">
        <w:rPr>
          <w:sz w:val="24"/>
        </w:rPr>
        <w:t xml:space="preserve">tate is using another </w:t>
      </w:r>
      <w:r w:rsidR="001B0F38">
        <w:rPr>
          <w:sz w:val="24"/>
        </w:rPr>
        <w:t>s</w:t>
      </w:r>
      <w:r w:rsidRPr="00775830">
        <w:rPr>
          <w:sz w:val="24"/>
        </w:rPr>
        <w:t>tate’s EHB-benchmark plan;</w:t>
      </w:r>
    </w:p>
    <w:p w:rsidRPr="00775830" w:rsidR="005600BB" w:rsidP="00CA1687" w:rsidRDefault="005600BB" w14:paraId="1FFC26A8" w14:textId="77777777">
      <w:pPr>
        <w:ind w:right="30"/>
        <w:rPr>
          <w:sz w:val="24"/>
        </w:rPr>
      </w:pPr>
    </w:p>
    <w:p w:rsidRPr="00775830" w:rsidR="005600BB" w:rsidP="00CA1687" w:rsidRDefault="0043666F" w14:paraId="2763C48A" w14:textId="3EAEDA8D">
      <w:pPr>
        <w:pStyle w:val="ListParagraph"/>
        <w:numPr>
          <w:ilvl w:val="0"/>
          <w:numId w:val="4"/>
        </w:numPr>
        <w:ind w:right="30"/>
        <w:rPr>
          <w:sz w:val="24"/>
        </w:rPr>
      </w:pPr>
      <w:bookmarkStart w:name="(2)_An_actuarial_certification_and_an_as" w:id="29"/>
      <w:bookmarkEnd w:id="29"/>
      <w:r w:rsidRPr="00775830">
        <w:rPr>
          <w:sz w:val="24"/>
        </w:rPr>
        <w:t>An actuarial certification and an associated actuarial report from an actuary, who is a member of the American Academy of Actuaries, in accordance with generally accepted actuarial principles and methodologies that affirms:</w:t>
      </w:r>
    </w:p>
    <w:p w:rsidR="00775830" w:rsidP="00CA1687" w:rsidRDefault="0043666F" w14:paraId="6FB49380" w14:textId="5CD06669">
      <w:pPr>
        <w:pStyle w:val="ListParagraph"/>
        <w:numPr>
          <w:ilvl w:val="0"/>
          <w:numId w:val="5"/>
        </w:numPr>
        <w:ind w:right="30"/>
        <w:rPr>
          <w:sz w:val="24"/>
        </w:rPr>
      </w:pPr>
      <w:bookmarkStart w:name="(i)_That_the_State’s_EHB-benchmark_plan_" w:id="30"/>
      <w:bookmarkEnd w:id="30"/>
      <w:r w:rsidRPr="00775830">
        <w:rPr>
          <w:sz w:val="24"/>
        </w:rPr>
        <w:t xml:space="preserve">That the </w:t>
      </w:r>
      <w:r w:rsidR="001B0F38">
        <w:rPr>
          <w:sz w:val="24"/>
        </w:rPr>
        <w:t>s</w:t>
      </w:r>
      <w:r w:rsidRPr="00775830">
        <w:rPr>
          <w:sz w:val="24"/>
        </w:rPr>
        <w:t>tate’s EHB-benchmark plan provides a scope of benefits that is equal to, or greater than, to the extent any supplementation is required to provide coverage within each EHB category at</w:t>
      </w:r>
      <w:r w:rsidRPr="00775830" w:rsidR="0000751F">
        <w:rPr>
          <w:sz w:val="24"/>
        </w:rPr>
        <w:t xml:space="preserve"> </w:t>
      </w:r>
      <w:r w:rsidRPr="00775830">
        <w:rPr>
          <w:sz w:val="24"/>
        </w:rPr>
        <w:t>§156.110(a), the scope of benefits provided under a typical employer plan, as defined at</w:t>
      </w:r>
      <w:r w:rsidR="00775830">
        <w:rPr>
          <w:sz w:val="24"/>
        </w:rPr>
        <w:t xml:space="preserve"> </w:t>
      </w:r>
      <w:r w:rsidRPr="00775830">
        <w:rPr>
          <w:sz w:val="24"/>
        </w:rPr>
        <w:t>§156.110(b)(2)(i); and</w:t>
      </w:r>
      <w:bookmarkStart w:name="(ii)_That_the_new_EHB-benchmark_plan_doe" w:id="31"/>
      <w:bookmarkEnd w:id="31"/>
    </w:p>
    <w:p w:rsidRPr="00775830" w:rsidR="00C93E4E" w:rsidP="00CA1687" w:rsidRDefault="0043666F" w14:paraId="5180730F" w14:textId="0FA60904">
      <w:pPr>
        <w:pStyle w:val="ListParagraph"/>
        <w:numPr>
          <w:ilvl w:val="0"/>
          <w:numId w:val="5"/>
        </w:numPr>
        <w:ind w:right="30"/>
        <w:rPr>
          <w:sz w:val="24"/>
        </w:rPr>
      </w:pPr>
      <w:r w:rsidRPr="00775830">
        <w:rPr>
          <w:sz w:val="24"/>
        </w:rPr>
        <w:t>That the new EHB-benchmark plan does not exceed the generosity of the most generous among the plans listed in §156.111(b)(2)(ii);</w:t>
      </w:r>
    </w:p>
    <w:p w:rsidRPr="00775830" w:rsidR="00C93E4E" w:rsidP="00CA1687" w:rsidRDefault="00C93E4E" w14:paraId="7A9DFF62" w14:textId="77777777">
      <w:pPr>
        <w:ind w:right="30"/>
        <w:rPr>
          <w:sz w:val="24"/>
        </w:rPr>
      </w:pPr>
    </w:p>
    <w:p w:rsidRPr="00775830" w:rsidR="00C93E4E" w:rsidP="00CA1687" w:rsidRDefault="0043666F" w14:paraId="47EA5494" w14:textId="0C5815E8">
      <w:pPr>
        <w:pStyle w:val="ListParagraph"/>
        <w:numPr>
          <w:ilvl w:val="0"/>
          <w:numId w:val="4"/>
        </w:numPr>
        <w:ind w:right="30"/>
        <w:rPr>
          <w:sz w:val="24"/>
        </w:rPr>
      </w:pPr>
      <w:bookmarkStart w:name="(3)_The_State’s_EHB-benchmark_plan_docum" w:id="32"/>
      <w:bookmarkEnd w:id="32"/>
      <w:r w:rsidRPr="00775830">
        <w:rPr>
          <w:sz w:val="24"/>
        </w:rPr>
        <w:t xml:space="preserve">The </w:t>
      </w:r>
      <w:r w:rsidR="001B0F38">
        <w:rPr>
          <w:sz w:val="24"/>
        </w:rPr>
        <w:t>s</w:t>
      </w:r>
      <w:r w:rsidRPr="00775830">
        <w:rPr>
          <w:sz w:val="24"/>
        </w:rPr>
        <w:t xml:space="preserve">tate’s EHB-benchmark plan document that reflects the benefits and limitations, including medical management requirements, a schedule of benefits and, if the </w:t>
      </w:r>
      <w:r w:rsidR="001B0F38">
        <w:rPr>
          <w:sz w:val="24"/>
        </w:rPr>
        <w:t>s</w:t>
      </w:r>
      <w:r w:rsidRPr="00775830">
        <w:rPr>
          <w:sz w:val="24"/>
        </w:rPr>
        <w:t>tate is selecting its EHB-benchmark plan using the option in §156.111(a)(3), a formulary drug list in a format and manner specified by HHS; and</w:t>
      </w:r>
    </w:p>
    <w:p w:rsidRPr="00775830" w:rsidR="00C93E4E" w:rsidP="00CA1687" w:rsidRDefault="00C93E4E" w14:paraId="483E30A5" w14:textId="77777777">
      <w:pPr>
        <w:ind w:right="30"/>
        <w:rPr>
          <w:sz w:val="24"/>
        </w:rPr>
      </w:pPr>
    </w:p>
    <w:p w:rsidRPr="00775830" w:rsidR="00C93E4E" w:rsidP="00CA1687" w:rsidRDefault="0043666F" w14:paraId="028AB256" w14:textId="2A4D13D0">
      <w:pPr>
        <w:pStyle w:val="ListParagraph"/>
        <w:numPr>
          <w:ilvl w:val="0"/>
          <w:numId w:val="4"/>
        </w:numPr>
        <w:ind w:right="30"/>
        <w:rPr>
          <w:sz w:val="24"/>
        </w:rPr>
      </w:pPr>
      <w:bookmarkStart w:name="_(4)_Other_documentation_specified_by_HH" w:id="33"/>
      <w:bookmarkEnd w:id="33"/>
      <w:r w:rsidRPr="00775830">
        <w:rPr>
          <w:sz w:val="24"/>
        </w:rPr>
        <w:t xml:space="preserve">Other documentation specified by HHS, which is necessary to operationalize the </w:t>
      </w:r>
      <w:r w:rsidR="001B0F38">
        <w:rPr>
          <w:sz w:val="24"/>
        </w:rPr>
        <w:t>s</w:t>
      </w:r>
      <w:r w:rsidRPr="00775830">
        <w:rPr>
          <w:sz w:val="24"/>
        </w:rPr>
        <w:t>tate’s EHB-benchmark plan.</w:t>
      </w:r>
    </w:p>
    <w:p w:rsidRPr="00C93E4E" w:rsidR="00C93E4E" w:rsidP="00CA1687" w:rsidRDefault="00C93E4E" w14:paraId="6F235A44" w14:textId="77777777">
      <w:pPr>
        <w:tabs>
          <w:tab w:val="left" w:pos="1238"/>
        </w:tabs>
        <w:spacing w:line="242" w:lineRule="auto"/>
        <w:ind w:left="119" w:right="30"/>
        <w:rPr>
          <w:sz w:val="24"/>
        </w:rPr>
      </w:pPr>
    </w:p>
    <w:p w:rsidRPr="00775830" w:rsidR="00C93E4E" w:rsidP="00CA1687" w:rsidRDefault="00AF1FE6" w14:paraId="11FFB22E" w14:textId="66E9C7C6">
      <w:pPr>
        <w:ind w:right="30"/>
        <w:rPr>
          <w:sz w:val="24"/>
        </w:rPr>
      </w:pPr>
      <w:bookmarkStart w:name="Unlike_the_previous_ICR,_a_response_is_n" w:id="34"/>
      <w:bookmarkEnd w:id="34"/>
      <w:r>
        <w:rPr>
          <w:sz w:val="24"/>
        </w:rPr>
        <w:t>A</w:t>
      </w:r>
      <w:r w:rsidRPr="00775830" w:rsidR="0043666F">
        <w:rPr>
          <w:sz w:val="24"/>
        </w:rPr>
        <w:t xml:space="preserve"> response is not needed for all </w:t>
      </w:r>
      <w:r w:rsidR="001B0F38">
        <w:rPr>
          <w:sz w:val="24"/>
        </w:rPr>
        <w:t>s</w:t>
      </w:r>
      <w:r w:rsidRPr="00775830" w:rsidR="0043666F">
        <w:rPr>
          <w:sz w:val="24"/>
        </w:rPr>
        <w:t xml:space="preserve">tates. Only </w:t>
      </w:r>
      <w:r w:rsidR="001B0F38">
        <w:rPr>
          <w:sz w:val="24"/>
        </w:rPr>
        <w:t>s</w:t>
      </w:r>
      <w:r w:rsidRPr="00775830" w:rsidR="0043666F">
        <w:rPr>
          <w:sz w:val="24"/>
        </w:rPr>
        <w:t xml:space="preserve">tates choosing to modify the </w:t>
      </w:r>
      <w:r w:rsidR="001B0F38">
        <w:rPr>
          <w:sz w:val="24"/>
        </w:rPr>
        <w:t>s</w:t>
      </w:r>
      <w:r w:rsidRPr="00775830" w:rsidR="0043666F">
        <w:rPr>
          <w:sz w:val="24"/>
        </w:rPr>
        <w:t xml:space="preserve">tate’s EHB-benchmark plan would need to respond to this ICR. However, the number and types of documents needed in this ICR differ from the previous ICR. This information collection uses collection instruments in Appendices A, B, C, D, E and G in addition to requiring the </w:t>
      </w:r>
      <w:r w:rsidR="001B0F38">
        <w:rPr>
          <w:sz w:val="24"/>
        </w:rPr>
        <w:t>s</w:t>
      </w:r>
      <w:r w:rsidRPr="00775830" w:rsidR="0043666F">
        <w:rPr>
          <w:sz w:val="24"/>
        </w:rPr>
        <w:t>tate to submit the same documentation in the previous ICR.</w:t>
      </w:r>
      <w:r w:rsidRPr="00775830" w:rsidR="0000751F">
        <w:rPr>
          <w:sz w:val="24"/>
          <w:vertAlign w:val="superscript"/>
        </w:rPr>
        <w:footnoteReference w:id="5"/>
      </w:r>
      <w:r w:rsidRPr="00775830" w:rsidR="0043666F">
        <w:rPr>
          <w:sz w:val="24"/>
        </w:rPr>
        <w:t xml:space="preserve"> We provide collection instruments for certain documents in this ICR and for other documents in this ICR, we do not have collection instruments. These collection instructions have been updated in accordance with the Final 2019 Payment Notice and in response to comments received. </w:t>
      </w:r>
      <w:r w:rsidR="000E563E">
        <w:rPr>
          <w:sz w:val="24"/>
        </w:rPr>
        <w:t xml:space="preserve">Since beginning this collection, we have also made updates to these collection instruments for clarity and to improve usability. </w:t>
      </w:r>
      <w:r w:rsidRPr="00775830" w:rsidR="0043666F">
        <w:rPr>
          <w:sz w:val="24"/>
        </w:rPr>
        <w:t xml:space="preserve">For documents without collection instruments, the </w:t>
      </w:r>
      <w:r w:rsidR="001B0F38">
        <w:rPr>
          <w:sz w:val="24"/>
        </w:rPr>
        <w:t>s</w:t>
      </w:r>
      <w:r w:rsidRPr="00775830" w:rsidR="0043666F">
        <w:rPr>
          <w:sz w:val="24"/>
        </w:rPr>
        <w:t>tate will submit these documents in a PDF or Word format. States will submit these documents electronically. We may use a web-based tool to collect these documents with e-mail as back up option, and we believe that the burden would be the same for collecting all of these documents in a web tool or via email.</w:t>
      </w:r>
    </w:p>
    <w:p w:rsidR="00C93E4E" w:rsidP="00CA1687" w:rsidRDefault="00C93E4E" w14:paraId="1309DBAF" w14:textId="77777777">
      <w:pPr>
        <w:pStyle w:val="BodyText"/>
        <w:spacing w:line="276" w:lineRule="exact"/>
        <w:ind w:left="119" w:right="30"/>
      </w:pPr>
    </w:p>
    <w:p w:rsidRPr="009F3A02" w:rsidR="009F3A02" w:rsidP="00CA1687" w:rsidRDefault="009F3A02" w14:paraId="1AEA8DED" w14:textId="77777777">
      <w:pPr>
        <w:pStyle w:val="BodyText"/>
        <w:spacing w:line="276" w:lineRule="exact"/>
        <w:ind w:right="30"/>
      </w:pPr>
      <w:r>
        <w:rPr>
          <w:b/>
        </w:rPr>
        <w:t>Annual Reporting of State Mandates</w:t>
      </w:r>
    </w:p>
    <w:p w:rsidR="002340ED" w:rsidP="00CA1687" w:rsidRDefault="002340ED" w14:paraId="33537BF7" w14:textId="490490EC">
      <w:pPr>
        <w:pStyle w:val="BodyText"/>
        <w:spacing w:line="276" w:lineRule="exact"/>
        <w:ind w:right="30"/>
      </w:pPr>
      <w:r>
        <w:t xml:space="preserve">In accordance with the </w:t>
      </w:r>
      <w:r w:rsidR="003E5549">
        <w:t>policy finalized at</w:t>
      </w:r>
      <w:r>
        <w:t xml:space="preserve"> </w:t>
      </w:r>
      <w:r w:rsidRPr="00AE35AD">
        <w:t>§156.11</w:t>
      </w:r>
      <w:r>
        <w:t>1</w:t>
      </w:r>
      <w:r w:rsidR="00F60AF1">
        <w:t xml:space="preserve">(d) and </w:t>
      </w:r>
      <w:r>
        <w:t>(f</w:t>
      </w:r>
      <w:r w:rsidRPr="00AE35AD">
        <w:t>),</w:t>
      </w:r>
      <w:r>
        <w:t xml:space="preserve"> beginning in plan year 2021, a </w:t>
      </w:r>
      <w:r w:rsidR="001B0F38">
        <w:t>s</w:t>
      </w:r>
      <w:r>
        <w:t>tate must annually submit to HHS in a form and manner and by a date specified by HHS, a document that:</w:t>
      </w:r>
    </w:p>
    <w:p w:rsidR="002340ED" w:rsidP="00CA1687" w:rsidRDefault="002340ED" w14:paraId="24C7756B" w14:textId="5B07385C">
      <w:pPr>
        <w:pStyle w:val="BodyText"/>
        <w:spacing w:before="199" w:line="276" w:lineRule="exact"/>
        <w:ind w:left="720" w:right="30" w:hanging="360"/>
      </w:pPr>
      <w:r>
        <w:t xml:space="preserve">(1) </w:t>
      </w:r>
      <w:r w:rsidRPr="00F60AF1" w:rsidR="00F60AF1">
        <w:t xml:space="preserve">Is accurate as of the day that is at least 60 days prior to the annual reporting submission deadline set by HHS and that lists all </w:t>
      </w:r>
      <w:r w:rsidR="001B0F38">
        <w:t>s</w:t>
      </w:r>
      <w:r w:rsidRPr="00F60AF1" w:rsidR="00F60AF1">
        <w:t xml:space="preserve">tate benefit requirements applicable to </w:t>
      </w:r>
      <w:r w:rsidR="00BC3758">
        <w:t>QHPs</w:t>
      </w:r>
      <w:r w:rsidRPr="00F60AF1" w:rsidR="00F60AF1">
        <w:t xml:space="preserve"> in the individual and/or small group market under state mandates imposed on or before December 31, 2011, that were i</w:t>
      </w:r>
      <w:r w:rsidR="00F60AF1">
        <w:t xml:space="preserve">n effect on December 31, 2011, </w:t>
      </w:r>
      <w:r w:rsidRPr="00F60AF1" w:rsidR="00F60AF1">
        <w:t xml:space="preserve">and any </w:t>
      </w:r>
      <w:r w:rsidR="001B0F38">
        <w:t>s</w:t>
      </w:r>
      <w:r w:rsidRPr="00F60AF1" w:rsidR="00F60AF1">
        <w:t>tate benefit requirements under state mandates that were imposed any time after December 31, 2011</w:t>
      </w:r>
      <w:r>
        <w:t>;</w:t>
      </w:r>
    </w:p>
    <w:p w:rsidR="002340ED" w:rsidP="00CA1687" w:rsidRDefault="002340ED" w14:paraId="12F056AD" w14:textId="25DFB1CE">
      <w:pPr>
        <w:pStyle w:val="BodyText"/>
        <w:spacing w:before="199" w:line="276" w:lineRule="exact"/>
        <w:ind w:left="720" w:right="30" w:hanging="360"/>
      </w:pPr>
      <w:r>
        <w:t xml:space="preserve">(2) </w:t>
      </w:r>
      <w:r w:rsidRPr="00F60AF1" w:rsidR="00F60AF1">
        <w:t xml:space="preserve">Specifies which of those </w:t>
      </w:r>
      <w:r w:rsidR="001B0F38">
        <w:t>s</w:t>
      </w:r>
      <w:r w:rsidRPr="00F60AF1" w:rsidR="00F60AF1">
        <w:t xml:space="preserve">tate-required benefits listed in accordance with paragraph </w:t>
      </w:r>
      <w:r w:rsidRPr="00AE35AD" w:rsidR="00F60AF1">
        <w:t>§156.11</w:t>
      </w:r>
      <w:r w:rsidR="00F60AF1">
        <w:t>1</w:t>
      </w:r>
      <w:r w:rsidRPr="00F60AF1" w:rsidR="00F60AF1">
        <w:t xml:space="preserve">(f)(1) </w:t>
      </w:r>
      <w:r w:rsidR="00F60AF1">
        <w:t xml:space="preserve">the </w:t>
      </w:r>
      <w:r w:rsidR="001B0F38">
        <w:t>s</w:t>
      </w:r>
      <w:r w:rsidR="00F60AF1">
        <w:t xml:space="preserve">tate </w:t>
      </w:r>
      <w:r w:rsidRPr="00F60AF1" w:rsidR="00F60AF1">
        <w:t>has identified as in addition to EHB and subject to defrayal in accordance with § 155.170</w:t>
      </w:r>
      <w:r>
        <w:t xml:space="preserve">; </w:t>
      </w:r>
    </w:p>
    <w:p w:rsidR="002340ED" w:rsidP="00CA1687" w:rsidRDefault="002340ED" w14:paraId="2939E54B" w14:textId="756A815C">
      <w:pPr>
        <w:pStyle w:val="BodyText"/>
        <w:spacing w:before="199" w:line="276" w:lineRule="exact"/>
        <w:ind w:left="720" w:right="30" w:hanging="360"/>
      </w:pPr>
      <w:r>
        <w:t xml:space="preserve">(3) </w:t>
      </w:r>
      <w:r w:rsidRPr="00F60AF1" w:rsidR="00F60AF1">
        <w:t xml:space="preserve">Specifies which of those </w:t>
      </w:r>
      <w:r w:rsidR="001B0F38">
        <w:t>s</w:t>
      </w:r>
      <w:r w:rsidRPr="00F60AF1" w:rsidR="00F60AF1">
        <w:t xml:space="preserve">tate-required benefits listed in accordance with </w:t>
      </w:r>
      <w:r w:rsidRPr="00AE35AD" w:rsidR="00F60AF1">
        <w:t>§156.11</w:t>
      </w:r>
      <w:r w:rsidR="00F60AF1">
        <w:t>1</w:t>
      </w:r>
      <w:r w:rsidRPr="00F60AF1" w:rsidR="00F60AF1">
        <w:t xml:space="preserve">(f)(1) the </w:t>
      </w:r>
      <w:r w:rsidR="001B0F38">
        <w:t>s</w:t>
      </w:r>
      <w:r w:rsidRPr="00F60AF1" w:rsidR="00F60AF1">
        <w:t>tate has identified as not in addition to EHB and not subject to defrayal in accordance with § 155.170, and describes the basis for the state’s determination</w:t>
      </w:r>
      <w:r w:rsidR="00F60AF1">
        <w:t xml:space="preserve">; </w:t>
      </w:r>
    </w:p>
    <w:p w:rsidR="00F60AF1" w:rsidP="00CA1687" w:rsidRDefault="002340ED" w14:paraId="1EAAAAA9" w14:textId="7FE82A8E">
      <w:pPr>
        <w:pStyle w:val="BodyText"/>
        <w:spacing w:before="199" w:line="276" w:lineRule="exact"/>
        <w:ind w:left="720" w:right="30" w:hanging="360"/>
      </w:pPr>
      <w:r>
        <w:t xml:space="preserve">(4) </w:t>
      </w:r>
      <w:r w:rsidRPr="00F60AF1" w:rsidR="00F60AF1">
        <w:t xml:space="preserve">Provides other information about those </w:t>
      </w:r>
      <w:r w:rsidR="001B0F38">
        <w:t>s</w:t>
      </w:r>
      <w:r w:rsidRPr="00F60AF1" w:rsidR="00F60AF1">
        <w:t>tate-required benefits listed in accordance with §156.111(f)(1)</w:t>
      </w:r>
      <w:r w:rsidR="00F60AF1">
        <w:t xml:space="preserve"> </w:t>
      </w:r>
      <w:r w:rsidRPr="00F60AF1" w:rsidR="00F60AF1">
        <w:t>that is necessary for HHS oversight, as specified by HHS</w:t>
      </w:r>
      <w:r w:rsidR="00F60AF1">
        <w:t>;</w:t>
      </w:r>
      <w:r w:rsidRPr="00F60AF1" w:rsidR="00F60AF1">
        <w:t xml:space="preserve"> </w:t>
      </w:r>
    </w:p>
    <w:p w:rsidR="002340ED" w:rsidP="00CA1687" w:rsidRDefault="002340ED" w14:paraId="7BE8DADF" w14:textId="535BD41C">
      <w:pPr>
        <w:pStyle w:val="BodyText"/>
        <w:spacing w:before="199" w:line="276" w:lineRule="exact"/>
        <w:ind w:left="720" w:right="30" w:hanging="360"/>
      </w:pPr>
      <w:r>
        <w:t xml:space="preserve">(5) </w:t>
      </w:r>
      <w:r w:rsidRPr="00F60AF1" w:rsidR="00F60AF1">
        <w:t>Is signed by a state official with authority to make the submission on behalf of the state certifying the accuracy of the submission; and</w:t>
      </w:r>
    </w:p>
    <w:p w:rsidR="00F60AF1" w:rsidP="00CA1687" w:rsidRDefault="00F60AF1" w14:paraId="04E51183" w14:textId="2B616993">
      <w:pPr>
        <w:pStyle w:val="BodyText"/>
        <w:spacing w:before="199" w:line="276" w:lineRule="exact"/>
        <w:ind w:left="720" w:right="30" w:hanging="360"/>
      </w:pPr>
      <w:r>
        <w:t xml:space="preserve">(6) </w:t>
      </w:r>
      <w:r w:rsidRPr="00F60AF1">
        <w:t>Is updated annually, in a form</w:t>
      </w:r>
      <w:r w:rsidR="00BC3758">
        <w:t>at</w:t>
      </w:r>
      <w:r w:rsidRPr="00F60AF1">
        <w:t xml:space="preserve"> and manner and by a date specified by HHS, to include </w:t>
      </w:r>
      <w:r>
        <w:t xml:space="preserve">any new </w:t>
      </w:r>
      <w:r w:rsidR="001B0F38">
        <w:t>s</w:t>
      </w:r>
      <w:r w:rsidRPr="00F60AF1">
        <w:t xml:space="preserve">tate benefit requirements, and to indicate whether benefit requirements previously reported to HHS under </w:t>
      </w:r>
      <w:r>
        <w:t>§156.111</w:t>
      </w:r>
      <w:r w:rsidRPr="00F60AF1">
        <w:t>(f) have been amended, repealed</w:t>
      </w:r>
      <w:r w:rsidR="00D03BC2">
        <w:t>,</w:t>
      </w:r>
      <w:r w:rsidRPr="00F60AF1">
        <w:t xml:space="preserve"> or otherwise affected by state reg</w:t>
      </w:r>
      <w:r>
        <w:t xml:space="preserve">ulatory or legislative action. </w:t>
      </w:r>
    </w:p>
    <w:p w:rsidR="006F3F4F" w:rsidP="00CA1687" w:rsidRDefault="006F3F4F" w14:paraId="2F218E14" w14:textId="4F388D6B">
      <w:pPr>
        <w:pStyle w:val="BodyText"/>
        <w:spacing w:before="199" w:line="276" w:lineRule="exact"/>
        <w:ind w:right="30"/>
      </w:pPr>
      <w:r>
        <w:t xml:space="preserve">Under this ICR, a response is </w:t>
      </w:r>
      <w:r w:rsidR="009F3A02">
        <w:t xml:space="preserve">needed for all </w:t>
      </w:r>
      <w:r w:rsidR="001B0F38">
        <w:t>s</w:t>
      </w:r>
      <w:r w:rsidR="009F3A02">
        <w:t>tates</w:t>
      </w:r>
      <w:r>
        <w:t xml:space="preserve"> unless the </w:t>
      </w:r>
      <w:r w:rsidR="001B0F38">
        <w:t>s</w:t>
      </w:r>
      <w:r>
        <w:t>tate</w:t>
      </w:r>
      <w:r w:rsidRPr="006F3F4F">
        <w:t xml:space="preserve"> does not notify HHS of its </w:t>
      </w:r>
      <w:r w:rsidR="001B0F38">
        <w:t>s</w:t>
      </w:r>
      <w:r w:rsidRPr="006F3F4F">
        <w:t>tate-required benefits by the annual reporting submission deadline, or does not do so in the form</w:t>
      </w:r>
      <w:r w:rsidR="00BC3758">
        <w:t>at</w:t>
      </w:r>
      <w:r w:rsidRPr="006F3F4F">
        <w:t xml:space="preserve"> and manner specified by HHS,</w:t>
      </w:r>
      <w:r>
        <w:t xml:space="preserve"> in which case</w:t>
      </w:r>
      <w:r w:rsidRPr="006F3F4F">
        <w:t xml:space="preserve"> HHS will </w:t>
      </w:r>
      <w:r w:rsidR="003E5549">
        <w:t xml:space="preserve">identify </w:t>
      </w:r>
      <w:r w:rsidRPr="006F3F4F">
        <w:t>which benefits are in addition to EHB for the state for the applicable plan year.</w:t>
      </w:r>
    </w:p>
    <w:p w:rsidR="009F3A02" w:rsidP="00CA1687" w:rsidRDefault="009F3A02" w14:paraId="355472DA" w14:textId="646FC9C3">
      <w:pPr>
        <w:pStyle w:val="BodyText"/>
        <w:spacing w:before="199" w:line="276" w:lineRule="exact"/>
        <w:ind w:right="30"/>
      </w:pPr>
      <w:r>
        <w:t>This</w:t>
      </w:r>
      <w:r w:rsidR="00F145EE">
        <w:t xml:space="preserve"> </w:t>
      </w:r>
      <w:r>
        <w:t xml:space="preserve">information collection </w:t>
      </w:r>
      <w:r w:rsidR="00F145EE">
        <w:t>proposes to use</w:t>
      </w:r>
      <w:r>
        <w:t xml:space="preserve"> collection instruments in </w:t>
      </w:r>
      <w:r w:rsidR="007F3065">
        <w:rPr>
          <w:b/>
        </w:rPr>
        <w:t xml:space="preserve">Appendix </w:t>
      </w:r>
      <w:r w:rsidR="003B47AE">
        <w:rPr>
          <w:b/>
        </w:rPr>
        <w:t>G</w:t>
      </w:r>
      <w:r w:rsidR="00B9709B">
        <w:rPr>
          <w:b/>
        </w:rPr>
        <w:t>.</w:t>
      </w:r>
      <w:r w:rsidRPr="00B9709B" w:rsidR="001625D3">
        <w:t xml:space="preserve"> </w:t>
      </w:r>
      <w:r w:rsidRPr="00B9709B" w:rsidR="001625D3">
        <w:rPr>
          <w:b/>
        </w:rPr>
        <w:t xml:space="preserve">State Annual Report on State-Required Benefits </w:t>
      </w:r>
      <w:r w:rsidRPr="00B9709B" w:rsidR="001625D3">
        <w:t>and</w:t>
      </w:r>
      <w:r w:rsidRPr="00B9709B" w:rsidR="001625D3">
        <w:rPr>
          <w:b/>
        </w:rPr>
        <w:t xml:space="preserve"> Appendix </w:t>
      </w:r>
      <w:r w:rsidR="003B47AE">
        <w:rPr>
          <w:b/>
        </w:rPr>
        <w:t>H</w:t>
      </w:r>
      <w:r w:rsidR="00B9709B">
        <w:rPr>
          <w:b/>
        </w:rPr>
        <w:t>.</w:t>
      </w:r>
      <w:r w:rsidRPr="00B9709B" w:rsidR="001625D3">
        <w:rPr>
          <w:b/>
        </w:rPr>
        <w:t xml:space="preserve"> State Certification of Annual Report on State-Required Benefits</w:t>
      </w:r>
      <w:r w:rsidRPr="009C2427" w:rsidR="001625D3">
        <w:rPr>
          <w:i/>
        </w:rPr>
        <w:t>.</w:t>
      </w:r>
      <w:r>
        <w:rPr>
          <w:position w:val="9"/>
          <w:sz w:val="16"/>
        </w:rPr>
        <w:t xml:space="preserve"> </w:t>
      </w:r>
      <w:r>
        <w:t xml:space="preserve">States will submit these documents electronically. We may use a web-based tool to </w:t>
      </w:r>
      <w:r w:rsidR="008203D0">
        <w:t>collect these documents with e</w:t>
      </w:r>
      <w:r>
        <w:t xml:space="preserve">mail as </w:t>
      </w:r>
      <w:r w:rsidR="00CA1687">
        <w:t xml:space="preserve">a </w:t>
      </w:r>
      <w:r>
        <w:t>back</w:t>
      </w:r>
      <w:r w:rsidR="006D4730">
        <w:t>-</w:t>
      </w:r>
      <w:r>
        <w:t>up option, and we believe that the burden would be the same for collecting all of these documents in a web tool or via email.</w:t>
      </w:r>
    </w:p>
    <w:p w:rsidR="009F3A02" w:rsidP="00CA1687" w:rsidRDefault="009F3A02" w14:paraId="03C6EA05" w14:textId="77777777">
      <w:pPr>
        <w:pStyle w:val="BodyText"/>
        <w:ind w:right="30"/>
      </w:pPr>
    </w:p>
    <w:p w:rsidRPr="000D235C" w:rsidR="005600BB" w:rsidP="00CA1687" w:rsidRDefault="0043666F" w14:paraId="010C669C" w14:textId="77777777">
      <w:pPr>
        <w:pStyle w:val="Heading1"/>
        <w:numPr>
          <w:ilvl w:val="0"/>
          <w:numId w:val="1"/>
        </w:numPr>
        <w:tabs>
          <w:tab w:val="left" w:pos="1260"/>
        </w:tabs>
        <w:spacing w:before="1"/>
        <w:ind w:left="720" w:right="30" w:hanging="720"/>
        <w:jc w:val="left"/>
        <w:rPr>
          <w:b w:val="0"/>
          <w:u w:val="single"/>
        </w:rPr>
      </w:pPr>
      <w:bookmarkStart w:name="2._Information_Uses" w:id="35"/>
      <w:bookmarkEnd w:id="35"/>
      <w:r w:rsidRPr="000D235C">
        <w:rPr>
          <w:b w:val="0"/>
          <w:u w:val="single"/>
        </w:rPr>
        <w:t>Information</w:t>
      </w:r>
      <w:r w:rsidRPr="000D235C">
        <w:rPr>
          <w:b w:val="0"/>
          <w:spacing w:val="-14"/>
          <w:u w:val="single"/>
        </w:rPr>
        <w:t xml:space="preserve"> </w:t>
      </w:r>
      <w:r w:rsidRPr="000D235C">
        <w:rPr>
          <w:b w:val="0"/>
          <w:u w:val="single"/>
        </w:rPr>
        <w:t>Uses</w:t>
      </w:r>
    </w:p>
    <w:p w:rsidRPr="009F3A02" w:rsidR="0000751F" w:rsidP="00CA1687" w:rsidRDefault="0000751F" w14:paraId="51831B5C" w14:textId="17E91204">
      <w:pPr>
        <w:pStyle w:val="BodyText"/>
        <w:ind w:right="30"/>
      </w:pPr>
      <w:bookmarkStart w:name="There_are_no_other_ICRs_that_obtain_the_" w:id="36"/>
      <w:bookmarkEnd w:id="36"/>
    </w:p>
    <w:p w:rsidR="005600BB" w:rsidP="00CA1687" w:rsidRDefault="0043666F" w14:paraId="13E8DCE8" w14:textId="153E8553">
      <w:pPr>
        <w:ind w:right="30"/>
        <w:rPr>
          <w:sz w:val="24"/>
          <w:szCs w:val="24"/>
        </w:rPr>
      </w:pPr>
      <w:r w:rsidRPr="00775830">
        <w:rPr>
          <w:sz w:val="24"/>
          <w:szCs w:val="24"/>
        </w:rPr>
        <w:t xml:space="preserve">The </w:t>
      </w:r>
      <w:r w:rsidR="003618ED">
        <w:rPr>
          <w:sz w:val="24"/>
          <w:szCs w:val="24"/>
        </w:rPr>
        <w:t xml:space="preserve">EHB </w:t>
      </w:r>
      <w:r w:rsidRPr="00775830">
        <w:rPr>
          <w:sz w:val="24"/>
          <w:szCs w:val="24"/>
        </w:rPr>
        <w:t xml:space="preserve">benchmark plan information in this ICR is used by issuers and CMS to establish the benefits covered by benchmark plans in each </w:t>
      </w:r>
      <w:r w:rsidR="001B0F38">
        <w:rPr>
          <w:sz w:val="24"/>
          <w:szCs w:val="24"/>
        </w:rPr>
        <w:t>s</w:t>
      </w:r>
      <w:r w:rsidRPr="00775830">
        <w:rPr>
          <w:sz w:val="24"/>
          <w:szCs w:val="24"/>
        </w:rPr>
        <w:t xml:space="preserve">tate as EHB. This allows issuers seeking to offer coverage in the individual and small group markets to design benefits that meet EHB requirements and each </w:t>
      </w:r>
      <w:r w:rsidR="001B0F38">
        <w:rPr>
          <w:sz w:val="24"/>
          <w:szCs w:val="24"/>
        </w:rPr>
        <w:t>s</w:t>
      </w:r>
      <w:r w:rsidRPr="00775830">
        <w:rPr>
          <w:sz w:val="24"/>
          <w:szCs w:val="24"/>
        </w:rPr>
        <w:t xml:space="preserve">tate’s EHB-benchmark plan determines EHB for the purposes of the availability of premium tax credits and cost-sharing reductions for enrollees in the </w:t>
      </w:r>
      <w:r w:rsidR="001B0F38">
        <w:rPr>
          <w:sz w:val="24"/>
          <w:szCs w:val="24"/>
        </w:rPr>
        <w:t>s</w:t>
      </w:r>
      <w:r w:rsidRPr="00775830">
        <w:rPr>
          <w:sz w:val="24"/>
          <w:szCs w:val="24"/>
        </w:rPr>
        <w:t>tate.</w:t>
      </w:r>
      <w:r w:rsidRPr="00775830" w:rsidR="008F39B9">
        <w:rPr>
          <w:sz w:val="24"/>
          <w:szCs w:val="24"/>
          <w:vertAlign w:val="superscript"/>
        </w:rPr>
        <w:footnoteReference w:id="6"/>
      </w:r>
      <w:r w:rsidRPr="00775830">
        <w:rPr>
          <w:sz w:val="24"/>
          <w:szCs w:val="24"/>
        </w:rPr>
        <w:t xml:space="preserve"> This information collection also includes issuer reporting on their intent to offer SADPs. This information is used to inform CMS and </w:t>
      </w:r>
      <w:r w:rsidR="001B0F38">
        <w:rPr>
          <w:sz w:val="24"/>
          <w:szCs w:val="24"/>
        </w:rPr>
        <w:t>s</w:t>
      </w:r>
      <w:r w:rsidRPr="00775830">
        <w:rPr>
          <w:sz w:val="24"/>
          <w:szCs w:val="24"/>
        </w:rPr>
        <w:t xml:space="preserve">tates, as well as Exchanges, in their efforts to ensure plans are meeting EHB requirements for QHP certification and EHB compliance. </w:t>
      </w:r>
      <w:bookmarkStart w:name="_bookmark4" w:id="37"/>
      <w:bookmarkEnd w:id="37"/>
    </w:p>
    <w:p w:rsidRPr="00775830" w:rsidR="00A42C39" w:rsidP="00CA1687" w:rsidRDefault="00A42C39" w14:paraId="1A8D8F5D" w14:textId="77777777">
      <w:pPr>
        <w:ind w:right="30"/>
        <w:rPr>
          <w:sz w:val="24"/>
          <w:szCs w:val="24"/>
        </w:rPr>
      </w:pPr>
    </w:p>
    <w:p w:rsidRPr="00C93E4E" w:rsidR="00C93E4E" w:rsidP="00CA1687" w:rsidRDefault="006B07AA" w14:paraId="29457956" w14:textId="2F9C294A">
      <w:pPr>
        <w:pStyle w:val="BodyText"/>
        <w:spacing w:line="237" w:lineRule="auto"/>
        <w:ind w:right="30"/>
      </w:pPr>
      <w:r>
        <w:t xml:space="preserve">Collecting information on state-required benefits and posting this information on the CMS website will </w:t>
      </w:r>
      <w:r w:rsidRPr="006B07AA">
        <w:t xml:space="preserve">generally improve transparency with regard to the types of benefit requirements states are enacting, and </w:t>
      </w:r>
      <w:r w:rsidR="003E5549">
        <w:t>will</w:t>
      </w:r>
      <w:r w:rsidRPr="006B07AA" w:rsidR="003E5549">
        <w:t xml:space="preserve"> </w:t>
      </w:r>
      <w:r w:rsidRPr="006B07AA">
        <w:t>provide the necessary information to HHS for increased oversight over whether states are appropriately determining which state-required benefits require defrayal, whether states are correctly implementing the definition of EHB, and whether QHP issuers are properly allocating the portion of premiums attributable to EHB for purposes of calculating premium tax credits.</w:t>
      </w:r>
    </w:p>
    <w:p w:rsidR="005600BB" w:rsidP="00CA1687" w:rsidRDefault="005600BB" w14:paraId="676F6CBF" w14:textId="77777777">
      <w:pPr>
        <w:pStyle w:val="BodyText"/>
        <w:spacing w:before="9"/>
        <w:ind w:right="30"/>
      </w:pPr>
    </w:p>
    <w:p w:rsidRPr="000D235C" w:rsidR="005600BB" w:rsidP="00CA1687" w:rsidRDefault="0043666F" w14:paraId="38ABCBA1" w14:textId="77777777">
      <w:pPr>
        <w:pStyle w:val="Heading1"/>
        <w:numPr>
          <w:ilvl w:val="0"/>
          <w:numId w:val="1"/>
        </w:numPr>
        <w:tabs>
          <w:tab w:val="left" w:pos="1260"/>
        </w:tabs>
        <w:spacing w:before="1"/>
        <w:ind w:left="720" w:right="30" w:hanging="720"/>
        <w:jc w:val="left"/>
        <w:rPr>
          <w:b w:val="0"/>
          <w:u w:val="single"/>
        </w:rPr>
      </w:pPr>
      <w:bookmarkStart w:name="3._Use_of_Information_Technology" w:id="38"/>
      <w:bookmarkEnd w:id="38"/>
      <w:r w:rsidRPr="000D235C">
        <w:rPr>
          <w:b w:val="0"/>
          <w:u w:val="single"/>
        </w:rPr>
        <w:t>Use of Information Technology</w:t>
      </w:r>
    </w:p>
    <w:p w:rsidR="005600BB" w:rsidP="00CA1687" w:rsidRDefault="005600BB" w14:paraId="31AFBD13" w14:textId="77777777">
      <w:pPr>
        <w:pStyle w:val="BodyText"/>
        <w:spacing w:before="2"/>
        <w:ind w:right="30"/>
        <w:rPr>
          <w:b/>
        </w:rPr>
      </w:pPr>
    </w:p>
    <w:p w:rsidRPr="00775830" w:rsidR="005600BB" w:rsidP="00EC1C30" w:rsidRDefault="0000751F" w14:paraId="3DF556B9" w14:textId="258A41C6">
      <w:pPr>
        <w:pStyle w:val="BodyText"/>
        <w:ind w:right="30"/>
        <w:rPr>
          <w:vertAlign w:val="superscript"/>
        </w:rPr>
      </w:pPr>
      <w:bookmarkStart w:name="The_documents_need_to_be_submitted_elect" w:id="39"/>
      <w:bookmarkEnd w:id="39"/>
      <w:r>
        <w:rPr>
          <w:b/>
        </w:rPr>
        <w:t xml:space="preserve">EHB-Benchmark </w:t>
      </w:r>
      <w:r w:rsidR="003618ED">
        <w:rPr>
          <w:b/>
        </w:rPr>
        <w:t>p</w:t>
      </w:r>
      <w:r>
        <w:rPr>
          <w:b/>
        </w:rPr>
        <w:t xml:space="preserve">lan </w:t>
      </w:r>
      <w:r w:rsidR="003618ED">
        <w:rPr>
          <w:b/>
        </w:rPr>
        <w:t>s</w:t>
      </w:r>
      <w:r>
        <w:rPr>
          <w:b/>
        </w:rPr>
        <w:t>election</w:t>
      </w:r>
      <w:r w:rsidR="003618ED">
        <w:rPr>
          <w:b/>
        </w:rPr>
        <w:t xml:space="preserve"> </w:t>
      </w:r>
      <w:r w:rsidRPr="00775830" w:rsidR="0043666F">
        <w:t xml:space="preserve">documents </w:t>
      </w:r>
      <w:r w:rsidR="00186CF6">
        <w:t>must</w:t>
      </w:r>
      <w:r w:rsidRPr="00775830" w:rsidR="00186CF6">
        <w:t xml:space="preserve"> </w:t>
      </w:r>
      <w:r w:rsidRPr="00775830" w:rsidR="0043666F">
        <w:t xml:space="preserve">be submitted electronically. Specifically, we may use a web-based tool with email as </w:t>
      </w:r>
      <w:r w:rsidR="00BC3758">
        <w:t xml:space="preserve">a </w:t>
      </w:r>
      <w:r w:rsidRPr="00775830" w:rsidR="0043666F">
        <w:t>back</w:t>
      </w:r>
      <w:r w:rsidR="00BC3758">
        <w:t>-</w:t>
      </w:r>
      <w:r w:rsidRPr="00775830" w:rsidR="0043666F">
        <w:t xml:space="preserve">up option to collect the documents under this ICR. As described in the 2019 Payment Notice, the information in this information collection will be posted on Center for Consumer Information and Insurance Oversight (CCIIO) webpage on </w:t>
      </w:r>
      <w:r w:rsidR="00DE48CC">
        <w:t>EHB</w:t>
      </w:r>
      <w:r w:rsidRPr="00775830" w:rsidR="0043666F">
        <w:t>.</w:t>
      </w:r>
      <w:r w:rsidRPr="00775830">
        <w:rPr>
          <w:vertAlign w:val="superscript"/>
        </w:rPr>
        <w:footnoteReference w:id="7"/>
      </w:r>
      <w:r w:rsidRPr="00775830" w:rsidR="00C93E4E">
        <w:rPr>
          <w:vertAlign w:val="superscript"/>
        </w:rPr>
        <w:t xml:space="preserve"> </w:t>
      </w:r>
    </w:p>
    <w:p w:rsidR="00C93E4E" w:rsidP="00CA1687" w:rsidRDefault="00C93E4E" w14:paraId="0B05AFB7" w14:textId="77777777">
      <w:pPr>
        <w:pStyle w:val="BodyText"/>
        <w:spacing w:line="276" w:lineRule="exact"/>
        <w:ind w:left="119" w:right="30"/>
        <w:rPr>
          <w:b/>
        </w:rPr>
      </w:pPr>
    </w:p>
    <w:p w:rsidR="005600BB" w:rsidP="00EC1C30" w:rsidRDefault="00C93E4E" w14:paraId="080CC25D" w14:textId="7EB05977">
      <w:pPr>
        <w:pStyle w:val="BodyText"/>
        <w:spacing w:line="276" w:lineRule="exact"/>
        <w:ind w:right="30"/>
      </w:pPr>
      <w:r>
        <w:rPr>
          <w:b/>
        </w:rPr>
        <w:t xml:space="preserve">Annual </w:t>
      </w:r>
      <w:r w:rsidR="003618ED">
        <w:rPr>
          <w:b/>
        </w:rPr>
        <w:t>r</w:t>
      </w:r>
      <w:r>
        <w:rPr>
          <w:b/>
        </w:rPr>
        <w:t xml:space="preserve">eporting of </w:t>
      </w:r>
      <w:r w:rsidR="003618ED">
        <w:rPr>
          <w:b/>
        </w:rPr>
        <w:t>s</w:t>
      </w:r>
      <w:r>
        <w:rPr>
          <w:b/>
        </w:rPr>
        <w:t xml:space="preserve">tate </w:t>
      </w:r>
      <w:r w:rsidR="003618ED">
        <w:rPr>
          <w:b/>
        </w:rPr>
        <w:t>m</w:t>
      </w:r>
      <w:r>
        <w:rPr>
          <w:b/>
        </w:rPr>
        <w:t>andate</w:t>
      </w:r>
      <w:r w:rsidR="003618ED">
        <w:t xml:space="preserve"> </w:t>
      </w:r>
      <w:r w:rsidRPr="00775830" w:rsidR="00575F42">
        <w:t xml:space="preserve">documents </w:t>
      </w:r>
      <w:r w:rsidR="003618ED">
        <w:t>must</w:t>
      </w:r>
      <w:r w:rsidRPr="00775830" w:rsidR="00575F42">
        <w:t xml:space="preserve"> be submitted electronically. Specifically, we may use a web-based tool with email as </w:t>
      </w:r>
      <w:r w:rsidR="00BC3758">
        <w:t xml:space="preserve">a </w:t>
      </w:r>
      <w:r w:rsidRPr="00775830" w:rsidR="00575F42">
        <w:t>back</w:t>
      </w:r>
      <w:r w:rsidR="00BC3758">
        <w:t>-</w:t>
      </w:r>
      <w:r w:rsidRPr="00775830" w:rsidR="00575F42">
        <w:t xml:space="preserve">up option to collect the documents under this ICR. As </w:t>
      </w:r>
      <w:r w:rsidR="003E5549">
        <w:t xml:space="preserve">finalized </w:t>
      </w:r>
      <w:r w:rsidR="00575F42">
        <w:t>in</w:t>
      </w:r>
      <w:r w:rsidRPr="00775830" w:rsidR="00575F42">
        <w:t xml:space="preserve"> the </w:t>
      </w:r>
      <w:r w:rsidR="00575F42">
        <w:t>2021 Payment Notice; CMS-9916</w:t>
      </w:r>
      <w:r w:rsidRPr="00F7371B" w:rsidR="00575F42">
        <w:t>-</w:t>
      </w:r>
      <w:r w:rsidR="003E5549">
        <w:t>F</w:t>
      </w:r>
      <w:r w:rsidRPr="00775830" w:rsidR="00575F42">
        <w:t xml:space="preserve">, </w:t>
      </w:r>
      <w:r w:rsidR="00575F42">
        <w:t>w</w:t>
      </w:r>
      <w:r w:rsidRPr="00575F42" w:rsidR="00575F42">
        <w:t>e intend to post state submissions of these documents on the CMS website prior to the end of the plan year during which the annual reporting takes place such that this information is accessible to states, QHP issuers, enrollees, stakeholders, and the general public. If the state does not notify HHS of its state-required benefits that are in addition to EHB in accordance with the requirements at §156.111(f), HHS will complete a similar document for the state and post it to the CMS website.</w:t>
      </w:r>
      <w:r w:rsidRPr="00775830" w:rsidR="00575F42">
        <w:rPr>
          <w:vertAlign w:val="superscript"/>
        </w:rPr>
        <w:footnoteReference w:id="8"/>
      </w:r>
    </w:p>
    <w:p w:rsidR="009C2427" w:rsidP="00CA1687" w:rsidRDefault="009C2427" w14:paraId="5C1D3C6E" w14:textId="77777777">
      <w:pPr>
        <w:pStyle w:val="BodyText"/>
        <w:ind w:right="30"/>
      </w:pPr>
    </w:p>
    <w:p w:rsidRPr="000D235C" w:rsidR="005600BB" w:rsidP="00CA1687" w:rsidRDefault="0043666F" w14:paraId="6C892460" w14:textId="77777777">
      <w:pPr>
        <w:pStyle w:val="Heading1"/>
        <w:numPr>
          <w:ilvl w:val="0"/>
          <w:numId w:val="1"/>
        </w:numPr>
        <w:tabs>
          <w:tab w:val="left" w:pos="1260"/>
        </w:tabs>
        <w:spacing w:before="1"/>
        <w:ind w:left="720" w:right="30" w:hanging="720"/>
        <w:jc w:val="left"/>
        <w:rPr>
          <w:b w:val="0"/>
          <w:u w:val="single"/>
        </w:rPr>
      </w:pPr>
      <w:bookmarkStart w:name="4._Duplication_of_Efforts" w:id="40"/>
      <w:bookmarkEnd w:id="40"/>
      <w:r w:rsidRPr="000D235C">
        <w:rPr>
          <w:b w:val="0"/>
          <w:u w:val="single"/>
        </w:rPr>
        <w:t>Duplication of Efforts</w:t>
      </w:r>
    </w:p>
    <w:p w:rsidR="005600BB" w:rsidP="00CA1687" w:rsidRDefault="005600BB" w14:paraId="644578B9" w14:textId="77777777">
      <w:pPr>
        <w:pStyle w:val="BodyText"/>
        <w:spacing w:before="4"/>
        <w:ind w:right="30"/>
        <w:rPr>
          <w:b/>
        </w:rPr>
      </w:pPr>
    </w:p>
    <w:p w:rsidRPr="008A2E42" w:rsidR="008A2E42" w:rsidP="00CA1687" w:rsidRDefault="008A2E42" w14:paraId="225D8C4D" w14:textId="579D44C6">
      <w:pPr>
        <w:ind w:right="30"/>
        <w:rPr>
          <w:sz w:val="24"/>
          <w:szCs w:val="24"/>
        </w:rPr>
      </w:pPr>
      <w:bookmarkStart w:name="There_is_no_duplication_of_efforts.__Sta" w:id="41"/>
      <w:bookmarkEnd w:id="41"/>
      <w:r w:rsidRPr="00775830">
        <w:rPr>
          <w:sz w:val="24"/>
          <w:szCs w:val="24"/>
        </w:rPr>
        <w:t xml:space="preserve">There is no duplication of efforts. </w:t>
      </w:r>
    </w:p>
    <w:p w:rsidRPr="000D235C" w:rsidR="005600BB" w:rsidP="00CA1687" w:rsidRDefault="005600BB" w14:paraId="0F44C90C" w14:textId="77777777">
      <w:pPr>
        <w:pStyle w:val="BodyText"/>
        <w:spacing w:before="7"/>
        <w:ind w:right="30"/>
        <w:rPr>
          <w:sz w:val="25"/>
          <w:u w:val="single"/>
        </w:rPr>
      </w:pPr>
    </w:p>
    <w:p w:rsidRPr="000D235C" w:rsidR="005600BB" w:rsidP="00CA1687" w:rsidRDefault="0043666F" w14:paraId="51926459" w14:textId="69493620">
      <w:pPr>
        <w:pStyle w:val="Heading1"/>
        <w:numPr>
          <w:ilvl w:val="0"/>
          <w:numId w:val="1"/>
        </w:numPr>
        <w:tabs>
          <w:tab w:val="left" w:pos="1260"/>
        </w:tabs>
        <w:spacing w:before="1"/>
        <w:ind w:left="720" w:right="30" w:hanging="720"/>
        <w:jc w:val="left"/>
        <w:rPr>
          <w:b w:val="0"/>
          <w:u w:val="single"/>
        </w:rPr>
      </w:pPr>
      <w:bookmarkStart w:name="5._Small_Businesses" w:id="42"/>
      <w:bookmarkEnd w:id="42"/>
      <w:r w:rsidRPr="000D235C">
        <w:rPr>
          <w:b w:val="0"/>
          <w:u w:val="single"/>
        </w:rPr>
        <w:t>Small Businesses</w:t>
      </w:r>
    </w:p>
    <w:p w:rsidRPr="00775830" w:rsidR="00775830" w:rsidP="00CA1687" w:rsidRDefault="00775830" w14:paraId="38AE49FC" w14:textId="77777777">
      <w:pPr>
        <w:pStyle w:val="Heading1"/>
        <w:tabs>
          <w:tab w:val="left" w:pos="1179"/>
          <w:tab w:val="left" w:pos="1180"/>
        </w:tabs>
        <w:ind w:right="30" w:firstLine="0"/>
      </w:pPr>
    </w:p>
    <w:p w:rsidR="005600BB" w:rsidP="00CA1687" w:rsidRDefault="007C204F" w14:paraId="782079D4" w14:textId="6BDCFFC7">
      <w:pPr>
        <w:pStyle w:val="BodyText"/>
        <w:ind w:right="30"/>
      </w:pPr>
      <w:bookmarkStart w:name="Small_businesses_are_not_significantly_a" w:id="43"/>
      <w:bookmarkEnd w:id="43"/>
      <w:r w:rsidRPr="007C204F">
        <w:t>This information collection will not impact on small businesses.</w:t>
      </w:r>
    </w:p>
    <w:p w:rsidRPr="000D235C" w:rsidR="009C2427" w:rsidP="00CA1687" w:rsidRDefault="009C2427" w14:paraId="3CCCB753" w14:textId="77777777">
      <w:pPr>
        <w:pStyle w:val="BodyText"/>
        <w:spacing w:before="9"/>
        <w:ind w:right="30"/>
        <w:rPr>
          <w:sz w:val="22"/>
          <w:u w:val="single"/>
        </w:rPr>
      </w:pPr>
    </w:p>
    <w:p w:rsidRPr="000D235C" w:rsidR="005600BB" w:rsidP="00CA1687" w:rsidRDefault="0043666F" w14:paraId="4F32F47A" w14:textId="77777777">
      <w:pPr>
        <w:pStyle w:val="Heading1"/>
        <w:numPr>
          <w:ilvl w:val="0"/>
          <w:numId w:val="1"/>
        </w:numPr>
        <w:tabs>
          <w:tab w:val="left" w:pos="1260"/>
        </w:tabs>
        <w:spacing w:before="1"/>
        <w:ind w:left="720" w:right="30" w:hanging="720"/>
        <w:jc w:val="left"/>
        <w:rPr>
          <w:b w:val="0"/>
          <w:u w:val="single"/>
        </w:rPr>
      </w:pPr>
      <w:bookmarkStart w:name="6._Less_Frequent_Collection" w:id="44"/>
      <w:bookmarkEnd w:id="44"/>
      <w:r w:rsidRPr="000D235C">
        <w:rPr>
          <w:b w:val="0"/>
          <w:u w:val="single"/>
        </w:rPr>
        <w:t>Less Frequent Collection</w:t>
      </w:r>
    </w:p>
    <w:p w:rsidRPr="009F3A02" w:rsidR="0000751F" w:rsidP="00CA1687" w:rsidRDefault="0000751F" w14:paraId="1CE0CAC3" w14:textId="481D8ACA">
      <w:pPr>
        <w:pStyle w:val="BodyText"/>
        <w:ind w:right="30"/>
      </w:pPr>
      <w:bookmarkStart w:name="We_anticipate_that_the_EHB-benchmark_pla" w:id="45"/>
      <w:bookmarkEnd w:id="45"/>
    </w:p>
    <w:p w:rsidRPr="00775830" w:rsidR="005600BB" w:rsidP="00CA1687" w:rsidRDefault="0043666F" w14:paraId="6F4E90A6" w14:textId="3227D8DE">
      <w:pPr>
        <w:ind w:right="30"/>
        <w:rPr>
          <w:sz w:val="24"/>
          <w:szCs w:val="24"/>
        </w:rPr>
      </w:pPr>
      <w:r w:rsidRPr="00775830">
        <w:rPr>
          <w:sz w:val="24"/>
          <w:szCs w:val="24"/>
        </w:rPr>
        <w:t xml:space="preserve">We anticipate that the EHB-benchmark plan data collection will occur annually. The respondents will likely be different respondents each year. If the collection was less frequently, it would decrease the flexibility for </w:t>
      </w:r>
      <w:r w:rsidR="001B0F38">
        <w:rPr>
          <w:sz w:val="24"/>
          <w:szCs w:val="24"/>
        </w:rPr>
        <w:t>s</w:t>
      </w:r>
      <w:r w:rsidRPr="00775830">
        <w:rPr>
          <w:sz w:val="24"/>
          <w:szCs w:val="24"/>
        </w:rPr>
        <w:t>tates on when they could choose to make changes to their EHB-benchmark plans.</w:t>
      </w:r>
    </w:p>
    <w:p w:rsidRPr="009F3A02" w:rsidR="00C93E4E" w:rsidP="00CA1687" w:rsidRDefault="00C93E4E" w14:paraId="75C47F89" w14:textId="7C5B5FFE">
      <w:pPr>
        <w:pStyle w:val="BodyText"/>
        <w:spacing w:line="276" w:lineRule="exact"/>
        <w:ind w:right="30"/>
      </w:pPr>
    </w:p>
    <w:p w:rsidRPr="00C93E4E" w:rsidR="00C93E4E" w:rsidP="00CA1687" w:rsidRDefault="00B35366" w14:paraId="10E329BA" w14:textId="4E65141B">
      <w:pPr>
        <w:pStyle w:val="BodyText"/>
        <w:ind w:right="30"/>
      </w:pPr>
      <w:r>
        <w:t xml:space="preserve">We are </w:t>
      </w:r>
      <w:r w:rsidR="003E5549">
        <w:t xml:space="preserve">finalizing that </w:t>
      </w:r>
      <w:r>
        <w:t xml:space="preserve">states will report on their state-required benefits annually. </w:t>
      </w:r>
      <w:r w:rsidR="00FC26A4">
        <w:t xml:space="preserve">The </w:t>
      </w:r>
      <w:r w:rsidRPr="00B35366">
        <w:t xml:space="preserve">respondents </w:t>
      </w:r>
      <w:r w:rsidR="00FC26A4">
        <w:t>that annually report may</w:t>
      </w:r>
      <w:r w:rsidRPr="00B35366">
        <w:t xml:space="preserve"> be different respondents each year</w:t>
      </w:r>
      <w:r w:rsidR="00FC26A4">
        <w:t xml:space="preserve">, as a </w:t>
      </w:r>
      <w:r w:rsidR="001B0F38">
        <w:t>s</w:t>
      </w:r>
      <w:r w:rsidR="00FC26A4">
        <w:t xml:space="preserve">tate can choose </w:t>
      </w:r>
      <w:r w:rsidRPr="009777B5" w:rsidR="009777B5">
        <w:t xml:space="preserve">not </w:t>
      </w:r>
      <w:r w:rsidR="00E76AB9">
        <w:t>to notify HHS of its s</w:t>
      </w:r>
      <w:r w:rsidRPr="009777B5" w:rsidR="009777B5">
        <w:t xml:space="preserve">tate-required benefits that are in addition to EHB </w:t>
      </w:r>
      <w:r w:rsidR="00FC26A4">
        <w:t xml:space="preserve">in which case </w:t>
      </w:r>
      <w:r w:rsidRPr="009777B5" w:rsidR="009777B5">
        <w:t xml:space="preserve">HHS will determine which benefits are in addition to EHB for the applicable plan year in the </w:t>
      </w:r>
      <w:r w:rsidR="001B0F38">
        <w:t>s</w:t>
      </w:r>
      <w:r w:rsidRPr="009777B5" w:rsidR="009777B5">
        <w:t>tate</w:t>
      </w:r>
      <w:r w:rsidR="00FC26A4">
        <w:t xml:space="preserve">. </w:t>
      </w:r>
      <w:r w:rsidRPr="00FC26A4" w:rsidR="00FC26A4">
        <w:t>If t</w:t>
      </w:r>
      <w:r w:rsidR="00E76AB9">
        <w:t>he collection was less frequent</w:t>
      </w:r>
      <w:r w:rsidRPr="00FC26A4" w:rsidR="00FC26A4">
        <w:t xml:space="preserve">, it would </w:t>
      </w:r>
      <w:r w:rsidR="00FC26A4">
        <w:t>impede HHS’s</w:t>
      </w:r>
      <w:r w:rsidRPr="00FC26A4" w:rsidR="00FC26A4">
        <w:t xml:space="preserve"> oversight over whether states are appropriately determining which state-required benefits require defrayal, whether states are correctly implementing the definition of EHB, and whether QHP issuers are properly allocating the portion of premiums attributable to EHB for purposes of calculating premium tax credits.</w:t>
      </w:r>
      <w:r w:rsidR="00FC26A4">
        <w:t xml:space="preserve"> </w:t>
      </w:r>
      <w:r w:rsidRPr="00B35366">
        <w:t xml:space="preserve"> </w:t>
      </w:r>
    </w:p>
    <w:p w:rsidR="005600BB" w:rsidP="00CA1687" w:rsidRDefault="005600BB" w14:paraId="34101B3A" w14:textId="77777777">
      <w:pPr>
        <w:pStyle w:val="BodyText"/>
        <w:spacing w:before="9"/>
        <w:ind w:right="30"/>
      </w:pPr>
    </w:p>
    <w:p w:rsidRPr="00A42C39" w:rsidR="00B726DB" w:rsidP="00CA1687" w:rsidRDefault="0043666F" w14:paraId="21836C3A" w14:textId="6F7ED817">
      <w:pPr>
        <w:pStyle w:val="Heading1"/>
        <w:numPr>
          <w:ilvl w:val="0"/>
          <w:numId w:val="1"/>
        </w:numPr>
        <w:tabs>
          <w:tab w:val="left" w:pos="1260"/>
        </w:tabs>
        <w:spacing w:before="1"/>
        <w:ind w:left="720" w:right="30" w:hanging="720"/>
        <w:jc w:val="left"/>
        <w:rPr>
          <w:b w:val="0"/>
          <w:u w:val="single"/>
        </w:rPr>
      </w:pPr>
      <w:bookmarkStart w:name="7._Special_Circumstances" w:id="46"/>
      <w:bookmarkEnd w:id="46"/>
      <w:r w:rsidRPr="00A42C39">
        <w:rPr>
          <w:b w:val="0"/>
          <w:u w:val="single"/>
        </w:rPr>
        <w:t>Special Circumstances</w:t>
      </w:r>
    </w:p>
    <w:p w:rsidRPr="009F3A02" w:rsidR="0000751F" w:rsidP="00CA1687" w:rsidRDefault="0000751F" w14:paraId="3EAB3B82" w14:textId="383244A8">
      <w:pPr>
        <w:pStyle w:val="BodyText"/>
        <w:ind w:right="30"/>
      </w:pPr>
      <w:bookmarkStart w:name="There_are_no_special_circumstances." w:id="47"/>
      <w:bookmarkEnd w:id="47"/>
    </w:p>
    <w:p w:rsidR="005600BB" w:rsidP="00CA1687" w:rsidRDefault="0043666F" w14:paraId="59272E71" w14:textId="0E5DA91A">
      <w:pPr>
        <w:pStyle w:val="BodyText"/>
        <w:ind w:right="30"/>
      </w:pPr>
      <w:r>
        <w:t>There are no special circumstances.</w:t>
      </w:r>
    </w:p>
    <w:p w:rsidR="005600BB" w:rsidP="00CA1687" w:rsidRDefault="005600BB" w14:paraId="4F2D9A3D" w14:textId="77777777">
      <w:pPr>
        <w:pStyle w:val="BodyText"/>
        <w:ind w:right="30"/>
        <w:rPr>
          <w:sz w:val="25"/>
        </w:rPr>
      </w:pPr>
    </w:p>
    <w:p w:rsidRPr="000D235C" w:rsidR="005600BB" w:rsidP="00CA1687" w:rsidRDefault="0043666F" w14:paraId="2382F34C" w14:textId="77777777">
      <w:pPr>
        <w:pStyle w:val="Heading1"/>
        <w:numPr>
          <w:ilvl w:val="0"/>
          <w:numId w:val="1"/>
        </w:numPr>
        <w:tabs>
          <w:tab w:val="left" w:pos="1260"/>
        </w:tabs>
        <w:spacing w:before="1"/>
        <w:ind w:left="720" w:right="30" w:hanging="720"/>
        <w:jc w:val="left"/>
        <w:rPr>
          <w:b w:val="0"/>
          <w:u w:val="single"/>
        </w:rPr>
      </w:pPr>
      <w:bookmarkStart w:name="8._Federal_Register/Outside_Consultation" w:id="48"/>
      <w:bookmarkEnd w:id="48"/>
      <w:r w:rsidRPr="000D235C">
        <w:rPr>
          <w:b w:val="0"/>
          <w:u w:val="single"/>
        </w:rPr>
        <w:t>Federal Register/Outside Consultation</w:t>
      </w:r>
    </w:p>
    <w:p w:rsidR="005600BB" w:rsidP="00CA1687" w:rsidRDefault="005600BB" w14:paraId="71BC7BFB" w14:textId="77777777">
      <w:pPr>
        <w:pStyle w:val="BodyText"/>
        <w:spacing w:before="6"/>
        <w:ind w:right="30"/>
        <w:rPr>
          <w:b/>
        </w:rPr>
      </w:pPr>
    </w:p>
    <w:p w:rsidRPr="009F3A02" w:rsidR="0000751F" w:rsidP="00CA1687" w:rsidRDefault="0000751F" w14:paraId="0585A9BD" w14:textId="77777777">
      <w:pPr>
        <w:pStyle w:val="BodyText"/>
        <w:ind w:right="30"/>
      </w:pPr>
      <w:bookmarkStart w:name="As_required_by_the_Paperwork_Reduction_A" w:id="49"/>
      <w:bookmarkEnd w:id="49"/>
      <w:r>
        <w:rPr>
          <w:b/>
        </w:rPr>
        <w:t>EHB-Benchmark Plan Selection</w:t>
      </w:r>
    </w:p>
    <w:p w:rsidRPr="00775830" w:rsidR="005600BB" w:rsidP="00CA1687" w:rsidRDefault="0043666F" w14:paraId="1487E054" w14:textId="3583FF2A">
      <w:pPr>
        <w:ind w:right="30"/>
        <w:rPr>
          <w:sz w:val="24"/>
          <w:szCs w:val="24"/>
        </w:rPr>
      </w:pPr>
      <w:r w:rsidRPr="00775830">
        <w:rPr>
          <w:sz w:val="24"/>
          <w:szCs w:val="24"/>
        </w:rPr>
        <w:t>As required by the Paperwork Reduction Act of 1995</w:t>
      </w:r>
      <w:r w:rsidRPr="00775830" w:rsidR="00775830">
        <w:rPr>
          <w:sz w:val="24"/>
          <w:szCs w:val="24"/>
        </w:rPr>
        <w:t xml:space="preserve"> (44 U.S.C.2506 (c)(2)(A)), CMS </w:t>
      </w:r>
      <w:r w:rsidRPr="00775830">
        <w:rPr>
          <w:sz w:val="24"/>
          <w:szCs w:val="24"/>
        </w:rPr>
        <w:t>published this ICR with the 2019 Proposed Payment No</w:t>
      </w:r>
      <w:r w:rsidRPr="00775830" w:rsidR="00775830">
        <w:rPr>
          <w:sz w:val="24"/>
          <w:szCs w:val="24"/>
        </w:rPr>
        <w:t xml:space="preserve">tice on November 2, 2017 (82 FR </w:t>
      </w:r>
      <w:r w:rsidRPr="00775830">
        <w:rPr>
          <w:sz w:val="24"/>
          <w:szCs w:val="24"/>
        </w:rPr>
        <w:t xml:space="preserve">51052), requesting a 60-day public comment process. </w:t>
      </w:r>
      <w:r w:rsidRPr="00B23ED8" w:rsidR="00B23ED8">
        <w:rPr>
          <w:sz w:val="24"/>
          <w:szCs w:val="24"/>
        </w:rPr>
        <w:t xml:space="preserve">We finalized new regulations at §156.111 for a </w:t>
      </w:r>
      <w:r w:rsidR="001B0F38">
        <w:rPr>
          <w:sz w:val="24"/>
          <w:szCs w:val="24"/>
        </w:rPr>
        <w:t>s</w:t>
      </w:r>
      <w:r w:rsidRPr="00B23ED8" w:rsidR="00B23ED8">
        <w:rPr>
          <w:sz w:val="24"/>
          <w:szCs w:val="24"/>
        </w:rPr>
        <w:t>tate’s EHB-benchmark plan as part of the 2019 Final Payment Notice published on April 17, 2018, and simultaneously published a revised ICR to reflect these changes on April 16, 2018</w:t>
      </w:r>
      <w:r w:rsidR="00B23ED8">
        <w:rPr>
          <w:sz w:val="24"/>
          <w:szCs w:val="24"/>
        </w:rPr>
        <w:t xml:space="preserve">. </w:t>
      </w:r>
      <w:r w:rsidRPr="00775830">
        <w:rPr>
          <w:sz w:val="24"/>
          <w:szCs w:val="24"/>
        </w:rPr>
        <w:t xml:space="preserve">The Final 2019 Payment Notice also finalizes the new policies at §156.111 that change the </w:t>
      </w:r>
      <w:r w:rsidR="001B0F38">
        <w:rPr>
          <w:sz w:val="24"/>
          <w:szCs w:val="24"/>
        </w:rPr>
        <w:t>s</w:t>
      </w:r>
      <w:r w:rsidRPr="00775830">
        <w:rPr>
          <w:sz w:val="24"/>
          <w:szCs w:val="24"/>
        </w:rPr>
        <w:t>tate selection of EHB-benchmark plan for plan years beginning on or after January 1, 2019 and the collection of data to select EHB- benchmark plan for plan years beginning on or after the January 1, 2020.</w:t>
      </w:r>
      <w:r w:rsidRPr="00775830" w:rsidR="0000751F">
        <w:rPr>
          <w:sz w:val="24"/>
          <w:szCs w:val="24"/>
        </w:rPr>
        <w:t xml:space="preserve"> </w:t>
      </w:r>
    </w:p>
    <w:p w:rsidR="00C93E4E" w:rsidP="00CA1687" w:rsidRDefault="00C93E4E" w14:paraId="674F1646" w14:textId="60166228">
      <w:pPr>
        <w:pStyle w:val="BodyText"/>
        <w:ind w:left="119" w:right="30"/>
      </w:pPr>
    </w:p>
    <w:p w:rsidRPr="009F3A02" w:rsidR="00C93E4E" w:rsidP="00CA1687" w:rsidRDefault="00C93E4E" w14:paraId="531B963E" w14:textId="77777777">
      <w:pPr>
        <w:pStyle w:val="BodyText"/>
        <w:spacing w:line="276" w:lineRule="exact"/>
        <w:ind w:right="30"/>
      </w:pPr>
      <w:r>
        <w:rPr>
          <w:b/>
        </w:rPr>
        <w:t>Annual Reporting of State Mandates</w:t>
      </w:r>
    </w:p>
    <w:p w:rsidR="00C93E4E" w:rsidP="00CA1687" w:rsidRDefault="00D01DD6" w14:paraId="55C0737E" w14:textId="63C336EE">
      <w:pPr>
        <w:pStyle w:val="BodyText"/>
        <w:ind w:right="30"/>
      </w:pPr>
      <w:r w:rsidRPr="00D01DD6">
        <w:t xml:space="preserve">This notice serves to finalize the new ICRs </w:t>
      </w:r>
      <w:r>
        <w:t>to</w:t>
      </w:r>
      <w:r w:rsidRPr="00D01DD6">
        <w:t xml:space="preserve"> </w:t>
      </w:r>
      <w:r w:rsidR="00D1782A">
        <w:t>reflect the finalized policy at</w:t>
      </w:r>
      <w:r w:rsidR="00957F92">
        <w:t xml:space="preserve"> </w:t>
      </w:r>
      <w:r w:rsidRPr="00957F92" w:rsidR="00957F92">
        <w:t>§156.111(d) and §156.111(f)</w:t>
      </w:r>
      <w:r w:rsidR="00957F92">
        <w:t>.</w:t>
      </w:r>
      <w:r w:rsidR="00E55380">
        <w:t xml:space="preserve"> </w:t>
      </w:r>
      <w:r w:rsidRPr="00D1782A" w:rsidR="00D1782A">
        <w:t xml:space="preserve">All comments received on this ICR are summarized and addressed </w:t>
      </w:r>
      <w:r w:rsidR="00271573">
        <w:t xml:space="preserve">in Appendix I. </w:t>
      </w:r>
    </w:p>
    <w:p w:rsidR="005600BB" w:rsidP="00CA1687" w:rsidRDefault="005600BB" w14:paraId="3BB5B9F4" w14:textId="77777777">
      <w:pPr>
        <w:pStyle w:val="BodyText"/>
        <w:spacing w:before="9"/>
        <w:ind w:right="30"/>
      </w:pPr>
    </w:p>
    <w:p w:rsidRPr="000D235C" w:rsidR="005600BB" w:rsidP="00CA1687" w:rsidRDefault="0043666F" w14:paraId="45AB8B66" w14:textId="77777777">
      <w:pPr>
        <w:pStyle w:val="Heading1"/>
        <w:numPr>
          <w:ilvl w:val="0"/>
          <w:numId w:val="1"/>
        </w:numPr>
        <w:tabs>
          <w:tab w:val="left" w:pos="1260"/>
        </w:tabs>
        <w:spacing w:before="1"/>
        <w:ind w:left="720" w:right="30" w:hanging="720"/>
        <w:jc w:val="left"/>
        <w:rPr>
          <w:b w:val="0"/>
          <w:u w:val="single"/>
        </w:rPr>
      </w:pPr>
      <w:bookmarkStart w:name="9._Payments/Gifts_to_Respondents" w:id="50"/>
      <w:bookmarkEnd w:id="50"/>
      <w:r w:rsidRPr="000D235C">
        <w:rPr>
          <w:b w:val="0"/>
          <w:u w:val="single"/>
        </w:rPr>
        <w:t>Payments/Gifts to Respondents</w:t>
      </w:r>
    </w:p>
    <w:p w:rsidR="005600BB" w:rsidP="00CA1687" w:rsidRDefault="005600BB" w14:paraId="610FA603" w14:textId="77777777">
      <w:pPr>
        <w:pStyle w:val="BodyText"/>
        <w:spacing w:before="1"/>
        <w:ind w:right="30"/>
        <w:rPr>
          <w:b/>
        </w:rPr>
      </w:pPr>
    </w:p>
    <w:p w:rsidRPr="00F163CF" w:rsidR="005600BB" w:rsidP="00CA1687" w:rsidRDefault="0043666F" w14:paraId="3060B8C0" w14:textId="0B424F67">
      <w:pPr>
        <w:ind w:right="30"/>
        <w:rPr>
          <w:sz w:val="24"/>
        </w:rPr>
      </w:pPr>
      <w:bookmarkStart w:name="No_payments_or_gifts_were_made_to_any_re" w:id="51"/>
      <w:bookmarkEnd w:id="51"/>
      <w:r w:rsidRPr="00F163CF">
        <w:rPr>
          <w:sz w:val="24"/>
        </w:rPr>
        <w:t xml:space="preserve">No payments </w:t>
      </w:r>
      <w:r w:rsidR="007C204F">
        <w:rPr>
          <w:sz w:val="24"/>
        </w:rPr>
        <w:t>and/</w:t>
      </w:r>
      <w:r w:rsidRPr="00F163CF">
        <w:rPr>
          <w:sz w:val="24"/>
        </w:rPr>
        <w:t>or gifts were made to any respondents.</w:t>
      </w:r>
    </w:p>
    <w:p w:rsidR="005600BB" w:rsidP="00CA1687" w:rsidRDefault="005600BB" w14:paraId="099C7AAA" w14:textId="77777777">
      <w:pPr>
        <w:pStyle w:val="BodyText"/>
        <w:spacing w:before="8"/>
        <w:ind w:right="30"/>
      </w:pPr>
    </w:p>
    <w:p w:rsidRPr="000D235C" w:rsidR="005600BB" w:rsidP="00CA1687" w:rsidRDefault="0043666F" w14:paraId="531A8839" w14:textId="77777777">
      <w:pPr>
        <w:pStyle w:val="Heading1"/>
        <w:numPr>
          <w:ilvl w:val="0"/>
          <w:numId w:val="1"/>
        </w:numPr>
        <w:tabs>
          <w:tab w:val="left" w:pos="1260"/>
        </w:tabs>
        <w:spacing w:before="1"/>
        <w:ind w:left="720" w:right="30" w:hanging="720"/>
        <w:jc w:val="left"/>
        <w:rPr>
          <w:b w:val="0"/>
          <w:u w:val="single"/>
        </w:rPr>
      </w:pPr>
      <w:bookmarkStart w:name="10._Confidentiality" w:id="52"/>
      <w:bookmarkEnd w:id="52"/>
      <w:r w:rsidRPr="000D235C">
        <w:rPr>
          <w:b w:val="0"/>
          <w:u w:val="single"/>
        </w:rPr>
        <w:t>Confidentiality</w:t>
      </w:r>
    </w:p>
    <w:p w:rsidR="005600BB" w:rsidP="00CA1687" w:rsidRDefault="005600BB" w14:paraId="3BE8E2F3" w14:textId="77777777">
      <w:pPr>
        <w:pStyle w:val="BodyText"/>
        <w:spacing w:before="2"/>
        <w:ind w:right="30"/>
        <w:rPr>
          <w:b/>
        </w:rPr>
      </w:pPr>
    </w:p>
    <w:p w:rsidRPr="00F163CF" w:rsidR="005600BB" w:rsidP="00CA1687" w:rsidRDefault="0043666F" w14:paraId="705761DC" w14:textId="18B1EE63">
      <w:pPr>
        <w:ind w:right="30"/>
        <w:rPr>
          <w:sz w:val="24"/>
        </w:rPr>
      </w:pPr>
      <w:bookmarkStart w:name="CMS_will_post_the_documents_collected_th" w:id="53"/>
      <w:bookmarkEnd w:id="53"/>
      <w:r w:rsidRPr="00F163CF">
        <w:rPr>
          <w:sz w:val="24"/>
        </w:rPr>
        <w:t>CMS will post</w:t>
      </w:r>
      <w:r w:rsidR="00A42C39">
        <w:rPr>
          <w:sz w:val="24"/>
        </w:rPr>
        <w:t xml:space="preserve"> </w:t>
      </w:r>
      <w:r w:rsidR="003618ED">
        <w:rPr>
          <w:sz w:val="24"/>
        </w:rPr>
        <w:t>EHB-Benchmark plan selection</w:t>
      </w:r>
      <w:r w:rsidRPr="00F163CF">
        <w:rPr>
          <w:sz w:val="24"/>
        </w:rPr>
        <w:t xml:space="preserve"> the documents collected through this data collection in a similar manner and format to the documents CMS currently provides on </w:t>
      </w:r>
      <w:r w:rsidR="001B0F38">
        <w:rPr>
          <w:sz w:val="24"/>
        </w:rPr>
        <w:t>s</w:t>
      </w:r>
      <w:r w:rsidRPr="00F163CF">
        <w:rPr>
          <w:sz w:val="24"/>
        </w:rPr>
        <w:t>tates’ EHB-benchmark plans and in accordance with the 2019 Final Payment Notice.</w:t>
      </w:r>
    </w:p>
    <w:p w:rsidR="00C93E4E" w:rsidP="00CA1687" w:rsidRDefault="00C93E4E" w14:paraId="6E0B5123" w14:textId="43349032">
      <w:pPr>
        <w:pStyle w:val="BodyText"/>
        <w:ind w:left="239" w:right="30"/>
        <w:jc w:val="both"/>
      </w:pPr>
    </w:p>
    <w:p w:rsidR="00B81C3B" w:rsidP="00CA1687" w:rsidRDefault="003618ED" w14:paraId="4E06AB8C" w14:textId="5A1992CF">
      <w:pPr>
        <w:pStyle w:val="BodyText"/>
        <w:ind w:right="30"/>
      </w:pPr>
      <w:r>
        <w:t>S</w:t>
      </w:r>
      <w:r w:rsidR="00B81C3B">
        <w:t xml:space="preserve">tate </w:t>
      </w:r>
      <w:r>
        <w:t xml:space="preserve">annual reporting </w:t>
      </w:r>
      <w:r w:rsidR="00B81C3B">
        <w:t xml:space="preserve">submissions </w:t>
      </w:r>
      <w:r>
        <w:t xml:space="preserve">will post on </w:t>
      </w:r>
      <w:r w:rsidR="00D9095B">
        <w:t>t</w:t>
      </w:r>
      <w:r w:rsidRPr="00B81C3B" w:rsidR="00B81C3B">
        <w:t>he CMS website prior to the end of the plan year during which the annual reporting takes place such that this information is accessible to states, QHP issuers, enrollees, stakeholders, and the general public. If the state does not notify HHS of its state-required benefits that are in addition to EHB in accordance with the requirements at §156.111(f), HHS will complete a similar document for the state</w:t>
      </w:r>
      <w:r w:rsidR="00B81C3B">
        <w:t xml:space="preserve"> and post it to the CMS website. </w:t>
      </w:r>
    </w:p>
    <w:p w:rsidR="00B81C3B" w:rsidP="00CA1687" w:rsidRDefault="00B81C3B" w14:paraId="42D4AFA3" w14:textId="77777777">
      <w:pPr>
        <w:pStyle w:val="BodyText"/>
        <w:ind w:right="30"/>
      </w:pPr>
    </w:p>
    <w:p w:rsidR="005600BB" w:rsidP="00CA1687" w:rsidRDefault="00B81C3B" w14:paraId="6352301A" w14:textId="6BFC5823">
      <w:pPr>
        <w:pStyle w:val="BodyText"/>
        <w:spacing w:before="9"/>
        <w:ind w:right="30"/>
      </w:pPr>
      <w:r>
        <w:t>CMS would not post any contact information submitted by states</w:t>
      </w:r>
      <w:r w:rsidR="00620ED7">
        <w:t xml:space="preserve"> submitted on </w:t>
      </w:r>
      <w:r w:rsidRPr="00EC1C30" w:rsidR="00F7558F">
        <w:t xml:space="preserve">Appendix </w:t>
      </w:r>
      <w:r w:rsidRPr="00EC1C30" w:rsidR="003B47AE">
        <w:t>G</w:t>
      </w:r>
      <w:r w:rsidRPr="00EC1C30" w:rsidR="00F7558F">
        <w:t>. State Annual Report on State-Required</w:t>
      </w:r>
      <w:r w:rsidRPr="004A67CE" w:rsidR="00620ED7">
        <w:t>, nor would CMS post</w:t>
      </w:r>
      <w:r w:rsidRPr="004A67CE" w:rsidR="00F7558F">
        <w:t xml:space="preserve"> </w:t>
      </w:r>
      <w:r w:rsidRPr="00EC1C30" w:rsidR="00F7558F">
        <w:t xml:space="preserve">Appendix </w:t>
      </w:r>
      <w:r w:rsidRPr="00EC1C30" w:rsidR="003B47AE">
        <w:t>H</w:t>
      </w:r>
      <w:r w:rsidRPr="00EC1C30" w:rsidR="00F7558F">
        <w:t>. State Certification of Annual Report on State-Required Benefits</w:t>
      </w:r>
      <w:r w:rsidRPr="004A67CE" w:rsidR="00620ED7">
        <w:t xml:space="preserve">, which will contain the </w:t>
      </w:r>
      <w:r w:rsidRPr="004A67CE">
        <w:t>signature from the state official with authority to make the submission on behalf of the state certifying the accur</w:t>
      </w:r>
      <w:r w:rsidRPr="00B81C3B">
        <w:t>acy of the submission</w:t>
      </w:r>
      <w:r>
        <w:t>.</w:t>
      </w:r>
    </w:p>
    <w:p w:rsidR="009C2427" w:rsidP="00CA1687" w:rsidRDefault="009C2427" w14:paraId="1BB90556" w14:textId="77777777">
      <w:pPr>
        <w:pStyle w:val="BodyText"/>
        <w:spacing w:before="9"/>
        <w:ind w:right="30"/>
      </w:pPr>
    </w:p>
    <w:p w:rsidRPr="000D235C" w:rsidR="005600BB" w:rsidP="00CA1687" w:rsidRDefault="0043666F" w14:paraId="630C46F6" w14:textId="77777777">
      <w:pPr>
        <w:pStyle w:val="Heading1"/>
        <w:numPr>
          <w:ilvl w:val="0"/>
          <w:numId w:val="1"/>
        </w:numPr>
        <w:tabs>
          <w:tab w:val="left" w:pos="1260"/>
        </w:tabs>
        <w:spacing w:before="1"/>
        <w:ind w:left="720" w:right="30" w:hanging="720"/>
        <w:jc w:val="left"/>
        <w:rPr>
          <w:b w:val="0"/>
          <w:u w:val="single"/>
        </w:rPr>
      </w:pPr>
      <w:bookmarkStart w:name="11._Sensitive_Questions" w:id="54"/>
      <w:bookmarkEnd w:id="54"/>
      <w:r w:rsidRPr="000D235C">
        <w:rPr>
          <w:b w:val="0"/>
          <w:u w:val="single"/>
        </w:rPr>
        <w:t>Sensitive Questions</w:t>
      </w:r>
    </w:p>
    <w:p w:rsidR="005600BB" w:rsidP="00CA1687" w:rsidRDefault="005600BB" w14:paraId="690B2C52" w14:textId="77777777">
      <w:pPr>
        <w:pStyle w:val="BodyText"/>
        <w:spacing w:before="2"/>
        <w:ind w:right="30"/>
        <w:rPr>
          <w:b/>
        </w:rPr>
      </w:pPr>
    </w:p>
    <w:p w:rsidRPr="00F163CF" w:rsidR="005600BB" w:rsidP="00CA1687" w:rsidRDefault="0043666F" w14:paraId="6CB047A3" w14:textId="68073E6F">
      <w:pPr>
        <w:ind w:right="30"/>
        <w:rPr>
          <w:sz w:val="24"/>
        </w:rPr>
      </w:pPr>
      <w:bookmarkStart w:name="No_sensitive_questions_are_asked_in_this" w:id="55"/>
      <w:bookmarkEnd w:id="55"/>
      <w:r w:rsidRPr="00F163CF">
        <w:rPr>
          <w:sz w:val="24"/>
        </w:rPr>
        <w:t xml:space="preserve">No sensitive questions are asked in this </w:t>
      </w:r>
      <w:r w:rsidR="007C204F">
        <w:rPr>
          <w:sz w:val="24"/>
        </w:rPr>
        <w:t>information collection effort</w:t>
      </w:r>
      <w:r w:rsidRPr="00F163CF">
        <w:rPr>
          <w:sz w:val="24"/>
        </w:rPr>
        <w:t>.</w:t>
      </w:r>
    </w:p>
    <w:p w:rsidR="005600BB" w:rsidP="00CA1687" w:rsidRDefault="005600BB" w14:paraId="41B9301A" w14:textId="77777777">
      <w:pPr>
        <w:pStyle w:val="BodyText"/>
        <w:spacing w:before="9"/>
        <w:ind w:right="30"/>
      </w:pPr>
    </w:p>
    <w:p w:rsidR="005600BB" w:rsidP="00CA1687" w:rsidRDefault="0043666F" w14:paraId="787720E5" w14:textId="6B641818">
      <w:pPr>
        <w:pStyle w:val="Heading1"/>
        <w:numPr>
          <w:ilvl w:val="0"/>
          <w:numId w:val="1"/>
        </w:numPr>
        <w:tabs>
          <w:tab w:val="left" w:pos="1260"/>
        </w:tabs>
        <w:spacing w:before="1"/>
        <w:ind w:left="720" w:right="30" w:hanging="720"/>
        <w:jc w:val="left"/>
        <w:rPr>
          <w:b w:val="0"/>
          <w:u w:val="single"/>
        </w:rPr>
      </w:pPr>
      <w:bookmarkStart w:name="12._Burden_Estimates_(Hours_&amp;_Wages)" w:id="56"/>
      <w:bookmarkEnd w:id="56"/>
      <w:r w:rsidRPr="000D235C">
        <w:rPr>
          <w:b w:val="0"/>
          <w:u w:val="single"/>
        </w:rPr>
        <w:t>Burden Estimates (Hours &amp; Wages)</w:t>
      </w:r>
    </w:p>
    <w:p w:rsidRPr="000D235C" w:rsidR="006B68C8" w:rsidP="00EC1C30" w:rsidRDefault="006B68C8" w14:paraId="79FD47C7" w14:textId="77777777">
      <w:pPr>
        <w:pStyle w:val="Heading1"/>
        <w:tabs>
          <w:tab w:val="left" w:pos="1260"/>
        </w:tabs>
        <w:spacing w:before="1"/>
        <w:ind w:right="30"/>
        <w:jc w:val="right"/>
        <w:rPr>
          <w:b w:val="0"/>
          <w:u w:val="single"/>
        </w:rPr>
      </w:pPr>
    </w:p>
    <w:p w:rsidRPr="00BF3A26" w:rsidR="006B68C8" w:rsidP="006B68C8" w:rsidRDefault="006B68C8" w14:paraId="7ADA0572" w14:textId="77777777">
      <w:pPr>
        <w:ind w:right="30"/>
        <w:rPr>
          <w:sz w:val="24"/>
        </w:rPr>
      </w:pPr>
      <w:r w:rsidRPr="00F163CF">
        <w:rPr>
          <w:sz w:val="24"/>
        </w:rPr>
        <w:t>Average labor costs (including 100 percent fringe benefits) used to estimate the costs are calculated using data available from the May 201</w:t>
      </w:r>
      <w:r>
        <w:rPr>
          <w:sz w:val="24"/>
        </w:rPr>
        <w:t>8</w:t>
      </w:r>
      <w:r w:rsidRPr="00F163CF">
        <w:rPr>
          <w:sz w:val="24"/>
        </w:rPr>
        <w:t xml:space="preserve"> National Industry-Specific Occupational Employment and Wage Estimates (Bureau of Labor Statistics (BLS) (</w:t>
      </w:r>
      <w:hyperlink w:anchor="11-0000" r:id="rId13">
        <w:r w:rsidRPr="00F163CF">
          <w:rPr>
            <w:rStyle w:val="Hyperlink"/>
            <w:sz w:val="24"/>
          </w:rPr>
          <w:t>https://www.bls.gov/oes/current/naics4_999200.htm#11-0000</w:t>
        </w:r>
      </w:hyperlink>
      <w:r w:rsidRPr="00F163CF">
        <w:rPr>
          <w:sz w:val="24"/>
        </w:rPr>
        <w:t>).</w:t>
      </w:r>
    </w:p>
    <w:p w:rsidRPr="006B68C8" w:rsidR="006B68C8" w:rsidP="006B68C8" w:rsidRDefault="006B68C8" w14:paraId="5F5EE3ED" w14:textId="77777777">
      <w:pPr>
        <w:autoSpaceDE/>
        <w:autoSpaceDN/>
        <w:spacing w:before="5"/>
        <w:ind w:left="540"/>
        <w:rPr>
          <w:rFonts w:eastAsiaTheme="minorHAnsi" w:cstheme="minorBidi"/>
          <w:sz w:val="24"/>
        </w:rPr>
      </w:pPr>
    </w:p>
    <w:p w:rsidRPr="00EC1C30" w:rsidR="006B68C8" w:rsidP="00EC1C30" w:rsidRDefault="006B68C8" w14:paraId="565AD529" w14:textId="735D6DFF">
      <w:pPr>
        <w:autoSpaceDE/>
        <w:autoSpaceDN/>
        <w:ind w:right="126"/>
        <w:rPr>
          <w:rFonts w:cstheme="minorBidi"/>
          <w:b/>
          <w:sz w:val="24"/>
          <w:szCs w:val="24"/>
        </w:rPr>
      </w:pPr>
      <w:r w:rsidRPr="00EC1C30">
        <w:rPr>
          <w:rFonts w:cstheme="minorBidi"/>
          <w:b/>
          <w:sz w:val="24"/>
          <w:szCs w:val="24"/>
        </w:rPr>
        <w:t>Table 1</w:t>
      </w:r>
      <w:r w:rsidR="00B27F0A">
        <w:rPr>
          <w:rFonts w:cstheme="minorBidi"/>
          <w:b/>
          <w:sz w:val="24"/>
          <w:szCs w:val="24"/>
        </w:rPr>
        <w:t>:</w:t>
      </w:r>
      <w:r w:rsidRPr="00EC1C30">
        <w:rPr>
          <w:rFonts w:cstheme="minorBidi"/>
          <w:b/>
          <w:sz w:val="24"/>
          <w:szCs w:val="24"/>
        </w:rPr>
        <w:t xml:space="preserve"> Adjusted Hourly Wages Used in Burden Estimates</w:t>
      </w:r>
    </w:p>
    <w:p w:rsidRPr="006B68C8" w:rsidR="006B68C8" w:rsidP="006B68C8" w:rsidRDefault="006B68C8" w14:paraId="75B06C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432"/>
        <w:rPr>
          <w:b/>
          <w:bCs/>
          <w:iCs/>
          <w:sz w:val="24"/>
          <w:szCs w:val="24"/>
          <w:lang w:val="x-none"/>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95"/>
        <w:gridCol w:w="1440"/>
        <w:gridCol w:w="1440"/>
        <w:gridCol w:w="1625"/>
        <w:gridCol w:w="1435"/>
      </w:tblGrid>
      <w:tr w:rsidRPr="006B68C8" w:rsidR="006B68C8" w:rsidTr="002E511F" w14:paraId="4048BBDD" w14:textId="77777777">
        <w:trPr>
          <w:tblHeader/>
          <w:jc w:val="center"/>
        </w:trPr>
        <w:tc>
          <w:tcPr>
            <w:tcW w:w="3595" w:type="dxa"/>
          </w:tcPr>
          <w:p w:rsidRPr="00AB6B60" w:rsidR="006B68C8" w:rsidP="00AB6B60" w:rsidRDefault="008544E9" w14:paraId="0C3E2AFD" w14:textId="6035526D">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90"/>
              <w:rPr>
                <w:sz w:val="24"/>
                <w:szCs w:val="24"/>
              </w:rPr>
            </w:pPr>
            <w:r w:rsidRPr="00AB6B60">
              <w:rPr>
                <w:sz w:val="24"/>
                <w:szCs w:val="24"/>
              </w:rPr>
              <w:t>OES Designation</w:t>
            </w:r>
          </w:p>
        </w:tc>
        <w:tc>
          <w:tcPr>
            <w:tcW w:w="1440" w:type="dxa"/>
          </w:tcPr>
          <w:p w:rsidRPr="006B68C8" w:rsidR="006B68C8" w:rsidP="00652D1E" w:rsidRDefault="006B68C8" w14:paraId="4803D4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right="82"/>
              <w:jc w:val="center"/>
              <w:rPr>
                <w:sz w:val="24"/>
                <w:szCs w:val="24"/>
              </w:rPr>
            </w:pPr>
            <w:r w:rsidRPr="006B68C8">
              <w:rPr>
                <w:sz w:val="24"/>
                <w:szCs w:val="24"/>
              </w:rPr>
              <w:t>Occupational Code</w:t>
            </w:r>
          </w:p>
        </w:tc>
        <w:tc>
          <w:tcPr>
            <w:tcW w:w="1440" w:type="dxa"/>
          </w:tcPr>
          <w:p w:rsidRPr="006B68C8" w:rsidR="006B68C8" w:rsidP="00652D1E" w:rsidRDefault="006B68C8" w14:paraId="560B3C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right="82"/>
              <w:jc w:val="center"/>
              <w:rPr>
                <w:sz w:val="24"/>
                <w:szCs w:val="24"/>
              </w:rPr>
            </w:pPr>
            <w:r w:rsidRPr="006B68C8">
              <w:rPr>
                <w:sz w:val="24"/>
                <w:szCs w:val="24"/>
              </w:rPr>
              <w:t>Mean Hourly Wage ($/hour)</w:t>
            </w:r>
          </w:p>
        </w:tc>
        <w:tc>
          <w:tcPr>
            <w:tcW w:w="1625" w:type="dxa"/>
          </w:tcPr>
          <w:p w:rsidRPr="006B68C8" w:rsidR="006B68C8" w:rsidP="00652D1E" w:rsidRDefault="006B68C8" w14:paraId="08261F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right="82"/>
              <w:jc w:val="center"/>
              <w:rPr>
                <w:sz w:val="24"/>
                <w:szCs w:val="24"/>
              </w:rPr>
            </w:pPr>
            <w:r w:rsidRPr="006B68C8">
              <w:rPr>
                <w:sz w:val="24"/>
                <w:szCs w:val="24"/>
              </w:rPr>
              <w:t>Fringe Benefits and Overhead ($/hour)</w:t>
            </w:r>
          </w:p>
        </w:tc>
        <w:tc>
          <w:tcPr>
            <w:tcW w:w="1435" w:type="dxa"/>
          </w:tcPr>
          <w:p w:rsidRPr="006B68C8" w:rsidR="006B68C8" w:rsidP="00652D1E" w:rsidRDefault="006B68C8" w14:paraId="39A314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right="82"/>
              <w:jc w:val="center"/>
              <w:rPr>
                <w:sz w:val="24"/>
                <w:szCs w:val="24"/>
              </w:rPr>
            </w:pPr>
            <w:r w:rsidRPr="006B68C8">
              <w:rPr>
                <w:sz w:val="24"/>
                <w:szCs w:val="24"/>
              </w:rPr>
              <w:t>Adjusted Hourly Wage ($/hour)</w:t>
            </w:r>
          </w:p>
        </w:tc>
      </w:tr>
      <w:tr w:rsidRPr="006B68C8" w:rsidR="006B68C8" w:rsidTr="002E511F" w14:paraId="0AFB1675" w14:textId="77777777">
        <w:trPr>
          <w:jc w:val="center"/>
        </w:trPr>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rsidRPr="006B68C8" w:rsidR="006B68C8" w:rsidP="00AB6B60" w:rsidRDefault="006B68C8" w14:paraId="415BE0C1" w14:textId="3903F60C">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90"/>
              <w:rPr>
                <w:sz w:val="24"/>
                <w:szCs w:val="24"/>
              </w:rPr>
            </w:pPr>
            <w:r>
              <w:rPr>
                <w:sz w:val="24"/>
              </w:rPr>
              <w:t>Financial E</w:t>
            </w:r>
            <w:r w:rsidRPr="00F163CF">
              <w:rPr>
                <w:sz w:val="24"/>
              </w:rPr>
              <w:t>xaminer</w:t>
            </w:r>
            <w:r w:rsidR="008544E9">
              <w:rPr>
                <w:sz w:val="24"/>
              </w:rPr>
              <w:t xml:space="preserve"> (</w:t>
            </w:r>
            <w:r w:rsidRPr="00B30CCA" w:rsidR="008544E9">
              <w:rPr>
                <w:sz w:val="24"/>
                <w:szCs w:val="24"/>
              </w:rPr>
              <w:t>State Government, excluding schools and hospitals)</w:t>
            </w:r>
          </w:p>
        </w:tc>
        <w:tc>
          <w:tcPr>
            <w:tcW w:w="1440" w:type="dxa"/>
            <w:tcBorders>
              <w:top w:val="single" w:color="auto" w:sz="4" w:space="0"/>
              <w:left w:val="nil"/>
              <w:bottom w:val="single" w:color="auto" w:sz="4" w:space="0"/>
              <w:right w:val="single" w:color="auto" w:sz="4" w:space="0"/>
            </w:tcBorders>
            <w:shd w:val="clear" w:color="auto" w:fill="auto"/>
            <w:vAlign w:val="center"/>
          </w:tcPr>
          <w:p w:rsidRPr="003E5549" w:rsidR="006B68C8" w:rsidP="006B68C8" w:rsidRDefault="00B27F0A" w14:paraId="7CCA3349" w14:textId="012C7D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B30CCA">
              <w:rPr>
                <w:sz w:val="24"/>
                <w:szCs w:val="24"/>
              </w:rPr>
              <w:t>13-2061</w:t>
            </w:r>
          </w:p>
        </w:tc>
        <w:tc>
          <w:tcPr>
            <w:tcW w:w="1440" w:type="dxa"/>
            <w:tcBorders>
              <w:top w:val="single" w:color="auto" w:sz="4" w:space="0"/>
              <w:left w:val="nil"/>
              <w:bottom w:val="single" w:color="auto" w:sz="4" w:space="0"/>
              <w:right w:val="single" w:color="auto" w:sz="4" w:space="0"/>
            </w:tcBorders>
            <w:shd w:val="clear" w:color="auto" w:fill="auto"/>
            <w:vAlign w:val="center"/>
          </w:tcPr>
          <w:p w:rsidRPr="003E5549" w:rsidR="006B68C8" w:rsidP="006B68C8" w:rsidRDefault="006B68C8" w14:paraId="741E7C4A" w14:textId="24BB15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3E5549">
              <w:rPr>
                <w:sz w:val="24"/>
                <w:szCs w:val="24"/>
              </w:rPr>
              <w:t>$35.54</w:t>
            </w:r>
          </w:p>
        </w:tc>
        <w:tc>
          <w:tcPr>
            <w:tcW w:w="1625" w:type="dxa"/>
            <w:tcBorders>
              <w:top w:val="single" w:color="auto" w:sz="4" w:space="0"/>
              <w:left w:val="nil"/>
              <w:bottom w:val="single" w:color="auto" w:sz="4" w:space="0"/>
              <w:right w:val="single" w:color="auto" w:sz="4" w:space="0"/>
            </w:tcBorders>
            <w:shd w:val="clear" w:color="auto" w:fill="auto"/>
            <w:vAlign w:val="center"/>
          </w:tcPr>
          <w:p w:rsidRPr="006B68C8" w:rsidR="006B68C8" w:rsidP="006B68C8" w:rsidRDefault="006B68C8" w14:paraId="50931DFD" w14:textId="757959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Pr>
                <w:sz w:val="24"/>
                <w:szCs w:val="24"/>
              </w:rPr>
              <w:t>$35.54</w:t>
            </w:r>
          </w:p>
        </w:tc>
        <w:tc>
          <w:tcPr>
            <w:tcW w:w="1435" w:type="dxa"/>
            <w:tcBorders>
              <w:top w:val="single" w:color="auto" w:sz="4" w:space="0"/>
              <w:left w:val="nil"/>
              <w:bottom w:val="single" w:color="auto" w:sz="4" w:space="0"/>
              <w:right w:val="single" w:color="auto" w:sz="4" w:space="0"/>
            </w:tcBorders>
            <w:shd w:val="clear" w:color="auto" w:fill="auto"/>
            <w:vAlign w:val="center"/>
          </w:tcPr>
          <w:p w:rsidRPr="006B68C8" w:rsidR="006B68C8" w:rsidP="006B68C8" w:rsidRDefault="006B68C8" w14:paraId="36F25D89" w14:textId="06AB77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Pr>
                <w:sz w:val="24"/>
                <w:szCs w:val="24"/>
              </w:rPr>
              <w:t>$71.08</w:t>
            </w:r>
          </w:p>
        </w:tc>
      </w:tr>
      <w:tr w:rsidRPr="006B68C8" w:rsidR="006B68C8" w:rsidTr="002E511F" w14:paraId="6F370801" w14:textId="77777777">
        <w:trPr>
          <w:jc w:val="center"/>
        </w:trPr>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rsidRPr="003E5549" w:rsidR="006B68C8" w:rsidP="00AB6B60" w:rsidRDefault="008544E9" w14:paraId="5D993722" w14:textId="7F85ACF8">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90"/>
              <w:rPr>
                <w:sz w:val="24"/>
                <w:szCs w:val="24"/>
              </w:rPr>
            </w:pPr>
            <w:r>
              <w:rPr>
                <w:sz w:val="24"/>
              </w:rPr>
              <w:t xml:space="preserve">Actuary (Member of </w:t>
            </w:r>
            <w:r w:rsidRPr="00F163CF">
              <w:rPr>
                <w:sz w:val="24"/>
              </w:rPr>
              <w:t>American Academy of Actuaries</w:t>
            </w:r>
            <w:r>
              <w:rPr>
                <w:sz w:val="24"/>
              </w:rPr>
              <w:t>)</w:t>
            </w:r>
          </w:p>
        </w:tc>
        <w:tc>
          <w:tcPr>
            <w:tcW w:w="1440" w:type="dxa"/>
            <w:tcBorders>
              <w:top w:val="single" w:color="auto" w:sz="4" w:space="0"/>
              <w:left w:val="nil"/>
              <w:bottom w:val="single" w:color="auto" w:sz="4" w:space="0"/>
              <w:right w:val="single" w:color="auto" w:sz="4" w:space="0"/>
            </w:tcBorders>
            <w:shd w:val="clear" w:color="auto" w:fill="auto"/>
            <w:vAlign w:val="center"/>
          </w:tcPr>
          <w:p w:rsidRPr="003E5549" w:rsidR="006B68C8" w:rsidP="006B68C8" w:rsidRDefault="00B27F0A" w14:paraId="59E4E8C5" w14:textId="236FA2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B30CCA">
              <w:rPr>
                <w:sz w:val="24"/>
                <w:szCs w:val="24"/>
              </w:rPr>
              <w:t>15-2011</w:t>
            </w:r>
          </w:p>
        </w:tc>
        <w:tc>
          <w:tcPr>
            <w:tcW w:w="1440" w:type="dxa"/>
            <w:tcBorders>
              <w:top w:val="single" w:color="auto" w:sz="4" w:space="0"/>
              <w:left w:val="nil"/>
              <w:bottom w:val="single" w:color="auto" w:sz="4" w:space="0"/>
              <w:right w:val="single" w:color="auto" w:sz="4" w:space="0"/>
            </w:tcBorders>
            <w:shd w:val="clear" w:color="auto" w:fill="auto"/>
            <w:vAlign w:val="center"/>
          </w:tcPr>
          <w:p w:rsidRPr="003E5549" w:rsidR="006B68C8" w:rsidP="006B68C8" w:rsidRDefault="008544E9" w14:paraId="3DC2AA1A" w14:textId="695453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3E5549">
              <w:rPr>
                <w:sz w:val="24"/>
                <w:szCs w:val="24"/>
              </w:rPr>
              <w:t>$43.65</w:t>
            </w:r>
          </w:p>
        </w:tc>
        <w:tc>
          <w:tcPr>
            <w:tcW w:w="1625" w:type="dxa"/>
            <w:tcBorders>
              <w:top w:val="single" w:color="auto" w:sz="4" w:space="0"/>
              <w:left w:val="nil"/>
              <w:bottom w:val="single" w:color="auto" w:sz="4" w:space="0"/>
              <w:right w:val="single" w:color="auto" w:sz="4" w:space="0"/>
            </w:tcBorders>
            <w:shd w:val="clear" w:color="auto" w:fill="auto"/>
            <w:vAlign w:val="center"/>
          </w:tcPr>
          <w:p w:rsidRPr="006B68C8" w:rsidR="006B68C8" w:rsidP="006B68C8" w:rsidRDefault="008544E9" w14:paraId="70048DCB" w14:textId="18A972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Pr>
                <w:sz w:val="24"/>
                <w:szCs w:val="24"/>
              </w:rPr>
              <w:t>$43.65</w:t>
            </w:r>
          </w:p>
        </w:tc>
        <w:tc>
          <w:tcPr>
            <w:tcW w:w="1435" w:type="dxa"/>
            <w:tcBorders>
              <w:top w:val="single" w:color="auto" w:sz="4" w:space="0"/>
              <w:left w:val="nil"/>
              <w:bottom w:val="single" w:color="auto" w:sz="4" w:space="0"/>
              <w:right w:val="single" w:color="auto" w:sz="4" w:space="0"/>
            </w:tcBorders>
            <w:shd w:val="clear" w:color="auto" w:fill="auto"/>
            <w:vAlign w:val="center"/>
          </w:tcPr>
          <w:p w:rsidRPr="006B68C8" w:rsidR="006B68C8" w:rsidP="006B68C8" w:rsidRDefault="008544E9" w14:paraId="79C0A997" w14:textId="263487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Pr>
                <w:sz w:val="24"/>
                <w:szCs w:val="24"/>
              </w:rPr>
              <w:t>$87.30</w:t>
            </w:r>
          </w:p>
        </w:tc>
      </w:tr>
      <w:tr w:rsidRPr="006B68C8" w:rsidR="006B68C8" w:rsidTr="002E511F" w14:paraId="260F4DE0" w14:textId="77777777">
        <w:trPr>
          <w:jc w:val="center"/>
        </w:trPr>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rsidRPr="006B68C8" w:rsidR="006B68C8" w:rsidP="00AB6B60" w:rsidRDefault="00B726DB" w14:paraId="2D3AFBD6" w14:textId="736F20A3">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90"/>
              <w:rPr>
                <w:sz w:val="24"/>
                <w:szCs w:val="24"/>
              </w:rPr>
            </w:pPr>
            <w:r>
              <w:rPr>
                <w:sz w:val="24"/>
                <w:szCs w:val="24"/>
              </w:rPr>
              <w:t xml:space="preserve">Market Research Analysts and Marketing Specialists </w:t>
            </w:r>
          </w:p>
        </w:tc>
        <w:tc>
          <w:tcPr>
            <w:tcW w:w="1440" w:type="dxa"/>
            <w:tcBorders>
              <w:top w:val="single" w:color="auto" w:sz="4" w:space="0"/>
              <w:left w:val="nil"/>
              <w:bottom w:val="single" w:color="auto" w:sz="4" w:space="0"/>
              <w:right w:val="single" w:color="auto" w:sz="4" w:space="0"/>
            </w:tcBorders>
            <w:shd w:val="clear" w:color="auto" w:fill="auto"/>
            <w:vAlign w:val="center"/>
          </w:tcPr>
          <w:p w:rsidRPr="006B68C8" w:rsidR="006B68C8" w:rsidP="006B68C8" w:rsidRDefault="00B27F0A" w14:paraId="4ADC02C1" w14:textId="70F970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Pr>
                <w:sz w:val="24"/>
                <w:szCs w:val="24"/>
              </w:rPr>
              <w:t>12-1161</w:t>
            </w:r>
          </w:p>
        </w:tc>
        <w:tc>
          <w:tcPr>
            <w:tcW w:w="1440" w:type="dxa"/>
            <w:tcBorders>
              <w:top w:val="single" w:color="auto" w:sz="4" w:space="0"/>
              <w:left w:val="nil"/>
              <w:bottom w:val="single" w:color="auto" w:sz="4" w:space="0"/>
              <w:right w:val="single" w:color="auto" w:sz="4" w:space="0"/>
            </w:tcBorders>
            <w:shd w:val="clear" w:color="auto" w:fill="auto"/>
            <w:vAlign w:val="center"/>
          </w:tcPr>
          <w:p w:rsidRPr="006B68C8" w:rsidR="006B68C8" w:rsidP="006B68C8" w:rsidRDefault="00B27F0A" w14:paraId="756280EC" w14:textId="03E413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Pr>
                <w:sz w:val="24"/>
                <w:szCs w:val="24"/>
              </w:rPr>
              <w:t>$</w:t>
            </w:r>
            <w:r w:rsidR="00B726DB">
              <w:rPr>
                <w:sz w:val="24"/>
                <w:szCs w:val="24"/>
              </w:rPr>
              <w:t>34.11</w:t>
            </w:r>
          </w:p>
        </w:tc>
        <w:tc>
          <w:tcPr>
            <w:tcW w:w="1625" w:type="dxa"/>
            <w:tcBorders>
              <w:top w:val="single" w:color="auto" w:sz="4" w:space="0"/>
              <w:left w:val="nil"/>
              <w:bottom w:val="single" w:color="auto" w:sz="4" w:space="0"/>
              <w:right w:val="single" w:color="auto" w:sz="4" w:space="0"/>
            </w:tcBorders>
            <w:shd w:val="clear" w:color="auto" w:fill="auto"/>
            <w:vAlign w:val="center"/>
          </w:tcPr>
          <w:p w:rsidRPr="006B68C8" w:rsidR="006B68C8" w:rsidP="006B68C8" w:rsidRDefault="00B27F0A" w14:paraId="5EF8E3A1" w14:textId="6DA424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Pr>
                <w:sz w:val="24"/>
                <w:szCs w:val="24"/>
              </w:rPr>
              <w:t>$34.11</w:t>
            </w:r>
          </w:p>
        </w:tc>
        <w:tc>
          <w:tcPr>
            <w:tcW w:w="1435" w:type="dxa"/>
            <w:tcBorders>
              <w:top w:val="single" w:color="auto" w:sz="4" w:space="0"/>
              <w:left w:val="nil"/>
              <w:bottom w:val="single" w:color="auto" w:sz="4" w:space="0"/>
              <w:right w:val="single" w:color="auto" w:sz="4" w:space="0"/>
            </w:tcBorders>
            <w:shd w:val="clear" w:color="auto" w:fill="auto"/>
            <w:vAlign w:val="center"/>
          </w:tcPr>
          <w:p w:rsidRPr="006B68C8" w:rsidR="006B68C8" w:rsidP="006B68C8" w:rsidRDefault="00B27F0A" w14:paraId="0D41881C" w14:textId="788E75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Pr>
                <w:sz w:val="24"/>
                <w:szCs w:val="24"/>
              </w:rPr>
              <w:t>$68.22</w:t>
            </w:r>
          </w:p>
        </w:tc>
      </w:tr>
      <w:tr w:rsidRPr="006B68C8" w:rsidR="00B27F0A" w:rsidTr="002E511F" w14:paraId="17E023A9" w14:textId="77777777">
        <w:trPr>
          <w:jc w:val="center"/>
        </w:trPr>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rsidR="00B27F0A" w:rsidP="006906F4" w:rsidRDefault="006906F4" w14:paraId="6ED7333E" w14:textId="0D56752E">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90"/>
              <w:rPr>
                <w:sz w:val="24"/>
                <w:szCs w:val="24"/>
              </w:rPr>
            </w:pPr>
            <w:r>
              <w:rPr>
                <w:sz w:val="24"/>
                <w:szCs w:val="24"/>
              </w:rPr>
              <w:t>Legal Support Workers, all o</w:t>
            </w:r>
            <w:r w:rsidR="00B27F0A">
              <w:rPr>
                <w:sz w:val="24"/>
                <w:szCs w:val="24"/>
              </w:rPr>
              <w:t>ther</w:t>
            </w:r>
          </w:p>
        </w:tc>
        <w:tc>
          <w:tcPr>
            <w:tcW w:w="1440" w:type="dxa"/>
            <w:tcBorders>
              <w:top w:val="single" w:color="auto" w:sz="4" w:space="0"/>
              <w:left w:val="nil"/>
              <w:bottom w:val="single" w:color="auto" w:sz="4" w:space="0"/>
              <w:right w:val="single" w:color="auto" w:sz="4" w:space="0"/>
            </w:tcBorders>
            <w:shd w:val="clear" w:color="auto" w:fill="auto"/>
            <w:vAlign w:val="center"/>
          </w:tcPr>
          <w:p w:rsidR="00B27F0A" w:rsidP="006B68C8" w:rsidRDefault="00B27F0A" w14:paraId="50D5D2ED" w14:textId="299D57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Pr>
                <w:sz w:val="24"/>
                <w:szCs w:val="24"/>
              </w:rPr>
              <w:t>23-2099</w:t>
            </w:r>
          </w:p>
        </w:tc>
        <w:tc>
          <w:tcPr>
            <w:tcW w:w="1440" w:type="dxa"/>
            <w:tcBorders>
              <w:top w:val="single" w:color="auto" w:sz="4" w:space="0"/>
              <w:left w:val="nil"/>
              <w:bottom w:val="single" w:color="auto" w:sz="4" w:space="0"/>
              <w:right w:val="single" w:color="auto" w:sz="4" w:space="0"/>
            </w:tcBorders>
            <w:shd w:val="clear" w:color="auto" w:fill="auto"/>
            <w:vAlign w:val="center"/>
          </w:tcPr>
          <w:p w:rsidR="00B27F0A" w:rsidP="006B68C8" w:rsidRDefault="00B27F0A" w14:paraId="36099C40" w14:textId="2A958D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Pr>
                <w:sz w:val="24"/>
                <w:szCs w:val="24"/>
              </w:rPr>
              <w:t>$34.34</w:t>
            </w:r>
          </w:p>
        </w:tc>
        <w:tc>
          <w:tcPr>
            <w:tcW w:w="1625" w:type="dxa"/>
            <w:tcBorders>
              <w:top w:val="single" w:color="auto" w:sz="4" w:space="0"/>
              <w:left w:val="nil"/>
              <w:bottom w:val="single" w:color="auto" w:sz="4" w:space="0"/>
              <w:right w:val="single" w:color="auto" w:sz="4" w:space="0"/>
            </w:tcBorders>
            <w:shd w:val="clear" w:color="auto" w:fill="auto"/>
            <w:vAlign w:val="center"/>
          </w:tcPr>
          <w:p w:rsidR="00B27F0A" w:rsidP="006B68C8" w:rsidRDefault="00B27F0A" w14:paraId="29BC0809" w14:textId="4114F9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Pr>
                <w:sz w:val="24"/>
                <w:szCs w:val="24"/>
              </w:rPr>
              <w:t>$34.34</w:t>
            </w:r>
          </w:p>
        </w:tc>
        <w:tc>
          <w:tcPr>
            <w:tcW w:w="1435" w:type="dxa"/>
            <w:tcBorders>
              <w:top w:val="single" w:color="auto" w:sz="4" w:space="0"/>
              <w:left w:val="nil"/>
              <w:bottom w:val="single" w:color="auto" w:sz="4" w:space="0"/>
              <w:right w:val="single" w:color="auto" w:sz="4" w:space="0"/>
            </w:tcBorders>
            <w:shd w:val="clear" w:color="auto" w:fill="auto"/>
            <w:vAlign w:val="center"/>
          </w:tcPr>
          <w:p w:rsidR="00B27F0A" w:rsidP="006B68C8" w:rsidRDefault="00B27F0A" w14:paraId="2D8D115F" w14:textId="000A3A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Pr>
                <w:sz w:val="24"/>
                <w:szCs w:val="24"/>
              </w:rPr>
              <w:t>$68.68</w:t>
            </w:r>
          </w:p>
        </w:tc>
      </w:tr>
      <w:tr w:rsidRPr="006B68C8" w:rsidR="00B27F0A" w:rsidTr="002E511F" w14:paraId="0566C578" w14:textId="77777777">
        <w:trPr>
          <w:jc w:val="center"/>
        </w:trPr>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rsidR="00B27F0A" w:rsidP="00AB6B60" w:rsidRDefault="00B27F0A" w14:paraId="3F156F41" w14:textId="0AE20F51">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90"/>
              <w:rPr>
                <w:sz w:val="24"/>
                <w:szCs w:val="24"/>
              </w:rPr>
            </w:pPr>
            <w:r w:rsidRPr="00B27F0A">
              <w:rPr>
                <w:sz w:val="24"/>
                <w:szCs w:val="24"/>
              </w:rPr>
              <w:t>General and Operations Managers</w:t>
            </w:r>
          </w:p>
        </w:tc>
        <w:tc>
          <w:tcPr>
            <w:tcW w:w="1440" w:type="dxa"/>
            <w:tcBorders>
              <w:top w:val="single" w:color="auto" w:sz="4" w:space="0"/>
              <w:left w:val="nil"/>
              <w:bottom w:val="single" w:color="auto" w:sz="4" w:space="0"/>
              <w:right w:val="single" w:color="auto" w:sz="4" w:space="0"/>
            </w:tcBorders>
            <w:shd w:val="clear" w:color="auto" w:fill="auto"/>
            <w:vAlign w:val="center"/>
          </w:tcPr>
          <w:p w:rsidR="00B27F0A" w:rsidP="006B68C8" w:rsidRDefault="00B27F0A" w14:paraId="3459EC1A" w14:textId="7996AF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B27F0A">
              <w:rPr>
                <w:sz w:val="24"/>
                <w:szCs w:val="24"/>
              </w:rPr>
              <w:t>11-1021</w:t>
            </w:r>
          </w:p>
        </w:tc>
        <w:tc>
          <w:tcPr>
            <w:tcW w:w="1440" w:type="dxa"/>
            <w:tcBorders>
              <w:top w:val="single" w:color="auto" w:sz="4" w:space="0"/>
              <w:left w:val="nil"/>
              <w:bottom w:val="single" w:color="auto" w:sz="4" w:space="0"/>
              <w:right w:val="single" w:color="auto" w:sz="4" w:space="0"/>
            </w:tcBorders>
            <w:shd w:val="clear" w:color="auto" w:fill="auto"/>
            <w:vAlign w:val="center"/>
          </w:tcPr>
          <w:p w:rsidR="00B27F0A" w:rsidP="006B68C8" w:rsidRDefault="00B27F0A" w14:paraId="78C372F7" w14:textId="562961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B27F0A">
              <w:rPr>
                <w:sz w:val="24"/>
                <w:szCs w:val="24"/>
              </w:rPr>
              <w:t>$59.56</w:t>
            </w:r>
          </w:p>
        </w:tc>
        <w:tc>
          <w:tcPr>
            <w:tcW w:w="1625" w:type="dxa"/>
            <w:tcBorders>
              <w:top w:val="single" w:color="auto" w:sz="4" w:space="0"/>
              <w:left w:val="nil"/>
              <w:bottom w:val="single" w:color="auto" w:sz="4" w:space="0"/>
              <w:right w:val="single" w:color="auto" w:sz="4" w:space="0"/>
            </w:tcBorders>
            <w:shd w:val="clear" w:color="auto" w:fill="auto"/>
            <w:vAlign w:val="center"/>
          </w:tcPr>
          <w:p w:rsidR="00B27F0A" w:rsidP="006B68C8" w:rsidRDefault="00B27F0A" w14:paraId="7D1E5F8B" w14:textId="74A5EC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B27F0A">
              <w:rPr>
                <w:sz w:val="24"/>
                <w:szCs w:val="24"/>
              </w:rPr>
              <w:t>$59.56</w:t>
            </w:r>
          </w:p>
        </w:tc>
        <w:tc>
          <w:tcPr>
            <w:tcW w:w="1435" w:type="dxa"/>
            <w:tcBorders>
              <w:top w:val="single" w:color="auto" w:sz="4" w:space="0"/>
              <w:left w:val="nil"/>
              <w:bottom w:val="single" w:color="auto" w:sz="4" w:space="0"/>
              <w:right w:val="single" w:color="auto" w:sz="4" w:space="0"/>
            </w:tcBorders>
            <w:shd w:val="clear" w:color="auto" w:fill="auto"/>
            <w:vAlign w:val="center"/>
          </w:tcPr>
          <w:p w:rsidR="00B27F0A" w:rsidP="006B68C8" w:rsidRDefault="00B27F0A" w14:paraId="11445468" w14:textId="25E28F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Pr>
                <w:sz w:val="24"/>
                <w:szCs w:val="24"/>
              </w:rPr>
              <w:t>$</w:t>
            </w:r>
            <w:r w:rsidRPr="00B27F0A">
              <w:rPr>
                <w:sz w:val="24"/>
                <w:szCs w:val="24"/>
              </w:rPr>
              <w:t>119.12</w:t>
            </w:r>
          </w:p>
        </w:tc>
      </w:tr>
      <w:tr w:rsidRPr="006B68C8" w:rsidR="00B27F0A" w:rsidTr="002E511F" w14:paraId="16009B45" w14:textId="77777777">
        <w:trPr>
          <w:jc w:val="center"/>
        </w:trPr>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rsidR="00B27F0A" w:rsidP="00AB6B60" w:rsidRDefault="00B27F0A" w14:paraId="70141CAE" w14:textId="6AE8FA07">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90"/>
              <w:rPr>
                <w:sz w:val="24"/>
                <w:szCs w:val="24"/>
              </w:rPr>
            </w:pPr>
            <w:r w:rsidRPr="00B27F0A">
              <w:rPr>
                <w:sz w:val="24"/>
                <w:szCs w:val="24"/>
              </w:rPr>
              <w:t>Chief Executives</w:t>
            </w:r>
          </w:p>
        </w:tc>
        <w:tc>
          <w:tcPr>
            <w:tcW w:w="1440" w:type="dxa"/>
            <w:tcBorders>
              <w:top w:val="single" w:color="auto" w:sz="4" w:space="0"/>
              <w:left w:val="nil"/>
              <w:bottom w:val="single" w:color="auto" w:sz="4" w:space="0"/>
              <w:right w:val="single" w:color="auto" w:sz="4" w:space="0"/>
            </w:tcBorders>
            <w:shd w:val="clear" w:color="auto" w:fill="auto"/>
            <w:vAlign w:val="center"/>
          </w:tcPr>
          <w:p w:rsidR="00B27F0A" w:rsidP="006B68C8" w:rsidRDefault="00B27F0A" w14:paraId="4E9D2975" w14:textId="77CB0A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B27F0A">
              <w:rPr>
                <w:sz w:val="24"/>
                <w:szCs w:val="24"/>
              </w:rPr>
              <w:t>11-1011</w:t>
            </w:r>
          </w:p>
        </w:tc>
        <w:tc>
          <w:tcPr>
            <w:tcW w:w="1440" w:type="dxa"/>
            <w:tcBorders>
              <w:top w:val="single" w:color="auto" w:sz="4" w:space="0"/>
              <w:left w:val="nil"/>
              <w:bottom w:val="single" w:color="auto" w:sz="4" w:space="0"/>
              <w:right w:val="single" w:color="auto" w:sz="4" w:space="0"/>
            </w:tcBorders>
            <w:shd w:val="clear" w:color="auto" w:fill="auto"/>
            <w:vAlign w:val="center"/>
          </w:tcPr>
          <w:p w:rsidR="00B27F0A" w:rsidP="006B68C8" w:rsidRDefault="00B27F0A" w14:paraId="7E4C5D38" w14:textId="4FE818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B27F0A">
              <w:rPr>
                <w:sz w:val="24"/>
                <w:szCs w:val="24"/>
              </w:rPr>
              <w:t>$96.22</w:t>
            </w:r>
          </w:p>
        </w:tc>
        <w:tc>
          <w:tcPr>
            <w:tcW w:w="1625" w:type="dxa"/>
            <w:tcBorders>
              <w:top w:val="single" w:color="auto" w:sz="4" w:space="0"/>
              <w:left w:val="nil"/>
              <w:bottom w:val="single" w:color="auto" w:sz="4" w:space="0"/>
              <w:right w:val="single" w:color="auto" w:sz="4" w:space="0"/>
            </w:tcBorders>
            <w:shd w:val="clear" w:color="auto" w:fill="auto"/>
            <w:vAlign w:val="center"/>
          </w:tcPr>
          <w:p w:rsidR="00B27F0A" w:rsidP="006B68C8" w:rsidRDefault="00B27F0A" w14:paraId="52A126E0" w14:textId="2D1D88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B27F0A">
              <w:rPr>
                <w:sz w:val="24"/>
                <w:szCs w:val="24"/>
              </w:rPr>
              <w:t>$96.22</w:t>
            </w:r>
          </w:p>
        </w:tc>
        <w:tc>
          <w:tcPr>
            <w:tcW w:w="1435" w:type="dxa"/>
            <w:tcBorders>
              <w:top w:val="single" w:color="auto" w:sz="4" w:space="0"/>
              <w:left w:val="nil"/>
              <w:bottom w:val="single" w:color="auto" w:sz="4" w:space="0"/>
              <w:right w:val="single" w:color="auto" w:sz="4" w:space="0"/>
            </w:tcBorders>
            <w:shd w:val="clear" w:color="auto" w:fill="auto"/>
            <w:vAlign w:val="center"/>
          </w:tcPr>
          <w:p w:rsidR="00B27F0A" w:rsidP="006B68C8" w:rsidRDefault="00B27F0A" w14:paraId="0B5D5132" w14:textId="23CEC9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sz w:val="24"/>
                <w:szCs w:val="24"/>
              </w:rPr>
            </w:pPr>
            <w:r w:rsidRPr="00B27F0A">
              <w:rPr>
                <w:sz w:val="24"/>
                <w:szCs w:val="24"/>
              </w:rPr>
              <w:t>$192.44</w:t>
            </w:r>
          </w:p>
        </w:tc>
      </w:tr>
    </w:tbl>
    <w:p w:rsidR="005600BB" w:rsidP="00CA1687" w:rsidRDefault="005600BB" w14:paraId="0D35EE06" w14:textId="77777777">
      <w:pPr>
        <w:pStyle w:val="BodyText"/>
        <w:spacing w:before="4"/>
        <w:ind w:right="30"/>
        <w:rPr>
          <w:b/>
        </w:rPr>
      </w:pPr>
    </w:p>
    <w:p w:rsidRPr="009F3A02" w:rsidR="00C93E4E" w:rsidP="00CA1687" w:rsidRDefault="00C93E4E" w14:paraId="4470D4BB" w14:textId="77777777">
      <w:pPr>
        <w:pStyle w:val="BodyText"/>
        <w:ind w:right="30"/>
      </w:pPr>
      <w:bookmarkStart w:name="The_following_sections_of_this_document_" w:id="57"/>
      <w:bookmarkEnd w:id="57"/>
      <w:r>
        <w:rPr>
          <w:b/>
        </w:rPr>
        <w:t>EHB-Benchmark Plan Selection</w:t>
      </w:r>
    </w:p>
    <w:p w:rsidRPr="00BF3A26" w:rsidR="00C93E4E" w:rsidP="00CA1687" w:rsidRDefault="0043666F" w14:paraId="398E2BAC" w14:textId="09DDC237">
      <w:pPr>
        <w:ind w:right="30"/>
        <w:rPr>
          <w:sz w:val="24"/>
        </w:rPr>
      </w:pPr>
      <w:r w:rsidRPr="00F163CF">
        <w:rPr>
          <w:sz w:val="24"/>
        </w:rPr>
        <w:t>The following sections of this document contain estimates of the burden imposed by the incorporated ICRs, but this burden estimate does not include estimate</w:t>
      </w:r>
      <w:r w:rsidR="00BC3758">
        <w:rPr>
          <w:sz w:val="24"/>
        </w:rPr>
        <w:t>s</w:t>
      </w:r>
      <w:r w:rsidRPr="00F163CF">
        <w:rPr>
          <w:sz w:val="24"/>
        </w:rPr>
        <w:t xml:space="preserve"> for a </w:t>
      </w:r>
      <w:r w:rsidR="001B0F38">
        <w:rPr>
          <w:sz w:val="24"/>
        </w:rPr>
        <w:t>s</w:t>
      </w:r>
      <w:r w:rsidRPr="00F163CF">
        <w:rPr>
          <w:sz w:val="24"/>
        </w:rPr>
        <w:t xml:space="preserve">tate to conduct reasonable public notice and an opportunity for public comment as finalized at §156.111(c). </w:t>
      </w:r>
    </w:p>
    <w:p w:rsidR="005600BB" w:rsidP="00CA1687" w:rsidRDefault="005600BB" w14:paraId="3966C8D6" w14:textId="77777777">
      <w:pPr>
        <w:pStyle w:val="BodyText"/>
        <w:spacing w:before="9"/>
        <w:ind w:right="30"/>
        <w:rPr>
          <w:sz w:val="21"/>
        </w:rPr>
      </w:pPr>
    </w:p>
    <w:p w:rsidRPr="009C2427" w:rsidR="005600BB" w:rsidP="00CA1687" w:rsidRDefault="0043666F" w14:paraId="3733953B" w14:textId="77777777">
      <w:pPr>
        <w:pStyle w:val="Heading1"/>
        <w:spacing w:before="90"/>
        <w:ind w:left="0" w:right="30" w:firstLine="0"/>
        <w:rPr>
          <w:i/>
        </w:rPr>
      </w:pPr>
      <w:bookmarkStart w:name="Burden_on_States" w:id="58"/>
      <w:bookmarkEnd w:id="58"/>
      <w:r w:rsidRPr="009C2427">
        <w:rPr>
          <w:i/>
        </w:rPr>
        <w:t>Burden on States</w:t>
      </w:r>
    </w:p>
    <w:p w:rsidRPr="00F163CF" w:rsidR="005600BB" w:rsidP="00CA1687" w:rsidRDefault="0043666F" w14:paraId="40808775" w14:textId="4BFC646E">
      <w:pPr>
        <w:ind w:right="30"/>
        <w:rPr>
          <w:sz w:val="24"/>
        </w:rPr>
      </w:pPr>
      <w:r w:rsidRPr="00F163CF">
        <w:rPr>
          <w:sz w:val="24"/>
        </w:rPr>
        <w:t xml:space="preserve">Under the previous benchmark plan selection policy, 29 </w:t>
      </w:r>
      <w:r w:rsidR="001B0F38">
        <w:rPr>
          <w:sz w:val="24"/>
        </w:rPr>
        <w:t>s</w:t>
      </w:r>
      <w:r w:rsidRPr="00F163CF">
        <w:rPr>
          <w:sz w:val="24"/>
        </w:rPr>
        <w:t xml:space="preserve">tates selected one of the 10 base benchmark plan options and 22 </w:t>
      </w:r>
      <w:r w:rsidR="001B0F38">
        <w:rPr>
          <w:sz w:val="24"/>
        </w:rPr>
        <w:t>s</w:t>
      </w:r>
      <w:r w:rsidRPr="00F163CF">
        <w:rPr>
          <w:sz w:val="24"/>
        </w:rPr>
        <w:t xml:space="preserve">tates defaulted and that policy did not allow for </w:t>
      </w:r>
      <w:r w:rsidR="001B0F38">
        <w:rPr>
          <w:sz w:val="24"/>
        </w:rPr>
        <w:t>s</w:t>
      </w:r>
      <w:r w:rsidRPr="00F163CF">
        <w:rPr>
          <w:sz w:val="24"/>
        </w:rPr>
        <w:t xml:space="preserve">tates to make an annual selection. The revised regulation allows </w:t>
      </w:r>
      <w:r w:rsidR="001B0F38">
        <w:rPr>
          <w:sz w:val="24"/>
        </w:rPr>
        <w:t>s</w:t>
      </w:r>
      <w:r w:rsidRPr="00F163CF">
        <w:rPr>
          <w:sz w:val="24"/>
        </w:rPr>
        <w:t xml:space="preserve">tates to modify their EHB-benchmark plans annually, but would not require them to respond to this ICR for any year for which they did not change their EHB- benchmark plans. As such, for purposes of this regulation, we estimate that 10 </w:t>
      </w:r>
      <w:r w:rsidR="001B0F38">
        <w:rPr>
          <w:sz w:val="24"/>
        </w:rPr>
        <w:t>s</w:t>
      </w:r>
      <w:r w:rsidRPr="00F163CF">
        <w:rPr>
          <w:sz w:val="24"/>
        </w:rPr>
        <w:t xml:space="preserve">tates would choose to make a change to their EHB-benchmark plans in any given year (for a total of 30 </w:t>
      </w:r>
      <w:r w:rsidR="001B0F38">
        <w:rPr>
          <w:sz w:val="24"/>
        </w:rPr>
        <w:t>s</w:t>
      </w:r>
      <w:r w:rsidRPr="00F163CF">
        <w:rPr>
          <w:sz w:val="24"/>
        </w:rPr>
        <w:t>tates over 3 years within the authorization of this ICR) and would respond to this ICR. The following details the burden attached to part of this information collection.</w:t>
      </w:r>
    </w:p>
    <w:p w:rsidRPr="00F163CF" w:rsidR="005600BB" w:rsidP="00CA1687" w:rsidRDefault="005600BB" w14:paraId="1DD969F9" w14:textId="77777777">
      <w:pPr>
        <w:ind w:right="30"/>
        <w:rPr>
          <w:sz w:val="24"/>
        </w:rPr>
      </w:pPr>
    </w:p>
    <w:p w:rsidRPr="00F163CF" w:rsidR="008F39B9" w:rsidP="00CA1687" w:rsidRDefault="0043666F" w14:paraId="0FF87857" w14:textId="6637D1AF">
      <w:pPr>
        <w:ind w:right="30"/>
        <w:rPr>
          <w:sz w:val="24"/>
        </w:rPr>
      </w:pPr>
      <w:bookmarkStart w:name="First,_to_select_a_new_EHB-benchmark_pla" w:id="59"/>
      <w:bookmarkEnd w:id="59"/>
      <w:r w:rsidRPr="00F163CF">
        <w:rPr>
          <w:sz w:val="24"/>
        </w:rPr>
        <w:t xml:space="preserve">First, to select a new EHB-benchmark plan, we require at §156.111(e)(1) that the </w:t>
      </w:r>
      <w:r w:rsidR="001B0F38">
        <w:rPr>
          <w:sz w:val="24"/>
        </w:rPr>
        <w:t>s</w:t>
      </w:r>
      <w:r w:rsidRPr="00F163CF">
        <w:rPr>
          <w:sz w:val="24"/>
        </w:rPr>
        <w:t xml:space="preserve">tate provide confirmation that the </w:t>
      </w:r>
      <w:r w:rsidR="001B0F38">
        <w:rPr>
          <w:sz w:val="24"/>
        </w:rPr>
        <w:t>s</w:t>
      </w:r>
      <w:r w:rsidRPr="00F163CF">
        <w:rPr>
          <w:sz w:val="24"/>
        </w:rPr>
        <w:t xml:space="preserve">tate’s EHB-benchmark plan selection complies with certain requirements, including those under §156.111(a), (b), and (c). To collect this information, the </w:t>
      </w:r>
      <w:r w:rsidR="001B0F38">
        <w:rPr>
          <w:sz w:val="24"/>
        </w:rPr>
        <w:t>s</w:t>
      </w:r>
      <w:r w:rsidRPr="00F163CF">
        <w:rPr>
          <w:sz w:val="24"/>
        </w:rPr>
        <w:t xml:space="preserve">tate submits the associated document in </w:t>
      </w:r>
      <w:r w:rsidRPr="00711707">
        <w:rPr>
          <w:b/>
          <w:sz w:val="24"/>
        </w:rPr>
        <w:t>Appendix A</w:t>
      </w:r>
      <w:r w:rsidR="00044E96">
        <w:rPr>
          <w:b/>
          <w:sz w:val="24"/>
        </w:rPr>
        <w:t>.</w:t>
      </w:r>
      <w:r w:rsidRPr="00044E96" w:rsidR="00044E96">
        <w:t xml:space="preserve"> </w:t>
      </w:r>
      <w:r w:rsidRPr="00044E96" w:rsidR="00044E96">
        <w:rPr>
          <w:b/>
          <w:sz w:val="24"/>
        </w:rPr>
        <w:t>Confirmations on the State</w:t>
      </w:r>
      <w:r w:rsidR="00044E96">
        <w:rPr>
          <w:b/>
          <w:sz w:val="24"/>
        </w:rPr>
        <w:t xml:space="preserve"> </w:t>
      </w:r>
      <w:r w:rsidRPr="00044E96" w:rsidR="00044E96">
        <w:rPr>
          <w:b/>
          <w:sz w:val="24"/>
        </w:rPr>
        <w:t>EHB-benchmark Plan</w:t>
      </w:r>
      <w:r w:rsidRPr="00F163CF">
        <w:rPr>
          <w:sz w:val="24"/>
        </w:rPr>
        <w:t>. To complete this requirement, we estimate that a financial examiner would require 4 hours (at a rate of $</w:t>
      </w:r>
      <w:r w:rsidR="00960756">
        <w:rPr>
          <w:sz w:val="24"/>
        </w:rPr>
        <w:t>71.08</w:t>
      </w:r>
      <w:r w:rsidRPr="00F163CF">
        <w:rPr>
          <w:sz w:val="24"/>
        </w:rPr>
        <w:t>per hour</w:t>
      </w:r>
      <w:r w:rsidR="008544E9">
        <w:rPr>
          <w:sz w:val="24"/>
        </w:rPr>
        <w:t>)</w:t>
      </w:r>
      <w:r w:rsidR="007963BE">
        <w:rPr>
          <w:sz w:val="24"/>
        </w:rPr>
        <w:t xml:space="preserve"> </w:t>
      </w:r>
      <w:r w:rsidRPr="00F163CF">
        <w:rPr>
          <w:sz w:val="24"/>
        </w:rPr>
        <w:t>to fil</w:t>
      </w:r>
      <w:r w:rsidRPr="00C36738">
        <w:rPr>
          <w:sz w:val="24"/>
        </w:rPr>
        <w:t xml:space="preserve">l out, review, and transmit a complete and accurate document. We estimate that it would cost each </w:t>
      </w:r>
      <w:r w:rsidRPr="00C36738" w:rsidR="001B0F38">
        <w:rPr>
          <w:sz w:val="24"/>
        </w:rPr>
        <w:t>s</w:t>
      </w:r>
      <w:r w:rsidRPr="00C36738">
        <w:rPr>
          <w:sz w:val="24"/>
        </w:rPr>
        <w:t>tate approximately $</w:t>
      </w:r>
      <w:r w:rsidRPr="00C36738" w:rsidR="00FE22C2">
        <w:rPr>
          <w:sz w:val="24"/>
        </w:rPr>
        <w:t>2</w:t>
      </w:r>
      <w:r w:rsidRPr="000D235C" w:rsidR="00903720">
        <w:rPr>
          <w:sz w:val="24"/>
        </w:rPr>
        <w:t>84.32</w:t>
      </w:r>
      <w:r w:rsidRPr="00C36738" w:rsidR="00FE22C2">
        <w:rPr>
          <w:sz w:val="24"/>
        </w:rPr>
        <w:t xml:space="preserve"> </w:t>
      </w:r>
      <w:r w:rsidRPr="00C36738">
        <w:rPr>
          <w:sz w:val="24"/>
        </w:rPr>
        <w:t xml:space="preserve">to meet this reporting requirement, with a total annual burden for all 10 </w:t>
      </w:r>
      <w:r w:rsidRPr="00C36738" w:rsidR="001B0F38">
        <w:rPr>
          <w:sz w:val="24"/>
        </w:rPr>
        <w:t>s</w:t>
      </w:r>
      <w:r w:rsidRPr="00C36738">
        <w:rPr>
          <w:sz w:val="24"/>
        </w:rPr>
        <w:t>tates of 40 hours and an associated total cost of $2</w:t>
      </w:r>
      <w:r w:rsidRPr="000D235C" w:rsidR="00FE22C2">
        <w:rPr>
          <w:sz w:val="24"/>
        </w:rPr>
        <w:t>,</w:t>
      </w:r>
      <w:r w:rsidRPr="00C36738" w:rsidR="00FE22C2">
        <w:rPr>
          <w:sz w:val="24"/>
        </w:rPr>
        <w:t>843</w:t>
      </w:r>
      <w:r w:rsidRPr="000D235C" w:rsidR="00903720">
        <w:rPr>
          <w:sz w:val="24"/>
        </w:rPr>
        <w:t>.20</w:t>
      </w:r>
      <w:r w:rsidRPr="00C36738">
        <w:rPr>
          <w:sz w:val="24"/>
        </w:rPr>
        <w:t>.</w:t>
      </w:r>
      <w:r w:rsidRPr="00F163CF" w:rsidR="008F39B9">
        <w:rPr>
          <w:sz w:val="24"/>
        </w:rPr>
        <w:t xml:space="preserve"> </w:t>
      </w:r>
      <w:bookmarkStart w:name="Second,_we_require_at_§156.111(e)(2)_tha" w:id="60"/>
      <w:bookmarkEnd w:id="60"/>
    </w:p>
    <w:p w:rsidRPr="00F163CF" w:rsidR="008F39B9" w:rsidP="00CA1687" w:rsidRDefault="008F39B9" w14:paraId="3BFA07AD" w14:textId="77777777">
      <w:pPr>
        <w:ind w:right="30"/>
        <w:rPr>
          <w:sz w:val="24"/>
        </w:rPr>
      </w:pPr>
    </w:p>
    <w:p w:rsidR="005600BB" w:rsidP="00CA1687" w:rsidRDefault="0043666F" w14:paraId="668F1FEF" w14:textId="67E2EC08">
      <w:pPr>
        <w:ind w:right="30"/>
        <w:rPr>
          <w:sz w:val="24"/>
        </w:rPr>
      </w:pPr>
      <w:r w:rsidRPr="00F163CF">
        <w:rPr>
          <w:sz w:val="24"/>
        </w:rPr>
        <w:t xml:space="preserve">Second, we require at §156.111(e)(2) that the </w:t>
      </w:r>
      <w:r w:rsidR="001B0F38">
        <w:rPr>
          <w:sz w:val="24"/>
        </w:rPr>
        <w:t>s</w:t>
      </w:r>
      <w:r w:rsidRPr="00F163CF">
        <w:rPr>
          <w:sz w:val="24"/>
        </w:rPr>
        <w:t>tate submit an actuarial certification and associated actuarial report of the methods and assumptions when selecting options under §156.111(a).</w:t>
      </w:r>
      <w:r w:rsidR="004B6565">
        <w:rPr>
          <w:sz w:val="24"/>
        </w:rPr>
        <w:t xml:space="preserve"> S</w:t>
      </w:r>
      <w:r w:rsidRPr="00F163CF">
        <w:rPr>
          <w:sz w:val="24"/>
        </w:rPr>
        <w:t xml:space="preserve">pecifically, we are finalizing at §156.111(b)(2)(i) and (ii) that a </w:t>
      </w:r>
      <w:r w:rsidR="001B0F38">
        <w:rPr>
          <w:sz w:val="24"/>
        </w:rPr>
        <w:t>s</w:t>
      </w:r>
      <w:r w:rsidRPr="00F163CF">
        <w:rPr>
          <w:sz w:val="24"/>
        </w:rPr>
        <w:t xml:space="preserve">tate’s EHB-benchmark plan must provide benefits at least equal in scope of benefits to what is provided under a typical employer plan and that the </w:t>
      </w:r>
      <w:r w:rsidR="001B0F38">
        <w:rPr>
          <w:sz w:val="24"/>
        </w:rPr>
        <w:t>s</w:t>
      </w:r>
      <w:r w:rsidRPr="00F163CF">
        <w:rPr>
          <w:sz w:val="24"/>
        </w:rPr>
        <w:t xml:space="preserve">tate’s EHB-benchmark plan must not exceed the generosity of the most generous among a set of comparison plans. The actuarial certification that is being collected under this ICR is required to include an actuarial report that complies with generally accepted actuarial principles and methodologies. This estimate includes complying with all applicable ASOPs (including ASOP 41 on actuarial communications). For example, ASOP 41 on actuarial communications includes disclosure requirements, including those that apply to the disclosure of information on the methods and assumptions being used for the actuarial certification and report. The actuarial certification for this requirement is provided in a template in </w:t>
      </w:r>
      <w:r w:rsidRPr="00B81332">
        <w:rPr>
          <w:b/>
          <w:sz w:val="24"/>
        </w:rPr>
        <w:t>Appendix B</w:t>
      </w:r>
      <w:r w:rsidR="00A347A1">
        <w:rPr>
          <w:b/>
          <w:sz w:val="24"/>
        </w:rPr>
        <w:t xml:space="preserve">. </w:t>
      </w:r>
      <w:r w:rsidRPr="00A347A1" w:rsidR="00A347A1">
        <w:rPr>
          <w:b/>
          <w:sz w:val="24"/>
        </w:rPr>
        <w:t>Essential Health Benefits (EHB)-Benchmark Plan Actuarial Certificate Template</w:t>
      </w:r>
      <w:r w:rsidRPr="00F163CF">
        <w:rPr>
          <w:sz w:val="24"/>
        </w:rPr>
        <w:t xml:space="preserve"> and includes an attestation that the standard actuarial practices have been followed or that exceptions have been noted. The signing actuary is required to be a Member of the American Academy of Actuaries.</w:t>
      </w:r>
    </w:p>
    <w:p w:rsidRPr="00F163CF" w:rsidR="00F163CF" w:rsidP="00CA1687" w:rsidRDefault="00F163CF" w14:paraId="41AC7697" w14:textId="77777777">
      <w:pPr>
        <w:ind w:right="30"/>
        <w:rPr>
          <w:sz w:val="24"/>
        </w:rPr>
      </w:pPr>
    </w:p>
    <w:p w:rsidRPr="00F163CF" w:rsidR="005600BB" w:rsidP="00CA1687" w:rsidRDefault="0043666F" w14:paraId="0AFE2EA2" w14:textId="0F78C58A">
      <w:pPr>
        <w:ind w:right="30"/>
        <w:rPr>
          <w:sz w:val="24"/>
        </w:rPr>
      </w:pPr>
      <w:bookmarkStart w:name="We_estimate_that_an_actuary,_who_is_a_me" w:id="61"/>
      <w:bookmarkEnd w:id="61"/>
      <w:r w:rsidRPr="00F163CF">
        <w:rPr>
          <w:sz w:val="24"/>
        </w:rPr>
        <w:t>We estimate that an actuary, who is a member of the American Academy of Actuaries, requires 18 hours (at a rate of $</w:t>
      </w:r>
      <w:r w:rsidR="00960756">
        <w:rPr>
          <w:sz w:val="24"/>
        </w:rPr>
        <w:t>87.30</w:t>
      </w:r>
      <w:r w:rsidR="00123BC6">
        <w:rPr>
          <w:sz w:val="24"/>
        </w:rPr>
        <w:t xml:space="preserve"> </w:t>
      </w:r>
      <w:r w:rsidRPr="00F163CF">
        <w:rPr>
          <w:sz w:val="24"/>
        </w:rPr>
        <w:t>per hour</w:t>
      </w:r>
      <w:r w:rsidR="008544E9">
        <w:rPr>
          <w:sz w:val="24"/>
        </w:rPr>
        <w:t>)</w:t>
      </w:r>
      <w:r w:rsidR="00123BC6">
        <w:rPr>
          <w:sz w:val="24"/>
        </w:rPr>
        <w:t xml:space="preserve"> </w:t>
      </w:r>
      <w:r w:rsidRPr="00F163CF">
        <w:rPr>
          <w:sz w:val="24"/>
        </w:rPr>
        <w:t xml:space="preserve">on average for §156.111(e)(2). This includes the certification and associated actuarial report from an actuary to affirm, in accordance with generally accepted actuarial principles and methodologies that the </w:t>
      </w:r>
      <w:r w:rsidR="001B0F38">
        <w:rPr>
          <w:sz w:val="24"/>
        </w:rPr>
        <w:t>s</w:t>
      </w:r>
      <w:r w:rsidRPr="00F163CF">
        <w:rPr>
          <w:sz w:val="24"/>
        </w:rPr>
        <w:t xml:space="preserve">tate’s EHB-benchmark plan must provide a scope of benefits that is equal to, or greater than, to the extent any supplementation is required to provide coverage within each EHB category at §156.110(a), the scope of benefits provided under a typical employer plan, as defined at §156.110(b)(2)(i) and that the </w:t>
      </w:r>
      <w:r w:rsidR="001B0F38">
        <w:rPr>
          <w:sz w:val="24"/>
        </w:rPr>
        <w:t>s</w:t>
      </w:r>
      <w:r w:rsidRPr="00F163CF">
        <w:rPr>
          <w:sz w:val="24"/>
        </w:rPr>
        <w:t xml:space="preserve">tate’s EHB-benchmark plan definition does not exceed the generosity of the most generous among the set of comparison plans. We are also finalizing a document entitled Example of an Acceptable Methodology for Comparing Benefits of a </w:t>
      </w:r>
      <w:r w:rsidR="001B0F38">
        <w:rPr>
          <w:sz w:val="24"/>
        </w:rPr>
        <w:t>s</w:t>
      </w:r>
      <w:r w:rsidRPr="00F163CF">
        <w:rPr>
          <w:sz w:val="24"/>
        </w:rPr>
        <w:t>tate’s EHB- benchmark Plan Selection in Accordance with 45 CFR 156.111(b) (2)(i) and (ii) that provides an example of a method an actuary could use to develop the actuarial certification and associated report at</w:t>
      </w:r>
      <w:r w:rsidRPr="00F163CF" w:rsidR="00F163CF">
        <w:rPr>
          <w:sz w:val="24"/>
        </w:rPr>
        <w:t xml:space="preserve"> </w:t>
      </w:r>
      <w:r w:rsidRPr="00F163CF">
        <w:rPr>
          <w:sz w:val="24"/>
        </w:rPr>
        <w:t>§156.111(e)(2) for both the typical employer plan benefit and comparison plan standards.</w:t>
      </w:r>
    </w:p>
    <w:p w:rsidR="005600BB" w:rsidP="00CA1687" w:rsidRDefault="005600BB" w14:paraId="544FBBDE" w14:textId="77777777">
      <w:pPr>
        <w:pStyle w:val="BodyText"/>
        <w:spacing w:before="10"/>
        <w:ind w:right="30"/>
        <w:rPr>
          <w:sz w:val="20"/>
        </w:rPr>
      </w:pPr>
    </w:p>
    <w:p w:rsidR="005600BB" w:rsidP="00CA1687" w:rsidRDefault="0043666F" w14:paraId="7EA18C77" w14:textId="06EBB0C2">
      <w:pPr>
        <w:ind w:right="30"/>
        <w:rPr>
          <w:sz w:val="24"/>
        </w:rPr>
      </w:pPr>
      <w:bookmarkStart w:name="For_these_calculations,_the_actuary_need" w:id="62"/>
      <w:bookmarkEnd w:id="62"/>
      <w:r w:rsidRPr="00F163CF">
        <w:rPr>
          <w:sz w:val="24"/>
        </w:rPr>
        <w:t xml:space="preserve">For these calculations, the actuary needs to conduct the appropriate calculations to create and review an actuarial certification and associated actuarial report, including minimal time required for recordkeeping. The precise level of effort for the actuarial certification and associated actuarial report under §156.111(e)(2) will likely vary depending on the </w:t>
      </w:r>
      <w:r w:rsidR="001B0F38">
        <w:rPr>
          <w:sz w:val="24"/>
        </w:rPr>
        <w:t>s</w:t>
      </w:r>
      <w:r w:rsidRPr="00F163CF">
        <w:rPr>
          <w:sz w:val="24"/>
        </w:rPr>
        <w:t xml:space="preserve">tate’s approach to its EHB-benchmark plan and this certification requirement. For example, as described in the </w:t>
      </w:r>
      <w:r w:rsidRPr="00F163CF">
        <w:rPr>
          <w:sz w:val="24"/>
          <w:u w:val="single"/>
        </w:rPr>
        <w:t>Example of an Acceptable Methodology for Comparing Benefits of a State’s EHB-benchmark Plan Selection in Accordance with 45 CFR 156.111(b)(2)(i) and (ii)</w:t>
      </w:r>
      <w:r w:rsidRPr="00F163CF">
        <w:rPr>
          <w:sz w:val="24"/>
        </w:rPr>
        <w:t>,</w:t>
      </w:r>
      <w:r w:rsidR="00D85902">
        <w:rPr>
          <w:rStyle w:val="FootnoteReference"/>
          <w:sz w:val="24"/>
        </w:rPr>
        <w:footnoteReference w:id="9"/>
      </w:r>
      <w:r w:rsidRPr="00F163CF">
        <w:rPr>
          <w:sz w:val="24"/>
        </w:rPr>
        <w:t xml:space="preserve"> to reduce the burden of these standards, the actuary may want to consider using the same plan for both the generosity and the typicality tests, provided that the plan meets the standards at both §156.111(b)(2)(i) and (ii). For example, the actuary may only need to do one plan comparison for the purposes of both of these certification requirements. Specifically, the actuary could use the same plan, such as the </w:t>
      </w:r>
      <w:r w:rsidR="001B0F38">
        <w:rPr>
          <w:sz w:val="24"/>
        </w:rPr>
        <w:t>s</w:t>
      </w:r>
      <w:r w:rsidRPr="00F163CF">
        <w:rPr>
          <w:sz w:val="24"/>
        </w:rPr>
        <w:t xml:space="preserve">tate’s EHB-benchmark plan used for the 2017 plan year. That plan would, by definition, be a “Comparison Plan.” Because the </w:t>
      </w:r>
      <w:r w:rsidR="001B0F38">
        <w:rPr>
          <w:sz w:val="24"/>
        </w:rPr>
        <w:t>s</w:t>
      </w:r>
      <w:r w:rsidRPr="00F163CF">
        <w:rPr>
          <w:sz w:val="24"/>
        </w:rPr>
        <w:t xml:space="preserve">tate’s EHB-benchmark plan used for the 2017 plan year would simply be one of the </w:t>
      </w:r>
      <w:r w:rsidR="001B0F38">
        <w:rPr>
          <w:sz w:val="24"/>
        </w:rPr>
        <w:t>s</w:t>
      </w:r>
      <w:r w:rsidRPr="00F163CF">
        <w:rPr>
          <w:sz w:val="24"/>
        </w:rPr>
        <w:t>tate’s base-benchmark plans, supplemented as necessary under §156.110, that plan also could be used for purposes of determining typicality, as a</w:t>
      </w:r>
      <w:r w:rsidRPr="00F163CF" w:rsidR="008F39B9">
        <w:rPr>
          <w:sz w:val="24"/>
        </w:rPr>
        <w:t xml:space="preserve"> </w:t>
      </w:r>
      <w:r w:rsidRPr="00F163CF">
        <w:rPr>
          <w:sz w:val="24"/>
        </w:rPr>
        <w:t xml:space="preserve">proposed </w:t>
      </w:r>
      <w:r w:rsidR="001B0F38">
        <w:rPr>
          <w:sz w:val="24"/>
        </w:rPr>
        <w:t>s</w:t>
      </w:r>
      <w:r w:rsidRPr="00F163CF">
        <w:rPr>
          <w:sz w:val="24"/>
        </w:rPr>
        <w:t xml:space="preserve">tate EHB-benchmark plan that was equal in scope of benefits to the </w:t>
      </w:r>
      <w:r w:rsidR="001B0F38">
        <w:rPr>
          <w:sz w:val="24"/>
        </w:rPr>
        <w:t>s</w:t>
      </w:r>
      <w:r w:rsidRPr="00F163CF">
        <w:rPr>
          <w:sz w:val="24"/>
        </w:rPr>
        <w:t>tate’s EHB-benchmark plan used for the 2017 plan year within each EHB category at §156.110(a) would be equal to or greater in scope of benefits within each EHB category at §156.110(a) than the base-benchmark plan underlying the EHB-benchmark plan used for the 2017 plan year, to the extent of the required supplementation.</w:t>
      </w:r>
    </w:p>
    <w:p w:rsidRPr="00F163CF" w:rsidR="00F163CF" w:rsidP="00CA1687" w:rsidRDefault="00F163CF" w14:paraId="257FFAF0" w14:textId="77777777">
      <w:pPr>
        <w:ind w:right="30"/>
        <w:rPr>
          <w:sz w:val="24"/>
        </w:rPr>
      </w:pPr>
    </w:p>
    <w:p w:rsidRPr="00F163CF" w:rsidR="005600BB" w:rsidP="00CA1687" w:rsidRDefault="00634E32" w14:paraId="2B3C2270" w14:textId="4B7296C2">
      <w:pPr>
        <w:ind w:right="30"/>
        <w:rPr>
          <w:sz w:val="24"/>
        </w:rPr>
      </w:pPr>
      <w:bookmarkStart w:name="We_increased_the_estimated_burden_hours_" w:id="63"/>
      <w:bookmarkEnd w:id="63"/>
      <w:r>
        <w:rPr>
          <w:sz w:val="24"/>
        </w:rPr>
        <w:t>The estimated burden is</w:t>
      </w:r>
      <w:r w:rsidRPr="00F163CF" w:rsidR="0043666F">
        <w:rPr>
          <w:sz w:val="24"/>
        </w:rPr>
        <w:t xml:space="preserve"> 18 hours for the actuary to complete the actuarial certification and associated report in recognition of the extension of the generosity standard and in recognition that the definition of typical employer plan may require the actuary to determine whether the typical employer plan meets MV requirements. </w:t>
      </w:r>
      <w:r>
        <w:rPr>
          <w:sz w:val="24"/>
        </w:rPr>
        <w:t>Th</w:t>
      </w:r>
      <w:r w:rsidRPr="00634E32">
        <w:rPr>
          <w:sz w:val="24"/>
        </w:rPr>
        <w:t>e estimated number of states that need to respond to this ICR is 10 states</w:t>
      </w:r>
      <w:r>
        <w:rPr>
          <w:sz w:val="24"/>
        </w:rPr>
        <w:t xml:space="preserve"> </w:t>
      </w:r>
      <w:r w:rsidRPr="00F163CF" w:rsidR="0043666F">
        <w:rPr>
          <w:sz w:val="24"/>
        </w:rPr>
        <w:t xml:space="preserve">since the typical employer plan standard and the generosity standard applies to all </w:t>
      </w:r>
      <w:r w:rsidR="001B0F38">
        <w:rPr>
          <w:sz w:val="24"/>
        </w:rPr>
        <w:t>s</w:t>
      </w:r>
      <w:r w:rsidRPr="00F163CF" w:rsidR="0043666F">
        <w:rPr>
          <w:sz w:val="24"/>
        </w:rPr>
        <w:t>tate’s EHB-benchmark plan options at</w:t>
      </w:r>
      <w:r>
        <w:rPr>
          <w:sz w:val="24"/>
        </w:rPr>
        <w:t xml:space="preserve"> </w:t>
      </w:r>
      <w:r w:rsidRPr="00F163CF" w:rsidR="0043666F">
        <w:rPr>
          <w:sz w:val="24"/>
        </w:rPr>
        <w:t xml:space="preserve">§156.111(a). For the actuarial certification, we provide the collection instrument in </w:t>
      </w:r>
      <w:r w:rsidRPr="00B81332" w:rsidR="0043666F">
        <w:rPr>
          <w:b/>
          <w:sz w:val="24"/>
        </w:rPr>
        <w:t>Appendix B</w:t>
      </w:r>
      <w:r w:rsidR="00DA29B2">
        <w:rPr>
          <w:b/>
          <w:sz w:val="24"/>
        </w:rPr>
        <w:t xml:space="preserve">. </w:t>
      </w:r>
      <w:r w:rsidRPr="00A347A1" w:rsidR="00DA29B2">
        <w:rPr>
          <w:b/>
          <w:sz w:val="24"/>
        </w:rPr>
        <w:t>Essential Health Benefits (EHB)-Benchmark Plan Actuarial Certificate Template</w:t>
      </w:r>
      <w:r w:rsidRPr="00F163CF" w:rsidR="0043666F">
        <w:rPr>
          <w:sz w:val="24"/>
        </w:rPr>
        <w:t>. We estimate that a financial examiner will require 1 hour (</w:t>
      </w:r>
      <w:r w:rsidRPr="00F163CF" w:rsidR="008A0675">
        <w:rPr>
          <w:sz w:val="24"/>
        </w:rPr>
        <w:t>at a rate of $</w:t>
      </w:r>
      <w:r w:rsidR="008A0675">
        <w:rPr>
          <w:sz w:val="24"/>
        </w:rPr>
        <w:t>71.08</w:t>
      </w:r>
      <w:r w:rsidRPr="00F163CF" w:rsidR="008A0675">
        <w:rPr>
          <w:sz w:val="24"/>
        </w:rPr>
        <w:t xml:space="preserve"> per hour</w:t>
      </w:r>
      <w:r w:rsidRPr="00F163CF" w:rsidR="0043666F">
        <w:rPr>
          <w:sz w:val="24"/>
        </w:rPr>
        <w:t xml:space="preserve">) to review, combine, and electronically transmit these documents to HHS, as part of a </w:t>
      </w:r>
      <w:r w:rsidR="001B0F38">
        <w:rPr>
          <w:sz w:val="24"/>
        </w:rPr>
        <w:t>s</w:t>
      </w:r>
      <w:r w:rsidRPr="00F163CF" w:rsidR="0043666F">
        <w:rPr>
          <w:sz w:val="24"/>
        </w:rPr>
        <w:t xml:space="preserve">tate’s EHB-benchmark plan submission. We estimate that each </w:t>
      </w:r>
      <w:r w:rsidR="001B0F38">
        <w:rPr>
          <w:sz w:val="24"/>
        </w:rPr>
        <w:t>s</w:t>
      </w:r>
      <w:r w:rsidRPr="00F163CF" w:rsidR="0043666F">
        <w:rPr>
          <w:sz w:val="24"/>
        </w:rPr>
        <w:t>tate will incur a burden of 19 hours with an associated cost of</w:t>
      </w:r>
    </w:p>
    <w:p w:rsidRPr="00F163CF" w:rsidR="005600BB" w:rsidP="00CA1687" w:rsidRDefault="0043666F" w14:paraId="3D01F81B" w14:textId="63E5FD67">
      <w:pPr>
        <w:ind w:right="30"/>
        <w:rPr>
          <w:sz w:val="24"/>
        </w:rPr>
      </w:pPr>
      <w:r w:rsidRPr="00C36738">
        <w:rPr>
          <w:sz w:val="24"/>
        </w:rPr>
        <w:t>$1,</w:t>
      </w:r>
      <w:r w:rsidRPr="00C36738" w:rsidR="00C3429D">
        <w:rPr>
          <w:sz w:val="24"/>
        </w:rPr>
        <w:t>642.48</w:t>
      </w:r>
      <w:r w:rsidRPr="00F163CF">
        <w:rPr>
          <w:sz w:val="24"/>
        </w:rPr>
        <w:t xml:space="preserve"> with a total annual burden for 10 </w:t>
      </w:r>
      <w:r w:rsidR="001B0F38">
        <w:rPr>
          <w:sz w:val="24"/>
        </w:rPr>
        <w:t>s</w:t>
      </w:r>
      <w:r w:rsidRPr="00F163CF">
        <w:rPr>
          <w:sz w:val="24"/>
        </w:rPr>
        <w:t xml:space="preserve">tates of 190 hours at associated total cost of </w:t>
      </w:r>
      <w:r w:rsidRPr="00C36738">
        <w:rPr>
          <w:sz w:val="24"/>
        </w:rPr>
        <w:t>$</w:t>
      </w:r>
      <w:r w:rsidRPr="00C36738" w:rsidR="00C3429D">
        <w:rPr>
          <w:sz w:val="24"/>
        </w:rPr>
        <w:t>16,424.80</w:t>
      </w:r>
      <w:r w:rsidRPr="00F163CF">
        <w:rPr>
          <w:sz w:val="24"/>
        </w:rPr>
        <w:t>.</w:t>
      </w:r>
    </w:p>
    <w:p w:rsidRPr="00F163CF" w:rsidR="005600BB" w:rsidP="00CA1687" w:rsidRDefault="005600BB" w14:paraId="0F980059" w14:textId="77777777">
      <w:pPr>
        <w:ind w:right="30"/>
        <w:rPr>
          <w:sz w:val="24"/>
        </w:rPr>
      </w:pPr>
    </w:p>
    <w:p w:rsidR="005600BB" w:rsidP="00CA1687" w:rsidRDefault="0043666F" w14:paraId="492F2646" w14:textId="16E33DEE">
      <w:pPr>
        <w:ind w:right="30"/>
        <w:rPr>
          <w:sz w:val="24"/>
        </w:rPr>
      </w:pPr>
      <w:bookmarkStart w:name="Third,_we_require_at_§156.111(e)(3)_each" w:id="64"/>
      <w:bookmarkEnd w:id="64"/>
      <w:r w:rsidRPr="00F163CF">
        <w:rPr>
          <w:sz w:val="24"/>
        </w:rPr>
        <w:t xml:space="preserve">Third, we require at §156.111(e)(3) each </w:t>
      </w:r>
      <w:r w:rsidR="001B0F38">
        <w:rPr>
          <w:sz w:val="24"/>
        </w:rPr>
        <w:t>s</w:t>
      </w:r>
      <w:r w:rsidRPr="00F163CF">
        <w:rPr>
          <w:sz w:val="24"/>
        </w:rPr>
        <w:t xml:space="preserve">tate to submit its new EHB-benchmark plan documents. The level of effort associated with this requirement could depend on the </w:t>
      </w:r>
      <w:r w:rsidR="001B0F38">
        <w:rPr>
          <w:sz w:val="24"/>
        </w:rPr>
        <w:t>s</w:t>
      </w:r>
      <w:r w:rsidRPr="00F163CF">
        <w:rPr>
          <w:sz w:val="24"/>
        </w:rPr>
        <w:t>tate’s selection of the EHB- benchmark plan options under the regulation at §156.111(a). However, for the purposes of this estimate, we estimate that it would require a financial examiner (</w:t>
      </w:r>
      <w:r w:rsidRPr="00F163CF" w:rsidR="008A0675">
        <w:rPr>
          <w:sz w:val="24"/>
        </w:rPr>
        <w:t>at a rate of $</w:t>
      </w:r>
      <w:r w:rsidR="008A0675">
        <w:rPr>
          <w:sz w:val="24"/>
        </w:rPr>
        <w:t>71.08</w:t>
      </w:r>
      <w:r w:rsidRPr="00F163CF" w:rsidR="008A0675">
        <w:rPr>
          <w:sz w:val="24"/>
        </w:rPr>
        <w:t xml:space="preserve"> per hour</w:t>
      </w:r>
      <w:r w:rsidRPr="00F163CF">
        <w:rPr>
          <w:sz w:val="24"/>
        </w:rPr>
        <w:t xml:space="preserve">) 12 hours on average to create, review, and electronically transmit the </w:t>
      </w:r>
      <w:r w:rsidR="001B0F38">
        <w:rPr>
          <w:sz w:val="24"/>
        </w:rPr>
        <w:t>s</w:t>
      </w:r>
      <w:r w:rsidRPr="00F163CF">
        <w:rPr>
          <w:sz w:val="24"/>
        </w:rPr>
        <w:t xml:space="preserve">tate’s EHB-benchmark plan document that accurately reflects the benefits and limitations, including medical management requirements and a schedule of benefits, resulting in a burden of 12 hours and an associated cost </w:t>
      </w:r>
      <w:r w:rsidRPr="00C36738">
        <w:rPr>
          <w:sz w:val="24"/>
        </w:rPr>
        <w:t>of $</w:t>
      </w:r>
      <w:r w:rsidRPr="00C36738" w:rsidR="00C3429D">
        <w:rPr>
          <w:sz w:val="24"/>
        </w:rPr>
        <w:t>852.96</w:t>
      </w:r>
      <w:r w:rsidRPr="00C36738">
        <w:rPr>
          <w:sz w:val="24"/>
        </w:rPr>
        <w:t>,</w:t>
      </w:r>
      <w:r w:rsidRPr="00F163CF">
        <w:rPr>
          <w:sz w:val="24"/>
        </w:rPr>
        <w:t xml:space="preserve"> with a total annual burden for all 10 states of 120 hours and an associated cost of </w:t>
      </w:r>
      <w:r w:rsidRPr="00C36738">
        <w:rPr>
          <w:sz w:val="24"/>
        </w:rPr>
        <w:t>$</w:t>
      </w:r>
      <w:r w:rsidRPr="00C36738" w:rsidR="00C3429D">
        <w:rPr>
          <w:sz w:val="24"/>
        </w:rPr>
        <w:t>8,529.60</w:t>
      </w:r>
      <w:r w:rsidRPr="00F163CF">
        <w:rPr>
          <w:sz w:val="24"/>
        </w:rPr>
        <w:t xml:space="preserve">. The burden for producing these documents is significantly higher than previous estimates because the previous data collection generally only required the </w:t>
      </w:r>
      <w:r w:rsidR="001B0F38">
        <w:rPr>
          <w:sz w:val="24"/>
        </w:rPr>
        <w:t>s</w:t>
      </w:r>
      <w:r w:rsidRPr="00F163CF">
        <w:rPr>
          <w:sz w:val="24"/>
        </w:rPr>
        <w:t xml:space="preserve">tate (or issuer) to transmit the selected benchmark plan document. In contrast, in some cases, §156.111(a) may result in the </w:t>
      </w:r>
      <w:r w:rsidR="001B0F38">
        <w:rPr>
          <w:sz w:val="24"/>
        </w:rPr>
        <w:t>s</w:t>
      </w:r>
      <w:r w:rsidRPr="00F163CF">
        <w:rPr>
          <w:sz w:val="24"/>
        </w:rPr>
        <w:t xml:space="preserve">tate needing to create a completely new document or significantly modify the current document to represent the plan document. Additionally, this estimate of 12 hours also includes the burden necessary for a </w:t>
      </w:r>
      <w:r w:rsidR="001B0F38">
        <w:rPr>
          <w:sz w:val="24"/>
        </w:rPr>
        <w:t>s</w:t>
      </w:r>
      <w:r w:rsidRPr="00F163CF">
        <w:rPr>
          <w:sz w:val="24"/>
        </w:rPr>
        <w:t>tate selecting the option at</w:t>
      </w:r>
      <w:r w:rsidR="00F163CF">
        <w:rPr>
          <w:sz w:val="24"/>
        </w:rPr>
        <w:t xml:space="preserve"> </w:t>
      </w:r>
      <w:r w:rsidRPr="00F163CF">
        <w:rPr>
          <w:sz w:val="24"/>
        </w:rPr>
        <w:t xml:space="preserve">§156.111(e)(3) where the </w:t>
      </w:r>
      <w:r w:rsidR="001B0F38">
        <w:rPr>
          <w:sz w:val="24"/>
        </w:rPr>
        <w:t>s</w:t>
      </w:r>
      <w:r w:rsidRPr="00F163CF">
        <w:rPr>
          <w:sz w:val="24"/>
        </w:rPr>
        <w:t xml:space="preserve">tate is required to submit a formulary drug list for the </w:t>
      </w:r>
      <w:r w:rsidR="001B0F38">
        <w:rPr>
          <w:sz w:val="24"/>
        </w:rPr>
        <w:t>s</w:t>
      </w:r>
      <w:r w:rsidRPr="00F163CF">
        <w:rPr>
          <w:sz w:val="24"/>
        </w:rPr>
        <w:t xml:space="preserve">tate’s EHB- benchmark plan in a format and manner specified by HHS. Specifically, the burden for the </w:t>
      </w:r>
      <w:r w:rsidR="001B0F38">
        <w:rPr>
          <w:sz w:val="24"/>
        </w:rPr>
        <w:t>s</w:t>
      </w:r>
      <w:r w:rsidRPr="00F163CF">
        <w:rPr>
          <w:sz w:val="24"/>
        </w:rPr>
        <w:t xml:space="preserve">tate selecting this option is also likely vary as the </w:t>
      </w:r>
      <w:r w:rsidR="001B0F38">
        <w:rPr>
          <w:sz w:val="24"/>
        </w:rPr>
        <w:t>s</w:t>
      </w:r>
      <w:r w:rsidRPr="00F163CF">
        <w:rPr>
          <w:sz w:val="24"/>
        </w:rPr>
        <w:t xml:space="preserve">tate could use an existing formulary drug list or create its own formulary drug list separately for this purpose. To collect the formulary drug list, the </w:t>
      </w:r>
      <w:r w:rsidR="001B0F38">
        <w:rPr>
          <w:sz w:val="24"/>
        </w:rPr>
        <w:t>s</w:t>
      </w:r>
      <w:r w:rsidRPr="00F163CF">
        <w:rPr>
          <w:sz w:val="24"/>
        </w:rPr>
        <w:t xml:space="preserve">tate is required to use the template provided by HHS and must submit the formulary drug list as a list of </w:t>
      </w:r>
      <w:proofErr w:type="spellStart"/>
      <w:r w:rsidRPr="00F163CF">
        <w:rPr>
          <w:sz w:val="24"/>
        </w:rPr>
        <w:t>RxNorm</w:t>
      </w:r>
      <w:proofErr w:type="spellEnd"/>
      <w:r w:rsidRPr="00F163CF">
        <w:rPr>
          <w:sz w:val="24"/>
        </w:rPr>
        <w:t xml:space="preserve"> Concept Unique Identifiers (</w:t>
      </w:r>
      <w:proofErr w:type="spellStart"/>
      <w:r w:rsidRPr="00F163CF">
        <w:rPr>
          <w:sz w:val="24"/>
        </w:rPr>
        <w:t>RxCUIs</w:t>
      </w:r>
      <w:proofErr w:type="spellEnd"/>
      <w:r w:rsidRPr="00F163CF">
        <w:rPr>
          <w:sz w:val="24"/>
        </w:rPr>
        <w:t xml:space="preserve">).  This template is incorporated in </w:t>
      </w:r>
      <w:r w:rsidRPr="00B81332">
        <w:rPr>
          <w:b/>
          <w:sz w:val="24"/>
        </w:rPr>
        <w:t>Appendix D</w:t>
      </w:r>
      <w:r w:rsidR="00484F85">
        <w:rPr>
          <w:b/>
          <w:sz w:val="24"/>
        </w:rPr>
        <w:t>.</w:t>
      </w:r>
      <w:r w:rsidRPr="00484F85" w:rsidR="00484F85">
        <w:t xml:space="preserve"> </w:t>
      </w:r>
      <w:r w:rsidRPr="00484F85" w:rsidR="00484F85">
        <w:rPr>
          <w:b/>
          <w:sz w:val="24"/>
        </w:rPr>
        <w:t>EHB-benchmark Plan Formulary Drug List</w:t>
      </w:r>
      <w:r w:rsidRPr="00F163CF">
        <w:rPr>
          <w:sz w:val="24"/>
        </w:rPr>
        <w:t>.</w:t>
      </w:r>
    </w:p>
    <w:p w:rsidRPr="00F163CF" w:rsidR="00F163CF" w:rsidP="00CA1687" w:rsidRDefault="00F163CF" w14:paraId="4813E5EB" w14:textId="77777777">
      <w:pPr>
        <w:ind w:right="30"/>
        <w:rPr>
          <w:sz w:val="24"/>
        </w:rPr>
      </w:pPr>
    </w:p>
    <w:p w:rsidR="005600BB" w:rsidP="00CA1687" w:rsidRDefault="0043666F" w14:paraId="7FE28740" w14:textId="3FBFFA20">
      <w:pPr>
        <w:ind w:right="30"/>
        <w:rPr>
          <w:sz w:val="24"/>
        </w:rPr>
      </w:pPr>
      <w:bookmarkStart w:name="Lastly,_§156.111(e)(4)_requires_the_Stat" w:id="65"/>
      <w:bookmarkEnd w:id="65"/>
      <w:r w:rsidRPr="00F163CF">
        <w:rPr>
          <w:sz w:val="24"/>
        </w:rPr>
        <w:t xml:space="preserve">Lastly, §156.111(e)(4) requires the </w:t>
      </w:r>
      <w:r w:rsidR="001B0F38">
        <w:rPr>
          <w:sz w:val="24"/>
        </w:rPr>
        <w:t>s</w:t>
      </w:r>
      <w:r w:rsidRPr="00F163CF">
        <w:rPr>
          <w:sz w:val="24"/>
        </w:rPr>
        <w:t xml:space="preserve">tate to submit the documentation necessary to operationalize the </w:t>
      </w:r>
      <w:r w:rsidR="001B0F38">
        <w:rPr>
          <w:sz w:val="24"/>
        </w:rPr>
        <w:t>s</w:t>
      </w:r>
      <w:r w:rsidRPr="00F163CF">
        <w:rPr>
          <w:sz w:val="24"/>
        </w:rPr>
        <w:t>tate’s EHB-benchmark plan definition. This reporting requirement includes the EHB summary file that is currently posted on CCIIO’s website and is used as part of the QHP certification process and is integrated into HHS’s IT Build systems that feeds into the data that is displayed on HealthCare.gov.</w:t>
      </w:r>
      <w:r w:rsidRPr="00F163CF" w:rsidR="008F39B9">
        <w:rPr>
          <w:sz w:val="24"/>
          <w:vertAlign w:val="superscript"/>
        </w:rPr>
        <w:footnoteReference w:id="10"/>
      </w:r>
      <w:r w:rsidRPr="00F163CF">
        <w:rPr>
          <w:sz w:val="24"/>
        </w:rPr>
        <w:t xml:space="preserve"> This document format is incorporated as a template in </w:t>
      </w:r>
      <w:r w:rsidRPr="00B81332">
        <w:rPr>
          <w:b/>
          <w:sz w:val="24"/>
        </w:rPr>
        <w:t>Appendix C</w:t>
      </w:r>
      <w:r w:rsidR="00484F85">
        <w:rPr>
          <w:b/>
          <w:sz w:val="24"/>
        </w:rPr>
        <w:t>.</w:t>
      </w:r>
      <w:r w:rsidRPr="00484F85" w:rsidR="00484F85">
        <w:t xml:space="preserve"> </w:t>
      </w:r>
      <w:r w:rsidRPr="00484F85" w:rsidR="00484F85">
        <w:rPr>
          <w:b/>
          <w:sz w:val="24"/>
        </w:rPr>
        <w:t>The State's EHB-benchmark Plan's Benefits and Limits</w:t>
      </w:r>
      <w:r w:rsidRPr="00F163CF">
        <w:rPr>
          <w:sz w:val="24"/>
        </w:rPr>
        <w:t xml:space="preserve">. </w:t>
      </w:r>
      <w:r w:rsidR="009B1526">
        <w:rPr>
          <w:sz w:val="24"/>
        </w:rPr>
        <w:t>Although</w:t>
      </w:r>
      <w:r w:rsidRPr="00F163CF" w:rsidR="009B1526">
        <w:rPr>
          <w:sz w:val="24"/>
        </w:rPr>
        <w:t xml:space="preserve"> </w:t>
      </w:r>
      <w:r w:rsidRPr="00F163CF">
        <w:rPr>
          <w:sz w:val="24"/>
        </w:rPr>
        <w:t xml:space="preserve">this document is not a new document, the burden associated with this document is new for </w:t>
      </w:r>
      <w:r w:rsidR="001B0F38">
        <w:rPr>
          <w:sz w:val="24"/>
        </w:rPr>
        <w:t>s</w:t>
      </w:r>
      <w:r w:rsidRPr="00F163CF">
        <w:rPr>
          <w:sz w:val="24"/>
        </w:rPr>
        <w:t>tates. We estimate that it would</w:t>
      </w:r>
      <w:r w:rsidRPr="00F163CF" w:rsidR="008F39B9">
        <w:rPr>
          <w:sz w:val="24"/>
        </w:rPr>
        <w:t xml:space="preserve"> </w:t>
      </w:r>
      <w:r w:rsidRPr="00F163CF">
        <w:rPr>
          <w:sz w:val="24"/>
        </w:rPr>
        <w:t>require a financial examiner 12 hours, on average, (</w:t>
      </w:r>
      <w:r w:rsidRPr="00F163CF" w:rsidR="008A0675">
        <w:rPr>
          <w:sz w:val="24"/>
        </w:rPr>
        <w:t>at a rate of $</w:t>
      </w:r>
      <w:r w:rsidR="008A0675">
        <w:rPr>
          <w:sz w:val="24"/>
        </w:rPr>
        <w:t>71.08</w:t>
      </w:r>
      <w:r w:rsidRPr="00F163CF" w:rsidR="008A0675">
        <w:rPr>
          <w:sz w:val="24"/>
        </w:rPr>
        <w:t xml:space="preserve"> per hour</w:t>
      </w:r>
      <w:r w:rsidRPr="00F163CF">
        <w:rPr>
          <w:sz w:val="24"/>
        </w:rPr>
        <w:t xml:space="preserve">) to create, review, and electronically submit a complete and accurate document to HHS resulting in a burden of 12 hours and an associated cost </w:t>
      </w:r>
      <w:r w:rsidRPr="000D235C" w:rsidR="00C3429D">
        <w:rPr>
          <w:sz w:val="24"/>
        </w:rPr>
        <w:t>of $852.96</w:t>
      </w:r>
      <w:r w:rsidRPr="00C36738">
        <w:rPr>
          <w:sz w:val="24"/>
        </w:rPr>
        <w:t>,</w:t>
      </w:r>
      <w:r w:rsidRPr="00F163CF">
        <w:rPr>
          <w:sz w:val="24"/>
        </w:rPr>
        <w:t xml:space="preserve"> with a total annual burden for all 10 states of 120 hours and an associated cost of </w:t>
      </w:r>
      <w:r w:rsidRPr="000D235C" w:rsidR="00C3429D">
        <w:rPr>
          <w:sz w:val="24"/>
        </w:rPr>
        <w:t>$8,529.60</w:t>
      </w:r>
      <w:r w:rsidRPr="00C36738">
        <w:rPr>
          <w:sz w:val="24"/>
        </w:rPr>
        <w:t>.</w:t>
      </w:r>
    </w:p>
    <w:p w:rsidRPr="00F163CF" w:rsidR="00F163CF" w:rsidP="00CA1687" w:rsidRDefault="00F163CF" w14:paraId="3F5C7353" w14:textId="77777777">
      <w:pPr>
        <w:ind w:right="30"/>
        <w:rPr>
          <w:sz w:val="24"/>
        </w:rPr>
      </w:pPr>
    </w:p>
    <w:p w:rsidRPr="000D235C" w:rsidR="005600BB" w:rsidP="00CA1687" w:rsidRDefault="0043666F" w14:paraId="306BAA8C" w14:textId="3881839E">
      <w:pPr>
        <w:pStyle w:val="TableParagraph"/>
        <w:spacing w:line="270" w:lineRule="exact"/>
        <w:ind w:right="30"/>
        <w:jc w:val="left"/>
      </w:pPr>
      <w:bookmarkStart w:name="We_estimate_that_the_total_number_of_res" w:id="66"/>
      <w:bookmarkEnd w:id="66"/>
      <w:r w:rsidRPr="00F163CF">
        <w:rPr>
          <w:sz w:val="24"/>
        </w:rPr>
        <w:t xml:space="preserve">We estimate that the total number of respondents would be 10 per year, for a total yearly burden of 470 hours and an associated cost </w:t>
      </w:r>
      <w:r w:rsidRPr="00950B07">
        <w:rPr>
          <w:sz w:val="24"/>
          <w:szCs w:val="24"/>
        </w:rPr>
        <w:t xml:space="preserve">of </w:t>
      </w:r>
      <w:r w:rsidRPr="00C804DE" w:rsidR="00DF1856">
        <w:rPr>
          <w:sz w:val="24"/>
          <w:szCs w:val="24"/>
        </w:rPr>
        <w:t>$36,327.20</w:t>
      </w:r>
      <w:r w:rsidR="00DF1856">
        <w:t xml:space="preserve"> </w:t>
      </w:r>
      <w:r w:rsidRPr="00F163CF">
        <w:rPr>
          <w:sz w:val="24"/>
        </w:rPr>
        <w:t xml:space="preserve">to meet these reporting requirements. Below is the estimate of the burden imposed on a </w:t>
      </w:r>
      <w:r w:rsidR="001B0F38">
        <w:rPr>
          <w:sz w:val="24"/>
        </w:rPr>
        <w:t>s</w:t>
      </w:r>
      <w:r w:rsidRPr="00F163CF">
        <w:rPr>
          <w:sz w:val="24"/>
        </w:rPr>
        <w:t>tate subject to the reporting requirements of this final rule.</w:t>
      </w:r>
    </w:p>
    <w:p w:rsidR="005600BB" w:rsidP="00CA1687" w:rsidRDefault="005600BB" w14:paraId="2D7A7FEC" w14:textId="77777777">
      <w:pPr>
        <w:pStyle w:val="BodyText"/>
        <w:spacing w:before="3"/>
        <w:ind w:right="30"/>
        <w:rPr>
          <w:sz w:val="25"/>
        </w:rPr>
      </w:pPr>
    </w:p>
    <w:p w:rsidR="005600BB" w:rsidP="00CA1687" w:rsidRDefault="0043666F" w14:paraId="4F8A4A03" w14:textId="717C1694">
      <w:pPr>
        <w:pStyle w:val="Heading1"/>
        <w:ind w:left="0" w:right="30" w:firstLine="0"/>
      </w:pPr>
      <w:bookmarkStart w:name="Table_1_–_Burden_for_Annual_Recordkeepin" w:id="67"/>
      <w:bookmarkEnd w:id="67"/>
      <w:r>
        <w:t xml:space="preserve">Table </w:t>
      </w:r>
      <w:r w:rsidR="008544E9">
        <w:t>2</w:t>
      </w:r>
      <w:r w:rsidR="00B27F0A">
        <w:t>:</w:t>
      </w:r>
      <w:r>
        <w:t xml:space="preserve"> Burden for Annual Recordkeeping and Reporting Requirements</w:t>
      </w:r>
    </w:p>
    <w:p w:rsidR="005600BB" w:rsidP="00CA1687" w:rsidRDefault="005600BB" w14:paraId="074647A9" w14:textId="77777777">
      <w:pPr>
        <w:pStyle w:val="BodyText"/>
        <w:spacing w:before="3"/>
        <w:ind w:right="30"/>
        <w:rPr>
          <w:b/>
        </w:rPr>
      </w:pPr>
    </w:p>
    <w:tbl>
      <w:tblPr>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10"/>
        <w:gridCol w:w="1530"/>
        <w:gridCol w:w="1350"/>
        <w:gridCol w:w="1260"/>
        <w:gridCol w:w="1540"/>
        <w:gridCol w:w="1700"/>
      </w:tblGrid>
      <w:tr w:rsidRPr="0058293A" w:rsidR="008544E9" w:rsidTr="00652D1E" w14:paraId="43455163" w14:textId="77777777">
        <w:trPr>
          <w:trHeight w:val="846" w:hRule="exact"/>
          <w:jc w:val="center"/>
        </w:trPr>
        <w:tc>
          <w:tcPr>
            <w:tcW w:w="1710" w:type="dxa"/>
          </w:tcPr>
          <w:p w:rsidRPr="00B81332" w:rsidR="008544E9" w:rsidP="00AB6B60" w:rsidRDefault="008544E9" w14:paraId="2E37C775" w14:textId="5BA32042">
            <w:pPr>
              <w:pStyle w:val="TableParagraph"/>
              <w:spacing w:line="242" w:lineRule="auto"/>
              <w:ind w:left="103" w:right="30"/>
              <w:jc w:val="left"/>
              <w:rPr>
                <w:sz w:val="24"/>
                <w:szCs w:val="24"/>
              </w:rPr>
            </w:pPr>
            <w:r w:rsidRPr="00B81332">
              <w:rPr>
                <w:sz w:val="24"/>
                <w:szCs w:val="24"/>
              </w:rPr>
              <w:t>Labor Category</w:t>
            </w:r>
          </w:p>
        </w:tc>
        <w:tc>
          <w:tcPr>
            <w:tcW w:w="1530" w:type="dxa"/>
          </w:tcPr>
          <w:p w:rsidRPr="00B81332" w:rsidR="008544E9" w:rsidP="006906F4" w:rsidRDefault="008544E9" w14:paraId="2CEB9BA9" w14:textId="1C197858">
            <w:pPr>
              <w:pStyle w:val="TableParagraph"/>
              <w:spacing w:line="273" w:lineRule="exact"/>
              <w:ind w:left="127" w:right="117"/>
              <w:rPr>
                <w:sz w:val="24"/>
                <w:szCs w:val="24"/>
              </w:rPr>
            </w:pPr>
            <w:r w:rsidRPr="00B81332">
              <w:rPr>
                <w:sz w:val="24"/>
                <w:szCs w:val="24"/>
              </w:rPr>
              <w:t>Number of Respondents</w:t>
            </w:r>
          </w:p>
        </w:tc>
        <w:tc>
          <w:tcPr>
            <w:tcW w:w="1350" w:type="dxa"/>
          </w:tcPr>
          <w:p w:rsidRPr="00B81332" w:rsidR="008544E9" w:rsidP="006906F4" w:rsidRDefault="008544E9" w14:paraId="65BF7929" w14:textId="182A7ED2">
            <w:pPr>
              <w:pStyle w:val="TableParagraph"/>
              <w:spacing w:line="273" w:lineRule="exact"/>
              <w:ind w:left="141" w:right="117"/>
              <w:rPr>
                <w:sz w:val="24"/>
                <w:szCs w:val="24"/>
              </w:rPr>
            </w:pPr>
            <w:r w:rsidRPr="00B81332">
              <w:rPr>
                <w:sz w:val="24"/>
                <w:szCs w:val="24"/>
              </w:rPr>
              <w:t>Number of Responses</w:t>
            </w:r>
          </w:p>
        </w:tc>
        <w:tc>
          <w:tcPr>
            <w:tcW w:w="1260" w:type="dxa"/>
          </w:tcPr>
          <w:p w:rsidRPr="00B81332" w:rsidR="008544E9" w:rsidP="006906F4" w:rsidRDefault="008544E9" w14:paraId="2F54ED28" w14:textId="681D9EF1">
            <w:pPr>
              <w:pStyle w:val="TableParagraph"/>
              <w:spacing w:line="240" w:lineRule="auto"/>
              <w:ind w:left="119" w:right="117" w:hanging="1"/>
              <w:rPr>
                <w:sz w:val="24"/>
                <w:szCs w:val="24"/>
              </w:rPr>
            </w:pPr>
            <w:r w:rsidRPr="00B81332">
              <w:rPr>
                <w:sz w:val="24"/>
                <w:szCs w:val="24"/>
              </w:rPr>
              <w:t>Burden Hours per Response</w:t>
            </w:r>
          </w:p>
        </w:tc>
        <w:tc>
          <w:tcPr>
            <w:tcW w:w="1540" w:type="dxa"/>
          </w:tcPr>
          <w:p w:rsidRPr="00B81332" w:rsidR="008544E9" w:rsidP="006906F4" w:rsidRDefault="008544E9" w14:paraId="7D9800C5" w14:textId="095BB961">
            <w:pPr>
              <w:pStyle w:val="TableParagraph"/>
              <w:spacing w:line="240" w:lineRule="auto"/>
              <w:ind w:left="119" w:right="117" w:hanging="1"/>
              <w:rPr>
                <w:sz w:val="24"/>
                <w:szCs w:val="24"/>
              </w:rPr>
            </w:pPr>
            <w:r w:rsidRPr="00B81332">
              <w:rPr>
                <w:sz w:val="24"/>
                <w:szCs w:val="24"/>
              </w:rPr>
              <w:t xml:space="preserve">Total </w:t>
            </w:r>
            <w:r w:rsidR="006906F4">
              <w:rPr>
                <w:sz w:val="24"/>
                <w:szCs w:val="24"/>
              </w:rPr>
              <w:t>B</w:t>
            </w:r>
            <w:r w:rsidRPr="00B81332">
              <w:rPr>
                <w:sz w:val="24"/>
                <w:szCs w:val="24"/>
              </w:rPr>
              <w:t>urden Costs (Per Respondent)</w:t>
            </w:r>
          </w:p>
        </w:tc>
        <w:tc>
          <w:tcPr>
            <w:tcW w:w="1700" w:type="dxa"/>
          </w:tcPr>
          <w:p w:rsidRPr="00B81332" w:rsidR="008544E9" w:rsidP="006906F4" w:rsidRDefault="008544E9" w14:paraId="7F8CA7A1" w14:textId="496225AB">
            <w:pPr>
              <w:pStyle w:val="TableParagraph"/>
              <w:spacing w:line="240" w:lineRule="auto"/>
              <w:ind w:left="525" w:right="117" w:hanging="363"/>
              <w:rPr>
                <w:sz w:val="24"/>
                <w:szCs w:val="24"/>
              </w:rPr>
            </w:pPr>
            <w:bookmarkStart w:name="Total_Annual_Burden_(hours)" w:id="68"/>
            <w:bookmarkEnd w:id="68"/>
            <w:r w:rsidRPr="00B81332">
              <w:rPr>
                <w:sz w:val="24"/>
                <w:szCs w:val="24"/>
              </w:rPr>
              <w:t>Total</w:t>
            </w:r>
            <w:r w:rsidR="006906F4">
              <w:rPr>
                <w:sz w:val="24"/>
                <w:szCs w:val="24"/>
              </w:rPr>
              <w:t xml:space="preserve"> </w:t>
            </w:r>
            <w:r w:rsidRPr="00B81332">
              <w:rPr>
                <w:sz w:val="24"/>
                <w:szCs w:val="24"/>
              </w:rPr>
              <w:t>Burden</w:t>
            </w:r>
          </w:p>
          <w:p w:rsidRPr="00B81332" w:rsidR="008544E9" w:rsidP="006906F4" w:rsidRDefault="008544E9" w14:paraId="5207B61C" w14:textId="77777777">
            <w:pPr>
              <w:pStyle w:val="TableParagraph"/>
              <w:spacing w:line="240" w:lineRule="auto"/>
              <w:ind w:left="525" w:right="117" w:hanging="363"/>
              <w:rPr>
                <w:sz w:val="24"/>
                <w:szCs w:val="24"/>
              </w:rPr>
            </w:pPr>
            <w:r w:rsidRPr="00B81332">
              <w:rPr>
                <w:sz w:val="24"/>
                <w:szCs w:val="24"/>
              </w:rPr>
              <w:t>Costs (All</w:t>
            </w:r>
          </w:p>
          <w:p w:rsidRPr="00B81332" w:rsidR="008544E9" w:rsidP="006906F4" w:rsidRDefault="008544E9" w14:paraId="4B626E77" w14:textId="7433D05F">
            <w:pPr>
              <w:pStyle w:val="TableParagraph"/>
              <w:spacing w:line="240" w:lineRule="auto"/>
              <w:ind w:left="134" w:right="117" w:firstLine="98"/>
              <w:rPr>
                <w:sz w:val="24"/>
                <w:szCs w:val="24"/>
              </w:rPr>
            </w:pPr>
            <w:r w:rsidRPr="00B81332">
              <w:rPr>
                <w:sz w:val="24"/>
                <w:szCs w:val="24"/>
              </w:rPr>
              <w:t>Respondents)</w:t>
            </w:r>
          </w:p>
        </w:tc>
      </w:tr>
      <w:tr w:rsidRPr="0058293A" w:rsidR="008544E9" w:rsidTr="006906F4" w14:paraId="1114C2A7" w14:textId="77777777">
        <w:trPr>
          <w:trHeight w:val="621" w:hRule="exact"/>
          <w:jc w:val="center"/>
        </w:trPr>
        <w:tc>
          <w:tcPr>
            <w:tcW w:w="1710" w:type="dxa"/>
          </w:tcPr>
          <w:p w:rsidRPr="00B81332" w:rsidR="008544E9" w:rsidP="00CA1687" w:rsidRDefault="008544E9" w14:paraId="555023D9" w14:textId="02CDB856">
            <w:pPr>
              <w:pStyle w:val="TableParagraph"/>
              <w:spacing w:line="242" w:lineRule="auto"/>
              <w:ind w:left="103" w:right="30"/>
              <w:jc w:val="left"/>
              <w:rPr>
                <w:sz w:val="24"/>
                <w:szCs w:val="24"/>
              </w:rPr>
            </w:pPr>
            <w:bookmarkStart w:name="§156.111(e)(1)" w:id="69"/>
            <w:bookmarkEnd w:id="69"/>
            <w:r w:rsidRPr="00B81332">
              <w:rPr>
                <w:sz w:val="24"/>
                <w:szCs w:val="24"/>
              </w:rPr>
              <w:t xml:space="preserve">Financial Examiner </w:t>
            </w:r>
          </w:p>
        </w:tc>
        <w:tc>
          <w:tcPr>
            <w:tcW w:w="1530" w:type="dxa"/>
          </w:tcPr>
          <w:p w:rsidRPr="00B81332" w:rsidR="008544E9" w:rsidP="00B81332" w:rsidRDefault="008544E9" w14:paraId="7E7C1059" w14:textId="77777777">
            <w:pPr>
              <w:pStyle w:val="TableParagraph"/>
              <w:spacing w:line="270" w:lineRule="exact"/>
              <w:ind w:left="125" w:right="30"/>
              <w:rPr>
                <w:sz w:val="24"/>
                <w:szCs w:val="24"/>
              </w:rPr>
            </w:pPr>
            <w:r w:rsidRPr="00B81332">
              <w:rPr>
                <w:sz w:val="24"/>
                <w:szCs w:val="24"/>
              </w:rPr>
              <w:t>10*</w:t>
            </w:r>
          </w:p>
        </w:tc>
        <w:tc>
          <w:tcPr>
            <w:tcW w:w="1350" w:type="dxa"/>
          </w:tcPr>
          <w:p w:rsidRPr="00B81332" w:rsidR="008544E9" w:rsidP="00B81332" w:rsidRDefault="008544E9" w14:paraId="788C2256" w14:textId="77777777">
            <w:pPr>
              <w:pStyle w:val="TableParagraph"/>
              <w:spacing w:line="270" w:lineRule="exact"/>
              <w:ind w:left="141" w:right="30"/>
              <w:rPr>
                <w:sz w:val="24"/>
                <w:szCs w:val="24"/>
              </w:rPr>
            </w:pPr>
            <w:r w:rsidRPr="00B81332">
              <w:rPr>
                <w:sz w:val="24"/>
                <w:szCs w:val="24"/>
              </w:rPr>
              <w:t>10</w:t>
            </w:r>
          </w:p>
        </w:tc>
        <w:tc>
          <w:tcPr>
            <w:tcW w:w="1260" w:type="dxa"/>
          </w:tcPr>
          <w:p w:rsidRPr="00B81332" w:rsidR="008544E9" w:rsidP="00C92CDA" w:rsidRDefault="008544E9" w14:paraId="6ABC316D" w14:textId="600C96A2">
            <w:pPr>
              <w:pStyle w:val="TableParagraph"/>
              <w:spacing w:line="270" w:lineRule="exact"/>
              <w:ind w:left="518" w:right="30"/>
              <w:jc w:val="left"/>
              <w:rPr>
                <w:sz w:val="24"/>
                <w:szCs w:val="24"/>
              </w:rPr>
            </w:pPr>
            <w:r w:rsidRPr="00B81332">
              <w:rPr>
                <w:sz w:val="24"/>
                <w:szCs w:val="24"/>
              </w:rPr>
              <w:t>29</w:t>
            </w:r>
          </w:p>
        </w:tc>
        <w:tc>
          <w:tcPr>
            <w:tcW w:w="1540" w:type="dxa"/>
          </w:tcPr>
          <w:p w:rsidRPr="00B81332" w:rsidR="008544E9" w:rsidP="00B81332" w:rsidRDefault="008544E9" w14:paraId="330E2EC2" w14:textId="29257D68">
            <w:pPr>
              <w:pStyle w:val="TableParagraph"/>
              <w:spacing w:line="270" w:lineRule="exact"/>
              <w:ind w:right="30"/>
              <w:rPr>
                <w:sz w:val="24"/>
                <w:szCs w:val="24"/>
              </w:rPr>
            </w:pPr>
            <w:bookmarkStart w:name="4" w:id="70"/>
            <w:bookmarkEnd w:id="70"/>
            <w:r w:rsidRPr="00B81332">
              <w:rPr>
                <w:sz w:val="24"/>
                <w:szCs w:val="24"/>
              </w:rPr>
              <w:t>$2,061.32</w:t>
            </w:r>
          </w:p>
        </w:tc>
        <w:tc>
          <w:tcPr>
            <w:tcW w:w="1700" w:type="dxa"/>
          </w:tcPr>
          <w:p w:rsidRPr="00B81332" w:rsidR="008544E9" w:rsidP="00B81332" w:rsidRDefault="008544E9" w14:paraId="4224A982" w14:textId="1E48C12C">
            <w:pPr>
              <w:pStyle w:val="TableParagraph"/>
              <w:spacing w:line="270" w:lineRule="exact"/>
              <w:ind w:right="30"/>
              <w:rPr>
                <w:sz w:val="24"/>
                <w:szCs w:val="24"/>
              </w:rPr>
            </w:pPr>
            <w:r w:rsidRPr="00B81332">
              <w:rPr>
                <w:sz w:val="24"/>
                <w:szCs w:val="24"/>
              </w:rPr>
              <w:t>$20,613.20</w:t>
            </w:r>
          </w:p>
        </w:tc>
        <w:bookmarkStart w:name="$2,641.60" w:id="71"/>
        <w:bookmarkEnd w:id="71"/>
      </w:tr>
      <w:tr w:rsidRPr="0058293A" w:rsidR="008544E9" w:rsidTr="006906F4" w14:paraId="7215BA96" w14:textId="77777777">
        <w:trPr>
          <w:trHeight w:val="540" w:hRule="exact"/>
          <w:jc w:val="center"/>
        </w:trPr>
        <w:tc>
          <w:tcPr>
            <w:tcW w:w="1710" w:type="dxa"/>
          </w:tcPr>
          <w:p w:rsidRPr="00B81332" w:rsidR="008544E9" w:rsidP="00CA1687" w:rsidRDefault="008544E9" w14:paraId="647C2D40" w14:textId="68277CEA">
            <w:pPr>
              <w:pStyle w:val="TableParagraph"/>
              <w:spacing w:line="240" w:lineRule="auto"/>
              <w:ind w:left="103" w:right="30"/>
              <w:jc w:val="left"/>
              <w:rPr>
                <w:sz w:val="24"/>
                <w:szCs w:val="24"/>
              </w:rPr>
            </w:pPr>
            <w:bookmarkStart w:name="§156.111(e)(2)" w:id="72"/>
            <w:bookmarkEnd w:id="72"/>
            <w:r w:rsidRPr="00B81332">
              <w:rPr>
                <w:sz w:val="24"/>
                <w:szCs w:val="24"/>
              </w:rPr>
              <w:t>Actuary</w:t>
            </w:r>
          </w:p>
        </w:tc>
        <w:tc>
          <w:tcPr>
            <w:tcW w:w="1530" w:type="dxa"/>
          </w:tcPr>
          <w:p w:rsidRPr="00B81332" w:rsidR="008544E9" w:rsidP="00B81332" w:rsidRDefault="008544E9" w14:paraId="0AE0CD04" w14:textId="77777777">
            <w:pPr>
              <w:pStyle w:val="TableParagraph"/>
              <w:spacing w:line="273" w:lineRule="exact"/>
              <w:ind w:left="125" w:right="30"/>
              <w:rPr>
                <w:sz w:val="24"/>
                <w:szCs w:val="24"/>
              </w:rPr>
            </w:pPr>
            <w:r w:rsidRPr="00B81332">
              <w:rPr>
                <w:sz w:val="24"/>
                <w:szCs w:val="24"/>
              </w:rPr>
              <w:t>10*</w:t>
            </w:r>
          </w:p>
        </w:tc>
        <w:tc>
          <w:tcPr>
            <w:tcW w:w="1350" w:type="dxa"/>
          </w:tcPr>
          <w:p w:rsidRPr="00B81332" w:rsidR="008544E9" w:rsidP="00B81332" w:rsidRDefault="008544E9" w14:paraId="6D25C0FB" w14:textId="77777777">
            <w:pPr>
              <w:pStyle w:val="TableParagraph"/>
              <w:spacing w:line="273" w:lineRule="exact"/>
              <w:ind w:left="141" w:right="30"/>
              <w:rPr>
                <w:sz w:val="24"/>
                <w:szCs w:val="24"/>
              </w:rPr>
            </w:pPr>
            <w:r w:rsidRPr="00B81332">
              <w:rPr>
                <w:sz w:val="24"/>
                <w:szCs w:val="24"/>
              </w:rPr>
              <w:t>10</w:t>
            </w:r>
          </w:p>
        </w:tc>
        <w:tc>
          <w:tcPr>
            <w:tcW w:w="1260" w:type="dxa"/>
          </w:tcPr>
          <w:p w:rsidRPr="00B81332" w:rsidR="008544E9" w:rsidP="00C92CDA" w:rsidRDefault="008544E9" w14:paraId="194D4795" w14:textId="404A471E">
            <w:pPr>
              <w:pStyle w:val="TableParagraph"/>
              <w:spacing w:line="273" w:lineRule="exact"/>
              <w:ind w:left="458" w:right="30"/>
              <w:jc w:val="left"/>
              <w:rPr>
                <w:sz w:val="24"/>
                <w:szCs w:val="24"/>
              </w:rPr>
            </w:pPr>
            <w:r w:rsidRPr="00B81332">
              <w:rPr>
                <w:sz w:val="24"/>
                <w:szCs w:val="24"/>
              </w:rPr>
              <w:t>18</w:t>
            </w:r>
          </w:p>
        </w:tc>
        <w:tc>
          <w:tcPr>
            <w:tcW w:w="1540" w:type="dxa"/>
          </w:tcPr>
          <w:p w:rsidRPr="00B81332" w:rsidR="008544E9" w:rsidP="00B81332" w:rsidRDefault="008544E9" w14:paraId="5C6955AB" w14:textId="4DF0053C">
            <w:pPr>
              <w:pStyle w:val="TableParagraph"/>
              <w:spacing w:line="273" w:lineRule="exact"/>
              <w:ind w:right="30"/>
              <w:rPr>
                <w:sz w:val="24"/>
                <w:szCs w:val="24"/>
              </w:rPr>
            </w:pPr>
            <w:bookmarkStart w:name="19" w:id="73"/>
            <w:bookmarkEnd w:id="73"/>
            <w:r w:rsidRPr="00B81332">
              <w:rPr>
                <w:sz w:val="24"/>
                <w:szCs w:val="24"/>
              </w:rPr>
              <w:t>$1,571.40</w:t>
            </w:r>
          </w:p>
        </w:tc>
        <w:tc>
          <w:tcPr>
            <w:tcW w:w="1700" w:type="dxa"/>
          </w:tcPr>
          <w:p w:rsidRPr="00B81332" w:rsidR="008544E9" w:rsidP="00B81332" w:rsidRDefault="008544E9" w14:paraId="50085DF5" w14:textId="0C059BAD">
            <w:pPr>
              <w:pStyle w:val="TableParagraph"/>
              <w:spacing w:line="273" w:lineRule="exact"/>
              <w:ind w:right="30"/>
              <w:rPr>
                <w:sz w:val="24"/>
                <w:szCs w:val="24"/>
              </w:rPr>
            </w:pPr>
            <w:bookmarkStart w:name="190" w:id="74"/>
            <w:bookmarkEnd w:id="74"/>
            <w:r w:rsidRPr="00B81332">
              <w:rPr>
                <w:sz w:val="24"/>
                <w:szCs w:val="24"/>
              </w:rPr>
              <w:t>$15,714</w:t>
            </w:r>
          </w:p>
        </w:tc>
        <w:bookmarkStart w:name="$15,208.00" w:id="75"/>
        <w:bookmarkEnd w:id="75"/>
      </w:tr>
      <w:tr w:rsidRPr="0058293A" w:rsidR="008544E9" w:rsidTr="006906F4" w14:paraId="2331ED6D" w14:textId="77777777">
        <w:trPr>
          <w:trHeight w:val="549" w:hRule="exact"/>
          <w:jc w:val="center"/>
        </w:trPr>
        <w:tc>
          <w:tcPr>
            <w:tcW w:w="1710" w:type="dxa"/>
          </w:tcPr>
          <w:p w:rsidRPr="00B81332" w:rsidR="008544E9" w:rsidP="00CA1687" w:rsidRDefault="008544E9" w14:paraId="3640A9EC" w14:textId="4E31FD42">
            <w:pPr>
              <w:pStyle w:val="TableParagraph"/>
              <w:spacing w:line="275" w:lineRule="exact"/>
              <w:ind w:left="103" w:right="30"/>
              <w:jc w:val="left"/>
              <w:rPr>
                <w:b/>
                <w:sz w:val="24"/>
                <w:szCs w:val="24"/>
              </w:rPr>
            </w:pPr>
            <w:bookmarkStart w:name="§156.111(e)(3)" w:id="76"/>
            <w:bookmarkStart w:name="§156.111(e)(4)" w:id="77"/>
            <w:bookmarkStart w:name="Total" w:id="78"/>
            <w:bookmarkEnd w:id="76"/>
            <w:bookmarkEnd w:id="77"/>
            <w:bookmarkEnd w:id="78"/>
            <w:r w:rsidRPr="00B81332">
              <w:rPr>
                <w:sz w:val="24"/>
                <w:szCs w:val="24"/>
              </w:rPr>
              <w:t>Total - Annual</w:t>
            </w:r>
          </w:p>
        </w:tc>
        <w:tc>
          <w:tcPr>
            <w:tcW w:w="1530" w:type="dxa"/>
          </w:tcPr>
          <w:p w:rsidRPr="00B81332" w:rsidR="008544E9" w:rsidP="00CA2EF0" w:rsidRDefault="008544E9" w14:paraId="69C38A11" w14:textId="77777777">
            <w:pPr>
              <w:pStyle w:val="TableParagraph"/>
              <w:spacing w:line="270" w:lineRule="exact"/>
              <w:ind w:left="-3" w:right="30"/>
              <w:rPr>
                <w:sz w:val="24"/>
                <w:szCs w:val="24"/>
              </w:rPr>
            </w:pPr>
            <w:bookmarkStart w:name="10" w:id="79"/>
            <w:bookmarkEnd w:id="79"/>
            <w:r w:rsidRPr="00B81332">
              <w:rPr>
                <w:sz w:val="24"/>
                <w:szCs w:val="24"/>
              </w:rPr>
              <w:t>10</w:t>
            </w:r>
          </w:p>
        </w:tc>
        <w:tc>
          <w:tcPr>
            <w:tcW w:w="1350" w:type="dxa"/>
          </w:tcPr>
          <w:p w:rsidRPr="00B81332" w:rsidR="008544E9" w:rsidP="00B81332" w:rsidRDefault="008544E9" w14:paraId="0D9492A8" w14:textId="6ECDBCC4">
            <w:pPr>
              <w:pStyle w:val="TableParagraph"/>
              <w:spacing w:line="270" w:lineRule="exact"/>
              <w:ind w:left="141" w:right="30"/>
              <w:rPr>
                <w:sz w:val="24"/>
                <w:szCs w:val="24"/>
              </w:rPr>
            </w:pPr>
            <w:bookmarkStart w:name="40" w:id="80"/>
            <w:bookmarkEnd w:id="80"/>
            <w:r w:rsidRPr="00B81332">
              <w:rPr>
                <w:sz w:val="24"/>
                <w:szCs w:val="24"/>
              </w:rPr>
              <w:t>10</w:t>
            </w:r>
          </w:p>
        </w:tc>
        <w:tc>
          <w:tcPr>
            <w:tcW w:w="1260" w:type="dxa"/>
          </w:tcPr>
          <w:p w:rsidRPr="00B81332" w:rsidR="008544E9" w:rsidP="00C92CDA" w:rsidRDefault="008544E9" w14:paraId="783E364A" w14:textId="53831CB3">
            <w:pPr>
              <w:pStyle w:val="TableParagraph"/>
              <w:spacing w:line="270" w:lineRule="exact"/>
              <w:ind w:left="458" w:right="30"/>
              <w:jc w:val="left"/>
              <w:rPr>
                <w:sz w:val="24"/>
                <w:szCs w:val="24"/>
              </w:rPr>
            </w:pPr>
            <w:r w:rsidRPr="00B81332">
              <w:rPr>
                <w:sz w:val="24"/>
                <w:szCs w:val="24"/>
              </w:rPr>
              <w:t>47</w:t>
            </w:r>
          </w:p>
        </w:tc>
        <w:tc>
          <w:tcPr>
            <w:tcW w:w="1540" w:type="dxa"/>
          </w:tcPr>
          <w:p w:rsidRPr="00B81332" w:rsidR="008544E9" w:rsidP="003975D5" w:rsidRDefault="008544E9" w14:paraId="17CB00C3" w14:textId="2221F208">
            <w:pPr>
              <w:pStyle w:val="TableParagraph"/>
              <w:spacing w:line="270" w:lineRule="exact"/>
              <w:ind w:right="30"/>
              <w:rPr>
                <w:sz w:val="24"/>
                <w:szCs w:val="24"/>
              </w:rPr>
            </w:pPr>
            <w:bookmarkStart w:name="47" w:id="81"/>
            <w:bookmarkEnd w:id="81"/>
            <w:r w:rsidRPr="00B81332">
              <w:rPr>
                <w:sz w:val="24"/>
                <w:szCs w:val="24"/>
              </w:rPr>
              <w:t>$3,</w:t>
            </w:r>
            <w:r w:rsidR="003975D5">
              <w:rPr>
                <w:sz w:val="24"/>
                <w:szCs w:val="24"/>
              </w:rPr>
              <w:t>6</w:t>
            </w:r>
            <w:r w:rsidRPr="00B81332" w:rsidR="003975D5">
              <w:rPr>
                <w:sz w:val="24"/>
                <w:szCs w:val="24"/>
              </w:rPr>
              <w:t>32</w:t>
            </w:r>
            <w:r w:rsidRPr="00B81332">
              <w:rPr>
                <w:sz w:val="24"/>
                <w:szCs w:val="24"/>
              </w:rPr>
              <w:t>.72</w:t>
            </w:r>
          </w:p>
        </w:tc>
        <w:tc>
          <w:tcPr>
            <w:tcW w:w="1700" w:type="dxa"/>
          </w:tcPr>
          <w:p w:rsidRPr="00B81332" w:rsidR="008544E9" w:rsidP="00B81332" w:rsidRDefault="008544E9" w14:paraId="61E9087D" w14:textId="6AFB0602">
            <w:pPr>
              <w:pStyle w:val="TableParagraph"/>
              <w:spacing w:line="270" w:lineRule="exact"/>
              <w:ind w:right="30"/>
              <w:rPr>
                <w:sz w:val="24"/>
                <w:szCs w:val="24"/>
              </w:rPr>
            </w:pPr>
            <w:bookmarkStart w:name="470" w:id="82"/>
            <w:bookmarkEnd w:id="82"/>
            <w:r w:rsidRPr="00B81332">
              <w:rPr>
                <w:sz w:val="24"/>
                <w:szCs w:val="24"/>
              </w:rPr>
              <w:t>$36,327.20</w:t>
            </w:r>
          </w:p>
        </w:tc>
        <w:bookmarkStart w:name="$33,699.20" w:id="83"/>
        <w:bookmarkEnd w:id="83"/>
      </w:tr>
      <w:tr w:rsidRPr="0058293A" w:rsidR="008544E9" w:rsidTr="006906F4" w14:paraId="620962A6" w14:textId="77777777">
        <w:trPr>
          <w:trHeight w:val="603" w:hRule="exact"/>
          <w:jc w:val="center"/>
        </w:trPr>
        <w:tc>
          <w:tcPr>
            <w:tcW w:w="1710" w:type="dxa"/>
          </w:tcPr>
          <w:p w:rsidR="0049623C" w:rsidP="00CA1687" w:rsidRDefault="008544E9" w14:paraId="42FC5309" w14:textId="77777777">
            <w:pPr>
              <w:pStyle w:val="TableParagraph"/>
              <w:spacing w:line="275" w:lineRule="exact"/>
              <w:ind w:left="103" w:right="30"/>
              <w:jc w:val="left"/>
              <w:rPr>
                <w:sz w:val="24"/>
                <w:szCs w:val="24"/>
              </w:rPr>
            </w:pPr>
            <w:r w:rsidRPr="00B81332">
              <w:rPr>
                <w:sz w:val="24"/>
                <w:szCs w:val="24"/>
              </w:rPr>
              <w:t xml:space="preserve">Total – </w:t>
            </w:r>
          </w:p>
          <w:p w:rsidRPr="00B81332" w:rsidR="008544E9" w:rsidP="00CA1687" w:rsidRDefault="008544E9" w14:paraId="037E51CD" w14:textId="09DECA1C">
            <w:pPr>
              <w:pStyle w:val="TableParagraph"/>
              <w:spacing w:line="275" w:lineRule="exact"/>
              <w:ind w:left="103" w:right="30"/>
              <w:jc w:val="left"/>
              <w:rPr>
                <w:sz w:val="24"/>
                <w:szCs w:val="24"/>
              </w:rPr>
            </w:pPr>
            <w:r w:rsidRPr="00B81332">
              <w:rPr>
                <w:sz w:val="24"/>
                <w:szCs w:val="24"/>
              </w:rPr>
              <w:t>Three Years</w:t>
            </w:r>
          </w:p>
        </w:tc>
        <w:tc>
          <w:tcPr>
            <w:tcW w:w="1530" w:type="dxa"/>
          </w:tcPr>
          <w:p w:rsidRPr="00B81332" w:rsidR="008544E9" w:rsidP="00B81332" w:rsidRDefault="008544E9" w14:paraId="2014DC8C" w14:textId="77777777">
            <w:pPr>
              <w:pStyle w:val="TableParagraph"/>
              <w:spacing w:line="270" w:lineRule="exact"/>
              <w:ind w:left="125" w:right="30"/>
              <w:rPr>
                <w:sz w:val="24"/>
                <w:szCs w:val="24"/>
              </w:rPr>
            </w:pPr>
          </w:p>
        </w:tc>
        <w:tc>
          <w:tcPr>
            <w:tcW w:w="1350" w:type="dxa"/>
          </w:tcPr>
          <w:p w:rsidRPr="00B81332" w:rsidR="008544E9" w:rsidP="00B81332" w:rsidRDefault="008544E9" w14:paraId="5B5DADBD" w14:textId="77777777">
            <w:pPr>
              <w:pStyle w:val="TableParagraph"/>
              <w:spacing w:line="270" w:lineRule="exact"/>
              <w:ind w:left="141" w:right="30"/>
              <w:rPr>
                <w:sz w:val="24"/>
                <w:szCs w:val="24"/>
              </w:rPr>
            </w:pPr>
          </w:p>
        </w:tc>
        <w:tc>
          <w:tcPr>
            <w:tcW w:w="1260" w:type="dxa"/>
          </w:tcPr>
          <w:p w:rsidRPr="00B81332" w:rsidR="008544E9" w:rsidP="00C92CDA" w:rsidRDefault="008544E9" w14:paraId="12AB5A15" w14:textId="52090B02">
            <w:pPr>
              <w:pStyle w:val="TableParagraph"/>
              <w:spacing w:line="270" w:lineRule="exact"/>
              <w:ind w:left="458" w:right="30"/>
              <w:jc w:val="left"/>
              <w:rPr>
                <w:sz w:val="24"/>
                <w:szCs w:val="24"/>
              </w:rPr>
            </w:pPr>
            <w:r w:rsidRPr="00B81332">
              <w:rPr>
                <w:sz w:val="24"/>
                <w:szCs w:val="24"/>
              </w:rPr>
              <w:t>141</w:t>
            </w:r>
          </w:p>
        </w:tc>
        <w:tc>
          <w:tcPr>
            <w:tcW w:w="1540" w:type="dxa"/>
          </w:tcPr>
          <w:p w:rsidRPr="00B81332" w:rsidR="008544E9" w:rsidP="003975D5" w:rsidRDefault="008544E9" w14:paraId="52AB93CC" w14:textId="0B4EE6CA">
            <w:pPr>
              <w:pStyle w:val="TableParagraph"/>
              <w:spacing w:line="270" w:lineRule="exact"/>
              <w:ind w:right="30"/>
              <w:rPr>
                <w:sz w:val="24"/>
                <w:szCs w:val="24"/>
              </w:rPr>
            </w:pPr>
            <w:r w:rsidRPr="00B81332">
              <w:rPr>
                <w:sz w:val="24"/>
                <w:szCs w:val="24"/>
              </w:rPr>
              <w:t>$10,</w:t>
            </w:r>
            <w:r w:rsidR="003975D5">
              <w:rPr>
                <w:sz w:val="24"/>
                <w:szCs w:val="24"/>
              </w:rPr>
              <w:t>8</w:t>
            </w:r>
            <w:r w:rsidRPr="00B81332" w:rsidR="003975D5">
              <w:rPr>
                <w:sz w:val="24"/>
                <w:szCs w:val="24"/>
              </w:rPr>
              <w:t>98</w:t>
            </w:r>
            <w:r w:rsidRPr="00B81332">
              <w:rPr>
                <w:sz w:val="24"/>
                <w:szCs w:val="24"/>
              </w:rPr>
              <w:t>.16</w:t>
            </w:r>
          </w:p>
        </w:tc>
        <w:tc>
          <w:tcPr>
            <w:tcW w:w="1700" w:type="dxa"/>
          </w:tcPr>
          <w:p w:rsidRPr="00B81332" w:rsidR="008544E9" w:rsidP="00B81332" w:rsidRDefault="008544E9" w14:paraId="1B51CD7B" w14:textId="1752A4BA">
            <w:pPr>
              <w:pStyle w:val="TableParagraph"/>
              <w:spacing w:line="270" w:lineRule="exact"/>
              <w:ind w:right="30"/>
              <w:rPr>
                <w:sz w:val="24"/>
                <w:szCs w:val="24"/>
              </w:rPr>
            </w:pPr>
            <w:r w:rsidRPr="00B81332">
              <w:rPr>
                <w:sz w:val="24"/>
                <w:szCs w:val="24"/>
              </w:rPr>
              <w:t>$108,981.60</w:t>
            </w:r>
          </w:p>
        </w:tc>
      </w:tr>
    </w:tbl>
    <w:p w:rsidR="005600BB" w:rsidP="00CA1687" w:rsidRDefault="0043666F" w14:paraId="4D6E2692" w14:textId="77777777">
      <w:pPr>
        <w:pStyle w:val="BodyText"/>
        <w:spacing w:before="4"/>
        <w:ind w:left="119" w:right="30"/>
      </w:pPr>
      <w:bookmarkStart w:name="*_Denote_the_same_entities._For_purposes" w:id="84"/>
      <w:bookmarkEnd w:id="84"/>
      <w:r>
        <w:t>* Denote the same entities. For purposes of calculating the total, value is used only once.</w:t>
      </w:r>
    </w:p>
    <w:p w:rsidR="00AB6B60" w:rsidP="00CA1687" w:rsidRDefault="00AB6B60" w14:paraId="40126093" w14:textId="77777777">
      <w:pPr>
        <w:pStyle w:val="Heading1"/>
        <w:ind w:left="0" w:right="30" w:firstLine="0"/>
        <w:rPr>
          <w:i/>
        </w:rPr>
      </w:pPr>
      <w:bookmarkStart w:name="Burden_on_Stand_Alone-Dental_Plan_Issuer" w:id="85"/>
      <w:bookmarkEnd w:id="85"/>
    </w:p>
    <w:p w:rsidRPr="00F163CF" w:rsidR="005600BB" w:rsidP="00CA1687" w:rsidRDefault="0043666F" w14:paraId="1423263C" w14:textId="19FAA82C">
      <w:pPr>
        <w:pStyle w:val="Heading1"/>
        <w:ind w:left="0" w:right="30" w:firstLine="0"/>
        <w:rPr>
          <w:i/>
        </w:rPr>
      </w:pPr>
      <w:r w:rsidRPr="00F163CF">
        <w:rPr>
          <w:i/>
        </w:rPr>
        <w:t>Burden on Stand Alone-Dental Plan Issuers</w:t>
      </w:r>
    </w:p>
    <w:p w:rsidRPr="00F163CF" w:rsidR="00EF2626" w:rsidP="00CA1687" w:rsidRDefault="0043666F" w14:paraId="771C674D" w14:textId="5798B46E">
      <w:pPr>
        <w:ind w:right="30"/>
      </w:pPr>
      <w:bookmarkStart w:name="CMS_is_requesting_that_issuers_that_inte" w:id="86"/>
      <w:bookmarkEnd w:id="86"/>
      <w:r w:rsidRPr="00F163CF">
        <w:rPr>
          <w:sz w:val="24"/>
        </w:rPr>
        <w:t xml:space="preserve">CMS is requesting that issuers that intend to offer stand-alone dental plans in any Exchange notify CMS of their intent to participate. This collection includes data on whether the issuer intends to offer stand-alone coverage, the anticipated Exchange market in which coverage would be offered, and the </w:t>
      </w:r>
      <w:r w:rsidR="00EC74C0">
        <w:rPr>
          <w:sz w:val="24"/>
        </w:rPr>
        <w:t>s</w:t>
      </w:r>
      <w:r w:rsidRPr="00F163CF">
        <w:rPr>
          <w:sz w:val="24"/>
        </w:rPr>
        <w:t>tate and service area in which the issuer offers coverage. The burden associated with meeting this requirement includes the time and effort needed by the issuer to report on whether it intends to offer stand-alone dental coverage. We estimate that it will take one half hour for a health insurance issuer to meet this reporting requirement. We estimate that approximately 175 issuers will respond to this data collection. Therefore, we anticipate that the reporting requirement will require a market research analyst one half-hour annually to identify and submit the responsive records to CMS (at $6</w:t>
      </w:r>
      <w:r w:rsidR="00960756">
        <w:rPr>
          <w:sz w:val="24"/>
        </w:rPr>
        <w:t>8.22</w:t>
      </w:r>
      <w:r w:rsidRPr="00F163CF">
        <w:rPr>
          <w:sz w:val="24"/>
        </w:rPr>
        <w:t xml:space="preserve"> per hour), for a total cost of </w:t>
      </w:r>
      <w:r w:rsidRPr="00C36738">
        <w:rPr>
          <w:sz w:val="24"/>
        </w:rPr>
        <w:t>$</w:t>
      </w:r>
      <w:r w:rsidRPr="00C36738" w:rsidR="003D5901">
        <w:rPr>
          <w:sz w:val="24"/>
        </w:rPr>
        <w:t>34.11</w:t>
      </w:r>
      <w:r w:rsidRPr="00C36738">
        <w:rPr>
          <w:sz w:val="24"/>
        </w:rPr>
        <w:t xml:space="preserve"> a year per reporting entity. The total number of respondents will be 175, for a total burden of $5,9</w:t>
      </w:r>
      <w:r w:rsidRPr="00C36738" w:rsidR="003D5901">
        <w:rPr>
          <w:sz w:val="24"/>
        </w:rPr>
        <w:t>69.25</w:t>
      </w:r>
      <w:r w:rsidRPr="00F163CF">
        <w:rPr>
          <w:sz w:val="24"/>
        </w:rPr>
        <w:t>.</w:t>
      </w:r>
      <w:r w:rsidRPr="00F163CF" w:rsidR="00EF2626">
        <w:t xml:space="preserve"> </w:t>
      </w:r>
      <w:bookmarkStart w:name="Below_is_the_estimate_of_the_burden_acro" w:id="87"/>
      <w:bookmarkEnd w:id="87"/>
    </w:p>
    <w:p w:rsidR="00EF2626" w:rsidP="00CA1687" w:rsidRDefault="00EF2626" w14:paraId="50ED6D6E" w14:textId="77777777">
      <w:pPr>
        <w:pStyle w:val="BodyText"/>
        <w:ind w:left="119" w:right="30"/>
      </w:pPr>
    </w:p>
    <w:p w:rsidRPr="00F163CF" w:rsidR="005600BB" w:rsidP="00CA1687" w:rsidRDefault="0043666F" w14:paraId="67FFD55E" w14:textId="2F93B758">
      <w:pPr>
        <w:ind w:right="30"/>
        <w:rPr>
          <w:sz w:val="24"/>
        </w:rPr>
      </w:pPr>
      <w:r w:rsidRPr="00F163CF">
        <w:rPr>
          <w:sz w:val="24"/>
        </w:rPr>
        <w:t>Below is the estimate of the burden across all respondents that we estimate will respond to the reporting request.</w:t>
      </w:r>
    </w:p>
    <w:p w:rsidR="005600BB" w:rsidP="00CA1687" w:rsidRDefault="005600BB" w14:paraId="5CA95D59" w14:textId="7281E456">
      <w:pPr>
        <w:pStyle w:val="BodyText"/>
        <w:ind w:right="30"/>
        <w:rPr>
          <w:sz w:val="20"/>
        </w:rPr>
      </w:pPr>
    </w:p>
    <w:p w:rsidR="00212DDF" w:rsidP="00C56348" w:rsidRDefault="00212DDF" w14:paraId="7C21AED3" w14:textId="7C19EEA7">
      <w:pPr>
        <w:pStyle w:val="BodyText"/>
        <w:ind w:right="29"/>
        <w:rPr>
          <w:b/>
        </w:rPr>
      </w:pPr>
      <w:r w:rsidRPr="000D235C">
        <w:rPr>
          <w:b/>
        </w:rPr>
        <w:t xml:space="preserve">Table </w:t>
      </w:r>
      <w:r w:rsidR="008544E9">
        <w:rPr>
          <w:b/>
        </w:rPr>
        <w:t>3</w:t>
      </w:r>
      <w:r w:rsidRPr="000D235C">
        <w:rPr>
          <w:b/>
        </w:rPr>
        <w:t>: Burden on Stand Alone Dental Plans</w:t>
      </w:r>
    </w:p>
    <w:p w:rsidRPr="000D235C" w:rsidR="00C56348" w:rsidP="00C56348" w:rsidRDefault="00C56348" w14:paraId="09E5889A" w14:textId="77777777">
      <w:pPr>
        <w:pStyle w:val="BodyText"/>
        <w:ind w:right="29"/>
        <w:rPr>
          <w:b/>
        </w:rPr>
      </w:pPr>
    </w:p>
    <w:tbl>
      <w:tblPr>
        <w:tblW w:w="89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00"/>
        <w:gridCol w:w="1424"/>
        <w:gridCol w:w="1456"/>
        <w:gridCol w:w="1248"/>
        <w:gridCol w:w="1452"/>
        <w:gridCol w:w="1440"/>
      </w:tblGrid>
      <w:tr w:rsidRPr="00B81332" w:rsidR="008544E9" w:rsidTr="00652D1E" w14:paraId="1326A05A" w14:textId="77777777">
        <w:trPr>
          <w:trHeight w:val="846" w:hRule="exact"/>
          <w:jc w:val="center"/>
        </w:trPr>
        <w:tc>
          <w:tcPr>
            <w:tcW w:w="1900" w:type="dxa"/>
          </w:tcPr>
          <w:p w:rsidRPr="00B81332" w:rsidR="008544E9" w:rsidP="00AB6B60" w:rsidRDefault="008544E9" w14:paraId="08B52C7B" w14:textId="00B92956">
            <w:pPr>
              <w:pStyle w:val="TableParagraph"/>
              <w:spacing w:line="240" w:lineRule="auto"/>
              <w:ind w:left="90" w:right="30"/>
              <w:jc w:val="left"/>
              <w:rPr>
                <w:sz w:val="24"/>
                <w:szCs w:val="24"/>
              </w:rPr>
            </w:pPr>
            <w:bookmarkStart w:name="Regulation_Section(s)" w:id="88"/>
            <w:bookmarkEnd w:id="88"/>
            <w:r w:rsidRPr="00B81332">
              <w:rPr>
                <w:sz w:val="24"/>
                <w:szCs w:val="24"/>
              </w:rPr>
              <w:t>Labor Category</w:t>
            </w:r>
          </w:p>
        </w:tc>
        <w:tc>
          <w:tcPr>
            <w:tcW w:w="1424" w:type="dxa"/>
          </w:tcPr>
          <w:p w:rsidRPr="00B81332" w:rsidR="008544E9" w:rsidP="00E133D3" w:rsidRDefault="008544E9" w14:paraId="29782A00" w14:textId="5A737785">
            <w:pPr>
              <w:pStyle w:val="TableParagraph"/>
              <w:ind w:left="3" w:right="30"/>
              <w:rPr>
                <w:sz w:val="24"/>
                <w:szCs w:val="24"/>
              </w:rPr>
            </w:pPr>
            <w:r w:rsidRPr="00B81332">
              <w:rPr>
                <w:sz w:val="24"/>
                <w:szCs w:val="24"/>
              </w:rPr>
              <w:t>Number of Respondents</w:t>
            </w:r>
          </w:p>
        </w:tc>
        <w:tc>
          <w:tcPr>
            <w:tcW w:w="1456" w:type="dxa"/>
          </w:tcPr>
          <w:p w:rsidRPr="00B81332" w:rsidR="008544E9" w:rsidP="00E133D3" w:rsidRDefault="008544E9" w14:paraId="01F00823" w14:textId="1ABD1AC3">
            <w:pPr>
              <w:pStyle w:val="TableParagraph"/>
              <w:ind w:left="15" w:right="30"/>
              <w:rPr>
                <w:sz w:val="24"/>
                <w:szCs w:val="24"/>
              </w:rPr>
            </w:pPr>
            <w:r w:rsidRPr="00B81332">
              <w:rPr>
                <w:sz w:val="24"/>
                <w:szCs w:val="24"/>
              </w:rPr>
              <w:t>Number of Responses</w:t>
            </w:r>
          </w:p>
        </w:tc>
        <w:tc>
          <w:tcPr>
            <w:tcW w:w="1248" w:type="dxa"/>
          </w:tcPr>
          <w:p w:rsidRPr="00B81332" w:rsidR="008544E9" w:rsidP="00E133D3" w:rsidRDefault="008544E9" w14:paraId="066C6FBA" w14:textId="3B04415C">
            <w:pPr>
              <w:pStyle w:val="TableParagraph"/>
              <w:spacing w:line="240" w:lineRule="auto"/>
              <w:ind w:right="30"/>
              <w:rPr>
                <w:sz w:val="24"/>
                <w:szCs w:val="24"/>
              </w:rPr>
            </w:pPr>
            <w:r w:rsidRPr="00B81332">
              <w:rPr>
                <w:sz w:val="24"/>
                <w:szCs w:val="24"/>
              </w:rPr>
              <w:t>Burden Hours per Response</w:t>
            </w:r>
          </w:p>
        </w:tc>
        <w:tc>
          <w:tcPr>
            <w:tcW w:w="1452" w:type="dxa"/>
          </w:tcPr>
          <w:p w:rsidRPr="00B81332" w:rsidR="008544E9" w:rsidP="00E133D3" w:rsidRDefault="008544E9" w14:paraId="7FAA6A70" w14:textId="1B80D4E8">
            <w:pPr>
              <w:pStyle w:val="TableParagraph"/>
              <w:spacing w:line="240" w:lineRule="auto"/>
              <w:ind w:right="30"/>
              <w:rPr>
                <w:sz w:val="24"/>
                <w:szCs w:val="24"/>
              </w:rPr>
            </w:pPr>
            <w:r w:rsidRPr="00B81332">
              <w:rPr>
                <w:sz w:val="24"/>
                <w:szCs w:val="24"/>
              </w:rPr>
              <w:t>Total Burden Costs (Per Respondent)</w:t>
            </w:r>
          </w:p>
        </w:tc>
        <w:tc>
          <w:tcPr>
            <w:tcW w:w="1440" w:type="dxa"/>
          </w:tcPr>
          <w:p w:rsidRPr="00B81332" w:rsidR="008544E9" w:rsidP="007B4006" w:rsidRDefault="008544E9" w14:paraId="263E1882" w14:textId="353E91EE">
            <w:pPr>
              <w:pStyle w:val="TableParagraph"/>
              <w:spacing w:line="240" w:lineRule="auto"/>
              <w:ind w:right="30"/>
              <w:rPr>
                <w:sz w:val="24"/>
                <w:szCs w:val="24"/>
              </w:rPr>
            </w:pPr>
            <w:r w:rsidRPr="00B81332">
              <w:rPr>
                <w:sz w:val="24"/>
                <w:szCs w:val="24"/>
              </w:rPr>
              <w:t>Total</w:t>
            </w:r>
            <w:r w:rsidR="006906F4">
              <w:rPr>
                <w:sz w:val="24"/>
                <w:szCs w:val="24"/>
              </w:rPr>
              <w:t xml:space="preserve"> </w:t>
            </w:r>
            <w:r w:rsidRPr="00B81332">
              <w:rPr>
                <w:sz w:val="24"/>
                <w:szCs w:val="24"/>
              </w:rPr>
              <w:t>Burden</w:t>
            </w:r>
          </w:p>
          <w:p w:rsidRPr="00B81332" w:rsidR="008544E9" w:rsidP="007B4006" w:rsidRDefault="008544E9" w14:paraId="373EEFFF" w14:textId="4E477DD7">
            <w:pPr>
              <w:pStyle w:val="TableParagraph"/>
              <w:spacing w:line="240" w:lineRule="auto"/>
              <w:ind w:right="30"/>
              <w:rPr>
                <w:sz w:val="24"/>
                <w:szCs w:val="24"/>
              </w:rPr>
            </w:pPr>
            <w:r w:rsidRPr="00B81332">
              <w:rPr>
                <w:sz w:val="24"/>
                <w:szCs w:val="24"/>
              </w:rPr>
              <w:t>Costs (All</w:t>
            </w:r>
          </w:p>
          <w:p w:rsidRPr="00B81332" w:rsidR="008544E9" w:rsidP="007B4006" w:rsidRDefault="008544E9" w14:paraId="186C708D" w14:textId="63B869ED">
            <w:pPr>
              <w:pStyle w:val="TableParagraph"/>
              <w:spacing w:line="240" w:lineRule="auto"/>
              <w:ind w:right="30"/>
              <w:rPr>
                <w:sz w:val="24"/>
                <w:szCs w:val="24"/>
              </w:rPr>
            </w:pPr>
            <w:r w:rsidRPr="00B81332">
              <w:rPr>
                <w:sz w:val="24"/>
                <w:szCs w:val="24"/>
              </w:rPr>
              <w:t>Respondents)</w:t>
            </w:r>
          </w:p>
        </w:tc>
      </w:tr>
      <w:tr w:rsidRPr="00B81332" w:rsidR="008544E9" w:rsidTr="001D5004" w14:paraId="05248DB8" w14:textId="77777777">
        <w:trPr>
          <w:trHeight w:val="891" w:hRule="exact"/>
          <w:jc w:val="center"/>
        </w:trPr>
        <w:tc>
          <w:tcPr>
            <w:tcW w:w="1900" w:type="dxa"/>
          </w:tcPr>
          <w:p w:rsidRPr="00B81332" w:rsidR="008544E9" w:rsidP="001D5004" w:rsidRDefault="008544E9" w14:paraId="4BE248FA" w14:textId="4ECA85BD">
            <w:pPr>
              <w:pStyle w:val="TableParagraph"/>
              <w:spacing w:line="240" w:lineRule="auto"/>
              <w:ind w:left="90" w:right="95"/>
              <w:jc w:val="left"/>
              <w:rPr>
                <w:sz w:val="24"/>
                <w:szCs w:val="24"/>
              </w:rPr>
            </w:pPr>
            <w:bookmarkStart w:name="Issuer_or_State_Market_research_analyst" w:id="89"/>
            <w:bookmarkEnd w:id="89"/>
            <w:r w:rsidRPr="00B81332">
              <w:rPr>
                <w:sz w:val="24"/>
                <w:szCs w:val="24"/>
              </w:rPr>
              <w:t>I</w:t>
            </w:r>
            <w:r w:rsidR="001D5004">
              <w:rPr>
                <w:sz w:val="24"/>
                <w:szCs w:val="24"/>
              </w:rPr>
              <w:t>ssuer or State Market Research A</w:t>
            </w:r>
            <w:r w:rsidRPr="00B81332">
              <w:rPr>
                <w:sz w:val="24"/>
                <w:szCs w:val="24"/>
              </w:rPr>
              <w:t>nalyst</w:t>
            </w:r>
          </w:p>
        </w:tc>
        <w:tc>
          <w:tcPr>
            <w:tcW w:w="1424" w:type="dxa"/>
          </w:tcPr>
          <w:p w:rsidRPr="00B81332" w:rsidR="008544E9" w:rsidP="00B81332" w:rsidRDefault="008544E9" w14:paraId="43168612" w14:textId="77777777">
            <w:pPr>
              <w:pStyle w:val="TableParagraph"/>
              <w:ind w:left="135" w:right="30"/>
              <w:rPr>
                <w:sz w:val="24"/>
                <w:szCs w:val="24"/>
              </w:rPr>
            </w:pPr>
            <w:r w:rsidRPr="00B81332">
              <w:rPr>
                <w:sz w:val="24"/>
                <w:szCs w:val="24"/>
              </w:rPr>
              <w:t>175</w:t>
            </w:r>
          </w:p>
        </w:tc>
        <w:tc>
          <w:tcPr>
            <w:tcW w:w="1456" w:type="dxa"/>
          </w:tcPr>
          <w:p w:rsidRPr="00B81332" w:rsidR="008544E9" w:rsidP="00B81332" w:rsidRDefault="008544E9" w14:paraId="522245EB" w14:textId="77777777">
            <w:pPr>
              <w:pStyle w:val="TableParagraph"/>
              <w:ind w:left="370" w:right="30"/>
              <w:rPr>
                <w:sz w:val="24"/>
                <w:szCs w:val="24"/>
              </w:rPr>
            </w:pPr>
            <w:r w:rsidRPr="00B81332">
              <w:rPr>
                <w:sz w:val="24"/>
                <w:szCs w:val="24"/>
              </w:rPr>
              <w:t>175</w:t>
            </w:r>
          </w:p>
        </w:tc>
        <w:tc>
          <w:tcPr>
            <w:tcW w:w="1248" w:type="dxa"/>
          </w:tcPr>
          <w:p w:rsidRPr="00B81332" w:rsidR="008544E9" w:rsidP="00B81332" w:rsidRDefault="008544E9" w14:paraId="66024B11" w14:textId="3EB00397">
            <w:pPr>
              <w:pStyle w:val="TableParagraph"/>
              <w:ind w:left="87" w:right="30"/>
              <w:rPr>
                <w:sz w:val="24"/>
                <w:szCs w:val="24"/>
              </w:rPr>
            </w:pPr>
            <w:r w:rsidRPr="00B81332">
              <w:rPr>
                <w:sz w:val="24"/>
                <w:szCs w:val="24"/>
              </w:rPr>
              <w:t>0.5</w:t>
            </w:r>
          </w:p>
        </w:tc>
        <w:tc>
          <w:tcPr>
            <w:tcW w:w="1452" w:type="dxa"/>
          </w:tcPr>
          <w:p w:rsidRPr="00B81332" w:rsidR="008544E9" w:rsidP="00B81332" w:rsidRDefault="008544E9" w14:paraId="0335E4C9" w14:textId="620AEDE1">
            <w:pPr>
              <w:pStyle w:val="TableParagraph"/>
              <w:ind w:left="87" w:right="30"/>
              <w:rPr>
                <w:sz w:val="24"/>
                <w:szCs w:val="24"/>
              </w:rPr>
            </w:pPr>
            <w:r w:rsidRPr="00B81332">
              <w:rPr>
                <w:sz w:val="24"/>
                <w:szCs w:val="24"/>
              </w:rPr>
              <w:t>$34.11</w:t>
            </w:r>
          </w:p>
        </w:tc>
        <w:tc>
          <w:tcPr>
            <w:tcW w:w="1440" w:type="dxa"/>
          </w:tcPr>
          <w:p w:rsidRPr="00B81332" w:rsidR="008544E9" w:rsidP="00B81332" w:rsidRDefault="008544E9" w14:paraId="544F66B8" w14:textId="34C4A70E">
            <w:pPr>
              <w:pStyle w:val="TableParagraph"/>
              <w:ind w:right="30"/>
              <w:rPr>
                <w:sz w:val="24"/>
                <w:szCs w:val="24"/>
              </w:rPr>
            </w:pPr>
            <w:r w:rsidRPr="00B81332">
              <w:rPr>
                <w:sz w:val="24"/>
                <w:szCs w:val="24"/>
              </w:rPr>
              <w:t>$5,969.25</w:t>
            </w:r>
          </w:p>
        </w:tc>
      </w:tr>
      <w:tr w:rsidRPr="00B81332" w:rsidR="008544E9" w:rsidTr="006906F4" w14:paraId="5FD7D13A" w14:textId="77777777">
        <w:trPr>
          <w:trHeight w:val="558" w:hRule="exact"/>
          <w:jc w:val="center"/>
        </w:trPr>
        <w:tc>
          <w:tcPr>
            <w:tcW w:w="1900" w:type="dxa"/>
          </w:tcPr>
          <w:p w:rsidRPr="00B81332" w:rsidR="008544E9" w:rsidP="007B4006" w:rsidRDefault="008544E9" w14:paraId="665D7C65" w14:textId="77498485">
            <w:pPr>
              <w:pStyle w:val="TableParagraph"/>
              <w:ind w:left="90" w:right="30"/>
              <w:jc w:val="left"/>
              <w:rPr>
                <w:sz w:val="24"/>
                <w:szCs w:val="24"/>
              </w:rPr>
            </w:pPr>
            <w:r w:rsidRPr="00B81332">
              <w:rPr>
                <w:sz w:val="24"/>
                <w:szCs w:val="24"/>
              </w:rPr>
              <w:t>Total – Annual</w:t>
            </w:r>
          </w:p>
        </w:tc>
        <w:tc>
          <w:tcPr>
            <w:tcW w:w="1424" w:type="dxa"/>
          </w:tcPr>
          <w:p w:rsidRPr="00B81332" w:rsidR="008544E9" w:rsidP="00B81332" w:rsidRDefault="008544E9" w14:paraId="2B7A2382" w14:textId="77777777">
            <w:pPr>
              <w:pStyle w:val="TableParagraph"/>
              <w:ind w:left="135" w:right="30"/>
              <w:rPr>
                <w:sz w:val="24"/>
                <w:szCs w:val="24"/>
              </w:rPr>
            </w:pPr>
            <w:r w:rsidRPr="00B81332">
              <w:rPr>
                <w:sz w:val="24"/>
                <w:szCs w:val="24"/>
              </w:rPr>
              <w:t>175</w:t>
            </w:r>
          </w:p>
        </w:tc>
        <w:tc>
          <w:tcPr>
            <w:tcW w:w="1456" w:type="dxa"/>
          </w:tcPr>
          <w:p w:rsidRPr="00B81332" w:rsidR="008544E9" w:rsidP="00B81332" w:rsidRDefault="008544E9" w14:paraId="07B0EC86" w14:textId="77777777">
            <w:pPr>
              <w:pStyle w:val="TableParagraph"/>
              <w:ind w:left="370" w:right="30"/>
              <w:rPr>
                <w:sz w:val="24"/>
                <w:szCs w:val="24"/>
              </w:rPr>
            </w:pPr>
            <w:bookmarkStart w:name="175" w:id="90"/>
            <w:bookmarkEnd w:id="90"/>
            <w:r w:rsidRPr="00B81332">
              <w:rPr>
                <w:sz w:val="24"/>
                <w:szCs w:val="24"/>
              </w:rPr>
              <w:t>175</w:t>
            </w:r>
          </w:p>
        </w:tc>
        <w:tc>
          <w:tcPr>
            <w:tcW w:w="1248" w:type="dxa"/>
          </w:tcPr>
          <w:p w:rsidRPr="00B81332" w:rsidR="008544E9" w:rsidP="00B81332" w:rsidRDefault="008544E9" w14:paraId="7B61E92B" w14:textId="01868E40">
            <w:pPr>
              <w:pStyle w:val="TableParagraph"/>
              <w:ind w:left="87" w:right="30"/>
              <w:rPr>
                <w:sz w:val="24"/>
                <w:szCs w:val="24"/>
              </w:rPr>
            </w:pPr>
            <w:r w:rsidRPr="00B81332">
              <w:rPr>
                <w:sz w:val="24"/>
                <w:szCs w:val="24"/>
              </w:rPr>
              <w:t>87.5</w:t>
            </w:r>
          </w:p>
        </w:tc>
        <w:tc>
          <w:tcPr>
            <w:tcW w:w="1452" w:type="dxa"/>
          </w:tcPr>
          <w:p w:rsidRPr="00B81332" w:rsidR="008544E9" w:rsidP="00B81332" w:rsidRDefault="008544E9" w14:paraId="415E3237" w14:textId="2994DDB4">
            <w:pPr>
              <w:pStyle w:val="TableParagraph"/>
              <w:ind w:left="87" w:right="30"/>
              <w:rPr>
                <w:sz w:val="24"/>
                <w:szCs w:val="24"/>
              </w:rPr>
            </w:pPr>
            <w:r w:rsidRPr="00B81332">
              <w:rPr>
                <w:sz w:val="24"/>
                <w:szCs w:val="24"/>
              </w:rPr>
              <w:t>$34.11</w:t>
            </w:r>
          </w:p>
        </w:tc>
        <w:tc>
          <w:tcPr>
            <w:tcW w:w="1440" w:type="dxa"/>
          </w:tcPr>
          <w:p w:rsidRPr="00B81332" w:rsidR="008544E9" w:rsidP="00B81332" w:rsidRDefault="008544E9" w14:paraId="1F92DA92" w14:textId="5A6DEA9C">
            <w:pPr>
              <w:pStyle w:val="TableParagraph"/>
              <w:ind w:right="30"/>
              <w:rPr>
                <w:sz w:val="24"/>
                <w:szCs w:val="24"/>
              </w:rPr>
            </w:pPr>
            <w:bookmarkStart w:name="87.5" w:id="91"/>
            <w:bookmarkStart w:name="$67.90" w:id="92"/>
            <w:bookmarkStart w:name="$5,941.25" w:id="93"/>
            <w:bookmarkEnd w:id="91"/>
            <w:bookmarkEnd w:id="92"/>
            <w:bookmarkEnd w:id="93"/>
            <w:r w:rsidRPr="00B81332">
              <w:rPr>
                <w:sz w:val="24"/>
                <w:szCs w:val="24"/>
              </w:rPr>
              <w:t>$5,969.25</w:t>
            </w:r>
          </w:p>
        </w:tc>
      </w:tr>
      <w:tr w:rsidRPr="00B81332" w:rsidR="008544E9" w:rsidTr="001D5004" w14:paraId="0DD4ED37" w14:textId="77777777">
        <w:trPr>
          <w:trHeight w:val="630" w:hRule="exact"/>
          <w:jc w:val="center"/>
        </w:trPr>
        <w:tc>
          <w:tcPr>
            <w:tcW w:w="1900" w:type="dxa"/>
          </w:tcPr>
          <w:p w:rsidR="007B4006" w:rsidP="007B4006" w:rsidRDefault="008544E9" w14:paraId="128F2519" w14:textId="77777777">
            <w:pPr>
              <w:pStyle w:val="TableParagraph"/>
              <w:ind w:left="90" w:right="30"/>
              <w:jc w:val="left"/>
              <w:rPr>
                <w:sz w:val="24"/>
                <w:szCs w:val="24"/>
              </w:rPr>
            </w:pPr>
            <w:r w:rsidRPr="00B81332">
              <w:rPr>
                <w:sz w:val="24"/>
                <w:szCs w:val="24"/>
              </w:rPr>
              <w:t xml:space="preserve">Total – </w:t>
            </w:r>
          </w:p>
          <w:p w:rsidRPr="00B81332" w:rsidR="008544E9" w:rsidP="007B4006" w:rsidRDefault="008544E9" w14:paraId="7207083F" w14:textId="27D78828">
            <w:pPr>
              <w:pStyle w:val="TableParagraph"/>
              <w:ind w:left="90" w:right="30"/>
              <w:jc w:val="left"/>
              <w:rPr>
                <w:sz w:val="24"/>
                <w:szCs w:val="24"/>
              </w:rPr>
            </w:pPr>
            <w:r w:rsidRPr="00B81332">
              <w:rPr>
                <w:sz w:val="24"/>
                <w:szCs w:val="24"/>
              </w:rPr>
              <w:t>Three Years</w:t>
            </w:r>
          </w:p>
        </w:tc>
        <w:tc>
          <w:tcPr>
            <w:tcW w:w="1424" w:type="dxa"/>
          </w:tcPr>
          <w:p w:rsidRPr="00B81332" w:rsidR="008544E9" w:rsidP="00B81332" w:rsidRDefault="008544E9" w14:paraId="12D458A4" w14:textId="77777777">
            <w:pPr>
              <w:pStyle w:val="TableParagraph"/>
              <w:ind w:left="135" w:right="30"/>
              <w:rPr>
                <w:sz w:val="24"/>
                <w:szCs w:val="24"/>
              </w:rPr>
            </w:pPr>
          </w:p>
        </w:tc>
        <w:tc>
          <w:tcPr>
            <w:tcW w:w="1456" w:type="dxa"/>
          </w:tcPr>
          <w:p w:rsidRPr="00B81332" w:rsidR="008544E9" w:rsidP="00B81332" w:rsidRDefault="008544E9" w14:paraId="775959E0" w14:textId="77777777">
            <w:pPr>
              <w:pStyle w:val="TableParagraph"/>
              <w:ind w:left="370" w:right="30"/>
              <w:rPr>
                <w:sz w:val="24"/>
                <w:szCs w:val="24"/>
              </w:rPr>
            </w:pPr>
          </w:p>
        </w:tc>
        <w:tc>
          <w:tcPr>
            <w:tcW w:w="1248" w:type="dxa"/>
          </w:tcPr>
          <w:p w:rsidRPr="00B81332" w:rsidR="008544E9" w:rsidP="00B81332" w:rsidRDefault="008544E9" w14:paraId="765E79B8" w14:textId="589B1CEC">
            <w:pPr>
              <w:pStyle w:val="TableParagraph"/>
              <w:ind w:left="87" w:right="30"/>
              <w:rPr>
                <w:sz w:val="24"/>
                <w:szCs w:val="24"/>
              </w:rPr>
            </w:pPr>
            <w:r w:rsidRPr="00B81332">
              <w:rPr>
                <w:sz w:val="24"/>
                <w:szCs w:val="24"/>
              </w:rPr>
              <w:t>262.5</w:t>
            </w:r>
          </w:p>
        </w:tc>
        <w:tc>
          <w:tcPr>
            <w:tcW w:w="1452" w:type="dxa"/>
          </w:tcPr>
          <w:p w:rsidRPr="00B81332" w:rsidR="008544E9" w:rsidP="00B81332" w:rsidRDefault="008544E9" w14:paraId="21708F77" w14:textId="02E36B00">
            <w:pPr>
              <w:pStyle w:val="TableParagraph"/>
              <w:ind w:left="87" w:right="30"/>
              <w:rPr>
                <w:sz w:val="24"/>
                <w:szCs w:val="24"/>
              </w:rPr>
            </w:pPr>
            <w:r w:rsidRPr="00B81332">
              <w:rPr>
                <w:sz w:val="24"/>
                <w:szCs w:val="24"/>
              </w:rPr>
              <w:t>$102.33</w:t>
            </w:r>
          </w:p>
        </w:tc>
        <w:tc>
          <w:tcPr>
            <w:tcW w:w="1440" w:type="dxa"/>
          </w:tcPr>
          <w:p w:rsidRPr="00B81332" w:rsidR="008544E9" w:rsidP="00B81332" w:rsidRDefault="008544E9" w14:paraId="763C9960" w14:textId="1FD03605">
            <w:pPr>
              <w:pStyle w:val="TableParagraph"/>
              <w:ind w:right="30"/>
              <w:rPr>
                <w:sz w:val="24"/>
                <w:szCs w:val="24"/>
              </w:rPr>
            </w:pPr>
            <w:r w:rsidRPr="00B81332">
              <w:rPr>
                <w:sz w:val="24"/>
                <w:szCs w:val="24"/>
              </w:rPr>
              <w:t>$17,907.75</w:t>
            </w:r>
          </w:p>
        </w:tc>
      </w:tr>
    </w:tbl>
    <w:p w:rsidR="005600BB" w:rsidP="00CA1687" w:rsidRDefault="005600BB" w14:paraId="75829521" w14:textId="77777777">
      <w:pPr>
        <w:pStyle w:val="BodyText"/>
        <w:ind w:right="30"/>
        <w:rPr>
          <w:sz w:val="26"/>
        </w:rPr>
      </w:pPr>
    </w:p>
    <w:p w:rsidRPr="00F163CF" w:rsidR="005600BB" w:rsidP="00CA1687" w:rsidRDefault="0043666F" w14:paraId="6EE8092C" w14:textId="77777777">
      <w:pPr>
        <w:pStyle w:val="Heading1"/>
        <w:ind w:left="0" w:right="30" w:firstLine="0"/>
        <w:rPr>
          <w:i/>
        </w:rPr>
      </w:pPr>
      <w:bookmarkStart w:name="Burden_on_States_for_Substitution" w:id="94"/>
      <w:bookmarkEnd w:id="94"/>
      <w:r w:rsidRPr="00F163CF">
        <w:rPr>
          <w:i/>
        </w:rPr>
        <w:t>Burden on States for Substitution</w:t>
      </w:r>
    </w:p>
    <w:p w:rsidRPr="00F163CF" w:rsidR="005600BB" w:rsidP="00CA1687" w:rsidRDefault="003B47AE" w14:paraId="0FE2A8B6" w14:textId="0D51DFE2">
      <w:pPr>
        <w:ind w:right="30"/>
        <w:rPr>
          <w:sz w:val="24"/>
        </w:rPr>
      </w:pPr>
      <w:bookmarkStart w:name="Lastly,_as_part_of_the_update_to_this_OM" w:id="95"/>
      <w:bookmarkEnd w:id="95"/>
      <w:r w:rsidRPr="00F163CF">
        <w:rPr>
          <w:sz w:val="24"/>
        </w:rPr>
        <w:t xml:space="preserve">Lastly, </w:t>
      </w:r>
      <w:r>
        <w:rPr>
          <w:sz w:val="24"/>
        </w:rPr>
        <w:t xml:space="preserve">we included </w:t>
      </w:r>
      <w:r w:rsidRPr="00F163CF">
        <w:rPr>
          <w:sz w:val="24"/>
        </w:rPr>
        <w:t xml:space="preserve">an information collection request to </w:t>
      </w:r>
      <w:r>
        <w:rPr>
          <w:sz w:val="24"/>
        </w:rPr>
        <w:t xml:space="preserve">account for </w:t>
      </w:r>
      <w:r w:rsidRPr="00F163CF" w:rsidR="0043666F">
        <w:rPr>
          <w:sz w:val="24"/>
        </w:rPr>
        <w:t xml:space="preserve">the finalized policy at §156.115(b)(2)(ii) that allows the </w:t>
      </w:r>
      <w:r w:rsidR="00EC74C0">
        <w:rPr>
          <w:sz w:val="24"/>
        </w:rPr>
        <w:t>s</w:t>
      </w:r>
      <w:r w:rsidRPr="00F163CF" w:rsidR="0043666F">
        <w:rPr>
          <w:sz w:val="24"/>
        </w:rPr>
        <w:t xml:space="preserve">tate the option to notify HHS that the </w:t>
      </w:r>
      <w:r w:rsidR="00EC74C0">
        <w:rPr>
          <w:sz w:val="24"/>
        </w:rPr>
        <w:t>s</w:t>
      </w:r>
      <w:r w:rsidRPr="00F163CF" w:rsidR="0043666F">
        <w:rPr>
          <w:sz w:val="24"/>
        </w:rPr>
        <w:t xml:space="preserve">tate will allow substitution between EHB categories of benefits, beginning with the 2020 plan year. Specifically, §156.115(b)(2)(ii) will allow issuers to substitute benefits only when the </w:t>
      </w:r>
      <w:r w:rsidR="00EC74C0">
        <w:rPr>
          <w:sz w:val="24"/>
        </w:rPr>
        <w:t>s</w:t>
      </w:r>
      <w:r w:rsidRPr="00F163CF" w:rsidR="0043666F">
        <w:rPr>
          <w:sz w:val="24"/>
        </w:rPr>
        <w:t xml:space="preserve">tate in which the plan will be offered permits such substitution and notifies HHS of its decision to allow substitution between categories. We anticipate that </w:t>
      </w:r>
      <w:r w:rsidR="00EC74C0">
        <w:rPr>
          <w:sz w:val="24"/>
        </w:rPr>
        <w:t>s</w:t>
      </w:r>
      <w:r w:rsidRPr="00F163CF" w:rsidR="0043666F">
        <w:rPr>
          <w:sz w:val="24"/>
        </w:rPr>
        <w:t xml:space="preserve">tates will notify HHS through the same means the </w:t>
      </w:r>
      <w:r w:rsidR="00EC74C0">
        <w:rPr>
          <w:sz w:val="24"/>
        </w:rPr>
        <w:t>s</w:t>
      </w:r>
      <w:r w:rsidRPr="00F163CF" w:rsidR="0043666F">
        <w:rPr>
          <w:sz w:val="24"/>
        </w:rPr>
        <w:t xml:space="preserve">tates will notify HHS of an updated EHB-benchmark plan selection under §156.111 and as reflected in </w:t>
      </w:r>
      <w:r w:rsidRPr="00B81332" w:rsidR="0043666F">
        <w:rPr>
          <w:b/>
          <w:sz w:val="24"/>
        </w:rPr>
        <w:t xml:space="preserve">Appendix </w:t>
      </w:r>
      <w:r>
        <w:rPr>
          <w:b/>
          <w:sz w:val="24"/>
        </w:rPr>
        <w:t>F</w:t>
      </w:r>
      <w:r w:rsidR="009530B8">
        <w:rPr>
          <w:b/>
          <w:sz w:val="24"/>
        </w:rPr>
        <w:t>.</w:t>
      </w:r>
      <w:r w:rsidRPr="009530B8" w:rsidR="009530B8">
        <w:t xml:space="preserve"> </w:t>
      </w:r>
      <w:r w:rsidRPr="009530B8" w:rsidR="009530B8">
        <w:rPr>
          <w:b/>
          <w:sz w:val="24"/>
        </w:rPr>
        <w:t>State Substitution Notification</w:t>
      </w:r>
      <w:r w:rsidRPr="00F163CF" w:rsidR="0043666F">
        <w:rPr>
          <w:sz w:val="24"/>
        </w:rPr>
        <w:t xml:space="preserve">, we intend to provide a preformatted response for </w:t>
      </w:r>
      <w:r w:rsidR="00EC74C0">
        <w:rPr>
          <w:sz w:val="24"/>
        </w:rPr>
        <w:t>s</w:t>
      </w:r>
      <w:r w:rsidRPr="00F163CF" w:rsidR="0043666F">
        <w:rPr>
          <w:sz w:val="24"/>
        </w:rPr>
        <w:t>tates to use to provide the notification to HHS. To provide notification under §156.115(b)(2)(ii), we estimate that it will require a financial examiner 1/2 hour, on average, (</w:t>
      </w:r>
      <w:r w:rsidRPr="00F163CF" w:rsidR="008A0675">
        <w:rPr>
          <w:sz w:val="24"/>
        </w:rPr>
        <w:t>at a rate of $</w:t>
      </w:r>
      <w:r w:rsidR="008A0675">
        <w:rPr>
          <w:sz w:val="24"/>
        </w:rPr>
        <w:t>71.08</w:t>
      </w:r>
      <w:r w:rsidRPr="00F163CF" w:rsidR="008A0675">
        <w:rPr>
          <w:sz w:val="24"/>
        </w:rPr>
        <w:t xml:space="preserve"> per hour</w:t>
      </w:r>
      <w:r w:rsidRPr="00F163CF" w:rsidR="0043666F">
        <w:rPr>
          <w:sz w:val="24"/>
        </w:rPr>
        <w:t xml:space="preserve">) to review and electronically submit a notification to HHS. Furthermore, we estimate that at most 5 </w:t>
      </w:r>
      <w:r w:rsidR="00EC74C0">
        <w:rPr>
          <w:sz w:val="24"/>
        </w:rPr>
        <w:t>s</w:t>
      </w:r>
      <w:r w:rsidRPr="00F163CF" w:rsidR="0043666F">
        <w:rPr>
          <w:sz w:val="24"/>
        </w:rPr>
        <w:t>tates will want to allow the flexibility for their issuers to substitute between categories under</w:t>
      </w:r>
      <w:r w:rsidRPr="00F163CF" w:rsidR="00257656">
        <w:rPr>
          <w:sz w:val="24"/>
        </w:rPr>
        <w:t xml:space="preserve"> </w:t>
      </w:r>
      <w:r w:rsidRPr="00F163CF" w:rsidR="0043666F">
        <w:rPr>
          <w:sz w:val="24"/>
        </w:rPr>
        <w:t xml:space="preserve">§156.115(b)(2)(ii). While this aspect of the ICR is not subject to the PRA because we estimate that no more than 5 </w:t>
      </w:r>
      <w:r w:rsidR="00EC74C0">
        <w:rPr>
          <w:sz w:val="24"/>
        </w:rPr>
        <w:t>s</w:t>
      </w:r>
      <w:r w:rsidRPr="00F163CF" w:rsidR="0043666F">
        <w:rPr>
          <w:sz w:val="24"/>
        </w:rPr>
        <w:t>tates will be affected annually, we nonetheless provide a total annual burden estimate for</w:t>
      </w:r>
      <w:r w:rsidRPr="00F163CF" w:rsidR="00257656">
        <w:rPr>
          <w:sz w:val="24"/>
        </w:rPr>
        <w:t xml:space="preserve"> </w:t>
      </w:r>
      <w:r w:rsidRPr="00F163CF" w:rsidR="0043666F">
        <w:rPr>
          <w:sz w:val="24"/>
        </w:rPr>
        <w:t xml:space="preserve">§156.115(b)(2)(ii), which is 2.5 hours and a total associated cost of </w:t>
      </w:r>
      <w:r w:rsidRPr="002501FC" w:rsidR="0043666F">
        <w:rPr>
          <w:sz w:val="24"/>
        </w:rPr>
        <w:t>$</w:t>
      </w:r>
      <w:r w:rsidRPr="002501FC" w:rsidR="00673378">
        <w:rPr>
          <w:sz w:val="24"/>
        </w:rPr>
        <w:t>177.70</w:t>
      </w:r>
      <w:r w:rsidRPr="00F163CF" w:rsidR="0043666F">
        <w:rPr>
          <w:sz w:val="24"/>
        </w:rPr>
        <w:t>.</w:t>
      </w:r>
      <w:r w:rsidRPr="00F163CF" w:rsidR="00EF2626">
        <w:rPr>
          <w:sz w:val="24"/>
        </w:rPr>
        <w:t xml:space="preserve"> </w:t>
      </w:r>
    </w:p>
    <w:p w:rsidR="00C56348" w:rsidP="00A42C39" w:rsidRDefault="00C56348" w14:paraId="58419BC0" w14:textId="77777777">
      <w:pPr>
        <w:pStyle w:val="BodyText"/>
        <w:spacing w:after="120" w:line="276" w:lineRule="auto"/>
        <w:ind w:right="29"/>
        <w:rPr>
          <w:b/>
        </w:rPr>
      </w:pPr>
    </w:p>
    <w:p w:rsidR="00212DDF" w:rsidP="00C56348" w:rsidRDefault="00212DDF" w14:paraId="0674E620" w14:textId="7A44BDAB">
      <w:pPr>
        <w:pStyle w:val="BodyText"/>
        <w:ind w:right="29"/>
        <w:rPr>
          <w:b/>
        </w:rPr>
      </w:pPr>
      <w:r>
        <w:rPr>
          <w:b/>
        </w:rPr>
        <w:t xml:space="preserve">Table </w:t>
      </w:r>
      <w:r w:rsidR="008544E9">
        <w:rPr>
          <w:b/>
        </w:rPr>
        <w:t>4</w:t>
      </w:r>
      <w:r>
        <w:rPr>
          <w:b/>
        </w:rPr>
        <w:t xml:space="preserve">: Burden on States for Substitution </w:t>
      </w:r>
    </w:p>
    <w:p w:rsidRPr="000D235C" w:rsidR="00C56348" w:rsidP="00C56348" w:rsidRDefault="00C56348" w14:paraId="3A2D4FD8" w14:textId="77777777">
      <w:pPr>
        <w:pStyle w:val="BodyText"/>
        <w:ind w:right="29"/>
        <w:rPr>
          <w:b/>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80"/>
        <w:gridCol w:w="1350"/>
        <w:gridCol w:w="1260"/>
        <w:gridCol w:w="1170"/>
        <w:gridCol w:w="1350"/>
        <w:gridCol w:w="1625"/>
      </w:tblGrid>
      <w:tr w:rsidRPr="00E133D3" w:rsidR="008544E9" w:rsidTr="00652D1E" w14:paraId="44A78660" w14:textId="77777777">
        <w:trPr>
          <w:trHeight w:val="927" w:hRule="exact"/>
          <w:jc w:val="center"/>
        </w:trPr>
        <w:tc>
          <w:tcPr>
            <w:tcW w:w="1980" w:type="dxa"/>
          </w:tcPr>
          <w:p w:rsidRPr="00E133D3" w:rsidR="008544E9" w:rsidP="00AB6B60" w:rsidRDefault="008544E9" w14:paraId="5BA98F05" w14:textId="3561CFFD">
            <w:pPr>
              <w:pStyle w:val="TableParagraph"/>
              <w:spacing w:line="240" w:lineRule="auto"/>
              <w:ind w:left="90" w:right="30"/>
              <w:jc w:val="left"/>
              <w:rPr>
                <w:sz w:val="24"/>
                <w:szCs w:val="24"/>
              </w:rPr>
            </w:pPr>
            <w:r w:rsidRPr="00E133D3">
              <w:rPr>
                <w:sz w:val="24"/>
                <w:szCs w:val="24"/>
              </w:rPr>
              <w:t>Labor Category</w:t>
            </w:r>
          </w:p>
        </w:tc>
        <w:tc>
          <w:tcPr>
            <w:tcW w:w="1350" w:type="dxa"/>
          </w:tcPr>
          <w:p w:rsidRPr="00E133D3" w:rsidR="008544E9" w:rsidP="00D861AF" w:rsidRDefault="008544E9" w14:paraId="12E09666" w14:textId="0474EC57">
            <w:pPr>
              <w:pStyle w:val="TableParagraph"/>
              <w:ind w:right="30"/>
              <w:rPr>
                <w:sz w:val="24"/>
                <w:szCs w:val="24"/>
              </w:rPr>
            </w:pPr>
            <w:bookmarkStart w:name="Respondents" w:id="96"/>
            <w:bookmarkEnd w:id="96"/>
            <w:r w:rsidRPr="00E133D3">
              <w:rPr>
                <w:sz w:val="24"/>
                <w:szCs w:val="24"/>
              </w:rPr>
              <w:t>Number of Respondents</w:t>
            </w:r>
          </w:p>
        </w:tc>
        <w:tc>
          <w:tcPr>
            <w:tcW w:w="1260" w:type="dxa"/>
          </w:tcPr>
          <w:p w:rsidRPr="00E133D3" w:rsidR="008544E9" w:rsidP="00D861AF" w:rsidRDefault="008544E9" w14:paraId="4CF689E4" w14:textId="149B6767">
            <w:pPr>
              <w:pStyle w:val="TableParagraph"/>
              <w:ind w:right="30"/>
              <w:rPr>
                <w:sz w:val="24"/>
                <w:szCs w:val="24"/>
              </w:rPr>
            </w:pPr>
            <w:bookmarkStart w:name="Responses" w:id="97"/>
            <w:bookmarkEnd w:id="97"/>
            <w:r w:rsidRPr="00E133D3">
              <w:rPr>
                <w:sz w:val="24"/>
                <w:szCs w:val="24"/>
              </w:rPr>
              <w:t>Number of Responses</w:t>
            </w:r>
          </w:p>
        </w:tc>
        <w:tc>
          <w:tcPr>
            <w:tcW w:w="1170" w:type="dxa"/>
          </w:tcPr>
          <w:p w:rsidRPr="00E133D3" w:rsidR="008544E9" w:rsidP="00D861AF" w:rsidRDefault="008544E9" w14:paraId="0E59261A" w14:textId="60DB382B">
            <w:pPr>
              <w:pStyle w:val="TableParagraph"/>
              <w:spacing w:line="240" w:lineRule="auto"/>
              <w:ind w:right="30"/>
              <w:rPr>
                <w:sz w:val="24"/>
                <w:szCs w:val="24"/>
              </w:rPr>
            </w:pPr>
            <w:r w:rsidRPr="00E133D3">
              <w:rPr>
                <w:sz w:val="24"/>
                <w:szCs w:val="24"/>
              </w:rPr>
              <w:t>Burden Hours per Response</w:t>
            </w:r>
          </w:p>
        </w:tc>
        <w:tc>
          <w:tcPr>
            <w:tcW w:w="1350" w:type="dxa"/>
          </w:tcPr>
          <w:p w:rsidRPr="00E133D3" w:rsidR="008544E9" w:rsidP="00D861AF" w:rsidRDefault="008544E9" w14:paraId="2914CA91" w14:textId="28DA8AD3">
            <w:pPr>
              <w:pStyle w:val="TableParagraph"/>
              <w:spacing w:line="240" w:lineRule="auto"/>
              <w:ind w:right="30"/>
              <w:rPr>
                <w:sz w:val="24"/>
                <w:szCs w:val="24"/>
              </w:rPr>
            </w:pPr>
            <w:bookmarkStart w:name="Burden_per_Response_(hours)" w:id="98"/>
            <w:bookmarkEnd w:id="98"/>
            <w:r w:rsidRPr="00E133D3">
              <w:rPr>
                <w:sz w:val="24"/>
                <w:szCs w:val="24"/>
              </w:rPr>
              <w:t>Total Burden Costs (Per Respondent)</w:t>
            </w:r>
          </w:p>
        </w:tc>
        <w:tc>
          <w:tcPr>
            <w:tcW w:w="1625" w:type="dxa"/>
          </w:tcPr>
          <w:p w:rsidRPr="00E133D3" w:rsidR="008544E9" w:rsidP="00D861AF" w:rsidRDefault="008544E9" w14:paraId="7FABD1C6" w14:textId="7576BECE">
            <w:pPr>
              <w:pStyle w:val="TableParagraph"/>
              <w:spacing w:line="240" w:lineRule="auto"/>
              <w:ind w:right="30"/>
              <w:rPr>
                <w:sz w:val="24"/>
                <w:szCs w:val="24"/>
              </w:rPr>
            </w:pPr>
            <w:bookmarkStart w:name="Labor" w:id="99"/>
            <w:bookmarkStart w:name="Cost_of" w:id="100"/>
            <w:bookmarkStart w:name="Total_Cost" w:id="101"/>
            <w:bookmarkEnd w:id="99"/>
            <w:bookmarkEnd w:id="100"/>
            <w:bookmarkEnd w:id="101"/>
            <w:r w:rsidRPr="00E133D3">
              <w:rPr>
                <w:sz w:val="24"/>
                <w:szCs w:val="24"/>
              </w:rPr>
              <w:t>Total</w:t>
            </w:r>
            <w:r w:rsidR="00F26DEC">
              <w:rPr>
                <w:sz w:val="24"/>
                <w:szCs w:val="24"/>
              </w:rPr>
              <w:t xml:space="preserve"> </w:t>
            </w:r>
            <w:r w:rsidRPr="00E133D3">
              <w:rPr>
                <w:sz w:val="24"/>
                <w:szCs w:val="24"/>
              </w:rPr>
              <w:t>Burden</w:t>
            </w:r>
          </w:p>
          <w:p w:rsidRPr="00E133D3" w:rsidR="008544E9" w:rsidP="00D861AF" w:rsidRDefault="008544E9" w14:paraId="7D9BA63E" w14:textId="77777777">
            <w:pPr>
              <w:pStyle w:val="TableParagraph"/>
              <w:spacing w:line="240" w:lineRule="auto"/>
              <w:ind w:right="30"/>
              <w:rPr>
                <w:sz w:val="24"/>
                <w:szCs w:val="24"/>
              </w:rPr>
            </w:pPr>
            <w:r w:rsidRPr="00E133D3">
              <w:rPr>
                <w:sz w:val="24"/>
                <w:szCs w:val="24"/>
              </w:rPr>
              <w:t>Costs (All</w:t>
            </w:r>
          </w:p>
          <w:p w:rsidRPr="00E133D3" w:rsidR="008544E9" w:rsidP="00D861AF" w:rsidRDefault="008544E9" w14:paraId="68EC19D2" w14:textId="630C812A">
            <w:pPr>
              <w:pStyle w:val="TableParagraph"/>
              <w:spacing w:line="240" w:lineRule="auto"/>
              <w:ind w:right="30"/>
              <w:rPr>
                <w:sz w:val="24"/>
                <w:szCs w:val="24"/>
              </w:rPr>
            </w:pPr>
            <w:r w:rsidRPr="00E133D3">
              <w:rPr>
                <w:sz w:val="24"/>
                <w:szCs w:val="24"/>
              </w:rPr>
              <w:t>Respondents)</w:t>
            </w:r>
          </w:p>
        </w:tc>
      </w:tr>
      <w:tr w:rsidRPr="00E133D3" w:rsidR="008544E9" w:rsidTr="00F26DEC" w14:paraId="6321C9DF" w14:textId="77777777">
        <w:trPr>
          <w:trHeight w:val="603" w:hRule="exact"/>
          <w:jc w:val="center"/>
        </w:trPr>
        <w:tc>
          <w:tcPr>
            <w:tcW w:w="1980" w:type="dxa"/>
          </w:tcPr>
          <w:p w:rsidRPr="00E133D3" w:rsidR="008544E9" w:rsidP="00AB6B60" w:rsidRDefault="008544E9" w14:paraId="0BB95F32" w14:textId="71C41128">
            <w:pPr>
              <w:ind w:left="90" w:right="30"/>
              <w:rPr>
                <w:sz w:val="24"/>
                <w:szCs w:val="24"/>
              </w:rPr>
            </w:pPr>
            <w:bookmarkStart w:name="§156.115(b)(2)(ii)" w:id="102"/>
            <w:bookmarkEnd w:id="102"/>
            <w:r w:rsidRPr="00E133D3">
              <w:rPr>
                <w:sz w:val="24"/>
                <w:szCs w:val="24"/>
              </w:rPr>
              <w:t>Financial Examiner</w:t>
            </w:r>
          </w:p>
        </w:tc>
        <w:tc>
          <w:tcPr>
            <w:tcW w:w="1350" w:type="dxa"/>
          </w:tcPr>
          <w:p w:rsidRPr="00E133D3" w:rsidR="008544E9" w:rsidP="00D861AF" w:rsidRDefault="008544E9" w14:paraId="6185ABCC" w14:textId="77777777">
            <w:pPr>
              <w:pStyle w:val="TableParagraph"/>
              <w:ind w:left="16" w:right="30"/>
              <w:rPr>
                <w:sz w:val="24"/>
                <w:szCs w:val="24"/>
              </w:rPr>
            </w:pPr>
            <w:r w:rsidRPr="00E133D3">
              <w:rPr>
                <w:sz w:val="24"/>
                <w:szCs w:val="24"/>
              </w:rPr>
              <w:t>5</w:t>
            </w:r>
          </w:p>
        </w:tc>
        <w:tc>
          <w:tcPr>
            <w:tcW w:w="1260" w:type="dxa"/>
          </w:tcPr>
          <w:p w:rsidRPr="00E133D3" w:rsidR="008544E9" w:rsidP="00D861AF" w:rsidRDefault="008544E9" w14:paraId="601C9882" w14:textId="77777777">
            <w:pPr>
              <w:pStyle w:val="TableParagraph"/>
              <w:ind w:left="16" w:right="30"/>
              <w:rPr>
                <w:sz w:val="24"/>
                <w:szCs w:val="24"/>
              </w:rPr>
            </w:pPr>
            <w:r w:rsidRPr="00E133D3">
              <w:rPr>
                <w:sz w:val="24"/>
                <w:szCs w:val="24"/>
              </w:rPr>
              <w:t>5</w:t>
            </w:r>
          </w:p>
        </w:tc>
        <w:tc>
          <w:tcPr>
            <w:tcW w:w="1170" w:type="dxa"/>
          </w:tcPr>
          <w:p w:rsidRPr="00E133D3" w:rsidR="008544E9" w:rsidP="00D861AF" w:rsidRDefault="008544E9" w14:paraId="54616E17" w14:textId="43D897E1">
            <w:pPr>
              <w:pStyle w:val="TableParagraph"/>
              <w:ind w:right="30"/>
              <w:rPr>
                <w:sz w:val="24"/>
                <w:szCs w:val="24"/>
              </w:rPr>
            </w:pPr>
            <w:r w:rsidRPr="00E133D3">
              <w:rPr>
                <w:sz w:val="24"/>
                <w:szCs w:val="24"/>
              </w:rPr>
              <w:t>0.5</w:t>
            </w:r>
          </w:p>
        </w:tc>
        <w:tc>
          <w:tcPr>
            <w:tcW w:w="1350" w:type="dxa"/>
          </w:tcPr>
          <w:p w:rsidRPr="00E133D3" w:rsidR="008544E9" w:rsidP="00D861AF" w:rsidRDefault="008544E9" w14:paraId="4413A68B" w14:textId="09D310C3">
            <w:pPr>
              <w:pStyle w:val="TableParagraph"/>
              <w:ind w:right="30"/>
              <w:rPr>
                <w:sz w:val="24"/>
                <w:szCs w:val="24"/>
              </w:rPr>
            </w:pPr>
            <w:bookmarkStart w:name="0.5" w:id="103"/>
            <w:bookmarkEnd w:id="103"/>
            <w:r w:rsidRPr="00E133D3">
              <w:rPr>
                <w:sz w:val="24"/>
                <w:szCs w:val="24"/>
              </w:rPr>
              <w:t>$35.54</w:t>
            </w:r>
          </w:p>
        </w:tc>
        <w:tc>
          <w:tcPr>
            <w:tcW w:w="1625" w:type="dxa"/>
            <w:shd w:val="clear" w:color="auto" w:fill="auto"/>
          </w:tcPr>
          <w:p w:rsidRPr="00E133D3" w:rsidR="008544E9" w:rsidP="00D861AF" w:rsidRDefault="008544E9" w14:paraId="42877F0C" w14:textId="0136CB9B">
            <w:pPr>
              <w:pStyle w:val="TableParagraph"/>
              <w:ind w:right="30"/>
              <w:rPr>
                <w:sz w:val="24"/>
                <w:szCs w:val="24"/>
              </w:rPr>
            </w:pPr>
            <w:r w:rsidRPr="00E133D3">
              <w:rPr>
                <w:sz w:val="24"/>
                <w:szCs w:val="24"/>
              </w:rPr>
              <w:t>$177.70</w:t>
            </w:r>
          </w:p>
        </w:tc>
      </w:tr>
      <w:tr w:rsidRPr="00E133D3" w:rsidR="008544E9" w:rsidTr="00C56348" w14:paraId="544BF832" w14:textId="77777777">
        <w:trPr>
          <w:trHeight w:val="531" w:hRule="exact"/>
          <w:jc w:val="center"/>
        </w:trPr>
        <w:tc>
          <w:tcPr>
            <w:tcW w:w="1980" w:type="dxa"/>
          </w:tcPr>
          <w:p w:rsidRPr="00E133D3" w:rsidR="008544E9" w:rsidP="00AB6B60" w:rsidRDefault="008544E9" w14:paraId="224A5A0A" w14:textId="2E2DA6B7">
            <w:pPr>
              <w:pStyle w:val="TableParagraph"/>
              <w:ind w:left="90" w:right="30"/>
              <w:jc w:val="left"/>
              <w:rPr>
                <w:sz w:val="24"/>
                <w:szCs w:val="24"/>
              </w:rPr>
            </w:pPr>
            <w:bookmarkStart w:name="Totals" w:id="104"/>
            <w:bookmarkEnd w:id="104"/>
            <w:r w:rsidRPr="00E133D3">
              <w:rPr>
                <w:sz w:val="24"/>
                <w:szCs w:val="24"/>
              </w:rPr>
              <w:t>Total - Annual</w:t>
            </w:r>
          </w:p>
        </w:tc>
        <w:tc>
          <w:tcPr>
            <w:tcW w:w="1350" w:type="dxa"/>
          </w:tcPr>
          <w:p w:rsidRPr="00E133D3" w:rsidR="008544E9" w:rsidP="00D861AF" w:rsidRDefault="008544E9" w14:paraId="196CE5EF" w14:textId="77777777">
            <w:pPr>
              <w:pStyle w:val="TableParagraph"/>
              <w:ind w:left="16" w:right="30"/>
              <w:rPr>
                <w:sz w:val="24"/>
                <w:szCs w:val="24"/>
              </w:rPr>
            </w:pPr>
            <w:r w:rsidRPr="00E133D3">
              <w:rPr>
                <w:sz w:val="24"/>
                <w:szCs w:val="24"/>
              </w:rPr>
              <w:t>5</w:t>
            </w:r>
          </w:p>
        </w:tc>
        <w:tc>
          <w:tcPr>
            <w:tcW w:w="1260" w:type="dxa"/>
          </w:tcPr>
          <w:p w:rsidRPr="00E133D3" w:rsidR="008544E9" w:rsidP="00D861AF" w:rsidRDefault="008544E9" w14:paraId="01BDD36D" w14:textId="77777777">
            <w:pPr>
              <w:pStyle w:val="TableParagraph"/>
              <w:ind w:left="16" w:right="30"/>
              <w:rPr>
                <w:sz w:val="24"/>
                <w:szCs w:val="24"/>
              </w:rPr>
            </w:pPr>
            <w:bookmarkStart w:name="5" w:id="105"/>
            <w:bookmarkEnd w:id="105"/>
            <w:r w:rsidRPr="00E133D3">
              <w:rPr>
                <w:sz w:val="24"/>
                <w:szCs w:val="24"/>
              </w:rPr>
              <w:t>5</w:t>
            </w:r>
          </w:p>
        </w:tc>
        <w:tc>
          <w:tcPr>
            <w:tcW w:w="1170" w:type="dxa"/>
          </w:tcPr>
          <w:p w:rsidRPr="00E133D3" w:rsidR="008544E9" w:rsidP="00D861AF" w:rsidRDefault="008544E9" w14:paraId="1B1A340E" w14:textId="674773C5">
            <w:pPr>
              <w:pStyle w:val="TableParagraph"/>
              <w:ind w:right="30"/>
              <w:rPr>
                <w:sz w:val="24"/>
                <w:szCs w:val="24"/>
              </w:rPr>
            </w:pPr>
            <w:r w:rsidRPr="00E133D3">
              <w:rPr>
                <w:sz w:val="24"/>
                <w:szCs w:val="24"/>
              </w:rPr>
              <w:t>2.5</w:t>
            </w:r>
          </w:p>
        </w:tc>
        <w:tc>
          <w:tcPr>
            <w:tcW w:w="1350" w:type="dxa"/>
          </w:tcPr>
          <w:p w:rsidRPr="00E133D3" w:rsidR="008544E9" w:rsidP="00D861AF" w:rsidRDefault="008544E9" w14:paraId="6A64A8A7" w14:textId="2861972B">
            <w:pPr>
              <w:pStyle w:val="TableParagraph"/>
              <w:ind w:right="30"/>
              <w:rPr>
                <w:sz w:val="24"/>
                <w:szCs w:val="24"/>
              </w:rPr>
            </w:pPr>
            <w:bookmarkStart w:name="2.5" w:id="106"/>
            <w:bookmarkEnd w:id="106"/>
            <w:r w:rsidRPr="00E133D3">
              <w:rPr>
                <w:sz w:val="24"/>
                <w:szCs w:val="24"/>
              </w:rPr>
              <w:t>$35.54</w:t>
            </w:r>
          </w:p>
        </w:tc>
        <w:tc>
          <w:tcPr>
            <w:tcW w:w="1625" w:type="dxa"/>
            <w:shd w:val="clear" w:color="auto" w:fill="auto"/>
          </w:tcPr>
          <w:p w:rsidRPr="00E133D3" w:rsidR="008544E9" w:rsidP="00D861AF" w:rsidRDefault="008544E9" w14:paraId="4CD2F69E" w14:textId="42F1260C">
            <w:pPr>
              <w:pStyle w:val="TableParagraph"/>
              <w:ind w:right="30"/>
              <w:rPr>
                <w:sz w:val="24"/>
                <w:szCs w:val="24"/>
              </w:rPr>
            </w:pPr>
            <w:bookmarkStart w:name="$165.10" w:id="107"/>
            <w:bookmarkEnd w:id="107"/>
            <w:r w:rsidRPr="00E133D3">
              <w:rPr>
                <w:sz w:val="24"/>
                <w:szCs w:val="24"/>
              </w:rPr>
              <w:t>$177.70</w:t>
            </w:r>
          </w:p>
        </w:tc>
      </w:tr>
      <w:tr w:rsidRPr="00E133D3" w:rsidR="008544E9" w:rsidTr="00F26DEC" w14:paraId="3E57300A" w14:textId="77777777">
        <w:trPr>
          <w:trHeight w:val="603" w:hRule="exact"/>
          <w:jc w:val="center"/>
        </w:trPr>
        <w:tc>
          <w:tcPr>
            <w:tcW w:w="1980" w:type="dxa"/>
          </w:tcPr>
          <w:p w:rsidR="00AB6B60" w:rsidP="00AB6B60" w:rsidRDefault="008544E9" w14:paraId="6E05A8FD" w14:textId="77777777">
            <w:pPr>
              <w:pStyle w:val="TableParagraph"/>
              <w:ind w:left="90" w:right="30"/>
              <w:jc w:val="left"/>
              <w:rPr>
                <w:sz w:val="24"/>
                <w:szCs w:val="24"/>
              </w:rPr>
            </w:pPr>
            <w:r w:rsidRPr="00E133D3">
              <w:rPr>
                <w:sz w:val="24"/>
                <w:szCs w:val="24"/>
              </w:rPr>
              <w:t xml:space="preserve">Total – </w:t>
            </w:r>
          </w:p>
          <w:p w:rsidRPr="00E133D3" w:rsidR="008544E9" w:rsidP="00AB6B60" w:rsidRDefault="008544E9" w14:paraId="3FE62E10" w14:textId="71A1FA21">
            <w:pPr>
              <w:pStyle w:val="TableParagraph"/>
              <w:ind w:left="90" w:right="30"/>
              <w:jc w:val="left"/>
              <w:rPr>
                <w:sz w:val="24"/>
                <w:szCs w:val="24"/>
              </w:rPr>
            </w:pPr>
            <w:r w:rsidRPr="00E133D3">
              <w:rPr>
                <w:sz w:val="24"/>
                <w:szCs w:val="24"/>
              </w:rPr>
              <w:t>Three Years</w:t>
            </w:r>
          </w:p>
        </w:tc>
        <w:tc>
          <w:tcPr>
            <w:tcW w:w="1350" w:type="dxa"/>
          </w:tcPr>
          <w:p w:rsidRPr="00E133D3" w:rsidR="008544E9" w:rsidP="00D861AF" w:rsidRDefault="008544E9" w14:paraId="7C81E7A3" w14:textId="66DAEF24">
            <w:pPr>
              <w:pStyle w:val="TableParagraph"/>
              <w:ind w:left="16" w:right="30"/>
              <w:rPr>
                <w:sz w:val="24"/>
                <w:szCs w:val="24"/>
              </w:rPr>
            </w:pPr>
          </w:p>
        </w:tc>
        <w:tc>
          <w:tcPr>
            <w:tcW w:w="1260" w:type="dxa"/>
          </w:tcPr>
          <w:p w:rsidRPr="00E133D3" w:rsidR="008544E9" w:rsidP="00D861AF" w:rsidRDefault="008544E9" w14:paraId="1EA05187" w14:textId="77777777">
            <w:pPr>
              <w:pStyle w:val="TableParagraph"/>
              <w:ind w:left="16" w:right="30"/>
              <w:rPr>
                <w:sz w:val="24"/>
                <w:szCs w:val="24"/>
              </w:rPr>
            </w:pPr>
          </w:p>
        </w:tc>
        <w:tc>
          <w:tcPr>
            <w:tcW w:w="1170" w:type="dxa"/>
          </w:tcPr>
          <w:p w:rsidRPr="00E133D3" w:rsidR="008544E9" w:rsidP="00D861AF" w:rsidRDefault="008544E9" w14:paraId="308AC9D1" w14:textId="41188EEE">
            <w:pPr>
              <w:pStyle w:val="TableParagraph"/>
              <w:ind w:right="30"/>
              <w:rPr>
                <w:sz w:val="24"/>
                <w:szCs w:val="24"/>
              </w:rPr>
            </w:pPr>
            <w:r w:rsidRPr="00E133D3">
              <w:rPr>
                <w:sz w:val="24"/>
                <w:szCs w:val="24"/>
              </w:rPr>
              <w:t>7.5</w:t>
            </w:r>
          </w:p>
        </w:tc>
        <w:tc>
          <w:tcPr>
            <w:tcW w:w="1350" w:type="dxa"/>
          </w:tcPr>
          <w:p w:rsidRPr="00E133D3" w:rsidR="008544E9" w:rsidDel="008E4083" w:rsidP="00D861AF" w:rsidRDefault="008544E9" w14:paraId="576D24ED" w14:textId="5D52DBD4">
            <w:pPr>
              <w:pStyle w:val="TableParagraph"/>
              <w:ind w:right="30"/>
              <w:rPr>
                <w:sz w:val="24"/>
                <w:szCs w:val="24"/>
              </w:rPr>
            </w:pPr>
            <w:r w:rsidRPr="00E133D3">
              <w:rPr>
                <w:sz w:val="24"/>
                <w:szCs w:val="24"/>
              </w:rPr>
              <w:t>$106.62</w:t>
            </w:r>
          </w:p>
        </w:tc>
        <w:tc>
          <w:tcPr>
            <w:tcW w:w="1625" w:type="dxa"/>
            <w:shd w:val="clear" w:color="auto" w:fill="auto"/>
          </w:tcPr>
          <w:p w:rsidRPr="00E133D3" w:rsidR="008544E9" w:rsidP="00D861AF" w:rsidRDefault="008544E9" w14:paraId="112E7550" w14:textId="7061C237">
            <w:pPr>
              <w:pStyle w:val="TableParagraph"/>
              <w:ind w:right="30"/>
              <w:rPr>
                <w:sz w:val="24"/>
                <w:szCs w:val="24"/>
                <w:highlight w:val="yellow"/>
              </w:rPr>
            </w:pPr>
            <w:r w:rsidRPr="00E133D3">
              <w:rPr>
                <w:sz w:val="24"/>
                <w:szCs w:val="24"/>
              </w:rPr>
              <w:t>$533.10</w:t>
            </w:r>
          </w:p>
        </w:tc>
      </w:tr>
    </w:tbl>
    <w:p w:rsidR="005600BB" w:rsidP="00CA1687" w:rsidRDefault="005600BB" w14:paraId="224ECB8D" w14:textId="6F1226E4">
      <w:pPr>
        <w:pStyle w:val="BodyText"/>
        <w:spacing w:before="11"/>
        <w:ind w:right="30"/>
        <w:rPr>
          <w:sz w:val="25"/>
        </w:rPr>
      </w:pPr>
    </w:p>
    <w:p w:rsidRPr="009F3A02" w:rsidR="00C93E4E" w:rsidP="00CA1687" w:rsidRDefault="00C93E4E" w14:paraId="6F314D0D" w14:textId="77777777">
      <w:pPr>
        <w:pStyle w:val="BodyText"/>
        <w:spacing w:line="276" w:lineRule="exact"/>
        <w:ind w:right="30"/>
      </w:pPr>
      <w:r>
        <w:rPr>
          <w:b/>
        </w:rPr>
        <w:t>Annual Reporting of State Mandates</w:t>
      </w:r>
    </w:p>
    <w:p w:rsidRPr="00F01FE5" w:rsidR="00F01FE5" w:rsidP="00CA1687" w:rsidRDefault="00F01FE5" w14:paraId="2384CCB5" w14:textId="2CF1AC88">
      <w:pPr>
        <w:ind w:right="30"/>
        <w:rPr>
          <w:sz w:val="24"/>
          <w:szCs w:val="24"/>
        </w:rPr>
      </w:pPr>
      <w:r w:rsidRPr="00F01FE5">
        <w:rPr>
          <w:sz w:val="24"/>
          <w:szCs w:val="24"/>
        </w:rPr>
        <w:t xml:space="preserve">To derive wage estimates, we generally used data from the Bureau of Labor Statistics to derive average labor costs (including a 100 percent increase for fringe benefits and overhead) for estimating the burden associated with the ICRs. </w:t>
      </w:r>
      <w:r>
        <w:rPr>
          <w:sz w:val="24"/>
          <w:szCs w:val="24"/>
        </w:rPr>
        <w:t>E</w:t>
      </w:r>
      <w:r w:rsidRPr="00F01FE5">
        <w:rPr>
          <w:sz w:val="24"/>
          <w:szCs w:val="24"/>
        </w:rPr>
        <w:t xml:space="preserve">mployee hourly wage estimates have been adjusted by a factor of 100 percent. </w:t>
      </w:r>
    </w:p>
    <w:p w:rsidR="00F01FE5" w:rsidP="00CA1687" w:rsidRDefault="00F01FE5" w14:paraId="711BB33E" w14:textId="7A89E17C">
      <w:pPr>
        <w:pStyle w:val="BodyText"/>
        <w:spacing w:before="11"/>
        <w:ind w:right="30"/>
      </w:pPr>
    </w:p>
    <w:p w:rsidR="0071755C" w:rsidP="00CA1687" w:rsidRDefault="0071755C" w14:paraId="15092931" w14:textId="50A01201">
      <w:pPr>
        <w:pStyle w:val="BodyText"/>
        <w:spacing w:before="11"/>
        <w:ind w:right="30"/>
      </w:pPr>
      <w:r w:rsidRPr="0071755C">
        <w:t xml:space="preserve">We anticipate that the majority of states would choose to annually notify HHS under this policy, as states are already required under §155.170 to identify which state-required benefits are in addition to EHB and to defray the cost of QHP coverage of those benefits. Because we believe the information we are </w:t>
      </w:r>
      <w:r w:rsidR="00F74B4B">
        <w:t>requiring</w:t>
      </w:r>
      <w:r w:rsidRPr="0071755C">
        <w:t xml:space="preserve"> states</w:t>
      </w:r>
      <w:r w:rsidR="00F74B4B">
        <w:t xml:space="preserve"> to</w:t>
      </w:r>
      <w:r w:rsidRPr="0071755C">
        <w:t xml:space="preserve"> report to HHS as part of this annual reporting should already be readily </w:t>
      </w:r>
      <w:r w:rsidR="006D521C">
        <w:t>a</w:t>
      </w:r>
      <w:r w:rsidRPr="0071755C">
        <w:t>ccessible to states, we estimate that approximately ten states would not report and the remaining states would annually report to HHS by the annual reporting submission deadline. Therefore, we estimate that approximately forty-one (41) states would respond to the information collection requirements associated with these proposals.</w:t>
      </w:r>
    </w:p>
    <w:p w:rsidRPr="0071755C" w:rsidR="0071755C" w:rsidP="00CA1687" w:rsidRDefault="0071755C" w14:paraId="56972127" w14:textId="77777777">
      <w:pPr>
        <w:pStyle w:val="BodyText"/>
        <w:spacing w:before="11"/>
        <w:ind w:right="30"/>
      </w:pPr>
    </w:p>
    <w:p w:rsidRPr="009C2427" w:rsidR="0071755C" w:rsidP="00CA1687" w:rsidRDefault="0071755C" w14:paraId="1B7DED6F" w14:textId="3C9F6809">
      <w:pPr>
        <w:pStyle w:val="BodyText"/>
        <w:spacing w:before="11"/>
        <w:ind w:right="30"/>
      </w:pPr>
      <w:r w:rsidRPr="0071755C">
        <w:t xml:space="preserve">For the first year in which the annual reporting would take place, states </w:t>
      </w:r>
      <w:r w:rsidR="00F74B4B">
        <w:t xml:space="preserve">will </w:t>
      </w:r>
      <w:r w:rsidRPr="0071755C">
        <w:t>be required to include a compre</w:t>
      </w:r>
      <w:r w:rsidRPr="009C2427">
        <w:t xml:space="preserve">hensive list of all state-required benefits applicable to QHPs in the individual and/or small group markets under state mandates that were imposed on or before December 31, 2011, that were still in effect on  December 31, 2011, and those under state mandates that were imposed after December 31, 2011, regardless of whether the state believes such state-required benefits require defrayal in accordance with §155.170. Each annual reporting cycle thereafter, the state </w:t>
      </w:r>
      <w:r w:rsidR="00F74B4B">
        <w:t>will</w:t>
      </w:r>
      <w:r w:rsidRPr="009C2427" w:rsidR="00F74B4B">
        <w:t xml:space="preserve"> </w:t>
      </w:r>
      <w:r w:rsidRPr="009C2427">
        <w:t xml:space="preserve">only need to update the content in its report to add any new state benefit requirements, and to indicate whether state benefit requirements previously reported to HHS have been amended or repealed. Information in states’ initial reports must be accurate as of a day that is at least 60 days prior to the first reporting submission deadline set by HHS.  As such, we estimate that the burden estimates for states in the first year of annual reporting </w:t>
      </w:r>
      <w:r w:rsidR="00F74B4B">
        <w:t>will</w:t>
      </w:r>
      <w:r w:rsidRPr="009C2427" w:rsidR="00F74B4B">
        <w:t xml:space="preserve"> </w:t>
      </w:r>
      <w:r w:rsidRPr="009C2427">
        <w:t xml:space="preserve">be higher than in each subsequent year. </w:t>
      </w:r>
    </w:p>
    <w:p w:rsidRPr="009C2427" w:rsidR="0071755C" w:rsidP="00CA1687" w:rsidRDefault="0071755C" w14:paraId="65F37547" w14:textId="77777777">
      <w:pPr>
        <w:pStyle w:val="BodyText"/>
        <w:spacing w:before="11"/>
        <w:ind w:right="30"/>
      </w:pPr>
    </w:p>
    <w:p w:rsidRPr="009C2427" w:rsidR="0071755C" w:rsidP="00CA1687" w:rsidRDefault="0071755C" w14:paraId="490A6A61" w14:textId="6BFB6FFF">
      <w:pPr>
        <w:pStyle w:val="BodyText"/>
        <w:spacing w:before="11"/>
        <w:ind w:right="30"/>
      </w:pPr>
      <w:r w:rsidRPr="009C2427">
        <w:t xml:space="preserve">Although we estimate a higher burden in the first year of annual reporting of state-required benefits, we also expect states are already identifying which state-required benefits are in addition to EHB and defraying the cost of QHP coverage of those benefits in accordance with §155.170. Because we believe the information we are </w:t>
      </w:r>
      <w:r w:rsidR="00F74B4B">
        <w:t xml:space="preserve">requiring </w:t>
      </w:r>
      <w:r w:rsidRPr="009C2427">
        <w:t xml:space="preserve">states </w:t>
      </w:r>
      <w:r w:rsidR="00F74B4B">
        <w:t xml:space="preserve">to </w:t>
      </w:r>
      <w:r w:rsidRPr="009C2427">
        <w:t xml:space="preserve">report to HHS should be readily accessible to states, we estimate that it would require a legal support worker </w:t>
      </w:r>
      <w:r w:rsidRPr="009C2427" w:rsidR="00CC128C">
        <w:t xml:space="preserve">25 hours (at a rate of $68.68) to pull and review each mandate, </w:t>
      </w:r>
      <w:r w:rsidRPr="009C2427">
        <w:t>transfer this information into the HHS provided template</w:t>
      </w:r>
      <w:r w:rsidRPr="009C2427" w:rsidR="00CC128C">
        <w:t>,</w:t>
      </w:r>
      <w:r w:rsidRPr="009C2427">
        <w:t xml:space="preserve"> and validate the information in the first year of annual reporting. We estimate that it would require a general and operations manager 3 hours (at a rate of $119.12) to then review the completed template and submit it to HHS in the first year of annual reporting. We estimate that it would require a state official 2 hours (at a rate of $192.44) in the first year of annual reporting to review and sign the required document(s) for submission on behalf of the state, to confirm the accuracy of the submission. The information would be submitted to HHS electronically at minimal cost. Therefore, we estimate that the burden for each state to meet this reporting requirement in the first year would be </w:t>
      </w:r>
      <w:r w:rsidRPr="009C2427" w:rsidR="00CA3EBE">
        <w:t>30</w:t>
      </w:r>
      <w:r w:rsidRPr="009C2427">
        <w:t xml:space="preserve"> hours, with an equivalent cost of approximately </w:t>
      </w:r>
      <w:r w:rsidRPr="009C2427" w:rsidR="00CA3EBE">
        <w:t>$2,459</w:t>
      </w:r>
      <w:r w:rsidR="00C36738">
        <w:t>.24</w:t>
      </w:r>
      <w:r w:rsidRPr="009C2427" w:rsidR="00CA3EBE">
        <w:t>,</w:t>
      </w:r>
      <w:r w:rsidRPr="009C2427">
        <w:t xml:space="preserve"> with a total first year burden for all 41 states of </w:t>
      </w:r>
      <w:r w:rsidR="00143EE2">
        <w:t>1,230</w:t>
      </w:r>
      <w:r w:rsidRPr="009C2427" w:rsidR="00CA3EBE">
        <w:t xml:space="preserve"> </w:t>
      </w:r>
      <w:r w:rsidRPr="009C2427">
        <w:t xml:space="preserve">hours and an associated total first year cost of approximately </w:t>
      </w:r>
      <w:r w:rsidRPr="009C2427" w:rsidR="00CA3EBE">
        <w:t>$100,82</w:t>
      </w:r>
      <w:r w:rsidR="00C36738">
        <w:t>8.84</w:t>
      </w:r>
      <w:r w:rsidRPr="009C2427">
        <w:t>.</w:t>
      </w:r>
    </w:p>
    <w:p w:rsidRPr="009C2427" w:rsidR="005A21F4" w:rsidP="00CA1687" w:rsidRDefault="005A21F4" w14:paraId="621D410F" w14:textId="1755BF95">
      <w:pPr>
        <w:pStyle w:val="BodyText"/>
        <w:spacing w:before="11"/>
        <w:ind w:right="30"/>
      </w:pPr>
    </w:p>
    <w:p w:rsidR="00D2486F" w:rsidP="00CA1687" w:rsidRDefault="00D2486F" w14:paraId="56C938FD" w14:textId="77777777">
      <w:pPr>
        <w:pStyle w:val="BodyText"/>
        <w:spacing w:before="11"/>
        <w:ind w:right="30"/>
        <w:rPr>
          <w:b/>
        </w:rPr>
      </w:pPr>
    </w:p>
    <w:p w:rsidR="00D2486F" w:rsidP="00CA1687" w:rsidRDefault="00D2486F" w14:paraId="6FD76C11" w14:textId="77777777">
      <w:pPr>
        <w:pStyle w:val="BodyText"/>
        <w:spacing w:before="11"/>
        <w:ind w:right="30"/>
        <w:rPr>
          <w:b/>
        </w:rPr>
      </w:pPr>
    </w:p>
    <w:p w:rsidR="003D2231" w:rsidP="00CA1687" w:rsidRDefault="003D2231" w14:paraId="48FF93FE" w14:textId="0CDF5BF5">
      <w:pPr>
        <w:pStyle w:val="BodyText"/>
        <w:spacing w:before="11"/>
        <w:ind w:right="30"/>
        <w:rPr>
          <w:b/>
        </w:rPr>
      </w:pPr>
      <w:r w:rsidRPr="00251817">
        <w:rPr>
          <w:b/>
        </w:rPr>
        <w:t xml:space="preserve">Table </w:t>
      </w:r>
      <w:r w:rsidR="008544E9">
        <w:rPr>
          <w:b/>
        </w:rPr>
        <w:t>5</w:t>
      </w:r>
      <w:r w:rsidR="00B27F0A">
        <w:rPr>
          <w:b/>
        </w:rPr>
        <w:t xml:space="preserve">: </w:t>
      </w:r>
      <w:r w:rsidRPr="00251817">
        <w:rPr>
          <w:b/>
        </w:rPr>
        <w:t>Burden in Year 1</w:t>
      </w:r>
      <w:r w:rsidR="00212DDF">
        <w:rPr>
          <w:b/>
        </w:rPr>
        <w:t xml:space="preserve"> for Reporting of State Mandates</w:t>
      </w:r>
    </w:p>
    <w:p w:rsidRPr="009C2427" w:rsidR="00C56348" w:rsidP="00CA1687" w:rsidRDefault="00C56348" w14:paraId="272537A6" w14:textId="77777777">
      <w:pPr>
        <w:pStyle w:val="BodyText"/>
        <w:spacing w:before="11"/>
        <w:ind w:right="30"/>
      </w:pPr>
    </w:p>
    <w:tbl>
      <w:tblPr>
        <w:tblW w:w="91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85"/>
        <w:gridCol w:w="1530"/>
        <w:gridCol w:w="1360"/>
        <w:gridCol w:w="1250"/>
        <w:gridCol w:w="1440"/>
        <w:gridCol w:w="1646"/>
      </w:tblGrid>
      <w:tr w:rsidRPr="00D861AF" w:rsidR="008544E9" w:rsidTr="00D07701" w14:paraId="1F7E1F74" w14:textId="77777777">
        <w:trPr>
          <w:trHeight w:val="909" w:hRule="exact"/>
          <w:jc w:val="center"/>
        </w:trPr>
        <w:tc>
          <w:tcPr>
            <w:tcW w:w="1885" w:type="dxa"/>
          </w:tcPr>
          <w:p w:rsidRPr="00D861AF" w:rsidR="008544E9" w:rsidP="00CA1687" w:rsidRDefault="008544E9" w14:paraId="36D95527" w14:textId="0F38AEBE">
            <w:pPr>
              <w:pStyle w:val="TableParagraph"/>
              <w:spacing w:line="242" w:lineRule="auto"/>
              <w:ind w:left="103" w:right="30"/>
              <w:jc w:val="left"/>
              <w:rPr>
                <w:sz w:val="24"/>
                <w:szCs w:val="24"/>
              </w:rPr>
            </w:pPr>
            <w:r w:rsidRPr="00D861AF">
              <w:rPr>
                <w:sz w:val="24"/>
                <w:szCs w:val="24"/>
              </w:rPr>
              <w:t>Labor Category</w:t>
            </w:r>
          </w:p>
        </w:tc>
        <w:tc>
          <w:tcPr>
            <w:tcW w:w="1530" w:type="dxa"/>
          </w:tcPr>
          <w:p w:rsidRPr="00D861AF" w:rsidR="008544E9" w:rsidP="00D07701" w:rsidRDefault="008544E9" w14:paraId="4AA4818C" w14:textId="3E1585D6">
            <w:pPr>
              <w:pStyle w:val="TableParagraph"/>
              <w:spacing w:line="273" w:lineRule="exact"/>
              <w:ind w:left="127" w:right="93"/>
              <w:rPr>
                <w:sz w:val="24"/>
                <w:szCs w:val="24"/>
              </w:rPr>
            </w:pPr>
            <w:r w:rsidRPr="00D861AF">
              <w:rPr>
                <w:sz w:val="24"/>
                <w:szCs w:val="24"/>
              </w:rPr>
              <w:t>Number of Respondents</w:t>
            </w:r>
          </w:p>
        </w:tc>
        <w:tc>
          <w:tcPr>
            <w:tcW w:w="1360" w:type="dxa"/>
          </w:tcPr>
          <w:p w:rsidRPr="00D861AF" w:rsidR="008544E9" w:rsidP="00D07701" w:rsidRDefault="008544E9" w14:paraId="240AC389" w14:textId="471D2A40">
            <w:pPr>
              <w:pStyle w:val="TableParagraph"/>
              <w:spacing w:line="273" w:lineRule="exact"/>
              <w:ind w:left="141" w:right="93"/>
              <w:rPr>
                <w:sz w:val="24"/>
                <w:szCs w:val="24"/>
              </w:rPr>
            </w:pPr>
            <w:r w:rsidRPr="00D861AF">
              <w:rPr>
                <w:sz w:val="24"/>
                <w:szCs w:val="24"/>
              </w:rPr>
              <w:t>Number of Responses</w:t>
            </w:r>
          </w:p>
        </w:tc>
        <w:tc>
          <w:tcPr>
            <w:tcW w:w="1250" w:type="dxa"/>
          </w:tcPr>
          <w:p w:rsidRPr="00D861AF" w:rsidR="008544E9" w:rsidP="00D07701" w:rsidRDefault="008544E9" w14:paraId="4BFC12EB" w14:textId="740EE2B9">
            <w:pPr>
              <w:pStyle w:val="TableParagraph"/>
              <w:spacing w:line="240" w:lineRule="auto"/>
              <w:ind w:left="119" w:right="93" w:hanging="1"/>
              <w:rPr>
                <w:sz w:val="24"/>
                <w:szCs w:val="24"/>
              </w:rPr>
            </w:pPr>
            <w:r w:rsidRPr="00D861AF">
              <w:rPr>
                <w:sz w:val="24"/>
                <w:szCs w:val="24"/>
              </w:rPr>
              <w:t>Burden Hours per Response</w:t>
            </w:r>
            <w:r w:rsidRPr="00D861AF">
              <w:rPr>
                <w:w w:val="99"/>
                <w:sz w:val="24"/>
                <w:szCs w:val="24"/>
              </w:rPr>
              <w:t xml:space="preserve"> </w:t>
            </w:r>
          </w:p>
        </w:tc>
        <w:tc>
          <w:tcPr>
            <w:tcW w:w="1440" w:type="dxa"/>
          </w:tcPr>
          <w:p w:rsidRPr="00D861AF" w:rsidR="008544E9" w:rsidP="00D07701" w:rsidRDefault="008544E9" w14:paraId="41BBF4E1" w14:textId="0651B46D">
            <w:pPr>
              <w:pStyle w:val="TableParagraph"/>
              <w:spacing w:line="240" w:lineRule="auto"/>
              <w:ind w:right="93"/>
              <w:rPr>
                <w:sz w:val="24"/>
                <w:szCs w:val="24"/>
              </w:rPr>
            </w:pPr>
            <w:r w:rsidRPr="00D861AF">
              <w:rPr>
                <w:sz w:val="24"/>
                <w:szCs w:val="24"/>
              </w:rPr>
              <w:t>Total Burden Costs (Per Respondent)</w:t>
            </w:r>
          </w:p>
        </w:tc>
        <w:tc>
          <w:tcPr>
            <w:tcW w:w="1646" w:type="dxa"/>
          </w:tcPr>
          <w:p w:rsidRPr="00D861AF" w:rsidR="008544E9" w:rsidP="00D07701" w:rsidRDefault="008544E9" w14:paraId="213620E9" w14:textId="75DF2E17">
            <w:pPr>
              <w:pStyle w:val="TableParagraph"/>
              <w:spacing w:line="240" w:lineRule="auto"/>
              <w:ind w:left="525" w:right="93" w:hanging="363"/>
              <w:rPr>
                <w:sz w:val="24"/>
                <w:szCs w:val="24"/>
              </w:rPr>
            </w:pPr>
            <w:r w:rsidRPr="00D861AF">
              <w:rPr>
                <w:sz w:val="24"/>
                <w:szCs w:val="24"/>
              </w:rPr>
              <w:t>Total</w:t>
            </w:r>
            <w:r w:rsidR="00D07701">
              <w:rPr>
                <w:sz w:val="24"/>
                <w:szCs w:val="24"/>
              </w:rPr>
              <w:t xml:space="preserve"> </w:t>
            </w:r>
            <w:r w:rsidRPr="00D861AF">
              <w:rPr>
                <w:sz w:val="24"/>
                <w:szCs w:val="24"/>
              </w:rPr>
              <w:t>Burden</w:t>
            </w:r>
          </w:p>
          <w:p w:rsidRPr="00D861AF" w:rsidR="008544E9" w:rsidP="00D07701" w:rsidRDefault="008544E9" w14:paraId="18C38770" w14:textId="77777777">
            <w:pPr>
              <w:pStyle w:val="TableParagraph"/>
              <w:spacing w:line="240" w:lineRule="auto"/>
              <w:ind w:left="525" w:right="93" w:hanging="363"/>
              <w:rPr>
                <w:sz w:val="24"/>
                <w:szCs w:val="24"/>
              </w:rPr>
            </w:pPr>
            <w:r w:rsidRPr="00D861AF">
              <w:rPr>
                <w:sz w:val="24"/>
                <w:szCs w:val="24"/>
              </w:rPr>
              <w:t>Costs (All</w:t>
            </w:r>
          </w:p>
          <w:p w:rsidRPr="00D861AF" w:rsidR="008544E9" w:rsidP="00D07701" w:rsidRDefault="008544E9" w14:paraId="5BF6A0A7" w14:textId="5597FF1F">
            <w:pPr>
              <w:pStyle w:val="TableParagraph"/>
              <w:spacing w:line="240" w:lineRule="auto"/>
              <w:ind w:left="525" w:right="93" w:hanging="363"/>
              <w:rPr>
                <w:sz w:val="24"/>
                <w:szCs w:val="24"/>
              </w:rPr>
            </w:pPr>
            <w:r w:rsidRPr="00D861AF">
              <w:rPr>
                <w:sz w:val="24"/>
                <w:szCs w:val="24"/>
              </w:rPr>
              <w:t>Respondents)</w:t>
            </w:r>
          </w:p>
        </w:tc>
      </w:tr>
      <w:tr w:rsidRPr="00D861AF" w:rsidR="008544E9" w:rsidTr="00D07701" w14:paraId="08D4B0D1" w14:textId="77777777">
        <w:trPr>
          <w:trHeight w:val="630" w:hRule="exact"/>
          <w:jc w:val="center"/>
        </w:trPr>
        <w:tc>
          <w:tcPr>
            <w:tcW w:w="1885" w:type="dxa"/>
          </w:tcPr>
          <w:p w:rsidRPr="00D861AF" w:rsidR="008544E9" w:rsidP="00CA1687" w:rsidRDefault="008544E9" w14:paraId="45C780AF" w14:textId="6303E5F1">
            <w:pPr>
              <w:pStyle w:val="TableParagraph"/>
              <w:spacing w:line="242" w:lineRule="auto"/>
              <w:ind w:left="103" w:right="30"/>
              <w:jc w:val="left"/>
              <w:rPr>
                <w:sz w:val="24"/>
                <w:szCs w:val="24"/>
              </w:rPr>
            </w:pPr>
            <w:r w:rsidRPr="00D861AF">
              <w:rPr>
                <w:rFonts w:eastAsiaTheme="minorHAnsi"/>
                <w:sz w:val="24"/>
                <w:szCs w:val="24"/>
              </w:rPr>
              <w:t>Chief Executive**</w:t>
            </w:r>
          </w:p>
        </w:tc>
        <w:tc>
          <w:tcPr>
            <w:tcW w:w="1530" w:type="dxa"/>
          </w:tcPr>
          <w:p w:rsidRPr="00D861AF" w:rsidR="008544E9" w:rsidP="00D861AF" w:rsidRDefault="008544E9" w14:paraId="11A0A480" w14:textId="1F891749">
            <w:pPr>
              <w:pStyle w:val="TableParagraph"/>
              <w:spacing w:line="273" w:lineRule="exact"/>
              <w:ind w:left="127" w:right="30"/>
              <w:rPr>
                <w:sz w:val="24"/>
                <w:szCs w:val="24"/>
              </w:rPr>
            </w:pPr>
            <w:r w:rsidRPr="00D861AF">
              <w:rPr>
                <w:sz w:val="24"/>
                <w:szCs w:val="24"/>
              </w:rPr>
              <w:t>41*</w:t>
            </w:r>
          </w:p>
        </w:tc>
        <w:tc>
          <w:tcPr>
            <w:tcW w:w="1360" w:type="dxa"/>
          </w:tcPr>
          <w:p w:rsidRPr="00D861AF" w:rsidR="008544E9" w:rsidP="00D861AF" w:rsidRDefault="008544E9" w14:paraId="5AD37DB1" w14:textId="5A17103E">
            <w:pPr>
              <w:pStyle w:val="TableParagraph"/>
              <w:spacing w:line="273" w:lineRule="exact"/>
              <w:ind w:left="141" w:right="30"/>
              <w:rPr>
                <w:sz w:val="24"/>
                <w:szCs w:val="24"/>
              </w:rPr>
            </w:pPr>
            <w:r w:rsidRPr="00D861AF">
              <w:rPr>
                <w:sz w:val="24"/>
                <w:szCs w:val="24"/>
              </w:rPr>
              <w:t>41</w:t>
            </w:r>
          </w:p>
        </w:tc>
        <w:tc>
          <w:tcPr>
            <w:tcW w:w="1250" w:type="dxa"/>
          </w:tcPr>
          <w:p w:rsidRPr="00D861AF" w:rsidR="008544E9" w:rsidP="00D861AF" w:rsidRDefault="008544E9" w14:paraId="7E89DC2B" w14:textId="79B7A6A3">
            <w:pPr>
              <w:pStyle w:val="TableParagraph"/>
              <w:spacing w:line="240" w:lineRule="auto"/>
              <w:ind w:left="119" w:right="30" w:hanging="1"/>
              <w:rPr>
                <w:sz w:val="24"/>
                <w:szCs w:val="24"/>
              </w:rPr>
            </w:pPr>
            <w:r w:rsidRPr="00D861AF">
              <w:rPr>
                <w:sz w:val="24"/>
                <w:szCs w:val="24"/>
              </w:rPr>
              <w:t>2</w:t>
            </w:r>
          </w:p>
        </w:tc>
        <w:tc>
          <w:tcPr>
            <w:tcW w:w="1440" w:type="dxa"/>
          </w:tcPr>
          <w:p w:rsidRPr="00D861AF" w:rsidR="008544E9" w:rsidP="00D861AF" w:rsidRDefault="008544E9" w14:paraId="4EF42FD4" w14:textId="09094B64">
            <w:pPr>
              <w:pStyle w:val="TableParagraph"/>
              <w:spacing w:line="240" w:lineRule="auto"/>
              <w:ind w:left="525" w:right="30" w:hanging="363"/>
              <w:rPr>
                <w:sz w:val="24"/>
                <w:szCs w:val="24"/>
              </w:rPr>
            </w:pPr>
            <w:r w:rsidRPr="00D861AF">
              <w:rPr>
                <w:sz w:val="24"/>
                <w:szCs w:val="24"/>
              </w:rPr>
              <w:t>$384.88</w:t>
            </w:r>
          </w:p>
        </w:tc>
        <w:tc>
          <w:tcPr>
            <w:tcW w:w="1646" w:type="dxa"/>
          </w:tcPr>
          <w:p w:rsidRPr="00D861AF" w:rsidR="008544E9" w:rsidP="00D861AF" w:rsidRDefault="008544E9" w14:paraId="3265DCCF" w14:textId="414F8616">
            <w:pPr>
              <w:pStyle w:val="TableParagraph"/>
              <w:spacing w:line="240" w:lineRule="auto"/>
              <w:ind w:left="525" w:right="30" w:hanging="363"/>
              <w:rPr>
                <w:sz w:val="24"/>
                <w:szCs w:val="24"/>
              </w:rPr>
            </w:pPr>
            <w:r w:rsidRPr="00D861AF">
              <w:rPr>
                <w:sz w:val="24"/>
                <w:szCs w:val="24"/>
              </w:rPr>
              <w:t>$15,780.08</w:t>
            </w:r>
          </w:p>
        </w:tc>
      </w:tr>
      <w:tr w:rsidRPr="00D861AF" w:rsidR="008544E9" w:rsidTr="00D07701" w14:paraId="22EB436B" w14:textId="77777777">
        <w:trPr>
          <w:trHeight w:val="940" w:hRule="exact"/>
          <w:jc w:val="center"/>
        </w:trPr>
        <w:tc>
          <w:tcPr>
            <w:tcW w:w="1885" w:type="dxa"/>
          </w:tcPr>
          <w:p w:rsidRPr="00D861AF" w:rsidR="008544E9" w:rsidP="00CA1687" w:rsidRDefault="008544E9" w14:paraId="20D39C4D" w14:textId="16F6A770">
            <w:pPr>
              <w:pStyle w:val="TableParagraph"/>
              <w:spacing w:line="242" w:lineRule="auto"/>
              <w:ind w:left="103" w:right="30"/>
              <w:jc w:val="left"/>
              <w:rPr>
                <w:rFonts w:eastAsiaTheme="minorHAnsi"/>
                <w:sz w:val="24"/>
                <w:szCs w:val="24"/>
              </w:rPr>
            </w:pPr>
            <w:r w:rsidRPr="00D861AF">
              <w:rPr>
                <w:rFonts w:eastAsiaTheme="minorHAnsi"/>
                <w:sz w:val="24"/>
                <w:szCs w:val="24"/>
              </w:rPr>
              <w:t>General and Operations Manager</w:t>
            </w:r>
          </w:p>
        </w:tc>
        <w:tc>
          <w:tcPr>
            <w:tcW w:w="1530" w:type="dxa"/>
          </w:tcPr>
          <w:p w:rsidRPr="00D861AF" w:rsidR="008544E9" w:rsidP="00D861AF" w:rsidRDefault="008544E9" w14:paraId="711FE972" w14:textId="694EFEC5">
            <w:pPr>
              <w:pStyle w:val="TableParagraph"/>
              <w:spacing w:line="273" w:lineRule="exact"/>
              <w:ind w:left="127" w:right="30"/>
              <w:rPr>
                <w:sz w:val="24"/>
                <w:szCs w:val="24"/>
              </w:rPr>
            </w:pPr>
            <w:r w:rsidRPr="00D861AF">
              <w:rPr>
                <w:sz w:val="24"/>
                <w:szCs w:val="24"/>
              </w:rPr>
              <w:t>41*</w:t>
            </w:r>
          </w:p>
        </w:tc>
        <w:tc>
          <w:tcPr>
            <w:tcW w:w="1360" w:type="dxa"/>
          </w:tcPr>
          <w:p w:rsidRPr="00D861AF" w:rsidR="008544E9" w:rsidP="00D861AF" w:rsidRDefault="008544E9" w14:paraId="704BB272" w14:textId="6B622B45">
            <w:pPr>
              <w:pStyle w:val="TableParagraph"/>
              <w:spacing w:line="273" w:lineRule="exact"/>
              <w:ind w:left="141" w:right="30"/>
              <w:rPr>
                <w:sz w:val="24"/>
                <w:szCs w:val="24"/>
              </w:rPr>
            </w:pPr>
            <w:r w:rsidRPr="00D861AF">
              <w:rPr>
                <w:sz w:val="24"/>
                <w:szCs w:val="24"/>
              </w:rPr>
              <w:t>41</w:t>
            </w:r>
          </w:p>
        </w:tc>
        <w:tc>
          <w:tcPr>
            <w:tcW w:w="1250" w:type="dxa"/>
          </w:tcPr>
          <w:p w:rsidRPr="00D861AF" w:rsidR="008544E9" w:rsidP="00D861AF" w:rsidRDefault="008544E9" w14:paraId="2309BF52" w14:textId="059775B9">
            <w:pPr>
              <w:pStyle w:val="TableParagraph"/>
              <w:spacing w:line="240" w:lineRule="auto"/>
              <w:ind w:left="119" w:right="30" w:hanging="1"/>
              <w:rPr>
                <w:sz w:val="24"/>
                <w:szCs w:val="24"/>
              </w:rPr>
            </w:pPr>
            <w:r w:rsidRPr="00D861AF">
              <w:rPr>
                <w:sz w:val="24"/>
                <w:szCs w:val="24"/>
              </w:rPr>
              <w:t>3</w:t>
            </w:r>
          </w:p>
        </w:tc>
        <w:tc>
          <w:tcPr>
            <w:tcW w:w="1440" w:type="dxa"/>
          </w:tcPr>
          <w:p w:rsidRPr="00D861AF" w:rsidR="008544E9" w:rsidP="00D861AF" w:rsidRDefault="008544E9" w14:paraId="6DF29F5C" w14:textId="765A2EB1">
            <w:pPr>
              <w:pStyle w:val="TableParagraph"/>
              <w:spacing w:line="240" w:lineRule="auto"/>
              <w:ind w:left="525" w:right="30" w:hanging="363"/>
              <w:rPr>
                <w:sz w:val="24"/>
                <w:szCs w:val="24"/>
              </w:rPr>
            </w:pPr>
            <w:r w:rsidRPr="00D861AF">
              <w:rPr>
                <w:sz w:val="24"/>
                <w:szCs w:val="24"/>
              </w:rPr>
              <w:t>$357.36</w:t>
            </w:r>
          </w:p>
        </w:tc>
        <w:tc>
          <w:tcPr>
            <w:tcW w:w="1646" w:type="dxa"/>
          </w:tcPr>
          <w:p w:rsidRPr="00D861AF" w:rsidR="008544E9" w:rsidP="00D861AF" w:rsidRDefault="008544E9" w14:paraId="5B6092C4" w14:textId="22D7DB53">
            <w:pPr>
              <w:pStyle w:val="TableParagraph"/>
              <w:spacing w:line="240" w:lineRule="auto"/>
              <w:ind w:left="525" w:right="30" w:hanging="363"/>
              <w:rPr>
                <w:sz w:val="24"/>
                <w:szCs w:val="24"/>
              </w:rPr>
            </w:pPr>
            <w:r w:rsidRPr="00D861AF">
              <w:rPr>
                <w:sz w:val="24"/>
                <w:szCs w:val="24"/>
              </w:rPr>
              <w:t>$14,651.76</w:t>
            </w:r>
          </w:p>
        </w:tc>
      </w:tr>
      <w:tr w:rsidRPr="00D861AF" w:rsidR="008544E9" w:rsidTr="00D07701" w14:paraId="72C557A1" w14:textId="77777777">
        <w:trPr>
          <w:trHeight w:val="684" w:hRule="exact"/>
          <w:jc w:val="center"/>
        </w:trPr>
        <w:tc>
          <w:tcPr>
            <w:tcW w:w="1885" w:type="dxa"/>
          </w:tcPr>
          <w:p w:rsidRPr="00D861AF" w:rsidR="008544E9" w:rsidP="00CA1687" w:rsidRDefault="008544E9" w14:paraId="39ECC319" w14:textId="79D4383F">
            <w:pPr>
              <w:pStyle w:val="TableParagraph"/>
              <w:spacing w:line="242" w:lineRule="auto"/>
              <w:ind w:left="103" w:right="30"/>
              <w:jc w:val="left"/>
              <w:rPr>
                <w:rFonts w:eastAsiaTheme="minorHAnsi"/>
                <w:sz w:val="24"/>
                <w:szCs w:val="24"/>
              </w:rPr>
            </w:pPr>
            <w:r w:rsidRPr="00D861AF">
              <w:rPr>
                <w:rFonts w:eastAsiaTheme="minorHAnsi"/>
                <w:sz w:val="24"/>
                <w:szCs w:val="24"/>
              </w:rPr>
              <w:t>Legal Support Worker</w:t>
            </w:r>
          </w:p>
        </w:tc>
        <w:tc>
          <w:tcPr>
            <w:tcW w:w="1530" w:type="dxa"/>
          </w:tcPr>
          <w:p w:rsidRPr="00D861AF" w:rsidR="008544E9" w:rsidP="00D861AF" w:rsidRDefault="008544E9" w14:paraId="4B056103" w14:textId="478AC86B">
            <w:pPr>
              <w:pStyle w:val="TableParagraph"/>
              <w:spacing w:line="273" w:lineRule="exact"/>
              <w:ind w:left="127" w:right="30"/>
              <w:rPr>
                <w:sz w:val="24"/>
                <w:szCs w:val="24"/>
              </w:rPr>
            </w:pPr>
            <w:r w:rsidRPr="00D861AF">
              <w:rPr>
                <w:sz w:val="24"/>
                <w:szCs w:val="24"/>
              </w:rPr>
              <w:t>41*</w:t>
            </w:r>
          </w:p>
        </w:tc>
        <w:tc>
          <w:tcPr>
            <w:tcW w:w="1360" w:type="dxa"/>
          </w:tcPr>
          <w:p w:rsidRPr="00D861AF" w:rsidR="008544E9" w:rsidP="00D861AF" w:rsidRDefault="008544E9" w14:paraId="28677C25" w14:textId="340C1492">
            <w:pPr>
              <w:pStyle w:val="TableParagraph"/>
              <w:spacing w:line="273" w:lineRule="exact"/>
              <w:ind w:left="141" w:right="30"/>
              <w:rPr>
                <w:sz w:val="24"/>
                <w:szCs w:val="24"/>
              </w:rPr>
            </w:pPr>
            <w:r w:rsidRPr="00D861AF">
              <w:rPr>
                <w:sz w:val="24"/>
                <w:szCs w:val="24"/>
              </w:rPr>
              <w:t>41</w:t>
            </w:r>
          </w:p>
        </w:tc>
        <w:tc>
          <w:tcPr>
            <w:tcW w:w="1250" w:type="dxa"/>
          </w:tcPr>
          <w:p w:rsidRPr="00D861AF" w:rsidR="008544E9" w:rsidP="00D861AF" w:rsidRDefault="008544E9" w14:paraId="251258EE" w14:textId="7B212D9C">
            <w:pPr>
              <w:pStyle w:val="TableParagraph"/>
              <w:spacing w:line="240" w:lineRule="auto"/>
              <w:ind w:left="119" w:right="30" w:hanging="1"/>
              <w:rPr>
                <w:sz w:val="24"/>
                <w:szCs w:val="24"/>
              </w:rPr>
            </w:pPr>
            <w:r w:rsidRPr="00D861AF">
              <w:rPr>
                <w:sz w:val="24"/>
                <w:szCs w:val="24"/>
              </w:rPr>
              <w:t>25</w:t>
            </w:r>
          </w:p>
        </w:tc>
        <w:tc>
          <w:tcPr>
            <w:tcW w:w="1440" w:type="dxa"/>
          </w:tcPr>
          <w:p w:rsidRPr="00D861AF" w:rsidR="008544E9" w:rsidP="00D861AF" w:rsidRDefault="008544E9" w14:paraId="7F0B2526" w14:textId="0D7A715A">
            <w:pPr>
              <w:pStyle w:val="TableParagraph"/>
              <w:spacing w:line="240" w:lineRule="auto"/>
              <w:ind w:left="525" w:right="30" w:hanging="363"/>
              <w:rPr>
                <w:sz w:val="24"/>
                <w:szCs w:val="24"/>
              </w:rPr>
            </w:pPr>
            <w:r w:rsidRPr="00D861AF">
              <w:rPr>
                <w:sz w:val="24"/>
                <w:szCs w:val="24"/>
              </w:rPr>
              <w:t>$1,717</w:t>
            </w:r>
          </w:p>
        </w:tc>
        <w:tc>
          <w:tcPr>
            <w:tcW w:w="1646" w:type="dxa"/>
          </w:tcPr>
          <w:p w:rsidRPr="00D861AF" w:rsidR="008544E9" w:rsidP="00D861AF" w:rsidRDefault="008544E9" w14:paraId="067FE01C" w14:textId="6BCA0C87">
            <w:pPr>
              <w:pStyle w:val="TableParagraph"/>
              <w:spacing w:line="240" w:lineRule="auto"/>
              <w:ind w:left="525" w:right="30" w:hanging="363"/>
              <w:rPr>
                <w:sz w:val="24"/>
                <w:szCs w:val="24"/>
              </w:rPr>
            </w:pPr>
            <w:r w:rsidRPr="00D861AF">
              <w:rPr>
                <w:sz w:val="24"/>
                <w:szCs w:val="24"/>
              </w:rPr>
              <w:t>$70,397</w:t>
            </w:r>
          </w:p>
        </w:tc>
      </w:tr>
      <w:tr w:rsidRPr="00D861AF" w:rsidR="008544E9" w:rsidTr="002E511F" w14:paraId="7F21ACB4" w14:textId="77777777">
        <w:trPr>
          <w:trHeight w:val="540" w:hRule="exact"/>
          <w:jc w:val="center"/>
        </w:trPr>
        <w:tc>
          <w:tcPr>
            <w:tcW w:w="1885" w:type="dxa"/>
          </w:tcPr>
          <w:p w:rsidRPr="00D861AF" w:rsidR="008544E9" w:rsidP="006906F4" w:rsidRDefault="008544E9" w14:paraId="1257F697" w14:textId="685156F9">
            <w:pPr>
              <w:pStyle w:val="TableParagraph"/>
              <w:spacing w:line="242" w:lineRule="auto"/>
              <w:ind w:left="103" w:right="30"/>
              <w:jc w:val="left"/>
              <w:rPr>
                <w:rFonts w:eastAsiaTheme="minorHAnsi"/>
                <w:sz w:val="24"/>
                <w:szCs w:val="24"/>
              </w:rPr>
            </w:pPr>
            <w:r w:rsidRPr="00D861AF">
              <w:rPr>
                <w:rFonts w:eastAsiaTheme="minorHAnsi"/>
                <w:sz w:val="24"/>
                <w:szCs w:val="24"/>
              </w:rPr>
              <w:t xml:space="preserve">Total </w:t>
            </w:r>
            <w:r w:rsidR="0049623C">
              <w:rPr>
                <w:rFonts w:eastAsiaTheme="minorHAnsi"/>
                <w:sz w:val="24"/>
                <w:szCs w:val="24"/>
              </w:rPr>
              <w:t>–</w:t>
            </w:r>
            <w:r w:rsidRPr="00D861AF">
              <w:rPr>
                <w:rFonts w:eastAsiaTheme="minorHAnsi"/>
                <w:sz w:val="24"/>
                <w:szCs w:val="24"/>
              </w:rPr>
              <w:t xml:space="preserve"> Annual</w:t>
            </w:r>
          </w:p>
        </w:tc>
        <w:tc>
          <w:tcPr>
            <w:tcW w:w="1530" w:type="dxa"/>
          </w:tcPr>
          <w:p w:rsidRPr="00D861AF" w:rsidR="008544E9" w:rsidP="00D861AF" w:rsidRDefault="008544E9" w14:paraId="539BC6B6" w14:textId="0079C8CD">
            <w:pPr>
              <w:pStyle w:val="TableParagraph"/>
              <w:spacing w:line="273" w:lineRule="exact"/>
              <w:ind w:left="127" w:right="30"/>
              <w:rPr>
                <w:sz w:val="24"/>
                <w:szCs w:val="24"/>
              </w:rPr>
            </w:pPr>
            <w:r w:rsidRPr="00D861AF">
              <w:rPr>
                <w:sz w:val="24"/>
                <w:szCs w:val="24"/>
              </w:rPr>
              <w:t>41*</w:t>
            </w:r>
          </w:p>
        </w:tc>
        <w:tc>
          <w:tcPr>
            <w:tcW w:w="1360" w:type="dxa"/>
          </w:tcPr>
          <w:p w:rsidRPr="00D861AF" w:rsidR="008544E9" w:rsidP="00D861AF" w:rsidRDefault="008544E9" w14:paraId="1A231560" w14:textId="68EBE7CE">
            <w:pPr>
              <w:pStyle w:val="TableParagraph"/>
              <w:spacing w:line="273" w:lineRule="exact"/>
              <w:ind w:left="141" w:right="30"/>
              <w:rPr>
                <w:sz w:val="24"/>
                <w:szCs w:val="24"/>
              </w:rPr>
            </w:pPr>
            <w:r w:rsidRPr="00D861AF">
              <w:rPr>
                <w:sz w:val="24"/>
                <w:szCs w:val="24"/>
              </w:rPr>
              <w:t>41</w:t>
            </w:r>
          </w:p>
        </w:tc>
        <w:tc>
          <w:tcPr>
            <w:tcW w:w="1250" w:type="dxa"/>
          </w:tcPr>
          <w:p w:rsidRPr="00D861AF" w:rsidR="008544E9" w:rsidP="00D861AF" w:rsidRDefault="008544E9" w14:paraId="4EF7D4DF" w14:textId="1C0B8F18">
            <w:pPr>
              <w:pStyle w:val="TableParagraph"/>
              <w:spacing w:line="240" w:lineRule="auto"/>
              <w:ind w:left="119" w:right="30" w:hanging="1"/>
              <w:rPr>
                <w:sz w:val="24"/>
                <w:szCs w:val="24"/>
              </w:rPr>
            </w:pPr>
            <w:r w:rsidRPr="00D861AF">
              <w:rPr>
                <w:sz w:val="24"/>
                <w:szCs w:val="24"/>
              </w:rPr>
              <w:t>30</w:t>
            </w:r>
          </w:p>
        </w:tc>
        <w:tc>
          <w:tcPr>
            <w:tcW w:w="1440" w:type="dxa"/>
          </w:tcPr>
          <w:p w:rsidRPr="00D861AF" w:rsidR="008544E9" w:rsidP="00D861AF" w:rsidRDefault="008544E9" w14:paraId="4E79DCD9" w14:textId="2EF34271">
            <w:pPr>
              <w:pStyle w:val="TableParagraph"/>
              <w:spacing w:line="240" w:lineRule="auto"/>
              <w:ind w:left="525" w:right="30" w:hanging="363"/>
              <w:rPr>
                <w:sz w:val="24"/>
                <w:szCs w:val="24"/>
              </w:rPr>
            </w:pPr>
            <w:r w:rsidRPr="00D861AF">
              <w:rPr>
                <w:sz w:val="24"/>
                <w:szCs w:val="24"/>
              </w:rPr>
              <w:t>$2,459.24</w:t>
            </w:r>
          </w:p>
        </w:tc>
        <w:tc>
          <w:tcPr>
            <w:tcW w:w="1646" w:type="dxa"/>
          </w:tcPr>
          <w:p w:rsidRPr="00D861AF" w:rsidR="008544E9" w:rsidP="00D861AF" w:rsidRDefault="008544E9" w14:paraId="52E3903F" w14:textId="4548A6A5">
            <w:pPr>
              <w:pStyle w:val="TableParagraph"/>
              <w:spacing w:line="240" w:lineRule="auto"/>
              <w:ind w:left="525" w:right="30" w:hanging="363"/>
              <w:rPr>
                <w:sz w:val="24"/>
                <w:szCs w:val="24"/>
              </w:rPr>
            </w:pPr>
            <w:r w:rsidRPr="00D861AF">
              <w:rPr>
                <w:sz w:val="24"/>
                <w:szCs w:val="24"/>
              </w:rPr>
              <w:t>$100,828.84</w:t>
            </w:r>
          </w:p>
        </w:tc>
      </w:tr>
    </w:tbl>
    <w:p w:rsidRPr="009C2427" w:rsidR="003D2231" w:rsidP="00CA1687" w:rsidRDefault="003D2231" w14:paraId="15E88FC7" w14:textId="1BFF3D8A">
      <w:pPr>
        <w:pStyle w:val="Body"/>
        <w:spacing w:after="0"/>
        <w:ind w:right="30"/>
        <w:rPr>
          <w:rFonts w:eastAsia="Calibri"/>
        </w:rPr>
      </w:pPr>
      <w:r w:rsidRPr="009C2427">
        <w:rPr>
          <w:rFonts w:eastAsia="Calibri"/>
        </w:rPr>
        <w:t>* Denote the same entities. For purposes of calculating the total, value is used only once.</w:t>
      </w:r>
    </w:p>
    <w:p w:rsidRPr="009C2427" w:rsidR="003D2231" w:rsidP="00CA1687" w:rsidRDefault="003D2231" w14:paraId="51F1C33A" w14:textId="60F5DEAF">
      <w:pPr>
        <w:pStyle w:val="Body"/>
        <w:spacing w:after="0"/>
        <w:ind w:right="30"/>
        <w:rPr>
          <w:rFonts w:eastAsia="Calibri"/>
        </w:rPr>
      </w:pPr>
      <w:r w:rsidRPr="009C2427">
        <w:rPr>
          <w:rFonts w:eastAsia="Calibri"/>
        </w:rPr>
        <w:t xml:space="preserve">**Chief executive wage is used to estimate the state official wages. </w:t>
      </w:r>
    </w:p>
    <w:p w:rsidRPr="009C2427" w:rsidR="0071755C" w:rsidP="00CA1687" w:rsidRDefault="0071755C" w14:paraId="490A293E" w14:textId="77777777">
      <w:pPr>
        <w:pStyle w:val="BodyText"/>
        <w:spacing w:before="11"/>
        <w:ind w:right="30"/>
      </w:pPr>
    </w:p>
    <w:p w:rsidR="009D0D59" w:rsidP="00CA1687" w:rsidRDefault="0071755C" w14:paraId="1200945E" w14:textId="1C12BD63">
      <w:pPr>
        <w:pStyle w:val="BodyText"/>
        <w:spacing w:before="11"/>
        <w:ind w:right="30"/>
      </w:pPr>
      <w:r w:rsidRPr="009C2427">
        <w:t>Because the first year of annual reporting is intended to set the baseline list of state-required benefits which states</w:t>
      </w:r>
      <w:r w:rsidR="00485CCF">
        <w:t xml:space="preserve"> will</w:t>
      </w:r>
      <w:r w:rsidRPr="009C2427">
        <w:t xml:space="preserve"> update as necessary in future annual reporting cycles, we believe the burden associated with each annual reporting thereafter would be lower than the first year. We estimate that for each annual reporting cycle after the first year it </w:t>
      </w:r>
      <w:r w:rsidR="00485CCF">
        <w:t>will</w:t>
      </w:r>
      <w:r w:rsidRPr="009C2427" w:rsidR="00485CCF">
        <w:t xml:space="preserve"> </w:t>
      </w:r>
      <w:r w:rsidRPr="009C2427">
        <w:t>require a legal support worker 10 hours (at a rate of $68.68) to transfer the information about state-required</w:t>
      </w:r>
      <w:r w:rsidRPr="0071755C">
        <w:t xml:space="preserve"> benefits into the HHS provided template and validate the information. We estimate that it </w:t>
      </w:r>
      <w:r w:rsidR="00485CCF">
        <w:t>will</w:t>
      </w:r>
      <w:r w:rsidRPr="0071755C" w:rsidR="00485CCF">
        <w:t xml:space="preserve"> </w:t>
      </w:r>
      <w:r w:rsidRPr="0071755C">
        <w:t xml:space="preserve">require a general and operations manager 2 hours (at a rate of $119.12) to review the completed template and submit it to HHS each year after the first annual reporting. We estimate that it </w:t>
      </w:r>
      <w:r w:rsidR="00485CCF">
        <w:t>will</w:t>
      </w:r>
      <w:r w:rsidRPr="009C2427" w:rsidR="00485CCF">
        <w:t xml:space="preserve"> </w:t>
      </w:r>
      <w:r w:rsidRPr="009C2427">
        <w:t xml:space="preserve">require a state official 1 hour (at a rate of $192.44) to review and sign the required document(s) for submission on behalf of the state, to confirm the accuracy of the submission. Therefore, we estimate that the burden for each state to meet the annual reporting requirement each year after the first year of annual reporting </w:t>
      </w:r>
      <w:r w:rsidR="00485CCF">
        <w:t>will</w:t>
      </w:r>
      <w:r w:rsidRPr="009C2427" w:rsidR="00485CCF">
        <w:t xml:space="preserve"> </w:t>
      </w:r>
      <w:r w:rsidRPr="009C2427">
        <w:t>be 13 hours with an equivalent cost of approximately $1,117</w:t>
      </w:r>
      <w:r w:rsidR="00C36738">
        <w:t>.48</w:t>
      </w:r>
      <w:r w:rsidRPr="009C2427">
        <w:t>, with a total annual burden for all 41 states of 533 hours and an associated total annual cost of approximately $45,81</w:t>
      </w:r>
      <w:r w:rsidR="00C36738">
        <w:t>6.68</w:t>
      </w:r>
      <w:r w:rsidRPr="009C2427">
        <w:t xml:space="preserve">. The burden </w:t>
      </w:r>
      <w:r w:rsidRPr="009C2427" w:rsidR="00105E5D">
        <w:t xml:space="preserve">for all states </w:t>
      </w:r>
      <w:r w:rsidRPr="009C2427">
        <w:t xml:space="preserve">over 3 years </w:t>
      </w:r>
      <w:r w:rsidR="00485CCF">
        <w:t>will</w:t>
      </w:r>
      <w:r w:rsidRPr="009C2427" w:rsidR="00485CCF">
        <w:t xml:space="preserve"> </w:t>
      </w:r>
      <w:r w:rsidRPr="009C2427">
        <w:t xml:space="preserve">be approximately </w:t>
      </w:r>
      <w:r w:rsidR="00DD5521">
        <w:t>2,296</w:t>
      </w:r>
      <w:r w:rsidRPr="009C2427">
        <w:t xml:space="preserve"> hours with an equivalent </w:t>
      </w:r>
      <w:r w:rsidRPr="009C2427" w:rsidR="00105E5D">
        <w:t xml:space="preserve">three-year </w:t>
      </w:r>
      <w:r w:rsidRPr="009C2427">
        <w:t>cost of approximately $</w:t>
      </w:r>
      <w:r w:rsidRPr="009C2427" w:rsidR="00105E5D">
        <w:t>192,46</w:t>
      </w:r>
      <w:r w:rsidR="00C36738">
        <w:t>2.20</w:t>
      </w:r>
      <w:r w:rsidRPr="009C2427">
        <w:t>.</w:t>
      </w:r>
    </w:p>
    <w:p w:rsidR="006906F4" w:rsidP="00CA1687" w:rsidRDefault="006906F4" w14:paraId="63DC26AA" w14:textId="77777777">
      <w:pPr>
        <w:pStyle w:val="BodyText"/>
        <w:spacing w:before="11"/>
        <w:ind w:right="30"/>
        <w:rPr>
          <w:b/>
        </w:rPr>
      </w:pPr>
    </w:p>
    <w:p w:rsidR="009D0D59" w:rsidP="00CA1687" w:rsidRDefault="009D0D59" w14:paraId="68DB2478" w14:textId="59A9D84F">
      <w:pPr>
        <w:pStyle w:val="BodyText"/>
        <w:spacing w:before="11"/>
        <w:ind w:right="30"/>
      </w:pPr>
      <w:r w:rsidRPr="00251817">
        <w:rPr>
          <w:b/>
        </w:rPr>
        <w:t xml:space="preserve">Table </w:t>
      </w:r>
      <w:r w:rsidR="008544E9">
        <w:rPr>
          <w:b/>
        </w:rPr>
        <w:t>6</w:t>
      </w:r>
      <w:r w:rsidR="00B27F0A">
        <w:rPr>
          <w:b/>
        </w:rPr>
        <w:t>:</w:t>
      </w:r>
      <w:r w:rsidRPr="00251817">
        <w:rPr>
          <w:b/>
        </w:rPr>
        <w:t xml:space="preserve"> Burden in Year 2 and After</w:t>
      </w:r>
      <w:r w:rsidRPr="00251817" w:rsidR="00212DDF">
        <w:rPr>
          <w:b/>
        </w:rPr>
        <w:t xml:space="preserve"> </w:t>
      </w:r>
      <w:r w:rsidRPr="00903720" w:rsidR="00212DDF">
        <w:rPr>
          <w:b/>
        </w:rPr>
        <w:t>for Reporting of St</w:t>
      </w:r>
      <w:r w:rsidRPr="00212DDF" w:rsidR="00212DDF">
        <w:rPr>
          <w:b/>
        </w:rPr>
        <w:t>ate Mandates</w:t>
      </w:r>
    </w:p>
    <w:p w:rsidR="009D0D59" w:rsidP="00CA1687" w:rsidRDefault="009D0D59" w14:paraId="3A12FE1D" w14:textId="77777777">
      <w:pPr>
        <w:pStyle w:val="BodyText"/>
        <w:spacing w:before="11"/>
        <w:ind w:right="30"/>
      </w:pPr>
    </w:p>
    <w:tbl>
      <w:tblPr>
        <w:tblW w:w="92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97"/>
        <w:gridCol w:w="1408"/>
        <w:gridCol w:w="1440"/>
        <w:gridCol w:w="1275"/>
        <w:gridCol w:w="1469"/>
        <w:gridCol w:w="1469"/>
      </w:tblGrid>
      <w:tr w:rsidRPr="00D861AF" w:rsidR="008544E9" w:rsidTr="00652D1E" w14:paraId="45A6DB4E" w14:textId="77777777">
        <w:trPr>
          <w:trHeight w:val="882" w:hRule="exact"/>
          <w:jc w:val="center"/>
        </w:trPr>
        <w:tc>
          <w:tcPr>
            <w:tcW w:w="2197" w:type="dxa"/>
          </w:tcPr>
          <w:p w:rsidRPr="00D861AF" w:rsidR="008544E9" w:rsidP="00CA1687" w:rsidRDefault="008544E9" w14:paraId="05AB754E" w14:textId="16E33E34">
            <w:pPr>
              <w:pStyle w:val="TableParagraph"/>
              <w:spacing w:line="242" w:lineRule="auto"/>
              <w:ind w:left="103" w:right="30"/>
              <w:jc w:val="left"/>
              <w:rPr>
                <w:sz w:val="24"/>
                <w:szCs w:val="24"/>
              </w:rPr>
            </w:pPr>
            <w:r w:rsidRPr="00D861AF">
              <w:rPr>
                <w:sz w:val="24"/>
                <w:szCs w:val="24"/>
              </w:rPr>
              <w:t>Labor Category</w:t>
            </w:r>
          </w:p>
        </w:tc>
        <w:tc>
          <w:tcPr>
            <w:tcW w:w="1408" w:type="dxa"/>
          </w:tcPr>
          <w:p w:rsidRPr="00D861AF" w:rsidR="008544E9" w:rsidP="00D861AF" w:rsidRDefault="008544E9" w14:paraId="1DBFF1DA" w14:textId="26D61C58">
            <w:pPr>
              <w:pStyle w:val="TableParagraph"/>
              <w:spacing w:line="273" w:lineRule="exact"/>
              <w:ind w:left="60" w:right="30"/>
              <w:rPr>
                <w:sz w:val="24"/>
                <w:szCs w:val="24"/>
              </w:rPr>
            </w:pPr>
            <w:r w:rsidRPr="00D861AF">
              <w:rPr>
                <w:sz w:val="24"/>
                <w:szCs w:val="24"/>
              </w:rPr>
              <w:t>Number of Respondents</w:t>
            </w:r>
          </w:p>
        </w:tc>
        <w:tc>
          <w:tcPr>
            <w:tcW w:w="1440" w:type="dxa"/>
          </w:tcPr>
          <w:p w:rsidRPr="00D861AF" w:rsidR="008544E9" w:rsidP="00D861AF" w:rsidRDefault="008544E9" w14:paraId="67ADFABB" w14:textId="7F0A326F">
            <w:pPr>
              <w:pStyle w:val="TableParagraph"/>
              <w:spacing w:line="273" w:lineRule="exact"/>
              <w:ind w:left="3" w:right="30"/>
              <w:rPr>
                <w:sz w:val="24"/>
                <w:szCs w:val="24"/>
              </w:rPr>
            </w:pPr>
            <w:r w:rsidRPr="00D861AF">
              <w:rPr>
                <w:sz w:val="24"/>
                <w:szCs w:val="24"/>
              </w:rPr>
              <w:t>Number of Responses</w:t>
            </w:r>
          </w:p>
        </w:tc>
        <w:tc>
          <w:tcPr>
            <w:tcW w:w="1275" w:type="dxa"/>
          </w:tcPr>
          <w:p w:rsidRPr="00D861AF" w:rsidR="008544E9" w:rsidP="00D861AF" w:rsidRDefault="008544E9" w14:paraId="1878BD2A" w14:textId="449FC764">
            <w:pPr>
              <w:pStyle w:val="TableParagraph"/>
              <w:spacing w:line="240" w:lineRule="auto"/>
              <w:ind w:left="53" w:right="30" w:hanging="1"/>
              <w:rPr>
                <w:sz w:val="24"/>
                <w:szCs w:val="24"/>
              </w:rPr>
            </w:pPr>
            <w:r w:rsidRPr="00D861AF">
              <w:rPr>
                <w:sz w:val="24"/>
                <w:szCs w:val="24"/>
              </w:rPr>
              <w:t>Burden Hours per Response</w:t>
            </w:r>
            <w:r w:rsidRPr="00D861AF">
              <w:rPr>
                <w:w w:val="99"/>
                <w:sz w:val="24"/>
                <w:szCs w:val="24"/>
              </w:rPr>
              <w:t xml:space="preserve"> </w:t>
            </w:r>
          </w:p>
        </w:tc>
        <w:tc>
          <w:tcPr>
            <w:tcW w:w="1469" w:type="dxa"/>
          </w:tcPr>
          <w:p w:rsidRPr="00D861AF" w:rsidR="008544E9" w:rsidP="00D861AF" w:rsidRDefault="008544E9" w14:paraId="22602EB8" w14:textId="40B113FB">
            <w:pPr>
              <w:pStyle w:val="TableParagraph"/>
              <w:spacing w:line="240" w:lineRule="auto"/>
              <w:ind w:right="30"/>
              <w:rPr>
                <w:sz w:val="24"/>
                <w:szCs w:val="24"/>
              </w:rPr>
            </w:pPr>
            <w:r w:rsidRPr="00D861AF">
              <w:rPr>
                <w:sz w:val="24"/>
                <w:szCs w:val="24"/>
              </w:rPr>
              <w:t>Total Burden Costs (Per Respondent)</w:t>
            </w:r>
          </w:p>
        </w:tc>
        <w:tc>
          <w:tcPr>
            <w:tcW w:w="1469" w:type="dxa"/>
          </w:tcPr>
          <w:p w:rsidRPr="00D861AF" w:rsidR="008544E9" w:rsidP="00D861AF" w:rsidRDefault="008544E9" w14:paraId="73EC3561" w14:textId="137A3444">
            <w:pPr>
              <w:pStyle w:val="TableParagraph"/>
              <w:spacing w:line="240" w:lineRule="auto"/>
              <w:ind w:left="14" w:right="30"/>
              <w:rPr>
                <w:sz w:val="24"/>
                <w:szCs w:val="24"/>
              </w:rPr>
            </w:pPr>
            <w:r w:rsidRPr="00D861AF">
              <w:rPr>
                <w:sz w:val="24"/>
                <w:szCs w:val="24"/>
              </w:rPr>
              <w:t>Total</w:t>
            </w:r>
            <w:r w:rsidR="00652D1E">
              <w:rPr>
                <w:sz w:val="24"/>
                <w:szCs w:val="24"/>
              </w:rPr>
              <w:t xml:space="preserve"> </w:t>
            </w:r>
            <w:r w:rsidRPr="00D861AF">
              <w:rPr>
                <w:sz w:val="24"/>
                <w:szCs w:val="24"/>
              </w:rPr>
              <w:t>Burden</w:t>
            </w:r>
          </w:p>
          <w:p w:rsidRPr="00D861AF" w:rsidR="008544E9" w:rsidP="00D861AF" w:rsidRDefault="008544E9" w14:paraId="47C8B875" w14:textId="77777777">
            <w:pPr>
              <w:pStyle w:val="TableParagraph"/>
              <w:spacing w:line="240" w:lineRule="auto"/>
              <w:ind w:left="14" w:right="30"/>
              <w:rPr>
                <w:sz w:val="24"/>
                <w:szCs w:val="24"/>
              </w:rPr>
            </w:pPr>
            <w:r w:rsidRPr="00D861AF">
              <w:rPr>
                <w:sz w:val="24"/>
                <w:szCs w:val="24"/>
              </w:rPr>
              <w:t>Costs (All</w:t>
            </w:r>
          </w:p>
          <w:p w:rsidRPr="00D861AF" w:rsidR="008544E9" w:rsidP="00D861AF" w:rsidRDefault="008544E9" w14:paraId="5EED035C" w14:textId="2C1089E1">
            <w:pPr>
              <w:pStyle w:val="TableParagraph"/>
              <w:spacing w:line="240" w:lineRule="auto"/>
              <w:ind w:left="14" w:right="30"/>
              <w:rPr>
                <w:sz w:val="24"/>
                <w:szCs w:val="24"/>
              </w:rPr>
            </w:pPr>
            <w:r w:rsidRPr="00D861AF">
              <w:rPr>
                <w:sz w:val="24"/>
                <w:szCs w:val="24"/>
              </w:rPr>
              <w:t>Respondents)</w:t>
            </w:r>
          </w:p>
        </w:tc>
      </w:tr>
      <w:tr w:rsidRPr="00D861AF" w:rsidR="008544E9" w:rsidTr="00652D1E" w14:paraId="3F614D67" w14:textId="77777777">
        <w:trPr>
          <w:trHeight w:val="540" w:hRule="exact"/>
          <w:jc w:val="center"/>
        </w:trPr>
        <w:tc>
          <w:tcPr>
            <w:tcW w:w="2197" w:type="dxa"/>
          </w:tcPr>
          <w:p w:rsidRPr="00D861AF" w:rsidR="008544E9" w:rsidP="00CA1687" w:rsidRDefault="008544E9" w14:paraId="2D3814FB" w14:textId="77777777">
            <w:pPr>
              <w:pStyle w:val="TableParagraph"/>
              <w:spacing w:line="242" w:lineRule="auto"/>
              <w:ind w:left="103" w:right="30"/>
              <w:jc w:val="left"/>
              <w:rPr>
                <w:sz w:val="24"/>
                <w:szCs w:val="24"/>
              </w:rPr>
            </w:pPr>
            <w:r w:rsidRPr="00D861AF">
              <w:rPr>
                <w:rFonts w:eastAsiaTheme="minorHAnsi"/>
                <w:sz w:val="24"/>
                <w:szCs w:val="24"/>
              </w:rPr>
              <w:t>Chief Executive**</w:t>
            </w:r>
          </w:p>
        </w:tc>
        <w:tc>
          <w:tcPr>
            <w:tcW w:w="1408" w:type="dxa"/>
          </w:tcPr>
          <w:p w:rsidRPr="00D861AF" w:rsidR="008544E9" w:rsidP="00D861AF" w:rsidRDefault="008544E9" w14:paraId="5B89AC43" w14:textId="77777777">
            <w:pPr>
              <w:pStyle w:val="TableParagraph"/>
              <w:spacing w:line="273" w:lineRule="exact"/>
              <w:ind w:left="127" w:right="30"/>
              <w:rPr>
                <w:sz w:val="24"/>
                <w:szCs w:val="24"/>
              </w:rPr>
            </w:pPr>
            <w:r w:rsidRPr="00D861AF">
              <w:rPr>
                <w:sz w:val="24"/>
                <w:szCs w:val="24"/>
              </w:rPr>
              <w:t>41*</w:t>
            </w:r>
          </w:p>
        </w:tc>
        <w:tc>
          <w:tcPr>
            <w:tcW w:w="1440" w:type="dxa"/>
          </w:tcPr>
          <w:p w:rsidRPr="00D861AF" w:rsidR="008544E9" w:rsidP="00D861AF" w:rsidRDefault="008544E9" w14:paraId="4BA26054" w14:textId="77777777">
            <w:pPr>
              <w:pStyle w:val="TableParagraph"/>
              <w:spacing w:line="273" w:lineRule="exact"/>
              <w:ind w:left="141" w:right="30"/>
              <w:rPr>
                <w:sz w:val="24"/>
                <w:szCs w:val="24"/>
              </w:rPr>
            </w:pPr>
            <w:r w:rsidRPr="00D861AF">
              <w:rPr>
                <w:sz w:val="24"/>
                <w:szCs w:val="24"/>
              </w:rPr>
              <w:t>41</w:t>
            </w:r>
          </w:p>
        </w:tc>
        <w:tc>
          <w:tcPr>
            <w:tcW w:w="1275" w:type="dxa"/>
          </w:tcPr>
          <w:p w:rsidRPr="00D861AF" w:rsidR="008544E9" w:rsidP="00D861AF" w:rsidRDefault="008544E9" w14:paraId="2F565620" w14:textId="0BF6A939">
            <w:pPr>
              <w:pStyle w:val="TableParagraph"/>
              <w:spacing w:line="240" w:lineRule="auto"/>
              <w:ind w:left="119" w:right="30" w:hanging="1"/>
              <w:rPr>
                <w:sz w:val="24"/>
                <w:szCs w:val="24"/>
              </w:rPr>
            </w:pPr>
            <w:r w:rsidRPr="00D861AF">
              <w:rPr>
                <w:sz w:val="24"/>
                <w:szCs w:val="24"/>
              </w:rPr>
              <w:t>1</w:t>
            </w:r>
          </w:p>
        </w:tc>
        <w:tc>
          <w:tcPr>
            <w:tcW w:w="1469" w:type="dxa"/>
          </w:tcPr>
          <w:p w:rsidRPr="00D861AF" w:rsidR="008544E9" w:rsidP="00D861AF" w:rsidRDefault="008544E9" w14:paraId="1FFFACE8" w14:textId="05518049">
            <w:pPr>
              <w:pStyle w:val="TableParagraph"/>
              <w:spacing w:line="240" w:lineRule="auto"/>
              <w:ind w:left="525" w:right="30" w:hanging="363"/>
              <w:rPr>
                <w:sz w:val="24"/>
                <w:szCs w:val="24"/>
              </w:rPr>
            </w:pPr>
            <w:r w:rsidRPr="00D861AF">
              <w:rPr>
                <w:sz w:val="24"/>
                <w:szCs w:val="24"/>
              </w:rPr>
              <w:t>$192.44</w:t>
            </w:r>
          </w:p>
        </w:tc>
        <w:tc>
          <w:tcPr>
            <w:tcW w:w="1469" w:type="dxa"/>
            <w:shd w:val="clear" w:color="auto" w:fill="auto"/>
          </w:tcPr>
          <w:p w:rsidRPr="00D861AF" w:rsidR="008544E9" w:rsidP="00D861AF" w:rsidRDefault="008544E9" w14:paraId="2E9904FE" w14:textId="543B2BCC">
            <w:pPr>
              <w:pStyle w:val="TableParagraph"/>
              <w:spacing w:line="240" w:lineRule="auto"/>
              <w:ind w:left="525" w:right="30" w:hanging="363"/>
              <w:rPr>
                <w:sz w:val="24"/>
                <w:szCs w:val="24"/>
                <w:highlight w:val="yellow"/>
              </w:rPr>
            </w:pPr>
            <w:r w:rsidRPr="00D861AF">
              <w:rPr>
                <w:sz w:val="24"/>
                <w:szCs w:val="24"/>
              </w:rPr>
              <w:t>$7,890.04</w:t>
            </w:r>
          </w:p>
        </w:tc>
      </w:tr>
      <w:tr w:rsidRPr="00D861AF" w:rsidR="008544E9" w:rsidTr="00652D1E" w14:paraId="73D83FBE" w14:textId="77777777">
        <w:trPr>
          <w:trHeight w:val="639" w:hRule="exact"/>
          <w:jc w:val="center"/>
        </w:trPr>
        <w:tc>
          <w:tcPr>
            <w:tcW w:w="2197" w:type="dxa"/>
          </w:tcPr>
          <w:p w:rsidRPr="00D861AF" w:rsidR="008544E9" w:rsidP="00CA1687" w:rsidRDefault="008544E9" w14:paraId="12E34D0D" w14:textId="77777777">
            <w:pPr>
              <w:pStyle w:val="TableParagraph"/>
              <w:spacing w:line="242" w:lineRule="auto"/>
              <w:ind w:left="103" w:right="30"/>
              <w:jc w:val="left"/>
              <w:rPr>
                <w:rFonts w:eastAsiaTheme="minorHAnsi"/>
                <w:sz w:val="24"/>
                <w:szCs w:val="24"/>
              </w:rPr>
            </w:pPr>
            <w:r w:rsidRPr="00D861AF">
              <w:rPr>
                <w:rFonts w:eastAsiaTheme="minorHAnsi"/>
                <w:sz w:val="24"/>
                <w:szCs w:val="24"/>
              </w:rPr>
              <w:t>General and Operations Manager</w:t>
            </w:r>
          </w:p>
        </w:tc>
        <w:tc>
          <w:tcPr>
            <w:tcW w:w="1408" w:type="dxa"/>
          </w:tcPr>
          <w:p w:rsidRPr="00D861AF" w:rsidR="008544E9" w:rsidP="00D861AF" w:rsidRDefault="008544E9" w14:paraId="350F9D07" w14:textId="77777777">
            <w:pPr>
              <w:pStyle w:val="TableParagraph"/>
              <w:spacing w:line="273" w:lineRule="exact"/>
              <w:ind w:left="127" w:right="30"/>
              <w:rPr>
                <w:sz w:val="24"/>
                <w:szCs w:val="24"/>
              </w:rPr>
            </w:pPr>
            <w:r w:rsidRPr="00D861AF">
              <w:rPr>
                <w:sz w:val="24"/>
                <w:szCs w:val="24"/>
              </w:rPr>
              <w:t>41*</w:t>
            </w:r>
          </w:p>
        </w:tc>
        <w:tc>
          <w:tcPr>
            <w:tcW w:w="1440" w:type="dxa"/>
          </w:tcPr>
          <w:p w:rsidRPr="00D861AF" w:rsidR="008544E9" w:rsidP="00D861AF" w:rsidRDefault="008544E9" w14:paraId="3307DCF3" w14:textId="77777777">
            <w:pPr>
              <w:pStyle w:val="TableParagraph"/>
              <w:spacing w:line="273" w:lineRule="exact"/>
              <w:ind w:left="141" w:right="30"/>
              <w:rPr>
                <w:sz w:val="24"/>
                <w:szCs w:val="24"/>
              </w:rPr>
            </w:pPr>
            <w:r w:rsidRPr="00D861AF">
              <w:rPr>
                <w:sz w:val="24"/>
                <w:szCs w:val="24"/>
              </w:rPr>
              <w:t>41</w:t>
            </w:r>
          </w:p>
        </w:tc>
        <w:tc>
          <w:tcPr>
            <w:tcW w:w="1275" w:type="dxa"/>
          </w:tcPr>
          <w:p w:rsidRPr="00D861AF" w:rsidR="008544E9" w:rsidP="00D861AF" w:rsidRDefault="008544E9" w14:paraId="4FB43416" w14:textId="31D35833">
            <w:pPr>
              <w:pStyle w:val="TableParagraph"/>
              <w:spacing w:line="240" w:lineRule="auto"/>
              <w:ind w:left="119" w:right="30" w:hanging="1"/>
              <w:rPr>
                <w:sz w:val="24"/>
                <w:szCs w:val="24"/>
              </w:rPr>
            </w:pPr>
            <w:r w:rsidRPr="00D861AF">
              <w:rPr>
                <w:sz w:val="24"/>
                <w:szCs w:val="24"/>
              </w:rPr>
              <w:t>2</w:t>
            </w:r>
          </w:p>
        </w:tc>
        <w:tc>
          <w:tcPr>
            <w:tcW w:w="1469" w:type="dxa"/>
          </w:tcPr>
          <w:p w:rsidRPr="00D861AF" w:rsidR="008544E9" w:rsidP="00D861AF" w:rsidRDefault="008544E9" w14:paraId="42CA66A2" w14:textId="06897BB7">
            <w:pPr>
              <w:pStyle w:val="TableParagraph"/>
              <w:spacing w:line="240" w:lineRule="auto"/>
              <w:ind w:left="525" w:right="30" w:hanging="363"/>
              <w:rPr>
                <w:sz w:val="24"/>
                <w:szCs w:val="24"/>
              </w:rPr>
            </w:pPr>
            <w:r w:rsidRPr="00D861AF">
              <w:rPr>
                <w:sz w:val="24"/>
                <w:szCs w:val="24"/>
              </w:rPr>
              <w:t>$238.24</w:t>
            </w:r>
          </w:p>
        </w:tc>
        <w:tc>
          <w:tcPr>
            <w:tcW w:w="1469" w:type="dxa"/>
            <w:shd w:val="clear" w:color="auto" w:fill="auto"/>
          </w:tcPr>
          <w:p w:rsidRPr="00D861AF" w:rsidR="008544E9" w:rsidP="00D861AF" w:rsidRDefault="006373A9" w14:paraId="69D036EE" w14:textId="0426E9EA">
            <w:pPr>
              <w:pStyle w:val="TableParagraph"/>
              <w:spacing w:line="240" w:lineRule="auto"/>
              <w:ind w:left="525" w:right="30" w:hanging="363"/>
              <w:rPr>
                <w:sz w:val="24"/>
                <w:szCs w:val="24"/>
                <w:highlight w:val="yellow"/>
              </w:rPr>
            </w:pPr>
            <w:r>
              <w:rPr>
                <w:sz w:val="24"/>
                <w:szCs w:val="24"/>
              </w:rPr>
              <w:t>$</w:t>
            </w:r>
            <w:r w:rsidRPr="00D861AF" w:rsidR="008544E9">
              <w:rPr>
                <w:sz w:val="24"/>
                <w:szCs w:val="24"/>
              </w:rPr>
              <w:t>9,767.84</w:t>
            </w:r>
          </w:p>
        </w:tc>
      </w:tr>
      <w:tr w:rsidRPr="00D861AF" w:rsidR="008544E9" w:rsidTr="00652D1E" w14:paraId="475FD58D" w14:textId="77777777">
        <w:trPr>
          <w:trHeight w:val="621" w:hRule="exact"/>
          <w:jc w:val="center"/>
        </w:trPr>
        <w:tc>
          <w:tcPr>
            <w:tcW w:w="2197" w:type="dxa"/>
          </w:tcPr>
          <w:p w:rsidRPr="00D861AF" w:rsidR="008544E9" w:rsidP="00CA1687" w:rsidRDefault="008544E9" w14:paraId="4A1262D2" w14:textId="77777777">
            <w:pPr>
              <w:pStyle w:val="TableParagraph"/>
              <w:spacing w:line="242" w:lineRule="auto"/>
              <w:ind w:left="103" w:right="30"/>
              <w:jc w:val="left"/>
              <w:rPr>
                <w:rFonts w:eastAsiaTheme="minorHAnsi"/>
                <w:sz w:val="24"/>
                <w:szCs w:val="24"/>
              </w:rPr>
            </w:pPr>
            <w:r w:rsidRPr="00D861AF">
              <w:rPr>
                <w:rFonts w:eastAsiaTheme="minorHAnsi"/>
                <w:sz w:val="24"/>
                <w:szCs w:val="24"/>
              </w:rPr>
              <w:t>Legal Support Worker</w:t>
            </w:r>
          </w:p>
        </w:tc>
        <w:tc>
          <w:tcPr>
            <w:tcW w:w="1408" w:type="dxa"/>
          </w:tcPr>
          <w:p w:rsidRPr="00D861AF" w:rsidR="008544E9" w:rsidP="00D861AF" w:rsidRDefault="008544E9" w14:paraId="3E65E370" w14:textId="77777777">
            <w:pPr>
              <w:pStyle w:val="TableParagraph"/>
              <w:spacing w:line="273" w:lineRule="exact"/>
              <w:ind w:left="127" w:right="30"/>
              <w:rPr>
                <w:sz w:val="24"/>
                <w:szCs w:val="24"/>
              </w:rPr>
            </w:pPr>
            <w:r w:rsidRPr="00D861AF">
              <w:rPr>
                <w:sz w:val="24"/>
                <w:szCs w:val="24"/>
              </w:rPr>
              <w:t>41*</w:t>
            </w:r>
          </w:p>
        </w:tc>
        <w:tc>
          <w:tcPr>
            <w:tcW w:w="1440" w:type="dxa"/>
          </w:tcPr>
          <w:p w:rsidRPr="00D861AF" w:rsidR="008544E9" w:rsidP="00D861AF" w:rsidRDefault="008544E9" w14:paraId="65D30EA9" w14:textId="77777777">
            <w:pPr>
              <w:pStyle w:val="TableParagraph"/>
              <w:spacing w:line="273" w:lineRule="exact"/>
              <w:ind w:left="141" w:right="30"/>
              <w:rPr>
                <w:sz w:val="24"/>
                <w:szCs w:val="24"/>
              </w:rPr>
            </w:pPr>
            <w:r w:rsidRPr="00D861AF">
              <w:rPr>
                <w:sz w:val="24"/>
                <w:szCs w:val="24"/>
              </w:rPr>
              <w:t>41</w:t>
            </w:r>
          </w:p>
        </w:tc>
        <w:tc>
          <w:tcPr>
            <w:tcW w:w="1275" w:type="dxa"/>
          </w:tcPr>
          <w:p w:rsidRPr="00D861AF" w:rsidR="008544E9" w:rsidP="00D861AF" w:rsidRDefault="008544E9" w14:paraId="6CE65477" w14:textId="4BC6DEB5">
            <w:pPr>
              <w:pStyle w:val="TableParagraph"/>
              <w:spacing w:line="240" w:lineRule="auto"/>
              <w:ind w:left="119" w:right="30" w:hanging="1"/>
              <w:rPr>
                <w:sz w:val="24"/>
                <w:szCs w:val="24"/>
              </w:rPr>
            </w:pPr>
            <w:r w:rsidRPr="00D861AF">
              <w:rPr>
                <w:sz w:val="24"/>
                <w:szCs w:val="24"/>
              </w:rPr>
              <w:t>10</w:t>
            </w:r>
          </w:p>
        </w:tc>
        <w:tc>
          <w:tcPr>
            <w:tcW w:w="1469" w:type="dxa"/>
          </w:tcPr>
          <w:p w:rsidRPr="00D861AF" w:rsidR="008544E9" w:rsidP="00D861AF" w:rsidRDefault="008544E9" w14:paraId="3F49C5D6" w14:textId="1FAA6ACE">
            <w:pPr>
              <w:pStyle w:val="TableParagraph"/>
              <w:spacing w:line="240" w:lineRule="auto"/>
              <w:ind w:left="525" w:right="30" w:hanging="363"/>
              <w:rPr>
                <w:sz w:val="24"/>
                <w:szCs w:val="24"/>
              </w:rPr>
            </w:pPr>
            <w:r w:rsidRPr="00D861AF">
              <w:rPr>
                <w:sz w:val="24"/>
                <w:szCs w:val="24"/>
              </w:rPr>
              <w:t>$686.80</w:t>
            </w:r>
          </w:p>
        </w:tc>
        <w:tc>
          <w:tcPr>
            <w:tcW w:w="1469" w:type="dxa"/>
            <w:shd w:val="clear" w:color="auto" w:fill="auto"/>
          </w:tcPr>
          <w:p w:rsidRPr="00D861AF" w:rsidR="008544E9" w:rsidP="00D861AF" w:rsidRDefault="008544E9" w14:paraId="0C377A69" w14:textId="6DF607BF">
            <w:pPr>
              <w:pStyle w:val="TableParagraph"/>
              <w:spacing w:line="240" w:lineRule="auto"/>
              <w:ind w:left="525" w:right="30" w:hanging="363"/>
              <w:rPr>
                <w:sz w:val="24"/>
                <w:szCs w:val="24"/>
                <w:highlight w:val="yellow"/>
              </w:rPr>
            </w:pPr>
            <w:r w:rsidRPr="00D861AF">
              <w:rPr>
                <w:sz w:val="24"/>
                <w:szCs w:val="24"/>
              </w:rPr>
              <w:t>$28</w:t>
            </w:r>
            <w:r w:rsidR="000D14B3">
              <w:rPr>
                <w:sz w:val="24"/>
                <w:szCs w:val="24"/>
              </w:rPr>
              <w:t>,</w:t>
            </w:r>
            <w:r w:rsidRPr="00D861AF">
              <w:rPr>
                <w:sz w:val="24"/>
                <w:szCs w:val="24"/>
              </w:rPr>
              <w:t>158.80</w:t>
            </w:r>
          </w:p>
        </w:tc>
      </w:tr>
      <w:tr w:rsidRPr="00D861AF" w:rsidR="008544E9" w:rsidTr="006906F4" w14:paraId="6684C0EA" w14:textId="77777777">
        <w:trPr>
          <w:trHeight w:val="540" w:hRule="exact"/>
          <w:jc w:val="center"/>
        </w:trPr>
        <w:tc>
          <w:tcPr>
            <w:tcW w:w="2197" w:type="dxa"/>
          </w:tcPr>
          <w:p w:rsidRPr="00D861AF" w:rsidR="008544E9" w:rsidP="00CA1687" w:rsidRDefault="008544E9" w14:paraId="42906008" w14:textId="118655C2">
            <w:pPr>
              <w:pStyle w:val="TableParagraph"/>
              <w:spacing w:line="242" w:lineRule="auto"/>
              <w:ind w:left="103" w:right="30"/>
              <w:jc w:val="left"/>
              <w:rPr>
                <w:rFonts w:eastAsiaTheme="minorHAnsi"/>
                <w:sz w:val="24"/>
                <w:szCs w:val="24"/>
              </w:rPr>
            </w:pPr>
            <w:r w:rsidRPr="00D861AF">
              <w:rPr>
                <w:rFonts w:eastAsiaTheme="minorHAnsi"/>
                <w:sz w:val="24"/>
                <w:szCs w:val="24"/>
              </w:rPr>
              <w:t>Total - Annual</w:t>
            </w:r>
          </w:p>
        </w:tc>
        <w:tc>
          <w:tcPr>
            <w:tcW w:w="1408" w:type="dxa"/>
          </w:tcPr>
          <w:p w:rsidRPr="00D861AF" w:rsidR="008544E9" w:rsidP="00D861AF" w:rsidRDefault="008544E9" w14:paraId="37C0FCA2" w14:textId="77777777">
            <w:pPr>
              <w:pStyle w:val="TableParagraph"/>
              <w:spacing w:line="273" w:lineRule="exact"/>
              <w:ind w:left="127" w:right="30"/>
              <w:rPr>
                <w:sz w:val="24"/>
                <w:szCs w:val="24"/>
              </w:rPr>
            </w:pPr>
            <w:r w:rsidRPr="00D861AF">
              <w:rPr>
                <w:sz w:val="24"/>
                <w:szCs w:val="24"/>
              </w:rPr>
              <w:t>41*</w:t>
            </w:r>
          </w:p>
        </w:tc>
        <w:tc>
          <w:tcPr>
            <w:tcW w:w="1440" w:type="dxa"/>
          </w:tcPr>
          <w:p w:rsidRPr="00D861AF" w:rsidR="008544E9" w:rsidP="00D861AF" w:rsidRDefault="008544E9" w14:paraId="01A891A5" w14:textId="77777777">
            <w:pPr>
              <w:pStyle w:val="TableParagraph"/>
              <w:spacing w:line="273" w:lineRule="exact"/>
              <w:ind w:left="141" w:right="30"/>
              <w:rPr>
                <w:sz w:val="24"/>
                <w:szCs w:val="24"/>
              </w:rPr>
            </w:pPr>
            <w:r w:rsidRPr="00D861AF">
              <w:rPr>
                <w:sz w:val="24"/>
                <w:szCs w:val="24"/>
              </w:rPr>
              <w:t>41</w:t>
            </w:r>
          </w:p>
        </w:tc>
        <w:tc>
          <w:tcPr>
            <w:tcW w:w="1275" w:type="dxa"/>
          </w:tcPr>
          <w:p w:rsidRPr="00D861AF" w:rsidR="008544E9" w:rsidP="00D861AF" w:rsidRDefault="008544E9" w14:paraId="3AE822A9" w14:textId="131893CA">
            <w:pPr>
              <w:pStyle w:val="TableParagraph"/>
              <w:spacing w:line="240" w:lineRule="auto"/>
              <w:ind w:left="119" w:right="30" w:hanging="1"/>
              <w:rPr>
                <w:sz w:val="24"/>
                <w:szCs w:val="24"/>
              </w:rPr>
            </w:pPr>
            <w:r w:rsidRPr="00D861AF">
              <w:rPr>
                <w:sz w:val="24"/>
                <w:szCs w:val="24"/>
              </w:rPr>
              <w:t>13</w:t>
            </w:r>
          </w:p>
        </w:tc>
        <w:tc>
          <w:tcPr>
            <w:tcW w:w="1469" w:type="dxa"/>
          </w:tcPr>
          <w:p w:rsidRPr="00D861AF" w:rsidR="008544E9" w:rsidP="00D861AF" w:rsidRDefault="008544E9" w14:paraId="20A8D553" w14:textId="7BEA0195">
            <w:pPr>
              <w:pStyle w:val="TableParagraph"/>
              <w:spacing w:line="240" w:lineRule="auto"/>
              <w:ind w:left="525" w:right="30" w:hanging="363"/>
              <w:rPr>
                <w:sz w:val="24"/>
                <w:szCs w:val="24"/>
              </w:rPr>
            </w:pPr>
            <w:r w:rsidRPr="00D861AF">
              <w:rPr>
                <w:sz w:val="24"/>
                <w:szCs w:val="24"/>
              </w:rPr>
              <w:t>$1,117.48</w:t>
            </w:r>
          </w:p>
        </w:tc>
        <w:tc>
          <w:tcPr>
            <w:tcW w:w="1469" w:type="dxa"/>
            <w:shd w:val="clear" w:color="auto" w:fill="auto"/>
          </w:tcPr>
          <w:p w:rsidRPr="00D861AF" w:rsidR="008544E9" w:rsidP="00D25528" w:rsidRDefault="008544E9" w14:paraId="080C9A36" w14:textId="790E5E4E">
            <w:pPr>
              <w:pStyle w:val="TableParagraph"/>
              <w:spacing w:line="240" w:lineRule="auto"/>
              <w:ind w:left="525" w:right="30" w:hanging="363"/>
              <w:rPr>
                <w:sz w:val="24"/>
                <w:szCs w:val="24"/>
              </w:rPr>
            </w:pPr>
            <w:r w:rsidRPr="00D861AF">
              <w:rPr>
                <w:sz w:val="24"/>
                <w:szCs w:val="24"/>
              </w:rPr>
              <w:t>$45,816.68</w:t>
            </w:r>
          </w:p>
        </w:tc>
      </w:tr>
    </w:tbl>
    <w:p w:rsidR="009D0D59" w:rsidP="00CA1687" w:rsidRDefault="009D0D59" w14:paraId="0DE9ACCC" w14:textId="77777777">
      <w:pPr>
        <w:pStyle w:val="Body"/>
        <w:spacing w:after="0"/>
        <w:ind w:right="30"/>
        <w:rPr>
          <w:rFonts w:eastAsia="Calibri"/>
        </w:rPr>
      </w:pPr>
      <w:r w:rsidRPr="003D2231">
        <w:rPr>
          <w:rFonts w:eastAsia="Calibri"/>
        </w:rPr>
        <w:t>* Denote the same entities. For purposes of calculating the total, value is used only once.</w:t>
      </w:r>
    </w:p>
    <w:p w:rsidR="009D0D59" w:rsidP="00CA1687" w:rsidRDefault="009D0D59" w14:paraId="396EC07C" w14:textId="7A35752A">
      <w:pPr>
        <w:pStyle w:val="Body"/>
        <w:spacing w:after="0"/>
        <w:ind w:right="30"/>
        <w:rPr>
          <w:rFonts w:eastAsia="Calibri"/>
        </w:rPr>
      </w:pPr>
      <w:r>
        <w:rPr>
          <w:rFonts w:eastAsia="Calibri"/>
        </w:rPr>
        <w:t>**</w:t>
      </w:r>
      <w:r w:rsidRPr="003D2231">
        <w:rPr>
          <w:rFonts w:eastAsia="Calibri"/>
        </w:rPr>
        <w:t xml:space="preserve">Chief executive wage is used to estimate the state official wages. </w:t>
      </w:r>
    </w:p>
    <w:p w:rsidR="00AF4B0D" w:rsidP="00CA1687" w:rsidRDefault="00AF4B0D" w14:paraId="6FDCC21E" w14:textId="0D001B82">
      <w:pPr>
        <w:pStyle w:val="Body"/>
        <w:spacing w:after="0"/>
        <w:ind w:right="30"/>
        <w:rPr>
          <w:rFonts w:eastAsia="Calibri"/>
        </w:rPr>
      </w:pPr>
    </w:p>
    <w:p w:rsidRPr="003618ED" w:rsidR="003618ED" w:rsidP="003618ED" w:rsidRDefault="003618ED" w14:paraId="3BC0C456" w14:textId="5668D564">
      <w:pPr>
        <w:pStyle w:val="Body"/>
        <w:rPr>
          <w:rFonts w:eastAsia="Calibri"/>
        </w:rPr>
      </w:pPr>
      <w:r w:rsidRPr="003618ED">
        <w:rPr>
          <w:b/>
        </w:rPr>
        <w:t xml:space="preserve"> </w:t>
      </w:r>
      <w:r w:rsidRPr="003618ED">
        <w:rPr>
          <w:rFonts w:eastAsia="Calibri"/>
          <w:b/>
        </w:rPr>
        <w:t xml:space="preserve">Table </w:t>
      </w:r>
      <w:r>
        <w:rPr>
          <w:rFonts w:eastAsia="Calibri"/>
          <w:b/>
        </w:rPr>
        <w:t>7</w:t>
      </w:r>
      <w:r w:rsidR="00B27F0A">
        <w:rPr>
          <w:rFonts w:eastAsia="Calibri"/>
          <w:b/>
        </w:rPr>
        <w:t>:</w:t>
      </w:r>
      <w:r w:rsidRPr="003618ED">
        <w:rPr>
          <w:rFonts w:eastAsia="Calibri"/>
          <w:b/>
        </w:rPr>
        <w:t xml:space="preserve"> </w:t>
      </w:r>
      <w:r>
        <w:rPr>
          <w:rFonts w:eastAsia="Calibri"/>
          <w:b/>
        </w:rPr>
        <w:t>Total</w:t>
      </w:r>
      <w:r w:rsidR="00B27DB4">
        <w:rPr>
          <w:rFonts w:eastAsia="Calibri"/>
          <w:b/>
        </w:rPr>
        <w:t xml:space="preserve"> Annual</w:t>
      </w:r>
      <w:r>
        <w:rPr>
          <w:rFonts w:eastAsia="Calibri"/>
          <w:b/>
        </w:rPr>
        <w:t xml:space="preserve"> Burden for All Information Collections </w:t>
      </w:r>
    </w:p>
    <w:tbl>
      <w:tblPr>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47"/>
        <w:gridCol w:w="1408"/>
        <w:gridCol w:w="1440"/>
        <w:gridCol w:w="1275"/>
        <w:gridCol w:w="2230"/>
        <w:gridCol w:w="1620"/>
      </w:tblGrid>
      <w:tr w:rsidRPr="003618ED" w:rsidR="003618ED" w:rsidTr="00C56348" w14:paraId="30D1833D" w14:textId="77777777">
        <w:trPr>
          <w:trHeight w:val="972" w:hRule="exact"/>
          <w:jc w:val="center"/>
        </w:trPr>
        <w:tc>
          <w:tcPr>
            <w:tcW w:w="1747" w:type="dxa"/>
          </w:tcPr>
          <w:p w:rsidRPr="003618ED" w:rsidR="003618ED" w:rsidP="006906F4" w:rsidRDefault="003618ED" w14:paraId="6D38F92C" w14:textId="6D15B6D5">
            <w:pPr>
              <w:pStyle w:val="Body"/>
              <w:ind w:left="90"/>
              <w:rPr>
                <w:rFonts w:eastAsia="Calibri"/>
              </w:rPr>
            </w:pPr>
            <w:r>
              <w:rPr>
                <w:rFonts w:eastAsia="Calibri"/>
              </w:rPr>
              <w:t>Information Collection</w:t>
            </w:r>
          </w:p>
        </w:tc>
        <w:tc>
          <w:tcPr>
            <w:tcW w:w="1408" w:type="dxa"/>
          </w:tcPr>
          <w:p w:rsidRPr="003618ED" w:rsidR="003618ED" w:rsidP="006906F4" w:rsidRDefault="003618ED" w14:paraId="3DBBF656" w14:textId="77777777">
            <w:pPr>
              <w:pStyle w:val="Body"/>
              <w:ind w:left="90"/>
              <w:jc w:val="center"/>
              <w:rPr>
                <w:rFonts w:eastAsia="Calibri"/>
              </w:rPr>
            </w:pPr>
            <w:r w:rsidRPr="003618ED">
              <w:rPr>
                <w:rFonts w:eastAsia="Calibri"/>
              </w:rPr>
              <w:t>Number of Respondents</w:t>
            </w:r>
          </w:p>
        </w:tc>
        <w:tc>
          <w:tcPr>
            <w:tcW w:w="1440" w:type="dxa"/>
          </w:tcPr>
          <w:p w:rsidRPr="003618ED" w:rsidR="003618ED" w:rsidP="006906F4" w:rsidRDefault="003618ED" w14:paraId="6EE603B3" w14:textId="77777777">
            <w:pPr>
              <w:pStyle w:val="Body"/>
              <w:ind w:left="90"/>
              <w:jc w:val="center"/>
              <w:rPr>
                <w:rFonts w:eastAsia="Calibri"/>
              </w:rPr>
            </w:pPr>
            <w:r w:rsidRPr="003618ED">
              <w:rPr>
                <w:rFonts w:eastAsia="Calibri"/>
              </w:rPr>
              <w:t>Number of Responses</w:t>
            </w:r>
          </w:p>
        </w:tc>
        <w:tc>
          <w:tcPr>
            <w:tcW w:w="1275" w:type="dxa"/>
          </w:tcPr>
          <w:p w:rsidRPr="003618ED" w:rsidR="003618ED" w:rsidP="006906F4" w:rsidRDefault="003618ED" w14:paraId="0928EEA7" w14:textId="0AA67341">
            <w:pPr>
              <w:pStyle w:val="Body"/>
              <w:ind w:left="90"/>
              <w:jc w:val="center"/>
              <w:rPr>
                <w:rFonts w:eastAsia="Calibri"/>
              </w:rPr>
            </w:pPr>
            <w:r w:rsidRPr="003618ED">
              <w:rPr>
                <w:rFonts w:eastAsia="Calibri"/>
              </w:rPr>
              <w:t>Burden Hours per Response</w:t>
            </w:r>
          </w:p>
        </w:tc>
        <w:tc>
          <w:tcPr>
            <w:tcW w:w="2230" w:type="dxa"/>
          </w:tcPr>
          <w:p w:rsidRPr="003618ED" w:rsidR="003618ED" w:rsidP="006906F4" w:rsidRDefault="003618ED" w14:paraId="025843A1" w14:textId="77777777">
            <w:pPr>
              <w:pStyle w:val="Body"/>
              <w:ind w:left="90"/>
              <w:jc w:val="center"/>
              <w:rPr>
                <w:rFonts w:eastAsia="Calibri"/>
              </w:rPr>
            </w:pPr>
            <w:r w:rsidRPr="003618ED">
              <w:rPr>
                <w:rFonts w:eastAsia="Calibri"/>
              </w:rPr>
              <w:t>Total Burden Costs (Per Respondent)</w:t>
            </w:r>
          </w:p>
        </w:tc>
        <w:tc>
          <w:tcPr>
            <w:tcW w:w="1620" w:type="dxa"/>
          </w:tcPr>
          <w:p w:rsidRPr="003618ED" w:rsidR="003618ED" w:rsidP="006906F4" w:rsidRDefault="003618ED" w14:paraId="6CBC367F" w14:textId="2F0FB139">
            <w:pPr>
              <w:pStyle w:val="Body"/>
              <w:spacing w:after="0" w:line="240" w:lineRule="auto"/>
              <w:ind w:left="90"/>
              <w:jc w:val="center"/>
              <w:rPr>
                <w:rFonts w:eastAsia="Calibri"/>
              </w:rPr>
            </w:pPr>
            <w:r w:rsidRPr="003618ED">
              <w:rPr>
                <w:rFonts w:eastAsia="Calibri"/>
              </w:rPr>
              <w:t>Total</w:t>
            </w:r>
            <w:r w:rsidR="006906F4">
              <w:rPr>
                <w:rFonts w:eastAsia="Calibri"/>
              </w:rPr>
              <w:t xml:space="preserve"> </w:t>
            </w:r>
            <w:r w:rsidRPr="003618ED">
              <w:rPr>
                <w:rFonts w:eastAsia="Calibri"/>
              </w:rPr>
              <w:t>Burden</w:t>
            </w:r>
          </w:p>
          <w:p w:rsidRPr="003618ED" w:rsidR="003618ED" w:rsidP="006906F4" w:rsidRDefault="003618ED" w14:paraId="0B83A00C" w14:textId="77777777">
            <w:pPr>
              <w:pStyle w:val="Body"/>
              <w:spacing w:after="0" w:line="240" w:lineRule="auto"/>
              <w:ind w:left="90"/>
              <w:jc w:val="center"/>
              <w:rPr>
                <w:rFonts w:eastAsia="Calibri"/>
              </w:rPr>
            </w:pPr>
            <w:r w:rsidRPr="003618ED">
              <w:rPr>
                <w:rFonts w:eastAsia="Calibri"/>
              </w:rPr>
              <w:t>Costs (All</w:t>
            </w:r>
          </w:p>
          <w:p w:rsidRPr="003618ED" w:rsidR="003618ED" w:rsidP="006906F4" w:rsidRDefault="003618ED" w14:paraId="539FB437" w14:textId="77777777">
            <w:pPr>
              <w:pStyle w:val="Body"/>
              <w:spacing w:after="0" w:line="240" w:lineRule="auto"/>
              <w:ind w:left="90"/>
              <w:jc w:val="center"/>
              <w:rPr>
                <w:rFonts w:eastAsia="Calibri"/>
              </w:rPr>
            </w:pPr>
            <w:r w:rsidRPr="003618ED">
              <w:rPr>
                <w:rFonts w:eastAsia="Calibri"/>
              </w:rPr>
              <w:t>Respondents)</w:t>
            </w:r>
          </w:p>
        </w:tc>
      </w:tr>
      <w:tr w:rsidRPr="003618ED" w:rsidR="003618ED" w:rsidTr="00C56348" w14:paraId="15B1533A" w14:textId="77777777">
        <w:trPr>
          <w:trHeight w:val="558" w:hRule="exact"/>
          <w:jc w:val="center"/>
        </w:trPr>
        <w:tc>
          <w:tcPr>
            <w:tcW w:w="1747" w:type="dxa"/>
          </w:tcPr>
          <w:p w:rsidRPr="003618ED" w:rsidR="003618ED" w:rsidP="006906F4" w:rsidRDefault="003618ED" w14:paraId="70A48C28" w14:textId="7D4A987C">
            <w:pPr>
              <w:pStyle w:val="Body"/>
              <w:ind w:left="90"/>
              <w:rPr>
                <w:rFonts w:eastAsia="Calibri"/>
              </w:rPr>
            </w:pPr>
            <w:r>
              <w:rPr>
                <w:rFonts w:eastAsia="Calibri"/>
              </w:rPr>
              <w:t>State Burden</w:t>
            </w:r>
          </w:p>
        </w:tc>
        <w:tc>
          <w:tcPr>
            <w:tcW w:w="1408" w:type="dxa"/>
          </w:tcPr>
          <w:p w:rsidRPr="003618ED" w:rsidR="003618ED" w:rsidP="006906F4" w:rsidRDefault="00C93D37" w14:paraId="73A1C1EE" w14:textId="5537669C">
            <w:pPr>
              <w:pStyle w:val="Body"/>
              <w:ind w:left="90"/>
              <w:jc w:val="center"/>
              <w:rPr>
                <w:rFonts w:eastAsia="Calibri"/>
              </w:rPr>
            </w:pPr>
            <w:r>
              <w:rPr>
                <w:rFonts w:eastAsia="Calibri"/>
              </w:rPr>
              <w:t>51</w:t>
            </w:r>
          </w:p>
        </w:tc>
        <w:tc>
          <w:tcPr>
            <w:tcW w:w="1440" w:type="dxa"/>
          </w:tcPr>
          <w:p w:rsidRPr="003618ED" w:rsidR="003618ED" w:rsidP="006906F4" w:rsidRDefault="00C93D37" w14:paraId="1F99BAC7" w14:textId="7AFEBB9C">
            <w:pPr>
              <w:pStyle w:val="Body"/>
              <w:ind w:left="90"/>
              <w:jc w:val="center"/>
              <w:rPr>
                <w:rFonts w:eastAsia="Calibri"/>
              </w:rPr>
            </w:pPr>
            <w:r>
              <w:rPr>
                <w:rFonts w:eastAsia="Calibri"/>
              </w:rPr>
              <w:t>51</w:t>
            </w:r>
          </w:p>
        </w:tc>
        <w:tc>
          <w:tcPr>
            <w:tcW w:w="1275" w:type="dxa"/>
          </w:tcPr>
          <w:p w:rsidRPr="00B27DB4" w:rsidR="003618ED" w:rsidP="006906F4" w:rsidRDefault="00C93D37" w14:paraId="679F2CBF" w14:textId="6548C2A5">
            <w:pPr>
              <w:pStyle w:val="Body"/>
              <w:ind w:left="90"/>
              <w:jc w:val="center"/>
              <w:rPr>
                <w:rFonts w:eastAsia="Calibri"/>
              </w:rPr>
            </w:pPr>
            <w:r>
              <w:rPr>
                <w:rFonts w:eastAsia="Calibri"/>
              </w:rPr>
              <w:t>65.67</w:t>
            </w:r>
          </w:p>
        </w:tc>
        <w:tc>
          <w:tcPr>
            <w:tcW w:w="2230" w:type="dxa"/>
          </w:tcPr>
          <w:p w:rsidRPr="00EC1C30" w:rsidR="00F952B3" w:rsidP="006906F4" w:rsidRDefault="00F952B3" w14:paraId="4D03E682" w14:textId="3FAD1BB5">
            <w:pPr>
              <w:ind w:left="90"/>
              <w:jc w:val="center"/>
              <w:rPr>
                <w:color w:val="000000"/>
                <w:sz w:val="24"/>
                <w:szCs w:val="24"/>
              </w:rPr>
            </w:pPr>
            <w:r w:rsidRPr="00EC1C30">
              <w:rPr>
                <w:color w:val="000000"/>
                <w:sz w:val="24"/>
                <w:szCs w:val="24"/>
              </w:rPr>
              <w:t>$</w:t>
            </w:r>
            <w:r w:rsidR="00C93D37">
              <w:rPr>
                <w:color w:val="000000"/>
                <w:sz w:val="24"/>
                <w:szCs w:val="24"/>
              </w:rPr>
              <w:t>5,197.45</w:t>
            </w:r>
          </w:p>
          <w:p w:rsidRPr="00B27DB4" w:rsidR="003618ED" w:rsidP="006906F4" w:rsidRDefault="003618ED" w14:paraId="60848E06" w14:textId="3A6705C3">
            <w:pPr>
              <w:pStyle w:val="Body"/>
              <w:ind w:left="90"/>
              <w:jc w:val="center"/>
              <w:rPr>
                <w:rFonts w:eastAsia="Calibri"/>
              </w:rPr>
            </w:pPr>
          </w:p>
        </w:tc>
        <w:tc>
          <w:tcPr>
            <w:tcW w:w="1620" w:type="dxa"/>
            <w:shd w:val="clear" w:color="auto" w:fill="auto"/>
          </w:tcPr>
          <w:p w:rsidRPr="00B27DB4" w:rsidR="00F952B3" w:rsidP="006906F4" w:rsidRDefault="00F952B3" w14:paraId="3F13A407" w14:textId="237A2E56">
            <w:pPr>
              <w:pStyle w:val="Body"/>
              <w:ind w:left="90"/>
              <w:jc w:val="center"/>
              <w:rPr>
                <w:rFonts w:eastAsia="Calibri"/>
              </w:rPr>
            </w:pPr>
            <w:r w:rsidRPr="00B27DB4">
              <w:rPr>
                <w:rFonts w:eastAsia="Calibri"/>
              </w:rPr>
              <w:t>$100,</w:t>
            </w:r>
            <w:r w:rsidR="00C93D37">
              <w:rPr>
                <w:rFonts w:eastAsia="Calibri"/>
              </w:rPr>
              <w:t>481.27</w:t>
            </w:r>
          </w:p>
          <w:p w:rsidRPr="00B27DB4" w:rsidR="003618ED" w:rsidP="006906F4" w:rsidRDefault="003618ED" w14:paraId="584978EF" w14:textId="0D0F9C74">
            <w:pPr>
              <w:pStyle w:val="Body"/>
              <w:ind w:left="90"/>
              <w:jc w:val="center"/>
              <w:rPr>
                <w:rFonts w:eastAsia="Calibri"/>
              </w:rPr>
            </w:pPr>
          </w:p>
        </w:tc>
      </w:tr>
      <w:tr w:rsidRPr="003618ED" w:rsidR="00B27DB4" w:rsidTr="00C56348" w14:paraId="37570BBA" w14:textId="77777777">
        <w:trPr>
          <w:trHeight w:val="940" w:hRule="exact"/>
          <w:jc w:val="center"/>
        </w:trPr>
        <w:tc>
          <w:tcPr>
            <w:tcW w:w="1747" w:type="dxa"/>
          </w:tcPr>
          <w:p w:rsidRPr="003618ED" w:rsidR="00B27DB4" w:rsidP="006906F4" w:rsidRDefault="00B27DB4" w14:paraId="4ED288D9" w14:textId="52551F7E">
            <w:pPr>
              <w:pStyle w:val="Body"/>
              <w:ind w:left="90"/>
              <w:rPr>
                <w:rFonts w:eastAsia="Calibri"/>
              </w:rPr>
            </w:pPr>
            <w:r>
              <w:rPr>
                <w:rFonts w:eastAsia="Calibri"/>
              </w:rPr>
              <w:t>Stand Alone Dental Plan Burden</w:t>
            </w:r>
          </w:p>
        </w:tc>
        <w:tc>
          <w:tcPr>
            <w:tcW w:w="1408" w:type="dxa"/>
          </w:tcPr>
          <w:p w:rsidRPr="003618ED" w:rsidR="00B27DB4" w:rsidP="006906F4" w:rsidRDefault="00B27DB4" w14:paraId="7DD8D02F" w14:textId="5A95BAC5">
            <w:pPr>
              <w:pStyle w:val="Body"/>
              <w:ind w:left="90"/>
              <w:jc w:val="center"/>
              <w:rPr>
                <w:rFonts w:eastAsia="Calibri"/>
              </w:rPr>
            </w:pPr>
            <w:r>
              <w:rPr>
                <w:rFonts w:eastAsia="Calibri"/>
              </w:rPr>
              <w:t>175</w:t>
            </w:r>
          </w:p>
        </w:tc>
        <w:tc>
          <w:tcPr>
            <w:tcW w:w="1440" w:type="dxa"/>
          </w:tcPr>
          <w:p w:rsidRPr="003618ED" w:rsidR="00B27DB4" w:rsidP="006906F4" w:rsidRDefault="00B27DB4" w14:paraId="01B795BC" w14:textId="69C6F861">
            <w:pPr>
              <w:pStyle w:val="Body"/>
              <w:ind w:left="90"/>
              <w:jc w:val="center"/>
              <w:rPr>
                <w:rFonts w:eastAsia="Calibri"/>
              </w:rPr>
            </w:pPr>
            <w:r>
              <w:rPr>
                <w:rFonts w:eastAsia="Calibri"/>
              </w:rPr>
              <w:t>175</w:t>
            </w:r>
          </w:p>
        </w:tc>
        <w:tc>
          <w:tcPr>
            <w:tcW w:w="1275" w:type="dxa"/>
          </w:tcPr>
          <w:p w:rsidRPr="003618ED" w:rsidR="00B27DB4" w:rsidP="006906F4" w:rsidRDefault="00B27DB4" w14:paraId="7AF80E1B" w14:textId="6453F63A">
            <w:pPr>
              <w:pStyle w:val="Body"/>
              <w:ind w:left="90"/>
              <w:jc w:val="center"/>
              <w:rPr>
                <w:rFonts w:eastAsia="Calibri"/>
              </w:rPr>
            </w:pPr>
            <w:r w:rsidRPr="00B81332">
              <w:t>87.5</w:t>
            </w:r>
          </w:p>
        </w:tc>
        <w:tc>
          <w:tcPr>
            <w:tcW w:w="2230" w:type="dxa"/>
          </w:tcPr>
          <w:p w:rsidRPr="003618ED" w:rsidR="00B27DB4" w:rsidP="006906F4" w:rsidRDefault="00B27DB4" w14:paraId="19422696" w14:textId="74B21A27">
            <w:pPr>
              <w:pStyle w:val="Body"/>
              <w:ind w:left="90"/>
              <w:jc w:val="center"/>
              <w:rPr>
                <w:rFonts w:eastAsia="Calibri"/>
              </w:rPr>
            </w:pPr>
            <w:r w:rsidRPr="00B81332">
              <w:t>$34.11</w:t>
            </w:r>
          </w:p>
        </w:tc>
        <w:tc>
          <w:tcPr>
            <w:tcW w:w="1620" w:type="dxa"/>
            <w:shd w:val="clear" w:color="auto" w:fill="auto"/>
          </w:tcPr>
          <w:p w:rsidRPr="003618ED" w:rsidR="00B27DB4" w:rsidP="006906F4" w:rsidRDefault="00B27DB4" w14:paraId="19CF0DF4" w14:textId="3FDDF254">
            <w:pPr>
              <w:pStyle w:val="Body"/>
              <w:ind w:left="90"/>
              <w:jc w:val="center"/>
              <w:rPr>
                <w:rFonts w:eastAsia="Calibri"/>
              </w:rPr>
            </w:pPr>
            <w:r w:rsidRPr="00B81332">
              <w:t>$5,969.25</w:t>
            </w:r>
          </w:p>
        </w:tc>
      </w:tr>
    </w:tbl>
    <w:p w:rsidRPr="00C93E4E" w:rsidR="0071755C" w:rsidP="00CA1687" w:rsidRDefault="0071755C" w14:paraId="657B9C4A" w14:textId="77777777">
      <w:pPr>
        <w:pStyle w:val="BodyText"/>
        <w:spacing w:before="11"/>
        <w:ind w:right="30"/>
        <w:rPr>
          <w:sz w:val="25"/>
        </w:rPr>
      </w:pPr>
    </w:p>
    <w:p w:rsidRPr="00251817" w:rsidR="005600BB" w:rsidP="00CA1687" w:rsidRDefault="0043666F" w14:paraId="43E3B292" w14:textId="77777777">
      <w:pPr>
        <w:pStyle w:val="Heading1"/>
        <w:numPr>
          <w:ilvl w:val="0"/>
          <w:numId w:val="1"/>
        </w:numPr>
        <w:tabs>
          <w:tab w:val="left" w:pos="1260"/>
        </w:tabs>
        <w:spacing w:before="1"/>
        <w:ind w:left="720" w:right="30" w:hanging="720"/>
        <w:jc w:val="left"/>
        <w:rPr>
          <w:b w:val="0"/>
          <w:u w:val="single"/>
        </w:rPr>
      </w:pPr>
      <w:bookmarkStart w:name="13._Capital_Costs" w:id="108"/>
      <w:bookmarkEnd w:id="108"/>
      <w:r w:rsidRPr="00251817">
        <w:rPr>
          <w:b w:val="0"/>
          <w:u w:val="single"/>
        </w:rPr>
        <w:t>Capital Costs</w:t>
      </w:r>
    </w:p>
    <w:p w:rsidR="00CF751A" w:rsidP="00CA1687" w:rsidRDefault="00CF751A" w14:paraId="12B416C4" w14:textId="77777777">
      <w:pPr>
        <w:pStyle w:val="BodyText"/>
        <w:ind w:right="30"/>
      </w:pPr>
      <w:bookmarkStart w:name="There_are_no_anticipated_capital_costs_a" w:id="109"/>
      <w:bookmarkEnd w:id="109"/>
    </w:p>
    <w:p w:rsidRPr="00F163CF" w:rsidR="005600BB" w:rsidP="00CA1687" w:rsidRDefault="0043666F" w14:paraId="526E165F" w14:textId="5DE76FAD">
      <w:pPr>
        <w:pStyle w:val="BodyText"/>
        <w:ind w:right="30"/>
      </w:pPr>
      <w:r w:rsidRPr="00F163CF">
        <w:t>There are no anticipated capital costs associated with this data collection.</w:t>
      </w:r>
    </w:p>
    <w:p w:rsidR="005600BB" w:rsidP="00CA1687" w:rsidRDefault="005600BB" w14:paraId="645D09A2" w14:textId="77777777">
      <w:pPr>
        <w:pStyle w:val="BodyText"/>
        <w:spacing w:before="9"/>
        <w:ind w:right="30"/>
      </w:pPr>
    </w:p>
    <w:p w:rsidRPr="00251817" w:rsidR="005600BB" w:rsidP="00CA1687" w:rsidRDefault="0043666F" w14:paraId="604784DC" w14:textId="77777777">
      <w:pPr>
        <w:pStyle w:val="Heading1"/>
        <w:numPr>
          <w:ilvl w:val="0"/>
          <w:numId w:val="1"/>
        </w:numPr>
        <w:tabs>
          <w:tab w:val="left" w:pos="1260"/>
        </w:tabs>
        <w:spacing w:before="1"/>
        <w:ind w:left="720" w:right="30" w:hanging="720"/>
        <w:jc w:val="left"/>
        <w:rPr>
          <w:b w:val="0"/>
          <w:u w:val="single"/>
        </w:rPr>
      </w:pPr>
      <w:bookmarkStart w:name="14._Cost_to_Federal_Government" w:id="110"/>
      <w:bookmarkEnd w:id="110"/>
      <w:r w:rsidRPr="00251817">
        <w:rPr>
          <w:b w:val="0"/>
          <w:u w:val="single"/>
        </w:rPr>
        <w:t>Cost to Federal Government</w:t>
      </w:r>
    </w:p>
    <w:p w:rsidR="005600BB" w:rsidP="00CA1687" w:rsidRDefault="005600BB" w14:paraId="32C0D32D" w14:textId="77777777">
      <w:pPr>
        <w:pStyle w:val="BodyText"/>
        <w:spacing w:before="1"/>
        <w:ind w:right="30"/>
        <w:rPr>
          <w:b/>
        </w:rPr>
      </w:pPr>
    </w:p>
    <w:p w:rsidRPr="00D01EB4" w:rsidR="00903720" w:rsidP="00CA1687" w:rsidRDefault="00903720" w14:paraId="40C6EB28" w14:textId="5AF5DE91">
      <w:pPr>
        <w:ind w:right="30"/>
        <w:rPr>
          <w:sz w:val="24"/>
          <w:szCs w:val="24"/>
        </w:rPr>
      </w:pPr>
      <w:bookmarkStart w:name="There_are_no_additional_costs_to_the_Fed" w:id="111"/>
      <w:bookmarkEnd w:id="111"/>
      <w:r>
        <w:rPr>
          <w:sz w:val="24"/>
          <w:szCs w:val="24"/>
        </w:rPr>
        <w:t>The</w:t>
      </w:r>
      <w:r>
        <w:rPr>
          <w:spacing w:val="-1"/>
          <w:sz w:val="24"/>
          <w:szCs w:val="24"/>
        </w:rPr>
        <w:t xml:space="preserve"> </w:t>
      </w:r>
      <w:r>
        <w:rPr>
          <w:sz w:val="24"/>
          <w:szCs w:val="24"/>
        </w:rPr>
        <w:t>bu</w:t>
      </w:r>
      <w:r>
        <w:rPr>
          <w:spacing w:val="-1"/>
          <w:sz w:val="24"/>
          <w:szCs w:val="24"/>
        </w:rPr>
        <w:t>r</w:t>
      </w:r>
      <w:r>
        <w:rPr>
          <w:sz w:val="24"/>
          <w:szCs w:val="24"/>
        </w:rPr>
        <w:t>d</w:t>
      </w:r>
      <w:r>
        <w:rPr>
          <w:spacing w:val="-1"/>
          <w:sz w:val="24"/>
          <w:szCs w:val="24"/>
        </w:rPr>
        <w:t>e</w:t>
      </w:r>
      <w:r>
        <w:rPr>
          <w:sz w:val="24"/>
          <w:szCs w:val="24"/>
        </w:rPr>
        <w:t>n to the</w:t>
      </w:r>
      <w:r>
        <w:rPr>
          <w:spacing w:val="-1"/>
          <w:sz w:val="24"/>
          <w:szCs w:val="24"/>
        </w:rPr>
        <w:t xml:space="preserve"> Fe</w:t>
      </w:r>
      <w:r>
        <w:rPr>
          <w:sz w:val="24"/>
          <w:szCs w:val="24"/>
        </w:rPr>
        <w:t>d</w:t>
      </w:r>
      <w:r>
        <w:rPr>
          <w:spacing w:val="-1"/>
          <w:sz w:val="24"/>
          <w:szCs w:val="24"/>
        </w:rPr>
        <w:t>era</w:t>
      </w:r>
      <w:r>
        <w:rPr>
          <w:sz w:val="24"/>
          <w:szCs w:val="24"/>
        </w:rPr>
        <w:t xml:space="preserve">l </w:t>
      </w:r>
      <w:r>
        <w:rPr>
          <w:spacing w:val="-2"/>
          <w:sz w:val="24"/>
          <w:szCs w:val="24"/>
        </w:rPr>
        <w:t>g</w:t>
      </w:r>
      <w:r>
        <w:rPr>
          <w:sz w:val="24"/>
          <w:szCs w:val="24"/>
        </w:rPr>
        <w:t>ov</w:t>
      </w:r>
      <w:r>
        <w:rPr>
          <w:spacing w:val="-1"/>
          <w:sz w:val="24"/>
          <w:szCs w:val="24"/>
        </w:rPr>
        <w:t>er</w:t>
      </w:r>
      <w:r>
        <w:rPr>
          <w:sz w:val="24"/>
          <w:szCs w:val="24"/>
        </w:rPr>
        <w:t>nm</w:t>
      </w:r>
      <w:r>
        <w:rPr>
          <w:spacing w:val="-1"/>
          <w:sz w:val="24"/>
          <w:szCs w:val="24"/>
        </w:rPr>
        <w:t>e</w:t>
      </w:r>
      <w:r>
        <w:rPr>
          <w:sz w:val="24"/>
          <w:szCs w:val="24"/>
        </w:rPr>
        <w:t xml:space="preserve">nt </w:t>
      </w:r>
      <w:r>
        <w:rPr>
          <w:spacing w:val="-1"/>
          <w:sz w:val="24"/>
          <w:szCs w:val="24"/>
        </w:rPr>
        <w:t>a</w:t>
      </w:r>
      <w:r>
        <w:rPr>
          <w:sz w:val="24"/>
          <w:szCs w:val="24"/>
        </w:rPr>
        <w:t>sso</w:t>
      </w:r>
      <w:r>
        <w:rPr>
          <w:spacing w:val="-1"/>
          <w:sz w:val="24"/>
          <w:szCs w:val="24"/>
        </w:rPr>
        <w:t>c</w:t>
      </w:r>
      <w:r>
        <w:rPr>
          <w:sz w:val="24"/>
          <w:szCs w:val="24"/>
        </w:rPr>
        <w:t>i</w:t>
      </w:r>
      <w:r>
        <w:rPr>
          <w:spacing w:val="-1"/>
          <w:sz w:val="24"/>
          <w:szCs w:val="24"/>
        </w:rPr>
        <w:t>a</w:t>
      </w:r>
      <w:r>
        <w:rPr>
          <w:sz w:val="24"/>
          <w:szCs w:val="24"/>
        </w:rPr>
        <w:t>t</w:t>
      </w:r>
      <w:r>
        <w:rPr>
          <w:spacing w:val="-1"/>
          <w:sz w:val="24"/>
          <w:szCs w:val="24"/>
        </w:rPr>
        <w:t>e</w:t>
      </w:r>
      <w:r>
        <w:rPr>
          <w:sz w:val="24"/>
          <w:szCs w:val="24"/>
        </w:rPr>
        <w:t>d with this in</w:t>
      </w:r>
      <w:r>
        <w:rPr>
          <w:spacing w:val="-1"/>
          <w:sz w:val="24"/>
          <w:szCs w:val="24"/>
        </w:rPr>
        <w:t>f</w:t>
      </w:r>
      <w:r>
        <w:rPr>
          <w:sz w:val="24"/>
          <w:szCs w:val="24"/>
        </w:rPr>
        <w:t>o</w:t>
      </w:r>
      <w:r>
        <w:rPr>
          <w:spacing w:val="-1"/>
          <w:sz w:val="24"/>
          <w:szCs w:val="24"/>
        </w:rPr>
        <w:t>r</w:t>
      </w:r>
      <w:r>
        <w:rPr>
          <w:sz w:val="24"/>
          <w:szCs w:val="24"/>
        </w:rPr>
        <w:t>m</w:t>
      </w:r>
      <w:r>
        <w:rPr>
          <w:spacing w:val="-1"/>
          <w:sz w:val="24"/>
          <w:szCs w:val="24"/>
        </w:rPr>
        <w:t>a</w:t>
      </w:r>
      <w:r>
        <w:rPr>
          <w:sz w:val="24"/>
          <w:szCs w:val="24"/>
        </w:rPr>
        <w:t xml:space="preserve">tion </w:t>
      </w:r>
      <w:r>
        <w:rPr>
          <w:spacing w:val="-1"/>
          <w:sz w:val="24"/>
          <w:szCs w:val="24"/>
        </w:rPr>
        <w:t>c</w:t>
      </w:r>
      <w:r>
        <w:rPr>
          <w:sz w:val="24"/>
          <w:szCs w:val="24"/>
        </w:rPr>
        <w:t>oll</w:t>
      </w:r>
      <w:r>
        <w:rPr>
          <w:spacing w:val="-1"/>
          <w:sz w:val="24"/>
          <w:szCs w:val="24"/>
        </w:rPr>
        <w:t>ec</w:t>
      </w:r>
      <w:r>
        <w:rPr>
          <w:sz w:val="24"/>
          <w:szCs w:val="24"/>
        </w:rPr>
        <w:t>tion is</w:t>
      </w:r>
      <w:r w:rsidR="00C22FB4">
        <w:rPr>
          <w:sz w:val="24"/>
          <w:szCs w:val="24"/>
        </w:rPr>
        <w:t xml:space="preserve"> $9,838.50. </w:t>
      </w:r>
      <w:r>
        <w:rPr>
          <w:sz w:val="24"/>
          <w:szCs w:val="24"/>
        </w:rPr>
        <w:t>The</w:t>
      </w:r>
      <w:r>
        <w:rPr>
          <w:spacing w:val="-1"/>
          <w:sz w:val="24"/>
          <w:szCs w:val="24"/>
        </w:rPr>
        <w:t xml:space="preserve"> ca</w:t>
      </w:r>
      <w:r>
        <w:rPr>
          <w:sz w:val="24"/>
          <w:szCs w:val="24"/>
        </w:rPr>
        <w:t>l</w:t>
      </w:r>
      <w:r>
        <w:rPr>
          <w:spacing w:val="-1"/>
          <w:sz w:val="24"/>
          <w:szCs w:val="24"/>
        </w:rPr>
        <w:t>c</w:t>
      </w:r>
      <w:r>
        <w:rPr>
          <w:sz w:val="24"/>
          <w:szCs w:val="24"/>
        </w:rPr>
        <w:t>ul</w:t>
      </w:r>
      <w:r>
        <w:rPr>
          <w:spacing w:val="-1"/>
          <w:sz w:val="24"/>
          <w:szCs w:val="24"/>
        </w:rPr>
        <w:t>a</w:t>
      </w:r>
      <w:r>
        <w:rPr>
          <w:sz w:val="24"/>
          <w:szCs w:val="24"/>
        </w:rPr>
        <w:t xml:space="preserve">tions </w:t>
      </w:r>
      <w:r>
        <w:rPr>
          <w:spacing w:val="-1"/>
          <w:sz w:val="24"/>
          <w:szCs w:val="24"/>
        </w:rPr>
        <w:t>f</w:t>
      </w:r>
      <w:r>
        <w:rPr>
          <w:sz w:val="24"/>
          <w:szCs w:val="24"/>
        </w:rPr>
        <w:t>or</w:t>
      </w:r>
      <w:r>
        <w:rPr>
          <w:spacing w:val="-1"/>
          <w:sz w:val="24"/>
          <w:szCs w:val="24"/>
        </w:rPr>
        <w:t xml:space="preserve"> </w:t>
      </w:r>
      <w:r>
        <w:rPr>
          <w:spacing w:val="1"/>
          <w:sz w:val="24"/>
          <w:szCs w:val="24"/>
        </w:rPr>
        <w:t>CC</w:t>
      </w:r>
      <w:r>
        <w:rPr>
          <w:spacing w:val="-6"/>
          <w:sz w:val="24"/>
          <w:szCs w:val="24"/>
        </w:rPr>
        <w:t>II</w:t>
      </w:r>
      <w:r>
        <w:rPr>
          <w:sz w:val="24"/>
          <w:szCs w:val="24"/>
        </w:rPr>
        <w:t xml:space="preserve">O </w:t>
      </w:r>
      <w:r>
        <w:rPr>
          <w:spacing w:val="-1"/>
          <w:sz w:val="24"/>
          <w:szCs w:val="24"/>
        </w:rPr>
        <w:t>e</w:t>
      </w:r>
      <w:r>
        <w:rPr>
          <w:sz w:val="24"/>
          <w:szCs w:val="24"/>
        </w:rPr>
        <w:t>mplo</w:t>
      </w:r>
      <w:r>
        <w:rPr>
          <w:spacing w:val="-7"/>
          <w:sz w:val="24"/>
          <w:szCs w:val="24"/>
        </w:rPr>
        <w:t>y</w:t>
      </w:r>
      <w:r>
        <w:rPr>
          <w:spacing w:val="-1"/>
          <w:sz w:val="24"/>
          <w:szCs w:val="24"/>
        </w:rPr>
        <w:t>ee</w:t>
      </w:r>
      <w:r>
        <w:rPr>
          <w:sz w:val="24"/>
          <w:szCs w:val="24"/>
        </w:rPr>
        <w:t>s’ hou</w:t>
      </w:r>
      <w:r>
        <w:rPr>
          <w:spacing w:val="-1"/>
          <w:sz w:val="24"/>
          <w:szCs w:val="24"/>
        </w:rPr>
        <w:t>r</w:t>
      </w:r>
      <w:r>
        <w:rPr>
          <w:sz w:val="24"/>
          <w:szCs w:val="24"/>
        </w:rPr>
        <w:t>ly</w:t>
      </w:r>
      <w:r>
        <w:rPr>
          <w:spacing w:val="-7"/>
          <w:sz w:val="24"/>
          <w:szCs w:val="24"/>
        </w:rPr>
        <w:t xml:space="preserve"> </w:t>
      </w:r>
      <w:r>
        <w:rPr>
          <w:sz w:val="24"/>
          <w:szCs w:val="24"/>
        </w:rPr>
        <w:t>s</w:t>
      </w:r>
      <w:r>
        <w:rPr>
          <w:spacing w:val="-1"/>
          <w:sz w:val="24"/>
          <w:szCs w:val="24"/>
        </w:rPr>
        <w:t>a</w:t>
      </w:r>
      <w:r>
        <w:rPr>
          <w:sz w:val="24"/>
          <w:szCs w:val="24"/>
        </w:rPr>
        <w:t>l</w:t>
      </w:r>
      <w:r>
        <w:rPr>
          <w:spacing w:val="-1"/>
          <w:sz w:val="24"/>
          <w:szCs w:val="24"/>
        </w:rPr>
        <w:t>ar</w:t>
      </w:r>
      <w:r>
        <w:rPr>
          <w:sz w:val="24"/>
          <w:szCs w:val="24"/>
        </w:rPr>
        <w:t>y</w:t>
      </w:r>
      <w:r>
        <w:rPr>
          <w:spacing w:val="-7"/>
          <w:sz w:val="24"/>
          <w:szCs w:val="24"/>
        </w:rPr>
        <w:t xml:space="preserve"> </w:t>
      </w:r>
      <w:r>
        <w:rPr>
          <w:sz w:val="24"/>
          <w:szCs w:val="24"/>
        </w:rPr>
        <w:t>w</w:t>
      </w:r>
      <w:r w:rsidR="00C22FB4">
        <w:rPr>
          <w:spacing w:val="-1"/>
          <w:sz w:val="24"/>
          <w:szCs w:val="24"/>
        </w:rPr>
        <w:t>ere</w:t>
      </w:r>
      <w:r>
        <w:rPr>
          <w:sz w:val="24"/>
          <w:szCs w:val="24"/>
        </w:rPr>
        <w:t xml:space="preserve"> obt</w:t>
      </w:r>
      <w:r>
        <w:rPr>
          <w:spacing w:val="-1"/>
          <w:sz w:val="24"/>
          <w:szCs w:val="24"/>
        </w:rPr>
        <w:t>a</w:t>
      </w:r>
      <w:r>
        <w:rPr>
          <w:sz w:val="24"/>
          <w:szCs w:val="24"/>
        </w:rPr>
        <w:t>in</w:t>
      </w:r>
      <w:r>
        <w:rPr>
          <w:spacing w:val="-1"/>
          <w:sz w:val="24"/>
          <w:szCs w:val="24"/>
        </w:rPr>
        <w:t>e</w:t>
      </w:r>
      <w:r>
        <w:rPr>
          <w:sz w:val="24"/>
          <w:szCs w:val="24"/>
        </w:rPr>
        <w:t xml:space="preserve">d </w:t>
      </w:r>
      <w:r>
        <w:rPr>
          <w:spacing w:val="-1"/>
          <w:sz w:val="24"/>
          <w:szCs w:val="24"/>
        </w:rPr>
        <w:t>fr</w:t>
      </w:r>
      <w:r>
        <w:rPr>
          <w:sz w:val="24"/>
          <w:szCs w:val="24"/>
        </w:rPr>
        <w:t>om the</w:t>
      </w:r>
      <w:r>
        <w:rPr>
          <w:spacing w:val="-1"/>
          <w:sz w:val="24"/>
          <w:szCs w:val="24"/>
        </w:rPr>
        <w:t xml:space="preserve"> </w:t>
      </w:r>
      <w:r>
        <w:rPr>
          <w:sz w:val="24"/>
          <w:szCs w:val="24"/>
        </w:rPr>
        <w:t>O</w:t>
      </w:r>
      <w:r>
        <w:rPr>
          <w:spacing w:val="1"/>
          <w:sz w:val="24"/>
          <w:szCs w:val="24"/>
        </w:rPr>
        <w:t>P</w:t>
      </w:r>
      <w:r>
        <w:rPr>
          <w:sz w:val="24"/>
          <w:szCs w:val="24"/>
        </w:rPr>
        <w:t>M w</w:t>
      </w:r>
      <w:r>
        <w:rPr>
          <w:spacing w:val="-1"/>
          <w:sz w:val="24"/>
          <w:szCs w:val="24"/>
        </w:rPr>
        <w:t>e</w:t>
      </w:r>
      <w:r>
        <w:rPr>
          <w:sz w:val="24"/>
          <w:szCs w:val="24"/>
        </w:rPr>
        <w:t>bsit</w:t>
      </w:r>
      <w:r>
        <w:rPr>
          <w:spacing w:val="-1"/>
          <w:sz w:val="24"/>
          <w:szCs w:val="24"/>
        </w:rPr>
        <w:t>e</w:t>
      </w:r>
      <w:r>
        <w:rPr>
          <w:sz w:val="24"/>
          <w:szCs w:val="24"/>
        </w:rPr>
        <w:t xml:space="preserve">: </w:t>
      </w:r>
      <w:hyperlink w:history="1" r:id="rId14">
        <w:r w:rsidRPr="00D01EB4" w:rsidR="00C22FB4">
          <w:rPr>
            <w:rStyle w:val="Hyperlink"/>
            <w:sz w:val="24"/>
            <w:szCs w:val="24"/>
          </w:rPr>
          <w:t>https://www.opm.gov/policy-data-oversight/pay-leave/salaries-wages/salary-tables/pdf/2019/GS_h.pdf</w:t>
        </w:r>
      </w:hyperlink>
    </w:p>
    <w:p w:rsidR="00903720" w:rsidP="00CA1687" w:rsidRDefault="00903720" w14:paraId="2A383DE4" w14:textId="77777777">
      <w:pPr>
        <w:spacing w:before="14" w:line="240" w:lineRule="exact"/>
        <w:ind w:right="30"/>
        <w:rPr>
          <w:rFonts w:ascii="Calibri" w:hAnsi="Calibri" w:cs="Calibri"/>
          <w:sz w:val="24"/>
          <w:szCs w:val="24"/>
        </w:rPr>
      </w:pPr>
    </w:p>
    <w:p w:rsidR="00903720" w:rsidP="00CA1687" w:rsidRDefault="00903720" w14:paraId="4AC4CA19" w14:textId="70B74623">
      <w:pPr>
        <w:spacing w:before="29"/>
        <w:ind w:right="30"/>
        <w:rPr>
          <w:b/>
          <w:sz w:val="24"/>
          <w:szCs w:val="24"/>
        </w:rPr>
      </w:pPr>
      <w:r w:rsidRPr="00251817">
        <w:rPr>
          <w:b/>
          <w:sz w:val="24"/>
          <w:szCs w:val="24"/>
        </w:rPr>
        <w:t>T</w:t>
      </w:r>
      <w:r w:rsidRPr="00251817">
        <w:rPr>
          <w:b/>
          <w:spacing w:val="-1"/>
          <w:sz w:val="24"/>
          <w:szCs w:val="24"/>
        </w:rPr>
        <w:t>a</w:t>
      </w:r>
      <w:r w:rsidRPr="00251817">
        <w:rPr>
          <w:b/>
          <w:sz w:val="24"/>
          <w:szCs w:val="24"/>
        </w:rPr>
        <w:t>ble</w:t>
      </w:r>
      <w:r w:rsidRPr="00251817">
        <w:rPr>
          <w:b/>
          <w:spacing w:val="-1"/>
          <w:sz w:val="24"/>
          <w:szCs w:val="24"/>
        </w:rPr>
        <w:t xml:space="preserve"> </w:t>
      </w:r>
      <w:r w:rsidR="00C56348">
        <w:rPr>
          <w:b/>
          <w:sz w:val="24"/>
          <w:szCs w:val="24"/>
        </w:rPr>
        <w:t xml:space="preserve">8: </w:t>
      </w:r>
      <w:r w:rsidRPr="00251817">
        <w:rPr>
          <w:b/>
          <w:sz w:val="24"/>
          <w:szCs w:val="24"/>
        </w:rPr>
        <w:t>Administ</w:t>
      </w:r>
      <w:r w:rsidRPr="00251817">
        <w:rPr>
          <w:b/>
          <w:spacing w:val="-1"/>
          <w:sz w:val="24"/>
          <w:szCs w:val="24"/>
        </w:rPr>
        <w:t>ra</w:t>
      </w:r>
      <w:r w:rsidRPr="00251817">
        <w:rPr>
          <w:b/>
          <w:sz w:val="24"/>
          <w:szCs w:val="24"/>
        </w:rPr>
        <w:t>tive</w:t>
      </w:r>
      <w:r w:rsidRPr="00251817">
        <w:rPr>
          <w:b/>
          <w:spacing w:val="-1"/>
          <w:sz w:val="24"/>
          <w:szCs w:val="24"/>
        </w:rPr>
        <w:t xml:space="preserve"> </w:t>
      </w:r>
      <w:r w:rsidRPr="00251817">
        <w:rPr>
          <w:b/>
          <w:spacing w:val="-2"/>
          <w:sz w:val="24"/>
          <w:szCs w:val="24"/>
        </w:rPr>
        <w:t>B</w:t>
      </w:r>
      <w:r w:rsidRPr="00251817">
        <w:rPr>
          <w:b/>
          <w:sz w:val="24"/>
          <w:szCs w:val="24"/>
        </w:rPr>
        <w:t>u</w:t>
      </w:r>
      <w:r w:rsidRPr="00251817">
        <w:rPr>
          <w:b/>
          <w:spacing w:val="-1"/>
          <w:sz w:val="24"/>
          <w:szCs w:val="24"/>
        </w:rPr>
        <w:t>r</w:t>
      </w:r>
      <w:r w:rsidRPr="00251817">
        <w:rPr>
          <w:b/>
          <w:sz w:val="24"/>
          <w:szCs w:val="24"/>
        </w:rPr>
        <w:t>d</w:t>
      </w:r>
      <w:r w:rsidRPr="00251817">
        <w:rPr>
          <w:b/>
          <w:spacing w:val="-1"/>
          <w:sz w:val="24"/>
          <w:szCs w:val="24"/>
        </w:rPr>
        <w:t>e</w:t>
      </w:r>
      <w:r w:rsidRPr="00251817">
        <w:rPr>
          <w:b/>
          <w:sz w:val="24"/>
          <w:szCs w:val="24"/>
        </w:rPr>
        <w:t xml:space="preserve">n </w:t>
      </w:r>
      <w:r w:rsidRPr="00251817">
        <w:rPr>
          <w:b/>
          <w:spacing w:val="1"/>
          <w:sz w:val="24"/>
          <w:szCs w:val="24"/>
        </w:rPr>
        <w:t>C</w:t>
      </w:r>
      <w:r w:rsidRPr="00251817">
        <w:rPr>
          <w:b/>
          <w:sz w:val="24"/>
          <w:szCs w:val="24"/>
        </w:rPr>
        <w:t xml:space="preserve">osts </w:t>
      </w:r>
      <w:r w:rsidRPr="00251817">
        <w:rPr>
          <w:b/>
          <w:spacing w:val="-1"/>
          <w:sz w:val="24"/>
          <w:szCs w:val="24"/>
        </w:rPr>
        <w:t>f</w:t>
      </w:r>
      <w:r w:rsidRPr="00251817">
        <w:rPr>
          <w:b/>
          <w:sz w:val="24"/>
          <w:szCs w:val="24"/>
        </w:rPr>
        <w:t>or</w:t>
      </w:r>
      <w:r w:rsidRPr="00251817">
        <w:rPr>
          <w:b/>
          <w:spacing w:val="-1"/>
          <w:sz w:val="24"/>
          <w:szCs w:val="24"/>
        </w:rPr>
        <w:t xml:space="preserve"> </w:t>
      </w:r>
      <w:r w:rsidRPr="00251817">
        <w:rPr>
          <w:b/>
          <w:sz w:val="24"/>
          <w:szCs w:val="24"/>
        </w:rPr>
        <w:t>the</w:t>
      </w:r>
      <w:r w:rsidRPr="00251817">
        <w:rPr>
          <w:b/>
          <w:spacing w:val="-1"/>
          <w:sz w:val="24"/>
          <w:szCs w:val="24"/>
        </w:rPr>
        <w:t xml:space="preserve"> Fe</w:t>
      </w:r>
      <w:r w:rsidRPr="00251817">
        <w:rPr>
          <w:b/>
          <w:sz w:val="24"/>
          <w:szCs w:val="24"/>
        </w:rPr>
        <w:t>d</w:t>
      </w:r>
      <w:r w:rsidRPr="00251817">
        <w:rPr>
          <w:b/>
          <w:spacing w:val="-1"/>
          <w:sz w:val="24"/>
          <w:szCs w:val="24"/>
        </w:rPr>
        <w:t>era</w:t>
      </w:r>
      <w:r w:rsidRPr="00251817">
        <w:rPr>
          <w:b/>
          <w:sz w:val="24"/>
          <w:szCs w:val="24"/>
        </w:rPr>
        <w:t>l Gov</w:t>
      </w:r>
      <w:r w:rsidRPr="00251817">
        <w:rPr>
          <w:b/>
          <w:spacing w:val="-1"/>
          <w:sz w:val="24"/>
          <w:szCs w:val="24"/>
        </w:rPr>
        <w:t>er</w:t>
      </w:r>
      <w:r w:rsidRPr="00251817">
        <w:rPr>
          <w:b/>
          <w:sz w:val="24"/>
          <w:szCs w:val="24"/>
        </w:rPr>
        <w:t>nm</w:t>
      </w:r>
      <w:r w:rsidRPr="00251817">
        <w:rPr>
          <w:b/>
          <w:spacing w:val="-1"/>
          <w:sz w:val="24"/>
          <w:szCs w:val="24"/>
        </w:rPr>
        <w:t>e</w:t>
      </w:r>
      <w:r w:rsidRPr="00251817">
        <w:rPr>
          <w:b/>
          <w:sz w:val="24"/>
          <w:szCs w:val="24"/>
        </w:rPr>
        <w:t>nt Asso</w:t>
      </w:r>
      <w:r w:rsidRPr="00251817">
        <w:rPr>
          <w:b/>
          <w:spacing w:val="-1"/>
          <w:sz w:val="24"/>
          <w:szCs w:val="24"/>
        </w:rPr>
        <w:t>c</w:t>
      </w:r>
      <w:r w:rsidRPr="00251817">
        <w:rPr>
          <w:b/>
          <w:sz w:val="24"/>
          <w:szCs w:val="24"/>
        </w:rPr>
        <w:t>i</w:t>
      </w:r>
      <w:r w:rsidRPr="00251817">
        <w:rPr>
          <w:b/>
          <w:spacing w:val="-1"/>
          <w:sz w:val="24"/>
          <w:szCs w:val="24"/>
        </w:rPr>
        <w:t>a</w:t>
      </w:r>
      <w:r w:rsidRPr="00251817">
        <w:rPr>
          <w:b/>
          <w:sz w:val="24"/>
          <w:szCs w:val="24"/>
        </w:rPr>
        <w:t>t</w:t>
      </w:r>
      <w:r w:rsidRPr="00251817">
        <w:rPr>
          <w:b/>
          <w:spacing w:val="-1"/>
          <w:sz w:val="24"/>
          <w:szCs w:val="24"/>
        </w:rPr>
        <w:t>e</w:t>
      </w:r>
      <w:r w:rsidRPr="00251817">
        <w:rPr>
          <w:b/>
          <w:sz w:val="24"/>
          <w:szCs w:val="24"/>
        </w:rPr>
        <w:t>d with the</w:t>
      </w:r>
      <w:r w:rsidR="00AF69BD">
        <w:rPr>
          <w:b/>
          <w:sz w:val="24"/>
          <w:szCs w:val="24"/>
        </w:rPr>
        <w:t xml:space="preserve"> </w:t>
      </w:r>
      <w:r w:rsidRPr="00251817" w:rsidR="00AF69BD">
        <w:rPr>
          <w:b/>
          <w:sz w:val="24"/>
          <w:szCs w:val="24"/>
        </w:rPr>
        <w:t xml:space="preserve">EHB-Benchmark Plan Selection and Annual Reporting of State Mandates </w:t>
      </w:r>
    </w:p>
    <w:p w:rsidRPr="00251817" w:rsidR="00251817" w:rsidP="00CA1687" w:rsidRDefault="00251817" w14:paraId="2543059B" w14:textId="77777777">
      <w:pPr>
        <w:spacing w:before="29"/>
        <w:ind w:right="30"/>
        <w:rPr>
          <w:b/>
          <w:sz w:val="24"/>
          <w:szCs w:val="24"/>
        </w:rPr>
      </w:pPr>
    </w:p>
    <w:tbl>
      <w:tblPr>
        <w:tblW w:w="9540" w:type="dxa"/>
        <w:jc w:val="center"/>
        <w:tblCellMar>
          <w:left w:w="0" w:type="dxa"/>
          <w:right w:w="0" w:type="dxa"/>
        </w:tblCellMar>
        <w:tblLook w:val="04A0" w:firstRow="1" w:lastRow="0" w:firstColumn="1" w:lastColumn="0" w:noHBand="0" w:noVBand="1"/>
      </w:tblPr>
      <w:tblGrid>
        <w:gridCol w:w="5035"/>
        <w:gridCol w:w="4505"/>
      </w:tblGrid>
      <w:tr w:rsidRPr="00D01EB4" w:rsidR="00903720" w:rsidTr="00251817" w14:paraId="44B5EE09" w14:textId="77777777">
        <w:trPr>
          <w:trHeight w:val="310" w:hRule="exact"/>
          <w:jc w:val="center"/>
        </w:trPr>
        <w:tc>
          <w:tcPr>
            <w:tcW w:w="5035" w:type="dxa"/>
            <w:tcBorders>
              <w:top w:val="single" w:color="000000" w:sz="8" w:space="0"/>
              <w:left w:val="single" w:color="000000" w:sz="8" w:space="0"/>
              <w:bottom w:val="single" w:color="000000" w:sz="8" w:space="0"/>
              <w:right w:val="single" w:color="000000" w:sz="8" w:space="0"/>
            </w:tcBorders>
            <w:hideMark/>
          </w:tcPr>
          <w:p w:rsidRPr="00D01EB4" w:rsidR="00903720" w:rsidP="00D01EB4" w:rsidRDefault="00903720" w14:paraId="7A89ED5B" w14:textId="77777777">
            <w:pPr>
              <w:spacing w:before="22"/>
              <w:ind w:right="30"/>
              <w:jc w:val="center"/>
              <w:rPr>
                <w:sz w:val="24"/>
                <w:szCs w:val="24"/>
              </w:rPr>
            </w:pPr>
            <w:r w:rsidRPr="00D01EB4">
              <w:rPr>
                <w:b/>
                <w:bCs/>
                <w:spacing w:val="1"/>
                <w:sz w:val="24"/>
                <w:szCs w:val="24"/>
              </w:rPr>
              <w:t>T</w:t>
            </w:r>
            <w:r w:rsidRPr="00D01EB4">
              <w:rPr>
                <w:b/>
                <w:bCs/>
                <w:sz w:val="24"/>
                <w:szCs w:val="24"/>
              </w:rPr>
              <w:t>ask</w:t>
            </w:r>
          </w:p>
        </w:tc>
        <w:tc>
          <w:tcPr>
            <w:tcW w:w="4505" w:type="dxa"/>
            <w:tcBorders>
              <w:top w:val="single" w:color="000000" w:sz="8" w:space="0"/>
              <w:left w:val="nil"/>
              <w:bottom w:val="single" w:color="000000" w:sz="8" w:space="0"/>
              <w:right w:val="single" w:color="000000" w:sz="8" w:space="0"/>
            </w:tcBorders>
            <w:hideMark/>
          </w:tcPr>
          <w:p w:rsidRPr="00D01EB4" w:rsidR="00903720" w:rsidP="00CA1687" w:rsidRDefault="00903720" w14:paraId="1863B8D1" w14:textId="77777777">
            <w:pPr>
              <w:spacing w:before="22"/>
              <w:ind w:right="30"/>
              <w:jc w:val="center"/>
              <w:rPr>
                <w:sz w:val="24"/>
                <w:szCs w:val="24"/>
              </w:rPr>
            </w:pPr>
            <w:r w:rsidRPr="00D01EB4">
              <w:rPr>
                <w:b/>
                <w:bCs/>
                <w:spacing w:val="1"/>
                <w:sz w:val="24"/>
                <w:szCs w:val="24"/>
              </w:rPr>
              <w:t>E</w:t>
            </w:r>
            <w:r w:rsidRPr="00D01EB4">
              <w:rPr>
                <w:b/>
                <w:bCs/>
                <w:sz w:val="24"/>
                <w:szCs w:val="24"/>
              </w:rPr>
              <w:t>s</w:t>
            </w:r>
            <w:r w:rsidRPr="00D01EB4">
              <w:rPr>
                <w:b/>
                <w:bCs/>
                <w:spacing w:val="-1"/>
                <w:sz w:val="24"/>
                <w:szCs w:val="24"/>
              </w:rPr>
              <w:t>t</w:t>
            </w:r>
            <w:r w:rsidRPr="00D01EB4">
              <w:rPr>
                <w:b/>
                <w:bCs/>
                <w:sz w:val="24"/>
                <w:szCs w:val="24"/>
              </w:rPr>
              <w:t>i</w:t>
            </w:r>
            <w:r w:rsidRPr="00D01EB4">
              <w:rPr>
                <w:b/>
                <w:bCs/>
                <w:spacing w:val="-3"/>
                <w:sz w:val="24"/>
                <w:szCs w:val="24"/>
              </w:rPr>
              <w:t>m</w:t>
            </w:r>
            <w:r w:rsidRPr="00D01EB4">
              <w:rPr>
                <w:b/>
                <w:bCs/>
                <w:sz w:val="24"/>
                <w:szCs w:val="24"/>
              </w:rPr>
              <w:t>a</w:t>
            </w:r>
            <w:r w:rsidRPr="00D01EB4">
              <w:rPr>
                <w:b/>
                <w:bCs/>
                <w:spacing w:val="-1"/>
                <w:sz w:val="24"/>
                <w:szCs w:val="24"/>
              </w:rPr>
              <w:t>te</w:t>
            </w:r>
            <w:r w:rsidRPr="00D01EB4">
              <w:rPr>
                <w:b/>
                <w:bCs/>
                <w:sz w:val="24"/>
                <w:szCs w:val="24"/>
              </w:rPr>
              <w:t>d</w:t>
            </w:r>
            <w:r w:rsidRPr="00D01EB4">
              <w:rPr>
                <w:b/>
                <w:bCs/>
                <w:spacing w:val="1"/>
                <w:sz w:val="24"/>
                <w:szCs w:val="24"/>
              </w:rPr>
              <w:t xml:space="preserve"> </w:t>
            </w:r>
            <w:r w:rsidRPr="00D01EB4">
              <w:rPr>
                <w:b/>
                <w:bCs/>
                <w:sz w:val="24"/>
                <w:szCs w:val="24"/>
              </w:rPr>
              <w:t>Cost</w:t>
            </w:r>
          </w:p>
        </w:tc>
      </w:tr>
      <w:tr w:rsidRPr="00D01EB4" w:rsidR="00903720" w:rsidTr="00251817" w14:paraId="6EC593A0" w14:textId="77777777">
        <w:trPr>
          <w:trHeight w:val="604" w:hRule="exact"/>
          <w:jc w:val="center"/>
        </w:trPr>
        <w:tc>
          <w:tcPr>
            <w:tcW w:w="5035" w:type="dxa"/>
            <w:tcBorders>
              <w:top w:val="nil"/>
              <w:left w:val="single" w:color="000000" w:sz="8" w:space="0"/>
              <w:bottom w:val="single" w:color="000000" w:sz="8" w:space="0"/>
              <w:right w:val="single" w:color="000000" w:sz="8" w:space="0"/>
            </w:tcBorders>
            <w:hideMark/>
          </w:tcPr>
          <w:p w:rsidRPr="00D01EB4" w:rsidR="00903720" w:rsidP="00C56348" w:rsidRDefault="00C22FB4" w14:paraId="1279AD62" w14:textId="7CA7101E">
            <w:pPr>
              <w:spacing w:before="17"/>
              <w:ind w:left="79" w:right="30"/>
              <w:rPr>
                <w:sz w:val="24"/>
                <w:szCs w:val="24"/>
              </w:rPr>
            </w:pPr>
            <w:r w:rsidRPr="00D01EB4">
              <w:rPr>
                <w:sz w:val="24"/>
                <w:szCs w:val="24"/>
              </w:rPr>
              <w:t>EHB-Benchmark Plan Selection and Annual  Reporting of State Mandates</w:t>
            </w:r>
          </w:p>
        </w:tc>
        <w:tc>
          <w:tcPr>
            <w:tcW w:w="4505" w:type="dxa"/>
            <w:tcBorders>
              <w:top w:val="nil"/>
              <w:left w:val="nil"/>
              <w:bottom w:val="single" w:color="000000" w:sz="8" w:space="0"/>
              <w:right w:val="single" w:color="000000" w:sz="8" w:space="0"/>
            </w:tcBorders>
          </w:tcPr>
          <w:p w:rsidRPr="00D01EB4" w:rsidR="00903720" w:rsidP="00CA1687" w:rsidRDefault="00903720" w14:paraId="60FD4178" w14:textId="77777777">
            <w:pPr>
              <w:ind w:right="30"/>
              <w:jc w:val="center"/>
              <w:rPr>
                <w:rFonts w:ascii="Calibri" w:hAnsi="Calibri" w:cs="Calibri"/>
                <w:sz w:val="24"/>
                <w:szCs w:val="24"/>
              </w:rPr>
            </w:pPr>
          </w:p>
        </w:tc>
      </w:tr>
      <w:tr w:rsidRPr="00D01EB4" w:rsidR="00903720" w:rsidTr="00251817" w14:paraId="7BFDD976" w14:textId="77777777">
        <w:trPr>
          <w:trHeight w:val="310" w:hRule="exact"/>
          <w:jc w:val="center"/>
        </w:trPr>
        <w:tc>
          <w:tcPr>
            <w:tcW w:w="5035" w:type="dxa"/>
            <w:tcBorders>
              <w:top w:val="nil"/>
              <w:left w:val="single" w:color="000000" w:sz="8" w:space="0"/>
              <w:bottom w:val="single" w:color="000000" w:sz="8" w:space="0"/>
              <w:right w:val="single" w:color="000000" w:sz="8" w:space="0"/>
            </w:tcBorders>
            <w:hideMark/>
          </w:tcPr>
          <w:p w:rsidRPr="00D01EB4" w:rsidR="00903720" w:rsidP="00C56348" w:rsidRDefault="00C22FB4" w14:paraId="2CBD44B5" w14:textId="189CF14D">
            <w:pPr>
              <w:spacing w:before="17"/>
              <w:ind w:left="79" w:right="30"/>
              <w:rPr>
                <w:sz w:val="24"/>
                <w:szCs w:val="24"/>
              </w:rPr>
            </w:pPr>
            <w:r w:rsidRPr="00D01EB4">
              <w:rPr>
                <w:sz w:val="24"/>
                <w:szCs w:val="24"/>
              </w:rPr>
              <w:t>1 FTE GS-13: 1</w:t>
            </w:r>
            <w:r w:rsidRPr="00D01EB4" w:rsidR="00903720">
              <w:rPr>
                <w:sz w:val="24"/>
                <w:szCs w:val="24"/>
              </w:rPr>
              <w:t xml:space="preserve"> x</w:t>
            </w:r>
            <w:r w:rsidRPr="00D01EB4" w:rsidR="00903720">
              <w:rPr>
                <w:spacing w:val="2"/>
                <w:sz w:val="24"/>
                <w:szCs w:val="24"/>
              </w:rPr>
              <w:t xml:space="preserve"> </w:t>
            </w:r>
            <w:r w:rsidRPr="00D01EB4" w:rsidR="00903720">
              <w:rPr>
                <w:sz w:val="24"/>
                <w:szCs w:val="24"/>
              </w:rPr>
              <w:t>$</w:t>
            </w:r>
            <w:r w:rsidRPr="00D01EB4">
              <w:rPr>
                <w:sz w:val="24"/>
                <w:szCs w:val="24"/>
              </w:rPr>
              <w:t>36.75</w:t>
            </w:r>
            <w:r w:rsidRPr="00D01EB4" w:rsidR="00903720">
              <w:rPr>
                <w:sz w:val="24"/>
                <w:szCs w:val="24"/>
              </w:rPr>
              <w:t xml:space="preserve"> x</w:t>
            </w:r>
            <w:r w:rsidRPr="00D01EB4" w:rsidR="00903720">
              <w:rPr>
                <w:spacing w:val="2"/>
                <w:sz w:val="24"/>
                <w:szCs w:val="24"/>
              </w:rPr>
              <w:t xml:space="preserve"> </w:t>
            </w:r>
            <w:r w:rsidRPr="00D01EB4">
              <w:rPr>
                <w:spacing w:val="2"/>
                <w:sz w:val="24"/>
                <w:szCs w:val="24"/>
              </w:rPr>
              <w:t>1</w:t>
            </w:r>
            <w:r w:rsidRPr="00D01EB4" w:rsidR="00903720">
              <w:rPr>
                <w:sz w:val="24"/>
                <w:szCs w:val="24"/>
              </w:rPr>
              <w:t>50 hou</w:t>
            </w:r>
            <w:r w:rsidRPr="00D01EB4" w:rsidR="00903720">
              <w:rPr>
                <w:spacing w:val="-1"/>
                <w:sz w:val="24"/>
                <w:szCs w:val="24"/>
              </w:rPr>
              <w:t>r</w:t>
            </w:r>
            <w:r w:rsidRPr="00D01EB4" w:rsidR="00903720">
              <w:rPr>
                <w:sz w:val="24"/>
                <w:szCs w:val="24"/>
              </w:rPr>
              <w:t>s</w:t>
            </w:r>
          </w:p>
        </w:tc>
        <w:tc>
          <w:tcPr>
            <w:tcW w:w="4505" w:type="dxa"/>
            <w:tcBorders>
              <w:top w:val="nil"/>
              <w:left w:val="nil"/>
              <w:bottom w:val="single" w:color="000000" w:sz="8" w:space="0"/>
              <w:right w:val="single" w:color="000000" w:sz="8" w:space="0"/>
            </w:tcBorders>
            <w:hideMark/>
          </w:tcPr>
          <w:p w:rsidRPr="00D01EB4" w:rsidR="00903720" w:rsidP="00CA1687" w:rsidRDefault="00C22FB4" w14:paraId="740196A9" w14:textId="636AD5ED">
            <w:pPr>
              <w:spacing w:before="17"/>
              <w:ind w:right="30"/>
              <w:jc w:val="center"/>
              <w:rPr>
                <w:sz w:val="24"/>
                <w:szCs w:val="24"/>
              </w:rPr>
            </w:pPr>
            <w:r w:rsidRPr="00D01EB4">
              <w:rPr>
                <w:sz w:val="24"/>
                <w:szCs w:val="24"/>
              </w:rPr>
              <w:t>$5,512.50</w:t>
            </w:r>
          </w:p>
        </w:tc>
      </w:tr>
      <w:tr w:rsidRPr="00D01EB4" w:rsidR="00903720" w:rsidTr="00251817" w14:paraId="554CA0C0" w14:textId="77777777">
        <w:trPr>
          <w:trHeight w:val="310" w:hRule="exact"/>
          <w:jc w:val="center"/>
        </w:trPr>
        <w:tc>
          <w:tcPr>
            <w:tcW w:w="5035" w:type="dxa"/>
            <w:tcBorders>
              <w:top w:val="nil"/>
              <w:left w:val="single" w:color="000000" w:sz="8" w:space="0"/>
              <w:bottom w:val="single" w:color="000000" w:sz="8" w:space="0"/>
              <w:right w:val="single" w:color="000000" w:sz="8" w:space="0"/>
            </w:tcBorders>
          </w:tcPr>
          <w:p w:rsidRPr="00D01EB4" w:rsidR="00903720" w:rsidP="00C56348" w:rsidRDefault="00C22FB4" w14:paraId="548C7EAC" w14:textId="2363DEC9">
            <w:pPr>
              <w:ind w:left="79" w:right="30"/>
              <w:rPr>
                <w:sz w:val="24"/>
                <w:szCs w:val="24"/>
              </w:rPr>
            </w:pPr>
            <w:r w:rsidRPr="00D01EB4">
              <w:rPr>
                <w:sz w:val="24"/>
                <w:szCs w:val="24"/>
              </w:rPr>
              <w:t>1 FTE GS-12: 2 x $30.90 x 70 hours</w:t>
            </w:r>
          </w:p>
        </w:tc>
        <w:tc>
          <w:tcPr>
            <w:tcW w:w="4505" w:type="dxa"/>
            <w:tcBorders>
              <w:top w:val="nil"/>
              <w:left w:val="nil"/>
              <w:bottom w:val="single" w:color="000000" w:sz="8" w:space="0"/>
              <w:right w:val="single" w:color="000000" w:sz="8" w:space="0"/>
            </w:tcBorders>
          </w:tcPr>
          <w:p w:rsidRPr="00D01EB4" w:rsidR="00903720" w:rsidP="00CA1687" w:rsidRDefault="00C22FB4" w14:paraId="2CE48199" w14:textId="203C6D43">
            <w:pPr>
              <w:ind w:right="30"/>
              <w:jc w:val="center"/>
              <w:rPr>
                <w:sz w:val="24"/>
                <w:szCs w:val="24"/>
              </w:rPr>
            </w:pPr>
            <w:r w:rsidRPr="00D01EB4">
              <w:rPr>
                <w:sz w:val="24"/>
                <w:szCs w:val="24"/>
              </w:rPr>
              <w:t>$4,326</w:t>
            </w:r>
          </w:p>
        </w:tc>
      </w:tr>
      <w:tr w:rsidRPr="00D01EB4" w:rsidR="00903720" w:rsidTr="00251817" w14:paraId="66BC9A1D" w14:textId="77777777">
        <w:trPr>
          <w:trHeight w:val="310" w:hRule="exact"/>
          <w:jc w:val="center"/>
        </w:trPr>
        <w:tc>
          <w:tcPr>
            <w:tcW w:w="5035" w:type="dxa"/>
            <w:tcBorders>
              <w:top w:val="nil"/>
              <w:left w:val="single" w:color="000000" w:sz="8" w:space="0"/>
              <w:bottom w:val="single" w:color="000000" w:sz="8" w:space="0"/>
              <w:right w:val="single" w:color="000000" w:sz="8" w:space="0"/>
            </w:tcBorders>
          </w:tcPr>
          <w:p w:rsidRPr="00D01EB4" w:rsidR="00903720" w:rsidP="00CA1687" w:rsidRDefault="00903720" w14:paraId="23F6E509" w14:textId="77777777">
            <w:pPr>
              <w:ind w:right="30"/>
              <w:rPr>
                <w:rFonts w:ascii="Calibri" w:hAnsi="Calibri" w:cs="Calibri"/>
                <w:sz w:val="24"/>
                <w:szCs w:val="24"/>
              </w:rPr>
            </w:pPr>
          </w:p>
        </w:tc>
        <w:tc>
          <w:tcPr>
            <w:tcW w:w="4505" w:type="dxa"/>
            <w:tcBorders>
              <w:top w:val="nil"/>
              <w:left w:val="nil"/>
              <w:bottom w:val="single" w:color="000000" w:sz="8" w:space="0"/>
              <w:right w:val="single" w:color="000000" w:sz="8" w:space="0"/>
            </w:tcBorders>
          </w:tcPr>
          <w:p w:rsidRPr="00D01EB4" w:rsidR="00903720" w:rsidP="00CA1687" w:rsidRDefault="00903720" w14:paraId="51BD5040" w14:textId="77777777">
            <w:pPr>
              <w:ind w:right="30"/>
              <w:rPr>
                <w:sz w:val="24"/>
                <w:szCs w:val="24"/>
              </w:rPr>
            </w:pPr>
          </w:p>
        </w:tc>
      </w:tr>
      <w:tr w:rsidRPr="00D01EB4" w:rsidR="00903720" w:rsidTr="00251817" w14:paraId="643B5CD9" w14:textId="77777777">
        <w:trPr>
          <w:trHeight w:val="310" w:hRule="exact"/>
          <w:jc w:val="center"/>
        </w:trPr>
        <w:tc>
          <w:tcPr>
            <w:tcW w:w="5035" w:type="dxa"/>
            <w:tcBorders>
              <w:top w:val="nil"/>
              <w:left w:val="single" w:color="000000" w:sz="8" w:space="0"/>
              <w:bottom w:val="single" w:color="000000" w:sz="8" w:space="0"/>
              <w:right w:val="single" w:color="000000" w:sz="8" w:space="0"/>
            </w:tcBorders>
            <w:hideMark/>
          </w:tcPr>
          <w:p w:rsidRPr="00D01EB4" w:rsidR="00903720" w:rsidP="00C56348" w:rsidRDefault="00903720" w14:paraId="6C7135D5" w14:textId="77777777">
            <w:pPr>
              <w:spacing w:before="17"/>
              <w:ind w:left="79" w:right="30"/>
              <w:rPr>
                <w:sz w:val="24"/>
                <w:szCs w:val="24"/>
              </w:rPr>
            </w:pPr>
            <w:r w:rsidRPr="00D01EB4">
              <w:rPr>
                <w:sz w:val="24"/>
                <w:szCs w:val="24"/>
              </w:rPr>
              <w:t>Tot</w:t>
            </w:r>
            <w:r w:rsidRPr="00D01EB4">
              <w:rPr>
                <w:spacing w:val="-1"/>
                <w:sz w:val="24"/>
                <w:szCs w:val="24"/>
              </w:rPr>
              <w:t>a</w:t>
            </w:r>
            <w:r w:rsidRPr="00D01EB4">
              <w:rPr>
                <w:sz w:val="24"/>
                <w:szCs w:val="24"/>
              </w:rPr>
              <w:t xml:space="preserve">l </w:t>
            </w:r>
            <w:r w:rsidRPr="00D01EB4">
              <w:rPr>
                <w:spacing w:val="1"/>
                <w:sz w:val="24"/>
                <w:szCs w:val="24"/>
              </w:rPr>
              <w:t>C</w:t>
            </w:r>
            <w:r w:rsidRPr="00D01EB4">
              <w:rPr>
                <w:sz w:val="24"/>
                <w:szCs w:val="24"/>
              </w:rPr>
              <w:t>osts to Gov</w:t>
            </w:r>
            <w:r w:rsidRPr="00D01EB4">
              <w:rPr>
                <w:spacing w:val="-1"/>
                <w:sz w:val="24"/>
                <w:szCs w:val="24"/>
              </w:rPr>
              <w:t>er</w:t>
            </w:r>
            <w:r w:rsidRPr="00D01EB4">
              <w:rPr>
                <w:sz w:val="24"/>
                <w:szCs w:val="24"/>
              </w:rPr>
              <w:t>nm</w:t>
            </w:r>
            <w:r w:rsidRPr="00D01EB4">
              <w:rPr>
                <w:spacing w:val="-1"/>
                <w:sz w:val="24"/>
                <w:szCs w:val="24"/>
              </w:rPr>
              <w:t>e</w:t>
            </w:r>
            <w:r w:rsidRPr="00D01EB4">
              <w:rPr>
                <w:sz w:val="24"/>
                <w:szCs w:val="24"/>
              </w:rPr>
              <w:t>nt</w:t>
            </w:r>
          </w:p>
        </w:tc>
        <w:tc>
          <w:tcPr>
            <w:tcW w:w="4505" w:type="dxa"/>
            <w:tcBorders>
              <w:top w:val="nil"/>
              <w:left w:val="nil"/>
              <w:bottom w:val="single" w:color="000000" w:sz="8" w:space="0"/>
              <w:right w:val="single" w:color="000000" w:sz="8" w:space="0"/>
            </w:tcBorders>
            <w:hideMark/>
          </w:tcPr>
          <w:p w:rsidRPr="00D01EB4" w:rsidR="00903720" w:rsidP="00CA1687" w:rsidRDefault="00903720" w14:paraId="4E2B0A6A" w14:textId="07F35F20">
            <w:pPr>
              <w:spacing w:before="17"/>
              <w:ind w:right="30"/>
              <w:jc w:val="center"/>
              <w:rPr>
                <w:sz w:val="24"/>
                <w:szCs w:val="24"/>
              </w:rPr>
            </w:pPr>
            <w:r w:rsidRPr="00D01EB4">
              <w:rPr>
                <w:sz w:val="24"/>
                <w:szCs w:val="24"/>
              </w:rPr>
              <w:t>$</w:t>
            </w:r>
            <w:r w:rsidRPr="00D01EB4" w:rsidR="00C22FB4">
              <w:rPr>
                <w:sz w:val="24"/>
                <w:szCs w:val="24"/>
              </w:rPr>
              <w:t>9,838.50</w:t>
            </w:r>
          </w:p>
        </w:tc>
      </w:tr>
    </w:tbl>
    <w:p w:rsidRPr="00251817" w:rsidR="00903720" w:rsidP="00CA1687" w:rsidRDefault="00903720" w14:paraId="1FCDBBA0" w14:textId="77777777">
      <w:pPr>
        <w:pStyle w:val="BodyText"/>
        <w:spacing w:before="9"/>
        <w:ind w:right="30"/>
        <w:rPr>
          <w:u w:val="single"/>
        </w:rPr>
      </w:pPr>
    </w:p>
    <w:p w:rsidR="005600BB" w:rsidP="00CA1687" w:rsidRDefault="0043666F" w14:paraId="608684B4" w14:textId="1DE90B9F">
      <w:pPr>
        <w:pStyle w:val="Heading1"/>
        <w:numPr>
          <w:ilvl w:val="0"/>
          <w:numId w:val="1"/>
        </w:numPr>
        <w:tabs>
          <w:tab w:val="left" w:pos="1260"/>
        </w:tabs>
        <w:spacing w:before="1"/>
        <w:ind w:left="720" w:right="30" w:hanging="720"/>
        <w:jc w:val="left"/>
        <w:rPr>
          <w:b w:val="0"/>
          <w:u w:val="single"/>
        </w:rPr>
      </w:pPr>
      <w:bookmarkStart w:name="15._Changes_to_Burden" w:id="112"/>
      <w:bookmarkEnd w:id="112"/>
      <w:r w:rsidRPr="00251817">
        <w:rPr>
          <w:b w:val="0"/>
          <w:u w:val="single"/>
        </w:rPr>
        <w:t>Changes to Burden</w:t>
      </w:r>
    </w:p>
    <w:p w:rsidR="00662BDB" w:rsidP="00662BDB" w:rsidRDefault="00662BDB" w14:paraId="106FA5C9" w14:textId="03B4F5EF">
      <w:pPr>
        <w:pStyle w:val="Heading1"/>
        <w:tabs>
          <w:tab w:val="left" w:pos="1260"/>
        </w:tabs>
        <w:spacing w:before="1"/>
        <w:ind w:left="0" w:right="30" w:firstLine="0"/>
        <w:rPr>
          <w:b w:val="0"/>
          <w:u w:val="single"/>
        </w:rPr>
      </w:pPr>
    </w:p>
    <w:p w:rsidR="00F01FE5" w:rsidP="00CA1687" w:rsidRDefault="005A28B7" w14:paraId="644FE7A6" w14:textId="73162064">
      <w:pPr>
        <w:pStyle w:val="BodyText"/>
        <w:ind w:right="30"/>
      </w:pPr>
      <w:r w:rsidRPr="005A28B7">
        <w:t xml:space="preserve">Burden increased by 1,763 hours (from 561 to 2,324) due to the new annual reporting of state mandate requirements as proposed in the 2021 Payment Notice.  However, there were no changes to the burden hours for the benchmark plan selection. The related benchmark plan selection templates were updated to improve clarity and usability; however, those updates were minor and did not increase or decrease the burden hours.  </w:t>
      </w:r>
    </w:p>
    <w:p w:rsidR="005A28B7" w:rsidP="00CA1687" w:rsidRDefault="005A28B7" w14:paraId="32E59A82" w14:textId="77777777">
      <w:pPr>
        <w:pStyle w:val="BodyText"/>
        <w:ind w:right="30"/>
      </w:pPr>
      <w:bookmarkStart w:name="_GoBack" w:id="113"/>
      <w:bookmarkEnd w:id="113"/>
    </w:p>
    <w:p w:rsidRPr="00251817" w:rsidR="005600BB" w:rsidP="00CA1687" w:rsidRDefault="0043666F" w14:paraId="617CCD59" w14:textId="51C62B8D">
      <w:pPr>
        <w:pStyle w:val="Heading1"/>
        <w:numPr>
          <w:ilvl w:val="0"/>
          <w:numId w:val="1"/>
        </w:numPr>
        <w:tabs>
          <w:tab w:val="left" w:pos="1260"/>
        </w:tabs>
        <w:spacing w:before="1"/>
        <w:ind w:left="720" w:right="30" w:hanging="720"/>
        <w:jc w:val="left"/>
        <w:rPr>
          <w:b w:val="0"/>
          <w:u w:val="single"/>
        </w:rPr>
      </w:pPr>
      <w:r w:rsidRPr="00251817">
        <w:rPr>
          <w:b w:val="0"/>
          <w:u w:val="single"/>
        </w:rPr>
        <w:t>Publication/Tabulation Dates</w:t>
      </w:r>
    </w:p>
    <w:p w:rsidR="005600BB" w:rsidP="00CA1687" w:rsidRDefault="005600BB" w14:paraId="0BDEB191" w14:textId="77777777">
      <w:pPr>
        <w:pStyle w:val="BodyText"/>
        <w:spacing w:before="9"/>
        <w:ind w:right="30"/>
        <w:rPr>
          <w:b/>
          <w:sz w:val="23"/>
        </w:rPr>
      </w:pPr>
    </w:p>
    <w:p w:rsidRPr="00EC74C0" w:rsidR="005600BB" w:rsidP="00CF751A" w:rsidRDefault="006E1746" w14:paraId="794EC02B" w14:textId="672B6EEA">
      <w:pPr>
        <w:pStyle w:val="BodyText"/>
        <w:ind w:right="30"/>
      </w:pPr>
      <w:bookmarkStart w:name="Yes,_in_accordance_with_the_2019_Payment" w:id="114"/>
      <w:bookmarkEnd w:id="114"/>
      <w:r w:rsidRPr="00EC74C0">
        <w:t>In</w:t>
      </w:r>
      <w:r w:rsidRPr="00EC74C0" w:rsidR="0043666F">
        <w:t xml:space="preserve"> accordance with the 2019 Payment Notice, </w:t>
      </w:r>
      <w:r w:rsidRPr="00CF751A" w:rsidR="00AF4B0D">
        <w:t>EHB-Benchmark Plan Selection</w:t>
      </w:r>
      <w:r w:rsidR="00AF4B0D">
        <w:t xml:space="preserve"> </w:t>
      </w:r>
      <w:r w:rsidRPr="00EC74C0" w:rsidR="0043666F">
        <w:t xml:space="preserve">documents covered under this information collection will be posted on the CCIIO website at some point after the annual deadline for </w:t>
      </w:r>
      <w:r w:rsidRPr="00EC74C0" w:rsidR="00EC74C0">
        <w:t>s</w:t>
      </w:r>
      <w:r w:rsidRPr="00EC74C0" w:rsidR="0043666F">
        <w:t>tate submission for its EHB-benchmark plan.</w:t>
      </w:r>
      <w:r w:rsidRPr="00EC74C0" w:rsidR="00257656">
        <w:rPr>
          <w:vertAlign w:val="superscript"/>
        </w:rPr>
        <w:footnoteReference w:id="11"/>
      </w:r>
      <w:r w:rsidRPr="00EC74C0" w:rsidR="00257656">
        <w:rPr>
          <w:vertAlign w:val="superscript"/>
        </w:rPr>
        <w:t xml:space="preserve"> </w:t>
      </w:r>
    </w:p>
    <w:p w:rsidRPr="00EC74C0" w:rsidR="005600BB" w:rsidP="00CA1687" w:rsidRDefault="005600BB" w14:paraId="5D2F302C" w14:textId="5C8A3D96">
      <w:pPr>
        <w:pStyle w:val="BodyText"/>
        <w:spacing w:before="1"/>
        <w:ind w:right="30"/>
      </w:pPr>
    </w:p>
    <w:p w:rsidR="00C93E4E" w:rsidP="00CF751A" w:rsidRDefault="006E1746" w14:paraId="3E69849A" w14:textId="499E08D5">
      <w:pPr>
        <w:pStyle w:val="BodyText"/>
        <w:spacing w:line="276" w:lineRule="exact"/>
        <w:ind w:right="30"/>
      </w:pPr>
      <w:r w:rsidRPr="00EC74C0">
        <w:t xml:space="preserve">We </w:t>
      </w:r>
      <w:r w:rsidR="001A3E52">
        <w:t>will</w:t>
      </w:r>
      <w:r w:rsidRPr="00EC74C0">
        <w:t xml:space="preserve"> collect </w:t>
      </w:r>
      <w:r w:rsidRPr="00CF751A" w:rsidR="00AF4B0D">
        <w:t>Annual Reporting of State Mandate</w:t>
      </w:r>
      <w:r w:rsidR="00AF4B0D">
        <w:t xml:space="preserve"> </w:t>
      </w:r>
      <w:r w:rsidRPr="00EC74C0">
        <w:t>information from states annually. We inten</w:t>
      </w:r>
      <w:r w:rsidR="00AF4B0D">
        <w:t>d</w:t>
      </w:r>
      <w:r w:rsidRPr="00EC74C0">
        <w:t xml:space="preserve"> to post state submissions of these documents on the CMS website prior to the end of the plan year during which the annual reporting takes place such that this information is accessible to states, QHP issuers, enrollees, stakeholders, and the general public.</w:t>
      </w:r>
      <w:r w:rsidRPr="006E1746">
        <w:t xml:space="preserve"> If the state does not notify HHS of its state-required benefits that are in addition to EHB in accordance with the requirements at §156.111(f), HHS will complete a similar document for the state and post it to the CMS website.</w:t>
      </w:r>
    </w:p>
    <w:p w:rsidR="006E1746" w:rsidP="00CA1687" w:rsidRDefault="006E1746" w14:paraId="4CA398CD" w14:textId="77777777">
      <w:pPr>
        <w:pStyle w:val="BodyText"/>
        <w:spacing w:before="1"/>
        <w:ind w:right="30"/>
      </w:pPr>
    </w:p>
    <w:p w:rsidRPr="00251817" w:rsidR="005600BB" w:rsidP="00CA1687" w:rsidRDefault="0043666F" w14:paraId="7658003E" w14:textId="77777777">
      <w:pPr>
        <w:pStyle w:val="Heading1"/>
        <w:numPr>
          <w:ilvl w:val="0"/>
          <w:numId w:val="1"/>
        </w:numPr>
        <w:tabs>
          <w:tab w:val="left" w:pos="1260"/>
        </w:tabs>
        <w:spacing w:before="1"/>
        <w:ind w:left="720" w:right="30" w:hanging="720"/>
        <w:jc w:val="left"/>
        <w:rPr>
          <w:b w:val="0"/>
          <w:u w:val="single"/>
        </w:rPr>
      </w:pPr>
      <w:bookmarkStart w:name="17._Expiration_Date" w:id="115"/>
      <w:bookmarkEnd w:id="115"/>
      <w:r w:rsidRPr="00251817">
        <w:rPr>
          <w:b w:val="0"/>
          <w:u w:val="single"/>
        </w:rPr>
        <w:t>Expiration Date</w:t>
      </w:r>
    </w:p>
    <w:p w:rsidR="005600BB" w:rsidP="00CA1687" w:rsidRDefault="005600BB" w14:paraId="290E38D2" w14:textId="77777777">
      <w:pPr>
        <w:pStyle w:val="BodyText"/>
        <w:spacing w:before="2"/>
        <w:ind w:right="30"/>
        <w:rPr>
          <w:b/>
        </w:rPr>
      </w:pPr>
    </w:p>
    <w:p w:rsidRPr="00F163CF" w:rsidR="005600BB" w:rsidP="00CA1687" w:rsidRDefault="0043666F" w14:paraId="21A69227" w14:textId="2C48D502">
      <w:pPr>
        <w:ind w:right="30"/>
        <w:rPr>
          <w:sz w:val="24"/>
        </w:rPr>
      </w:pPr>
      <w:bookmarkStart w:name="The_expiration_date_and_OMB_control_numb" w:id="116"/>
      <w:bookmarkEnd w:id="116"/>
      <w:r w:rsidRPr="00F163CF">
        <w:rPr>
          <w:sz w:val="24"/>
        </w:rPr>
        <w:t>The expiration date and OMB control number will be displayed on the first page of each instrument (top, right-hand corner).</w:t>
      </w:r>
      <w:r w:rsidRPr="00F163CF" w:rsidR="00C93E4E">
        <w:rPr>
          <w:sz w:val="24"/>
        </w:rPr>
        <w:t xml:space="preserve"> </w:t>
      </w:r>
    </w:p>
    <w:p w:rsidR="00C93E4E" w:rsidP="00CA1687" w:rsidRDefault="00C93E4E" w14:paraId="01207A15" w14:textId="55F82EA0">
      <w:pPr>
        <w:pStyle w:val="BodyText"/>
        <w:ind w:left="239" w:right="30"/>
      </w:pPr>
    </w:p>
    <w:p w:rsidR="005600BB" w:rsidP="00CA1687" w:rsidRDefault="005600BB" w14:paraId="718ED20E" w14:textId="2BDF84D3">
      <w:pPr>
        <w:spacing w:before="60"/>
        <w:ind w:left="119" w:right="30"/>
        <w:rPr>
          <w:sz w:val="20"/>
        </w:rPr>
      </w:pPr>
    </w:p>
    <w:p w:rsidR="00251817" w:rsidP="00CA1687" w:rsidRDefault="00251817" w14:paraId="42355E61" w14:textId="77777777">
      <w:pPr>
        <w:spacing w:before="60"/>
        <w:ind w:right="30"/>
        <w:rPr>
          <w:sz w:val="24"/>
          <w:szCs w:val="24"/>
        </w:rPr>
      </w:pPr>
    </w:p>
    <w:p w:rsidR="007C204F" w:rsidP="00CA1687" w:rsidRDefault="007C204F" w14:paraId="38F7605B" w14:textId="32513778">
      <w:pPr>
        <w:spacing w:before="60"/>
        <w:ind w:right="30"/>
        <w:rPr>
          <w:sz w:val="20"/>
        </w:rPr>
      </w:pPr>
    </w:p>
    <w:sectPr w:rsidR="007C204F">
      <w:footerReference w:type="default" r:id="rId15"/>
      <w:pgSz w:w="12240" w:h="15840"/>
      <w:pgMar w:top="1180" w:right="1240" w:bottom="1160" w:left="980"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B0C17" w14:textId="77777777" w:rsidR="000C732C" w:rsidRDefault="000C732C">
      <w:r>
        <w:separator/>
      </w:r>
    </w:p>
  </w:endnote>
  <w:endnote w:type="continuationSeparator" w:id="0">
    <w:p w14:paraId="1788771E" w14:textId="77777777" w:rsidR="000C732C" w:rsidRDefault="000C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521691"/>
      <w:docPartObj>
        <w:docPartGallery w:val="Page Numbers (Bottom of Page)"/>
        <w:docPartUnique/>
      </w:docPartObj>
    </w:sdtPr>
    <w:sdtEndPr>
      <w:rPr>
        <w:noProof/>
      </w:rPr>
    </w:sdtEndPr>
    <w:sdtContent>
      <w:p w14:paraId="48962B2C" w14:textId="7327338A" w:rsidR="00F26DEC" w:rsidRDefault="00F26DEC">
        <w:pPr>
          <w:pStyle w:val="Footer"/>
          <w:jc w:val="center"/>
        </w:pPr>
        <w:r>
          <w:fldChar w:fldCharType="begin"/>
        </w:r>
        <w:r>
          <w:instrText xml:space="preserve"> PAGE   \* MERGEFORMAT </w:instrText>
        </w:r>
        <w:r>
          <w:fldChar w:fldCharType="separate"/>
        </w:r>
        <w:r w:rsidR="005A28B7">
          <w:rPr>
            <w:noProof/>
          </w:rPr>
          <w:t>7</w:t>
        </w:r>
        <w:r>
          <w:rPr>
            <w:noProof/>
          </w:rPr>
          <w:fldChar w:fldCharType="end"/>
        </w:r>
      </w:p>
    </w:sdtContent>
  </w:sdt>
  <w:p w14:paraId="5ABAF80C" w14:textId="11AECB0F" w:rsidR="00F26DEC" w:rsidRDefault="00F26DE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02CD4" w14:textId="77777777" w:rsidR="000C732C" w:rsidRDefault="000C732C">
      <w:r>
        <w:separator/>
      </w:r>
    </w:p>
  </w:footnote>
  <w:footnote w:type="continuationSeparator" w:id="0">
    <w:p w14:paraId="26721E07" w14:textId="77777777" w:rsidR="000C732C" w:rsidRDefault="000C732C">
      <w:r>
        <w:continuationSeparator/>
      </w:r>
    </w:p>
  </w:footnote>
  <w:footnote w:id="1">
    <w:p w14:paraId="7AA05E90" w14:textId="3D1506BB" w:rsidR="00F26DEC" w:rsidRDefault="00F26DEC">
      <w:pPr>
        <w:pStyle w:val="FootnoteText"/>
      </w:pPr>
      <w:r>
        <w:rPr>
          <w:rStyle w:val="FootnoteReference"/>
        </w:rPr>
        <w:footnoteRef/>
      </w:r>
      <w:r>
        <w:t xml:space="preserve"> </w:t>
      </w:r>
      <w:hyperlink r:id="rId1">
        <w:r>
          <w:rPr>
            <w:color w:val="0000FF"/>
            <w:w w:val="95"/>
            <w:u w:val="single" w:color="0000FF"/>
          </w:rPr>
          <w:t>http://www.cms.gov/CCIIO/Resources/Files/Downloads/essential_health_benefits_bulletin.pdf</w:t>
        </w:r>
      </w:hyperlink>
    </w:p>
  </w:footnote>
  <w:footnote w:id="2">
    <w:p w14:paraId="2E5819DB" w14:textId="15F095EC" w:rsidR="00F26DEC" w:rsidRDefault="00F26DEC">
      <w:pPr>
        <w:pStyle w:val="FootnoteText"/>
      </w:pPr>
      <w:r>
        <w:rPr>
          <w:rStyle w:val="FootnoteReference"/>
        </w:rPr>
        <w:footnoteRef/>
      </w:r>
      <w:r>
        <w:t xml:space="preserve"> </w:t>
      </w:r>
      <w:hyperlink r:id="rId2">
        <w:r>
          <w:rPr>
            <w:color w:val="0000FF"/>
            <w:u w:val="single" w:color="0000FF"/>
          </w:rPr>
          <w:t>https://www.gpo.gov/fdsys/pkg/FR-2013-02-25/pdf/2013-04084.pdf</w:t>
        </w:r>
      </w:hyperlink>
    </w:p>
  </w:footnote>
  <w:footnote w:id="3">
    <w:p w14:paraId="54479CC6" w14:textId="18C9E111" w:rsidR="00F26DEC" w:rsidRPr="0000751F" w:rsidRDefault="00F26DEC" w:rsidP="008F39B9">
      <w:pPr>
        <w:spacing w:before="7" w:line="228" w:lineRule="exact"/>
        <w:ind w:right="36"/>
        <w:rPr>
          <w:sz w:val="20"/>
        </w:rPr>
      </w:pPr>
      <w:r>
        <w:rPr>
          <w:rStyle w:val="FootnoteReference"/>
        </w:rPr>
        <w:footnoteRef/>
      </w:r>
      <w:r>
        <w:t xml:space="preserve"> </w:t>
      </w:r>
      <w:r>
        <w:rPr>
          <w:sz w:val="20"/>
        </w:rPr>
        <w:t xml:space="preserve">A copy of the final rule is posted on CCIIO’s website at: </w:t>
      </w:r>
      <w:hyperlink r:id="rId3">
        <w:r>
          <w:rPr>
            <w:color w:val="0000FF"/>
            <w:sz w:val="20"/>
            <w:u w:val="single" w:color="0000FF"/>
          </w:rPr>
          <w:t>https://www.cms.gov/CCIIO/Resources/Regulations-and-</w:t>
        </w:r>
      </w:hyperlink>
      <w:r>
        <w:rPr>
          <w:color w:val="0000FF"/>
          <w:sz w:val="20"/>
          <w:u w:val="single" w:color="0000FF"/>
        </w:rPr>
        <w:t xml:space="preserve"> </w:t>
      </w:r>
      <w:hyperlink r:id="rId4">
        <w:r>
          <w:rPr>
            <w:color w:val="0000FF"/>
            <w:sz w:val="20"/>
            <w:u w:val="single" w:color="0000FF"/>
          </w:rPr>
          <w:t>Guidance/index.html.</w:t>
        </w:r>
      </w:hyperlink>
    </w:p>
  </w:footnote>
  <w:footnote w:id="4">
    <w:p w14:paraId="4FA92318" w14:textId="4EC5B8E8" w:rsidR="00F26DEC" w:rsidRDefault="00F26DEC">
      <w:pPr>
        <w:pStyle w:val="FootnoteText"/>
      </w:pPr>
      <w:r>
        <w:rPr>
          <w:rStyle w:val="FootnoteReference"/>
        </w:rPr>
        <w:footnoteRef/>
      </w:r>
      <w:r>
        <w:t xml:space="preserve"> A copy of the final rule is posted on CCI</w:t>
      </w:r>
      <w:r w:rsidRPr="00F7371B">
        <w:t xml:space="preserve">IO’s website at: </w:t>
      </w:r>
      <w:hyperlink r:id="rId5" w:history="1">
        <w:r w:rsidRPr="00D91F5C">
          <w:rPr>
            <w:rStyle w:val="Hyperlink"/>
          </w:rPr>
          <w:t>https://www.cms.gov/CCIIO/Resources/Regulations-and-Guidance/index.html</w:t>
        </w:r>
      </w:hyperlink>
      <w:r>
        <w:t xml:space="preserve">. </w:t>
      </w:r>
    </w:p>
  </w:footnote>
  <w:footnote w:id="5">
    <w:p w14:paraId="33C6DF65" w14:textId="6C928851" w:rsidR="00F26DEC" w:rsidRPr="0000751F" w:rsidRDefault="00F26DEC" w:rsidP="0000751F">
      <w:pPr>
        <w:spacing w:before="62" w:line="233" w:lineRule="exact"/>
        <w:ind w:left="119"/>
        <w:rPr>
          <w:sz w:val="20"/>
        </w:rPr>
      </w:pPr>
      <w:r>
        <w:rPr>
          <w:rStyle w:val="FootnoteReference"/>
        </w:rPr>
        <w:footnoteRef/>
      </w:r>
      <w:r>
        <w:t xml:space="preserve"> </w:t>
      </w:r>
      <w:r>
        <w:rPr>
          <w:sz w:val="20"/>
        </w:rPr>
        <w:t>Appendix E is only for information purposes.</w:t>
      </w:r>
    </w:p>
  </w:footnote>
  <w:footnote w:id="6">
    <w:p w14:paraId="607AE168" w14:textId="419858F0" w:rsidR="00F26DEC" w:rsidRDefault="00F26DEC">
      <w:pPr>
        <w:pStyle w:val="FootnoteText"/>
      </w:pPr>
      <w:r>
        <w:rPr>
          <w:rStyle w:val="FootnoteReference"/>
        </w:rPr>
        <w:footnoteRef/>
      </w:r>
      <w:r>
        <w:t xml:space="preserve"> The definition of EHB also has an impact on the annual limitation on cost sharing at section 1302(c) of the PPACA (which is incorporated into section 2707(b) of the PHS Act) and the prohibition of annual and lifetime dollar limits at section 2711of the PHS Act, as added by the PPACA.</w:t>
      </w:r>
    </w:p>
  </w:footnote>
  <w:footnote w:id="7">
    <w:p w14:paraId="77933CEF" w14:textId="6A56C449" w:rsidR="00F26DEC" w:rsidRDefault="00F26DEC">
      <w:pPr>
        <w:pStyle w:val="FootnoteText"/>
      </w:pPr>
      <w:r>
        <w:rPr>
          <w:rStyle w:val="FootnoteReference"/>
        </w:rPr>
        <w:footnoteRef/>
      </w:r>
      <w:r>
        <w:t xml:space="preserve"> The current CCIIO webpage for EHB-benchmark plans is available at: </w:t>
      </w:r>
      <w:hyperlink r:id="rId6">
        <w:r>
          <w:rPr>
            <w:color w:val="0000FF"/>
            <w:u w:val="single" w:color="0000FF"/>
          </w:rPr>
          <w:t>https://www.cms.gov/CCIIO/Resources/Data-</w:t>
        </w:r>
      </w:hyperlink>
      <w:r>
        <w:rPr>
          <w:color w:val="0000FF"/>
          <w:u w:val="single" w:color="0000FF"/>
        </w:rPr>
        <w:t xml:space="preserve"> </w:t>
      </w:r>
      <w:hyperlink r:id="rId7">
        <w:r>
          <w:rPr>
            <w:color w:val="0000FF"/>
            <w:u w:val="single" w:color="0000FF"/>
          </w:rPr>
          <w:t>Resources/ehb.html</w:t>
        </w:r>
        <w:r>
          <w:t>.</w:t>
        </w:r>
      </w:hyperlink>
    </w:p>
  </w:footnote>
  <w:footnote w:id="8">
    <w:p w14:paraId="25D7883E" w14:textId="1DB5258C" w:rsidR="00F26DEC" w:rsidRDefault="00F26DEC" w:rsidP="00575F42">
      <w:pPr>
        <w:pStyle w:val="FootnoteText"/>
      </w:pPr>
      <w:r>
        <w:rPr>
          <w:rStyle w:val="FootnoteReference"/>
        </w:rPr>
        <w:footnoteRef/>
      </w:r>
      <w:r>
        <w:t xml:space="preserve"> The current CCIIO webpage for EHB-benchmark plans is available at: </w:t>
      </w:r>
      <w:hyperlink r:id="rId8">
        <w:r>
          <w:rPr>
            <w:color w:val="0000FF"/>
            <w:u w:val="single" w:color="0000FF"/>
          </w:rPr>
          <w:t>https://www.cms.gov/CCIIO/Resources/Data-</w:t>
        </w:r>
      </w:hyperlink>
      <w:r>
        <w:rPr>
          <w:color w:val="0000FF"/>
          <w:u w:val="single" w:color="0000FF"/>
        </w:rPr>
        <w:t xml:space="preserve"> </w:t>
      </w:r>
      <w:hyperlink r:id="rId9">
        <w:r>
          <w:rPr>
            <w:color w:val="0000FF"/>
            <w:u w:val="single" w:color="0000FF"/>
          </w:rPr>
          <w:t>Resources/ehb.html</w:t>
        </w:r>
        <w:r>
          <w:t>.</w:t>
        </w:r>
      </w:hyperlink>
    </w:p>
  </w:footnote>
  <w:footnote w:id="9">
    <w:p w14:paraId="1AE8A88B" w14:textId="12537AD8" w:rsidR="00F26DEC" w:rsidRDefault="00F26DEC">
      <w:pPr>
        <w:pStyle w:val="FootnoteText"/>
      </w:pPr>
      <w:r>
        <w:rPr>
          <w:rStyle w:val="FootnoteReference"/>
        </w:rPr>
        <w:footnoteRef/>
      </w:r>
      <w:r>
        <w:t xml:space="preserve"> Example of an Acceptable Methodology for Comparing Benefits of a State’s EHB-benchmark Plan Selection in Accordance with 45 CFR 156.111(b)(2)(i) and (ii), available at </w:t>
      </w:r>
      <w:hyperlink r:id="rId10" w:history="1">
        <w:r>
          <w:rPr>
            <w:rStyle w:val="Hyperlink"/>
          </w:rPr>
          <w:t>https://www.cms.gov/CCIIO/Resources/Regulations-and-Guidance/Downloads/Final-Example-Acceptable-Methodology-for-Comparing-Benefits.pdf</w:t>
        </w:r>
      </w:hyperlink>
      <w:r>
        <w:t xml:space="preserve">.  </w:t>
      </w:r>
    </w:p>
  </w:footnote>
  <w:footnote w:id="10">
    <w:p w14:paraId="54451855" w14:textId="5C3FE218" w:rsidR="00F26DEC" w:rsidRPr="008F39B9" w:rsidRDefault="00F26DEC" w:rsidP="008F39B9">
      <w:pPr>
        <w:spacing w:before="60"/>
        <w:ind w:left="119"/>
        <w:rPr>
          <w:sz w:val="20"/>
        </w:rPr>
      </w:pPr>
      <w:r>
        <w:rPr>
          <w:rStyle w:val="FootnoteReference"/>
        </w:rPr>
        <w:footnoteRef/>
      </w:r>
      <w:r>
        <w:t xml:space="preserve"> </w:t>
      </w:r>
      <w:hyperlink r:id="rId11">
        <w:r>
          <w:rPr>
            <w:color w:val="0000FF"/>
            <w:w w:val="95"/>
            <w:sz w:val="20"/>
            <w:u w:val="single" w:color="0000FF"/>
          </w:rPr>
          <w:t>https://www.cms.gov/CCIIO/Resources/Data-Resources/ehb.html</w:t>
        </w:r>
        <w:r>
          <w:rPr>
            <w:w w:val="95"/>
            <w:sz w:val="20"/>
          </w:rPr>
          <w:t>.</w:t>
        </w:r>
      </w:hyperlink>
    </w:p>
  </w:footnote>
  <w:footnote w:id="11">
    <w:p w14:paraId="46961C11" w14:textId="264AD5C6" w:rsidR="00F26DEC" w:rsidRDefault="00F26DEC">
      <w:pPr>
        <w:pStyle w:val="FootnoteText"/>
      </w:pPr>
      <w:r>
        <w:rPr>
          <w:rStyle w:val="FootnoteReference"/>
        </w:rPr>
        <w:footnoteRef/>
      </w:r>
      <w:r>
        <w:t xml:space="preserve"> </w:t>
      </w:r>
      <w:hyperlink r:id="rId12">
        <w:r>
          <w:rPr>
            <w:color w:val="0000FF"/>
            <w:w w:val="95"/>
            <w:u w:val="single" w:color="0000FF"/>
          </w:rPr>
          <w:t>https://www.cms.gov/CCIIO/Resources/Data-Resources/ehb.html</w:t>
        </w:r>
        <w:r>
          <w:rPr>
            <w:w w:val="95"/>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5D9"/>
    <w:multiLevelType w:val="hybridMultilevel"/>
    <w:tmpl w:val="112E848A"/>
    <w:lvl w:ilvl="0" w:tplc="4F7A7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A5258"/>
    <w:multiLevelType w:val="hybridMultilevel"/>
    <w:tmpl w:val="97CCD80A"/>
    <w:lvl w:ilvl="0" w:tplc="304056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6B6D80"/>
    <w:multiLevelType w:val="hybridMultilevel"/>
    <w:tmpl w:val="5E845BE4"/>
    <w:lvl w:ilvl="0" w:tplc="AE4E7DF2">
      <w:start w:val="1"/>
      <w:numFmt w:val="upperLetter"/>
      <w:lvlText w:val="%1."/>
      <w:lvlJc w:val="left"/>
      <w:pPr>
        <w:ind w:left="1060" w:hanging="941"/>
      </w:pPr>
      <w:rPr>
        <w:rFonts w:ascii="Times New Roman" w:eastAsia="Times New Roman" w:hAnsi="Times New Roman" w:cs="Times New Roman" w:hint="default"/>
        <w:b/>
        <w:bCs/>
        <w:spacing w:val="-1"/>
        <w:w w:val="99"/>
        <w:sz w:val="24"/>
        <w:szCs w:val="24"/>
        <w:u w:val="single"/>
      </w:rPr>
    </w:lvl>
    <w:lvl w:ilvl="1" w:tplc="1A3E02F8">
      <w:numFmt w:val="bullet"/>
      <w:lvlText w:val="•"/>
      <w:lvlJc w:val="left"/>
      <w:pPr>
        <w:ind w:left="1972" w:hanging="941"/>
      </w:pPr>
      <w:rPr>
        <w:rFonts w:hint="default"/>
      </w:rPr>
    </w:lvl>
    <w:lvl w:ilvl="2" w:tplc="310614CA">
      <w:numFmt w:val="bullet"/>
      <w:lvlText w:val="•"/>
      <w:lvlJc w:val="left"/>
      <w:pPr>
        <w:ind w:left="2884" w:hanging="941"/>
      </w:pPr>
      <w:rPr>
        <w:rFonts w:hint="default"/>
      </w:rPr>
    </w:lvl>
    <w:lvl w:ilvl="3" w:tplc="CB0C2778">
      <w:numFmt w:val="bullet"/>
      <w:lvlText w:val="•"/>
      <w:lvlJc w:val="left"/>
      <w:pPr>
        <w:ind w:left="3796" w:hanging="941"/>
      </w:pPr>
      <w:rPr>
        <w:rFonts w:hint="default"/>
      </w:rPr>
    </w:lvl>
    <w:lvl w:ilvl="4" w:tplc="98BA8786">
      <w:numFmt w:val="bullet"/>
      <w:lvlText w:val="•"/>
      <w:lvlJc w:val="left"/>
      <w:pPr>
        <w:ind w:left="4708" w:hanging="941"/>
      </w:pPr>
      <w:rPr>
        <w:rFonts w:hint="default"/>
      </w:rPr>
    </w:lvl>
    <w:lvl w:ilvl="5" w:tplc="C04A5784">
      <w:numFmt w:val="bullet"/>
      <w:lvlText w:val="•"/>
      <w:lvlJc w:val="left"/>
      <w:pPr>
        <w:ind w:left="5620" w:hanging="941"/>
      </w:pPr>
      <w:rPr>
        <w:rFonts w:hint="default"/>
      </w:rPr>
    </w:lvl>
    <w:lvl w:ilvl="6" w:tplc="D7BAB3AC">
      <w:numFmt w:val="bullet"/>
      <w:lvlText w:val="•"/>
      <w:lvlJc w:val="left"/>
      <w:pPr>
        <w:ind w:left="6532" w:hanging="941"/>
      </w:pPr>
      <w:rPr>
        <w:rFonts w:hint="default"/>
      </w:rPr>
    </w:lvl>
    <w:lvl w:ilvl="7" w:tplc="454AA2B0">
      <w:numFmt w:val="bullet"/>
      <w:lvlText w:val="•"/>
      <w:lvlJc w:val="left"/>
      <w:pPr>
        <w:ind w:left="7444" w:hanging="941"/>
      </w:pPr>
      <w:rPr>
        <w:rFonts w:hint="default"/>
      </w:rPr>
    </w:lvl>
    <w:lvl w:ilvl="8" w:tplc="CBD67B72">
      <w:numFmt w:val="bullet"/>
      <w:lvlText w:val="•"/>
      <w:lvlJc w:val="left"/>
      <w:pPr>
        <w:ind w:left="8356" w:hanging="941"/>
      </w:pPr>
      <w:rPr>
        <w:rFonts w:hint="default"/>
      </w:rPr>
    </w:lvl>
  </w:abstractNum>
  <w:abstractNum w:abstractNumId="3" w15:restartNumberingAfterBreak="0">
    <w:nsid w:val="5C3A58FC"/>
    <w:multiLevelType w:val="hybridMultilevel"/>
    <w:tmpl w:val="B42A23AA"/>
    <w:lvl w:ilvl="0" w:tplc="EB664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4E5683"/>
    <w:multiLevelType w:val="hybridMultilevel"/>
    <w:tmpl w:val="AC082AD0"/>
    <w:lvl w:ilvl="0" w:tplc="EB42EAEC">
      <w:start w:val="1"/>
      <w:numFmt w:val="decimal"/>
      <w:lvlText w:val="%1."/>
      <w:lvlJc w:val="left"/>
      <w:pPr>
        <w:ind w:left="1060" w:hanging="941"/>
        <w:jc w:val="right"/>
      </w:pPr>
      <w:rPr>
        <w:rFonts w:ascii="Times New Roman" w:eastAsia="Times New Roman" w:hAnsi="Times New Roman" w:cs="Times New Roman" w:hint="default"/>
        <w:b w:val="0"/>
        <w:bCs/>
        <w:spacing w:val="-3"/>
        <w:w w:val="99"/>
        <w:sz w:val="24"/>
        <w:szCs w:val="24"/>
        <w:u w:val="single"/>
      </w:rPr>
    </w:lvl>
    <w:lvl w:ilvl="1" w:tplc="2DE2B184">
      <w:start w:val="1"/>
      <w:numFmt w:val="decimal"/>
      <w:lvlText w:val="(%2)"/>
      <w:lvlJc w:val="left"/>
      <w:pPr>
        <w:ind w:left="119" w:hanging="339"/>
        <w:jc w:val="right"/>
      </w:pPr>
      <w:rPr>
        <w:rFonts w:ascii="Times New Roman" w:eastAsia="Times New Roman" w:hAnsi="Times New Roman" w:cs="Times New Roman" w:hint="default"/>
        <w:spacing w:val="-1"/>
        <w:w w:val="99"/>
        <w:sz w:val="24"/>
        <w:szCs w:val="24"/>
      </w:rPr>
    </w:lvl>
    <w:lvl w:ilvl="2" w:tplc="B50C2362">
      <w:start w:val="1"/>
      <w:numFmt w:val="lowerRoman"/>
      <w:lvlText w:val="(%3)"/>
      <w:lvlJc w:val="left"/>
      <w:pPr>
        <w:ind w:left="119" w:hanging="286"/>
      </w:pPr>
      <w:rPr>
        <w:rFonts w:ascii="Times New Roman" w:eastAsia="Times New Roman" w:hAnsi="Times New Roman" w:cs="Times New Roman" w:hint="default"/>
        <w:spacing w:val="-1"/>
        <w:w w:val="99"/>
        <w:sz w:val="24"/>
        <w:szCs w:val="24"/>
      </w:rPr>
    </w:lvl>
    <w:lvl w:ilvl="3" w:tplc="F31E840A">
      <w:numFmt w:val="bullet"/>
      <w:lvlText w:val="•"/>
      <w:lvlJc w:val="left"/>
      <w:pPr>
        <w:ind w:left="3086" w:hanging="286"/>
      </w:pPr>
      <w:rPr>
        <w:rFonts w:hint="default"/>
      </w:rPr>
    </w:lvl>
    <w:lvl w:ilvl="4" w:tplc="0EE0ED56">
      <w:numFmt w:val="bullet"/>
      <w:lvlText w:val="•"/>
      <w:lvlJc w:val="left"/>
      <w:pPr>
        <w:ind w:left="4100" w:hanging="286"/>
      </w:pPr>
      <w:rPr>
        <w:rFonts w:hint="default"/>
      </w:rPr>
    </w:lvl>
    <w:lvl w:ilvl="5" w:tplc="80A4A632">
      <w:numFmt w:val="bullet"/>
      <w:lvlText w:val="•"/>
      <w:lvlJc w:val="left"/>
      <w:pPr>
        <w:ind w:left="5113" w:hanging="286"/>
      </w:pPr>
      <w:rPr>
        <w:rFonts w:hint="default"/>
      </w:rPr>
    </w:lvl>
    <w:lvl w:ilvl="6" w:tplc="44001BC8">
      <w:numFmt w:val="bullet"/>
      <w:lvlText w:val="•"/>
      <w:lvlJc w:val="left"/>
      <w:pPr>
        <w:ind w:left="6126" w:hanging="286"/>
      </w:pPr>
      <w:rPr>
        <w:rFonts w:hint="default"/>
      </w:rPr>
    </w:lvl>
    <w:lvl w:ilvl="7" w:tplc="1846B180">
      <w:numFmt w:val="bullet"/>
      <w:lvlText w:val="•"/>
      <w:lvlJc w:val="left"/>
      <w:pPr>
        <w:ind w:left="7140" w:hanging="286"/>
      </w:pPr>
      <w:rPr>
        <w:rFonts w:hint="default"/>
      </w:rPr>
    </w:lvl>
    <w:lvl w:ilvl="8" w:tplc="08BA41DC">
      <w:numFmt w:val="bullet"/>
      <w:lvlText w:val="•"/>
      <w:lvlJc w:val="left"/>
      <w:pPr>
        <w:ind w:left="8153" w:hanging="286"/>
      </w:pPr>
      <w:rPr>
        <w:rFonts w:hint="default"/>
      </w:rPr>
    </w:lvl>
  </w:abstractNum>
  <w:abstractNum w:abstractNumId="5" w15:restartNumberingAfterBreak="0">
    <w:nsid w:val="6F4F04AD"/>
    <w:multiLevelType w:val="hybridMultilevel"/>
    <w:tmpl w:val="4B76662A"/>
    <w:lvl w:ilvl="0" w:tplc="4EF68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A1B3C"/>
    <w:multiLevelType w:val="hybridMultilevel"/>
    <w:tmpl w:val="F22C43A8"/>
    <w:lvl w:ilvl="0" w:tplc="FF9ED4A0">
      <w:start w:val="1"/>
      <w:numFmt w:val="decimal"/>
      <w:lvlText w:val="(%1)"/>
      <w:lvlJc w:val="left"/>
      <w:pPr>
        <w:ind w:left="457" w:hanging="339"/>
      </w:pPr>
      <w:rPr>
        <w:rFonts w:ascii="Times New Roman" w:eastAsia="Times New Roman" w:hAnsi="Times New Roman" w:cs="Times New Roman" w:hint="default"/>
        <w:spacing w:val="-1"/>
        <w:w w:val="99"/>
        <w:sz w:val="24"/>
        <w:szCs w:val="24"/>
      </w:rPr>
    </w:lvl>
    <w:lvl w:ilvl="1" w:tplc="75AA6F3E">
      <w:start w:val="1"/>
      <w:numFmt w:val="decimal"/>
      <w:lvlText w:val="(%2)"/>
      <w:lvlJc w:val="left"/>
      <w:pPr>
        <w:ind w:left="119" w:hanging="339"/>
      </w:pPr>
      <w:rPr>
        <w:rFonts w:ascii="Times New Roman" w:eastAsia="Times New Roman" w:hAnsi="Times New Roman" w:cs="Times New Roman" w:hint="default"/>
        <w:spacing w:val="-1"/>
        <w:w w:val="99"/>
        <w:sz w:val="24"/>
        <w:szCs w:val="24"/>
      </w:rPr>
    </w:lvl>
    <w:lvl w:ilvl="2" w:tplc="0EE829D4">
      <w:numFmt w:val="bullet"/>
      <w:lvlText w:val="•"/>
      <w:lvlJc w:val="left"/>
      <w:pPr>
        <w:ind w:left="1540" w:hanging="339"/>
      </w:pPr>
      <w:rPr>
        <w:rFonts w:hint="default"/>
      </w:rPr>
    </w:lvl>
    <w:lvl w:ilvl="3" w:tplc="01B8329E">
      <w:numFmt w:val="bullet"/>
      <w:lvlText w:val="•"/>
      <w:lvlJc w:val="left"/>
      <w:pPr>
        <w:ind w:left="2620" w:hanging="339"/>
      </w:pPr>
      <w:rPr>
        <w:rFonts w:hint="default"/>
      </w:rPr>
    </w:lvl>
    <w:lvl w:ilvl="4" w:tplc="4C8C2D40">
      <w:numFmt w:val="bullet"/>
      <w:lvlText w:val="•"/>
      <w:lvlJc w:val="left"/>
      <w:pPr>
        <w:ind w:left="3700" w:hanging="339"/>
      </w:pPr>
      <w:rPr>
        <w:rFonts w:hint="default"/>
      </w:rPr>
    </w:lvl>
    <w:lvl w:ilvl="5" w:tplc="499AFE3A">
      <w:numFmt w:val="bullet"/>
      <w:lvlText w:val="•"/>
      <w:lvlJc w:val="left"/>
      <w:pPr>
        <w:ind w:left="4780" w:hanging="339"/>
      </w:pPr>
      <w:rPr>
        <w:rFonts w:hint="default"/>
      </w:rPr>
    </w:lvl>
    <w:lvl w:ilvl="6" w:tplc="9A58961C">
      <w:numFmt w:val="bullet"/>
      <w:lvlText w:val="•"/>
      <w:lvlJc w:val="left"/>
      <w:pPr>
        <w:ind w:left="5860" w:hanging="339"/>
      </w:pPr>
      <w:rPr>
        <w:rFonts w:hint="default"/>
      </w:rPr>
    </w:lvl>
    <w:lvl w:ilvl="7" w:tplc="30D0E93A">
      <w:numFmt w:val="bullet"/>
      <w:lvlText w:val="•"/>
      <w:lvlJc w:val="left"/>
      <w:pPr>
        <w:ind w:left="6940" w:hanging="339"/>
      </w:pPr>
      <w:rPr>
        <w:rFonts w:hint="default"/>
      </w:rPr>
    </w:lvl>
    <w:lvl w:ilvl="8" w:tplc="FE327C5E">
      <w:numFmt w:val="bullet"/>
      <w:lvlText w:val="•"/>
      <w:lvlJc w:val="left"/>
      <w:pPr>
        <w:ind w:left="8020" w:hanging="339"/>
      </w:pPr>
      <w:rPr>
        <w:rFonts w:hint="default"/>
      </w:r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BB"/>
    <w:rsid w:val="0000751F"/>
    <w:rsid w:val="000370FE"/>
    <w:rsid w:val="00044E96"/>
    <w:rsid w:val="00055751"/>
    <w:rsid w:val="00081E6E"/>
    <w:rsid w:val="000B0150"/>
    <w:rsid w:val="000C732C"/>
    <w:rsid w:val="000C79D9"/>
    <w:rsid w:val="000D14B3"/>
    <w:rsid w:val="000D235C"/>
    <w:rsid w:val="000E563E"/>
    <w:rsid w:val="000E733D"/>
    <w:rsid w:val="00105E5D"/>
    <w:rsid w:val="00106B66"/>
    <w:rsid w:val="00115ADB"/>
    <w:rsid w:val="00123BC6"/>
    <w:rsid w:val="0012725D"/>
    <w:rsid w:val="00143EE2"/>
    <w:rsid w:val="001625D3"/>
    <w:rsid w:val="00172622"/>
    <w:rsid w:val="00186CF6"/>
    <w:rsid w:val="001A3E52"/>
    <w:rsid w:val="001A660B"/>
    <w:rsid w:val="001B0F38"/>
    <w:rsid w:val="001D5004"/>
    <w:rsid w:val="001E3439"/>
    <w:rsid w:val="001F5622"/>
    <w:rsid w:val="00205096"/>
    <w:rsid w:val="00212DDF"/>
    <w:rsid w:val="00216338"/>
    <w:rsid w:val="002340ED"/>
    <w:rsid w:val="002371CD"/>
    <w:rsid w:val="002445E7"/>
    <w:rsid w:val="002501FC"/>
    <w:rsid w:val="00251817"/>
    <w:rsid w:val="00257656"/>
    <w:rsid w:val="00271573"/>
    <w:rsid w:val="0028061E"/>
    <w:rsid w:val="002935DD"/>
    <w:rsid w:val="002A0103"/>
    <w:rsid w:val="002D6339"/>
    <w:rsid w:val="002E1AEA"/>
    <w:rsid w:val="002E511F"/>
    <w:rsid w:val="002F5F43"/>
    <w:rsid w:val="00356E18"/>
    <w:rsid w:val="003618ED"/>
    <w:rsid w:val="00387E75"/>
    <w:rsid w:val="003975D5"/>
    <w:rsid w:val="003B47AE"/>
    <w:rsid w:val="003C6FC9"/>
    <w:rsid w:val="003D2231"/>
    <w:rsid w:val="003D5901"/>
    <w:rsid w:val="003E5549"/>
    <w:rsid w:val="0043666F"/>
    <w:rsid w:val="00484F85"/>
    <w:rsid w:val="00485CCF"/>
    <w:rsid w:val="0049623C"/>
    <w:rsid w:val="00496441"/>
    <w:rsid w:val="004A67CE"/>
    <w:rsid w:val="004B5926"/>
    <w:rsid w:val="004B6565"/>
    <w:rsid w:val="00516CF3"/>
    <w:rsid w:val="00524D2E"/>
    <w:rsid w:val="00542886"/>
    <w:rsid w:val="005600BB"/>
    <w:rsid w:val="00562DFF"/>
    <w:rsid w:val="00575819"/>
    <w:rsid w:val="00575F42"/>
    <w:rsid w:val="0058216D"/>
    <w:rsid w:val="0058293A"/>
    <w:rsid w:val="00593586"/>
    <w:rsid w:val="005A21F4"/>
    <w:rsid w:val="005A28B7"/>
    <w:rsid w:val="005A3BBD"/>
    <w:rsid w:val="005B70A8"/>
    <w:rsid w:val="005D0A09"/>
    <w:rsid w:val="005F7739"/>
    <w:rsid w:val="00620ED7"/>
    <w:rsid w:val="0062731E"/>
    <w:rsid w:val="00634E32"/>
    <w:rsid w:val="006373A9"/>
    <w:rsid w:val="00652D1E"/>
    <w:rsid w:val="00662BDB"/>
    <w:rsid w:val="00673378"/>
    <w:rsid w:val="006906F4"/>
    <w:rsid w:val="006A3FDE"/>
    <w:rsid w:val="006B07AA"/>
    <w:rsid w:val="006B68C8"/>
    <w:rsid w:val="006C4636"/>
    <w:rsid w:val="006D4730"/>
    <w:rsid w:val="006D521C"/>
    <w:rsid w:val="006E1746"/>
    <w:rsid w:val="006F3F4F"/>
    <w:rsid w:val="006F53C6"/>
    <w:rsid w:val="00706F8B"/>
    <w:rsid w:val="00710825"/>
    <w:rsid w:val="00711707"/>
    <w:rsid w:val="0071755C"/>
    <w:rsid w:val="00722A6C"/>
    <w:rsid w:val="00753D94"/>
    <w:rsid w:val="00765261"/>
    <w:rsid w:val="00775830"/>
    <w:rsid w:val="00776018"/>
    <w:rsid w:val="007955EA"/>
    <w:rsid w:val="007963BE"/>
    <w:rsid w:val="007B1E8E"/>
    <w:rsid w:val="007B4006"/>
    <w:rsid w:val="007B74A8"/>
    <w:rsid w:val="007C204F"/>
    <w:rsid w:val="007C7564"/>
    <w:rsid w:val="007D1C05"/>
    <w:rsid w:val="007E0D36"/>
    <w:rsid w:val="007E52A8"/>
    <w:rsid w:val="007F3065"/>
    <w:rsid w:val="00807E48"/>
    <w:rsid w:val="008203D0"/>
    <w:rsid w:val="00823D67"/>
    <w:rsid w:val="008328B2"/>
    <w:rsid w:val="00846F09"/>
    <w:rsid w:val="008544E9"/>
    <w:rsid w:val="00890257"/>
    <w:rsid w:val="008A0675"/>
    <w:rsid w:val="008A2E42"/>
    <w:rsid w:val="008E4083"/>
    <w:rsid w:val="008F39B9"/>
    <w:rsid w:val="008F71AF"/>
    <w:rsid w:val="00903720"/>
    <w:rsid w:val="00906819"/>
    <w:rsid w:val="009229EA"/>
    <w:rsid w:val="009301BA"/>
    <w:rsid w:val="00950B07"/>
    <w:rsid w:val="009530B8"/>
    <w:rsid w:val="00957F92"/>
    <w:rsid w:val="00960756"/>
    <w:rsid w:val="0096158B"/>
    <w:rsid w:val="009619F6"/>
    <w:rsid w:val="009777B5"/>
    <w:rsid w:val="009A4DAA"/>
    <w:rsid w:val="009B1526"/>
    <w:rsid w:val="009C2427"/>
    <w:rsid w:val="009C4F48"/>
    <w:rsid w:val="009C6F57"/>
    <w:rsid w:val="009D0D59"/>
    <w:rsid w:val="009F3A02"/>
    <w:rsid w:val="009F7BD4"/>
    <w:rsid w:val="00A10A57"/>
    <w:rsid w:val="00A254DA"/>
    <w:rsid w:val="00A347A1"/>
    <w:rsid w:val="00A42C39"/>
    <w:rsid w:val="00A513B2"/>
    <w:rsid w:val="00A76299"/>
    <w:rsid w:val="00A85242"/>
    <w:rsid w:val="00AB6B60"/>
    <w:rsid w:val="00AE28B5"/>
    <w:rsid w:val="00AE7C09"/>
    <w:rsid w:val="00AF1FE6"/>
    <w:rsid w:val="00AF4B0D"/>
    <w:rsid w:val="00AF69BD"/>
    <w:rsid w:val="00B13AF0"/>
    <w:rsid w:val="00B23ED8"/>
    <w:rsid w:val="00B27DB4"/>
    <w:rsid w:val="00B27F0A"/>
    <w:rsid w:val="00B30CCA"/>
    <w:rsid w:val="00B35366"/>
    <w:rsid w:val="00B726DB"/>
    <w:rsid w:val="00B81332"/>
    <w:rsid w:val="00B81C3B"/>
    <w:rsid w:val="00B8291A"/>
    <w:rsid w:val="00B94B8B"/>
    <w:rsid w:val="00B9709B"/>
    <w:rsid w:val="00BC3758"/>
    <w:rsid w:val="00BD737F"/>
    <w:rsid w:val="00BF3A26"/>
    <w:rsid w:val="00BF7B28"/>
    <w:rsid w:val="00C136AD"/>
    <w:rsid w:val="00C13E87"/>
    <w:rsid w:val="00C22FB4"/>
    <w:rsid w:val="00C24704"/>
    <w:rsid w:val="00C24A7B"/>
    <w:rsid w:val="00C30970"/>
    <w:rsid w:val="00C3429D"/>
    <w:rsid w:val="00C36738"/>
    <w:rsid w:val="00C45678"/>
    <w:rsid w:val="00C461E8"/>
    <w:rsid w:val="00C56348"/>
    <w:rsid w:val="00C634BC"/>
    <w:rsid w:val="00C71A2F"/>
    <w:rsid w:val="00C7420D"/>
    <w:rsid w:val="00C804DE"/>
    <w:rsid w:val="00C9152A"/>
    <w:rsid w:val="00C92CDA"/>
    <w:rsid w:val="00C93D37"/>
    <w:rsid w:val="00C93E4E"/>
    <w:rsid w:val="00CA1687"/>
    <w:rsid w:val="00CA2EF0"/>
    <w:rsid w:val="00CA30E6"/>
    <w:rsid w:val="00CA3EBE"/>
    <w:rsid w:val="00CB672E"/>
    <w:rsid w:val="00CC128C"/>
    <w:rsid w:val="00CD0BA9"/>
    <w:rsid w:val="00CF751A"/>
    <w:rsid w:val="00D00AC7"/>
    <w:rsid w:val="00D01730"/>
    <w:rsid w:val="00D01DD6"/>
    <w:rsid w:val="00D01EB4"/>
    <w:rsid w:val="00D03BC2"/>
    <w:rsid w:val="00D07701"/>
    <w:rsid w:val="00D16A82"/>
    <w:rsid w:val="00D1782A"/>
    <w:rsid w:val="00D204A8"/>
    <w:rsid w:val="00D2486F"/>
    <w:rsid w:val="00D25528"/>
    <w:rsid w:val="00D33EDF"/>
    <w:rsid w:val="00D33F14"/>
    <w:rsid w:val="00D606B9"/>
    <w:rsid w:val="00D62A61"/>
    <w:rsid w:val="00D73134"/>
    <w:rsid w:val="00D85902"/>
    <w:rsid w:val="00D861AF"/>
    <w:rsid w:val="00D9095B"/>
    <w:rsid w:val="00DA29B2"/>
    <w:rsid w:val="00DB3B2F"/>
    <w:rsid w:val="00DD5521"/>
    <w:rsid w:val="00DE48CC"/>
    <w:rsid w:val="00DF1856"/>
    <w:rsid w:val="00E02DEF"/>
    <w:rsid w:val="00E1282D"/>
    <w:rsid w:val="00E133D3"/>
    <w:rsid w:val="00E22E55"/>
    <w:rsid w:val="00E26B3B"/>
    <w:rsid w:val="00E43528"/>
    <w:rsid w:val="00E51C39"/>
    <w:rsid w:val="00E55380"/>
    <w:rsid w:val="00E76AB9"/>
    <w:rsid w:val="00E81492"/>
    <w:rsid w:val="00EC1C30"/>
    <w:rsid w:val="00EC5C36"/>
    <w:rsid w:val="00EC74C0"/>
    <w:rsid w:val="00ED180B"/>
    <w:rsid w:val="00EE6877"/>
    <w:rsid w:val="00EF2626"/>
    <w:rsid w:val="00F01FE5"/>
    <w:rsid w:val="00F1016C"/>
    <w:rsid w:val="00F11699"/>
    <w:rsid w:val="00F145EE"/>
    <w:rsid w:val="00F163CF"/>
    <w:rsid w:val="00F1713C"/>
    <w:rsid w:val="00F20E35"/>
    <w:rsid w:val="00F26DEC"/>
    <w:rsid w:val="00F60AF1"/>
    <w:rsid w:val="00F64C34"/>
    <w:rsid w:val="00F7371B"/>
    <w:rsid w:val="00F741DB"/>
    <w:rsid w:val="00F74B4B"/>
    <w:rsid w:val="00F7558F"/>
    <w:rsid w:val="00F952B3"/>
    <w:rsid w:val="00FA1A58"/>
    <w:rsid w:val="00FB3E74"/>
    <w:rsid w:val="00FC26A4"/>
    <w:rsid w:val="00FE22C2"/>
    <w:rsid w:val="00FF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900735"/>
  <w15:docId w15:val="{E986312E-E0ED-4BC1-9E4B-D2394397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18ED"/>
    <w:rPr>
      <w:rFonts w:ascii="Times New Roman" w:eastAsia="Times New Roman" w:hAnsi="Times New Roman" w:cs="Times New Roman"/>
    </w:rPr>
  </w:style>
  <w:style w:type="paragraph" w:styleId="Heading1">
    <w:name w:val="heading 1"/>
    <w:basedOn w:val="Normal"/>
    <w:uiPriority w:val="1"/>
    <w:qFormat/>
    <w:pPr>
      <w:ind w:left="1180" w:hanging="9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80" w:hanging="941"/>
    </w:pPr>
  </w:style>
  <w:style w:type="paragraph" w:customStyle="1" w:styleId="TableParagraph">
    <w:name w:val="Table Paragraph"/>
    <w:basedOn w:val="Normal"/>
    <w:uiPriority w:val="1"/>
    <w:qFormat/>
    <w:pPr>
      <w:spacing w:line="268" w:lineRule="exact"/>
      <w:jc w:val="center"/>
    </w:pPr>
  </w:style>
  <w:style w:type="paragraph" w:styleId="BalloonText">
    <w:name w:val="Balloon Text"/>
    <w:basedOn w:val="Normal"/>
    <w:link w:val="BalloonTextChar"/>
    <w:uiPriority w:val="99"/>
    <w:semiHidden/>
    <w:unhideWhenUsed/>
    <w:rsid w:val="00F737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71B"/>
    <w:rPr>
      <w:rFonts w:ascii="Segoe UI" w:eastAsia="Times New Roman" w:hAnsi="Segoe UI" w:cs="Segoe UI"/>
      <w:sz w:val="18"/>
      <w:szCs w:val="18"/>
    </w:rPr>
  </w:style>
  <w:style w:type="paragraph" w:styleId="FootnoteText">
    <w:name w:val="footnote text"/>
    <w:basedOn w:val="Normal"/>
    <w:link w:val="FootnoteTextChar"/>
    <w:uiPriority w:val="99"/>
    <w:unhideWhenUsed/>
    <w:qFormat/>
    <w:rsid w:val="00F7371B"/>
    <w:rPr>
      <w:sz w:val="20"/>
      <w:szCs w:val="20"/>
    </w:rPr>
  </w:style>
  <w:style w:type="character" w:customStyle="1" w:styleId="FootnoteTextChar">
    <w:name w:val="Footnote Text Char"/>
    <w:basedOn w:val="DefaultParagraphFont"/>
    <w:link w:val="FootnoteText"/>
    <w:uiPriority w:val="99"/>
    <w:rsid w:val="00F7371B"/>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7371B"/>
    <w:rPr>
      <w:vertAlign w:val="superscript"/>
    </w:rPr>
  </w:style>
  <w:style w:type="character" w:styleId="Hyperlink">
    <w:name w:val="Hyperlink"/>
    <w:basedOn w:val="DefaultParagraphFont"/>
    <w:uiPriority w:val="99"/>
    <w:unhideWhenUsed/>
    <w:rsid w:val="00F7371B"/>
    <w:rPr>
      <w:color w:val="0000FF" w:themeColor="hyperlink"/>
      <w:u w:val="single"/>
    </w:rPr>
  </w:style>
  <w:style w:type="numbering" w:customStyle="1" w:styleId="NoList1">
    <w:name w:val="No List1"/>
    <w:next w:val="NoList"/>
    <w:uiPriority w:val="99"/>
    <w:semiHidden/>
    <w:unhideWhenUsed/>
    <w:rsid w:val="002340ED"/>
  </w:style>
  <w:style w:type="character" w:styleId="CommentReference">
    <w:name w:val="annotation reference"/>
    <w:basedOn w:val="DefaultParagraphFont"/>
    <w:uiPriority w:val="99"/>
    <w:semiHidden/>
    <w:unhideWhenUsed/>
    <w:rsid w:val="00F145EE"/>
    <w:rPr>
      <w:sz w:val="16"/>
      <w:szCs w:val="16"/>
    </w:rPr>
  </w:style>
  <w:style w:type="paragraph" w:styleId="CommentText">
    <w:name w:val="annotation text"/>
    <w:basedOn w:val="Normal"/>
    <w:link w:val="CommentTextChar"/>
    <w:uiPriority w:val="99"/>
    <w:unhideWhenUsed/>
    <w:rsid w:val="00F145EE"/>
    <w:rPr>
      <w:sz w:val="20"/>
      <w:szCs w:val="20"/>
    </w:rPr>
  </w:style>
  <w:style w:type="character" w:customStyle="1" w:styleId="CommentTextChar">
    <w:name w:val="Comment Text Char"/>
    <w:basedOn w:val="DefaultParagraphFont"/>
    <w:link w:val="CommentText"/>
    <w:uiPriority w:val="99"/>
    <w:rsid w:val="00F145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45EE"/>
    <w:rPr>
      <w:b/>
      <w:bCs/>
    </w:rPr>
  </w:style>
  <w:style w:type="character" w:customStyle="1" w:styleId="CommentSubjectChar">
    <w:name w:val="Comment Subject Char"/>
    <w:basedOn w:val="CommentTextChar"/>
    <w:link w:val="CommentSubject"/>
    <w:uiPriority w:val="99"/>
    <w:semiHidden/>
    <w:rsid w:val="00F145E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F2626"/>
    <w:pPr>
      <w:tabs>
        <w:tab w:val="center" w:pos="4680"/>
        <w:tab w:val="right" w:pos="9360"/>
      </w:tabs>
    </w:pPr>
  </w:style>
  <w:style w:type="character" w:customStyle="1" w:styleId="HeaderChar">
    <w:name w:val="Header Char"/>
    <w:basedOn w:val="DefaultParagraphFont"/>
    <w:link w:val="Header"/>
    <w:uiPriority w:val="99"/>
    <w:rsid w:val="00EF2626"/>
    <w:rPr>
      <w:rFonts w:ascii="Times New Roman" w:eastAsia="Times New Roman" w:hAnsi="Times New Roman" w:cs="Times New Roman"/>
    </w:rPr>
  </w:style>
  <w:style w:type="paragraph" w:styleId="Footer">
    <w:name w:val="footer"/>
    <w:basedOn w:val="Normal"/>
    <w:link w:val="FooterChar"/>
    <w:uiPriority w:val="99"/>
    <w:unhideWhenUsed/>
    <w:rsid w:val="00EF2626"/>
    <w:pPr>
      <w:tabs>
        <w:tab w:val="center" w:pos="4680"/>
        <w:tab w:val="right" w:pos="9360"/>
      </w:tabs>
    </w:pPr>
  </w:style>
  <w:style w:type="character" w:customStyle="1" w:styleId="FooterChar">
    <w:name w:val="Footer Char"/>
    <w:basedOn w:val="DefaultParagraphFont"/>
    <w:link w:val="Footer"/>
    <w:uiPriority w:val="99"/>
    <w:rsid w:val="00EF2626"/>
    <w:rPr>
      <w:rFonts w:ascii="Times New Roman" w:eastAsia="Times New Roman" w:hAnsi="Times New Roman" w:cs="Times New Roman"/>
    </w:rPr>
  </w:style>
  <w:style w:type="paragraph" w:customStyle="1" w:styleId="Body">
    <w:name w:val="Body"/>
    <w:basedOn w:val="Normal"/>
    <w:link w:val="BodyChar"/>
    <w:qFormat/>
    <w:rsid w:val="003D2231"/>
    <w:pPr>
      <w:widowControl/>
      <w:autoSpaceDE/>
      <w:autoSpaceDN/>
      <w:spacing w:after="200" w:line="276" w:lineRule="auto"/>
    </w:pPr>
    <w:rPr>
      <w:sz w:val="24"/>
      <w:szCs w:val="24"/>
    </w:rPr>
  </w:style>
  <w:style w:type="character" w:customStyle="1" w:styleId="BodyChar">
    <w:name w:val="Body Char"/>
    <w:link w:val="Body"/>
    <w:rsid w:val="003D2231"/>
    <w:rPr>
      <w:rFonts w:ascii="Times New Roman" w:eastAsia="Times New Roman" w:hAnsi="Times New Roman" w:cs="Times New Roman"/>
      <w:sz w:val="24"/>
      <w:szCs w:val="24"/>
    </w:rPr>
  </w:style>
  <w:style w:type="paragraph" w:styleId="Revision">
    <w:name w:val="Revision"/>
    <w:hidden/>
    <w:uiPriority w:val="99"/>
    <w:semiHidden/>
    <w:rsid w:val="00C30970"/>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11707"/>
    <w:rPr>
      <w:color w:val="800080" w:themeColor="followedHyperlink"/>
      <w:u w:val="single"/>
    </w:rPr>
  </w:style>
  <w:style w:type="paragraph" w:styleId="EndnoteText">
    <w:name w:val="endnote text"/>
    <w:basedOn w:val="Normal"/>
    <w:link w:val="EndnoteTextChar"/>
    <w:uiPriority w:val="99"/>
    <w:semiHidden/>
    <w:unhideWhenUsed/>
    <w:rsid w:val="00807E48"/>
    <w:rPr>
      <w:sz w:val="20"/>
      <w:szCs w:val="20"/>
    </w:rPr>
  </w:style>
  <w:style w:type="character" w:customStyle="1" w:styleId="EndnoteTextChar">
    <w:name w:val="Endnote Text Char"/>
    <w:basedOn w:val="DefaultParagraphFont"/>
    <w:link w:val="EndnoteText"/>
    <w:uiPriority w:val="99"/>
    <w:semiHidden/>
    <w:rsid w:val="00807E4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07E48"/>
    <w:rPr>
      <w:vertAlign w:val="superscript"/>
    </w:rPr>
  </w:style>
  <w:style w:type="character" w:customStyle="1" w:styleId="BodyTextChar">
    <w:name w:val="Body Text Char"/>
    <w:basedOn w:val="DefaultParagraphFont"/>
    <w:link w:val="BodyText"/>
    <w:uiPriority w:val="1"/>
    <w:rsid w:val="003618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159634">
      <w:bodyDiv w:val="1"/>
      <w:marLeft w:val="0"/>
      <w:marRight w:val="0"/>
      <w:marTop w:val="0"/>
      <w:marBottom w:val="0"/>
      <w:divBdr>
        <w:top w:val="none" w:sz="0" w:space="0" w:color="auto"/>
        <w:left w:val="none" w:sz="0" w:space="0" w:color="auto"/>
        <w:bottom w:val="none" w:sz="0" w:space="0" w:color="auto"/>
        <w:right w:val="none" w:sz="0" w:space="0" w:color="auto"/>
      </w:divBdr>
    </w:div>
    <w:div w:id="293563572">
      <w:bodyDiv w:val="1"/>
      <w:marLeft w:val="0"/>
      <w:marRight w:val="0"/>
      <w:marTop w:val="0"/>
      <w:marBottom w:val="0"/>
      <w:divBdr>
        <w:top w:val="none" w:sz="0" w:space="0" w:color="auto"/>
        <w:left w:val="none" w:sz="0" w:space="0" w:color="auto"/>
        <w:bottom w:val="none" w:sz="0" w:space="0" w:color="auto"/>
        <w:right w:val="none" w:sz="0" w:space="0" w:color="auto"/>
      </w:divBdr>
    </w:div>
    <w:div w:id="631056291">
      <w:bodyDiv w:val="1"/>
      <w:marLeft w:val="0"/>
      <w:marRight w:val="0"/>
      <w:marTop w:val="0"/>
      <w:marBottom w:val="0"/>
      <w:divBdr>
        <w:top w:val="none" w:sz="0" w:space="0" w:color="auto"/>
        <w:left w:val="none" w:sz="0" w:space="0" w:color="auto"/>
        <w:bottom w:val="none" w:sz="0" w:space="0" w:color="auto"/>
        <w:right w:val="none" w:sz="0" w:space="0" w:color="auto"/>
      </w:divBdr>
    </w:div>
    <w:div w:id="1251622708">
      <w:bodyDiv w:val="1"/>
      <w:marLeft w:val="0"/>
      <w:marRight w:val="0"/>
      <w:marTop w:val="0"/>
      <w:marBottom w:val="0"/>
      <w:divBdr>
        <w:top w:val="none" w:sz="0" w:space="0" w:color="auto"/>
        <w:left w:val="none" w:sz="0" w:space="0" w:color="auto"/>
        <w:bottom w:val="none" w:sz="0" w:space="0" w:color="auto"/>
        <w:right w:val="none" w:sz="0" w:space="0" w:color="auto"/>
      </w:divBdr>
    </w:div>
    <w:div w:id="1665626310">
      <w:bodyDiv w:val="1"/>
      <w:marLeft w:val="0"/>
      <w:marRight w:val="0"/>
      <w:marTop w:val="0"/>
      <w:marBottom w:val="0"/>
      <w:divBdr>
        <w:top w:val="none" w:sz="0" w:space="0" w:color="auto"/>
        <w:left w:val="none" w:sz="0" w:space="0" w:color="auto"/>
        <w:bottom w:val="none" w:sz="0" w:space="0" w:color="auto"/>
        <w:right w:val="none" w:sz="0" w:space="0" w:color="auto"/>
      </w:divBdr>
    </w:div>
    <w:div w:id="1990740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ls.gov/oes/current/naics4_999200.ht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pm.gov/policy-data-oversight/pay-leave/salaries-wages/salary-tables/pdf/2019/GS_h.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ms.gov/CCIIO/Resources/Data-Resources/ehb.html" TargetMode="External"/><Relationship Id="rId3" Type="http://schemas.openxmlformats.org/officeDocument/2006/relationships/hyperlink" Target="https://www.cms.gov/CCIIO/Resources/Regulations-and-Guidance/index.html" TargetMode="External"/><Relationship Id="rId7" Type="http://schemas.openxmlformats.org/officeDocument/2006/relationships/hyperlink" Target="https://www.cms.gov/CCIIO/Resources/Data-Resources/ehb.html" TargetMode="External"/><Relationship Id="rId12" Type="http://schemas.openxmlformats.org/officeDocument/2006/relationships/hyperlink" Target="https://www.cms.gov/CCIIO/Resources/Data-Resources/ehb.html" TargetMode="External"/><Relationship Id="rId2" Type="http://schemas.openxmlformats.org/officeDocument/2006/relationships/hyperlink" Target="https://www.gpo.gov/fdsys/pkg/FR-2013-02-25/pdf/2013-04084.pdf" TargetMode="External"/><Relationship Id="rId1" Type="http://schemas.openxmlformats.org/officeDocument/2006/relationships/hyperlink" Target="http://www.cms.gov/CCIIO/Resources/Files/Downloads/essential_health_benefits_bulletin.pdf" TargetMode="External"/><Relationship Id="rId6" Type="http://schemas.openxmlformats.org/officeDocument/2006/relationships/hyperlink" Target="https://www.cms.gov/CCIIO/Resources/Data-Resources/ehb.html" TargetMode="External"/><Relationship Id="rId11" Type="http://schemas.openxmlformats.org/officeDocument/2006/relationships/hyperlink" Target="https://www.cms.gov/CCIIO/Resources/Data-Resources/ehb.html" TargetMode="External"/><Relationship Id="rId5" Type="http://schemas.openxmlformats.org/officeDocument/2006/relationships/hyperlink" Target="https://www.cms.gov/CCIIO/Resources/Regulations-and-Guidance/index.html" TargetMode="External"/><Relationship Id="rId10" Type="http://schemas.openxmlformats.org/officeDocument/2006/relationships/hyperlink" Target="https://www.cms.gov/CCIIO/Resources/Regulations-and-Guidance/Downloads/Final-Example-Acceptable-Methodology-for-Comparing-Benefits.pdf" TargetMode="External"/><Relationship Id="rId4" Type="http://schemas.openxmlformats.org/officeDocument/2006/relationships/hyperlink" Target="https://www.cms.gov/CCIIO/Resources/Regulations-and-Guidance/index.html" TargetMode="External"/><Relationship Id="rId9" Type="http://schemas.openxmlformats.org/officeDocument/2006/relationships/hyperlink" Target="https://www.cms.gov/CCIIO/Resources/Data-Resources/eh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db51e440-08e2-474b-b940-cf1db659f8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5FC27B0ED77545992A3C5070BA4731" ma:contentTypeVersion="12" ma:contentTypeDescription="Create a new document." ma:contentTypeScope="" ma:versionID="6eff9fe59bd771cfccd5595879e49ef8">
  <xsd:schema xmlns:xsd="http://www.w3.org/2001/XMLSchema" xmlns:xs="http://www.w3.org/2001/XMLSchema" xmlns:p="http://schemas.microsoft.com/office/2006/metadata/properties" xmlns:ns2="db51e440-08e2-474b-b940-cf1db659f82a" xmlns:ns3="e5cc6445-402f-4efc-8b04-9032c7016347" targetNamespace="http://schemas.microsoft.com/office/2006/metadata/properties" ma:root="true" ma:fieldsID="e1cddef8bcb825bfd611312c24ba1aee" ns2:_="" ns3:_="">
    <xsd:import namespace="db51e440-08e2-474b-b940-cf1db659f82a"/>
    <xsd:import namespace="e5cc6445-402f-4efc-8b04-9032c7016347"/>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1e440-08e2-474b-b940-cf1db659f82a"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2019 Payment Notice PM"/>
          <xsd:enumeration value="2019 Letter to Issuers"/>
          <xsd:enumeration value="PM HSA Work"/>
          <xsd:enumeration value="PM - OTHER"/>
          <xsd:enumeration value="PN Comment"/>
        </xsd:restriction>
      </xsd:simpleType>
    </xsd:element>
  </xsd:schema>
  <xsd:schema xmlns:xsd="http://www.w3.org/2001/XMLSchema" xmlns:xs="http://www.w3.org/2001/XMLSchema" xmlns:dms="http://schemas.microsoft.com/office/2006/documentManagement/types" xmlns:pc="http://schemas.microsoft.com/office/infopath/2007/PartnerControls" targetNamespace="e5cc6445-402f-4efc-8b04-9032c701634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A1F3-9ADF-4569-AC2D-435BA15B09C7}">
  <ds:schemaRefs>
    <ds:schemaRef ds:uri="http://schemas.microsoft.com/office/2006/metadata/properties"/>
    <ds:schemaRef ds:uri="http://schemas.microsoft.com/office/infopath/2007/PartnerControls"/>
    <ds:schemaRef ds:uri="db51e440-08e2-474b-b940-cf1db659f82a"/>
  </ds:schemaRefs>
</ds:datastoreItem>
</file>

<file path=customXml/itemProps2.xml><?xml version="1.0" encoding="utf-8"?>
<ds:datastoreItem xmlns:ds="http://schemas.openxmlformats.org/officeDocument/2006/customXml" ds:itemID="{B286D587-DDFA-4518-ADAF-B9FF310A6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1e440-08e2-474b-b940-cf1db659f82a"/>
    <ds:schemaRef ds:uri="e5cc6445-402f-4efc-8b04-9032c7016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75C2C-F5EA-40CB-BFB3-77B02AAD2373}">
  <ds:schemaRefs>
    <ds:schemaRef ds:uri="Microsoft.SharePoint.Taxonomy.ContentTypeSync"/>
  </ds:schemaRefs>
</ds:datastoreItem>
</file>

<file path=customXml/itemProps4.xml><?xml version="1.0" encoding="utf-8"?>
<ds:datastoreItem xmlns:ds="http://schemas.openxmlformats.org/officeDocument/2006/customXml" ds:itemID="{6CAB7BB7-38FC-46E8-BC3D-627B11CEC941}">
  <ds:schemaRefs>
    <ds:schemaRef ds:uri="http://schemas.microsoft.com/sharepoint/events"/>
  </ds:schemaRefs>
</ds:datastoreItem>
</file>

<file path=customXml/itemProps5.xml><?xml version="1.0" encoding="utf-8"?>
<ds:datastoreItem xmlns:ds="http://schemas.openxmlformats.org/officeDocument/2006/customXml" ds:itemID="{7A0B722D-4CF3-423D-90C9-CBEF4D17118D}">
  <ds:schemaRefs>
    <ds:schemaRef ds:uri="http://schemas.microsoft.com/sharepoint/v3/contenttype/forms"/>
  </ds:schemaRefs>
</ds:datastoreItem>
</file>

<file path=customXml/itemProps6.xml><?xml version="1.0" encoding="utf-8"?>
<ds:datastoreItem xmlns:ds="http://schemas.openxmlformats.org/officeDocument/2006/customXml" ds:itemID="{85E50A62-04F9-42D6-8097-F8F7E189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6591</Words>
  <Characters>37573</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CMS-10448 _ EHB Supporting Statement_101419_10.15_RB</vt:lpstr>
    </vt:vector>
  </TitlesOfParts>
  <Company>CMS</Company>
  <LinksUpToDate>false</LinksUpToDate>
  <CharactersWithSpaces>44076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CMS-10448 _ EHB Supporting Statement_101419_10.15_RB</dc:title>
  <dc:creator>DANIELLE CHESTANG</dc:creator>
  <cp:lastModifiedBy>JAMAA HILL</cp:lastModifiedBy>
  <cp:revision>2</cp:revision>
  <cp:lastPrinted>2019-10-25T13:36:00Z</cp:lastPrinted>
  <dcterms:created xsi:type="dcterms:W3CDTF">2020-06-11T16:07:00Z</dcterms:created>
  <dcterms:modified xsi:type="dcterms:W3CDTF">2020-06-11T16:07:00Z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Creator">
    <vt:lpwstr>Acrobat PDFMaker 15 for Word</vt:lpwstr>
  </property>
  <property fmtid="{D5CDD505-2E9C-101B-9397-08002B2CF9AE}" pid="4" name="LastSaved">
    <vt:filetime>2019-07-26T00:00:00Z</vt:filetime>
  </property>
  <property fmtid="{D5CDD505-2E9C-101B-9397-08002B2CF9AE}" pid="5" name="ContentTypeId">
    <vt:lpwstr>0x010100965FC27B0ED77545992A3C5070BA4731</vt:lpwstr>
  </property>
  <property fmtid="{D5CDD505-2E9C-101B-9397-08002B2CF9AE}" pid="6" name="_dlc_DocIdItemGuid">
    <vt:lpwstr>be54da79-4757-4709-8603-ca3cc6cbc749</vt:lpwstr>
  </property>
  <property fmtid="{D5CDD505-2E9C-101B-9397-08002B2CF9AE}" pid="7" name="_dlc_DocId">
    <vt:lpwstr>QSXZK4DW25JC-1146626974-1008</vt:lpwstr>
  </property>
  <property fmtid="{D5CDD505-2E9C-101B-9397-08002B2CF9AE}" pid="8" name="_dlc_DocIdUrl">
    <vt:lpwstr>https://share.cms.gov/center/cciio/MPMG/_layouts/15/DocIdRedir.aspx?ID=QSXZK4DW25JC-1146626974-1008, QSXZK4DW25JC-1146626974-1008</vt:lpwstr>
  </property>
</Properties>
</file>