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74D" w:rsidRDefault="003A272E">
      <w:pPr>
        <w:spacing w:after="0" w:line="259" w:lineRule="auto"/>
        <w:ind w:left="15"/>
        <w:jc w:val="center"/>
      </w:pPr>
      <w:bookmarkStart w:name="_GoBack" w:id="0"/>
      <w:bookmarkEnd w:id="0"/>
      <w:r>
        <w:rPr>
          <w:b/>
        </w:rPr>
        <w:t xml:space="preserve">Supporting Statement – Part B </w:t>
      </w:r>
    </w:p>
    <w:p w:rsidR="0018274D" w:rsidRDefault="003A272E">
      <w:pPr>
        <w:spacing w:after="0" w:line="259" w:lineRule="auto"/>
        <w:ind w:left="15" w:right="7"/>
        <w:jc w:val="center"/>
      </w:pPr>
      <w:r>
        <w:rPr>
          <w:b/>
        </w:rPr>
        <w:t xml:space="preserve">Collection of Information Employing Statistical Methods </w:t>
      </w:r>
    </w:p>
    <w:p w:rsidR="0018274D" w:rsidRDefault="003A272E">
      <w:pPr>
        <w:spacing w:after="0" w:line="259" w:lineRule="auto"/>
        <w:ind w:left="15" w:right="3"/>
        <w:jc w:val="center"/>
      </w:pPr>
      <w:r>
        <w:rPr>
          <w:b/>
        </w:rPr>
        <w:t xml:space="preserve">CMS-10219; OMB Control Number 0938-1028 </w:t>
      </w:r>
    </w:p>
    <w:p w:rsidR="0018274D" w:rsidRDefault="003A272E">
      <w:pPr>
        <w:spacing w:after="0" w:line="259" w:lineRule="auto"/>
        <w:ind w:left="0" w:firstLine="0"/>
      </w:pPr>
      <w:r>
        <w:t xml:space="preserve"> </w:t>
      </w:r>
    </w:p>
    <w:p w:rsidR="0018274D" w:rsidRDefault="003A272E">
      <w:pPr>
        <w:spacing w:after="0" w:line="259" w:lineRule="auto"/>
        <w:ind w:left="0" w:firstLine="0"/>
      </w:pPr>
      <w:r>
        <w:t xml:space="preserve"> </w:t>
      </w:r>
    </w:p>
    <w:p w:rsidR="0018274D" w:rsidRDefault="003A272E">
      <w:pPr>
        <w:spacing w:after="1"/>
        <w:ind w:left="345" w:hanging="360"/>
      </w:pPr>
      <w:r>
        <w:rPr>
          <w:b/>
        </w:rPr>
        <w:t>1.</w:t>
      </w:r>
      <w:r>
        <w:rPr>
          <w:rFonts w:ascii="Arial" w:hAnsi="Arial" w:eastAsia="Arial" w:cs="Arial"/>
          <w:b/>
        </w:rPr>
        <w:t xml:space="preserve"> </w:t>
      </w:r>
      <w:r>
        <w:rPr>
          <w:b/>
        </w:rPr>
        <w:t xml:space="preserve">Describe (including a numerical estimate) the potential respondent universe and any sampling or other respondent selection method to be used. </w:t>
      </w:r>
    </w:p>
    <w:p w:rsidR="0018274D" w:rsidRDefault="003A272E">
      <w:pPr>
        <w:spacing w:after="0" w:line="259" w:lineRule="auto"/>
        <w:ind w:left="720" w:firstLine="0"/>
      </w:pPr>
      <w:r>
        <w:rPr>
          <w:b/>
        </w:rPr>
        <w:t xml:space="preserve"> </w:t>
      </w:r>
    </w:p>
    <w:p w:rsidR="0018274D" w:rsidRDefault="003A272E">
      <w:pPr>
        <w:ind w:left="-15" w:firstLine="360"/>
      </w:pPr>
      <w:r>
        <w:t>CMS requires reporting of HEDIS® at the contract level from all Medicare Advantage Organizations. A Medicare Ad</w:t>
      </w:r>
      <w:r>
        <w:t>vantage managed care organization (MAO) is defined by the legal and management structure, and the delivery system that supports the product-line contracting with Medicare, and offering services to Medicare beneficiaries. This same definition is used for HE</w:t>
      </w:r>
      <w:r>
        <w:t>DIS® reporting and accreditation. A MAO is usually a single legal entity that offers one provider network and is marketed under one name. All MAO contracts that have been in place for one full calendar year are expected to report HEDIS® on their Medicare p</w:t>
      </w:r>
      <w:r>
        <w:t xml:space="preserve">roduct as part of their contractual obligations to CMS. </w:t>
      </w:r>
    </w:p>
    <w:p w:rsidR="0018274D" w:rsidRDefault="003A272E">
      <w:pPr>
        <w:spacing w:after="0" w:line="259" w:lineRule="auto"/>
        <w:ind w:left="0" w:firstLine="0"/>
      </w:pPr>
      <w:r>
        <w:t xml:space="preserve"> </w:t>
      </w:r>
    </w:p>
    <w:p w:rsidR="0018274D" w:rsidRDefault="003A272E">
      <w:pPr>
        <w:ind w:left="-15" w:firstLine="360"/>
      </w:pPr>
      <w:r>
        <w:t>HEDIS® measures are collected using two methods: administrative and hybrid. Some measures just require administrative data collection, while for other measures the MAO has the option to use a hybri</w:t>
      </w:r>
      <w:r>
        <w:t xml:space="preserve">d methodology which supplements the collection of data with medical record review of a sample of 411 records. </w:t>
      </w:r>
    </w:p>
    <w:p w:rsidR="0018274D" w:rsidRDefault="003A272E">
      <w:pPr>
        <w:spacing w:after="0" w:line="259" w:lineRule="auto"/>
        <w:ind w:left="0" w:firstLine="0"/>
      </w:pPr>
      <w:r>
        <w:t xml:space="preserve"> </w:t>
      </w:r>
    </w:p>
    <w:p w:rsidR="0018274D" w:rsidRDefault="003A272E">
      <w:pPr>
        <w:ind w:left="-15" w:firstLine="360"/>
      </w:pPr>
      <w:r>
        <w:t>In the administrative method, transaction data or other administrative databases are used by NCQA auditors and the MA organizations providing H</w:t>
      </w:r>
      <w:r>
        <w:t>EDIS® data to NCQA, to identify the eligible population and numerator. The reported rate is based on all members who meet the eligible population criteria (after optional exclusions, if applicable) and found through administrative data to have received the</w:t>
      </w:r>
      <w:r>
        <w:t xml:space="preserve"> service required for the numerator. </w:t>
      </w:r>
    </w:p>
    <w:p w:rsidR="0018274D" w:rsidRDefault="003A272E">
      <w:pPr>
        <w:spacing w:after="0" w:line="259" w:lineRule="auto"/>
        <w:ind w:left="0" w:firstLine="0"/>
      </w:pPr>
      <w:r>
        <w:t xml:space="preserve"> </w:t>
      </w:r>
    </w:p>
    <w:p w:rsidR="0018274D" w:rsidRDefault="003A272E">
      <w:pPr>
        <w:ind w:left="-15" w:firstLine="360"/>
      </w:pPr>
      <w:r>
        <w:t>In the hybrid method, organizations look for numerator compliance in both administrative and medical record data. The denominator consists of a systematic sample of members drawn from the measure’s eligible populatio</w:t>
      </w:r>
      <w:r>
        <w:t>n. Organizations review administrative data to determine if members in the systematic sample received the service and reviewed the medical record data for members who do not meet the numerator criteria through administrative data. The reported rate is base</w:t>
      </w:r>
      <w:r>
        <w:t xml:space="preserve">d on members in the sample who are found to have received the service required for the numerator. Only a few measures are collected with the hybrid method. </w:t>
      </w:r>
    </w:p>
    <w:p w:rsidR="0018274D" w:rsidRDefault="003A272E">
      <w:pPr>
        <w:spacing w:after="0" w:line="259" w:lineRule="auto"/>
        <w:ind w:left="0" w:firstLine="0"/>
      </w:pPr>
      <w:r>
        <w:t xml:space="preserve"> </w:t>
      </w:r>
    </w:p>
    <w:p w:rsidR="0018274D" w:rsidRDefault="003A272E">
      <w:pPr>
        <w:ind w:left="-15" w:firstLine="360"/>
      </w:pPr>
      <w:r>
        <w:t xml:space="preserve">All HEDIS® quality of care measures based on medical record review have a minimum sample size of </w:t>
      </w:r>
      <w:r>
        <w:t xml:space="preserve">411. The sample size of 411 specified by NCQA is based on a statistical estimation of providing an 85 percent chance of identifying a five percentage point difference between plans.  </w:t>
      </w:r>
    </w:p>
    <w:p w:rsidR="0018274D" w:rsidRDefault="003A272E">
      <w:pPr>
        <w:spacing w:after="0" w:line="259" w:lineRule="auto"/>
        <w:ind w:left="0" w:firstLine="0"/>
      </w:pPr>
      <w:r>
        <w:t xml:space="preserve"> </w:t>
      </w:r>
    </w:p>
    <w:p w:rsidR="0018274D" w:rsidRDefault="003A272E">
      <w:pPr>
        <w:ind w:left="-5"/>
      </w:pPr>
      <w:r>
        <w:lastRenderedPageBreak/>
        <w:t xml:space="preserve">The calculation of the required sample size is dependent on three factors: </w:t>
      </w:r>
    </w:p>
    <w:p w:rsidR="0018274D" w:rsidRDefault="003A272E">
      <w:pPr>
        <w:numPr>
          <w:ilvl w:val="0"/>
          <w:numId w:val="1"/>
        </w:numPr>
        <w:ind w:hanging="360"/>
      </w:pPr>
      <w:r>
        <w:t xml:space="preserve">The percentage point difference between plans desired to be identifiable </w:t>
      </w:r>
    </w:p>
    <w:p w:rsidR="0018274D" w:rsidRDefault="003A272E">
      <w:pPr>
        <w:numPr>
          <w:ilvl w:val="1"/>
          <w:numId w:val="1"/>
        </w:numPr>
        <w:ind w:hanging="360"/>
      </w:pPr>
      <w:r>
        <w:t>NCQA has chosen their sample size to allow the ability to identify a five percentage point difference betw</w:t>
      </w:r>
      <w:r>
        <w:t xml:space="preserve">een plans. If one wishes to have the ability to identify smaller differences between plans, then the sample size must increase. If one is satisfied only identifying differences greater than five percentage points, then the sample size can decrease. </w:t>
      </w:r>
    </w:p>
    <w:p w:rsidR="0018274D" w:rsidRDefault="003A272E">
      <w:pPr>
        <w:numPr>
          <w:ilvl w:val="0"/>
          <w:numId w:val="1"/>
        </w:numPr>
        <w:ind w:hanging="360"/>
      </w:pPr>
      <w:r>
        <w:t>The li</w:t>
      </w:r>
      <w:r>
        <w:t xml:space="preserve">kelihood of identifying the difference </w:t>
      </w:r>
    </w:p>
    <w:p w:rsidR="0018274D" w:rsidRDefault="003A272E">
      <w:pPr>
        <w:numPr>
          <w:ilvl w:val="1"/>
          <w:numId w:val="1"/>
        </w:numPr>
        <w:ind w:hanging="360"/>
      </w:pPr>
      <w:r>
        <w:t xml:space="preserve">Likelihood of identifying the differences between plans is the likelihood that the minimum percentage point difference identifiable will be detected. To increase this likelihood, one must increase the sample size. </w:t>
      </w:r>
    </w:p>
    <w:p w:rsidR="0018274D" w:rsidRDefault="003A272E">
      <w:pPr>
        <w:numPr>
          <w:ilvl w:val="0"/>
          <w:numId w:val="1"/>
        </w:numPr>
        <w:ind w:hanging="360"/>
      </w:pPr>
      <w:r>
        <w:t>T</w:t>
      </w:r>
      <w:r>
        <w:t xml:space="preserve">he average score of the measure </w:t>
      </w:r>
    </w:p>
    <w:p w:rsidR="0018274D" w:rsidRDefault="003A272E">
      <w:pPr>
        <w:numPr>
          <w:ilvl w:val="1"/>
          <w:numId w:val="1"/>
        </w:numPr>
        <w:ind w:hanging="360"/>
      </w:pPr>
      <w:r>
        <w:t>In setting the sample size at 411, NCQA has made the conservative assumption that scores will average 50 percent. As a score moves closer to 0 percent or 100 percent, a smaller sample size is required to detect the same per</w:t>
      </w:r>
      <w:r>
        <w:t>centage point difference. The formula used to identify differences between proportions takes into account the standard error of each proportion. The formula for the standard error of a proportion is (p*(1-</w:t>
      </w:r>
    </w:p>
    <w:p w:rsidR="0018274D" w:rsidRDefault="003A272E">
      <w:pPr>
        <w:ind w:left="1450"/>
      </w:pPr>
      <w:r>
        <w:t>p)/n) ^ .5, where p is the proportion and n is the</w:t>
      </w:r>
      <w:r>
        <w:t xml:space="preserve"> sample size. As a result, the standard error is at its greatest when a proportion of .5 and it decreases as proportions approach 0 or 1. The implication of this formula is that the confidence interval around the proportion of 50 percent will be greater th</w:t>
      </w:r>
      <w:r>
        <w:t xml:space="preserve">an the confidence interval around any other proportion given that the sample sizes are the same, thus making differences between proportions that average 50 percent most difficult to identify. </w:t>
      </w:r>
    </w:p>
    <w:p w:rsidR="0018274D" w:rsidRDefault="003A272E">
      <w:pPr>
        <w:spacing w:after="0" w:line="259" w:lineRule="auto"/>
        <w:ind w:left="0" w:firstLine="0"/>
      </w:pPr>
      <w:r>
        <w:t xml:space="preserve"> </w:t>
      </w:r>
    </w:p>
    <w:p w:rsidR="0018274D" w:rsidRDefault="003A272E">
      <w:pPr>
        <w:ind w:left="-5"/>
      </w:pPr>
      <w:r>
        <w:t>Complete information regarding the guidelines for calculatio</w:t>
      </w:r>
      <w:r>
        <w:t xml:space="preserve">ns and sampling is available in NCQA’s publication </w:t>
      </w:r>
      <w:r>
        <w:rPr>
          <w:u w:val="single" w:color="000000"/>
        </w:rPr>
        <w:t>HEDIS® 2020 Volume 2: Technical Specifications</w:t>
      </w:r>
      <w:r>
        <w:t xml:space="preserve">. The volume is available from </w:t>
      </w:r>
      <w:hyperlink r:id="rId7">
        <w:r>
          <w:rPr>
            <w:color w:val="954F72"/>
            <w:u w:val="single" w:color="954F72"/>
          </w:rPr>
          <w:t>the</w:t>
        </w:r>
      </w:hyperlink>
      <w:hyperlink r:id="rId8">
        <w:r>
          <w:rPr>
            <w:color w:val="954F72"/>
            <w:u w:val="single" w:color="954F72"/>
          </w:rPr>
          <w:t xml:space="preserve"> </w:t>
        </w:r>
      </w:hyperlink>
      <w:hyperlink r:id="rId9">
        <w:r>
          <w:rPr>
            <w:color w:val="954F72"/>
            <w:u w:val="single" w:color="954F72"/>
          </w:rPr>
          <w:t>NCQA</w:t>
        </w:r>
      </w:hyperlink>
      <w:hyperlink r:id="rId10">
        <w:r>
          <w:rPr>
            <w:color w:val="954F72"/>
            <w:u w:val="single" w:color="954F72"/>
          </w:rPr>
          <w:t xml:space="preserve"> </w:t>
        </w:r>
      </w:hyperlink>
      <w:hyperlink r:id="rId11">
        <w:r>
          <w:rPr>
            <w:color w:val="954F72"/>
            <w:u w:val="single" w:color="954F72"/>
          </w:rPr>
          <w:t>website</w:t>
        </w:r>
      </w:hyperlink>
      <w:hyperlink r:id="rId12">
        <w:r>
          <w:t>.</w:t>
        </w:r>
      </w:hyperlink>
      <w:r>
        <w:t xml:space="preserve">  </w:t>
      </w:r>
    </w:p>
    <w:p w:rsidR="0018274D" w:rsidRDefault="003A272E">
      <w:pPr>
        <w:spacing w:after="0" w:line="259" w:lineRule="auto"/>
        <w:ind w:left="0" w:firstLine="0"/>
      </w:pPr>
      <w:r>
        <w:rPr>
          <w:b/>
        </w:rPr>
        <w:t xml:space="preserve"> </w:t>
      </w:r>
    </w:p>
    <w:p w:rsidR="0018274D" w:rsidRDefault="003A272E">
      <w:pPr>
        <w:numPr>
          <w:ilvl w:val="0"/>
          <w:numId w:val="2"/>
        </w:numPr>
        <w:spacing w:after="1"/>
        <w:ind w:hanging="432"/>
      </w:pPr>
      <w:r>
        <w:rPr>
          <w:b/>
        </w:rPr>
        <w:t xml:space="preserve">Describe the procedures for the collection of information. </w:t>
      </w:r>
    </w:p>
    <w:p w:rsidR="0018274D" w:rsidRDefault="003A272E">
      <w:pPr>
        <w:spacing w:after="0" w:line="259" w:lineRule="auto"/>
        <w:ind w:left="0" w:firstLine="0"/>
      </w:pPr>
      <w:r>
        <w:t xml:space="preserve"> </w:t>
      </w:r>
    </w:p>
    <w:p w:rsidR="0018274D" w:rsidRDefault="003A272E">
      <w:pPr>
        <w:ind w:left="-5"/>
      </w:pPr>
      <w:r>
        <w:t xml:space="preserve"> </w:t>
      </w:r>
      <w:r>
        <w:tab/>
      </w:r>
      <w:r>
        <w:t xml:space="preserve">Detailed sample size calculation, instructions for systematic sampling and complex probability sampling, oversampling rates, and confidence interval calculations for the hybrid collection methodology are located in the </w:t>
      </w:r>
      <w:r>
        <w:rPr>
          <w:u w:val="single" w:color="000000"/>
        </w:rPr>
        <w:t>HEDIS® 2020 Volume 2 Technical</w:t>
      </w:r>
      <w:r>
        <w:t xml:space="preserve"> </w:t>
      </w:r>
      <w:r>
        <w:rPr>
          <w:u w:val="single" w:color="000000"/>
        </w:rPr>
        <w:t>Specif</w:t>
      </w:r>
      <w:r>
        <w:rPr>
          <w:u w:val="single" w:color="000000"/>
        </w:rPr>
        <w:t>ications</w:t>
      </w:r>
      <w:r>
        <w:t xml:space="preserve">. </w:t>
      </w:r>
    </w:p>
    <w:p w:rsidR="0018274D" w:rsidRDefault="003A272E">
      <w:pPr>
        <w:spacing w:after="0" w:line="259" w:lineRule="auto"/>
        <w:ind w:left="0" w:firstLine="0"/>
      </w:pPr>
      <w:r>
        <w:t xml:space="preserve"> </w:t>
      </w:r>
    </w:p>
    <w:p w:rsidR="0018274D" w:rsidRDefault="003A272E">
      <w:pPr>
        <w:ind w:left="-5"/>
      </w:pPr>
      <w:r>
        <w:t xml:space="preserve"> </w:t>
      </w:r>
      <w:r>
        <w:tab/>
        <w:t>The sample size is calculated assuming a two-tailed test of significance between two proportions (α = .05, 80 percent power, two tailed test of significance).  A normal approximation to the binomial with a continuity correction is employed i</w:t>
      </w:r>
      <w:r>
        <w:t xml:space="preserve">n the sample size calculation. The worst case assumption of a 50 percent expected value is assumed. The detectable difference for most measures is 10 percentage points. This is chosen because it </w:t>
      </w:r>
      <w:r>
        <w:lastRenderedPageBreak/>
        <w:t>is a big enough difference to be actionable, it is not unduly</w:t>
      </w:r>
      <w:r>
        <w:t xml:space="preserve"> burdensome for data collection, and it is not so small as to be “swamped” by non-sampling error.  </w:t>
      </w:r>
    </w:p>
    <w:p w:rsidR="0018274D" w:rsidRDefault="003A272E">
      <w:pPr>
        <w:spacing w:after="0" w:line="259" w:lineRule="auto"/>
        <w:ind w:left="0" w:firstLine="0"/>
      </w:pPr>
      <w:r>
        <w:t xml:space="preserve"> </w:t>
      </w:r>
    </w:p>
    <w:p w:rsidR="0018274D" w:rsidRDefault="003A272E">
      <w:pPr>
        <w:numPr>
          <w:ilvl w:val="0"/>
          <w:numId w:val="2"/>
        </w:numPr>
        <w:spacing w:after="1"/>
        <w:ind w:hanging="432"/>
      </w:pPr>
      <w:r>
        <w:rPr>
          <w:b/>
        </w:rPr>
        <w:t xml:space="preserve">Describe methods to maximize response rates and to deal with issues of nonresponse. </w:t>
      </w:r>
    </w:p>
    <w:p w:rsidR="0018274D" w:rsidRDefault="003A272E">
      <w:pPr>
        <w:spacing w:after="0" w:line="259" w:lineRule="auto"/>
        <w:ind w:left="0" w:firstLine="0"/>
      </w:pPr>
      <w:r>
        <w:rPr>
          <w:b/>
        </w:rPr>
        <w:t xml:space="preserve"> </w:t>
      </w:r>
    </w:p>
    <w:p w:rsidR="0018274D" w:rsidRDefault="003A272E">
      <w:pPr>
        <w:ind w:left="-5"/>
      </w:pPr>
      <w:r>
        <w:t xml:space="preserve"> </w:t>
      </w:r>
      <w:r>
        <w:tab/>
        <w:t>This is not a survey involving beneficiaries or other survey resp</w:t>
      </w:r>
      <w:r>
        <w:t>ondents. Therefore, discussions of “response rates” do not apply to this measurement set. All MA organizations are required to provide 100% reporting so response rates are not applicable. The data are stored electronically by all MAOs. Either the MAOs or t</w:t>
      </w:r>
      <w:r>
        <w:t>heir software vendors submit the data annually. NCQA trains independent auditors who audit the data to ensure accuracy NCQA has developed a precise, standardized methodology for verifying the integrity of HEDIS® data collection and analyses, called the HED</w:t>
      </w:r>
      <w:r>
        <w:t>IS® Compliance Audit. The initial focus of the audit is on actions that an organization can take to correct its results. The final audit report indicates which measures are reportable and which are not based on the audit findings. All MA contracts use NCQA</w:t>
      </w:r>
      <w:r>
        <w:t xml:space="preserve"> certified auditors. </w:t>
      </w:r>
    </w:p>
    <w:p w:rsidR="0018274D" w:rsidRDefault="003A272E">
      <w:pPr>
        <w:spacing w:after="0" w:line="259" w:lineRule="auto"/>
        <w:ind w:left="0" w:firstLine="0"/>
      </w:pPr>
      <w:r>
        <w:t xml:space="preserve"> </w:t>
      </w:r>
    </w:p>
    <w:p w:rsidR="0018274D" w:rsidRDefault="003A272E">
      <w:pPr>
        <w:ind w:left="-5"/>
      </w:pPr>
      <w:r>
        <w:t>The HEDIS® data files are due to CMS on June 15</w:t>
      </w:r>
      <w:r>
        <w:rPr>
          <w:vertAlign w:val="superscript"/>
        </w:rPr>
        <w:t>th</w:t>
      </w:r>
      <w:r>
        <w:t xml:space="preserve"> every year. </w:t>
      </w:r>
    </w:p>
    <w:p w:rsidR="0018274D" w:rsidRDefault="003A272E">
      <w:pPr>
        <w:spacing w:after="0" w:line="259" w:lineRule="auto"/>
        <w:ind w:left="0" w:firstLine="0"/>
      </w:pPr>
      <w:r>
        <w:rPr>
          <w:b/>
        </w:rPr>
        <w:t xml:space="preserve"> </w:t>
      </w:r>
    </w:p>
    <w:p w:rsidR="0018274D" w:rsidRDefault="003A272E">
      <w:pPr>
        <w:numPr>
          <w:ilvl w:val="0"/>
          <w:numId w:val="2"/>
        </w:numPr>
        <w:spacing w:after="1"/>
        <w:ind w:hanging="432"/>
      </w:pPr>
      <w:r>
        <w:rPr>
          <w:b/>
        </w:rPr>
        <w:t xml:space="preserve">Describe any tests of procedures or methods to be undertaken. </w:t>
      </w:r>
    </w:p>
    <w:p w:rsidR="0018274D" w:rsidRDefault="003A272E">
      <w:pPr>
        <w:spacing w:after="0" w:line="259" w:lineRule="auto"/>
        <w:ind w:left="0" w:firstLine="0"/>
      </w:pPr>
      <w:r>
        <w:rPr>
          <w:b/>
        </w:rPr>
        <w:t xml:space="preserve"> </w:t>
      </w:r>
    </w:p>
    <w:p w:rsidR="0018274D" w:rsidRDefault="003A272E">
      <w:pPr>
        <w:ind w:left="-5"/>
      </w:pPr>
      <w:r>
        <w:t xml:space="preserve"> </w:t>
      </w:r>
      <w:r>
        <w:tab/>
        <w:t xml:space="preserve">The HEDIS® data collection procedures use </w:t>
      </w:r>
      <w:r>
        <w:t>either administrative or hybrid methods. For the administrative method, transaction data or other administrative databases are used to identify the eligible population and numerator and denominator. The reported rate is based on all members who meet the el</w:t>
      </w:r>
      <w:r>
        <w:t>igible population criteria (after optional exclusions, if applicable) and who are found through administrative data to have received the service required for the numerator. For the hybrid method, organizations look for numerator compliance in both administ</w:t>
      </w:r>
      <w:r>
        <w:t xml:space="preserve">rative and medical record data. The denominator consists of a systematic sample of members drawn from the measure’s eligible population.  Organizations should review administrative data to determine if members in the systematic sample received the service </w:t>
      </w:r>
      <w:r>
        <w:t xml:space="preserve">and review medical record data for members who do not meet the numerator criteria through administrative data. The reported data are based on members in the sample who are found to have received the service required for the numerator. </w:t>
      </w:r>
    </w:p>
    <w:p w:rsidR="0018274D" w:rsidRDefault="003A272E">
      <w:pPr>
        <w:spacing w:after="0" w:line="259" w:lineRule="auto"/>
        <w:ind w:left="0" w:firstLine="0"/>
      </w:pPr>
      <w:r>
        <w:t xml:space="preserve"> </w:t>
      </w:r>
    </w:p>
    <w:p w:rsidR="0018274D" w:rsidRDefault="003A272E">
      <w:pPr>
        <w:ind w:left="-5"/>
      </w:pPr>
      <w:r>
        <w:t xml:space="preserve"> </w:t>
      </w:r>
      <w:r>
        <w:tab/>
        <w:t>Each HEDIS® meas</w:t>
      </w:r>
      <w:r>
        <w:t xml:space="preserve">ure has clearly defined measure specification. Medical record reviewers and database administrators prepare the data for CMS. </w:t>
      </w:r>
    </w:p>
    <w:p w:rsidR="0018274D" w:rsidRDefault="003A272E">
      <w:pPr>
        <w:spacing w:after="0" w:line="259" w:lineRule="auto"/>
        <w:ind w:left="0" w:firstLine="0"/>
      </w:pPr>
      <w:r>
        <w:t xml:space="preserve"> </w:t>
      </w:r>
    </w:p>
    <w:p w:rsidR="0018274D" w:rsidRDefault="003A272E">
      <w:pPr>
        <w:ind w:left="-5"/>
      </w:pPr>
      <w:r>
        <w:t xml:space="preserve"> </w:t>
      </w:r>
      <w:r>
        <w:tab/>
        <w:t>NCQA and the auditors have an intensive process for improvements in data collection instructions to the plans. NCQA prioritiz</w:t>
      </w:r>
      <w:r>
        <w:t xml:space="preserve">es auditing as a very high priority in the data collection process for HEDIS® data. NCQA conducts site visits at the plans when the auditors are at the plans; they have written documents that contain every </w:t>
      </w:r>
      <w:r>
        <w:lastRenderedPageBreak/>
        <w:t>problem, issue, lesson learned, and process for im</w:t>
      </w:r>
      <w:r>
        <w:t>provement, the entire HEDIS® audit process is documented in Volume 5 annually. NCQA compiles a detailed “Lessons Learned” document on an annual basis. NCQA and the auditors meet many times during the year to work on the suggested improvements in the next d</w:t>
      </w:r>
      <w:r>
        <w:t xml:space="preserve">ata collection period. </w:t>
      </w:r>
    </w:p>
    <w:p w:rsidR="0018274D" w:rsidRDefault="003A272E">
      <w:pPr>
        <w:spacing w:after="0" w:line="259" w:lineRule="auto"/>
        <w:ind w:left="0" w:firstLine="0"/>
      </w:pPr>
      <w:r>
        <w:t xml:space="preserve"> </w:t>
      </w:r>
    </w:p>
    <w:p w:rsidR="0018274D" w:rsidRDefault="003A272E">
      <w:pPr>
        <w:numPr>
          <w:ilvl w:val="0"/>
          <w:numId w:val="2"/>
        </w:numPr>
        <w:spacing w:after="1"/>
        <w:ind w:hanging="432"/>
      </w:pPr>
      <w:r>
        <w:rPr>
          <w:b/>
        </w:rPr>
        <w:t>Provide the name and telephone number of individuals consulted on statistical aspects of the design and the name of the agency unit, contractor(s), grantee(s), or other person(s) who will actually collect and/or analyze the inform</w:t>
      </w:r>
      <w:r>
        <w:rPr>
          <w:b/>
        </w:rPr>
        <w:t xml:space="preserve">ation for the agency. </w:t>
      </w:r>
    </w:p>
    <w:p w:rsidR="0018274D" w:rsidRDefault="003A272E">
      <w:pPr>
        <w:spacing w:after="0" w:line="259" w:lineRule="auto"/>
        <w:ind w:left="0" w:firstLine="0"/>
      </w:pPr>
      <w:r>
        <w:rPr>
          <w:b/>
        </w:rPr>
        <w:t xml:space="preserve"> </w:t>
      </w:r>
    </w:p>
    <w:p w:rsidR="0018274D" w:rsidRDefault="003A272E">
      <w:pPr>
        <w:ind w:left="-5"/>
      </w:pPr>
      <w:r>
        <w:t xml:space="preserve">The National Committee for Quality Assurance (NCQA) is the federal contractor for HEDIS® summary level data. </w:t>
      </w:r>
    </w:p>
    <w:p w:rsidR="0018274D" w:rsidRDefault="003A272E">
      <w:pPr>
        <w:spacing w:after="0" w:line="259" w:lineRule="auto"/>
        <w:ind w:left="0" w:firstLine="0"/>
      </w:pPr>
      <w:r>
        <w:rPr>
          <w:b/>
        </w:rPr>
        <w:t xml:space="preserve"> </w:t>
      </w:r>
    </w:p>
    <w:p w:rsidR="0018274D" w:rsidRDefault="003A272E">
      <w:pPr>
        <w:ind w:left="-5"/>
      </w:pPr>
      <w:r>
        <w:t xml:space="preserve">Alan Hoffman, MPH </w:t>
      </w:r>
    </w:p>
    <w:p w:rsidR="0018274D" w:rsidRDefault="003A272E">
      <w:pPr>
        <w:ind w:left="-5"/>
      </w:pPr>
      <w:r>
        <w:t xml:space="preserve">Senior Vice President, Research &amp; Analysis </w:t>
      </w:r>
    </w:p>
    <w:p w:rsidR="0018274D" w:rsidRDefault="003A272E">
      <w:pPr>
        <w:ind w:left="-5"/>
      </w:pPr>
      <w:r>
        <w:t xml:space="preserve">National Committee for Quality Assurance (NCQA)  </w:t>
      </w:r>
    </w:p>
    <w:p w:rsidR="0018274D" w:rsidRDefault="003A272E">
      <w:pPr>
        <w:ind w:left="-5"/>
      </w:pPr>
      <w:r>
        <w:t>2000 L</w:t>
      </w:r>
      <w:r>
        <w:t xml:space="preserve"> Street, NW, Suite 500  </w:t>
      </w:r>
    </w:p>
    <w:p w:rsidR="0018274D" w:rsidRDefault="003A272E">
      <w:pPr>
        <w:ind w:left="-5"/>
      </w:pPr>
      <w:r>
        <w:t xml:space="preserve">Washington, DC 20036 </w:t>
      </w:r>
    </w:p>
    <w:p w:rsidR="0018274D" w:rsidRDefault="003A272E">
      <w:pPr>
        <w:ind w:left="-5"/>
      </w:pPr>
      <w:r>
        <w:t xml:space="preserve">Phone: (202) 955-1726  </w:t>
      </w:r>
    </w:p>
    <w:p w:rsidR="0018274D" w:rsidRDefault="003A272E">
      <w:pPr>
        <w:ind w:left="-5"/>
      </w:pPr>
      <w:r>
        <w:t xml:space="preserve">Fax: (202) 955-3599  </w:t>
      </w:r>
    </w:p>
    <w:p w:rsidR="0018274D" w:rsidRDefault="003A272E">
      <w:pPr>
        <w:ind w:left="-5"/>
      </w:pPr>
      <w:r>
        <w:t xml:space="preserve">Email:   Hoffman@ncqa.org </w:t>
      </w:r>
    </w:p>
    <w:p w:rsidR="0018274D" w:rsidRDefault="003A272E">
      <w:pPr>
        <w:spacing w:after="0" w:line="259" w:lineRule="auto"/>
        <w:ind w:left="0" w:firstLine="0"/>
      </w:pPr>
      <w:r>
        <w:t xml:space="preserve"> </w:t>
      </w:r>
    </w:p>
    <w:p w:rsidR="0018274D" w:rsidRDefault="003A272E">
      <w:pPr>
        <w:ind w:left="-5"/>
      </w:pPr>
      <w:r>
        <w:t xml:space="preserve">The CMS contact for this PRA package is the CMS Contracting Officer’s Representative: </w:t>
      </w:r>
    </w:p>
    <w:p w:rsidR="0018274D" w:rsidRDefault="003A272E">
      <w:pPr>
        <w:spacing w:after="0" w:line="259" w:lineRule="auto"/>
        <w:ind w:left="0" w:firstLine="0"/>
      </w:pPr>
      <w:r>
        <w:t xml:space="preserve"> </w:t>
      </w:r>
    </w:p>
    <w:p w:rsidR="0018274D" w:rsidRDefault="003A272E">
      <w:pPr>
        <w:ind w:left="-5"/>
      </w:pPr>
      <w:r>
        <w:t xml:space="preserve">Lori Teichman, Ph.D. </w:t>
      </w:r>
    </w:p>
    <w:p w:rsidR="0018274D" w:rsidRDefault="003A272E">
      <w:pPr>
        <w:ind w:left="-5"/>
      </w:pPr>
      <w:r>
        <w:t xml:space="preserve">Centers for Medicare &amp; </w:t>
      </w:r>
      <w:r>
        <w:t xml:space="preserve">Medicaid Services </w:t>
      </w:r>
    </w:p>
    <w:p w:rsidR="0018274D" w:rsidRDefault="003A272E">
      <w:pPr>
        <w:ind w:left="-5"/>
      </w:pPr>
      <w:r>
        <w:t xml:space="preserve">CM/MDBG/DCAPP </w:t>
      </w:r>
    </w:p>
    <w:p w:rsidR="0018274D" w:rsidRDefault="003A272E">
      <w:pPr>
        <w:ind w:left="-5"/>
      </w:pPr>
      <w:r>
        <w:t xml:space="preserve">7500 Security Boulevard </w:t>
      </w:r>
    </w:p>
    <w:p w:rsidR="0018274D" w:rsidRDefault="003A272E">
      <w:pPr>
        <w:ind w:left="-5"/>
      </w:pPr>
      <w:r>
        <w:t xml:space="preserve">Mail Stop: C1-25-05 </w:t>
      </w:r>
    </w:p>
    <w:p w:rsidR="0018274D" w:rsidRDefault="003A272E">
      <w:pPr>
        <w:ind w:left="-5"/>
      </w:pPr>
      <w:r>
        <w:t xml:space="preserve">Baltimore, MD 21244 </w:t>
      </w:r>
    </w:p>
    <w:p w:rsidR="0018274D" w:rsidRDefault="003A272E">
      <w:pPr>
        <w:ind w:left="-5"/>
      </w:pPr>
      <w:r>
        <w:t xml:space="preserve">Phone: (410) 786-6684 </w:t>
      </w:r>
    </w:p>
    <w:p w:rsidR="0018274D" w:rsidRDefault="003A272E">
      <w:pPr>
        <w:ind w:left="-5"/>
      </w:pPr>
      <w:r>
        <w:t xml:space="preserve">Fax:   (410) 786-6303 </w:t>
      </w:r>
    </w:p>
    <w:p w:rsidR="0018274D" w:rsidRDefault="003A272E">
      <w:pPr>
        <w:ind w:left="-5"/>
      </w:pPr>
      <w:r>
        <w:t xml:space="preserve">Email:  Lori.Teichman@cms.hhs.gov </w:t>
      </w:r>
    </w:p>
    <w:p w:rsidR="0018274D" w:rsidRDefault="003A272E">
      <w:pPr>
        <w:spacing w:after="0" w:line="259" w:lineRule="auto"/>
        <w:ind w:left="0" w:firstLine="0"/>
      </w:pPr>
      <w:r>
        <w:t xml:space="preserve"> </w:t>
      </w:r>
    </w:p>
    <w:p w:rsidR="0018274D" w:rsidRDefault="003A272E">
      <w:pPr>
        <w:spacing w:after="0" w:line="259" w:lineRule="auto"/>
        <w:ind w:left="0" w:firstLine="0"/>
      </w:pPr>
      <w:r>
        <w:rPr>
          <w:b/>
        </w:rPr>
        <w:t xml:space="preserve"> </w:t>
      </w:r>
    </w:p>
    <w:sectPr w:rsidR="0018274D">
      <w:footerReference w:type="even" r:id="rId13"/>
      <w:footerReference w:type="default" r:id="rId14"/>
      <w:footerReference w:type="first" r:id="rId15"/>
      <w:pgSz w:w="12240" w:h="15840"/>
      <w:pgMar w:top="1449" w:right="1803" w:bottom="1929" w:left="1800" w:header="720" w:footer="8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A272E">
      <w:pPr>
        <w:spacing w:after="0" w:line="240" w:lineRule="auto"/>
      </w:pPr>
      <w:r>
        <w:separator/>
      </w:r>
    </w:p>
  </w:endnote>
  <w:endnote w:type="continuationSeparator" w:id="0">
    <w:p w:rsidR="00000000" w:rsidRDefault="003A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4D" w:rsidRDefault="003A272E">
    <w:pPr>
      <w:spacing w:after="252" w:line="259" w:lineRule="auto"/>
      <w:ind w:left="0" w:right="-6"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1125017</wp:posOffset>
              </wp:positionH>
              <wp:positionV relativeFrom="page">
                <wp:posOffset>9018727</wp:posOffset>
              </wp:positionV>
              <wp:extent cx="5523865" cy="12192"/>
              <wp:effectExtent l="0" t="0" r="0" b="0"/>
              <wp:wrapSquare wrapText="bothSides"/>
              <wp:docPr id="4893" name="Group 4893"/>
              <wp:cNvGraphicFramePr/>
              <a:graphic xmlns:a="http://schemas.openxmlformats.org/drawingml/2006/main">
                <a:graphicData uri="http://schemas.microsoft.com/office/word/2010/wordprocessingGroup">
                  <wpg:wgp>
                    <wpg:cNvGrpSpPr/>
                    <wpg:grpSpPr>
                      <a:xfrm>
                        <a:off x="0" y="0"/>
                        <a:ext cx="5523865" cy="12192"/>
                        <a:chOff x="0" y="0"/>
                        <a:chExt cx="5523865" cy="12192"/>
                      </a:xfrm>
                    </wpg:grpSpPr>
                    <wps:wsp>
                      <wps:cNvPr id="5007" name="Shape 5007"/>
                      <wps:cNvSpPr/>
                      <wps:spPr>
                        <a:xfrm>
                          <a:off x="0" y="0"/>
                          <a:ext cx="5523865" cy="12192"/>
                        </a:xfrm>
                        <a:custGeom>
                          <a:avLst/>
                          <a:gdLst/>
                          <a:ahLst/>
                          <a:cxnLst/>
                          <a:rect l="0" t="0" r="0" b="0"/>
                          <a:pathLst>
                            <a:path w="5523865" h="12192">
                              <a:moveTo>
                                <a:pt x="0" y="0"/>
                              </a:moveTo>
                              <a:lnTo>
                                <a:pt x="5523865" y="0"/>
                              </a:lnTo>
                              <a:lnTo>
                                <a:pt x="55238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93" style="width:434.95pt;height:0.960022pt;position:absolute;mso-position-horizontal-relative:page;mso-position-horizontal:absolute;margin-left:88.584pt;mso-position-vertical-relative:page;margin-top:710.136pt;" coordsize="55238,121">
              <v:shape id="Shape 5008" style="position:absolute;width:55238;height:121;left:0;top:0;" coordsize="5523865,12192" path="m0,0l5523865,0l5523865,12192l0,12192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b/>
        <w:sz w:val="20"/>
      </w:rPr>
      <w:t xml:space="preserve"> </w:t>
    </w:r>
  </w:p>
  <w:p w:rsidR="0018274D" w:rsidRDefault="003A272E">
    <w:pPr>
      <w:spacing w:after="0" w:line="259" w:lineRule="auto"/>
      <w:ind w:left="0" w:firstLine="0"/>
    </w:pPr>
    <w:r>
      <w:rPr>
        <w:rFonts w:ascii="Arial" w:eastAsia="Arial" w:hAnsi="Arial" w:cs="Arial"/>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4D" w:rsidRDefault="003A272E">
    <w:pPr>
      <w:spacing w:after="252" w:line="259" w:lineRule="auto"/>
      <w:ind w:left="0" w:right="-6"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1125017</wp:posOffset>
              </wp:positionH>
              <wp:positionV relativeFrom="page">
                <wp:posOffset>9018727</wp:posOffset>
              </wp:positionV>
              <wp:extent cx="5523865" cy="12192"/>
              <wp:effectExtent l="0" t="0" r="0" b="0"/>
              <wp:wrapSquare wrapText="bothSides"/>
              <wp:docPr id="4881" name="Group 4881"/>
              <wp:cNvGraphicFramePr/>
              <a:graphic xmlns:a="http://schemas.openxmlformats.org/drawingml/2006/main">
                <a:graphicData uri="http://schemas.microsoft.com/office/word/2010/wordprocessingGroup">
                  <wpg:wgp>
                    <wpg:cNvGrpSpPr/>
                    <wpg:grpSpPr>
                      <a:xfrm>
                        <a:off x="0" y="0"/>
                        <a:ext cx="5523865" cy="12192"/>
                        <a:chOff x="0" y="0"/>
                        <a:chExt cx="5523865" cy="12192"/>
                      </a:xfrm>
                    </wpg:grpSpPr>
                    <wps:wsp>
                      <wps:cNvPr id="5005" name="Shape 5005"/>
                      <wps:cNvSpPr/>
                      <wps:spPr>
                        <a:xfrm>
                          <a:off x="0" y="0"/>
                          <a:ext cx="5523865" cy="12192"/>
                        </a:xfrm>
                        <a:custGeom>
                          <a:avLst/>
                          <a:gdLst/>
                          <a:ahLst/>
                          <a:cxnLst/>
                          <a:rect l="0" t="0" r="0" b="0"/>
                          <a:pathLst>
                            <a:path w="5523865" h="12192">
                              <a:moveTo>
                                <a:pt x="0" y="0"/>
                              </a:moveTo>
                              <a:lnTo>
                                <a:pt x="5523865" y="0"/>
                              </a:lnTo>
                              <a:lnTo>
                                <a:pt x="55238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81" style="width:434.95pt;height:0.960022pt;position:absolute;mso-position-horizontal-relative:page;mso-position-horizontal:absolute;margin-left:88.584pt;mso-position-vertical-relative:page;margin-top:710.136pt;" coordsize="55238,121">
              <v:shape id="Shape 5006" style="position:absolute;width:55238;height:121;left:0;top:0;" coordsize="5523865,12192" path="m0,0l5523865,0l5523865,12192l0,12192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sidRPr="003A272E">
      <w:rPr>
        <w:rFonts w:ascii="Arial" w:eastAsia="Arial" w:hAnsi="Arial" w:cs="Arial"/>
        <w:b/>
        <w:noProof/>
        <w:sz w:val="20"/>
      </w:rPr>
      <w:t>4</w:t>
    </w:r>
    <w:r>
      <w:rPr>
        <w:rFonts w:ascii="Arial" w:eastAsia="Arial" w:hAnsi="Arial" w:cs="Arial"/>
        <w:b/>
        <w:sz w:val="20"/>
      </w:rPr>
      <w:fldChar w:fldCharType="end"/>
    </w:r>
    <w:r>
      <w:rPr>
        <w:rFonts w:ascii="Arial" w:eastAsia="Arial" w:hAnsi="Arial" w:cs="Arial"/>
        <w:b/>
        <w:sz w:val="20"/>
      </w:rPr>
      <w:t xml:space="preserve"> </w:t>
    </w:r>
  </w:p>
  <w:p w:rsidR="0018274D" w:rsidRDefault="003A272E">
    <w:pPr>
      <w:spacing w:after="0" w:line="259" w:lineRule="auto"/>
      <w:ind w:left="0" w:firstLine="0"/>
    </w:pPr>
    <w:r>
      <w:rPr>
        <w:rFonts w:ascii="Arial" w:eastAsia="Arial" w:hAnsi="Arial" w:cs="Arial"/>
        <w: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4D" w:rsidRDefault="003A272E">
    <w:pPr>
      <w:spacing w:after="252" w:line="259" w:lineRule="auto"/>
      <w:ind w:left="0" w:right="-6"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1125017</wp:posOffset>
              </wp:positionH>
              <wp:positionV relativeFrom="page">
                <wp:posOffset>9018727</wp:posOffset>
              </wp:positionV>
              <wp:extent cx="5523865" cy="12192"/>
              <wp:effectExtent l="0" t="0" r="0" b="0"/>
              <wp:wrapSquare wrapText="bothSides"/>
              <wp:docPr id="4869" name="Group 4869"/>
              <wp:cNvGraphicFramePr/>
              <a:graphic xmlns:a="http://schemas.openxmlformats.org/drawingml/2006/main">
                <a:graphicData uri="http://schemas.microsoft.com/office/word/2010/wordprocessingGroup">
                  <wpg:wgp>
                    <wpg:cNvGrpSpPr/>
                    <wpg:grpSpPr>
                      <a:xfrm>
                        <a:off x="0" y="0"/>
                        <a:ext cx="5523865" cy="12192"/>
                        <a:chOff x="0" y="0"/>
                        <a:chExt cx="5523865" cy="12192"/>
                      </a:xfrm>
                    </wpg:grpSpPr>
                    <wps:wsp>
                      <wps:cNvPr id="5003" name="Shape 5003"/>
                      <wps:cNvSpPr/>
                      <wps:spPr>
                        <a:xfrm>
                          <a:off x="0" y="0"/>
                          <a:ext cx="5523865" cy="12192"/>
                        </a:xfrm>
                        <a:custGeom>
                          <a:avLst/>
                          <a:gdLst/>
                          <a:ahLst/>
                          <a:cxnLst/>
                          <a:rect l="0" t="0" r="0" b="0"/>
                          <a:pathLst>
                            <a:path w="5523865" h="12192">
                              <a:moveTo>
                                <a:pt x="0" y="0"/>
                              </a:moveTo>
                              <a:lnTo>
                                <a:pt x="5523865" y="0"/>
                              </a:lnTo>
                              <a:lnTo>
                                <a:pt x="5523865"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69" style="width:434.95pt;height:0.960022pt;position:absolute;mso-position-horizontal-relative:page;mso-position-horizontal:absolute;margin-left:88.584pt;mso-position-vertical-relative:page;margin-top:710.136pt;" coordsize="55238,121">
              <v:shape id="Shape 5004" style="position:absolute;width:55238;height:121;left:0;top:0;" coordsize="5523865,12192" path="m0,0l5523865,0l5523865,12192l0,12192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Arial" w:eastAsia="Arial" w:hAnsi="Arial" w:cs="Arial"/>
        <w:b/>
        <w:sz w:val="20"/>
      </w:rPr>
      <w:t>1</w:t>
    </w:r>
    <w:r>
      <w:rPr>
        <w:rFonts w:ascii="Arial" w:eastAsia="Arial" w:hAnsi="Arial" w:cs="Arial"/>
        <w:b/>
        <w:sz w:val="20"/>
      </w:rPr>
      <w:fldChar w:fldCharType="end"/>
    </w:r>
    <w:r>
      <w:rPr>
        <w:rFonts w:ascii="Arial" w:eastAsia="Arial" w:hAnsi="Arial" w:cs="Arial"/>
        <w:b/>
        <w:sz w:val="20"/>
      </w:rPr>
      <w:t xml:space="preserve"> </w:t>
    </w:r>
  </w:p>
  <w:p w:rsidR="0018274D" w:rsidRDefault="003A272E">
    <w:pPr>
      <w:spacing w:after="0" w:line="259" w:lineRule="auto"/>
      <w:ind w:left="0" w:firstLine="0"/>
    </w:pPr>
    <w:r>
      <w:rPr>
        <w:rFonts w:ascii="Arial" w:eastAsia="Arial" w:hAnsi="Arial" w:cs="Arial"/>
        <w: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A272E">
      <w:pPr>
        <w:spacing w:after="0" w:line="240" w:lineRule="auto"/>
      </w:pPr>
      <w:r>
        <w:separator/>
      </w:r>
    </w:p>
  </w:footnote>
  <w:footnote w:type="continuationSeparator" w:id="0">
    <w:p w:rsidR="00000000" w:rsidRDefault="003A2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268FC"/>
    <w:multiLevelType w:val="hybridMultilevel"/>
    <w:tmpl w:val="BD0040A6"/>
    <w:lvl w:ilvl="0" w:tplc="A8D474BE">
      <w:start w:val="2"/>
      <w:numFmt w:val="decimal"/>
      <w:lvlText w:val="%1."/>
      <w:lvlJc w:val="left"/>
      <w:pPr>
        <w:ind w:left="4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90598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CE880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04242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30A6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FC17B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B2D3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A20E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78976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700146F"/>
    <w:multiLevelType w:val="hybridMultilevel"/>
    <w:tmpl w:val="3F505BC0"/>
    <w:lvl w:ilvl="0" w:tplc="282440F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54133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1619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B4F2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34BB1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96C2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8C06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A438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98AE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4D"/>
    <w:rsid w:val="0018274D"/>
    <w:rsid w:val="003A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745B6-70B2-43AA-9E92-23CC4C5E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y.ncqa.org/?ReturnUrl=%2fDownload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y.ncqa.org/?ReturnUrl=%2fDownloads" TargetMode="External"/><Relationship Id="rId12" Type="http://schemas.openxmlformats.org/officeDocument/2006/relationships/hyperlink" Target="https://my.ncqa.org/?ReturnUrl=%2fDownloa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ncqa.org/?ReturnUrl=%2fDownload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my.ncqa.org/?ReturnUrl=%2fDownloads" TargetMode="External"/><Relationship Id="rId4" Type="http://schemas.openxmlformats.org/officeDocument/2006/relationships/webSettings" Target="webSettings.xml"/><Relationship Id="rId9" Type="http://schemas.openxmlformats.org/officeDocument/2006/relationships/hyperlink" Target="https://my.ncqa.org/?ReturnUrl=%2fDownloa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cp:lastModifiedBy>Stephan McKenzie</cp:lastModifiedBy>
  <cp:revision>2</cp:revision>
  <dcterms:created xsi:type="dcterms:W3CDTF">2020-06-25T15:25:00Z</dcterms:created>
  <dcterms:modified xsi:type="dcterms:W3CDTF">2020-06-25T15:25:00Z</dcterms:modified>
</cp:coreProperties>
</file>