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749" w:rsidRDefault="00C805F4">
      <w:pPr>
        <w:spacing w:after="0"/>
        <w:ind w:left="1230" w:right="1192"/>
        <w:jc w:val="center"/>
      </w:pPr>
      <w:r>
        <w:rPr>
          <w:b/>
        </w:rPr>
        <w:t xml:space="preserve">Supporting Statement Part A </w:t>
      </w:r>
    </w:p>
    <w:p w:rsidR="00047749" w:rsidRDefault="00C805F4">
      <w:pPr>
        <w:spacing w:after="0"/>
        <w:ind w:left="1230" w:right="1120"/>
        <w:jc w:val="center"/>
      </w:pPr>
      <w:r>
        <w:rPr>
          <w:b/>
        </w:rPr>
        <w:t xml:space="preserve">HEDIS® Data Collection for Medicare Advantage CMS-10219, OMB 0938-1028 </w:t>
      </w:r>
    </w:p>
    <w:p w:rsidR="00047749" w:rsidRDefault="00C805F4">
      <w:pPr>
        <w:spacing w:after="0" w:line="259" w:lineRule="auto"/>
        <w:ind w:left="0" w:firstLine="0"/>
      </w:pPr>
      <w:r>
        <w:rPr>
          <w:b/>
          <w:sz w:val="20"/>
        </w:rPr>
        <w:t xml:space="preserve"> </w:t>
      </w:r>
    </w:p>
    <w:p w:rsidR="00047749" w:rsidRDefault="00C805F4">
      <w:pPr>
        <w:spacing w:after="107" w:line="259" w:lineRule="auto"/>
        <w:ind w:left="0" w:firstLine="0"/>
      </w:pPr>
      <w:r>
        <w:rPr>
          <w:b/>
          <w:sz w:val="20"/>
        </w:rPr>
        <w:t xml:space="preserve"> </w:t>
      </w:r>
    </w:p>
    <w:p w:rsidR="00047749" w:rsidRDefault="00C805F4">
      <w:pPr>
        <w:spacing w:after="0" w:line="259" w:lineRule="auto"/>
        <w:ind w:left="95"/>
      </w:pPr>
      <w:r>
        <w:rPr>
          <w:b/>
        </w:rPr>
        <w:t xml:space="preserve">PURPOSE: </w:t>
      </w:r>
    </w:p>
    <w:p w:rsidR="00047749" w:rsidRDefault="00C805F4">
      <w:pPr>
        <w:spacing w:after="0" w:line="259" w:lineRule="auto"/>
        <w:ind w:left="0" w:firstLine="0"/>
      </w:pPr>
      <w:r>
        <w:rPr>
          <w:b/>
          <w:sz w:val="23"/>
        </w:rPr>
        <w:t xml:space="preserve"> </w:t>
      </w:r>
    </w:p>
    <w:p w:rsidR="00047749" w:rsidRDefault="00C805F4">
      <w:pPr>
        <w:ind w:left="95" w:right="57"/>
      </w:pPr>
      <w:r>
        <w:t xml:space="preserve">The Centers for Medicare &amp; Medicaid Services (CMS) is requesting a renewal of Office of Management and Budget (OMB) number 0938-1028, that expires on November 30, </w:t>
      </w:r>
    </w:p>
    <w:p w:rsidR="00047749" w:rsidRDefault="00C805F4">
      <w:pPr>
        <w:ind w:left="95" w:right="57"/>
      </w:pPr>
      <w:r>
        <w:t xml:space="preserve">2020, for the currently approved collection of Healthcare Effectiveness Data and </w:t>
      </w:r>
    </w:p>
    <w:p w:rsidR="00047749" w:rsidRDefault="00C805F4">
      <w:pPr>
        <w:ind w:left="95" w:right="57"/>
      </w:pPr>
      <w:r>
        <w:t xml:space="preserve">Information Set (HEDIS®) data for Medicare Advantage Organizations (MAOs). </w:t>
      </w:r>
    </w:p>
    <w:p w:rsidR="00047749" w:rsidRDefault="00C805F4">
      <w:pPr>
        <w:spacing w:after="0" w:line="259" w:lineRule="auto"/>
        <w:ind w:left="0" w:firstLine="0"/>
      </w:pPr>
      <w:r>
        <w:t xml:space="preserve"> </w:t>
      </w:r>
    </w:p>
    <w:p w:rsidR="00047749" w:rsidRDefault="00C805F4">
      <w:pPr>
        <w:ind w:left="95" w:right="57"/>
      </w:pPr>
      <w:r>
        <w:t xml:space="preserve">This request is a renewal with very minor changes. Table 2 lists all of the 2017 and 2020 measures for comparisons. These relatively small changes from 2017 to 2020 do not translate into a change in hours and costs. </w:t>
      </w:r>
    </w:p>
    <w:p w:rsidR="00047749" w:rsidRDefault="00C805F4">
      <w:pPr>
        <w:spacing w:after="0" w:line="259" w:lineRule="auto"/>
        <w:ind w:left="0" w:firstLine="0"/>
      </w:pPr>
      <w:r>
        <w:t xml:space="preserve"> </w:t>
      </w:r>
    </w:p>
    <w:p w:rsidR="00047749" w:rsidRDefault="00C805F4">
      <w:pPr>
        <w:ind w:left="95" w:right="57"/>
      </w:pPr>
      <w:r>
        <w:t xml:space="preserve">This renewal is supported under the Paperwork Reduction Act and 5 CFR 1320.6. CMS requires MAOs, §1876 cost contracts, and Medicare Medicaid Plans (MMPs or demonstrations) to submit HEDIS® data on an annual basis to (1) assess care that is provided to Medicare beneficiaries and (2) to provide information to Medicare beneficiaries to make more informed decisions when choosing a health plan. </w:t>
      </w:r>
    </w:p>
    <w:p w:rsidR="00047749" w:rsidRDefault="00C805F4">
      <w:pPr>
        <w:ind w:left="95" w:right="57"/>
      </w:pPr>
      <w:r>
        <w:t xml:space="preserve">The HEDIS® data collection supports the CMS strategic goal of improving the quality of care and health status for Medicare beneficiaries. The HEDIS® measures are part of the Medicare Part C Star Ratings as described at §§ 422.160, 422.162, 422.164, and 422.166. CMS publishes the Medicare Part C Star Ratings each year to: (1) incentivize quality improvement in Medicare Advantage (MA); and (2) assist beneficiaries in finding the best plan for them. The ratings feed into MA Quality Bonus Payments. The Medicare Star Ratings support the efforts of CMS to improve the level of accountability for the care provided by physicians, hospitals, and other providers. </w:t>
      </w:r>
    </w:p>
    <w:p w:rsidR="00047749" w:rsidRDefault="00C805F4">
      <w:pPr>
        <w:spacing w:after="0" w:line="259" w:lineRule="auto"/>
        <w:ind w:left="0" w:firstLine="0"/>
      </w:pPr>
      <w:r>
        <w:t xml:space="preserve"> </w:t>
      </w:r>
    </w:p>
    <w:p w:rsidR="00047749" w:rsidRDefault="00C805F4">
      <w:pPr>
        <w:ind w:left="95" w:right="57"/>
      </w:pPr>
      <w:r>
        <w:t xml:space="preserve">HEDIS® data support the agency’s goal to hold MA contracts accountable for delivering care in accordance with widely accepted clinical guidelines and standards of care. CMS uses HEDIS® data to obtain the information necessary for the proper oversight of the Medicare Advantage program. NCQA trains and licenses organizations to conduct audits on-site at the MAOs secure record-keeping facilities where they compile their administrative and medical records for the HEDIS data file submissions. </w:t>
      </w:r>
    </w:p>
    <w:p w:rsidR="00047749" w:rsidRDefault="00C805F4">
      <w:pPr>
        <w:spacing w:after="0" w:line="259" w:lineRule="auto"/>
        <w:ind w:left="0" w:firstLine="0"/>
      </w:pPr>
      <w:r>
        <w:t xml:space="preserve"> </w:t>
      </w:r>
    </w:p>
    <w:p w:rsidR="00047749" w:rsidRDefault="00C805F4">
      <w:pPr>
        <w:spacing w:after="0" w:line="259" w:lineRule="auto"/>
        <w:ind w:left="95"/>
      </w:pPr>
      <w:r>
        <w:rPr>
          <w:b/>
        </w:rPr>
        <w:t xml:space="preserve">BACKGROUND: </w:t>
      </w:r>
    </w:p>
    <w:p w:rsidR="00047749" w:rsidRDefault="00C805F4">
      <w:pPr>
        <w:spacing w:after="0" w:line="259" w:lineRule="auto"/>
        <w:ind w:left="0" w:firstLine="0"/>
      </w:pPr>
      <w:r>
        <w:rPr>
          <w:b/>
          <w:sz w:val="23"/>
        </w:rPr>
        <w:t xml:space="preserve"> </w:t>
      </w:r>
    </w:p>
    <w:p w:rsidR="00047749" w:rsidRDefault="00C805F4">
      <w:pPr>
        <w:ind w:left="95" w:right="57"/>
      </w:pPr>
      <w:r>
        <w:t xml:space="preserve">CMS is committed to assessing the quality of care provided by MA contracts. CMS has a responsibility to its Medicare beneficiaries to require that care provided by MAOs and §1876 cost contracts in Part C under contract to CMS is of high quality and conforms to currently accepted standards of medical care. One way of ensuring high quality care in MAOs is publicly reporting quality data indicators. The reporting of quality data is not only beneficial to the public by supporting transparency, but it also contributes to quality improvement in all MAOs. </w:t>
      </w:r>
    </w:p>
    <w:p w:rsidR="00047749" w:rsidRDefault="00C805F4">
      <w:pPr>
        <w:spacing w:after="211" w:line="259" w:lineRule="auto"/>
        <w:ind w:left="0" w:firstLine="0"/>
      </w:pPr>
      <w:r>
        <w:rPr>
          <w:sz w:val="10"/>
        </w:rPr>
        <w:lastRenderedPageBreak/>
        <w:t xml:space="preserve"> </w:t>
      </w:r>
    </w:p>
    <w:p w:rsidR="00047749" w:rsidRDefault="00C805F4">
      <w:pPr>
        <w:ind w:left="95" w:right="57"/>
      </w:pPr>
      <w:r>
        <w:t xml:space="preserve">NCQA designed HEDIS® for private and public health care purchasers to promote accountability and to assess the quality of care provided by managed care organizations. Originally designed for private employers’ needs as purchasers of healthcare, HEDIS® has been adapted for use by public purchasers, government compliance monitors, and healthcare consumers. HEDIS® is still developed and maintained by the National Committee for Quality Assurance (NCQA) in collaboration with CMS and other representatives of purchaser, managed care industry, provider/practitioner, and health services research communities. </w:t>
      </w:r>
    </w:p>
    <w:p w:rsidR="00047749" w:rsidRDefault="00C805F4">
      <w:pPr>
        <w:spacing w:after="0" w:line="259" w:lineRule="auto"/>
        <w:ind w:left="0" w:firstLine="0"/>
      </w:pPr>
      <w:r>
        <w:t xml:space="preserve"> </w:t>
      </w:r>
    </w:p>
    <w:p w:rsidR="00047749" w:rsidRDefault="00C805F4">
      <w:pPr>
        <w:spacing w:after="0" w:line="259" w:lineRule="auto"/>
        <w:ind w:left="95"/>
      </w:pPr>
      <w:r>
        <w:rPr>
          <w:b/>
        </w:rPr>
        <w:t xml:space="preserve">JUSTIFICATION: </w:t>
      </w:r>
    </w:p>
    <w:p w:rsidR="00047749" w:rsidRDefault="00C805F4">
      <w:pPr>
        <w:spacing w:after="0" w:line="259" w:lineRule="auto"/>
        <w:ind w:left="0" w:firstLine="0"/>
      </w:pPr>
      <w:r>
        <w:rPr>
          <w:b/>
          <w:sz w:val="23"/>
        </w:rPr>
        <w:t xml:space="preserve"> </w:t>
      </w:r>
    </w:p>
    <w:p w:rsidR="00047749" w:rsidRDefault="00C805F4">
      <w:pPr>
        <w:pStyle w:val="Heading1"/>
        <w:ind w:left="95"/>
      </w:pPr>
      <w:r>
        <w:rPr>
          <w:u w:val="none"/>
        </w:rPr>
        <w:t>1.</w:t>
      </w:r>
      <w:r>
        <w:rPr>
          <w:rFonts w:ascii="Arial" w:hAnsi="Arial" w:eastAsia="Arial" w:cs="Arial"/>
          <w:u w:val="none"/>
        </w:rPr>
        <w:t xml:space="preserve"> </w:t>
      </w:r>
      <w:r>
        <w:t>Need and Legal Basis</w:t>
      </w:r>
      <w:r>
        <w:rPr>
          <w:u w:val="none"/>
        </w:rPr>
        <w:t xml:space="preserve"> </w:t>
      </w:r>
    </w:p>
    <w:p w:rsidR="00047749" w:rsidRDefault="00C805F4">
      <w:pPr>
        <w:spacing w:after="151" w:line="259" w:lineRule="auto"/>
        <w:ind w:left="0" w:firstLine="0"/>
      </w:pPr>
      <w:r>
        <w:rPr>
          <w:sz w:val="16"/>
        </w:rPr>
        <w:t xml:space="preserve"> </w:t>
      </w:r>
    </w:p>
    <w:p w:rsidR="00047749" w:rsidRDefault="00C805F4">
      <w:pPr>
        <w:ind w:left="95" w:right="57"/>
      </w:pPr>
      <w:r>
        <w:t xml:space="preserve">Sections 422.152 and 422.516 of Volume 42 of the Code of Federal Regulations (CFR) specify that MAOs must submit quality performance measures as specified by the Secretary of the Department of Health and Human Services and by CMS. These quality performance measures include HEDIS®. HEDIS® data are used in the Medicare Part C Star Ratings, and HEDIS® data are used in the Quality Bonus Payments to Medicare Advantage plans. </w:t>
      </w:r>
    </w:p>
    <w:p w:rsidR="00047749" w:rsidRDefault="00C805F4">
      <w:pPr>
        <w:spacing w:after="0" w:line="259" w:lineRule="auto"/>
        <w:ind w:left="0" w:firstLine="0"/>
      </w:pPr>
      <w:r>
        <w:t xml:space="preserve"> </w:t>
      </w:r>
    </w:p>
    <w:p w:rsidR="00047749" w:rsidRDefault="00C805F4">
      <w:pPr>
        <w:ind w:left="95" w:right="57"/>
      </w:pPr>
      <w:r>
        <w:t xml:space="preserve">In an effort to promote an active, informed selection among coverage options, the </w:t>
      </w:r>
    </w:p>
    <w:p w:rsidR="00047749" w:rsidRDefault="00C805F4">
      <w:pPr>
        <w:ind w:left="95" w:right="57"/>
      </w:pPr>
      <w:r>
        <w:t xml:space="preserve">Secretary must provide information to current and potential Medicare beneficiaries about Medicare Advantage organizations, including quality and performance indicators for benefits under the contracts as well as Medicare enrollee satisfaction and information on health outcomes. </w:t>
      </w:r>
    </w:p>
    <w:p w:rsidR="00047749" w:rsidRDefault="00C805F4">
      <w:pPr>
        <w:spacing w:after="0" w:line="259" w:lineRule="auto"/>
        <w:ind w:left="0" w:firstLine="0"/>
      </w:pPr>
      <w:r>
        <w:t xml:space="preserve"> </w:t>
      </w:r>
    </w:p>
    <w:p w:rsidR="00047749" w:rsidRDefault="00C805F4">
      <w:pPr>
        <w:pStyle w:val="Heading1"/>
        <w:ind w:left="95"/>
      </w:pPr>
      <w:r>
        <w:rPr>
          <w:u w:val="none"/>
        </w:rPr>
        <w:t>2.</w:t>
      </w:r>
      <w:r>
        <w:rPr>
          <w:rFonts w:ascii="Arial" w:hAnsi="Arial" w:eastAsia="Arial" w:cs="Arial"/>
          <w:u w:val="none"/>
        </w:rPr>
        <w:t xml:space="preserve"> </w:t>
      </w:r>
      <w:r>
        <w:t>Information Users</w:t>
      </w:r>
      <w:r>
        <w:rPr>
          <w:u w:val="none"/>
        </w:rPr>
        <w:t xml:space="preserve"> </w:t>
      </w:r>
    </w:p>
    <w:p w:rsidR="00047749" w:rsidRDefault="00C805F4">
      <w:pPr>
        <w:spacing w:after="151" w:line="259" w:lineRule="auto"/>
        <w:ind w:left="0" w:firstLine="0"/>
      </w:pPr>
      <w:r>
        <w:rPr>
          <w:sz w:val="16"/>
        </w:rPr>
        <w:t xml:space="preserve"> </w:t>
      </w:r>
    </w:p>
    <w:p w:rsidR="00047749" w:rsidRDefault="00C805F4">
      <w:pPr>
        <w:ind w:left="95" w:right="57"/>
      </w:pPr>
      <w:r>
        <w:t xml:space="preserve">The data are used by CMS staff to monitor MAOs’ performance, and to inform beneficiaries’ plan choices through their display in CMS’s consumer-oriented public compare tools and websites. MAOs use the data for quality assessment and as part of their quality improvement programs and activities. Quality Improvement Organizations (QIOs) and CMS contractors use HEDIS® data in conjunction with their statutory authority to improve quality of care. A subset of HEDIS® measures are included in the Part C Star Ratings and MA Quality Bonus Payments. Other HEDIS measures are displayed on a display page on </w:t>
      </w:r>
      <w:hyperlink r:id="rId7">
        <w:r>
          <w:rPr>
            <w:color w:val="0000FF"/>
            <w:u w:val="single" w:color="0000FF"/>
          </w:rPr>
          <w:t>www.cms.hhs.gov</w:t>
        </w:r>
      </w:hyperlink>
      <w:hyperlink r:id="rId8">
        <w:r>
          <w:rPr>
            <w:color w:val="0000FF"/>
          </w:rPr>
          <w:t xml:space="preserve"> </w:t>
        </w:r>
      </w:hyperlink>
      <w:hyperlink r:id="rId9">
        <w:r>
          <w:t>f</w:t>
        </w:r>
      </w:hyperlink>
      <w:r>
        <w:t xml:space="preserve">or informational purposes. Additionally, CMS makes health plan level HEDIS® data available to researchers and others as Public Use Files (PUFs) </w:t>
      </w:r>
      <w:hyperlink r:id="rId10">
        <w:r>
          <w:rPr>
            <w:color w:val="0000FF"/>
            <w:u w:val="single" w:color="0000FF"/>
          </w:rPr>
          <w:t>on the CMS website</w:t>
        </w:r>
      </w:hyperlink>
      <w:hyperlink r:id="rId11">
        <w:r>
          <w:t xml:space="preserve"> </w:t>
        </w:r>
      </w:hyperlink>
    </w:p>
    <w:p w:rsidR="00047749" w:rsidRDefault="00C805F4">
      <w:pPr>
        <w:spacing w:after="140" w:line="259" w:lineRule="auto"/>
        <w:ind w:left="0" w:firstLine="0"/>
      </w:pPr>
      <w:r>
        <w:rPr>
          <w:sz w:val="17"/>
        </w:rPr>
        <w:t xml:space="preserve"> </w:t>
      </w:r>
    </w:p>
    <w:p w:rsidR="00047749" w:rsidRDefault="00C805F4">
      <w:pPr>
        <w:pStyle w:val="Heading1"/>
        <w:ind w:left="95"/>
      </w:pPr>
      <w:r>
        <w:rPr>
          <w:u w:val="none"/>
        </w:rPr>
        <w:t>3.</w:t>
      </w:r>
      <w:r>
        <w:rPr>
          <w:rFonts w:ascii="Arial" w:hAnsi="Arial" w:eastAsia="Arial" w:cs="Arial"/>
          <w:u w:val="none"/>
        </w:rPr>
        <w:t xml:space="preserve"> </w:t>
      </w:r>
      <w:r>
        <w:t>Use of Information Technology</w:t>
      </w:r>
      <w:r>
        <w:rPr>
          <w:u w:val="none"/>
        </w:rPr>
        <w:t xml:space="preserve"> </w:t>
      </w:r>
    </w:p>
    <w:p w:rsidR="00047749" w:rsidRDefault="00C805F4">
      <w:pPr>
        <w:spacing w:after="151" w:line="259" w:lineRule="auto"/>
        <w:ind w:left="0" w:firstLine="0"/>
      </w:pPr>
      <w:r>
        <w:rPr>
          <w:sz w:val="16"/>
        </w:rPr>
        <w:t xml:space="preserve"> </w:t>
      </w:r>
    </w:p>
    <w:p w:rsidR="00047749" w:rsidRDefault="00C805F4">
      <w:pPr>
        <w:ind w:left="95" w:right="57"/>
      </w:pPr>
      <w:r>
        <w:t xml:space="preserve">The HEDIS® measures are reported through NCQA’s Web-Based Interactive Data Submission System (IDSS) that includes many automation and quality control features </w:t>
      </w:r>
      <w:r>
        <w:lastRenderedPageBreak/>
        <w:t xml:space="preserve">permitting importing of data, pre-populated fields, and built-in edit checks. Information about the IDSS is available at the </w:t>
      </w:r>
      <w:hyperlink r:id="rId12">
        <w:r>
          <w:rPr>
            <w:color w:val="0000FF"/>
            <w:u w:val="single" w:color="0000FF"/>
          </w:rPr>
          <w:t>NCQA website</w:t>
        </w:r>
      </w:hyperlink>
      <w:hyperlink r:id="rId13">
        <w:r>
          <w:t>.</w:t>
        </w:r>
      </w:hyperlink>
      <w:r>
        <w:t xml:space="preserve"> </w:t>
      </w:r>
    </w:p>
    <w:p w:rsidR="00047749" w:rsidRDefault="00C805F4">
      <w:pPr>
        <w:spacing w:after="211" w:line="259" w:lineRule="auto"/>
        <w:ind w:left="0" w:firstLine="0"/>
      </w:pPr>
      <w:r>
        <w:rPr>
          <w:sz w:val="10"/>
        </w:rPr>
        <w:t xml:space="preserve"> </w:t>
      </w:r>
    </w:p>
    <w:p w:rsidR="00047749" w:rsidRDefault="00C805F4">
      <w:pPr>
        <w:pStyle w:val="Heading1"/>
        <w:ind w:left="95"/>
      </w:pPr>
      <w:r>
        <w:rPr>
          <w:u w:val="none"/>
        </w:rPr>
        <w:t>4.</w:t>
      </w:r>
      <w:r>
        <w:rPr>
          <w:rFonts w:ascii="Arial" w:hAnsi="Arial" w:eastAsia="Arial" w:cs="Arial"/>
          <w:u w:val="none"/>
        </w:rPr>
        <w:t xml:space="preserve"> </w:t>
      </w:r>
      <w:r>
        <w:t>Duplication of Efforts</w:t>
      </w:r>
      <w:r>
        <w:rPr>
          <w:u w:val="none"/>
        </w:rPr>
        <w:t xml:space="preserve"> </w:t>
      </w:r>
    </w:p>
    <w:p w:rsidR="00047749" w:rsidRDefault="00C805F4">
      <w:pPr>
        <w:spacing w:after="151" w:line="259" w:lineRule="auto"/>
        <w:ind w:left="0" w:firstLine="0"/>
      </w:pPr>
      <w:r>
        <w:rPr>
          <w:sz w:val="16"/>
        </w:rPr>
        <w:t xml:space="preserve"> </w:t>
      </w:r>
    </w:p>
    <w:p w:rsidR="00047749" w:rsidRDefault="00C805F4">
      <w:pPr>
        <w:ind w:left="95" w:right="57"/>
      </w:pPr>
      <w:r>
        <w:t xml:space="preserve">This information collection does not duplicate any other effort and the information cannot be obtained from any other source. As stated previously above, MAOs have been submitting HEDIS® data to CMS since 1998. The incremental costs of doing HEDIS® for the Medicare population are small relative to the fixed costs that MAOs have invested in to do it for commercial and Medicaid plans. </w:t>
      </w:r>
    </w:p>
    <w:p w:rsidR="00047749" w:rsidRDefault="00C805F4">
      <w:pPr>
        <w:spacing w:after="0" w:line="259" w:lineRule="auto"/>
        <w:ind w:left="0" w:firstLine="0"/>
      </w:pPr>
      <w:r>
        <w:t xml:space="preserve"> </w:t>
      </w:r>
    </w:p>
    <w:p w:rsidR="00047749" w:rsidRDefault="00C805F4">
      <w:pPr>
        <w:pStyle w:val="Heading1"/>
        <w:ind w:left="95"/>
      </w:pPr>
      <w:r>
        <w:rPr>
          <w:u w:val="none"/>
        </w:rPr>
        <w:t>5.</w:t>
      </w:r>
      <w:r>
        <w:rPr>
          <w:rFonts w:ascii="Arial" w:hAnsi="Arial" w:eastAsia="Arial" w:cs="Arial"/>
          <w:u w:val="none"/>
        </w:rPr>
        <w:t xml:space="preserve"> </w:t>
      </w:r>
      <w:r>
        <w:t>Small Businesses</w:t>
      </w:r>
      <w:r>
        <w:rPr>
          <w:u w:val="none"/>
        </w:rPr>
        <w:t xml:space="preserve"> </w:t>
      </w:r>
    </w:p>
    <w:p w:rsidR="00047749" w:rsidRDefault="00C805F4">
      <w:pPr>
        <w:spacing w:after="151" w:line="259" w:lineRule="auto"/>
        <w:ind w:left="0" w:firstLine="0"/>
      </w:pPr>
      <w:r>
        <w:rPr>
          <w:sz w:val="16"/>
        </w:rPr>
        <w:t xml:space="preserve"> </w:t>
      </w:r>
    </w:p>
    <w:p w:rsidR="00047749" w:rsidRDefault="00C805F4">
      <w:pPr>
        <w:ind w:left="95" w:right="57"/>
      </w:pPr>
      <w:r>
        <w:t xml:space="preserve">The burden on small MAOs is reduced by requiring a standardized and commonly accepted measure set in the managed care industry, with which the contracts can meet requirements of Medicare and many private purchasers for reporting performance. There is no way to further reduce the burden and still collect the necessary information. </w:t>
      </w:r>
    </w:p>
    <w:p w:rsidR="00047749" w:rsidRDefault="00C805F4">
      <w:pPr>
        <w:spacing w:after="0" w:line="259" w:lineRule="auto"/>
        <w:ind w:left="0" w:firstLine="0"/>
      </w:pPr>
      <w:r>
        <w:t xml:space="preserve"> </w:t>
      </w:r>
    </w:p>
    <w:p w:rsidR="00047749" w:rsidRDefault="00C805F4">
      <w:pPr>
        <w:pStyle w:val="Heading1"/>
        <w:ind w:left="95"/>
      </w:pPr>
      <w:r>
        <w:rPr>
          <w:u w:val="none"/>
        </w:rPr>
        <w:t>6.</w:t>
      </w:r>
      <w:r>
        <w:rPr>
          <w:rFonts w:ascii="Arial" w:hAnsi="Arial" w:eastAsia="Arial" w:cs="Arial"/>
          <w:u w:val="none"/>
        </w:rPr>
        <w:t xml:space="preserve"> </w:t>
      </w:r>
      <w:r>
        <w:t>Less Frequent Collection</w:t>
      </w:r>
      <w:r>
        <w:rPr>
          <w:u w:val="none"/>
        </w:rPr>
        <w:t xml:space="preserve"> </w:t>
      </w:r>
    </w:p>
    <w:p w:rsidR="00047749" w:rsidRDefault="00C805F4">
      <w:pPr>
        <w:spacing w:after="151" w:line="259" w:lineRule="auto"/>
        <w:ind w:left="0" w:firstLine="0"/>
      </w:pPr>
      <w:r>
        <w:rPr>
          <w:sz w:val="16"/>
        </w:rPr>
        <w:t xml:space="preserve"> </w:t>
      </w:r>
    </w:p>
    <w:p w:rsidR="00047749" w:rsidRDefault="00C805F4">
      <w:pPr>
        <w:ind w:left="95" w:right="57"/>
      </w:pPr>
      <w:r>
        <w:t xml:space="preserve">CMS collects the HEDIS® data annually. To collect data less frequently would actually increase burden because we would lose the efficiencies gained by using a standardized, industry accepted and commonly used measurement set which makes it possible for MAOs to meet the data reporting requirements of Medicare and other private purchasers using the same instrument and submission process. </w:t>
      </w:r>
    </w:p>
    <w:p w:rsidR="00047749" w:rsidRDefault="00C805F4">
      <w:pPr>
        <w:spacing w:after="0" w:line="259" w:lineRule="auto"/>
        <w:ind w:left="0" w:firstLine="0"/>
      </w:pPr>
      <w:r>
        <w:t xml:space="preserve"> </w:t>
      </w:r>
    </w:p>
    <w:p w:rsidR="00047749" w:rsidRDefault="00C805F4">
      <w:pPr>
        <w:ind w:left="95" w:right="57"/>
      </w:pPr>
      <w:r>
        <w:t xml:space="preserve">CMS publishes the HEDIS® measures in the Medicare Part C Star Ratings each year to: </w:t>
      </w:r>
    </w:p>
    <w:p w:rsidR="00047749" w:rsidRDefault="00C805F4">
      <w:pPr>
        <w:ind w:left="95" w:right="57"/>
      </w:pPr>
      <w:r>
        <w:t xml:space="preserve">(1) incentivize quality improvement in Medicare Advantage (MA), (2) assist beneficiaries in finding the best plan, and (3) determine MA Quality Bonus Payments. Moreover, the ratings support the efforts of CMS to improve the level of accountability for the care provided by physicians, hospitals, and other providers. In addition, contracts between CMS and MAOs are renewable on an annual basis, so we need this performance data for program management and contracting decisions. It is also used to help Medicare beneficiaries and their caregivers make decisions about which health plan to choose, each year during open enrollment season. </w:t>
      </w:r>
    </w:p>
    <w:p w:rsidR="00047749" w:rsidRDefault="00C805F4">
      <w:pPr>
        <w:spacing w:after="0" w:line="259" w:lineRule="auto"/>
        <w:ind w:left="0" w:firstLine="0"/>
      </w:pPr>
      <w:r>
        <w:t xml:space="preserve"> </w:t>
      </w:r>
    </w:p>
    <w:p w:rsidR="00047749" w:rsidRDefault="00C805F4">
      <w:pPr>
        <w:pStyle w:val="Heading1"/>
        <w:ind w:left="95"/>
      </w:pPr>
      <w:r>
        <w:rPr>
          <w:u w:val="none"/>
        </w:rPr>
        <w:t>7.</w:t>
      </w:r>
      <w:r>
        <w:rPr>
          <w:rFonts w:ascii="Arial" w:hAnsi="Arial" w:eastAsia="Arial" w:cs="Arial"/>
          <w:u w:val="none"/>
        </w:rPr>
        <w:t xml:space="preserve"> </w:t>
      </w:r>
      <w:r>
        <w:t>Special Circumstances</w:t>
      </w:r>
      <w:r>
        <w:rPr>
          <w:u w:val="none"/>
        </w:rPr>
        <w:t xml:space="preserve"> </w:t>
      </w:r>
    </w:p>
    <w:p w:rsidR="00047749" w:rsidRDefault="00C805F4">
      <w:pPr>
        <w:spacing w:after="151" w:line="259" w:lineRule="auto"/>
        <w:ind w:left="0" w:firstLine="0"/>
      </w:pPr>
      <w:r>
        <w:rPr>
          <w:sz w:val="16"/>
        </w:rPr>
        <w:t xml:space="preserve"> </w:t>
      </w:r>
    </w:p>
    <w:p w:rsidR="00047749" w:rsidRDefault="00C805F4">
      <w:pPr>
        <w:ind w:left="95" w:right="57"/>
      </w:pPr>
      <w:r>
        <w:t xml:space="preserve">The publicly reported HEDIS® data that CMS makes available will not identify beneficiaries. The HEDIS® patient level file is available only to requesters who for confidentiality reasons must sign a CMS Data Use Agreement that include, but are not limited to, submitting a research protocol to ResDAC for approval. Requestors must start the process as outlined by </w:t>
      </w:r>
      <w:r>
        <w:rPr>
          <w:color w:val="800080"/>
          <w:u w:val="single" w:color="800080"/>
        </w:rPr>
        <w:t>ResDAC</w:t>
      </w:r>
      <w:r>
        <w:t xml:space="preserve">. </w:t>
      </w:r>
    </w:p>
    <w:p w:rsidR="00047749" w:rsidRDefault="00C805F4">
      <w:pPr>
        <w:spacing w:after="151" w:line="259" w:lineRule="auto"/>
        <w:ind w:left="0" w:firstLine="0"/>
      </w:pPr>
      <w:r>
        <w:rPr>
          <w:sz w:val="16"/>
        </w:rPr>
        <w:t xml:space="preserve"> </w:t>
      </w:r>
    </w:p>
    <w:p w:rsidR="00047749" w:rsidRDefault="00C805F4">
      <w:pPr>
        <w:spacing w:after="80"/>
        <w:ind w:left="95" w:right="57"/>
      </w:pPr>
      <w:r>
        <w:t xml:space="preserve">There are no special circumstances that would require an information collection to be conducted in a manner that requires respondents to: </w:t>
      </w:r>
    </w:p>
    <w:p w:rsidR="00047749" w:rsidP="00C805F4" w:rsidRDefault="00C805F4">
      <w:pPr>
        <w:spacing w:after="66" w:line="259" w:lineRule="auto"/>
        <w:ind w:left="100" w:firstLine="0"/>
      </w:pPr>
      <w:r>
        <w:t xml:space="preserve">  </w:t>
      </w:r>
    </w:p>
    <w:p w:rsidR="00047749" w:rsidRDefault="00C805F4">
      <w:pPr>
        <w:numPr>
          <w:ilvl w:val="0"/>
          <w:numId w:val="1"/>
        </w:numPr>
        <w:spacing w:after="65"/>
        <w:ind w:right="57" w:hanging="360"/>
      </w:pPr>
      <w:r>
        <w:t xml:space="preserve">Report information to the agency more often than quarterly; </w:t>
      </w:r>
    </w:p>
    <w:p w:rsidR="00047749" w:rsidRDefault="00C805F4">
      <w:pPr>
        <w:numPr>
          <w:ilvl w:val="0"/>
          <w:numId w:val="1"/>
        </w:numPr>
        <w:ind w:right="57" w:hanging="360"/>
      </w:pPr>
      <w:r>
        <w:t xml:space="preserve">Prepare a written response to a collection of information in fewer than 30 days after receipt of it; </w:t>
      </w:r>
    </w:p>
    <w:p w:rsidR="00047749" w:rsidRDefault="00C805F4">
      <w:pPr>
        <w:numPr>
          <w:ilvl w:val="0"/>
          <w:numId w:val="1"/>
        </w:numPr>
        <w:ind w:right="57" w:hanging="360"/>
      </w:pPr>
      <w:r>
        <w:t xml:space="preserve">Submit more than an original and two copies of any document; </w:t>
      </w:r>
    </w:p>
    <w:p w:rsidR="00047749" w:rsidRDefault="00C805F4">
      <w:pPr>
        <w:numPr>
          <w:ilvl w:val="0"/>
          <w:numId w:val="1"/>
        </w:numPr>
        <w:ind w:right="57" w:hanging="360"/>
      </w:pPr>
      <w:r>
        <w:t xml:space="preserve">Retain records, other than health, medical, government contract, grant-in-aid, or tax records for more than three years; </w:t>
      </w:r>
    </w:p>
    <w:p w:rsidR="00047749" w:rsidRDefault="00C805F4">
      <w:pPr>
        <w:numPr>
          <w:ilvl w:val="0"/>
          <w:numId w:val="1"/>
        </w:numPr>
        <w:ind w:right="57" w:hanging="360"/>
      </w:pPr>
      <w:r>
        <w:t xml:space="preserve">Collect data in connection with a statistical survey that is not designed to produce valid and reliable results that can be generalized to the universe of study, </w:t>
      </w:r>
    </w:p>
    <w:p w:rsidR="00047749" w:rsidRDefault="00C805F4">
      <w:pPr>
        <w:numPr>
          <w:ilvl w:val="0"/>
          <w:numId w:val="1"/>
        </w:numPr>
        <w:ind w:right="57" w:hanging="360"/>
      </w:pPr>
      <w:r>
        <w:t xml:space="preserve">Use a statistical data classification that has not been reviewed and approved by OMB; </w:t>
      </w:r>
    </w:p>
    <w:p w:rsidR="00047749" w:rsidRDefault="00C805F4">
      <w:pPr>
        <w:numPr>
          <w:ilvl w:val="0"/>
          <w:numId w:val="1"/>
        </w:numPr>
        <w:ind w:right="57" w:hanging="360"/>
      </w:pPr>
      <w:r>
        <w:t xml:space="preserve">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047749" w:rsidRDefault="00C805F4">
      <w:pPr>
        <w:numPr>
          <w:ilvl w:val="0"/>
          <w:numId w:val="1"/>
        </w:numPr>
        <w:ind w:right="57" w:hanging="360"/>
      </w:pPr>
      <w:r>
        <w:t xml:space="preserve">Submit proprietary trade secret, or other confidential information unless the agency can demonstrate that it has instituted procedures to protect the information's confidentiality to the extent permitted by law. </w:t>
      </w:r>
    </w:p>
    <w:p w:rsidR="00047749" w:rsidRDefault="00C805F4">
      <w:pPr>
        <w:spacing w:after="0" w:line="259" w:lineRule="auto"/>
        <w:ind w:left="0" w:firstLine="0"/>
      </w:pPr>
      <w:r>
        <w:t xml:space="preserve"> </w:t>
      </w:r>
    </w:p>
    <w:p w:rsidR="00047749" w:rsidRDefault="00C805F4">
      <w:pPr>
        <w:pStyle w:val="Heading1"/>
        <w:ind w:left="95"/>
      </w:pPr>
      <w:r>
        <w:rPr>
          <w:u w:val="none"/>
        </w:rPr>
        <w:t>8.</w:t>
      </w:r>
      <w:r>
        <w:rPr>
          <w:rFonts w:ascii="Arial" w:hAnsi="Arial" w:eastAsia="Arial" w:cs="Arial"/>
          <w:u w:val="none"/>
        </w:rPr>
        <w:t xml:space="preserve"> </w:t>
      </w:r>
      <w:r>
        <w:t>Federal Register Notice/Outside Consultation</w:t>
      </w:r>
      <w:r>
        <w:rPr>
          <w:u w:val="none"/>
        </w:rPr>
        <w:t xml:space="preserve"> </w:t>
      </w:r>
    </w:p>
    <w:p w:rsidR="00047749" w:rsidRDefault="00C805F4">
      <w:pPr>
        <w:spacing w:after="151" w:line="259" w:lineRule="auto"/>
        <w:ind w:left="0" w:firstLine="0"/>
      </w:pPr>
      <w:r>
        <w:rPr>
          <w:sz w:val="16"/>
        </w:rPr>
        <w:t xml:space="preserve"> </w:t>
      </w:r>
    </w:p>
    <w:p w:rsidR="00047749" w:rsidRDefault="00C805F4">
      <w:pPr>
        <w:spacing w:after="76"/>
        <w:ind w:left="95" w:right="57"/>
      </w:pPr>
      <w:r>
        <w:t xml:space="preserve">The 60-day notice published in the Federal Register 04/15/2020 (85 FR 21010). </w:t>
      </w:r>
    </w:p>
    <w:p w:rsidR="00047749" w:rsidRDefault="00C805F4">
      <w:pPr>
        <w:spacing w:after="76"/>
        <w:ind w:left="95" w:right="57"/>
      </w:pPr>
      <w:r>
        <w:t xml:space="preserve">No comments were received  </w:t>
      </w:r>
    </w:p>
    <w:p w:rsidR="00047749" w:rsidRDefault="00C805F4">
      <w:pPr>
        <w:spacing w:after="66" w:line="259" w:lineRule="auto"/>
        <w:ind w:left="100" w:firstLine="0"/>
      </w:pPr>
      <w:r>
        <w:t xml:space="preserve"> </w:t>
      </w:r>
    </w:p>
    <w:p w:rsidR="00047749" w:rsidRDefault="00C805F4">
      <w:pPr>
        <w:spacing w:after="76"/>
        <w:ind w:left="95" w:right="57"/>
      </w:pPr>
      <w:r>
        <w:t xml:space="preserve">The 30-day notice published in the Federal Register 07/01/2020 (85 FR 39570). </w:t>
      </w:r>
    </w:p>
    <w:p w:rsidR="00047749" w:rsidRDefault="00C805F4">
      <w:pPr>
        <w:spacing w:after="0" w:line="259" w:lineRule="auto"/>
        <w:ind w:left="100" w:firstLine="0"/>
      </w:pPr>
      <w:r>
        <w:t xml:space="preserve"> </w:t>
      </w:r>
    </w:p>
    <w:p w:rsidR="00047749" w:rsidRDefault="00C805F4">
      <w:pPr>
        <w:spacing w:after="0" w:line="259" w:lineRule="auto"/>
        <w:ind w:left="0" w:firstLine="0"/>
      </w:pPr>
      <w:r>
        <w:rPr>
          <w:sz w:val="23"/>
        </w:rPr>
        <w:t xml:space="preserve"> </w:t>
      </w:r>
    </w:p>
    <w:p w:rsidR="00047749" w:rsidRDefault="00C805F4">
      <w:pPr>
        <w:pStyle w:val="Heading1"/>
        <w:ind w:left="95"/>
      </w:pPr>
      <w:r>
        <w:rPr>
          <w:u w:val="none"/>
        </w:rPr>
        <w:t>9.</w:t>
      </w:r>
      <w:r>
        <w:rPr>
          <w:rFonts w:ascii="Arial" w:hAnsi="Arial" w:eastAsia="Arial" w:cs="Arial"/>
          <w:u w:val="none"/>
        </w:rPr>
        <w:t xml:space="preserve"> </w:t>
      </w:r>
      <w:r>
        <w:t>Payment/Gifts to Respondents</w:t>
      </w:r>
      <w:r>
        <w:rPr>
          <w:u w:val="none"/>
        </w:rPr>
        <w:t xml:space="preserve"> </w:t>
      </w:r>
    </w:p>
    <w:p w:rsidR="00047749" w:rsidRDefault="00C805F4">
      <w:pPr>
        <w:spacing w:after="151" w:line="259" w:lineRule="auto"/>
        <w:ind w:left="0" w:firstLine="0"/>
      </w:pPr>
      <w:r>
        <w:rPr>
          <w:sz w:val="16"/>
        </w:rPr>
        <w:t xml:space="preserve"> </w:t>
      </w:r>
    </w:p>
    <w:p w:rsidR="00047749" w:rsidRDefault="00C805F4">
      <w:pPr>
        <w:ind w:left="95" w:right="57"/>
      </w:pPr>
      <w:r>
        <w:t xml:space="preserve">Respondents will receive no payments or gifts for their participation in this collection of information. </w:t>
      </w:r>
    </w:p>
    <w:p w:rsidR="00C805F4" w:rsidRDefault="00C805F4">
      <w:pPr>
        <w:ind w:left="95" w:right="57"/>
      </w:pPr>
    </w:p>
    <w:p w:rsidR="00C805F4" w:rsidRDefault="00C805F4">
      <w:pPr>
        <w:ind w:left="95" w:right="57"/>
      </w:pPr>
    </w:p>
    <w:p w:rsidR="00047749" w:rsidP="00C805F4" w:rsidRDefault="00C805F4">
      <w:pPr>
        <w:spacing w:after="0" w:line="259" w:lineRule="auto"/>
        <w:ind w:left="0" w:firstLine="0"/>
      </w:pPr>
      <w:r>
        <w:t xml:space="preserve"> </w:t>
      </w:r>
      <w:r>
        <w:rPr>
          <w:u w:color="000000"/>
        </w:rPr>
        <w:t>10.</w:t>
      </w:r>
      <w:r>
        <w:rPr>
          <w:rFonts w:ascii="Arial" w:hAnsi="Arial" w:eastAsia="Arial" w:cs="Arial"/>
          <w:u w:color="000000"/>
        </w:rPr>
        <w:t xml:space="preserve"> </w:t>
      </w:r>
      <w:r>
        <w:t>Confidentiality</w:t>
      </w:r>
      <w:r>
        <w:rPr>
          <w:u w:color="000000"/>
        </w:rPr>
        <w:t xml:space="preserve"> </w:t>
      </w:r>
    </w:p>
    <w:p w:rsidR="00047749" w:rsidRDefault="00C805F4">
      <w:pPr>
        <w:spacing w:after="151" w:line="259" w:lineRule="auto"/>
        <w:ind w:left="0" w:firstLine="0"/>
      </w:pPr>
      <w:r>
        <w:rPr>
          <w:sz w:val="16"/>
        </w:rPr>
        <w:t xml:space="preserve"> </w:t>
      </w:r>
    </w:p>
    <w:p w:rsidR="00047749" w:rsidRDefault="00C805F4">
      <w:pPr>
        <w:ind w:left="95" w:right="57"/>
      </w:pPr>
      <w:r>
        <w:t xml:space="preserve">The data collection of HEDIS® quality measures are covered under the System of Records Notice titled, “Health Plan Management System (HPMS)” </w:t>
      </w:r>
    </w:p>
    <w:p w:rsidR="00047749" w:rsidRDefault="00C805F4">
      <w:pPr>
        <w:spacing w:after="0" w:line="259" w:lineRule="auto"/>
        <w:ind w:left="0" w:firstLine="0"/>
      </w:pPr>
      <w:r>
        <w:rPr>
          <w:sz w:val="23"/>
        </w:rPr>
        <w:t xml:space="preserve"> </w:t>
      </w:r>
    </w:p>
    <w:p w:rsidR="00047749" w:rsidRDefault="00C805F4">
      <w:pPr>
        <w:ind w:left="95" w:right="57"/>
      </w:pPr>
      <w:r>
        <w:t xml:space="preserve">SORN #09-70-500 Publication Date 2/14/18. </w:t>
      </w:r>
    </w:p>
    <w:p w:rsidR="00047749" w:rsidRDefault="00C805F4">
      <w:pPr>
        <w:spacing w:after="0" w:line="259" w:lineRule="auto"/>
        <w:ind w:left="0" w:firstLine="0"/>
      </w:pPr>
      <w:r>
        <w:rPr>
          <w:sz w:val="26"/>
        </w:rPr>
        <w:t xml:space="preserve"> </w:t>
      </w:r>
    </w:p>
    <w:p w:rsidR="00047749" w:rsidRDefault="00C805F4">
      <w:pPr>
        <w:spacing w:after="0" w:line="259" w:lineRule="auto"/>
        <w:ind w:left="0" w:firstLine="0"/>
      </w:pPr>
      <w:r>
        <w:rPr>
          <w:sz w:val="22"/>
        </w:rPr>
        <w:t xml:space="preserve"> </w:t>
      </w:r>
    </w:p>
    <w:p w:rsidR="00047749" w:rsidRDefault="00C805F4">
      <w:pPr>
        <w:pStyle w:val="Heading1"/>
        <w:ind w:left="95"/>
      </w:pPr>
      <w:r>
        <w:rPr>
          <w:u w:val="none"/>
        </w:rPr>
        <w:t>11.</w:t>
      </w:r>
      <w:r>
        <w:rPr>
          <w:rFonts w:ascii="Arial" w:hAnsi="Arial" w:eastAsia="Arial" w:cs="Arial"/>
          <w:u w:val="none"/>
        </w:rPr>
        <w:t xml:space="preserve"> </w:t>
      </w:r>
      <w:r>
        <w:t>Sensitive Questions</w:t>
      </w:r>
      <w:r>
        <w:rPr>
          <w:u w:val="none"/>
        </w:rPr>
        <w:t xml:space="preserve"> </w:t>
      </w:r>
    </w:p>
    <w:p w:rsidR="00047749" w:rsidRDefault="00C805F4">
      <w:pPr>
        <w:spacing w:after="151" w:line="259" w:lineRule="auto"/>
        <w:ind w:left="0" w:firstLine="0"/>
      </w:pPr>
      <w:r>
        <w:rPr>
          <w:sz w:val="16"/>
        </w:rPr>
        <w:t xml:space="preserve"> </w:t>
      </w:r>
    </w:p>
    <w:p w:rsidR="00047749" w:rsidRDefault="00C805F4">
      <w:pPr>
        <w:ind w:left="95" w:right="57"/>
      </w:pPr>
      <w:r>
        <w:t xml:space="preserve">The HEDIS® measurement set does not contain any sensitive questions. HEDIS® data are from health plan administrative data and medical record review. These data are primarily administrative record data and clinical record data. </w:t>
      </w:r>
    </w:p>
    <w:p w:rsidR="00047749" w:rsidRDefault="00C805F4">
      <w:pPr>
        <w:spacing w:after="0" w:line="259" w:lineRule="auto"/>
        <w:ind w:left="0" w:firstLine="0"/>
      </w:pPr>
      <w:r>
        <w:t xml:space="preserve"> </w:t>
      </w:r>
    </w:p>
    <w:p w:rsidR="00047749" w:rsidRDefault="00C805F4">
      <w:pPr>
        <w:spacing w:after="0" w:line="259" w:lineRule="auto"/>
        <w:ind w:left="0" w:firstLine="0"/>
      </w:pPr>
      <w:r>
        <w:t xml:space="preserve"> </w:t>
      </w:r>
    </w:p>
    <w:p w:rsidR="00047749" w:rsidRDefault="00C805F4">
      <w:pPr>
        <w:spacing w:after="10"/>
        <w:ind w:left="95"/>
      </w:pPr>
      <w:r>
        <w:t>12.</w:t>
      </w:r>
      <w:r>
        <w:rPr>
          <w:rFonts w:ascii="Arial" w:hAnsi="Arial" w:eastAsia="Arial" w:cs="Arial"/>
        </w:rPr>
        <w:t xml:space="preserve"> </w:t>
      </w:r>
      <w:r>
        <w:rPr>
          <w:u w:val="single" w:color="000000"/>
        </w:rPr>
        <w:t>Burden Estimate (Hours and Wages)</w:t>
      </w:r>
      <w:r>
        <w:t xml:space="preserve"> </w:t>
      </w:r>
    </w:p>
    <w:p w:rsidR="00047749" w:rsidRDefault="00C805F4">
      <w:pPr>
        <w:spacing w:after="152" w:line="259" w:lineRule="auto"/>
        <w:ind w:left="0" w:firstLine="0"/>
      </w:pPr>
      <w:r>
        <w:rPr>
          <w:sz w:val="16"/>
        </w:rPr>
        <w:t xml:space="preserve"> </w:t>
      </w:r>
    </w:p>
    <w:p w:rsidR="00047749" w:rsidRDefault="00C805F4">
      <w:pPr>
        <w:pStyle w:val="Heading1"/>
        <w:spacing w:after="59"/>
        <w:ind w:left="95"/>
      </w:pPr>
      <w:r>
        <w:rPr>
          <w:i/>
          <w:u w:val="none"/>
        </w:rPr>
        <w:t xml:space="preserve">Wages </w:t>
      </w:r>
    </w:p>
    <w:p w:rsidR="00047749" w:rsidRDefault="00C805F4">
      <w:pPr>
        <w:ind w:left="10" w:right="57"/>
      </w:pPr>
      <w:r>
        <w:t xml:space="preserve">To derive average costs, we used data from the U.S. Bureau of Labor Statistics’ May </w:t>
      </w:r>
    </w:p>
    <w:p w:rsidR="00047749" w:rsidRDefault="00C805F4">
      <w:pPr>
        <w:ind w:left="10" w:right="57"/>
      </w:pPr>
      <w:r>
        <w:t xml:space="preserve">2018 National Occupational Employment and Wage Estimates for all salary estimates </w:t>
      </w:r>
      <w:hyperlink r:id="rId14">
        <w:r>
          <w:t>(</w:t>
        </w:r>
      </w:hyperlink>
      <w:hyperlink r:id="rId15">
        <w:r>
          <w:rPr>
            <w:color w:val="0000FF"/>
            <w:u w:val="single" w:color="0000FF"/>
          </w:rPr>
          <w:t>http://www.bls.gov/oes/current/oes_nat.htm</w:t>
        </w:r>
      </w:hyperlink>
      <w:hyperlink r:id="rId16">
        <w:r>
          <w:t>)</w:t>
        </w:r>
      </w:hyperlink>
      <w:r>
        <w:t xml:space="preserve">. In this regard, the following table presents the mean hourly wage, the cost of fringe benefits (calculated at 100 percent of salary), and the adjusted hourly wage. </w:t>
      </w:r>
    </w:p>
    <w:p w:rsidR="00047749" w:rsidRDefault="00C805F4">
      <w:pPr>
        <w:spacing w:after="0" w:line="259" w:lineRule="auto"/>
        <w:ind w:left="0" w:firstLine="0"/>
      </w:pPr>
      <w:r>
        <w:t xml:space="preserve"> </w:t>
      </w:r>
    </w:p>
    <w:p w:rsidR="00047749" w:rsidRDefault="00C805F4">
      <w:pPr>
        <w:ind w:left="95" w:right="57"/>
      </w:pPr>
      <w:r>
        <w:t xml:space="preserve">In consultation with NCQA we had previously determined that the most appropriate labor categories included both a Medical Records Review Technologist and a Database Administrator. In this iteration we are moving away from those categories and adopting BLS labor information. Please note that the level of effort by these professionals is unchanged from what is set out in the currently approved collection. </w:t>
      </w:r>
    </w:p>
    <w:p w:rsidR="00047749" w:rsidRDefault="00C805F4">
      <w:pPr>
        <w:spacing w:after="0" w:line="259" w:lineRule="auto"/>
        <w:ind w:left="0" w:firstLine="0"/>
      </w:pPr>
      <w:r>
        <w:t xml:space="preserve"> </w:t>
      </w:r>
    </w:p>
    <w:p w:rsidR="00047749" w:rsidRDefault="00C805F4">
      <w:pPr>
        <w:spacing w:after="0" w:line="259" w:lineRule="auto"/>
        <w:ind w:left="95"/>
      </w:pPr>
      <w:r>
        <w:rPr>
          <w:b/>
        </w:rPr>
        <w:t xml:space="preserve">Table 3 Summary of Wage Estimates for 677 MAOs to collect HEDIS® 2020 </w:t>
      </w:r>
    </w:p>
    <w:p w:rsidR="00047749" w:rsidRDefault="00C805F4">
      <w:pPr>
        <w:spacing w:after="0" w:line="259" w:lineRule="auto"/>
        <w:ind w:left="0" w:right="61" w:firstLine="0"/>
      </w:pPr>
      <w:r>
        <w:rPr>
          <w:b/>
        </w:rPr>
        <w:t xml:space="preserve"> </w:t>
      </w:r>
    </w:p>
    <w:tbl>
      <w:tblPr>
        <w:tblStyle w:val="TableGrid"/>
        <w:tblW w:w="8634" w:type="dxa"/>
        <w:tblInd w:w="106" w:type="dxa"/>
        <w:tblCellMar>
          <w:left w:w="109" w:type="dxa"/>
          <w:right w:w="86" w:type="dxa"/>
        </w:tblCellMar>
        <w:tblLook w:val="04A0" w:firstRow="1" w:lastRow="0" w:firstColumn="1" w:lastColumn="0" w:noHBand="0" w:noVBand="1"/>
      </w:tblPr>
      <w:tblGrid>
        <w:gridCol w:w="1786"/>
        <w:gridCol w:w="1770"/>
        <w:gridCol w:w="1662"/>
        <w:gridCol w:w="1748"/>
        <w:gridCol w:w="1668"/>
      </w:tblGrid>
      <w:tr w:rsidR="00047749">
        <w:trPr>
          <w:trHeight w:val="838"/>
        </w:trPr>
        <w:tc>
          <w:tcPr>
            <w:tcW w:w="1786"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1" w:firstLine="0"/>
            </w:pPr>
            <w:r>
              <w:t xml:space="preserve">Occupation Title </w:t>
            </w:r>
          </w:p>
        </w:tc>
        <w:tc>
          <w:tcPr>
            <w:tcW w:w="1770"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2" w:firstLine="0"/>
            </w:pPr>
            <w:r>
              <w:t xml:space="preserve">Occupation Code </w:t>
            </w:r>
          </w:p>
        </w:tc>
        <w:tc>
          <w:tcPr>
            <w:tcW w:w="1662"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1" w:firstLine="0"/>
            </w:pPr>
            <w:r>
              <w:t xml:space="preserve">Mean Hourly Wage ($/hour) </w:t>
            </w:r>
          </w:p>
        </w:tc>
        <w:tc>
          <w:tcPr>
            <w:tcW w:w="1748"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1" w:firstLine="0"/>
            </w:pPr>
            <w:r>
              <w:t xml:space="preserve">Fringe Benefit ($/hour) </w:t>
            </w:r>
          </w:p>
        </w:tc>
        <w:tc>
          <w:tcPr>
            <w:tcW w:w="1668"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firstLine="0"/>
            </w:pPr>
            <w:r>
              <w:t xml:space="preserve">Adjusted </w:t>
            </w:r>
          </w:p>
          <w:p w:rsidR="00047749" w:rsidRDefault="00C805F4">
            <w:pPr>
              <w:spacing w:after="0" w:line="259" w:lineRule="auto"/>
              <w:ind w:left="0" w:firstLine="0"/>
            </w:pPr>
            <w:r>
              <w:t xml:space="preserve">Hourly Wage </w:t>
            </w:r>
          </w:p>
          <w:p w:rsidR="00047749" w:rsidRDefault="00C805F4">
            <w:pPr>
              <w:spacing w:after="0" w:line="259" w:lineRule="auto"/>
              <w:ind w:left="0" w:firstLine="0"/>
            </w:pPr>
            <w:r>
              <w:t xml:space="preserve">($/hour) </w:t>
            </w:r>
          </w:p>
        </w:tc>
      </w:tr>
      <w:tr w:rsidR="00047749">
        <w:trPr>
          <w:trHeight w:val="560"/>
        </w:trPr>
        <w:tc>
          <w:tcPr>
            <w:tcW w:w="1786"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1" w:firstLine="0"/>
            </w:pPr>
            <w:r>
              <w:t xml:space="preserve">Database </w:t>
            </w:r>
          </w:p>
          <w:p w:rsidR="00047749" w:rsidRDefault="00C805F4">
            <w:pPr>
              <w:spacing w:after="0" w:line="259" w:lineRule="auto"/>
              <w:ind w:left="1" w:firstLine="0"/>
            </w:pPr>
            <w:r>
              <w:t xml:space="preserve">Administrators </w:t>
            </w:r>
          </w:p>
        </w:tc>
        <w:tc>
          <w:tcPr>
            <w:tcW w:w="1770"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2" w:firstLine="0"/>
            </w:pPr>
            <w:r>
              <w:t xml:space="preserve">15-1141 </w:t>
            </w:r>
          </w:p>
        </w:tc>
        <w:tc>
          <w:tcPr>
            <w:tcW w:w="1662"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1" w:firstLine="0"/>
            </w:pPr>
            <w:r>
              <w:t xml:space="preserve">44.25 </w:t>
            </w:r>
          </w:p>
        </w:tc>
        <w:tc>
          <w:tcPr>
            <w:tcW w:w="1748"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1" w:firstLine="0"/>
            </w:pPr>
            <w:r>
              <w:t xml:space="preserve">44.25 </w:t>
            </w:r>
          </w:p>
        </w:tc>
        <w:tc>
          <w:tcPr>
            <w:tcW w:w="1668"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firstLine="0"/>
            </w:pPr>
            <w:r>
              <w:t xml:space="preserve">88.50 </w:t>
            </w:r>
          </w:p>
        </w:tc>
      </w:tr>
      <w:tr w:rsidR="00047749">
        <w:trPr>
          <w:trHeight w:val="1391"/>
        </w:trPr>
        <w:tc>
          <w:tcPr>
            <w:tcW w:w="1786"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1" w:firstLine="0"/>
            </w:pPr>
            <w:r>
              <w:t xml:space="preserve">Medical </w:t>
            </w:r>
          </w:p>
          <w:p w:rsidR="00047749" w:rsidRDefault="00C805F4">
            <w:pPr>
              <w:spacing w:after="0" w:line="259" w:lineRule="auto"/>
              <w:ind w:left="1" w:firstLine="0"/>
            </w:pPr>
            <w:r>
              <w:t xml:space="preserve">Records and </w:t>
            </w:r>
          </w:p>
          <w:p w:rsidR="00047749" w:rsidRDefault="00C805F4">
            <w:pPr>
              <w:spacing w:after="0" w:line="259" w:lineRule="auto"/>
              <w:ind w:left="1" w:firstLine="0"/>
            </w:pPr>
            <w:r>
              <w:t xml:space="preserve">Health </w:t>
            </w:r>
          </w:p>
          <w:p w:rsidR="00047749" w:rsidRDefault="00C805F4">
            <w:pPr>
              <w:spacing w:after="0" w:line="259" w:lineRule="auto"/>
              <w:ind w:left="1" w:firstLine="0"/>
            </w:pPr>
            <w:r>
              <w:t xml:space="preserve">Information </w:t>
            </w:r>
          </w:p>
          <w:p w:rsidR="00047749" w:rsidRDefault="00C805F4">
            <w:pPr>
              <w:spacing w:after="0" w:line="259" w:lineRule="auto"/>
              <w:ind w:left="1" w:firstLine="0"/>
            </w:pPr>
            <w:r>
              <w:t xml:space="preserve">Technicians </w:t>
            </w:r>
          </w:p>
        </w:tc>
        <w:tc>
          <w:tcPr>
            <w:tcW w:w="1770"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2" w:firstLine="0"/>
            </w:pPr>
            <w:r>
              <w:t xml:space="preserve">29-2071 </w:t>
            </w:r>
          </w:p>
        </w:tc>
        <w:tc>
          <w:tcPr>
            <w:tcW w:w="1662"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1" w:firstLine="0"/>
            </w:pPr>
            <w:r>
              <w:t xml:space="preserve">21.16 </w:t>
            </w:r>
          </w:p>
        </w:tc>
        <w:tc>
          <w:tcPr>
            <w:tcW w:w="1748"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1" w:firstLine="0"/>
            </w:pPr>
            <w:r>
              <w:t xml:space="preserve">21.16 </w:t>
            </w:r>
          </w:p>
        </w:tc>
        <w:tc>
          <w:tcPr>
            <w:tcW w:w="1668"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firstLine="0"/>
            </w:pPr>
            <w:r>
              <w:t xml:space="preserve">42.32 </w:t>
            </w:r>
          </w:p>
        </w:tc>
      </w:tr>
    </w:tbl>
    <w:p w:rsidR="00047749" w:rsidRDefault="00C805F4">
      <w:pPr>
        <w:spacing w:after="0" w:line="259" w:lineRule="auto"/>
        <w:ind w:left="0" w:right="61" w:firstLine="0"/>
      </w:pPr>
      <w:r>
        <w:rPr>
          <w:b/>
          <w:sz w:val="23"/>
        </w:rPr>
        <w:t xml:space="preserve"> </w:t>
      </w:r>
    </w:p>
    <w:p w:rsidR="00047749" w:rsidRDefault="00C805F4">
      <w:pPr>
        <w:ind w:left="95" w:right="57"/>
      </w:pPr>
      <w:r>
        <w:t xml:space="preserve">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 </w:t>
      </w:r>
    </w:p>
    <w:p w:rsidR="00047749" w:rsidRDefault="00C805F4">
      <w:pPr>
        <w:spacing w:after="0" w:line="259" w:lineRule="auto"/>
        <w:ind w:left="0" w:firstLine="0"/>
      </w:pPr>
      <w:r>
        <w:t xml:space="preserve"> </w:t>
      </w:r>
    </w:p>
    <w:p w:rsidR="00047749" w:rsidRDefault="00C805F4">
      <w:pPr>
        <w:pStyle w:val="Heading1"/>
        <w:spacing w:after="0"/>
        <w:ind w:left="95"/>
      </w:pPr>
      <w:r>
        <w:rPr>
          <w:i/>
          <w:u w:val="none"/>
        </w:rPr>
        <w:t xml:space="preserve">Burden Estimates </w:t>
      </w:r>
    </w:p>
    <w:p w:rsidR="00047749" w:rsidRDefault="00C805F4">
      <w:pPr>
        <w:spacing w:after="0" w:line="259" w:lineRule="auto"/>
        <w:ind w:left="0" w:firstLine="0"/>
      </w:pPr>
      <w:r>
        <w:rPr>
          <w:i/>
        </w:rPr>
        <w:t xml:space="preserve"> </w:t>
      </w:r>
    </w:p>
    <w:p w:rsidR="00047749" w:rsidRDefault="00C805F4">
      <w:pPr>
        <w:ind w:left="95" w:right="57"/>
      </w:pPr>
      <w:r>
        <w:t xml:space="preserve">Outside of the labor occupation titles, codes and wages, the following burden estimates are based on NCQA’s experience working with health plans. </w:t>
      </w:r>
    </w:p>
    <w:p w:rsidR="00047749" w:rsidRDefault="00C805F4">
      <w:pPr>
        <w:spacing w:after="0" w:line="259" w:lineRule="auto"/>
        <w:ind w:left="0" w:firstLine="0"/>
      </w:pPr>
      <w:r>
        <w:t xml:space="preserve"> </w:t>
      </w:r>
    </w:p>
    <w:p w:rsidR="00047749" w:rsidRDefault="00C805F4">
      <w:pPr>
        <w:ind w:left="95" w:right="57"/>
      </w:pPr>
      <w:r>
        <w:t xml:space="preserve">The Medical Records and Health Information Technician will pull and examine the data, by reviewing the administrative data and the medical records data of the contract members. The Technician will pull administrative data from electronic files and will conduct the medical record review. This work will entail approximately 240 hours annually. </w:t>
      </w:r>
    </w:p>
    <w:p w:rsidR="00047749" w:rsidRDefault="00C805F4">
      <w:pPr>
        <w:spacing w:after="0" w:line="259" w:lineRule="auto"/>
        <w:ind w:left="0" w:firstLine="0"/>
      </w:pPr>
      <w:r>
        <w:t xml:space="preserve"> </w:t>
      </w:r>
    </w:p>
    <w:p w:rsidR="00047749" w:rsidRDefault="00C805F4">
      <w:pPr>
        <w:spacing w:after="165" w:line="304" w:lineRule="auto"/>
        <w:ind w:left="95" w:right="57"/>
      </w:pPr>
      <w:r>
        <w:t xml:space="preserve">The Database Administrator will pull the administrative records, while the Medical Records and Health Information Technician pulls both administrative records and the </w:t>
      </w:r>
      <w:r>
        <w:rPr>
          <w:sz w:val="10"/>
        </w:rPr>
        <w:t xml:space="preserve"> </w:t>
      </w:r>
      <w:r>
        <w:t xml:space="preserve">medical records any measures that permit hybrid methodology. </w:t>
      </w:r>
    </w:p>
    <w:p w:rsidR="00047749" w:rsidRDefault="00C805F4">
      <w:pPr>
        <w:ind w:left="95" w:right="57"/>
      </w:pPr>
      <w:r>
        <w:t xml:space="preserve">In aggregate, the total hours for the Medical Records and Health Information Technician in all contracts is estimated at 162,480 hours (240 hours x 677 contracts) at a cost of $6,876,154 (162,480 hours $42.32/hour) or $10,157 per contract. </w:t>
      </w:r>
    </w:p>
    <w:p w:rsidR="00047749" w:rsidRDefault="00C805F4">
      <w:pPr>
        <w:spacing w:after="0" w:line="259" w:lineRule="auto"/>
        <w:ind w:left="0" w:firstLine="0"/>
      </w:pPr>
      <w:r>
        <w:t xml:space="preserve"> </w:t>
      </w:r>
    </w:p>
    <w:p w:rsidR="00047749" w:rsidRDefault="00C805F4">
      <w:pPr>
        <w:ind w:left="95" w:right="57"/>
      </w:pPr>
      <w:r>
        <w:t xml:space="preserve">The Database Administrator will need 80 hours to accomplish the work. In aggregate, the total hours for the Database Administrator in all contracts is estimated at 54,160 hours (80 hours x 677 contracts) at a cost of $4,793,160 (54,160 hours x $88.50/hours) or $7,080 per contract. </w:t>
      </w:r>
    </w:p>
    <w:p w:rsidR="00047749" w:rsidRDefault="00C805F4">
      <w:pPr>
        <w:spacing w:after="0" w:line="259" w:lineRule="auto"/>
        <w:ind w:left="0" w:firstLine="0"/>
        <w:rPr>
          <w:sz w:val="26"/>
        </w:rPr>
      </w:pPr>
      <w:r>
        <w:rPr>
          <w:sz w:val="26"/>
        </w:rPr>
        <w:t xml:space="preserve"> </w:t>
      </w:r>
    </w:p>
    <w:p w:rsidR="00CF4B71" w:rsidP="00CF4B71" w:rsidRDefault="00CF4B71">
      <w:pPr>
        <w:spacing w:after="0" w:line="259" w:lineRule="auto"/>
        <w:ind w:left="0" w:firstLine="0"/>
      </w:pPr>
      <w:r>
        <w:t>I</w:t>
      </w:r>
      <w:r w:rsidRPr="00CF4B71">
        <w:t>n HEDIS® 2020</w:t>
      </w:r>
      <w:r>
        <w:t>, the total burden is</w:t>
      </w:r>
      <w:r w:rsidRPr="00CF4B71">
        <w:t xml:space="preserve"> 216,640 hours at</w:t>
      </w:r>
      <w:r>
        <w:t xml:space="preserve"> </w:t>
      </w:r>
      <w:r w:rsidRPr="00CF4B71">
        <w:t>$11,669,314 for 677 MAOs</w:t>
      </w:r>
    </w:p>
    <w:p w:rsidR="00CF4B71" w:rsidRDefault="00CF4B71">
      <w:pPr>
        <w:spacing w:after="0" w:line="259" w:lineRule="auto"/>
        <w:ind w:left="0" w:firstLine="0"/>
      </w:pPr>
      <w:bookmarkStart w:name="_GoBack" w:id="0"/>
      <w:bookmarkEnd w:id="0"/>
    </w:p>
    <w:p w:rsidR="00047749" w:rsidRDefault="00C805F4">
      <w:pPr>
        <w:spacing w:after="6" w:line="259" w:lineRule="auto"/>
        <w:ind w:left="0" w:firstLine="0"/>
      </w:pPr>
      <w:r>
        <w:rPr>
          <w:sz w:val="21"/>
        </w:rPr>
        <w:t xml:space="preserve"> </w:t>
      </w:r>
    </w:p>
    <w:p w:rsidRPr="00C805F4" w:rsidR="00C805F4" w:rsidP="00C805F4" w:rsidRDefault="00C805F4">
      <w:pPr>
        <w:ind w:left="95" w:right="57"/>
        <w:rPr>
          <w:u w:val="single"/>
        </w:rPr>
      </w:pPr>
      <w:r w:rsidRPr="00C805F4">
        <w:rPr>
          <w:u w:val="single"/>
        </w:rPr>
        <w:t xml:space="preserve">13. Capital Costs  </w:t>
      </w:r>
    </w:p>
    <w:p w:rsidR="00C805F4" w:rsidP="00C805F4" w:rsidRDefault="00C805F4">
      <w:pPr>
        <w:ind w:left="95" w:right="57"/>
      </w:pPr>
      <w:r>
        <w:t xml:space="preserve"> </w:t>
      </w:r>
    </w:p>
    <w:p w:rsidR="00C805F4" w:rsidRDefault="00C805F4">
      <w:pPr>
        <w:spacing w:after="0" w:line="259" w:lineRule="auto"/>
        <w:ind w:left="0" w:firstLine="0"/>
      </w:pPr>
      <w:r w:rsidRPr="00C805F4">
        <w:t xml:space="preserve">There are no capital costs associated with this collection. </w:t>
      </w:r>
    </w:p>
    <w:p w:rsidR="00047749" w:rsidRDefault="00C805F4">
      <w:pPr>
        <w:spacing w:after="0" w:line="259" w:lineRule="auto"/>
        <w:ind w:left="0" w:firstLine="0"/>
      </w:pPr>
      <w:r>
        <w:t xml:space="preserve"> </w:t>
      </w:r>
    </w:p>
    <w:p w:rsidR="00047749" w:rsidRDefault="00C805F4">
      <w:pPr>
        <w:pStyle w:val="Heading2"/>
        <w:ind w:left="95"/>
      </w:pPr>
      <w:r>
        <w:rPr>
          <w:u w:val="none"/>
        </w:rPr>
        <w:t>14.</w:t>
      </w:r>
      <w:r>
        <w:rPr>
          <w:rFonts w:ascii="Arial" w:hAnsi="Arial" w:eastAsia="Arial" w:cs="Arial"/>
          <w:u w:val="none"/>
        </w:rPr>
        <w:t xml:space="preserve"> </w:t>
      </w:r>
      <w:r>
        <w:t>Cost to Federal Government</w:t>
      </w:r>
      <w:r>
        <w:rPr>
          <w:u w:val="none"/>
        </w:rPr>
        <w:t xml:space="preserve"> </w:t>
      </w:r>
    </w:p>
    <w:p w:rsidR="00047749" w:rsidRDefault="00C805F4">
      <w:pPr>
        <w:spacing w:after="151" w:line="259" w:lineRule="auto"/>
        <w:ind w:left="0" w:firstLine="0"/>
      </w:pPr>
      <w:r>
        <w:rPr>
          <w:sz w:val="16"/>
        </w:rPr>
        <w:t xml:space="preserve"> </w:t>
      </w:r>
    </w:p>
    <w:p w:rsidR="00047749" w:rsidRDefault="00C805F4">
      <w:pPr>
        <w:ind w:left="95" w:right="57"/>
      </w:pPr>
      <w:r>
        <w:t xml:space="preserve">The Federal contract cost for HEDIS® data collection to NCQA is approximately $500,000 annually. CMS funds one GS-14 to be the CMS COR for HEDIS at 20% of a 40-hour weekly work schedule. </w:t>
      </w:r>
    </w:p>
    <w:p w:rsidR="00047749" w:rsidRDefault="00C805F4">
      <w:pPr>
        <w:spacing w:after="0" w:line="259" w:lineRule="auto"/>
        <w:ind w:left="0" w:firstLine="0"/>
      </w:pPr>
      <w:r>
        <w:t xml:space="preserve"> </w:t>
      </w:r>
    </w:p>
    <w:p w:rsidR="00047749" w:rsidRDefault="00C805F4">
      <w:pPr>
        <w:spacing w:after="0"/>
        <w:ind w:left="95"/>
      </w:pPr>
      <w:r>
        <w:rPr>
          <w:i/>
        </w:rPr>
        <w:t xml:space="preserve">Note: $ 130,692/year @ GS-14 step 5 for the Washington-Baltimore-Arlington locality (effective January 2017). </w:t>
      </w:r>
      <w:hyperlink r:id="rId17">
        <w:r>
          <w:rPr>
            <w:i/>
            <w:color w:val="800080"/>
            <w:u w:val="single" w:color="800080"/>
          </w:rPr>
          <w:t>See OPM website</w:t>
        </w:r>
      </w:hyperlink>
      <w:hyperlink r:id="rId18">
        <w:r>
          <w:rPr>
            <w:i/>
          </w:rPr>
          <w:t>.</w:t>
        </w:r>
      </w:hyperlink>
      <w:hyperlink r:id="rId19">
        <w:r>
          <w:rPr>
            <w:i/>
          </w:rPr>
          <w:t xml:space="preserve"> </w:t>
        </w:r>
      </w:hyperlink>
    </w:p>
    <w:p w:rsidR="00047749" w:rsidRDefault="00C805F4">
      <w:pPr>
        <w:spacing w:after="151" w:line="259" w:lineRule="auto"/>
        <w:ind w:left="0" w:firstLine="0"/>
      </w:pPr>
      <w:r>
        <w:rPr>
          <w:i/>
          <w:sz w:val="16"/>
        </w:rPr>
        <w:t xml:space="preserve"> </w:t>
      </w:r>
    </w:p>
    <w:p w:rsidR="00047749" w:rsidRDefault="00C805F4">
      <w:pPr>
        <w:ind w:left="95" w:right="57"/>
      </w:pPr>
      <w:r>
        <w:t xml:space="preserve">$500,000 (contractor costs) </w:t>
      </w:r>
    </w:p>
    <w:p w:rsidR="00047749" w:rsidRDefault="00C805F4">
      <w:pPr>
        <w:pStyle w:val="Heading1"/>
        <w:ind w:left="95"/>
      </w:pPr>
      <w:r>
        <w:t>+ $26,138 (fed labor at 20% of $26,138)</w:t>
      </w:r>
      <w:r>
        <w:rPr>
          <w:u w:val="none"/>
        </w:rPr>
        <w:t xml:space="preserve"> </w:t>
      </w:r>
    </w:p>
    <w:p w:rsidR="00047749" w:rsidRDefault="00C805F4">
      <w:pPr>
        <w:ind w:left="95" w:right="57"/>
      </w:pPr>
      <w:r>
        <w:t xml:space="preserve">$526,138 </w:t>
      </w:r>
    </w:p>
    <w:p w:rsidR="00047749" w:rsidRDefault="00C805F4">
      <w:pPr>
        <w:spacing w:after="0" w:line="259" w:lineRule="auto"/>
        <w:ind w:left="0" w:firstLine="0"/>
      </w:pPr>
      <w:r>
        <w:rPr>
          <w:sz w:val="26"/>
        </w:rPr>
        <w:t xml:space="preserve"> </w:t>
      </w:r>
    </w:p>
    <w:p w:rsidR="00047749" w:rsidRDefault="00C805F4">
      <w:pPr>
        <w:spacing w:after="0" w:line="259" w:lineRule="auto"/>
        <w:ind w:left="0" w:firstLine="0"/>
      </w:pPr>
      <w:r>
        <w:rPr>
          <w:sz w:val="22"/>
        </w:rPr>
        <w:t xml:space="preserve"> </w:t>
      </w:r>
    </w:p>
    <w:p w:rsidR="00047749" w:rsidRDefault="00C805F4">
      <w:pPr>
        <w:spacing w:after="10"/>
        <w:ind w:left="95"/>
      </w:pPr>
      <w:r>
        <w:t>15.</w:t>
      </w:r>
      <w:r>
        <w:rPr>
          <w:rFonts w:ascii="Arial" w:hAnsi="Arial" w:eastAsia="Arial" w:cs="Arial"/>
        </w:rPr>
        <w:t xml:space="preserve"> </w:t>
      </w:r>
      <w:r>
        <w:rPr>
          <w:u w:val="single" w:color="000000"/>
        </w:rPr>
        <w:t>Changes to Burden</w:t>
      </w:r>
      <w:r>
        <w:t xml:space="preserve"> </w:t>
      </w:r>
    </w:p>
    <w:p w:rsidR="00047749" w:rsidRDefault="00C805F4">
      <w:pPr>
        <w:spacing w:after="0" w:line="259" w:lineRule="auto"/>
        <w:ind w:left="0" w:firstLine="0"/>
      </w:pPr>
      <w:r>
        <w:rPr>
          <w:sz w:val="20"/>
        </w:rPr>
        <w:t xml:space="preserve"> </w:t>
      </w:r>
    </w:p>
    <w:p w:rsidR="00047749" w:rsidP="00C805F4" w:rsidRDefault="00C805F4">
      <w:pPr>
        <w:spacing w:after="107" w:line="259" w:lineRule="auto"/>
        <w:ind w:left="0" w:firstLine="0"/>
      </w:pPr>
      <w:r>
        <w:rPr>
          <w:sz w:val="20"/>
        </w:rPr>
        <w:t xml:space="preserve"> </w:t>
      </w:r>
      <w:r>
        <w:t>Type of Providers that are required to Submit HEDIS data</w:t>
      </w:r>
      <w:r>
        <w:rPr>
          <w:u w:color="000000"/>
        </w:rPr>
        <w:t xml:space="preserve"> </w:t>
      </w:r>
    </w:p>
    <w:p w:rsidR="00047749" w:rsidRDefault="00C805F4">
      <w:pPr>
        <w:spacing w:after="151" w:line="259" w:lineRule="auto"/>
        <w:ind w:left="0" w:firstLine="0"/>
      </w:pPr>
      <w:r>
        <w:rPr>
          <w:sz w:val="16"/>
        </w:rPr>
        <w:t xml:space="preserve"> </w:t>
      </w:r>
    </w:p>
    <w:p w:rsidR="00047749" w:rsidRDefault="00C805F4">
      <w:pPr>
        <w:spacing w:after="78"/>
        <w:ind w:left="470" w:right="57"/>
      </w:pPr>
      <w:r>
        <w:t>All Medicare members covered in the following contracts (Table 1) are included in Medicare HEDIS® reporting. CMS communicates directly with all contracted organizations on HEDIS® reporting requirements, data collection, data submission, and the data files due date (June 15</w:t>
      </w:r>
      <w:r>
        <w:rPr>
          <w:vertAlign w:val="superscript"/>
        </w:rPr>
        <w:t>th</w:t>
      </w:r>
      <w:r>
        <w:t xml:space="preserve">). Special Needs Plans (SNPs), which are considered MA contracts, are required to report a subset of HEDIS® measures, and the SNPs include the dual-eligible, chronic care, and institutional benefit packages. </w:t>
      </w:r>
    </w:p>
    <w:p w:rsidR="00047749" w:rsidP="00C805F4" w:rsidRDefault="00C805F4">
      <w:pPr>
        <w:spacing w:after="63" w:line="259" w:lineRule="auto"/>
        <w:ind w:left="460" w:firstLine="0"/>
      </w:pPr>
      <w:r>
        <w:t xml:space="preserve">  </w:t>
      </w:r>
    </w:p>
    <w:p w:rsidR="00047749" w:rsidRDefault="00C805F4">
      <w:pPr>
        <w:spacing w:after="0" w:line="259" w:lineRule="auto"/>
        <w:ind w:left="470"/>
      </w:pPr>
      <w:r>
        <w:rPr>
          <w:b/>
        </w:rPr>
        <w:t xml:space="preserve">Table 1: Type and Number of Medicare Plans required to report HEDIS </w:t>
      </w:r>
    </w:p>
    <w:p w:rsidR="00047749" w:rsidRDefault="00C805F4">
      <w:pPr>
        <w:spacing w:after="0" w:line="259" w:lineRule="auto"/>
        <w:ind w:left="0" w:right="395" w:firstLine="0"/>
      </w:pPr>
      <w:r>
        <w:rPr>
          <w:b/>
        </w:rPr>
        <w:t xml:space="preserve"> </w:t>
      </w:r>
    </w:p>
    <w:tbl>
      <w:tblPr>
        <w:tblStyle w:val="TableGrid"/>
        <w:tblW w:w="8300" w:type="dxa"/>
        <w:tblInd w:w="106" w:type="dxa"/>
        <w:tblCellMar>
          <w:left w:w="110" w:type="dxa"/>
          <w:right w:w="115" w:type="dxa"/>
        </w:tblCellMar>
        <w:tblLook w:val="04A0" w:firstRow="1" w:lastRow="0" w:firstColumn="1" w:lastColumn="0" w:noHBand="0" w:noVBand="1"/>
      </w:tblPr>
      <w:tblGrid>
        <w:gridCol w:w="4159"/>
        <w:gridCol w:w="2069"/>
        <w:gridCol w:w="2072"/>
      </w:tblGrid>
      <w:tr w:rsidR="00047749">
        <w:trPr>
          <w:trHeight w:val="341"/>
        </w:trPr>
        <w:tc>
          <w:tcPr>
            <w:tcW w:w="4159"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firstLine="0"/>
            </w:pPr>
            <w:r>
              <w:rPr>
                <w:b/>
              </w:rPr>
              <w:t xml:space="preserve">MEDICARE </w:t>
            </w:r>
          </w:p>
        </w:tc>
        <w:tc>
          <w:tcPr>
            <w:tcW w:w="2069"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14" w:firstLine="0"/>
              <w:jc w:val="center"/>
            </w:pPr>
            <w:r>
              <w:rPr>
                <w:b/>
              </w:rPr>
              <w:t xml:space="preserve">HEDIS 2020 </w:t>
            </w:r>
          </w:p>
        </w:tc>
        <w:tc>
          <w:tcPr>
            <w:tcW w:w="2072"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10" w:firstLine="0"/>
              <w:jc w:val="center"/>
            </w:pPr>
            <w:r>
              <w:t xml:space="preserve">HEDIS 2017 </w:t>
            </w:r>
          </w:p>
        </w:tc>
      </w:tr>
      <w:tr w:rsidR="00047749">
        <w:trPr>
          <w:trHeight w:val="284"/>
        </w:trPr>
        <w:tc>
          <w:tcPr>
            <w:tcW w:w="4159"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firstLine="0"/>
            </w:pPr>
            <w:r>
              <w:rPr>
                <w:b/>
              </w:rPr>
              <w:t xml:space="preserve">Plan/Contract Type </w:t>
            </w:r>
          </w:p>
        </w:tc>
        <w:tc>
          <w:tcPr>
            <w:tcW w:w="2069"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2" w:firstLine="0"/>
            </w:pPr>
            <w:r>
              <w:rPr>
                <w:b/>
              </w:rPr>
              <w:t xml:space="preserve">Number of Plans </w:t>
            </w:r>
          </w:p>
        </w:tc>
        <w:tc>
          <w:tcPr>
            <w:tcW w:w="2072"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1" w:firstLine="0"/>
            </w:pPr>
            <w:r>
              <w:t xml:space="preserve">Number of Plans </w:t>
            </w:r>
          </w:p>
        </w:tc>
      </w:tr>
      <w:tr w:rsidR="00047749">
        <w:trPr>
          <w:trHeight w:val="286"/>
        </w:trPr>
        <w:tc>
          <w:tcPr>
            <w:tcW w:w="4159"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firstLine="0"/>
            </w:pPr>
            <w:r>
              <w:t xml:space="preserve">Medicare Advantage-Local CCPs (MA) </w:t>
            </w:r>
          </w:p>
        </w:tc>
        <w:tc>
          <w:tcPr>
            <w:tcW w:w="2069"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14" w:firstLine="0"/>
              <w:jc w:val="center"/>
            </w:pPr>
            <w:r>
              <w:rPr>
                <w:b/>
              </w:rPr>
              <w:t xml:space="preserve">591 </w:t>
            </w:r>
          </w:p>
        </w:tc>
        <w:tc>
          <w:tcPr>
            <w:tcW w:w="2072"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8" w:firstLine="0"/>
              <w:jc w:val="center"/>
            </w:pPr>
            <w:r>
              <w:t xml:space="preserve">434 </w:t>
            </w:r>
          </w:p>
        </w:tc>
      </w:tr>
      <w:tr w:rsidR="00047749">
        <w:trPr>
          <w:trHeight w:val="287"/>
        </w:trPr>
        <w:tc>
          <w:tcPr>
            <w:tcW w:w="4159"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firstLine="0"/>
            </w:pPr>
            <w:r>
              <w:t xml:space="preserve">Section 1876 Cost Contracts </w:t>
            </w:r>
          </w:p>
        </w:tc>
        <w:tc>
          <w:tcPr>
            <w:tcW w:w="2069"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12" w:firstLine="0"/>
              <w:jc w:val="center"/>
            </w:pPr>
            <w:r>
              <w:rPr>
                <w:b/>
              </w:rPr>
              <w:t xml:space="preserve">9 </w:t>
            </w:r>
          </w:p>
        </w:tc>
        <w:tc>
          <w:tcPr>
            <w:tcW w:w="2072"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8" w:firstLine="0"/>
              <w:jc w:val="center"/>
            </w:pPr>
            <w:r>
              <w:t xml:space="preserve">16 </w:t>
            </w:r>
          </w:p>
        </w:tc>
      </w:tr>
      <w:tr w:rsidR="00047749">
        <w:trPr>
          <w:trHeight w:val="284"/>
        </w:trPr>
        <w:tc>
          <w:tcPr>
            <w:tcW w:w="4159"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firstLine="0"/>
            </w:pPr>
            <w:r>
              <w:t xml:space="preserve">Medical Savings Account (MSA) </w:t>
            </w:r>
          </w:p>
        </w:tc>
        <w:tc>
          <w:tcPr>
            <w:tcW w:w="2069"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12" w:firstLine="0"/>
              <w:jc w:val="center"/>
            </w:pPr>
            <w:r>
              <w:rPr>
                <w:b/>
              </w:rPr>
              <w:t xml:space="preserve">4 </w:t>
            </w:r>
          </w:p>
        </w:tc>
        <w:tc>
          <w:tcPr>
            <w:tcW w:w="2072"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8" w:firstLine="0"/>
              <w:jc w:val="center"/>
            </w:pPr>
            <w:r>
              <w:t xml:space="preserve">1 </w:t>
            </w:r>
          </w:p>
        </w:tc>
      </w:tr>
      <w:tr w:rsidR="00047749">
        <w:trPr>
          <w:trHeight w:val="286"/>
        </w:trPr>
        <w:tc>
          <w:tcPr>
            <w:tcW w:w="4159" w:type="dxa"/>
            <w:tcBorders>
              <w:top w:val="single" w:color="000000" w:sz="4" w:space="0"/>
              <w:left w:val="single" w:color="000000" w:sz="4" w:space="0"/>
              <w:bottom w:val="single" w:color="000000" w:sz="6" w:space="0"/>
              <w:right w:val="single" w:color="000000" w:sz="4" w:space="0"/>
            </w:tcBorders>
          </w:tcPr>
          <w:p w:rsidR="00047749" w:rsidRDefault="00C805F4">
            <w:pPr>
              <w:spacing w:after="0" w:line="259" w:lineRule="auto"/>
              <w:ind w:left="0" w:firstLine="0"/>
            </w:pPr>
            <w:r>
              <w:t xml:space="preserve">Private Fee-for-Service (PFFS) </w:t>
            </w:r>
          </w:p>
        </w:tc>
        <w:tc>
          <w:tcPr>
            <w:tcW w:w="2069" w:type="dxa"/>
            <w:tcBorders>
              <w:top w:val="single" w:color="000000" w:sz="4" w:space="0"/>
              <w:left w:val="single" w:color="000000" w:sz="4" w:space="0"/>
              <w:bottom w:val="single" w:color="000000" w:sz="6" w:space="0"/>
              <w:right w:val="single" w:color="000000" w:sz="4" w:space="0"/>
            </w:tcBorders>
          </w:tcPr>
          <w:p w:rsidR="00047749" w:rsidRDefault="00C805F4">
            <w:pPr>
              <w:spacing w:after="0" w:line="259" w:lineRule="auto"/>
              <w:ind w:left="12" w:firstLine="0"/>
              <w:jc w:val="center"/>
            </w:pPr>
            <w:r>
              <w:rPr>
                <w:b/>
              </w:rPr>
              <w:t xml:space="preserve">5 </w:t>
            </w:r>
          </w:p>
        </w:tc>
        <w:tc>
          <w:tcPr>
            <w:tcW w:w="2072" w:type="dxa"/>
            <w:tcBorders>
              <w:top w:val="single" w:color="000000" w:sz="4" w:space="0"/>
              <w:left w:val="single" w:color="000000" w:sz="4" w:space="0"/>
              <w:bottom w:val="single" w:color="000000" w:sz="6" w:space="0"/>
              <w:right w:val="single" w:color="000000" w:sz="4" w:space="0"/>
            </w:tcBorders>
          </w:tcPr>
          <w:p w:rsidR="00047749" w:rsidRDefault="00C805F4">
            <w:pPr>
              <w:spacing w:after="0" w:line="259" w:lineRule="auto"/>
              <w:ind w:left="8" w:firstLine="0"/>
              <w:jc w:val="center"/>
            </w:pPr>
            <w:r>
              <w:t xml:space="preserve">7 </w:t>
            </w:r>
          </w:p>
        </w:tc>
      </w:tr>
      <w:tr w:rsidR="00047749">
        <w:trPr>
          <w:trHeight w:val="285"/>
        </w:trPr>
        <w:tc>
          <w:tcPr>
            <w:tcW w:w="4159" w:type="dxa"/>
            <w:tcBorders>
              <w:top w:val="single" w:color="000000" w:sz="6" w:space="0"/>
              <w:left w:val="single" w:color="000000" w:sz="4" w:space="0"/>
              <w:bottom w:val="single" w:color="000000" w:sz="4" w:space="0"/>
              <w:right w:val="single" w:color="000000" w:sz="4" w:space="0"/>
            </w:tcBorders>
          </w:tcPr>
          <w:p w:rsidR="00047749" w:rsidRDefault="00C805F4">
            <w:pPr>
              <w:spacing w:after="0" w:line="259" w:lineRule="auto"/>
              <w:ind w:left="0" w:firstLine="0"/>
            </w:pPr>
            <w:r>
              <w:t xml:space="preserve">Demonstrations (MMPs) </w:t>
            </w:r>
          </w:p>
        </w:tc>
        <w:tc>
          <w:tcPr>
            <w:tcW w:w="2069" w:type="dxa"/>
            <w:tcBorders>
              <w:top w:val="single" w:color="000000" w:sz="6" w:space="0"/>
              <w:left w:val="single" w:color="000000" w:sz="4" w:space="0"/>
              <w:bottom w:val="single" w:color="000000" w:sz="4" w:space="0"/>
              <w:right w:val="single" w:color="000000" w:sz="4" w:space="0"/>
            </w:tcBorders>
          </w:tcPr>
          <w:p w:rsidR="00047749" w:rsidRDefault="00C805F4">
            <w:pPr>
              <w:spacing w:after="0" w:line="259" w:lineRule="auto"/>
              <w:ind w:left="14" w:firstLine="0"/>
              <w:jc w:val="center"/>
            </w:pPr>
            <w:r>
              <w:rPr>
                <w:b/>
              </w:rPr>
              <w:t xml:space="preserve">40 </w:t>
            </w:r>
          </w:p>
        </w:tc>
        <w:tc>
          <w:tcPr>
            <w:tcW w:w="2072" w:type="dxa"/>
            <w:tcBorders>
              <w:top w:val="single" w:color="000000" w:sz="6" w:space="0"/>
              <w:left w:val="single" w:color="000000" w:sz="4" w:space="0"/>
              <w:bottom w:val="single" w:color="000000" w:sz="4" w:space="0"/>
              <w:right w:val="single" w:color="000000" w:sz="4" w:space="0"/>
            </w:tcBorders>
          </w:tcPr>
          <w:p w:rsidR="00047749" w:rsidRDefault="00C805F4">
            <w:pPr>
              <w:spacing w:after="0" w:line="259" w:lineRule="auto"/>
              <w:ind w:left="11" w:firstLine="0"/>
              <w:jc w:val="center"/>
            </w:pPr>
            <w:r>
              <w:t xml:space="preserve">47 </w:t>
            </w:r>
          </w:p>
        </w:tc>
      </w:tr>
      <w:tr w:rsidR="00047749">
        <w:trPr>
          <w:trHeight w:val="286"/>
        </w:trPr>
        <w:tc>
          <w:tcPr>
            <w:tcW w:w="4159"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firstLine="0"/>
            </w:pPr>
            <w:r>
              <w:t xml:space="preserve">Regional CCPs </w:t>
            </w:r>
          </w:p>
        </w:tc>
        <w:tc>
          <w:tcPr>
            <w:tcW w:w="2069"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14" w:firstLine="0"/>
              <w:jc w:val="center"/>
            </w:pPr>
            <w:r>
              <w:rPr>
                <w:b/>
              </w:rPr>
              <w:t xml:space="preserve">28 </w:t>
            </w:r>
          </w:p>
        </w:tc>
        <w:tc>
          <w:tcPr>
            <w:tcW w:w="2072"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11" w:firstLine="0"/>
              <w:jc w:val="center"/>
            </w:pPr>
            <w:r>
              <w:t xml:space="preserve">10 </w:t>
            </w:r>
          </w:p>
        </w:tc>
      </w:tr>
      <w:tr w:rsidR="00047749">
        <w:trPr>
          <w:trHeight w:val="287"/>
        </w:trPr>
        <w:tc>
          <w:tcPr>
            <w:tcW w:w="4159"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firstLine="0"/>
            </w:pPr>
            <w:r>
              <w:t xml:space="preserve">ALL Plans/Contract Types </w:t>
            </w:r>
          </w:p>
        </w:tc>
        <w:tc>
          <w:tcPr>
            <w:tcW w:w="2069"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14" w:firstLine="0"/>
              <w:jc w:val="center"/>
            </w:pPr>
            <w:r>
              <w:rPr>
                <w:b/>
              </w:rPr>
              <w:t xml:space="preserve">677 </w:t>
            </w:r>
          </w:p>
        </w:tc>
        <w:tc>
          <w:tcPr>
            <w:tcW w:w="2072"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11" w:firstLine="0"/>
              <w:jc w:val="center"/>
            </w:pPr>
            <w:r>
              <w:t xml:space="preserve">515 </w:t>
            </w:r>
          </w:p>
        </w:tc>
      </w:tr>
    </w:tbl>
    <w:p w:rsidR="00047749" w:rsidRDefault="00C805F4">
      <w:pPr>
        <w:spacing w:after="125"/>
        <w:ind w:left="0" w:right="395" w:firstLine="0"/>
      </w:pPr>
      <w:r>
        <w:rPr>
          <w:b/>
          <w:sz w:val="20"/>
        </w:rPr>
        <w:t xml:space="preserve"> </w:t>
      </w:r>
      <w:r>
        <w:rPr>
          <w:b/>
          <w:sz w:val="19"/>
        </w:rPr>
        <w:t xml:space="preserve"> </w:t>
      </w:r>
    </w:p>
    <w:p w:rsidR="00047749" w:rsidRDefault="00C805F4">
      <w:pPr>
        <w:pStyle w:val="Heading1"/>
        <w:ind w:left="95"/>
      </w:pPr>
      <w:r>
        <w:t xml:space="preserve">Type of HEDIS Measures that are required from MAOs, </w:t>
      </w:r>
      <w:r>
        <w:rPr>
          <w:u w:val="none"/>
        </w:rPr>
        <w:t>§</w:t>
      </w:r>
      <w:r>
        <w:t>1876 Cost Contracts, and</w:t>
      </w:r>
      <w:r>
        <w:rPr>
          <w:u w:val="none"/>
        </w:rPr>
        <w:t xml:space="preserve"> </w:t>
      </w:r>
      <w:r>
        <w:t>Medicare Medicaid Plans</w:t>
      </w:r>
      <w:r>
        <w:rPr>
          <w:u w:val="none"/>
        </w:rPr>
        <w:t xml:space="preserve"> </w:t>
      </w:r>
    </w:p>
    <w:p w:rsidR="00047749" w:rsidRDefault="00C805F4">
      <w:pPr>
        <w:spacing w:after="151" w:line="259" w:lineRule="auto"/>
        <w:ind w:left="0" w:firstLine="0"/>
      </w:pPr>
      <w:r>
        <w:rPr>
          <w:sz w:val="16"/>
        </w:rPr>
        <w:t xml:space="preserve"> </w:t>
      </w:r>
    </w:p>
    <w:p w:rsidR="00047749" w:rsidRDefault="00C805F4">
      <w:pPr>
        <w:ind w:left="95" w:right="57"/>
      </w:pPr>
      <w:r>
        <w:t xml:space="preserve">Annually, the MAOs, §1876 Cost Contracts, and Medicare Medicaid Plans are required to submit HEDIS Measures to CMS. The measures are comprised of administrative and health assessment data collected by these providers about their respective members. HEDIS data provide CMS with information that cannot be easily obtained from these providers through other existing CMS databases. The HEDIS quality measures for these providers are typically the same for every year. However, over the past 20 years of the HEDIS program, some measures have been retired and some new measures have been added to the required list of measures. The Star Ratings Program does not include all of the HEDIS measures that are collected on an annual basis. Some measures are collected and not yet publicly reported. Some measures are collected and publicly reported but they are not included in the Star Ratings and the Quality Bonus Payments. </w:t>
      </w:r>
    </w:p>
    <w:p w:rsidR="00047749" w:rsidRDefault="00C805F4">
      <w:pPr>
        <w:spacing w:after="0" w:line="259" w:lineRule="auto"/>
        <w:ind w:left="0" w:firstLine="0"/>
      </w:pPr>
      <w:r>
        <w:t xml:space="preserve"> </w:t>
      </w:r>
    </w:p>
    <w:p w:rsidR="00C805F4" w:rsidRDefault="00C805F4">
      <w:pPr>
        <w:spacing w:after="0" w:line="259" w:lineRule="auto"/>
        <w:ind w:left="0" w:firstLine="0"/>
      </w:pPr>
    </w:p>
    <w:p w:rsidR="00C805F4" w:rsidRDefault="00C805F4">
      <w:pPr>
        <w:spacing w:after="0" w:line="259" w:lineRule="auto"/>
        <w:ind w:left="0" w:firstLine="0"/>
      </w:pPr>
    </w:p>
    <w:p w:rsidR="00C805F4" w:rsidRDefault="00C805F4">
      <w:pPr>
        <w:spacing w:after="0" w:line="259" w:lineRule="auto"/>
        <w:ind w:left="0" w:firstLine="0"/>
      </w:pPr>
    </w:p>
    <w:p w:rsidR="00C805F4" w:rsidRDefault="00C805F4">
      <w:pPr>
        <w:spacing w:after="0" w:line="259" w:lineRule="auto"/>
        <w:ind w:left="0" w:firstLine="0"/>
      </w:pPr>
    </w:p>
    <w:p w:rsidR="00047749" w:rsidRDefault="00C805F4">
      <w:pPr>
        <w:spacing w:after="0" w:line="259" w:lineRule="auto"/>
        <w:ind w:left="95"/>
      </w:pPr>
      <w:r>
        <w:rPr>
          <w:b/>
        </w:rPr>
        <w:t xml:space="preserve">Table 2: HEDIS Measures </w:t>
      </w:r>
    </w:p>
    <w:p w:rsidR="00047749" w:rsidRDefault="00C805F4">
      <w:pPr>
        <w:spacing w:after="0" w:line="259" w:lineRule="auto"/>
        <w:ind w:left="0" w:right="126" w:firstLine="0"/>
      </w:pPr>
      <w:r>
        <w:rPr>
          <w:b/>
        </w:rPr>
        <w:t xml:space="preserve"> </w:t>
      </w:r>
    </w:p>
    <w:tbl>
      <w:tblPr>
        <w:tblStyle w:val="TableGrid"/>
        <w:tblW w:w="8569" w:type="dxa"/>
        <w:tblInd w:w="106" w:type="dxa"/>
        <w:tblCellMar>
          <w:left w:w="5" w:type="dxa"/>
          <w:right w:w="71" w:type="dxa"/>
        </w:tblCellMar>
        <w:tblLook w:val="04A0" w:firstRow="1" w:lastRow="0" w:firstColumn="1" w:lastColumn="0" w:noHBand="0" w:noVBand="1"/>
      </w:tblPr>
      <w:tblGrid>
        <w:gridCol w:w="4519"/>
        <w:gridCol w:w="4050"/>
      </w:tblGrid>
      <w:tr w:rsidR="00047749">
        <w:trPr>
          <w:trHeight w:val="838"/>
        </w:trPr>
        <w:tc>
          <w:tcPr>
            <w:tcW w:w="4519"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71" w:firstLine="0"/>
              <w:jc w:val="center"/>
            </w:pPr>
            <w:r>
              <w:t xml:space="preserve">HEDIS Measures </w:t>
            </w:r>
          </w:p>
        </w:tc>
        <w:tc>
          <w:tcPr>
            <w:tcW w:w="4050"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39" w:lineRule="auto"/>
              <w:ind w:left="0" w:firstLine="0"/>
              <w:jc w:val="center"/>
            </w:pPr>
            <w:r>
              <w:t>Changes from HEDIS 2017* (</w:t>
            </w:r>
            <w:r>
              <w:rPr>
                <w:rFonts w:ascii="Wingdings" w:hAnsi="Wingdings" w:eastAsia="Wingdings" w:cs="Wingdings"/>
              </w:rPr>
              <w:t></w:t>
            </w:r>
            <w:r>
              <w:t xml:space="preserve"> means that it is still required for HEDIS </w:t>
            </w:r>
          </w:p>
          <w:p w:rsidR="00047749" w:rsidRDefault="00C805F4">
            <w:pPr>
              <w:spacing w:after="0" w:line="259" w:lineRule="auto"/>
              <w:ind w:left="73" w:firstLine="0"/>
              <w:jc w:val="center"/>
            </w:pPr>
            <w:r>
              <w:t xml:space="preserve">reporting) </w:t>
            </w:r>
          </w:p>
        </w:tc>
      </w:tr>
      <w:tr w:rsidR="00047749">
        <w:trPr>
          <w:trHeight w:val="284"/>
        </w:trPr>
        <w:tc>
          <w:tcPr>
            <w:tcW w:w="4519"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106" w:firstLine="0"/>
            </w:pPr>
            <w:r>
              <w:t xml:space="preserve">Adult BMI Assessment </w:t>
            </w:r>
          </w:p>
        </w:tc>
        <w:tc>
          <w:tcPr>
            <w:tcW w:w="4050"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72" w:firstLine="0"/>
              <w:jc w:val="center"/>
            </w:pPr>
            <w:r>
              <w:t xml:space="preserve">Retired </w:t>
            </w:r>
          </w:p>
        </w:tc>
      </w:tr>
      <w:tr w:rsidR="00047749">
        <w:trPr>
          <w:trHeight w:val="314"/>
        </w:trPr>
        <w:tc>
          <w:tcPr>
            <w:tcW w:w="4519"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106" w:firstLine="0"/>
            </w:pPr>
            <w:r>
              <w:t xml:space="preserve">Breast Cancer Screening </w:t>
            </w:r>
          </w:p>
        </w:tc>
        <w:tc>
          <w:tcPr>
            <w:tcW w:w="4050"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73" w:firstLine="0"/>
              <w:jc w:val="center"/>
            </w:pPr>
            <w:r>
              <w:rPr>
                <w:rFonts w:ascii="Wingdings" w:hAnsi="Wingdings" w:eastAsia="Wingdings" w:cs="Wingdings"/>
              </w:rPr>
              <w:t></w:t>
            </w:r>
            <w:r>
              <w:rPr>
                <w:rFonts w:ascii="Wingdings" w:hAnsi="Wingdings" w:eastAsia="Wingdings" w:cs="Wingdings"/>
              </w:rPr>
              <w:t></w:t>
            </w:r>
          </w:p>
        </w:tc>
      </w:tr>
      <w:tr w:rsidR="00047749">
        <w:trPr>
          <w:trHeight w:val="284"/>
        </w:trPr>
        <w:tc>
          <w:tcPr>
            <w:tcW w:w="4519"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106" w:firstLine="0"/>
            </w:pPr>
            <w:r>
              <w:t xml:space="preserve">Colorectal Cancer Screening </w:t>
            </w:r>
          </w:p>
        </w:tc>
        <w:tc>
          <w:tcPr>
            <w:tcW w:w="4050"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73" w:firstLine="0"/>
              <w:jc w:val="center"/>
            </w:pPr>
            <w:r>
              <w:rPr>
                <w:rFonts w:ascii="Wingdings" w:hAnsi="Wingdings" w:eastAsia="Wingdings" w:cs="Wingdings"/>
              </w:rPr>
              <w:t></w:t>
            </w:r>
            <w:r>
              <w:rPr>
                <w:rFonts w:ascii="Wingdings" w:hAnsi="Wingdings" w:eastAsia="Wingdings" w:cs="Wingdings"/>
              </w:rPr>
              <w:t></w:t>
            </w:r>
          </w:p>
        </w:tc>
      </w:tr>
      <w:tr w:rsidR="00047749">
        <w:trPr>
          <w:trHeight w:val="838"/>
        </w:trPr>
        <w:tc>
          <w:tcPr>
            <w:tcW w:w="4519"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106" w:firstLine="0"/>
            </w:pPr>
            <w:r>
              <w:t xml:space="preserve">Use of Spirometry Testing in the </w:t>
            </w:r>
          </w:p>
          <w:p w:rsidR="00047749" w:rsidRDefault="00C805F4">
            <w:pPr>
              <w:spacing w:after="0" w:line="259" w:lineRule="auto"/>
              <w:ind w:left="106" w:firstLine="0"/>
            </w:pPr>
            <w:r>
              <w:t xml:space="preserve">Assessment and Diagnosis of Chronic </w:t>
            </w:r>
          </w:p>
          <w:p w:rsidR="00047749" w:rsidRDefault="00C805F4">
            <w:pPr>
              <w:spacing w:after="0" w:line="259" w:lineRule="auto"/>
              <w:ind w:left="106" w:firstLine="0"/>
            </w:pPr>
            <w:r>
              <w:t xml:space="preserve">Obstructive Pulmonary Disease </w:t>
            </w:r>
          </w:p>
        </w:tc>
        <w:tc>
          <w:tcPr>
            <w:tcW w:w="4050"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firstLine="0"/>
            </w:pPr>
            <w:r>
              <w:rPr>
                <w:b/>
              </w:rPr>
              <w:t xml:space="preserve"> </w:t>
            </w:r>
          </w:p>
          <w:p w:rsidR="00047749" w:rsidRDefault="00C805F4">
            <w:pPr>
              <w:spacing w:after="0" w:line="259" w:lineRule="auto"/>
              <w:ind w:left="73" w:firstLine="0"/>
              <w:jc w:val="center"/>
            </w:pPr>
            <w:r>
              <w:rPr>
                <w:rFonts w:ascii="Wingdings" w:hAnsi="Wingdings" w:eastAsia="Wingdings" w:cs="Wingdings"/>
              </w:rPr>
              <w:t></w:t>
            </w:r>
            <w:r>
              <w:rPr>
                <w:rFonts w:ascii="Wingdings" w:hAnsi="Wingdings" w:eastAsia="Wingdings" w:cs="Wingdings"/>
              </w:rPr>
              <w:t></w:t>
            </w:r>
          </w:p>
        </w:tc>
      </w:tr>
      <w:tr w:rsidR="00047749">
        <w:trPr>
          <w:trHeight w:val="564"/>
        </w:trPr>
        <w:tc>
          <w:tcPr>
            <w:tcW w:w="4519"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106" w:firstLine="0"/>
            </w:pPr>
            <w:r>
              <w:t xml:space="preserve">Pharmacotherapy Management of COPD </w:t>
            </w:r>
          </w:p>
          <w:p w:rsidR="00047749" w:rsidRDefault="00C805F4">
            <w:pPr>
              <w:spacing w:after="0" w:line="259" w:lineRule="auto"/>
              <w:ind w:left="106" w:firstLine="0"/>
            </w:pPr>
            <w:r>
              <w:t>Exacerbation</w:t>
            </w:r>
            <w:r>
              <w:rPr>
                <w:vertAlign w:val="superscript"/>
              </w:rPr>
              <w:t>1</w:t>
            </w:r>
            <w:r>
              <w:rPr>
                <w:vertAlign w:val="subscript"/>
              </w:rPr>
              <w:t xml:space="preserve"> </w:t>
            </w:r>
          </w:p>
        </w:tc>
        <w:tc>
          <w:tcPr>
            <w:tcW w:w="4050"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73" w:firstLine="0"/>
              <w:jc w:val="center"/>
            </w:pPr>
            <w:r>
              <w:rPr>
                <w:rFonts w:ascii="Wingdings" w:hAnsi="Wingdings" w:eastAsia="Wingdings" w:cs="Wingdings"/>
              </w:rPr>
              <w:t></w:t>
            </w:r>
            <w:r>
              <w:rPr>
                <w:rFonts w:ascii="Wingdings" w:hAnsi="Wingdings" w:eastAsia="Wingdings" w:cs="Wingdings"/>
              </w:rPr>
              <w:t></w:t>
            </w:r>
          </w:p>
        </w:tc>
      </w:tr>
      <w:tr w:rsidR="00047749">
        <w:trPr>
          <w:trHeight w:val="284"/>
        </w:trPr>
        <w:tc>
          <w:tcPr>
            <w:tcW w:w="4519"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106" w:firstLine="0"/>
            </w:pPr>
            <w:r>
              <w:t xml:space="preserve">Controlling High Blood Pressure </w:t>
            </w:r>
          </w:p>
        </w:tc>
        <w:tc>
          <w:tcPr>
            <w:tcW w:w="4050"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73" w:firstLine="0"/>
              <w:jc w:val="center"/>
            </w:pPr>
            <w:r>
              <w:rPr>
                <w:rFonts w:ascii="Wingdings" w:hAnsi="Wingdings" w:eastAsia="Wingdings" w:cs="Wingdings"/>
              </w:rPr>
              <w:t></w:t>
            </w:r>
            <w:r>
              <w:rPr>
                <w:rFonts w:ascii="Wingdings" w:hAnsi="Wingdings" w:eastAsia="Wingdings" w:cs="Wingdings"/>
              </w:rPr>
              <w:t></w:t>
            </w:r>
          </w:p>
        </w:tc>
      </w:tr>
      <w:tr w:rsidR="00047749">
        <w:trPr>
          <w:trHeight w:val="1115"/>
        </w:trPr>
        <w:tc>
          <w:tcPr>
            <w:tcW w:w="4519"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106" w:firstLine="0"/>
            </w:pPr>
            <w:r>
              <w:t xml:space="preserve">Persistence of Beta-Blocker After a Heart </w:t>
            </w:r>
          </w:p>
          <w:p w:rsidR="00047749" w:rsidRDefault="00C805F4">
            <w:pPr>
              <w:spacing w:after="20" w:line="259" w:lineRule="auto"/>
              <w:ind w:left="106" w:firstLine="0"/>
            </w:pPr>
            <w:r>
              <w:t>Attack</w:t>
            </w:r>
            <w:r>
              <w:rPr>
                <w:vertAlign w:val="superscript"/>
              </w:rPr>
              <w:t>1</w:t>
            </w:r>
            <w:r>
              <w:rPr>
                <w:vertAlign w:val="subscript"/>
              </w:rPr>
              <w:t xml:space="preserve"> </w:t>
            </w:r>
          </w:p>
          <w:p w:rsidR="00047749" w:rsidRDefault="00C805F4">
            <w:pPr>
              <w:spacing w:after="0" w:line="259" w:lineRule="auto"/>
              <w:ind w:left="106" w:firstLine="0"/>
            </w:pPr>
            <w:r>
              <w:t xml:space="preserve">Statin Therapy for Patients with </w:t>
            </w:r>
          </w:p>
          <w:p w:rsidR="00047749" w:rsidRDefault="00C805F4">
            <w:pPr>
              <w:spacing w:after="0" w:line="259" w:lineRule="auto"/>
              <w:ind w:left="106" w:firstLine="0"/>
            </w:pPr>
            <w:r>
              <w:t>Cardiovascular Disease</w:t>
            </w:r>
            <w:r>
              <w:rPr>
                <w:vertAlign w:val="superscript"/>
              </w:rPr>
              <w:t>1</w:t>
            </w:r>
            <w:r>
              <w:rPr>
                <w:vertAlign w:val="subscript"/>
              </w:rPr>
              <w:t xml:space="preserve"> </w:t>
            </w:r>
          </w:p>
        </w:tc>
        <w:tc>
          <w:tcPr>
            <w:tcW w:w="4050"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73" w:firstLine="0"/>
              <w:jc w:val="center"/>
            </w:pPr>
            <w:r>
              <w:rPr>
                <w:rFonts w:ascii="Wingdings" w:hAnsi="Wingdings" w:eastAsia="Wingdings" w:cs="Wingdings"/>
              </w:rPr>
              <w:t></w:t>
            </w:r>
            <w:r>
              <w:rPr>
                <w:rFonts w:ascii="Wingdings" w:hAnsi="Wingdings" w:eastAsia="Wingdings" w:cs="Wingdings"/>
              </w:rPr>
              <w:t></w:t>
            </w:r>
          </w:p>
        </w:tc>
      </w:tr>
    </w:tbl>
    <w:tbl>
      <w:tblPr>
        <w:tblStyle w:val="TableGrid"/>
        <w:tblpPr w:vertAnchor="text" w:tblpX="106" w:tblpY="45"/>
        <w:tblOverlap w:val="never"/>
        <w:tblW w:w="8569" w:type="dxa"/>
        <w:tblInd w:w="0" w:type="dxa"/>
        <w:tblCellMar>
          <w:left w:w="110" w:type="dxa"/>
          <w:right w:w="70" w:type="dxa"/>
        </w:tblCellMar>
        <w:tblLook w:val="04A0" w:firstRow="1" w:lastRow="0" w:firstColumn="1" w:lastColumn="0" w:noHBand="0" w:noVBand="1"/>
      </w:tblPr>
      <w:tblGrid>
        <w:gridCol w:w="4519"/>
        <w:gridCol w:w="4050"/>
      </w:tblGrid>
      <w:tr w:rsidR="00047749">
        <w:trPr>
          <w:trHeight w:val="286"/>
        </w:trPr>
        <w:tc>
          <w:tcPr>
            <w:tcW w:w="4519"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firstLine="0"/>
            </w:pPr>
            <w:r>
              <w:t>Comprehensive Diabetes Care</w:t>
            </w:r>
            <w:r>
              <w:rPr>
                <w:vertAlign w:val="subscript"/>
              </w:rPr>
              <w:t xml:space="preserve"> </w:t>
            </w:r>
          </w:p>
        </w:tc>
        <w:tc>
          <w:tcPr>
            <w:tcW w:w="4050"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right="33" w:firstLine="0"/>
              <w:jc w:val="center"/>
            </w:pPr>
            <w:r>
              <w:rPr>
                <w:rFonts w:ascii="Wingdings" w:hAnsi="Wingdings" w:eastAsia="Wingdings" w:cs="Wingdings"/>
              </w:rPr>
              <w:t></w:t>
            </w:r>
            <w:r>
              <w:rPr>
                <w:rFonts w:ascii="Wingdings" w:hAnsi="Wingdings" w:eastAsia="Wingdings" w:cs="Wingdings"/>
              </w:rPr>
              <w:t></w:t>
            </w:r>
          </w:p>
        </w:tc>
      </w:tr>
      <w:tr w:rsidR="00047749">
        <w:trPr>
          <w:trHeight w:val="440"/>
        </w:trPr>
        <w:tc>
          <w:tcPr>
            <w:tcW w:w="4519"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firstLine="0"/>
            </w:pPr>
            <w:r>
              <w:t>Statin Therapy for Patients with Diabetes</w:t>
            </w:r>
            <w:r>
              <w:rPr>
                <w:vertAlign w:val="superscript"/>
              </w:rPr>
              <w:t>1</w:t>
            </w:r>
            <w:r>
              <w:rPr>
                <w:vertAlign w:val="subscript"/>
              </w:rPr>
              <w:t xml:space="preserve"> </w:t>
            </w:r>
          </w:p>
        </w:tc>
        <w:tc>
          <w:tcPr>
            <w:tcW w:w="4050"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right="33" w:firstLine="0"/>
              <w:jc w:val="center"/>
            </w:pPr>
            <w:r>
              <w:rPr>
                <w:rFonts w:ascii="Wingdings" w:hAnsi="Wingdings" w:eastAsia="Wingdings" w:cs="Wingdings"/>
              </w:rPr>
              <w:t></w:t>
            </w:r>
            <w:r>
              <w:rPr>
                <w:rFonts w:ascii="Wingdings" w:hAnsi="Wingdings" w:eastAsia="Wingdings" w:cs="Wingdings"/>
              </w:rPr>
              <w:t></w:t>
            </w:r>
          </w:p>
        </w:tc>
      </w:tr>
      <w:tr w:rsidR="00047749">
        <w:trPr>
          <w:trHeight w:val="562"/>
        </w:trPr>
        <w:tc>
          <w:tcPr>
            <w:tcW w:w="4519"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firstLine="0"/>
            </w:pPr>
            <w:r>
              <w:t xml:space="preserve">Disease-Modifying Anti-Rheumatic Drug Therapy for Rheumatoid Arthritis </w:t>
            </w:r>
          </w:p>
        </w:tc>
        <w:tc>
          <w:tcPr>
            <w:tcW w:w="4050"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right="34" w:firstLine="0"/>
              <w:jc w:val="center"/>
            </w:pPr>
            <w:r>
              <w:t xml:space="preserve">Retired/Removed </w:t>
            </w:r>
          </w:p>
        </w:tc>
      </w:tr>
      <w:tr w:rsidR="00047749">
        <w:trPr>
          <w:trHeight w:val="560"/>
        </w:trPr>
        <w:tc>
          <w:tcPr>
            <w:tcW w:w="4519"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firstLine="0"/>
            </w:pPr>
            <w:r>
              <w:t xml:space="preserve">Osteoporosis Management in Women Who Had a Fracture </w:t>
            </w:r>
          </w:p>
        </w:tc>
        <w:tc>
          <w:tcPr>
            <w:tcW w:w="4050"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right="33" w:firstLine="0"/>
              <w:jc w:val="center"/>
            </w:pPr>
            <w:r>
              <w:rPr>
                <w:rFonts w:ascii="Wingdings" w:hAnsi="Wingdings" w:eastAsia="Wingdings" w:cs="Wingdings"/>
              </w:rPr>
              <w:t></w:t>
            </w:r>
            <w:r>
              <w:rPr>
                <w:rFonts w:ascii="Wingdings" w:hAnsi="Wingdings" w:eastAsia="Wingdings" w:cs="Wingdings"/>
              </w:rPr>
              <w:t></w:t>
            </w:r>
          </w:p>
        </w:tc>
      </w:tr>
      <w:tr w:rsidR="00047749">
        <w:trPr>
          <w:trHeight w:val="838"/>
        </w:trPr>
        <w:tc>
          <w:tcPr>
            <w:tcW w:w="4519"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right="36" w:firstLine="0"/>
              <w:jc w:val="center"/>
            </w:pPr>
            <w:r>
              <w:t xml:space="preserve">HEDIS Measures </w:t>
            </w:r>
          </w:p>
        </w:tc>
        <w:tc>
          <w:tcPr>
            <w:tcW w:w="4050"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39" w:lineRule="auto"/>
              <w:ind w:left="0" w:firstLine="0"/>
              <w:jc w:val="center"/>
            </w:pPr>
            <w:r>
              <w:t>Changes from HEDIS 2017* (</w:t>
            </w:r>
            <w:r>
              <w:rPr>
                <w:rFonts w:ascii="Wingdings" w:hAnsi="Wingdings" w:eastAsia="Wingdings" w:cs="Wingdings"/>
              </w:rPr>
              <w:t></w:t>
            </w:r>
            <w:r>
              <w:t xml:space="preserve"> means that it is still required for HEDIS </w:t>
            </w:r>
          </w:p>
          <w:p w:rsidR="00047749" w:rsidRDefault="00C805F4">
            <w:pPr>
              <w:spacing w:after="0" w:line="259" w:lineRule="auto"/>
              <w:ind w:left="0" w:right="34" w:firstLine="0"/>
              <w:jc w:val="center"/>
            </w:pPr>
            <w:r>
              <w:t xml:space="preserve">reporting) </w:t>
            </w:r>
          </w:p>
        </w:tc>
      </w:tr>
      <w:tr w:rsidR="00047749">
        <w:trPr>
          <w:trHeight w:val="284"/>
        </w:trPr>
        <w:tc>
          <w:tcPr>
            <w:tcW w:w="4519"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firstLine="0"/>
            </w:pPr>
            <w:r>
              <w:t xml:space="preserve">Antidepressant Medication Management </w:t>
            </w:r>
          </w:p>
        </w:tc>
        <w:tc>
          <w:tcPr>
            <w:tcW w:w="4050"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right="33" w:firstLine="0"/>
              <w:jc w:val="center"/>
            </w:pPr>
            <w:r>
              <w:rPr>
                <w:rFonts w:ascii="Wingdings" w:hAnsi="Wingdings" w:eastAsia="Wingdings" w:cs="Wingdings"/>
              </w:rPr>
              <w:t></w:t>
            </w:r>
            <w:r>
              <w:rPr>
                <w:rFonts w:ascii="Wingdings" w:hAnsi="Wingdings" w:eastAsia="Wingdings" w:cs="Wingdings"/>
              </w:rPr>
              <w:t></w:t>
            </w:r>
          </w:p>
        </w:tc>
      </w:tr>
      <w:tr w:rsidR="00047749">
        <w:trPr>
          <w:trHeight w:val="562"/>
        </w:trPr>
        <w:tc>
          <w:tcPr>
            <w:tcW w:w="4519"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firstLine="0"/>
            </w:pPr>
            <w:r>
              <w:t xml:space="preserve">Follow-up After Hospitalization for Mental Illness </w:t>
            </w:r>
          </w:p>
        </w:tc>
        <w:tc>
          <w:tcPr>
            <w:tcW w:w="4050"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right="33" w:firstLine="0"/>
              <w:jc w:val="center"/>
            </w:pPr>
            <w:r>
              <w:rPr>
                <w:rFonts w:ascii="Wingdings" w:hAnsi="Wingdings" w:eastAsia="Wingdings" w:cs="Wingdings"/>
              </w:rPr>
              <w:t></w:t>
            </w:r>
            <w:r>
              <w:rPr>
                <w:rFonts w:ascii="Wingdings" w:hAnsi="Wingdings" w:eastAsia="Wingdings" w:cs="Wingdings"/>
              </w:rPr>
              <w:t></w:t>
            </w:r>
          </w:p>
        </w:tc>
      </w:tr>
      <w:tr w:rsidR="00047749">
        <w:trPr>
          <w:trHeight w:val="564"/>
        </w:trPr>
        <w:tc>
          <w:tcPr>
            <w:tcW w:w="4519"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firstLine="0"/>
            </w:pPr>
            <w:r>
              <w:t xml:space="preserve">Follow-up After Emergency Department Visit for Mental Illness </w:t>
            </w:r>
          </w:p>
        </w:tc>
        <w:tc>
          <w:tcPr>
            <w:tcW w:w="4050"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right="33" w:firstLine="0"/>
              <w:jc w:val="center"/>
            </w:pPr>
            <w:r>
              <w:rPr>
                <w:rFonts w:ascii="Wingdings" w:hAnsi="Wingdings" w:eastAsia="Wingdings" w:cs="Wingdings"/>
              </w:rPr>
              <w:t></w:t>
            </w:r>
            <w:r>
              <w:rPr>
                <w:rFonts w:ascii="Wingdings" w:hAnsi="Wingdings" w:eastAsia="Wingdings" w:cs="Wingdings"/>
              </w:rPr>
              <w:t></w:t>
            </w:r>
          </w:p>
        </w:tc>
      </w:tr>
      <w:tr w:rsidR="00047749">
        <w:trPr>
          <w:trHeight w:val="836"/>
        </w:trPr>
        <w:tc>
          <w:tcPr>
            <w:tcW w:w="4519"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firstLine="0"/>
            </w:pPr>
            <w:r>
              <w:t xml:space="preserve">Follow-up After Emergency Department </w:t>
            </w:r>
          </w:p>
          <w:p w:rsidR="00047749" w:rsidRDefault="00C805F4">
            <w:pPr>
              <w:spacing w:after="0" w:line="259" w:lineRule="auto"/>
              <w:ind w:left="0" w:firstLine="0"/>
            </w:pPr>
            <w:r>
              <w:t xml:space="preserve">Visit for Alcohol and Other Drug Abuse or </w:t>
            </w:r>
          </w:p>
          <w:p w:rsidR="00047749" w:rsidRDefault="00C805F4">
            <w:pPr>
              <w:spacing w:after="0" w:line="259" w:lineRule="auto"/>
              <w:ind w:left="0" w:firstLine="0"/>
            </w:pPr>
            <w:r>
              <w:t xml:space="preserve">Dependence </w:t>
            </w:r>
          </w:p>
        </w:tc>
        <w:tc>
          <w:tcPr>
            <w:tcW w:w="4050"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right="33" w:firstLine="0"/>
              <w:jc w:val="center"/>
            </w:pPr>
            <w:r>
              <w:rPr>
                <w:rFonts w:ascii="Wingdings" w:hAnsi="Wingdings" w:eastAsia="Wingdings" w:cs="Wingdings"/>
              </w:rPr>
              <w:t></w:t>
            </w:r>
            <w:r>
              <w:rPr>
                <w:rFonts w:ascii="Wingdings" w:hAnsi="Wingdings" w:eastAsia="Wingdings" w:cs="Wingdings"/>
              </w:rPr>
              <w:t></w:t>
            </w:r>
          </w:p>
        </w:tc>
      </w:tr>
      <w:tr w:rsidR="00047749">
        <w:trPr>
          <w:trHeight w:val="562"/>
        </w:trPr>
        <w:tc>
          <w:tcPr>
            <w:tcW w:w="4519"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firstLine="0"/>
            </w:pPr>
            <w:r>
              <w:t xml:space="preserve">Adherence to Antipsychotic Medications for Individuals with Schizophrenia </w:t>
            </w:r>
          </w:p>
        </w:tc>
        <w:tc>
          <w:tcPr>
            <w:tcW w:w="4050"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right="33" w:firstLine="0"/>
              <w:jc w:val="center"/>
            </w:pPr>
            <w:r>
              <w:rPr>
                <w:rFonts w:ascii="Wingdings" w:hAnsi="Wingdings" w:eastAsia="Wingdings" w:cs="Wingdings"/>
              </w:rPr>
              <w:t></w:t>
            </w:r>
            <w:r>
              <w:rPr>
                <w:rFonts w:ascii="Wingdings" w:hAnsi="Wingdings" w:eastAsia="Wingdings" w:cs="Wingdings"/>
              </w:rPr>
              <w:t></w:t>
            </w:r>
          </w:p>
        </w:tc>
      </w:tr>
      <w:tr w:rsidR="00047749">
        <w:trPr>
          <w:trHeight w:val="286"/>
        </w:trPr>
        <w:tc>
          <w:tcPr>
            <w:tcW w:w="4519"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firstLine="0"/>
            </w:pPr>
            <w:r>
              <w:t>Medication Reconciliation Post-Discharge</w:t>
            </w:r>
            <w:r>
              <w:rPr>
                <w:vertAlign w:val="superscript"/>
              </w:rPr>
              <w:t>1</w:t>
            </w:r>
            <w:r>
              <w:rPr>
                <w:vertAlign w:val="subscript"/>
              </w:rPr>
              <w:t xml:space="preserve"> </w:t>
            </w:r>
          </w:p>
        </w:tc>
        <w:tc>
          <w:tcPr>
            <w:tcW w:w="4050"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right="33" w:firstLine="0"/>
              <w:jc w:val="center"/>
            </w:pPr>
            <w:r>
              <w:rPr>
                <w:rFonts w:ascii="Wingdings" w:hAnsi="Wingdings" w:eastAsia="Wingdings" w:cs="Wingdings"/>
              </w:rPr>
              <w:t></w:t>
            </w:r>
            <w:r>
              <w:rPr>
                <w:rFonts w:ascii="Wingdings" w:hAnsi="Wingdings" w:eastAsia="Wingdings" w:cs="Wingdings"/>
              </w:rPr>
              <w:t></w:t>
            </w:r>
          </w:p>
        </w:tc>
      </w:tr>
      <w:tr w:rsidR="00047749">
        <w:trPr>
          <w:trHeight w:val="286"/>
        </w:trPr>
        <w:tc>
          <w:tcPr>
            <w:tcW w:w="4519"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firstLine="0"/>
            </w:pPr>
            <w:r>
              <w:t>Transitions of Care</w:t>
            </w:r>
            <w:r>
              <w:rPr>
                <w:vertAlign w:val="superscript"/>
              </w:rPr>
              <w:t>1</w:t>
            </w:r>
            <w:r>
              <w:rPr>
                <w:vertAlign w:val="subscript"/>
              </w:rPr>
              <w:t xml:space="preserve"> </w:t>
            </w:r>
          </w:p>
        </w:tc>
        <w:tc>
          <w:tcPr>
            <w:tcW w:w="4050"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right="33" w:firstLine="0"/>
              <w:jc w:val="center"/>
            </w:pPr>
            <w:r>
              <w:rPr>
                <w:rFonts w:ascii="Wingdings" w:hAnsi="Wingdings" w:eastAsia="Wingdings" w:cs="Wingdings"/>
              </w:rPr>
              <w:t></w:t>
            </w:r>
            <w:r>
              <w:rPr>
                <w:rFonts w:ascii="Wingdings" w:hAnsi="Wingdings" w:eastAsia="Wingdings" w:cs="Wingdings"/>
              </w:rPr>
              <w:t></w:t>
            </w:r>
          </w:p>
        </w:tc>
      </w:tr>
      <w:tr w:rsidR="00047749">
        <w:trPr>
          <w:trHeight w:val="836"/>
        </w:trPr>
        <w:tc>
          <w:tcPr>
            <w:tcW w:w="4519"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firstLine="0"/>
            </w:pPr>
            <w:r>
              <w:t xml:space="preserve">Follow-up After Emergency Department </w:t>
            </w:r>
          </w:p>
          <w:p w:rsidR="00047749" w:rsidRDefault="00C805F4">
            <w:pPr>
              <w:spacing w:after="0" w:line="259" w:lineRule="auto"/>
              <w:ind w:left="0" w:firstLine="0"/>
            </w:pPr>
            <w:r>
              <w:t xml:space="preserve">Visit for People with Multiple High Risk </w:t>
            </w:r>
          </w:p>
          <w:p w:rsidR="00047749" w:rsidRDefault="00C805F4">
            <w:pPr>
              <w:spacing w:after="0" w:line="259" w:lineRule="auto"/>
              <w:ind w:left="0" w:firstLine="0"/>
            </w:pPr>
            <w:r>
              <w:t xml:space="preserve">Chronic Conditions </w:t>
            </w:r>
          </w:p>
        </w:tc>
        <w:tc>
          <w:tcPr>
            <w:tcW w:w="4050"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right="33" w:firstLine="0"/>
              <w:jc w:val="center"/>
            </w:pPr>
            <w:r>
              <w:rPr>
                <w:rFonts w:ascii="Wingdings" w:hAnsi="Wingdings" w:eastAsia="Wingdings" w:cs="Wingdings"/>
              </w:rPr>
              <w:t></w:t>
            </w:r>
            <w:r>
              <w:rPr>
                <w:rFonts w:ascii="Wingdings" w:hAnsi="Wingdings" w:eastAsia="Wingdings" w:cs="Wingdings"/>
              </w:rPr>
              <w:t></w:t>
            </w:r>
          </w:p>
        </w:tc>
      </w:tr>
      <w:tr w:rsidR="00047749">
        <w:trPr>
          <w:trHeight w:val="562"/>
        </w:trPr>
        <w:tc>
          <w:tcPr>
            <w:tcW w:w="4519"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firstLine="0"/>
            </w:pPr>
            <w:r>
              <w:t xml:space="preserve">Non-Recommended PSA-Based Screening in Older Men </w:t>
            </w:r>
          </w:p>
        </w:tc>
        <w:tc>
          <w:tcPr>
            <w:tcW w:w="4050"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right="33" w:firstLine="0"/>
              <w:jc w:val="center"/>
            </w:pPr>
            <w:r>
              <w:rPr>
                <w:rFonts w:ascii="Wingdings" w:hAnsi="Wingdings" w:eastAsia="Wingdings" w:cs="Wingdings"/>
              </w:rPr>
              <w:t></w:t>
            </w:r>
            <w:r>
              <w:rPr>
                <w:rFonts w:ascii="Wingdings" w:hAnsi="Wingdings" w:eastAsia="Wingdings" w:cs="Wingdings"/>
              </w:rPr>
              <w:t></w:t>
            </w:r>
          </w:p>
        </w:tc>
      </w:tr>
      <w:tr w:rsidR="00047749">
        <w:trPr>
          <w:trHeight w:val="563"/>
        </w:trPr>
        <w:tc>
          <w:tcPr>
            <w:tcW w:w="4519"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firstLine="0"/>
            </w:pPr>
            <w:r>
              <w:t xml:space="preserve">Potentially Harmful Drug-Disease Interactions in the Elderly </w:t>
            </w:r>
          </w:p>
        </w:tc>
        <w:tc>
          <w:tcPr>
            <w:tcW w:w="4050"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right="33" w:firstLine="0"/>
              <w:jc w:val="center"/>
            </w:pPr>
            <w:r>
              <w:rPr>
                <w:rFonts w:ascii="Wingdings" w:hAnsi="Wingdings" w:eastAsia="Wingdings" w:cs="Wingdings"/>
              </w:rPr>
              <w:t></w:t>
            </w:r>
            <w:r>
              <w:rPr>
                <w:rFonts w:ascii="Wingdings" w:hAnsi="Wingdings" w:eastAsia="Wingdings" w:cs="Wingdings"/>
              </w:rPr>
              <w:t></w:t>
            </w:r>
          </w:p>
        </w:tc>
      </w:tr>
      <w:tr w:rsidR="00047749">
        <w:trPr>
          <w:trHeight w:val="560"/>
        </w:trPr>
        <w:tc>
          <w:tcPr>
            <w:tcW w:w="4519"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right="31" w:firstLine="0"/>
            </w:pPr>
            <w:r>
              <w:t xml:space="preserve">Use of High-Risk Medications in the Elderly </w:t>
            </w:r>
          </w:p>
        </w:tc>
        <w:tc>
          <w:tcPr>
            <w:tcW w:w="4050"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right="33" w:firstLine="0"/>
              <w:jc w:val="center"/>
            </w:pPr>
            <w:r>
              <w:rPr>
                <w:rFonts w:ascii="Wingdings" w:hAnsi="Wingdings" w:eastAsia="Wingdings" w:cs="Wingdings"/>
              </w:rPr>
              <w:t></w:t>
            </w:r>
            <w:r>
              <w:rPr>
                <w:rFonts w:ascii="Wingdings" w:hAnsi="Wingdings" w:eastAsia="Wingdings" w:cs="Wingdings"/>
              </w:rPr>
              <w:t></w:t>
            </w:r>
          </w:p>
        </w:tc>
      </w:tr>
      <w:tr w:rsidR="00047749">
        <w:trPr>
          <w:trHeight w:val="286"/>
        </w:trPr>
        <w:tc>
          <w:tcPr>
            <w:tcW w:w="4519"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firstLine="0"/>
            </w:pPr>
            <w:r>
              <w:t xml:space="preserve">Use of Opioids at High Dosage </w:t>
            </w:r>
          </w:p>
        </w:tc>
        <w:tc>
          <w:tcPr>
            <w:tcW w:w="4050"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right="38" w:firstLine="0"/>
              <w:jc w:val="center"/>
            </w:pPr>
            <w:r>
              <w:t xml:space="preserve">New </w:t>
            </w:r>
          </w:p>
        </w:tc>
      </w:tr>
      <w:tr w:rsidR="00047749">
        <w:trPr>
          <w:trHeight w:val="284"/>
        </w:trPr>
        <w:tc>
          <w:tcPr>
            <w:tcW w:w="4519"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firstLine="0"/>
            </w:pPr>
            <w:r>
              <w:t xml:space="preserve">Use of Opioids from Multiple Providers </w:t>
            </w:r>
          </w:p>
        </w:tc>
        <w:tc>
          <w:tcPr>
            <w:tcW w:w="4050"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right="38" w:firstLine="0"/>
              <w:jc w:val="center"/>
            </w:pPr>
            <w:r>
              <w:t xml:space="preserve">New </w:t>
            </w:r>
          </w:p>
        </w:tc>
      </w:tr>
      <w:tr w:rsidR="00047749">
        <w:trPr>
          <w:trHeight w:val="286"/>
        </w:trPr>
        <w:tc>
          <w:tcPr>
            <w:tcW w:w="4519"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firstLine="0"/>
            </w:pPr>
            <w:r>
              <w:t xml:space="preserve">Medicare HOS (Health Outcomes Survey) </w:t>
            </w:r>
          </w:p>
        </w:tc>
        <w:tc>
          <w:tcPr>
            <w:tcW w:w="4050"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25" w:firstLine="0"/>
              <w:jc w:val="center"/>
            </w:pPr>
            <w:r>
              <w:t xml:space="preserve">Approved through OMB 0938-0701 </w:t>
            </w:r>
          </w:p>
        </w:tc>
      </w:tr>
      <w:tr w:rsidR="00047749">
        <w:trPr>
          <w:trHeight w:val="560"/>
        </w:trPr>
        <w:tc>
          <w:tcPr>
            <w:tcW w:w="4519"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firstLine="0"/>
            </w:pPr>
            <w:r>
              <w:t xml:space="preserve">Falls Risk Management (collected in HOS Survey) </w:t>
            </w:r>
          </w:p>
        </w:tc>
        <w:tc>
          <w:tcPr>
            <w:tcW w:w="4050"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25" w:firstLine="0"/>
              <w:jc w:val="center"/>
            </w:pPr>
            <w:r>
              <w:t xml:space="preserve">Approved through OMB 0938-0701 </w:t>
            </w:r>
          </w:p>
        </w:tc>
      </w:tr>
      <w:tr w:rsidR="00047749">
        <w:trPr>
          <w:trHeight w:val="564"/>
        </w:trPr>
        <w:tc>
          <w:tcPr>
            <w:tcW w:w="4519"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firstLine="0"/>
            </w:pPr>
            <w:r>
              <w:t xml:space="preserve">Management of Urinary Incontinence in Older Adults (collected in HOS Survey) </w:t>
            </w:r>
          </w:p>
        </w:tc>
        <w:tc>
          <w:tcPr>
            <w:tcW w:w="4050"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25" w:firstLine="0"/>
              <w:jc w:val="center"/>
            </w:pPr>
            <w:r>
              <w:t xml:space="preserve">Approved through OMB 0938-0701 </w:t>
            </w:r>
          </w:p>
        </w:tc>
      </w:tr>
      <w:tr w:rsidR="00047749">
        <w:trPr>
          <w:trHeight w:val="560"/>
        </w:trPr>
        <w:tc>
          <w:tcPr>
            <w:tcW w:w="4519"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firstLine="0"/>
            </w:pPr>
            <w:r>
              <w:t xml:space="preserve">Osteoporosis Testing in Older Women (collected in HOS Survey) </w:t>
            </w:r>
          </w:p>
        </w:tc>
        <w:tc>
          <w:tcPr>
            <w:tcW w:w="4050"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25" w:firstLine="0"/>
              <w:jc w:val="center"/>
            </w:pPr>
            <w:r>
              <w:t xml:space="preserve">Approved through OMB 0938-0701 </w:t>
            </w:r>
          </w:p>
        </w:tc>
      </w:tr>
      <w:tr w:rsidR="00047749">
        <w:trPr>
          <w:trHeight w:val="562"/>
        </w:trPr>
        <w:tc>
          <w:tcPr>
            <w:tcW w:w="4519"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firstLine="0"/>
            </w:pPr>
            <w:r>
              <w:t xml:space="preserve">Physical Activity in Older Adults (collected in HOS Survey) </w:t>
            </w:r>
          </w:p>
        </w:tc>
        <w:tc>
          <w:tcPr>
            <w:tcW w:w="4050"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right="35" w:firstLine="0"/>
              <w:jc w:val="center"/>
            </w:pPr>
            <w:r>
              <w:t xml:space="preserve">Approved through OMB 0938-0701 </w:t>
            </w:r>
          </w:p>
        </w:tc>
      </w:tr>
      <w:tr w:rsidR="00047749">
        <w:trPr>
          <w:trHeight w:val="1114"/>
        </w:trPr>
        <w:tc>
          <w:tcPr>
            <w:tcW w:w="4519"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firstLine="0"/>
            </w:pPr>
            <w:r>
              <w:t xml:space="preserve">Flu Vaccinations for Adults Ages 65 and </w:t>
            </w:r>
          </w:p>
          <w:p w:rsidR="00047749" w:rsidRDefault="00C805F4">
            <w:pPr>
              <w:spacing w:after="0" w:line="259" w:lineRule="auto"/>
              <w:ind w:left="0" w:firstLine="0"/>
            </w:pPr>
            <w:r>
              <w:t xml:space="preserve">Older collected in CAHPS Survey </w:t>
            </w:r>
          </w:p>
          <w:p w:rsidR="00047749" w:rsidRDefault="00C805F4">
            <w:pPr>
              <w:spacing w:after="0" w:line="259" w:lineRule="auto"/>
              <w:ind w:left="0" w:firstLine="0"/>
            </w:pPr>
            <w:r>
              <w:t xml:space="preserve">(Consumer Assessment of Healthcare </w:t>
            </w:r>
          </w:p>
          <w:p w:rsidR="00047749" w:rsidRDefault="00C805F4">
            <w:pPr>
              <w:spacing w:after="0" w:line="259" w:lineRule="auto"/>
              <w:ind w:left="0" w:firstLine="0"/>
            </w:pPr>
            <w:r>
              <w:t xml:space="preserve">Providers System Survey) </w:t>
            </w:r>
          </w:p>
        </w:tc>
        <w:tc>
          <w:tcPr>
            <w:tcW w:w="4050"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right="35" w:firstLine="0"/>
              <w:jc w:val="center"/>
            </w:pPr>
            <w:r>
              <w:t xml:space="preserve">Approved through OMB 0938-0732 </w:t>
            </w:r>
          </w:p>
        </w:tc>
      </w:tr>
    </w:tbl>
    <w:p w:rsidR="00047749" w:rsidRDefault="00C805F4">
      <w:pPr>
        <w:spacing w:after="0" w:line="259" w:lineRule="auto"/>
        <w:ind w:left="3136" w:firstLine="0"/>
      </w:pPr>
      <w:r>
        <w:rPr>
          <w:sz w:val="16"/>
        </w:rPr>
        <w:t>2</w:t>
      </w:r>
    </w:p>
    <w:tbl>
      <w:tblPr>
        <w:tblStyle w:val="TableGrid"/>
        <w:tblW w:w="8569" w:type="dxa"/>
        <w:tblInd w:w="106" w:type="dxa"/>
        <w:tblCellMar>
          <w:left w:w="110" w:type="dxa"/>
          <w:right w:w="70" w:type="dxa"/>
        </w:tblCellMar>
        <w:tblLook w:val="04A0" w:firstRow="1" w:lastRow="0" w:firstColumn="1" w:lastColumn="0" w:noHBand="0" w:noVBand="1"/>
      </w:tblPr>
      <w:tblGrid>
        <w:gridCol w:w="4519"/>
        <w:gridCol w:w="4050"/>
      </w:tblGrid>
      <w:tr w:rsidR="00047749">
        <w:trPr>
          <w:trHeight w:val="838"/>
        </w:trPr>
        <w:tc>
          <w:tcPr>
            <w:tcW w:w="4519"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firstLine="0"/>
            </w:pPr>
            <w:r>
              <w:t xml:space="preserve">Medical Assistance with Smoking and </w:t>
            </w:r>
          </w:p>
          <w:p w:rsidR="00047749" w:rsidRDefault="00C805F4">
            <w:pPr>
              <w:spacing w:after="0" w:line="259" w:lineRule="auto"/>
              <w:ind w:left="0" w:firstLine="0"/>
            </w:pPr>
            <w:r>
              <w:t xml:space="preserve">Tobacco Cessation (collected in CAHPS </w:t>
            </w:r>
          </w:p>
          <w:p w:rsidR="00047749" w:rsidRDefault="00C805F4">
            <w:pPr>
              <w:spacing w:after="0" w:line="259" w:lineRule="auto"/>
              <w:ind w:left="0" w:firstLine="0"/>
            </w:pPr>
            <w:r>
              <w:t xml:space="preserve">Survey) </w:t>
            </w:r>
          </w:p>
        </w:tc>
        <w:tc>
          <w:tcPr>
            <w:tcW w:w="4050"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right="33" w:firstLine="0"/>
              <w:jc w:val="center"/>
            </w:pPr>
            <w:r>
              <w:rPr>
                <w:rFonts w:ascii="Wingdings" w:hAnsi="Wingdings" w:eastAsia="Wingdings" w:cs="Wingdings"/>
              </w:rPr>
              <w:t></w:t>
            </w:r>
            <w:r>
              <w:rPr>
                <w:rFonts w:ascii="Wingdings" w:hAnsi="Wingdings" w:eastAsia="Wingdings" w:cs="Wingdings"/>
              </w:rPr>
              <w:t></w:t>
            </w:r>
          </w:p>
        </w:tc>
      </w:tr>
      <w:tr w:rsidR="00047749">
        <w:trPr>
          <w:trHeight w:val="560"/>
        </w:trPr>
        <w:tc>
          <w:tcPr>
            <w:tcW w:w="4519"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firstLine="0"/>
            </w:pPr>
            <w:r>
              <w:t xml:space="preserve">Pneumococcal Vaccination Status for Older Adults (collected in CAHPS Survey) </w:t>
            </w:r>
          </w:p>
        </w:tc>
        <w:tc>
          <w:tcPr>
            <w:tcW w:w="4050"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right="33" w:firstLine="0"/>
              <w:jc w:val="center"/>
            </w:pPr>
            <w:r>
              <w:rPr>
                <w:rFonts w:ascii="Wingdings" w:hAnsi="Wingdings" w:eastAsia="Wingdings" w:cs="Wingdings"/>
              </w:rPr>
              <w:t></w:t>
            </w:r>
            <w:r>
              <w:rPr>
                <w:rFonts w:ascii="Wingdings" w:hAnsi="Wingdings" w:eastAsia="Wingdings" w:cs="Wingdings"/>
              </w:rPr>
              <w:t></w:t>
            </w:r>
          </w:p>
        </w:tc>
      </w:tr>
      <w:tr w:rsidR="00047749">
        <w:trPr>
          <w:trHeight w:val="564"/>
        </w:trPr>
        <w:tc>
          <w:tcPr>
            <w:tcW w:w="4519"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firstLine="0"/>
            </w:pPr>
            <w:r>
              <w:t xml:space="preserve">Adults’ Access to Preventive/Ambulatory Health Services </w:t>
            </w:r>
          </w:p>
        </w:tc>
        <w:tc>
          <w:tcPr>
            <w:tcW w:w="4050"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right="33" w:firstLine="0"/>
              <w:jc w:val="center"/>
            </w:pPr>
            <w:r>
              <w:rPr>
                <w:rFonts w:ascii="Wingdings" w:hAnsi="Wingdings" w:eastAsia="Wingdings" w:cs="Wingdings"/>
              </w:rPr>
              <w:t></w:t>
            </w:r>
            <w:r>
              <w:rPr>
                <w:rFonts w:ascii="Wingdings" w:hAnsi="Wingdings" w:eastAsia="Wingdings" w:cs="Wingdings"/>
              </w:rPr>
              <w:t></w:t>
            </w:r>
          </w:p>
        </w:tc>
      </w:tr>
      <w:tr w:rsidR="00047749">
        <w:trPr>
          <w:trHeight w:val="851"/>
        </w:trPr>
        <w:tc>
          <w:tcPr>
            <w:tcW w:w="4519"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right="36" w:firstLine="0"/>
              <w:jc w:val="center"/>
            </w:pPr>
            <w:r>
              <w:t xml:space="preserve">HEDIS Measures </w:t>
            </w:r>
          </w:p>
        </w:tc>
        <w:tc>
          <w:tcPr>
            <w:tcW w:w="4050"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39" w:lineRule="auto"/>
              <w:ind w:left="0" w:firstLine="0"/>
              <w:jc w:val="center"/>
            </w:pPr>
            <w:r>
              <w:t>Changes from HEDIS 2017* (</w:t>
            </w:r>
            <w:r>
              <w:rPr>
                <w:rFonts w:ascii="Wingdings" w:hAnsi="Wingdings" w:eastAsia="Wingdings" w:cs="Wingdings"/>
              </w:rPr>
              <w:t></w:t>
            </w:r>
            <w:r>
              <w:t xml:space="preserve"> means that it is still required for HEDIS </w:t>
            </w:r>
          </w:p>
          <w:p w:rsidR="00047749" w:rsidRDefault="00C805F4">
            <w:pPr>
              <w:spacing w:after="0" w:line="259" w:lineRule="auto"/>
              <w:ind w:left="0" w:right="32" w:firstLine="0"/>
              <w:jc w:val="center"/>
            </w:pPr>
            <w:r>
              <w:t xml:space="preserve">reporting) </w:t>
            </w:r>
          </w:p>
        </w:tc>
      </w:tr>
      <w:tr w:rsidR="00047749">
        <w:trPr>
          <w:trHeight w:val="838"/>
        </w:trPr>
        <w:tc>
          <w:tcPr>
            <w:tcW w:w="4519"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firstLine="0"/>
            </w:pPr>
            <w:r>
              <w:t xml:space="preserve">Initiation and Engagement of Alcohol and </w:t>
            </w:r>
          </w:p>
          <w:p w:rsidR="00047749" w:rsidRDefault="00C805F4">
            <w:pPr>
              <w:spacing w:after="0" w:line="259" w:lineRule="auto"/>
              <w:ind w:left="0" w:firstLine="0"/>
            </w:pPr>
            <w:r>
              <w:t xml:space="preserve">Other Drug Abuse or Dependence </w:t>
            </w:r>
          </w:p>
          <w:p w:rsidR="00047749" w:rsidRDefault="00C805F4">
            <w:pPr>
              <w:spacing w:after="0" w:line="259" w:lineRule="auto"/>
              <w:ind w:left="0" w:firstLine="0"/>
            </w:pPr>
            <w:r>
              <w:t xml:space="preserve">Treatment </w:t>
            </w:r>
          </w:p>
        </w:tc>
        <w:tc>
          <w:tcPr>
            <w:tcW w:w="4050"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right="33" w:firstLine="0"/>
              <w:jc w:val="center"/>
            </w:pPr>
            <w:r>
              <w:rPr>
                <w:rFonts w:ascii="Wingdings" w:hAnsi="Wingdings" w:eastAsia="Wingdings" w:cs="Wingdings"/>
              </w:rPr>
              <w:t></w:t>
            </w:r>
            <w:r>
              <w:rPr>
                <w:rFonts w:ascii="Wingdings" w:hAnsi="Wingdings" w:eastAsia="Wingdings" w:cs="Wingdings"/>
              </w:rPr>
              <w:t></w:t>
            </w:r>
          </w:p>
        </w:tc>
      </w:tr>
      <w:tr w:rsidR="00047749">
        <w:trPr>
          <w:trHeight w:val="272"/>
        </w:trPr>
        <w:tc>
          <w:tcPr>
            <w:tcW w:w="4519"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firstLine="0"/>
            </w:pPr>
            <w:r>
              <w:t>Frequency of Selected Procedures</w:t>
            </w:r>
            <w:r>
              <w:rPr>
                <w:vertAlign w:val="superscript"/>
              </w:rPr>
              <w:t>1</w:t>
            </w:r>
            <w:r>
              <w:rPr>
                <w:vertAlign w:val="subscript"/>
              </w:rPr>
              <w:t xml:space="preserve"> </w:t>
            </w:r>
          </w:p>
        </w:tc>
        <w:tc>
          <w:tcPr>
            <w:tcW w:w="4050"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right="33" w:firstLine="0"/>
              <w:jc w:val="center"/>
            </w:pPr>
            <w:r>
              <w:rPr>
                <w:rFonts w:ascii="Wingdings" w:hAnsi="Wingdings" w:eastAsia="Wingdings" w:cs="Wingdings"/>
              </w:rPr>
              <w:t></w:t>
            </w:r>
            <w:r>
              <w:rPr>
                <w:rFonts w:ascii="Wingdings" w:hAnsi="Wingdings" w:eastAsia="Wingdings" w:cs="Wingdings"/>
              </w:rPr>
              <w:t></w:t>
            </w:r>
          </w:p>
        </w:tc>
      </w:tr>
      <w:tr w:rsidR="00047749">
        <w:trPr>
          <w:trHeight w:val="577"/>
        </w:trPr>
        <w:tc>
          <w:tcPr>
            <w:tcW w:w="4519"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firstLine="0"/>
            </w:pPr>
            <w:r>
              <w:t xml:space="preserve">Identification of Alcohol and Other Drug </w:t>
            </w:r>
          </w:p>
          <w:p w:rsidR="00047749" w:rsidRDefault="00C805F4">
            <w:pPr>
              <w:spacing w:after="0" w:line="259" w:lineRule="auto"/>
              <w:ind w:left="0" w:firstLine="0"/>
            </w:pPr>
            <w:r>
              <w:t>Services</w:t>
            </w:r>
            <w:r>
              <w:rPr>
                <w:vertAlign w:val="superscript"/>
              </w:rPr>
              <w:t>1</w:t>
            </w:r>
            <w:r>
              <w:rPr>
                <w:vertAlign w:val="subscript"/>
              </w:rPr>
              <w:t xml:space="preserve"> </w:t>
            </w:r>
          </w:p>
        </w:tc>
        <w:tc>
          <w:tcPr>
            <w:tcW w:w="4050"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right="33" w:firstLine="0"/>
              <w:jc w:val="center"/>
            </w:pPr>
            <w:r>
              <w:rPr>
                <w:rFonts w:ascii="Wingdings" w:hAnsi="Wingdings" w:eastAsia="Wingdings" w:cs="Wingdings"/>
              </w:rPr>
              <w:t></w:t>
            </w:r>
            <w:r>
              <w:rPr>
                <w:rFonts w:ascii="Wingdings" w:hAnsi="Wingdings" w:eastAsia="Wingdings" w:cs="Wingdings"/>
              </w:rPr>
              <w:t></w:t>
            </w:r>
          </w:p>
        </w:tc>
      </w:tr>
      <w:tr w:rsidR="00047749">
        <w:trPr>
          <w:trHeight w:val="271"/>
        </w:trPr>
        <w:tc>
          <w:tcPr>
            <w:tcW w:w="4519"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firstLine="0"/>
            </w:pPr>
            <w:r>
              <w:t>Mental Health Utilization</w:t>
            </w:r>
            <w:r>
              <w:rPr>
                <w:vertAlign w:val="superscript"/>
              </w:rPr>
              <w:t>1</w:t>
            </w:r>
            <w:r>
              <w:rPr>
                <w:vertAlign w:val="subscript"/>
              </w:rPr>
              <w:t xml:space="preserve"> </w:t>
            </w:r>
          </w:p>
        </w:tc>
        <w:tc>
          <w:tcPr>
            <w:tcW w:w="4050"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right="33" w:firstLine="0"/>
              <w:jc w:val="center"/>
            </w:pPr>
            <w:r>
              <w:rPr>
                <w:rFonts w:ascii="Wingdings" w:hAnsi="Wingdings" w:eastAsia="Wingdings" w:cs="Wingdings"/>
              </w:rPr>
              <w:t></w:t>
            </w:r>
            <w:r>
              <w:rPr>
                <w:rFonts w:ascii="Wingdings" w:hAnsi="Wingdings" w:eastAsia="Wingdings" w:cs="Wingdings"/>
              </w:rPr>
              <w:t></w:t>
            </w:r>
          </w:p>
        </w:tc>
      </w:tr>
      <w:tr w:rsidR="00047749">
        <w:trPr>
          <w:trHeight w:val="286"/>
        </w:trPr>
        <w:tc>
          <w:tcPr>
            <w:tcW w:w="4519"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firstLine="0"/>
            </w:pPr>
            <w:r>
              <w:t xml:space="preserve">Antibiotic Utilization </w:t>
            </w:r>
          </w:p>
        </w:tc>
        <w:tc>
          <w:tcPr>
            <w:tcW w:w="4050"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right="33" w:firstLine="0"/>
              <w:jc w:val="center"/>
            </w:pPr>
            <w:r>
              <w:rPr>
                <w:rFonts w:ascii="Wingdings" w:hAnsi="Wingdings" w:eastAsia="Wingdings" w:cs="Wingdings"/>
              </w:rPr>
              <w:t></w:t>
            </w:r>
            <w:r>
              <w:rPr>
                <w:rFonts w:ascii="Wingdings" w:hAnsi="Wingdings" w:eastAsia="Wingdings" w:cs="Wingdings"/>
              </w:rPr>
              <w:t></w:t>
            </w:r>
          </w:p>
        </w:tc>
      </w:tr>
      <w:tr w:rsidR="00047749">
        <w:trPr>
          <w:trHeight w:val="284"/>
        </w:trPr>
        <w:tc>
          <w:tcPr>
            <w:tcW w:w="4519"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firstLine="0"/>
            </w:pPr>
            <w:r>
              <w:t>Plan All-Cause Readmissions</w:t>
            </w:r>
            <w:r>
              <w:rPr>
                <w:vertAlign w:val="superscript"/>
              </w:rPr>
              <w:t>1</w:t>
            </w:r>
            <w:r>
              <w:rPr>
                <w:vertAlign w:val="subscript"/>
              </w:rPr>
              <w:t xml:space="preserve"> </w:t>
            </w:r>
          </w:p>
        </w:tc>
        <w:tc>
          <w:tcPr>
            <w:tcW w:w="4050"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right="33" w:firstLine="0"/>
              <w:jc w:val="center"/>
            </w:pPr>
            <w:r>
              <w:rPr>
                <w:rFonts w:ascii="Wingdings" w:hAnsi="Wingdings" w:eastAsia="Wingdings" w:cs="Wingdings"/>
              </w:rPr>
              <w:t></w:t>
            </w:r>
            <w:r>
              <w:rPr>
                <w:rFonts w:ascii="Wingdings" w:hAnsi="Wingdings" w:eastAsia="Wingdings" w:cs="Wingdings"/>
              </w:rPr>
              <w:t></w:t>
            </w:r>
          </w:p>
        </w:tc>
      </w:tr>
      <w:tr w:rsidR="00047749">
        <w:trPr>
          <w:trHeight w:val="575"/>
        </w:trPr>
        <w:tc>
          <w:tcPr>
            <w:tcW w:w="4519"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firstLine="0"/>
            </w:pPr>
            <w:r>
              <w:t xml:space="preserve">Hospitalization Following Discharge from a </w:t>
            </w:r>
          </w:p>
          <w:p w:rsidR="00047749" w:rsidRDefault="00C805F4">
            <w:pPr>
              <w:spacing w:after="0" w:line="259" w:lineRule="auto"/>
              <w:ind w:left="0" w:firstLine="0"/>
            </w:pPr>
            <w:r>
              <w:t>Skilled Nursing Facility</w:t>
            </w:r>
            <w:r>
              <w:rPr>
                <w:vertAlign w:val="superscript"/>
              </w:rPr>
              <w:t>1,3</w:t>
            </w:r>
            <w:r>
              <w:rPr>
                <w:vertAlign w:val="subscript"/>
              </w:rPr>
              <w:t xml:space="preserve"> </w:t>
            </w:r>
          </w:p>
        </w:tc>
        <w:tc>
          <w:tcPr>
            <w:tcW w:w="4050"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right="33" w:firstLine="0"/>
              <w:jc w:val="center"/>
            </w:pPr>
            <w:r>
              <w:rPr>
                <w:rFonts w:ascii="Wingdings" w:hAnsi="Wingdings" w:eastAsia="Wingdings" w:cs="Wingdings"/>
              </w:rPr>
              <w:t></w:t>
            </w:r>
            <w:r>
              <w:rPr>
                <w:rFonts w:ascii="Wingdings" w:hAnsi="Wingdings" w:eastAsia="Wingdings" w:cs="Wingdings"/>
              </w:rPr>
              <w:t></w:t>
            </w:r>
          </w:p>
        </w:tc>
      </w:tr>
      <w:tr w:rsidR="00047749">
        <w:trPr>
          <w:trHeight w:val="272"/>
        </w:trPr>
        <w:tc>
          <w:tcPr>
            <w:tcW w:w="4519"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firstLine="0"/>
            </w:pPr>
            <w:r>
              <w:t>Acute Hospital Utilization</w:t>
            </w:r>
            <w:r>
              <w:rPr>
                <w:vertAlign w:val="superscript"/>
              </w:rPr>
              <w:t>1</w:t>
            </w:r>
            <w:r>
              <w:rPr>
                <w:vertAlign w:val="subscript"/>
              </w:rPr>
              <w:t xml:space="preserve"> </w:t>
            </w:r>
          </w:p>
        </w:tc>
        <w:tc>
          <w:tcPr>
            <w:tcW w:w="4050"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right="33" w:firstLine="0"/>
              <w:jc w:val="center"/>
            </w:pPr>
            <w:r>
              <w:rPr>
                <w:rFonts w:ascii="Wingdings" w:hAnsi="Wingdings" w:eastAsia="Wingdings" w:cs="Wingdings"/>
              </w:rPr>
              <w:t></w:t>
            </w:r>
            <w:r>
              <w:rPr>
                <w:rFonts w:ascii="Wingdings" w:hAnsi="Wingdings" w:eastAsia="Wingdings" w:cs="Wingdings"/>
              </w:rPr>
              <w:t></w:t>
            </w:r>
          </w:p>
        </w:tc>
      </w:tr>
      <w:tr w:rsidR="00047749">
        <w:trPr>
          <w:trHeight w:val="287"/>
        </w:trPr>
        <w:tc>
          <w:tcPr>
            <w:tcW w:w="4519"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firstLine="0"/>
            </w:pPr>
            <w:r>
              <w:t>Emergency Department Utilization</w:t>
            </w:r>
            <w:r>
              <w:rPr>
                <w:vertAlign w:val="superscript"/>
              </w:rPr>
              <w:t>1</w:t>
            </w:r>
            <w:r>
              <w:rPr>
                <w:vertAlign w:val="subscript"/>
              </w:rPr>
              <w:t xml:space="preserve"> </w:t>
            </w:r>
          </w:p>
        </w:tc>
        <w:tc>
          <w:tcPr>
            <w:tcW w:w="4050"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right="33" w:firstLine="0"/>
              <w:jc w:val="center"/>
            </w:pPr>
            <w:r>
              <w:rPr>
                <w:rFonts w:ascii="Wingdings" w:hAnsi="Wingdings" w:eastAsia="Wingdings" w:cs="Wingdings"/>
              </w:rPr>
              <w:t></w:t>
            </w:r>
            <w:r>
              <w:rPr>
                <w:rFonts w:ascii="Wingdings" w:hAnsi="Wingdings" w:eastAsia="Wingdings" w:cs="Wingdings"/>
              </w:rPr>
              <w:t></w:t>
            </w:r>
          </w:p>
        </w:tc>
      </w:tr>
      <w:tr w:rsidR="00047749">
        <w:trPr>
          <w:trHeight w:val="575"/>
        </w:trPr>
        <w:tc>
          <w:tcPr>
            <w:tcW w:w="4519"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firstLine="0"/>
            </w:pPr>
            <w:r>
              <w:t xml:space="preserve">Hospitalization for Potentially Preventable </w:t>
            </w:r>
          </w:p>
          <w:p w:rsidR="00047749" w:rsidRDefault="00C805F4">
            <w:pPr>
              <w:spacing w:after="0" w:line="259" w:lineRule="auto"/>
              <w:ind w:left="0" w:firstLine="0"/>
            </w:pPr>
            <w:r>
              <w:t>Complications</w:t>
            </w:r>
            <w:r>
              <w:rPr>
                <w:vertAlign w:val="superscript"/>
              </w:rPr>
              <w:t>1</w:t>
            </w:r>
            <w:r>
              <w:rPr>
                <w:vertAlign w:val="subscript"/>
              </w:rPr>
              <w:t xml:space="preserve"> </w:t>
            </w:r>
          </w:p>
        </w:tc>
        <w:tc>
          <w:tcPr>
            <w:tcW w:w="4050"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right="33" w:firstLine="0"/>
              <w:jc w:val="center"/>
            </w:pPr>
            <w:r>
              <w:rPr>
                <w:rFonts w:ascii="Wingdings" w:hAnsi="Wingdings" w:eastAsia="Wingdings" w:cs="Wingdings"/>
              </w:rPr>
              <w:t></w:t>
            </w:r>
            <w:r>
              <w:rPr>
                <w:rFonts w:ascii="Wingdings" w:hAnsi="Wingdings" w:eastAsia="Wingdings" w:cs="Wingdings"/>
              </w:rPr>
              <w:t></w:t>
            </w:r>
          </w:p>
        </w:tc>
      </w:tr>
      <w:tr w:rsidR="00047749">
        <w:trPr>
          <w:trHeight w:val="272"/>
        </w:trPr>
        <w:tc>
          <w:tcPr>
            <w:tcW w:w="4519"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firstLine="0"/>
            </w:pPr>
            <w:r>
              <w:t xml:space="preserve">Language Diversity of Membership </w:t>
            </w:r>
          </w:p>
        </w:tc>
        <w:tc>
          <w:tcPr>
            <w:tcW w:w="4050"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right="33" w:firstLine="0"/>
              <w:jc w:val="center"/>
            </w:pPr>
            <w:r>
              <w:rPr>
                <w:rFonts w:ascii="Wingdings" w:hAnsi="Wingdings" w:eastAsia="Wingdings" w:cs="Wingdings"/>
              </w:rPr>
              <w:t></w:t>
            </w:r>
            <w:r>
              <w:rPr>
                <w:rFonts w:ascii="Wingdings" w:hAnsi="Wingdings" w:eastAsia="Wingdings" w:cs="Wingdings"/>
              </w:rPr>
              <w:t></w:t>
            </w:r>
          </w:p>
        </w:tc>
      </w:tr>
      <w:tr w:rsidR="00047749">
        <w:trPr>
          <w:trHeight w:val="286"/>
        </w:trPr>
        <w:tc>
          <w:tcPr>
            <w:tcW w:w="4519"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firstLine="0"/>
            </w:pPr>
            <w:r>
              <w:t xml:space="preserve">Total Membership </w:t>
            </w:r>
          </w:p>
        </w:tc>
        <w:tc>
          <w:tcPr>
            <w:tcW w:w="4050"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right="33" w:firstLine="0"/>
              <w:jc w:val="center"/>
            </w:pPr>
            <w:r>
              <w:rPr>
                <w:rFonts w:ascii="Wingdings" w:hAnsi="Wingdings" w:eastAsia="Wingdings" w:cs="Wingdings"/>
              </w:rPr>
              <w:t></w:t>
            </w:r>
            <w:r>
              <w:rPr>
                <w:rFonts w:ascii="Wingdings" w:hAnsi="Wingdings" w:eastAsia="Wingdings" w:cs="Wingdings"/>
              </w:rPr>
              <w:t></w:t>
            </w:r>
          </w:p>
        </w:tc>
      </w:tr>
      <w:tr w:rsidR="00047749">
        <w:trPr>
          <w:trHeight w:val="284"/>
        </w:trPr>
        <w:tc>
          <w:tcPr>
            <w:tcW w:w="4519"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firstLine="0"/>
            </w:pPr>
            <w:r>
              <w:t xml:space="preserve">Board Certification </w:t>
            </w:r>
          </w:p>
        </w:tc>
        <w:tc>
          <w:tcPr>
            <w:tcW w:w="4050"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right="35" w:firstLine="0"/>
              <w:jc w:val="center"/>
            </w:pPr>
            <w:r>
              <w:t xml:space="preserve">Removed </w:t>
            </w:r>
          </w:p>
        </w:tc>
      </w:tr>
      <w:tr w:rsidR="00047749">
        <w:trPr>
          <w:trHeight w:val="286"/>
        </w:trPr>
        <w:tc>
          <w:tcPr>
            <w:tcW w:w="4519"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firstLine="0"/>
            </w:pPr>
            <w:r>
              <w:t xml:space="preserve">Enrollment by Product Line </w:t>
            </w:r>
          </w:p>
        </w:tc>
        <w:tc>
          <w:tcPr>
            <w:tcW w:w="4050"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right="35" w:firstLine="0"/>
              <w:jc w:val="center"/>
            </w:pPr>
            <w:r>
              <w:t xml:space="preserve">Removed </w:t>
            </w:r>
          </w:p>
        </w:tc>
      </w:tr>
      <w:tr w:rsidR="00047749">
        <w:trPr>
          <w:trHeight w:val="284"/>
        </w:trPr>
        <w:tc>
          <w:tcPr>
            <w:tcW w:w="4519"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firstLine="0"/>
            </w:pPr>
            <w:r>
              <w:t xml:space="preserve">Enrollment by State </w:t>
            </w:r>
          </w:p>
        </w:tc>
        <w:tc>
          <w:tcPr>
            <w:tcW w:w="4050"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right="35" w:firstLine="0"/>
              <w:jc w:val="center"/>
            </w:pPr>
            <w:r>
              <w:t xml:space="preserve">Removed </w:t>
            </w:r>
          </w:p>
        </w:tc>
      </w:tr>
      <w:tr w:rsidR="00047749">
        <w:trPr>
          <w:trHeight w:val="288"/>
        </w:trPr>
        <w:tc>
          <w:tcPr>
            <w:tcW w:w="4519"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firstLine="0"/>
            </w:pPr>
            <w:r>
              <w:t xml:space="preserve">Race/Ethnicity Diversity of Membership </w:t>
            </w:r>
          </w:p>
        </w:tc>
        <w:tc>
          <w:tcPr>
            <w:tcW w:w="4050"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right="35" w:firstLine="0"/>
              <w:jc w:val="center"/>
            </w:pPr>
            <w:r>
              <w:t xml:space="preserve">Removed </w:t>
            </w:r>
          </w:p>
        </w:tc>
      </w:tr>
    </w:tbl>
    <w:p w:rsidR="00047749" w:rsidRDefault="00C805F4">
      <w:pPr>
        <w:numPr>
          <w:ilvl w:val="0"/>
          <w:numId w:val="2"/>
        </w:numPr>
        <w:ind w:right="57" w:hanging="120"/>
      </w:pPr>
      <w:r>
        <w:t xml:space="preserve">Section 1876 Cost Contracts do not report these measures. </w:t>
      </w:r>
    </w:p>
    <w:p w:rsidR="00047749" w:rsidRDefault="00C805F4">
      <w:pPr>
        <w:numPr>
          <w:ilvl w:val="0"/>
          <w:numId w:val="2"/>
        </w:numPr>
        <w:ind w:right="57" w:hanging="120"/>
      </w:pPr>
      <w:r>
        <w:t xml:space="preserve">HbA1c control &lt; 7% for a selected population is not reported for Medicare contracts. </w:t>
      </w:r>
    </w:p>
    <w:p w:rsidR="00047749" w:rsidRDefault="00C805F4">
      <w:pPr>
        <w:numPr>
          <w:ilvl w:val="0"/>
          <w:numId w:val="2"/>
        </w:numPr>
        <w:ind w:right="57" w:hanging="120"/>
      </w:pPr>
      <w:r>
        <w:t xml:space="preserve">he Standardized Healthcare-Associated Infection Ratio measure (HAI) and the Hospitalization Following Discharge from a Skilled Nursing Facility will not be reported in the 2020 HEDIS PLD. </w:t>
      </w:r>
    </w:p>
    <w:p w:rsidR="00047749" w:rsidRDefault="00C805F4">
      <w:pPr>
        <w:spacing w:after="0" w:line="259" w:lineRule="auto"/>
        <w:ind w:left="0" w:firstLine="0"/>
      </w:pPr>
      <w:r>
        <w:rPr>
          <w:sz w:val="23"/>
        </w:rPr>
        <w:t xml:space="preserve"> </w:t>
      </w:r>
    </w:p>
    <w:p w:rsidR="00047749" w:rsidRDefault="00C805F4">
      <w:pPr>
        <w:ind w:left="95" w:right="57"/>
      </w:pPr>
      <w:r>
        <w:t xml:space="preserve">There have been very minor changes in the measurement set for HEDIS. Six measures are removed or retired and two measures are added. The two new measures relate to opioid prescribing, while the Body Mass Index measure and the Rheumatoid Arthritis measure are both removed due to being topped out. Four measures regarding descriptive information about the health plan have been removed since these data can be obtained through other sources. </w:t>
      </w:r>
    </w:p>
    <w:p w:rsidR="00047749" w:rsidRDefault="00C805F4">
      <w:pPr>
        <w:spacing w:after="0" w:line="259" w:lineRule="auto"/>
        <w:ind w:left="0" w:firstLine="0"/>
      </w:pPr>
      <w:r>
        <w:t xml:space="preserve"> </w:t>
      </w:r>
    </w:p>
    <w:p w:rsidR="00047749" w:rsidRDefault="00C805F4">
      <w:pPr>
        <w:spacing w:after="61"/>
        <w:ind w:left="95" w:right="57"/>
      </w:pPr>
      <w:r>
        <w:t>The hours and the costs are greater in this package because in 2017 there were 515 MAOs and in 2020 there are 677 MAOs. There was also an increase in salary of the persons preparing the data collection and data files for the annual submission of HEDIS® data to CMS on or before June 15</w:t>
      </w:r>
      <w:r>
        <w:rPr>
          <w:vertAlign w:val="superscript"/>
        </w:rPr>
        <w:t>th</w:t>
      </w:r>
      <w:r>
        <w:t xml:space="preserve">. In HEDIS® 2017, the total burden was 164,000 hours at $8,354,516 for 515 MAOs. The average burden for each MAO in HEDIS® 2017 was 318 hours at $16,222. </w:t>
      </w:r>
    </w:p>
    <w:p w:rsidR="00047749" w:rsidRDefault="00C805F4">
      <w:pPr>
        <w:ind w:left="95" w:right="57"/>
      </w:pPr>
      <w:r>
        <w:t xml:space="preserve">By comparison, in HEDIS® 2020, there was a total burden of 216,640 hours at $11,669,314 for 677 MAOs. The average burden for each MAO in HEDIS® 2020 is 320 hours at $17,237. </w:t>
      </w:r>
    </w:p>
    <w:p w:rsidR="00CF4B71" w:rsidRDefault="00CF4B71">
      <w:pPr>
        <w:ind w:left="95" w:right="57"/>
      </w:pPr>
    </w:p>
    <w:p w:rsidR="00047749" w:rsidRDefault="00C805F4">
      <w:pPr>
        <w:ind w:left="95" w:right="57"/>
      </w:pPr>
      <w:r>
        <w:t xml:space="preserve">In summary, when one looks at that in HEDIS 2017, the average burden to each MAO is 318 hours at $16,222, compared with the average burden of 320 hours at $17,237 in HEDIS 2020, it does not work out to be a significant increase. </w:t>
      </w:r>
    </w:p>
    <w:p w:rsidR="00047749" w:rsidRDefault="00C805F4">
      <w:pPr>
        <w:spacing w:after="0" w:line="259" w:lineRule="auto"/>
        <w:ind w:left="0" w:firstLine="0"/>
      </w:pPr>
      <w:r>
        <w:rPr>
          <w:sz w:val="23"/>
        </w:rPr>
        <w:t xml:space="preserve"> </w:t>
      </w:r>
      <w:r w:rsidR="00CF4B71">
        <w:rPr>
          <w:sz w:val="23"/>
        </w:rPr>
        <w:t xml:space="preserve"> </w:t>
      </w:r>
    </w:p>
    <w:p w:rsidR="00047749" w:rsidRDefault="00C805F4">
      <w:pPr>
        <w:ind w:left="95" w:right="57"/>
      </w:pPr>
      <w:r>
        <w:t xml:space="preserve">The total annual burden to the 677 contracts is 216,640 hours at a cost of $11,669,314. </w:t>
      </w:r>
    </w:p>
    <w:p w:rsidR="00047749" w:rsidRDefault="00C805F4">
      <w:pPr>
        <w:spacing w:after="0" w:line="259" w:lineRule="auto"/>
        <w:ind w:left="0" w:firstLine="0"/>
      </w:pPr>
      <w:r>
        <w:t xml:space="preserve"> </w:t>
      </w:r>
    </w:p>
    <w:p w:rsidR="00047749" w:rsidRDefault="00C805F4">
      <w:pPr>
        <w:spacing w:after="0" w:line="259" w:lineRule="auto"/>
        <w:ind w:left="95"/>
      </w:pPr>
      <w:r>
        <w:rPr>
          <w:b/>
        </w:rPr>
        <w:t xml:space="preserve">Table 4 Summary of Annual Burden Estimates for HEDIS® 2020 for 677 contracts </w:t>
      </w:r>
    </w:p>
    <w:p w:rsidR="00047749" w:rsidRDefault="00C805F4">
      <w:pPr>
        <w:spacing w:after="0" w:line="259" w:lineRule="auto"/>
        <w:ind w:left="0" w:right="64" w:firstLine="0"/>
      </w:pPr>
      <w:r>
        <w:rPr>
          <w:b/>
        </w:rPr>
        <w:t xml:space="preserve"> </w:t>
      </w:r>
      <w:r w:rsidR="00CF4B71">
        <w:rPr>
          <w:b/>
        </w:rPr>
        <w:t xml:space="preserve"> </w:t>
      </w:r>
    </w:p>
    <w:tbl>
      <w:tblPr>
        <w:tblStyle w:val="TableGrid"/>
        <w:tblW w:w="8632" w:type="dxa"/>
        <w:tblInd w:w="106" w:type="dxa"/>
        <w:tblCellMar>
          <w:left w:w="4" w:type="dxa"/>
          <w:right w:w="115" w:type="dxa"/>
        </w:tblCellMar>
        <w:tblLook w:val="04A0" w:firstRow="1" w:lastRow="0" w:firstColumn="1" w:lastColumn="0" w:noHBand="0" w:noVBand="1"/>
      </w:tblPr>
      <w:tblGrid>
        <w:gridCol w:w="2131"/>
        <w:gridCol w:w="2159"/>
        <w:gridCol w:w="2174"/>
        <w:gridCol w:w="2168"/>
      </w:tblGrid>
      <w:tr w:rsidR="00047749">
        <w:trPr>
          <w:trHeight w:val="286"/>
        </w:trPr>
        <w:tc>
          <w:tcPr>
            <w:tcW w:w="2130"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firstLine="0"/>
            </w:pPr>
            <w:r>
              <w:rPr>
                <w:sz w:val="20"/>
              </w:rPr>
              <w:t xml:space="preserve"> </w:t>
            </w:r>
          </w:p>
        </w:tc>
        <w:tc>
          <w:tcPr>
            <w:tcW w:w="2159"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121" w:firstLine="0"/>
              <w:jc w:val="center"/>
            </w:pPr>
            <w:r>
              <w:t xml:space="preserve">Medical Records </w:t>
            </w:r>
          </w:p>
        </w:tc>
        <w:tc>
          <w:tcPr>
            <w:tcW w:w="2174"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119" w:firstLine="0"/>
              <w:jc w:val="center"/>
            </w:pPr>
            <w:r>
              <w:t xml:space="preserve">Database </w:t>
            </w:r>
          </w:p>
        </w:tc>
        <w:tc>
          <w:tcPr>
            <w:tcW w:w="2168"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118" w:firstLine="0"/>
              <w:jc w:val="center"/>
            </w:pPr>
            <w:r>
              <w:t xml:space="preserve">Total </w:t>
            </w:r>
          </w:p>
        </w:tc>
      </w:tr>
      <w:tr w:rsidR="00047749">
        <w:trPr>
          <w:trHeight w:val="286"/>
        </w:trPr>
        <w:tc>
          <w:tcPr>
            <w:tcW w:w="2130"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firstLine="0"/>
            </w:pPr>
            <w:r>
              <w:rPr>
                <w:sz w:val="20"/>
              </w:rPr>
              <w:t xml:space="preserve"> </w:t>
            </w:r>
          </w:p>
        </w:tc>
        <w:tc>
          <w:tcPr>
            <w:tcW w:w="2159"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121" w:firstLine="0"/>
              <w:jc w:val="center"/>
            </w:pPr>
            <w:r>
              <w:t xml:space="preserve">Technician </w:t>
            </w:r>
          </w:p>
        </w:tc>
        <w:tc>
          <w:tcPr>
            <w:tcW w:w="2174"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116" w:firstLine="0"/>
              <w:jc w:val="center"/>
            </w:pPr>
            <w:r>
              <w:t xml:space="preserve">Administrator </w:t>
            </w:r>
          </w:p>
        </w:tc>
        <w:tc>
          <w:tcPr>
            <w:tcW w:w="2168"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1" w:firstLine="0"/>
            </w:pPr>
            <w:r>
              <w:rPr>
                <w:sz w:val="20"/>
              </w:rPr>
              <w:t xml:space="preserve"> </w:t>
            </w:r>
          </w:p>
        </w:tc>
      </w:tr>
      <w:tr w:rsidR="00047749">
        <w:trPr>
          <w:trHeight w:val="286"/>
        </w:trPr>
        <w:tc>
          <w:tcPr>
            <w:tcW w:w="2130"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116" w:firstLine="0"/>
              <w:jc w:val="center"/>
            </w:pPr>
            <w:r>
              <w:t xml:space="preserve">Hours </w:t>
            </w:r>
          </w:p>
        </w:tc>
        <w:tc>
          <w:tcPr>
            <w:tcW w:w="2159"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120" w:firstLine="0"/>
              <w:jc w:val="center"/>
            </w:pPr>
            <w:r>
              <w:t xml:space="preserve">162,480 </w:t>
            </w:r>
          </w:p>
        </w:tc>
        <w:tc>
          <w:tcPr>
            <w:tcW w:w="2174"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116" w:firstLine="0"/>
              <w:jc w:val="center"/>
            </w:pPr>
            <w:r>
              <w:t xml:space="preserve">54,160 </w:t>
            </w:r>
          </w:p>
        </w:tc>
        <w:tc>
          <w:tcPr>
            <w:tcW w:w="2168"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120" w:firstLine="0"/>
              <w:jc w:val="center"/>
            </w:pPr>
            <w:r>
              <w:t xml:space="preserve">216,640 </w:t>
            </w:r>
          </w:p>
        </w:tc>
      </w:tr>
      <w:tr w:rsidR="00047749">
        <w:trPr>
          <w:trHeight w:val="287"/>
        </w:trPr>
        <w:tc>
          <w:tcPr>
            <w:tcW w:w="2130"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114" w:firstLine="0"/>
              <w:jc w:val="center"/>
            </w:pPr>
            <w:r>
              <w:t xml:space="preserve">Costs </w:t>
            </w:r>
          </w:p>
        </w:tc>
        <w:tc>
          <w:tcPr>
            <w:tcW w:w="2159"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122" w:firstLine="0"/>
              <w:jc w:val="center"/>
            </w:pPr>
            <w:r>
              <w:t xml:space="preserve">$6,876,154 </w:t>
            </w:r>
          </w:p>
        </w:tc>
        <w:tc>
          <w:tcPr>
            <w:tcW w:w="2174"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119" w:firstLine="0"/>
              <w:jc w:val="center"/>
            </w:pPr>
            <w:r>
              <w:t xml:space="preserve">$4,793,160 </w:t>
            </w:r>
          </w:p>
        </w:tc>
        <w:tc>
          <w:tcPr>
            <w:tcW w:w="2168"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115" w:firstLine="0"/>
              <w:jc w:val="center"/>
            </w:pPr>
            <w:r>
              <w:t xml:space="preserve">$11,669,314 </w:t>
            </w:r>
          </w:p>
        </w:tc>
      </w:tr>
    </w:tbl>
    <w:p w:rsidR="00047749" w:rsidRDefault="00C805F4">
      <w:pPr>
        <w:spacing w:after="0" w:line="259" w:lineRule="auto"/>
        <w:ind w:left="0" w:right="64" w:firstLine="0"/>
        <w:rPr>
          <w:b/>
          <w:sz w:val="23"/>
        </w:rPr>
      </w:pPr>
      <w:r>
        <w:rPr>
          <w:b/>
          <w:sz w:val="23"/>
        </w:rPr>
        <w:t xml:space="preserve"> </w:t>
      </w:r>
    </w:p>
    <w:p w:rsidR="00C805F4" w:rsidRDefault="00C805F4">
      <w:pPr>
        <w:spacing w:after="0" w:line="259" w:lineRule="auto"/>
        <w:ind w:left="0" w:right="64" w:firstLine="0"/>
        <w:rPr>
          <w:b/>
          <w:sz w:val="23"/>
        </w:rPr>
      </w:pPr>
    </w:p>
    <w:p w:rsidR="00C805F4" w:rsidRDefault="00C805F4">
      <w:pPr>
        <w:spacing w:after="0" w:line="259" w:lineRule="auto"/>
        <w:ind w:left="0" w:right="64" w:firstLine="0"/>
        <w:rPr>
          <w:b/>
          <w:sz w:val="23"/>
        </w:rPr>
      </w:pPr>
    </w:p>
    <w:p w:rsidR="00C805F4" w:rsidRDefault="00C805F4">
      <w:pPr>
        <w:spacing w:after="0" w:line="259" w:lineRule="auto"/>
        <w:ind w:left="0" w:right="64" w:firstLine="0"/>
      </w:pPr>
    </w:p>
    <w:p w:rsidR="00047749" w:rsidRDefault="00C805F4">
      <w:pPr>
        <w:spacing w:after="0" w:line="259" w:lineRule="auto"/>
        <w:ind w:left="95"/>
      </w:pPr>
      <w:r>
        <w:rPr>
          <w:b/>
        </w:rPr>
        <w:t xml:space="preserve">Table 4 Summary of Annual Burden Estimates for HEDIS® 2017 for 515 contracts </w:t>
      </w:r>
    </w:p>
    <w:p w:rsidR="00047749" w:rsidRDefault="00C805F4">
      <w:pPr>
        <w:spacing w:after="0" w:line="259" w:lineRule="auto"/>
        <w:ind w:left="0" w:right="65" w:firstLine="0"/>
      </w:pPr>
      <w:r>
        <w:rPr>
          <w:b/>
        </w:rPr>
        <w:t xml:space="preserve"> </w:t>
      </w:r>
    </w:p>
    <w:tbl>
      <w:tblPr>
        <w:tblStyle w:val="TableGrid"/>
        <w:tblW w:w="8630" w:type="dxa"/>
        <w:tblInd w:w="106" w:type="dxa"/>
        <w:tblCellMar>
          <w:left w:w="4" w:type="dxa"/>
          <w:right w:w="115" w:type="dxa"/>
        </w:tblCellMar>
        <w:tblLook w:val="04A0" w:firstRow="1" w:lastRow="0" w:firstColumn="1" w:lastColumn="0" w:noHBand="0" w:noVBand="1"/>
      </w:tblPr>
      <w:tblGrid>
        <w:gridCol w:w="2129"/>
        <w:gridCol w:w="2164"/>
        <w:gridCol w:w="2177"/>
        <w:gridCol w:w="2160"/>
      </w:tblGrid>
      <w:tr w:rsidR="00047749">
        <w:trPr>
          <w:trHeight w:val="284"/>
        </w:trPr>
        <w:tc>
          <w:tcPr>
            <w:tcW w:w="2130"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firstLine="0"/>
            </w:pPr>
            <w:r>
              <w:rPr>
                <w:sz w:val="20"/>
              </w:rPr>
              <w:t xml:space="preserve"> </w:t>
            </w:r>
          </w:p>
        </w:tc>
        <w:tc>
          <w:tcPr>
            <w:tcW w:w="2164"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116" w:firstLine="0"/>
              <w:jc w:val="center"/>
            </w:pPr>
            <w:r>
              <w:t xml:space="preserve">Medical Records </w:t>
            </w:r>
          </w:p>
        </w:tc>
        <w:tc>
          <w:tcPr>
            <w:tcW w:w="2177"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119" w:firstLine="0"/>
              <w:jc w:val="center"/>
            </w:pPr>
            <w:r>
              <w:t xml:space="preserve">Database </w:t>
            </w:r>
          </w:p>
        </w:tc>
        <w:tc>
          <w:tcPr>
            <w:tcW w:w="2160"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112" w:firstLine="0"/>
              <w:jc w:val="center"/>
            </w:pPr>
            <w:r>
              <w:t xml:space="preserve">Total </w:t>
            </w:r>
          </w:p>
        </w:tc>
      </w:tr>
      <w:tr w:rsidR="00047749">
        <w:trPr>
          <w:trHeight w:val="286"/>
        </w:trPr>
        <w:tc>
          <w:tcPr>
            <w:tcW w:w="2130"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0" w:firstLine="0"/>
            </w:pPr>
            <w:r>
              <w:rPr>
                <w:sz w:val="20"/>
              </w:rPr>
              <w:t xml:space="preserve"> </w:t>
            </w:r>
          </w:p>
        </w:tc>
        <w:tc>
          <w:tcPr>
            <w:tcW w:w="2164"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116" w:firstLine="0"/>
              <w:jc w:val="center"/>
            </w:pPr>
            <w:r>
              <w:t xml:space="preserve">Technician </w:t>
            </w:r>
          </w:p>
        </w:tc>
        <w:tc>
          <w:tcPr>
            <w:tcW w:w="2177"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118" w:firstLine="0"/>
              <w:jc w:val="center"/>
            </w:pPr>
            <w:r>
              <w:t xml:space="preserve">Administrator </w:t>
            </w:r>
          </w:p>
        </w:tc>
        <w:tc>
          <w:tcPr>
            <w:tcW w:w="2160"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1" w:firstLine="0"/>
            </w:pPr>
            <w:r>
              <w:rPr>
                <w:sz w:val="20"/>
              </w:rPr>
              <w:t xml:space="preserve"> </w:t>
            </w:r>
          </w:p>
        </w:tc>
      </w:tr>
      <w:tr w:rsidR="00047749">
        <w:trPr>
          <w:trHeight w:val="284"/>
        </w:trPr>
        <w:tc>
          <w:tcPr>
            <w:tcW w:w="2130"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119" w:firstLine="0"/>
              <w:jc w:val="center"/>
            </w:pPr>
            <w:r>
              <w:t xml:space="preserve">Hours </w:t>
            </w:r>
          </w:p>
        </w:tc>
        <w:tc>
          <w:tcPr>
            <w:tcW w:w="2164"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115" w:firstLine="0"/>
              <w:jc w:val="center"/>
            </w:pPr>
            <w:r>
              <w:t xml:space="preserve">123,600 </w:t>
            </w:r>
          </w:p>
        </w:tc>
        <w:tc>
          <w:tcPr>
            <w:tcW w:w="2177"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121" w:firstLine="0"/>
              <w:jc w:val="center"/>
            </w:pPr>
            <w:r>
              <w:t xml:space="preserve">41,200 </w:t>
            </w:r>
          </w:p>
        </w:tc>
        <w:tc>
          <w:tcPr>
            <w:tcW w:w="2160"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114" w:firstLine="0"/>
              <w:jc w:val="center"/>
            </w:pPr>
            <w:r>
              <w:t xml:space="preserve">164,800 </w:t>
            </w:r>
          </w:p>
        </w:tc>
      </w:tr>
      <w:tr w:rsidR="00047749">
        <w:trPr>
          <w:trHeight w:val="286"/>
        </w:trPr>
        <w:tc>
          <w:tcPr>
            <w:tcW w:w="2130"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119" w:firstLine="0"/>
              <w:jc w:val="center"/>
            </w:pPr>
            <w:r>
              <w:t xml:space="preserve">Costs </w:t>
            </w:r>
          </w:p>
        </w:tc>
        <w:tc>
          <w:tcPr>
            <w:tcW w:w="2164"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118" w:firstLine="0"/>
              <w:jc w:val="center"/>
            </w:pPr>
            <w:r>
              <w:t xml:space="preserve">$4,902,780 </w:t>
            </w:r>
          </w:p>
        </w:tc>
        <w:tc>
          <w:tcPr>
            <w:tcW w:w="2177"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119" w:firstLine="0"/>
              <w:jc w:val="center"/>
            </w:pPr>
            <w:r>
              <w:t xml:space="preserve">$3,451,736 </w:t>
            </w:r>
          </w:p>
        </w:tc>
        <w:tc>
          <w:tcPr>
            <w:tcW w:w="2160" w:type="dxa"/>
            <w:tcBorders>
              <w:top w:val="single" w:color="000000" w:sz="4" w:space="0"/>
              <w:left w:val="single" w:color="000000" w:sz="4" w:space="0"/>
              <w:bottom w:val="single" w:color="000000" w:sz="4" w:space="0"/>
              <w:right w:val="single" w:color="000000" w:sz="4" w:space="0"/>
            </w:tcBorders>
          </w:tcPr>
          <w:p w:rsidR="00047749" w:rsidRDefault="00C805F4">
            <w:pPr>
              <w:spacing w:after="0" w:line="259" w:lineRule="auto"/>
              <w:ind w:left="116" w:firstLine="0"/>
              <w:jc w:val="center"/>
            </w:pPr>
            <w:r>
              <w:t xml:space="preserve">$8,354,516 </w:t>
            </w:r>
          </w:p>
        </w:tc>
      </w:tr>
    </w:tbl>
    <w:p w:rsidR="00047749" w:rsidRDefault="00C805F4">
      <w:pPr>
        <w:spacing w:after="0" w:line="259" w:lineRule="auto"/>
        <w:ind w:left="0" w:right="65" w:firstLine="0"/>
      </w:pPr>
      <w:r>
        <w:rPr>
          <w:b/>
          <w:sz w:val="26"/>
        </w:rPr>
        <w:t xml:space="preserve"> </w:t>
      </w:r>
    </w:p>
    <w:p w:rsidRPr="00C805F4" w:rsidR="00047749" w:rsidP="00C805F4" w:rsidRDefault="00C805F4">
      <w:pPr>
        <w:spacing w:after="5" w:line="259" w:lineRule="auto"/>
        <w:ind w:left="0" w:firstLine="0"/>
        <w:rPr>
          <w:u w:val="single"/>
        </w:rPr>
      </w:pPr>
      <w:r w:rsidRPr="00C805F4">
        <w:rPr>
          <w:b/>
          <w:sz w:val="21"/>
          <w:u w:val="single"/>
        </w:rPr>
        <w:t xml:space="preserve"> </w:t>
      </w:r>
      <w:r w:rsidRPr="00C805F4">
        <w:rPr>
          <w:u w:val="single"/>
        </w:rPr>
        <w:t>16.</w:t>
      </w:r>
      <w:r w:rsidRPr="00C805F4">
        <w:rPr>
          <w:rFonts w:ascii="Arial" w:hAnsi="Arial" w:eastAsia="Arial" w:cs="Arial"/>
          <w:u w:val="single"/>
        </w:rPr>
        <w:t xml:space="preserve"> </w:t>
      </w:r>
      <w:r w:rsidRPr="00C805F4">
        <w:rPr>
          <w:u w:val="single"/>
        </w:rPr>
        <w:t xml:space="preserve">Publication /Tabulation Dates </w:t>
      </w:r>
    </w:p>
    <w:p w:rsidR="00047749" w:rsidRDefault="00C805F4">
      <w:pPr>
        <w:spacing w:after="151" w:line="259" w:lineRule="auto"/>
        <w:ind w:left="0" w:firstLine="0"/>
      </w:pPr>
      <w:r>
        <w:rPr>
          <w:sz w:val="16"/>
        </w:rPr>
        <w:t xml:space="preserve"> </w:t>
      </w:r>
    </w:p>
    <w:p w:rsidR="00047749" w:rsidRDefault="00C805F4">
      <w:pPr>
        <w:ind w:left="95" w:right="57"/>
      </w:pPr>
      <w:r>
        <w:t xml:space="preserve">HEDIS® data have been published in beneficiary information products since 1998 and have consistently been contained in more CMS information products about quality assurance over time. CMS makes HEDIS® data available to Medicare beneficiaries on its </w:t>
      </w:r>
      <w:hyperlink r:id="rId20">
        <w:r>
          <w:rPr>
            <w:color w:val="0000FF"/>
            <w:u w:val="single" w:color="0000FF"/>
          </w:rPr>
          <w:t>consumer website</w:t>
        </w:r>
      </w:hyperlink>
      <w:hyperlink r:id="rId21">
        <w:r>
          <w:rPr>
            <w:color w:val="0000FF"/>
          </w:rPr>
          <w:t xml:space="preserve"> </w:t>
        </w:r>
      </w:hyperlink>
      <w:hyperlink r:id="rId22">
        <w:r>
          <w:t>a</w:t>
        </w:r>
      </w:hyperlink>
      <w:r>
        <w:t xml:space="preserve">nd in print materials available through the toll-free consumer phone line, upon request. This information is available through the beneficiary website in an enhanced comparison tool called Medicare Plan Finder. CMS makes health plan-level HEDIS® data freely available to researchers and others in Public Use Files on the </w:t>
      </w:r>
      <w:hyperlink r:id="rId23">
        <w:r>
          <w:rPr>
            <w:color w:val="0000FF"/>
            <w:u w:val="single" w:color="0000FF"/>
          </w:rPr>
          <w:t>CMS</w:t>
        </w:r>
      </w:hyperlink>
      <w:hyperlink r:id="rId24">
        <w:r>
          <w:rPr>
            <w:color w:val="0000FF"/>
          </w:rPr>
          <w:t xml:space="preserve"> </w:t>
        </w:r>
      </w:hyperlink>
      <w:hyperlink r:id="rId25">
        <w:r>
          <w:rPr>
            <w:color w:val="0000FF"/>
            <w:u w:val="single" w:color="0000FF"/>
          </w:rPr>
          <w:t>website</w:t>
        </w:r>
      </w:hyperlink>
      <w:hyperlink r:id="rId26">
        <w:r>
          <w:t>.</w:t>
        </w:r>
      </w:hyperlink>
      <w:hyperlink r:id="rId27">
        <w:r>
          <w:t xml:space="preserve"> </w:t>
        </w:r>
      </w:hyperlink>
    </w:p>
    <w:p w:rsidRPr="00C805F4" w:rsidR="00047749" w:rsidRDefault="00C805F4">
      <w:pPr>
        <w:spacing w:after="0" w:line="259" w:lineRule="auto"/>
        <w:ind w:left="0" w:firstLine="0"/>
        <w:rPr>
          <w:u w:val="single"/>
        </w:rPr>
      </w:pPr>
      <w:r w:rsidRPr="00C805F4">
        <w:rPr>
          <w:sz w:val="16"/>
          <w:u w:val="single"/>
        </w:rPr>
        <w:t xml:space="preserve"> </w:t>
      </w:r>
    </w:p>
    <w:p w:rsidRPr="00C805F4" w:rsidR="00047749" w:rsidP="00C805F4" w:rsidRDefault="00C805F4">
      <w:pPr>
        <w:spacing w:after="151" w:line="259" w:lineRule="auto"/>
        <w:ind w:left="0" w:firstLine="0"/>
        <w:rPr>
          <w:u w:val="single"/>
        </w:rPr>
      </w:pPr>
      <w:r w:rsidRPr="00C805F4">
        <w:rPr>
          <w:sz w:val="16"/>
          <w:u w:val="single"/>
        </w:rPr>
        <w:t xml:space="preserve"> </w:t>
      </w:r>
      <w:r w:rsidRPr="00C805F4">
        <w:rPr>
          <w:u w:val="single"/>
        </w:rPr>
        <w:t>17.</w:t>
      </w:r>
      <w:r w:rsidRPr="00C805F4">
        <w:rPr>
          <w:rFonts w:ascii="Arial" w:hAnsi="Arial" w:eastAsia="Arial" w:cs="Arial"/>
          <w:u w:val="single"/>
        </w:rPr>
        <w:t xml:space="preserve"> </w:t>
      </w:r>
      <w:r w:rsidRPr="00C805F4">
        <w:rPr>
          <w:u w:val="single"/>
        </w:rPr>
        <w:t xml:space="preserve">Expiration Date </w:t>
      </w:r>
    </w:p>
    <w:p w:rsidR="00047749" w:rsidP="00C805F4" w:rsidRDefault="00C805F4">
      <w:pPr>
        <w:spacing w:after="151" w:line="259" w:lineRule="auto"/>
        <w:ind w:left="0" w:firstLine="0"/>
      </w:pPr>
      <w:r>
        <w:rPr>
          <w:sz w:val="16"/>
        </w:rPr>
        <w:t xml:space="preserve"> </w:t>
      </w:r>
      <w:r>
        <w:t xml:space="preserve">The expiration date is displayed in all NCQA’s published documents printed and electronically for the collection of Medicare HEDIS measures. </w:t>
      </w:r>
    </w:p>
    <w:p w:rsidR="00C805F4" w:rsidP="00C805F4" w:rsidRDefault="00C805F4">
      <w:pPr>
        <w:spacing w:after="151" w:line="259" w:lineRule="auto"/>
        <w:ind w:left="0" w:firstLine="0"/>
      </w:pPr>
    </w:p>
    <w:p w:rsidRPr="00C805F4" w:rsidR="00047749" w:rsidP="00C805F4" w:rsidRDefault="00C805F4">
      <w:pPr>
        <w:spacing w:after="135" w:line="259" w:lineRule="auto"/>
        <w:ind w:left="0" w:firstLine="0"/>
        <w:rPr>
          <w:u w:val="single"/>
        </w:rPr>
      </w:pPr>
      <w:r>
        <w:t xml:space="preserve"> </w:t>
      </w:r>
      <w:r w:rsidRPr="00C805F4">
        <w:rPr>
          <w:u w:val="single"/>
        </w:rPr>
        <w:t>18.</w:t>
      </w:r>
      <w:r w:rsidRPr="00C805F4">
        <w:rPr>
          <w:rFonts w:ascii="Arial" w:hAnsi="Arial" w:eastAsia="Arial" w:cs="Arial"/>
          <w:u w:val="single"/>
        </w:rPr>
        <w:t xml:space="preserve"> </w:t>
      </w:r>
      <w:r w:rsidRPr="00C805F4">
        <w:rPr>
          <w:u w:val="single"/>
        </w:rPr>
        <w:t xml:space="preserve">Certification Statement </w:t>
      </w:r>
    </w:p>
    <w:p w:rsidR="00047749" w:rsidRDefault="00C805F4">
      <w:pPr>
        <w:spacing w:after="12842"/>
        <w:ind w:left="95" w:right="57"/>
      </w:pPr>
      <w:r>
        <w:t xml:space="preserve">There are no exceptions to this certification statement. </w:t>
      </w:r>
    </w:p>
    <w:p w:rsidR="00047749" w:rsidRDefault="00C805F4">
      <w:pPr>
        <w:spacing w:after="0" w:line="259" w:lineRule="auto"/>
        <w:ind w:left="0" w:firstLine="0"/>
        <w:jc w:val="right"/>
      </w:pPr>
      <w:r>
        <w:t xml:space="preserve"> </w:t>
      </w:r>
    </w:p>
    <w:sectPr w:rsidR="00047749">
      <w:footerReference w:type="even" r:id="rId28"/>
      <w:footerReference w:type="default" r:id="rId29"/>
      <w:footerReference w:type="first" r:id="rId30"/>
      <w:pgSz w:w="12240" w:h="15840"/>
      <w:pgMar w:top="1320" w:right="1739" w:bottom="703" w:left="1700" w:header="720" w:footer="6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4ACD" w:rsidRDefault="00C805F4">
      <w:pPr>
        <w:spacing w:after="0" w:line="240" w:lineRule="auto"/>
      </w:pPr>
      <w:r>
        <w:separator/>
      </w:r>
    </w:p>
  </w:endnote>
  <w:endnote w:type="continuationSeparator" w:id="0">
    <w:p w:rsidR="009A4ACD" w:rsidRDefault="00C80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749" w:rsidRDefault="00C805F4">
    <w:pPr>
      <w:tabs>
        <w:tab w:val="right" w:pos="8801"/>
      </w:tabs>
      <w:spacing w:after="0" w:line="259" w:lineRule="auto"/>
      <w:ind w:left="0" w:firstLine="0"/>
    </w:pPr>
    <w:r>
      <w:rPr>
        <w:sz w:val="19"/>
      </w:rPr>
      <w:t xml:space="preserve"> </w:t>
    </w:r>
    <w:r>
      <w:rPr>
        <w:sz w:val="19"/>
      </w:rP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749" w:rsidRDefault="00C805F4">
    <w:pPr>
      <w:tabs>
        <w:tab w:val="right" w:pos="8801"/>
      </w:tabs>
      <w:spacing w:after="0" w:line="259" w:lineRule="auto"/>
      <w:ind w:left="0" w:firstLine="0"/>
    </w:pPr>
    <w:r>
      <w:rPr>
        <w:sz w:val="19"/>
      </w:rPr>
      <w:t xml:space="preserve"> </w:t>
    </w:r>
    <w:r>
      <w:rPr>
        <w:sz w:val="19"/>
      </w:rPr>
      <w:tab/>
    </w:r>
    <w:r>
      <w:fldChar w:fldCharType="begin"/>
    </w:r>
    <w:r>
      <w:instrText xml:space="preserve"> PAGE   \* MERGEFORMAT </w:instrText>
    </w:r>
    <w:r>
      <w:fldChar w:fldCharType="separate"/>
    </w:r>
    <w:r w:rsidR="00CF4B71">
      <w:rPr>
        <w:noProof/>
      </w:rPr>
      <w:t>6</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749" w:rsidRDefault="00C805F4">
    <w:pPr>
      <w:tabs>
        <w:tab w:val="right" w:pos="8801"/>
      </w:tabs>
      <w:spacing w:after="0" w:line="259" w:lineRule="auto"/>
      <w:ind w:left="0" w:firstLine="0"/>
    </w:pPr>
    <w:r>
      <w:rPr>
        <w:sz w:val="19"/>
      </w:rPr>
      <w:t xml:space="preserve"> </w:t>
    </w:r>
    <w:r>
      <w:rPr>
        <w:sz w:val="19"/>
      </w:rP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4ACD" w:rsidRDefault="00C805F4">
      <w:pPr>
        <w:spacing w:after="0" w:line="240" w:lineRule="auto"/>
      </w:pPr>
      <w:r>
        <w:separator/>
      </w:r>
    </w:p>
  </w:footnote>
  <w:footnote w:type="continuationSeparator" w:id="0">
    <w:p w:rsidR="009A4ACD" w:rsidRDefault="00C805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9C6232"/>
    <w:multiLevelType w:val="hybridMultilevel"/>
    <w:tmpl w:val="CB8408D4"/>
    <w:lvl w:ilvl="0" w:tplc="FB78D4A4">
      <w:start w:val="1"/>
      <w:numFmt w:val="bullet"/>
      <w:lvlText w:val="•"/>
      <w:lvlJc w:val="left"/>
      <w:pPr>
        <w:ind w:left="1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5016E8">
      <w:start w:val="1"/>
      <w:numFmt w:val="bullet"/>
      <w:lvlText w:val="o"/>
      <w:lvlJc w:val="left"/>
      <w:pPr>
        <w:ind w:left="1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E29FEE">
      <w:start w:val="1"/>
      <w:numFmt w:val="bullet"/>
      <w:lvlText w:val="▪"/>
      <w:lvlJc w:val="left"/>
      <w:pPr>
        <w:ind w:left="2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122E20">
      <w:start w:val="1"/>
      <w:numFmt w:val="bullet"/>
      <w:lvlText w:val="•"/>
      <w:lvlJc w:val="left"/>
      <w:pPr>
        <w:ind w:left="3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5A2BDE">
      <w:start w:val="1"/>
      <w:numFmt w:val="bullet"/>
      <w:lvlText w:val="o"/>
      <w:lvlJc w:val="left"/>
      <w:pPr>
        <w:ind w:left="4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C00068">
      <w:start w:val="1"/>
      <w:numFmt w:val="bullet"/>
      <w:lvlText w:val="▪"/>
      <w:lvlJc w:val="left"/>
      <w:pPr>
        <w:ind w:left="4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D6179E">
      <w:start w:val="1"/>
      <w:numFmt w:val="bullet"/>
      <w:lvlText w:val="•"/>
      <w:lvlJc w:val="left"/>
      <w:pPr>
        <w:ind w:left="5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26C808">
      <w:start w:val="1"/>
      <w:numFmt w:val="bullet"/>
      <w:lvlText w:val="o"/>
      <w:lvlJc w:val="left"/>
      <w:pPr>
        <w:ind w:left="6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0808A0">
      <w:start w:val="1"/>
      <w:numFmt w:val="bullet"/>
      <w:lvlText w:val="▪"/>
      <w:lvlJc w:val="left"/>
      <w:pPr>
        <w:ind w:left="6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BD13119"/>
    <w:multiLevelType w:val="hybridMultilevel"/>
    <w:tmpl w:val="88EE84C0"/>
    <w:lvl w:ilvl="0" w:tplc="63B0F1D8">
      <w:start w:val="1"/>
      <w:numFmt w:val="decimal"/>
      <w:lvlText w:val="%1"/>
      <w:lvlJc w:val="left"/>
      <w:pPr>
        <w:ind w:left="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1" w:tplc="959CE68E">
      <w:start w:val="1"/>
      <w:numFmt w:val="lowerLetter"/>
      <w:lvlText w:val="%2"/>
      <w:lvlJc w:val="left"/>
      <w:pPr>
        <w:ind w:left="1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2" w:tplc="869A5EAE">
      <w:start w:val="1"/>
      <w:numFmt w:val="lowerRoman"/>
      <w:lvlText w:val="%3"/>
      <w:lvlJc w:val="left"/>
      <w:pPr>
        <w:ind w:left="1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3" w:tplc="9CF00DEA">
      <w:start w:val="1"/>
      <w:numFmt w:val="decimal"/>
      <w:lvlText w:val="%4"/>
      <w:lvlJc w:val="left"/>
      <w:pPr>
        <w:ind w:left="2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4" w:tplc="38FC670C">
      <w:start w:val="1"/>
      <w:numFmt w:val="lowerLetter"/>
      <w:lvlText w:val="%5"/>
      <w:lvlJc w:val="left"/>
      <w:pPr>
        <w:ind w:left="3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5" w:tplc="A7CEFD3E">
      <w:start w:val="1"/>
      <w:numFmt w:val="lowerRoman"/>
      <w:lvlText w:val="%6"/>
      <w:lvlJc w:val="left"/>
      <w:pPr>
        <w:ind w:left="4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6" w:tplc="BFFA85AE">
      <w:start w:val="1"/>
      <w:numFmt w:val="decimal"/>
      <w:lvlText w:val="%7"/>
      <w:lvlJc w:val="left"/>
      <w:pPr>
        <w:ind w:left="4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7" w:tplc="E0500EBA">
      <w:start w:val="1"/>
      <w:numFmt w:val="lowerLetter"/>
      <w:lvlText w:val="%8"/>
      <w:lvlJc w:val="left"/>
      <w:pPr>
        <w:ind w:left="5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8" w:tplc="7B781866">
      <w:start w:val="1"/>
      <w:numFmt w:val="lowerRoman"/>
      <w:lvlText w:val="%9"/>
      <w:lvlJc w:val="left"/>
      <w:pPr>
        <w:ind w:left="6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749"/>
    <w:rsid w:val="00047749"/>
    <w:rsid w:val="009A4ACD"/>
    <w:rsid w:val="00C805F4"/>
    <w:rsid w:val="00CF4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BBB2D"/>
  <w15:docId w15:val="{A953BB72-6107-4D2F-8312-C87A6785A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9" w:lineRule="auto"/>
      <w:ind w:left="1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0" w:line="249" w:lineRule="auto"/>
      <w:ind w:left="110" w:hanging="10"/>
      <w:outlineLvl w:val="0"/>
    </w:pPr>
    <w:rPr>
      <w:rFonts w:ascii="Times New Roman" w:eastAsia="Times New Roman" w:hAnsi="Times New Roman" w:cs="Times New Roman"/>
      <w:color w:val="000000"/>
      <w:sz w:val="24"/>
      <w:u w:val="single" w:color="000000"/>
    </w:rPr>
  </w:style>
  <w:style w:type="paragraph" w:styleId="Heading2">
    <w:name w:val="heading 2"/>
    <w:next w:val="Normal"/>
    <w:link w:val="Heading2Char"/>
    <w:uiPriority w:val="9"/>
    <w:unhideWhenUsed/>
    <w:qFormat/>
    <w:pPr>
      <w:keepNext/>
      <w:keepLines/>
      <w:spacing w:after="10" w:line="249" w:lineRule="auto"/>
      <w:ind w:left="110" w:hanging="10"/>
      <w:outlineLvl w:val="1"/>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cms.hhs.gove/" TargetMode="External"/><Relationship Id="rId13" Type="http://schemas.openxmlformats.org/officeDocument/2006/relationships/hyperlink" Target="http://www.ncqa.org/" TargetMode="External"/><Relationship Id="rId18" Type="http://schemas.openxmlformats.org/officeDocument/2006/relationships/hyperlink" Target="https://www.opm.gov/policy-data-oversight/pay-leave/salaries-wages/salary-tables/pdf/2017/DCB.pdf" TargetMode="External"/><Relationship Id="rId26" Type="http://schemas.openxmlformats.org/officeDocument/2006/relationships/hyperlink" Target="http://www.cms.hhs.gov/" TargetMode="External"/><Relationship Id="rId3" Type="http://schemas.openxmlformats.org/officeDocument/2006/relationships/settings" Target="settings.xml"/><Relationship Id="rId21" Type="http://schemas.openxmlformats.org/officeDocument/2006/relationships/hyperlink" Target="http://www.medicare.gov/" TargetMode="External"/><Relationship Id="rId7" Type="http://schemas.openxmlformats.org/officeDocument/2006/relationships/hyperlink" Target="http://www.cms.hhs.gove/" TargetMode="External"/><Relationship Id="rId12" Type="http://schemas.openxmlformats.org/officeDocument/2006/relationships/hyperlink" Target="http://www.ncqa.org/" TargetMode="External"/><Relationship Id="rId17" Type="http://schemas.openxmlformats.org/officeDocument/2006/relationships/hyperlink" Target="https://www.opm.gov/policy-data-oversight/pay-leave/salaries-wages/salary-tables/pdf/2017/DCB.pdf" TargetMode="External"/><Relationship Id="rId25" Type="http://schemas.openxmlformats.org/officeDocument/2006/relationships/hyperlink" Target="http://www.cms.hhs.gov/" TargetMode="External"/><Relationship Id="rId2" Type="http://schemas.openxmlformats.org/officeDocument/2006/relationships/styles" Target="styles.xml"/><Relationship Id="rId16" Type="http://schemas.openxmlformats.org/officeDocument/2006/relationships/hyperlink" Target="http://www.bls.gov/oes/current/oes_nat.htm" TargetMode="External"/><Relationship Id="rId20" Type="http://schemas.openxmlformats.org/officeDocument/2006/relationships/hyperlink" Target="http://www.medicare.gov/"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ms.hhs.gov/" TargetMode="External"/><Relationship Id="rId24" Type="http://schemas.openxmlformats.org/officeDocument/2006/relationships/hyperlink" Target="http://www.cms.hhs.gov/"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bls.gov/oes/current/oes_nat.htm" TargetMode="External"/><Relationship Id="rId23" Type="http://schemas.openxmlformats.org/officeDocument/2006/relationships/hyperlink" Target="http://www.cms.hhs.gov/" TargetMode="External"/><Relationship Id="rId28" Type="http://schemas.openxmlformats.org/officeDocument/2006/relationships/footer" Target="footer1.xml"/><Relationship Id="rId10" Type="http://schemas.openxmlformats.org/officeDocument/2006/relationships/hyperlink" Target="http://www.cms.hhs.gov/" TargetMode="External"/><Relationship Id="rId19" Type="http://schemas.openxmlformats.org/officeDocument/2006/relationships/hyperlink" Target="https://www.opm.gov/policy-data-oversight/pay-leave/salaries-wages/salary-tables/pdf/2017/DCB.pdf"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ms.hhs.gove/" TargetMode="External"/><Relationship Id="rId14" Type="http://schemas.openxmlformats.org/officeDocument/2006/relationships/hyperlink" Target="http://www.bls.gov/oes/current/oes_nat.htm" TargetMode="External"/><Relationship Id="rId22" Type="http://schemas.openxmlformats.org/officeDocument/2006/relationships/hyperlink" Target="http://www.medicare.gov/" TargetMode="External"/><Relationship Id="rId27" Type="http://schemas.openxmlformats.org/officeDocument/2006/relationships/hyperlink" Target="http://www.cms.hhs.gov/" TargetMode="Externa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3423</Words>
  <Characters>19512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Supporting Statement for Collection of HEDIS® Data</vt:lpstr>
    </vt:vector>
  </TitlesOfParts>
  <Company>CMS</Company>
  <LinksUpToDate>false</LinksUpToDate>
  <CharactersWithSpaces>22890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Collection of HEDIS® Data</dc:title>
  <dc:subject/>
  <dc:creator>CMS</dc:creator>
  <cp:keywords/>
  <cp:lastModifiedBy>Stephan McKenzie</cp:lastModifiedBy>
  <cp:revision>2</cp:revision>
  <dcterms:created xsi:type="dcterms:W3CDTF">2020-07-01T19:37:00Z</dcterms:created>
  <dcterms:modified xsi:type="dcterms:W3CDTF">2020-07-01T19:37:00Z</dcterms:modified>
</cp:coreProperties>
</file>