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80D" w:rsidP="0005680D" w:rsidRDefault="0005680D" w14:paraId="7B098020" w14:textId="2B799316">
      <w:pPr>
        <w:tabs>
          <w:tab w:val="left" w:pos="1080"/>
        </w:tabs>
        <w:ind w:left="1080" w:hanging="1080"/>
      </w:pPr>
      <w:r w:rsidRPr="004E0796">
        <w:rPr>
          <w:b/>
          <w:bCs/>
        </w:rPr>
        <w:t>To:</w:t>
      </w:r>
      <w:r w:rsidRPr="004E0796">
        <w:tab/>
      </w:r>
      <w:r>
        <w:t>Josh Brammer</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63E0920D">
      <w:pPr>
        <w:tabs>
          <w:tab w:val="left" w:pos="1080"/>
        </w:tabs>
        <w:ind w:left="1080" w:hanging="1080"/>
      </w:pPr>
      <w:r w:rsidRPr="004E0796">
        <w:rPr>
          <w:b/>
          <w:bCs/>
        </w:rPr>
        <w:t>From:</w:t>
      </w:r>
      <w:r w:rsidRPr="004E0796">
        <w:tab/>
      </w:r>
      <w:r w:rsidR="00EA4465">
        <w:t>M. Monique Alcantara</w:t>
      </w:r>
    </w:p>
    <w:p w:rsidR="0005680D" w:rsidP="0005680D" w:rsidRDefault="0005680D" w14:paraId="48DB0716" w14:textId="3568153E">
      <w:pPr>
        <w:tabs>
          <w:tab w:val="left" w:pos="1080"/>
        </w:tabs>
        <w:ind w:left="1080" w:hanging="1080"/>
      </w:pPr>
      <w:r>
        <w:rPr>
          <w:b/>
          <w:bCs/>
        </w:rPr>
        <w:tab/>
      </w:r>
      <w:r w:rsidR="00670267">
        <w:t>Office of Community Services (OCS)</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4A12F9C3">
      <w:pPr>
        <w:tabs>
          <w:tab w:val="left" w:pos="1080"/>
        </w:tabs>
      </w:pPr>
      <w:r w:rsidRPr="004E0796">
        <w:rPr>
          <w:b/>
          <w:bCs/>
        </w:rPr>
        <w:t>Date:</w:t>
      </w:r>
      <w:r w:rsidRPr="004E0796">
        <w:tab/>
      </w:r>
      <w:r w:rsidR="00EA4465">
        <w:t xml:space="preserve"> </w:t>
      </w:r>
      <w:r w:rsidR="008920C5">
        <w:t>June 17</w:t>
      </w:r>
      <w:r w:rsidR="00670267">
        <w:t>, 2020</w:t>
      </w:r>
    </w:p>
    <w:p w:rsidRPr="004E0796" w:rsidR="0005680D" w:rsidP="0005680D" w:rsidRDefault="0005680D" w14:paraId="7B991363" w14:textId="77777777">
      <w:pPr>
        <w:tabs>
          <w:tab w:val="left" w:pos="1080"/>
        </w:tabs>
      </w:pPr>
    </w:p>
    <w:p w:rsidR="0005680D" w:rsidP="0005680D" w:rsidRDefault="0005680D" w14:paraId="3A89B6CD" w14:textId="20AA8CDF">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00670267">
        <w:rPr>
          <w:color w:val="000000"/>
        </w:rPr>
        <w:t xml:space="preserve">Community Services Block Grant (CSBG) Program Model Plan Applications </w:t>
      </w:r>
      <w:r>
        <w:t>(OMB #0970-0</w:t>
      </w:r>
      <w:r w:rsidR="00670267">
        <w:t>382</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670267" w:rsidR="0005680D" w:rsidP="00670267" w:rsidRDefault="0005680D" w14:paraId="595C69AB" w14:textId="77777777">
      <w:pPr>
        <w:tabs>
          <w:tab w:val="left" w:pos="1080"/>
        </w:tabs>
        <w:ind w:left="1080" w:hanging="1080"/>
      </w:pPr>
    </w:p>
    <w:p w:rsidRPr="008920C5" w:rsidR="00E525D4" w:rsidP="00670267" w:rsidRDefault="0005680D" w14:paraId="494EB7FC" w14:textId="00A60C2D">
      <w:r w:rsidRPr="008920C5">
        <w:t xml:space="preserve">This memo requests approval of </w:t>
      </w:r>
      <w:proofErr w:type="spellStart"/>
      <w:r w:rsidRPr="008920C5">
        <w:t>nonsubstantive</w:t>
      </w:r>
      <w:proofErr w:type="spellEnd"/>
      <w:r w:rsidRPr="008920C5">
        <w:t xml:space="preserve"> changes to the approved information collection, </w:t>
      </w:r>
      <w:r w:rsidRPr="008920C5" w:rsidR="00670267">
        <w:rPr>
          <w:color w:val="000000"/>
        </w:rPr>
        <w:t xml:space="preserve">Community Services Block Grant (CSBG) Program Model Plan Applications </w:t>
      </w:r>
      <w:r w:rsidRPr="008920C5" w:rsidR="00670267">
        <w:t>(OMB #0970-0382)</w:t>
      </w:r>
      <w:r w:rsidRPr="008920C5">
        <w:t xml:space="preserve">. </w:t>
      </w:r>
    </w:p>
    <w:p w:rsidRPr="008920C5" w:rsidR="0005680D" w:rsidP="00670267" w:rsidRDefault="0005680D" w14:paraId="6BF529D8" w14:textId="77777777"/>
    <w:p w:rsidRPr="008920C5" w:rsidR="0005680D" w:rsidP="00670267" w:rsidRDefault="0005680D" w14:paraId="37532181" w14:textId="77777777">
      <w:pPr>
        <w:spacing w:after="120"/>
      </w:pPr>
      <w:r w:rsidRPr="008920C5">
        <w:rPr>
          <w:b/>
          <w:i/>
        </w:rPr>
        <w:t>Background</w:t>
      </w:r>
    </w:p>
    <w:p w:rsidRPr="008920C5" w:rsidR="0005680D" w:rsidP="00670267" w:rsidRDefault="00670267" w14:paraId="0B392A35" w14:textId="69EE77AF">
      <w:r w:rsidRPr="008920C5">
        <w:t>The Office of Community Services (OCS) recently received CARES Act supplemental money through the Community Services Block Grant (CSBG) program. </w:t>
      </w:r>
      <w:r w:rsidRPr="008920C5" w:rsidR="008920C5">
        <w:t>As a result, OCS updated the CSBG State Plan information collection to</w:t>
      </w:r>
      <w:r w:rsidR="00EA5EB0">
        <w:t xml:space="preserve"> include an application for </w:t>
      </w:r>
      <w:r w:rsidRPr="008920C5">
        <w:t xml:space="preserve">CSBG grantees to apply for supplemental funding. </w:t>
      </w:r>
      <w:r w:rsidRPr="008920C5" w:rsidR="008920C5">
        <w:t>Since approval of the supplementary</w:t>
      </w:r>
      <w:r w:rsidR="00EA5EB0">
        <w:t xml:space="preserve"> application, OCS has identified</w:t>
      </w:r>
      <w:r w:rsidRPr="008920C5" w:rsidR="008920C5">
        <w:t xml:space="preserve"> minor revisions to improve the submission process and cause less burden to the grantee. Additionally, some errors were found in the original text. </w:t>
      </w:r>
    </w:p>
    <w:p w:rsidRPr="008920C5" w:rsidR="0005680D" w:rsidP="00670267" w:rsidRDefault="0005680D" w14:paraId="2B14ECA7" w14:textId="77777777"/>
    <w:p w:rsidRPr="008920C5" w:rsidR="0005680D" w:rsidP="00670267" w:rsidRDefault="0005680D" w14:paraId="5CC77B63" w14:textId="77777777">
      <w:pPr>
        <w:spacing w:after="120"/>
        <w:rPr>
          <w:b/>
          <w:i/>
        </w:rPr>
      </w:pPr>
      <w:r w:rsidRPr="008920C5">
        <w:rPr>
          <w:b/>
          <w:i/>
        </w:rPr>
        <w:t>Overview of Requested Changes</w:t>
      </w:r>
    </w:p>
    <w:p w:rsidRPr="008920C5" w:rsidR="008920C5" w:rsidP="008920C5" w:rsidRDefault="008920C5" w14:paraId="60035835" w14:textId="443088FC">
      <w:r w:rsidRPr="008920C5">
        <w:t>The following is a summary of the revisions to improve the submission process and to address minor errors in the originally approved text.</w:t>
      </w:r>
    </w:p>
    <w:p w:rsidRPr="008920C5" w:rsidR="008920C5" w:rsidP="008920C5" w:rsidRDefault="008920C5" w14:paraId="7B5BD6A5" w14:textId="77777777"/>
    <w:p w:rsidRPr="008920C5" w:rsidR="008920C5" w:rsidP="008920C5" w:rsidRDefault="008920C5" w14:paraId="0D467FA4" w14:textId="77777777">
      <w:pPr>
        <w:pStyle w:val="ListParagraph"/>
        <w:numPr>
          <w:ilvl w:val="0"/>
          <w:numId w:val="3"/>
        </w:numPr>
        <w:spacing w:line="240" w:lineRule="auto"/>
        <w:contextualSpacing/>
        <w:rPr>
          <w:rFonts w:ascii="Times New Roman" w:hAnsi="Times New Roman" w:cs="Times New Roman"/>
          <w:sz w:val="24"/>
          <w:szCs w:val="24"/>
        </w:rPr>
      </w:pPr>
      <w:r w:rsidRPr="008920C5">
        <w:rPr>
          <w:rFonts w:ascii="Times New Roman" w:hAnsi="Times New Roman" w:cs="Times New Roman"/>
          <w:sz w:val="24"/>
          <w:szCs w:val="24"/>
        </w:rPr>
        <w:t>Title page added</w:t>
      </w:r>
    </w:p>
    <w:p w:rsidRPr="008920C5" w:rsidR="008920C5" w:rsidP="008920C5" w:rsidRDefault="008920C5" w14:paraId="649B6841" w14:textId="1B3E0795">
      <w:pPr>
        <w:pStyle w:val="ListParagraph"/>
        <w:numPr>
          <w:ilvl w:val="0"/>
          <w:numId w:val="3"/>
        </w:numPr>
        <w:spacing w:line="240" w:lineRule="auto"/>
        <w:contextualSpacing/>
        <w:rPr>
          <w:rFonts w:ascii="Times New Roman" w:hAnsi="Times New Roman" w:cs="Times New Roman"/>
          <w:sz w:val="24"/>
          <w:szCs w:val="24"/>
        </w:rPr>
      </w:pPr>
      <w:r w:rsidRPr="008920C5">
        <w:rPr>
          <w:rFonts w:ascii="Times New Roman" w:hAnsi="Times New Roman" w:cs="Times New Roman"/>
          <w:b/>
          <w:sz w:val="24"/>
          <w:szCs w:val="24"/>
        </w:rPr>
        <w:t>Section 5, Page 8:</w:t>
      </w:r>
      <w:r w:rsidRPr="008920C5">
        <w:rPr>
          <w:rFonts w:ascii="Times New Roman" w:hAnsi="Times New Roman" w:cs="Times New Roman"/>
          <w:sz w:val="24"/>
          <w:szCs w:val="24"/>
        </w:rPr>
        <w:t xml:space="preserve"> technological revision – a second radio button was added to allow the grantee to submit the plan. The previously approved version would have resulted in the grantee having to check the box even if the statement was not true. </w:t>
      </w:r>
    </w:p>
    <w:p w:rsidRPr="008920C5" w:rsidR="008920C5" w:rsidP="008920C5" w:rsidRDefault="008920C5" w14:paraId="38FB6FDD" w14:textId="7C9D6C71">
      <w:pPr>
        <w:pStyle w:val="ListParagraph"/>
        <w:numPr>
          <w:ilvl w:val="0"/>
          <w:numId w:val="3"/>
        </w:numPr>
        <w:spacing w:line="240" w:lineRule="auto"/>
        <w:contextualSpacing/>
        <w:rPr>
          <w:rFonts w:ascii="Times New Roman" w:hAnsi="Times New Roman" w:cs="Times New Roman"/>
          <w:sz w:val="24"/>
          <w:szCs w:val="24"/>
        </w:rPr>
      </w:pPr>
      <w:r w:rsidRPr="008920C5">
        <w:rPr>
          <w:rFonts w:ascii="Times New Roman" w:hAnsi="Times New Roman" w:cs="Times New Roman"/>
          <w:b/>
          <w:sz w:val="24"/>
          <w:szCs w:val="24"/>
        </w:rPr>
        <w:t xml:space="preserve">Section 5, Page 9: </w:t>
      </w:r>
      <w:r w:rsidRPr="008920C5">
        <w:rPr>
          <w:rFonts w:ascii="Times New Roman" w:hAnsi="Times New Roman" w:cs="Times New Roman"/>
          <w:sz w:val="24"/>
          <w:szCs w:val="24"/>
        </w:rPr>
        <w:t xml:space="preserve">technological revision – radio buttons were added to allow the grantee to provide a negative response. The previously approved would have resulted in the grantee having to provide a response even if there were no special circumstances made. This reduces the burden for states that have a negative response. </w:t>
      </w:r>
    </w:p>
    <w:p w:rsidRPr="008920C5" w:rsidR="008920C5" w:rsidP="008920C5" w:rsidRDefault="008920C5" w14:paraId="20FF3A7E" w14:textId="77777777">
      <w:pPr>
        <w:pStyle w:val="ListParagraph"/>
        <w:numPr>
          <w:ilvl w:val="0"/>
          <w:numId w:val="3"/>
        </w:numPr>
        <w:spacing w:line="240" w:lineRule="auto"/>
        <w:contextualSpacing/>
        <w:rPr>
          <w:rFonts w:ascii="Times New Roman" w:hAnsi="Times New Roman" w:cs="Times New Roman"/>
          <w:sz w:val="24"/>
          <w:szCs w:val="24"/>
        </w:rPr>
      </w:pPr>
      <w:r w:rsidRPr="008920C5">
        <w:rPr>
          <w:rFonts w:ascii="Times New Roman" w:hAnsi="Times New Roman" w:cs="Times New Roman"/>
          <w:b/>
          <w:sz w:val="24"/>
          <w:szCs w:val="24"/>
        </w:rPr>
        <w:t xml:space="preserve">Section 7, Page 12: </w:t>
      </w:r>
      <w:r w:rsidRPr="008920C5">
        <w:rPr>
          <w:rFonts w:ascii="Times New Roman" w:hAnsi="Times New Roman" w:cs="Times New Roman"/>
          <w:sz w:val="24"/>
          <w:szCs w:val="24"/>
        </w:rPr>
        <w:t>Corrected the CSBG Act citation</w:t>
      </w:r>
    </w:p>
    <w:p w:rsidRPr="008920C5" w:rsidR="008920C5" w:rsidP="008920C5" w:rsidRDefault="008920C5" w14:paraId="7A73B901" w14:textId="77777777">
      <w:pPr>
        <w:pStyle w:val="ListParagraph"/>
        <w:numPr>
          <w:ilvl w:val="0"/>
          <w:numId w:val="3"/>
        </w:numPr>
        <w:spacing w:line="240" w:lineRule="auto"/>
        <w:contextualSpacing/>
        <w:rPr>
          <w:rFonts w:ascii="Times New Roman" w:hAnsi="Times New Roman" w:cs="Times New Roman"/>
          <w:sz w:val="24"/>
          <w:szCs w:val="24"/>
        </w:rPr>
      </w:pPr>
      <w:r w:rsidRPr="008920C5">
        <w:rPr>
          <w:rFonts w:ascii="Times New Roman" w:hAnsi="Times New Roman" w:cs="Times New Roman"/>
          <w:b/>
          <w:sz w:val="24"/>
          <w:szCs w:val="24"/>
        </w:rPr>
        <w:t>Section 12, page 20:</w:t>
      </w:r>
    </w:p>
    <w:p w:rsidRPr="008920C5" w:rsidR="008920C5" w:rsidP="008920C5" w:rsidRDefault="008920C5" w14:paraId="448D5546" w14:textId="77777777">
      <w:pPr>
        <w:pStyle w:val="ListParagraph"/>
        <w:numPr>
          <w:ilvl w:val="1"/>
          <w:numId w:val="3"/>
        </w:numPr>
        <w:spacing w:line="240" w:lineRule="auto"/>
        <w:ind w:left="1260"/>
        <w:contextualSpacing/>
        <w:rPr>
          <w:rFonts w:ascii="Times New Roman" w:hAnsi="Times New Roman" w:cs="Times New Roman"/>
          <w:sz w:val="24"/>
          <w:szCs w:val="24"/>
        </w:rPr>
      </w:pPr>
      <w:r w:rsidRPr="008920C5">
        <w:rPr>
          <w:rFonts w:ascii="Times New Roman" w:hAnsi="Times New Roman" w:cs="Times New Roman"/>
          <w:b/>
          <w:sz w:val="24"/>
          <w:szCs w:val="24"/>
        </w:rPr>
        <w:t>12.1a –</w:t>
      </w:r>
      <w:r w:rsidRPr="008920C5">
        <w:rPr>
          <w:rFonts w:ascii="Times New Roman" w:hAnsi="Times New Roman" w:cs="Times New Roman"/>
          <w:sz w:val="24"/>
          <w:szCs w:val="24"/>
        </w:rPr>
        <w:t xml:space="preserve"> updated the responses to clearly show “no” and “yes”. </w:t>
      </w:r>
    </w:p>
    <w:p w:rsidRPr="008920C5" w:rsidR="008920C5" w:rsidP="008920C5" w:rsidRDefault="008920C5" w14:paraId="7D0D2648" w14:textId="77777777">
      <w:pPr>
        <w:pStyle w:val="ListParagraph"/>
        <w:numPr>
          <w:ilvl w:val="1"/>
          <w:numId w:val="3"/>
        </w:numPr>
        <w:spacing w:line="240" w:lineRule="auto"/>
        <w:ind w:left="1260"/>
        <w:contextualSpacing/>
        <w:rPr>
          <w:rFonts w:ascii="Times New Roman" w:hAnsi="Times New Roman" w:cs="Times New Roman"/>
          <w:sz w:val="24"/>
          <w:szCs w:val="24"/>
        </w:rPr>
      </w:pPr>
      <w:r w:rsidRPr="008920C5">
        <w:rPr>
          <w:rFonts w:ascii="Times New Roman" w:hAnsi="Times New Roman" w:cs="Times New Roman"/>
          <w:b/>
          <w:sz w:val="24"/>
          <w:szCs w:val="24"/>
        </w:rPr>
        <w:t>12.2 –</w:t>
      </w:r>
      <w:r w:rsidRPr="008920C5">
        <w:rPr>
          <w:rFonts w:ascii="Times New Roman" w:hAnsi="Times New Roman" w:cs="Times New Roman"/>
          <w:sz w:val="24"/>
          <w:szCs w:val="24"/>
        </w:rPr>
        <w:t xml:space="preserve"> the original responses were copied from 12.1a. This was an oversight. Language was revised for accuracy. </w:t>
      </w:r>
    </w:p>
    <w:p w:rsidRPr="008920C5" w:rsidR="008920C5" w:rsidP="008920C5" w:rsidRDefault="008920C5" w14:paraId="7C829FC6" w14:textId="77777777">
      <w:pPr>
        <w:pStyle w:val="ListParagraph"/>
        <w:numPr>
          <w:ilvl w:val="1"/>
          <w:numId w:val="3"/>
        </w:numPr>
        <w:spacing w:line="240" w:lineRule="auto"/>
        <w:ind w:left="1260"/>
        <w:contextualSpacing/>
        <w:rPr>
          <w:rFonts w:ascii="Times New Roman" w:hAnsi="Times New Roman" w:cs="Times New Roman"/>
          <w:sz w:val="24"/>
          <w:szCs w:val="24"/>
        </w:rPr>
      </w:pPr>
      <w:r w:rsidRPr="008920C5">
        <w:rPr>
          <w:rFonts w:ascii="Times New Roman" w:hAnsi="Times New Roman" w:cs="Times New Roman"/>
          <w:b/>
          <w:sz w:val="24"/>
          <w:szCs w:val="24"/>
        </w:rPr>
        <w:t>12.3 –</w:t>
      </w:r>
      <w:r w:rsidRPr="008920C5">
        <w:rPr>
          <w:rFonts w:ascii="Times New Roman" w:hAnsi="Times New Roman" w:cs="Times New Roman"/>
          <w:sz w:val="24"/>
          <w:szCs w:val="24"/>
        </w:rPr>
        <w:t xml:space="preserve"> the original responses were copied from 12.1a. This was an oversight. Language was revised for accuracy.</w:t>
      </w:r>
    </w:p>
    <w:p w:rsidRPr="008920C5" w:rsidR="008920C5" w:rsidP="008920C5" w:rsidRDefault="008920C5" w14:paraId="3A386671" w14:textId="77777777">
      <w:pPr>
        <w:pStyle w:val="ListParagraph"/>
        <w:numPr>
          <w:ilvl w:val="0"/>
          <w:numId w:val="3"/>
        </w:numPr>
        <w:spacing w:line="240" w:lineRule="auto"/>
        <w:contextualSpacing/>
        <w:rPr>
          <w:rFonts w:ascii="Times New Roman" w:hAnsi="Times New Roman" w:cs="Times New Roman"/>
          <w:sz w:val="24"/>
          <w:szCs w:val="24"/>
        </w:rPr>
      </w:pPr>
      <w:r w:rsidRPr="008920C5">
        <w:rPr>
          <w:rFonts w:ascii="Times New Roman" w:hAnsi="Times New Roman" w:cs="Times New Roman"/>
          <w:b/>
          <w:sz w:val="24"/>
          <w:szCs w:val="24"/>
        </w:rPr>
        <w:lastRenderedPageBreak/>
        <w:t>Section 14,</w:t>
      </w:r>
      <w:bookmarkStart w:name="_GoBack" w:id="0"/>
      <w:bookmarkEnd w:id="0"/>
      <w:r w:rsidRPr="008920C5">
        <w:rPr>
          <w:rFonts w:ascii="Times New Roman" w:hAnsi="Times New Roman" w:cs="Times New Roman"/>
          <w:b/>
          <w:sz w:val="24"/>
          <w:szCs w:val="24"/>
        </w:rPr>
        <w:t xml:space="preserve"> pages 22 – 28: </w:t>
      </w:r>
      <w:r w:rsidRPr="008920C5">
        <w:rPr>
          <w:rFonts w:ascii="Times New Roman" w:hAnsi="Times New Roman" w:cs="Times New Roman"/>
          <w:sz w:val="24"/>
          <w:szCs w:val="24"/>
        </w:rPr>
        <w:t xml:space="preserve">There is language throughout that refers to “disaster supplemental”, however this language should read “CSBG CARES Supplemental”. Language was revised for accuracy. </w:t>
      </w:r>
    </w:p>
    <w:p w:rsidRPr="008920C5" w:rsidR="008920C5" w:rsidP="008920C5" w:rsidRDefault="008920C5" w14:paraId="20BECC1A" w14:textId="77777777">
      <w:pPr>
        <w:pStyle w:val="ListParagraph"/>
        <w:numPr>
          <w:ilvl w:val="0"/>
          <w:numId w:val="3"/>
        </w:numPr>
        <w:spacing w:line="240" w:lineRule="auto"/>
        <w:contextualSpacing/>
        <w:rPr>
          <w:rFonts w:ascii="Times New Roman" w:hAnsi="Times New Roman" w:cs="Times New Roman"/>
          <w:sz w:val="24"/>
          <w:szCs w:val="24"/>
        </w:rPr>
      </w:pPr>
      <w:r w:rsidRPr="008920C5">
        <w:rPr>
          <w:rFonts w:ascii="Times New Roman" w:hAnsi="Times New Roman" w:cs="Times New Roman"/>
          <w:b/>
          <w:sz w:val="24"/>
          <w:szCs w:val="24"/>
        </w:rPr>
        <w:t xml:space="preserve">Section 14, pages 23 – 25: </w:t>
      </w:r>
      <w:r w:rsidRPr="008920C5">
        <w:rPr>
          <w:rFonts w:ascii="Times New Roman" w:hAnsi="Times New Roman" w:cs="Times New Roman"/>
          <w:sz w:val="24"/>
          <w:szCs w:val="24"/>
        </w:rPr>
        <w:t xml:space="preserve">Questions 14.2 – 14.3d were numbered incorrectly. Numbering was revised for accuracy. </w:t>
      </w:r>
    </w:p>
    <w:p w:rsidRPr="008920C5" w:rsidR="008920C5" w:rsidP="008920C5" w:rsidRDefault="008920C5" w14:paraId="52A8CD1F" w14:textId="77777777">
      <w:pPr>
        <w:pStyle w:val="ListParagraph"/>
        <w:numPr>
          <w:ilvl w:val="0"/>
          <w:numId w:val="3"/>
        </w:numPr>
        <w:spacing w:line="240" w:lineRule="auto"/>
        <w:contextualSpacing/>
        <w:rPr>
          <w:rFonts w:ascii="Times New Roman" w:hAnsi="Times New Roman" w:cs="Times New Roman"/>
          <w:sz w:val="24"/>
          <w:szCs w:val="24"/>
        </w:rPr>
      </w:pPr>
      <w:r w:rsidRPr="008920C5">
        <w:rPr>
          <w:rFonts w:ascii="Times New Roman" w:hAnsi="Times New Roman" w:cs="Times New Roman"/>
          <w:b/>
          <w:sz w:val="24"/>
          <w:szCs w:val="24"/>
        </w:rPr>
        <w:t xml:space="preserve">Section 14, page 25: </w:t>
      </w:r>
      <w:r w:rsidRPr="008920C5">
        <w:rPr>
          <w:rFonts w:ascii="Times New Roman" w:hAnsi="Times New Roman" w:cs="Times New Roman"/>
          <w:sz w:val="24"/>
          <w:szCs w:val="24"/>
        </w:rPr>
        <w:t xml:space="preserve">A duplicate question was deleted. </w:t>
      </w:r>
    </w:p>
    <w:p w:rsidRPr="008920C5" w:rsidR="0005680D" w:rsidP="00670267" w:rsidRDefault="0005680D" w14:paraId="76859545" w14:textId="77777777"/>
    <w:p w:rsidRPr="008920C5" w:rsidR="0005680D" w:rsidP="00670267" w:rsidRDefault="0005680D" w14:paraId="7DBC6097" w14:textId="2214129E">
      <w:pPr>
        <w:spacing w:after="120"/>
        <w:rPr>
          <w:b/>
          <w:i/>
        </w:rPr>
      </w:pPr>
      <w:r w:rsidRPr="008920C5">
        <w:rPr>
          <w:b/>
          <w:i/>
        </w:rPr>
        <w:t xml:space="preserve">Time Sensitivities </w:t>
      </w:r>
    </w:p>
    <w:p w:rsidRPr="008920C5" w:rsidR="00670267" w:rsidP="00670267" w:rsidRDefault="00670267" w14:paraId="771B0C24" w14:textId="6E67D4AA">
      <w:pPr>
        <w:rPr>
          <w:b/>
          <w:i/>
        </w:rPr>
      </w:pPr>
      <w:r w:rsidRPr="008920C5">
        <w:t xml:space="preserve">OCS needs the supplementary state plan application ready for grantees </w:t>
      </w:r>
      <w:r w:rsidRPr="008920C5" w:rsidR="008920C5">
        <w:t>as soon as possible, so review and response as soon as possible is appreciated.</w:t>
      </w:r>
      <w:r w:rsidRPr="008920C5">
        <w:t> </w:t>
      </w:r>
    </w:p>
    <w:sectPr w:rsidRPr="008920C5" w:rsidR="00670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F3EAD"/>
    <w:multiLevelType w:val="hybridMultilevel"/>
    <w:tmpl w:val="E13A17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F7230C"/>
    <w:multiLevelType w:val="hybridMultilevel"/>
    <w:tmpl w:val="7E68CE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1B"/>
    <w:rsid w:val="00040888"/>
    <w:rsid w:val="0005680D"/>
    <w:rsid w:val="00116024"/>
    <w:rsid w:val="001E243F"/>
    <w:rsid w:val="00201D4A"/>
    <w:rsid w:val="00416E1B"/>
    <w:rsid w:val="00670267"/>
    <w:rsid w:val="008920C5"/>
    <w:rsid w:val="00995018"/>
    <w:rsid w:val="00A44387"/>
    <w:rsid w:val="00CC336E"/>
    <w:rsid w:val="00E525D4"/>
    <w:rsid w:val="00EA4465"/>
    <w:rsid w:val="00EA5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670267"/>
    <w:pPr>
      <w:widowControl/>
      <w:suppressAutoHyphens w:val="0"/>
      <w:spacing w:line="252" w:lineRule="auto"/>
      <w:ind w:left="720"/>
    </w:pPr>
    <w:rPr>
      <w:rFonts w:ascii="Calibri" w:eastAsiaTheme="minorHAns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95F0A833E4EE46AFE060032B39C377" ma:contentTypeVersion="0" ma:contentTypeDescription="Create a new document." ma:contentTypeScope="" ma:versionID="d1735f3b575138738ab80802017730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474671DD-EED5-44FA-9B44-53BE4D7E8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427763-6C17-4683-BE66-D42E977DCA4F}">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Alcantara, Monique (ACF)</cp:lastModifiedBy>
  <cp:revision>2</cp:revision>
  <dcterms:created xsi:type="dcterms:W3CDTF">2020-06-17T11:48:00Z</dcterms:created>
  <dcterms:modified xsi:type="dcterms:W3CDTF">2020-06-17T11:48:00Z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0x0101002895F0A833E4EE46AFE060032B39C377</vt:lpwstr>
  </property>
</Properties>
</file>