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end"/>
      </w:r>
      <w:r w:rsidRPr="00944BA5">
        <w:rPr>
          <w:b/>
          <w:bCs/>
          <w:sz w:val="32"/>
          <w:szCs w:val="32"/>
        </w:rPr>
        <w:t xml:space="preserve">Supporting Statement </w:t>
      </w:r>
      <w:r w:rsidRPr="00944BA5" w:rsidR="007851E9">
        <w:rPr>
          <w:b/>
          <w:bCs/>
          <w:sz w:val="32"/>
          <w:szCs w:val="32"/>
        </w:rPr>
        <w:t>A</w:t>
      </w:r>
    </w:p>
    <w:p w:rsidRPr="00944BA5"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944BA5" w:rsidR="00295103" w:rsidP="00734ABC" w:rsidRDefault="00944B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Financial Assistance and Social Services, 25 CFR 20</w:t>
      </w:r>
    </w:p>
    <w:p w:rsidRPr="00944BA5" w:rsidR="00734ABC" w:rsidP="00734ABC" w:rsidRDefault="00734A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944BA5" w:rsidR="00295103" w:rsidP="009B359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944BA5">
        <w:rPr>
          <w:b/>
          <w:bCs/>
          <w:sz w:val="32"/>
          <w:szCs w:val="32"/>
        </w:rPr>
        <w:t xml:space="preserve">OMB Control Number </w:t>
      </w:r>
      <w:r w:rsidRPr="00944BA5" w:rsidR="00734ABC">
        <w:rPr>
          <w:b/>
          <w:bCs/>
          <w:sz w:val="32"/>
          <w:szCs w:val="32"/>
        </w:rPr>
        <w:t>1076-0</w:t>
      </w:r>
      <w:r w:rsidR="00944BA5">
        <w:rPr>
          <w:b/>
          <w:bCs/>
          <w:sz w:val="32"/>
          <w:szCs w:val="32"/>
        </w:rPr>
        <w:t>017</w:t>
      </w:r>
    </w:p>
    <w:p w:rsidRPr="00944BA5" w:rsidR="009B359F" w:rsidP="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944BA5" w:rsidR="009B359F" w:rsidP="000F3AF1" w:rsidRDefault="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944BA5">
        <w:rPr>
          <w:b/>
          <w:sz w:val="32"/>
          <w:szCs w:val="32"/>
        </w:rPr>
        <w:t>Terms of Clearance:</w:t>
      </w:r>
      <w:r w:rsidRPr="00944BA5">
        <w:rPr>
          <w:sz w:val="32"/>
          <w:szCs w:val="32"/>
        </w:rPr>
        <w:t xml:space="preserve"> </w:t>
      </w:r>
      <w:r w:rsidRPr="00944BA5" w:rsidR="002C2DA0">
        <w:rPr>
          <w:sz w:val="32"/>
          <w:szCs w:val="32"/>
        </w:rPr>
        <w:t>None.</w:t>
      </w:r>
    </w:p>
    <w:p w:rsidRPr="00944BA5" w:rsidR="009B359F" w:rsidP="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b/>
          <w:bCs/>
          <w:sz w:val="24"/>
          <w:szCs w:val="24"/>
        </w:rPr>
        <w:t>General Instructions</w:t>
      </w:r>
      <w:r w:rsidRPr="00944BA5">
        <w:rPr>
          <w:sz w:val="24"/>
          <w:szCs w:val="24"/>
        </w:rPr>
        <w:t xml:space="preserve"> </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44BA5"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44BA5">
        <w:rPr>
          <w:b/>
          <w:sz w:val="24"/>
          <w:szCs w:val="24"/>
        </w:rPr>
        <w:t xml:space="preserve">A completed </w:t>
      </w:r>
      <w:r w:rsidRPr="00944BA5" w:rsidR="00295103">
        <w:rPr>
          <w:b/>
          <w:sz w:val="24"/>
          <w:szCs w:val="24"/>
        </w:rPr>
        <w:t>Supporting Statement</w:t>
      </w:r>
      <w:r w:rsidRPr="00944BA5" w:rsidR="009B359F">
        <w:rPr>
          <w:b/>
          <w:sz w:val="24"/>
          <w:szCs w:val="24"/>
        </w:rPr>
        <w:t xml:space="preserve"> A </w:t>
      </w:r>
      <w:r w:rsidRPr="00944BA5" w:rsidR="00295103">
        <w:rPr>
          <w:b/>
          <w:sz w:val="24"/>
          <w:szCs w:val="24"/>
        </w:rPr>
        <w:t xml:space="preserve">must accompany each request for approval of a collection of information.  The Supporting Statement must be prepared in the format described below, and must contain the information </w:t>
      </w:r>
      <w:r w:rsidRPr="00944BA5" w:rsidR="009B359F">
        <w:rPr>
          <w:b/>
          <w:sz w:val="24"/>
          <w:szCs w:val="24"/>
        </w:rPr>
        <w:t xml:space="preserve">specified </w:t>
      </w:r>
      <w:r w:rsidRPr="00944BA5" w:rsidR="00295103">
        <w:rPr>
          <w:b/>
          <w:sz w:val="24"/>
          <w:szCs w:val="24"/>
        </w:rPr>
        <w:t xml:space="preserve">below.  If an item is not applicable, provide a brief explanation.  When </w:t>
      </w:r>
      <w:r w:rsidRPr="00944BA5" w:rsidR="009B359F">
        <w:rPr>
          <w:b/>
          <w:sz w:val="24"/>
          <w:szCs w:val="24"/>
        </w:rPr>
        <w:t>the question “Does this ICR contain surveys, censuses</w:t>
      </w:r>
      <w:r w:rsidRPr="00944BA5" w:rsidR="007E21B5">
        <w:rPr>
          <w:b/>
          <w:sz w:val="24"/>
          <w:szCs w:val="24"/>
        </w:rPr>
        <w:t>,</w:t>
      </w:r>
      <w:r w:rsidRPr="00944BA5" w:rsidR="009B359F">
        <w:rPr>
          <w:b/>
          <w:sz w:val="24"/>
          <w:szCs w:val="24"/>
        </w:rPr>
        <w:t xml:space="preserve"> or employ statistical methods?” </w:t>
      </w:r>
      <w:r w:rsidRPr="00944BA5" w:rsidR="00295103">
        <w:rPr>
          <w:b/>
          <w:sz w:val="24"/>
          <w:szCs w:val="24"/>
        </w:rPr>
        <w:t>is checked "Yes</w:t>
      </w:r>
      <w:r w:rsidRPr="00944BA5" w:rsidR="009B359F">
        <w:rPr>
          <w:b/>
          <w:sz w:val="24"/>
          <w:szCs w:val="24"/>
        </w:rPr>
        <w:t>,</w:t>
      </w:r>
      <w:r w:rsidRPr="00944BA5" w:rsidR="00295103">
        <w:rPr>
          <w:b/>
          <w:sz w:val="24"/>
          <w:szCs w:val="24"/>
        </w:rPr>
        <w:t xml:space="preserve">" </w:t>
      </w:r>
      <w:r w:rsidRPr="00944BA5" w:rsidR="009B359F">
        <w:rPr>
          <w:b/>
          <w:sz w:val="24"/>
          <w:szCs w:val="24"/>
        </w:rPr>
        <w:t xml:space="preserve">then a </w:t>
      </w:r>
      <w:r w:rsidRPr="00944BA5" w:rsidR="00295103">
        <w:rPr>
          <w:b/>
          <w:sz w:val="24"/>
          <w:szCs w:val="24"/>
        </w:rPr>
        <w:t xml:space="preserve">Supporting Statement </w:t>
      </w:r>
      <w:r w:rsidRPr="00944BA5" w:rsidR="009B359F">
        <w:rPr>
          <w:b/>
          <w:sz w:val="24"/>
          <w:szCs w:val="24"/>
        </w:rPr>
        <w:t xml:space="preserve">B </w:t>
      </w:r>
      <w:r w:rsidRPr="00944BA5" w:rsidR="00295103">
        <w:rPr>
          <w:b/>
          <w:sz w:val="24"/>
          <w:szCs w:val="24"/>
        </w:rPr>
        <w:t>must be completed.  OMB reserves the right to require the submission of additional information with respect to any request for approval.</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b/>
          <w:bCs/>
          <w:sz w:val="24"/>
          <w:szCs w:val="24"/>
        </w:rPr>
        <w:t>Specific Instructions</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944BA5">
        <w:rPr>
          <w:b/>
          <w:bCs/>
          <w:sz w:val="24"/>
          <w:szCs w:val="24"/>
        </w:rPr>
        <w:t>Justification</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w:t>
      </w:r>
      <w:r w:rsidRPr="00944BA5">
        <w:rPr>
          <w:b/>
          <w:sz w:val="24"/>
          <w:szCs w:val="24"/>
        </w:rPr>
        <w:tab/>
        <w:t>Explain the circumstances that make the collection of information necessary.  Identify any legal or administrative requirements that necessitate the collection</w:t>
      </w:r>
      <w:r w:rsidRPr="00944BA5" w:rsidR="000F3AF1">
        <w:rPr>
          <w:b/>
          <w:sz w:val="24"/>
          <w:szCs w:val="24"/>
        </w:rPr>
        <w:t>.</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944BA5" w:rsidP="00944BA5" w:rsidRDefault="00944BA5">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sz w:val="24"/>
          <w:szCs w:val="24"/>
        </w:rPr>
        <w:t xml:space="preserve">The Bureau of Indian Affairs (BIA) provides assistance under 25 CFR 20 to eligible Indians when comparable financial assistance or social services either are not available or are not provided by state, tribal, county, local, or other federal agencies.  The application form (BIA 5-6601) is necessary to determine eligibility for program funding and services, in accordance with 25 CFR 20.300. </w:t>
      </w:r>
      <w:r w:rsidR="00DC1C2B">
        <w:rPr>
          <w:sz w:val="24"/>
          <w:szCs w:val="24"/>
        </w:rPr>
        <w:t xml:space="preserve"> </w:t>
      </w:r>
      <w:r w:rsidRPr="00944BA5">
        <w:rPr>
          <w:sz w:val="24"/>
          <w:szCs w:val="24"/>
        </w:rPr>
        <w:t xml:space="preserve">The Financial Assistance and Social Service </w:t>
      </w:r>
      <w:r w:rsidR="00DC1C2B">
        <w:rPr>
          <w:sz w:val="24"/>
          <w:szCs w:val="24"/>
        </w:rPr>
        <w:t xml:space="preserve">(FASS) </w:t>
      </w:r>
      <w:r w:rsidRPr="00944BA5">
        <w:rPr>
          <w:sz w:val="24"/>
          <w:szCs w:val="24"/>
        </w:rPr>
        <w:t>program funding and services include: General Assistance, Child Assistance, Adult Care Assistance, Burial Assistance, and Emergency Assistance.  BIA and tribal case workers also obtain information from clients to develop an Indivi</w:t>
      </w:r>
      <w:r w:rsidR="00186A4B">
        <w:rPr>
          <w:sz w:val="24"/>
          <w:szCs w:val="24"/>
        </w:rPr>
        <w:t>dual Self-Sufficiency Plan (ISP)</w:t>
      </w:r>
      <w:r w:rsidRPr="00944BA5">
        <w:rPr>
          <w:sz w:val="24"/>
          <w:szCs w:val="24"/>
        </w:rPr>
        <w:t>.</w:t>
      </w:r>
      <w:r w:rsidR="00186A4B">
        <w:rPr>
          <w:sz w:val="24"/>
          <w:szCs w:val="24"/>
        </w:rPr>
        <w:t xml:space="preserve"> </w:t>
      </w:r>
      <w:r w:rsidRPr="00944BA5">
        <w:rPr>
          <w:sz w:val="24"/>
          <w:szCs w:val="24"/>
        </w:rPr>
        <w:t xml:space="preserve"> The ISP</w:t>
      </w:r>
      <w:r w:rsidR="00186A4B">
        <w:rPr>
          <w:sz w:val="24"/>
          <w:szCs w:val="24"/>
        </w:rPr>
        <w:t xml:space="preserve"> form (BIA 5-6602)</w:t>
      </w:r>
      <w:r w:rsidRPr="00944BA5">
        <w:rPr>
          <w:sz w:val="24"/>
          <w:szCs w:val="24"/>
        </w:rPr>
        <w:t xml:space="preserve"> is necessary to ensure that the recipient of services has a plan for achieving independence.  Authority for 25 CFR 20 is contained in 25 U.S.C. 13, which provides that BIA shall direct, supervise and expend appropriated money for the benefit, care, and assistance of Indians, including for general support and civilization and relief of distress.  Additional authority is provided by:  </w:t>
      </w:r>
      <w:r w:rsidR="008B32F0">
        <w:rPr>
          <w:sz w:val="24"/>
          <w:szCs w:val="24"/>
        </w:rPr>
        <w:t>25 U.S.C 46</w:t>
      </w:r>
      <w:r w:rsidRPr="00944BA5">
        <w:rPr>
          <w:sz w:val="24"/>
          <w:szCs w:val="24"/>
        </w:rPr>
        <w:t xml:space="preserve">; </w:t>
      </w:r>
      <w:r w:rsidRPr="005536B3" w:rsidR="005536B3">
        <w:rPr>
          <w:sz w:val="24"/>
          <w:szCs w:val="24"/>
        </w:rPr>
        <w:t>25 U.S.C. 3401</w:t>
      </w:r>
      <w:r w:rsidR="00FF6CF1">
        <w:rPr>
          <w:sz w:val="24"/>
          <w:szCs w:val="24"/>
        </w:rPr>
        <w:t>;</w:t>
      </w:r>
      <w:r w:rsidR="005536B3">
        <w:rPr>
          <w:sz w:val="24"/>
          <w:szCs w:val="24"/>
        </w:rPr>
        <w:t xml:space="preserve"> </w:t>
      </w:r>
      <w:r w:rsidR="00FF6CF1">
        <w:rPr>
          <w:sz w:val="24"/>
          <w:szCs w:val="24"/>
        </w:rPr>
        <w:t>42 U.S.C. 613</w:t>
      </w:r>
      <w:r w:rsidRPr="00944BA5" w:rsidR="00FF6CF1">
        <w:rPr>
          <w:sz w:val="24"/>
          <w:szCs w:val="24"/>
        </w:rPr>
        <w:t xml:space="preserve">; </w:t>
      </w:r>
      <w:r w:rsidR="005536B3">
        <w:rPr>
          <w:sz w:val="24"/>
          <w:szCs w:val="24"/>
        </w:rPr>
        <w:t>Pub. L. 98–473</w:t>
      </w:r>
      <w:r w:rsidRPr="00944BA5">
        <w:rPr>
          <w:sz w:val="24"/>
          <w:szCs w:val="24"/>
        </w:rPr>
        <w:t xml:space="preserve">; and </w:t>
      </w:r>
      <w:bookmarkStart w:name="_GoBack" w:id="0"/>
      <w:r w:rsidRPr="00944BA5">
        <w:rPr>
          <w:sz w:val="24"/>
          <w:szCs w:val="24"/>
        </w:rPr>
        <w:t>Pub. L. 105–83</w:t>
      </w:r>
      <w:bookmarkEnd w:id="0"/>
      <w:r w:rsidRPr="00944BA5">
        <w:rPr>
          <w:sz w:val="24"/>
          <w:szCs w:val="24"/>
        </w:rPr>
        <w:t>.</w:t>
      </w:r>
    </w:p>
    <w:p w:rsidRPr="00944BA5" w:rsidR="00944BA5" w:rsidP="00944BA5" w:rsidRDefault="00944BA5">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2.</w:t>
      </w:r>
      <w:r w:rsidRPr="00944BA5">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944BA5" w:rsidR="00DE1FFE">
        <w:rPr>
          <w:b/>
          <w:sz w:val="24"/>
          <w:szCs w:val="24"/>
        </w:rPr>
        <w:t xml:space="preserve"> </w:t>
      </w:r>
      <w:r w:rsidRPr="00944BA5">
        <w:rPr>
          <w:b/>
          <w:sz w:val="24"/>
          <w:szCs w:val="24"/>
        </w:rPr>
        <w:t xml:space="preserve">Be specific.  If this collection is a form or a questionnaire, every </w:t>
      </w:r>
      <w:r w:rsidRPr="00944BA5" w:rsidR="00DE1FFE">
        <w:rPr>
          <w:b/>
          <w:sz w:val="24"/>
          <w:szCs w:val="24"/>
        </w:rPr>
        <w:t>question needs to be justified.</w:t>
      </w:r>
    </w:p>
    <w:p w:rsidR="0037637A" w:rsidP="00944BA5" w:rsidRDefault="0037637A">
      <w:pPr>
        <w:rPr>
          <w:dstrike/>
          <w:sz w:val="24"/>
          <w:szCs w:val="24"/>
          <w:lang w:val="en-CA"/>
        </w:rPr>
      </w:pPr>
    </w:p>
    <w:p w:rsidRPr="00944BA5" w:rsidR="00944BA5" w:rsidP="00944BA5" w:rsidRDefault="00944BA5">
      <w:pPr>
        <w:rPr>
          <w:sz w:val="24"/>
          <w:szCs w:val="24"/>
        </w:rPr>
      </w:pPr>
      <w:r w:rsidRPr="00944BA5">
        <w:rPr>
          <w:dstrike/>
          <w:sz w:val="24"/>
          <w:szCs w:val="24"/>
          <w:lang w:val="en-CA"/>
        </w:rPr>
        <w:fldChar w:fldCharType="begin"/>
      </w:r>
      <w:r w:rsidRPr="00944BA5">
        <w:rPr>
          <w:dstrike/>
          <w:sz w:val="24"/>
          <w:szCs w:val="24"/>
          <w:lang w:val="en-CA"/>
        </w:rPr>
        <w:instrText xml:space="preserve"> SEQ CHAPTER \h \r 1</w:instrText>
      </w:r>
      <w:r w:rsidRPr="00944BA5">
        <w:rPr>
          <w:dstrike/>
          <w:sz w:val="24"/>
          <w:szCs w:val="24"/>
          <w:lang w:val="en-CA"/>
        </w:rPr>
        <w:fldChar w:fldCharType="end"/>
      </w:r>
      <w:r w:rsidRPr="00944BA5">
        <w:rPr>
          <w:sz w:val="24"/>
          <w:szCs w:val="24"/>
        </w:rPr>
        <w:t>Applicants must p</w:t>
      </w:r>
      <w:r w:rsidR="00290E8F">
        <w:rPr>
          <w:sz w:val="24"/>
          <w:szCs w:val="24"/>
        </w:rPr>
        <w:t>rovide information on BIA Form 5</w:t>
      </w:r>
      <w:r w:rsidRPr="00944BA5">
        <w:rPr>
          <w:sz w:val="24"/>
          <w:szCs w:val="24"/>
        </w:rPr>
        <w:t>-6601 “Application for Assistance/Services” to BIA to request services and document their eligibility for: § 20.325 (burial assistance), § 20.329 (</w:t>
      </w:r>
      <w:r w:rsidR="00C63E30">
        <w:rPr>
          <w:sz w:val="24"/>
          <w:szCs w:val="24"/>
        </w:rPr>
        <w:t>emergency</w:t>
      </w:r>
      <w:r w:rsidRPr="00944BA5" w:rsidR="00C63E30">
        <w:rPr>
          <w:sz w:val="24"/>
          <w:szCs w:val="24"/>
        </w:rPr>
        <w:t xml:space="preserve"> </w:t>
      </w:r>
      <w:r w:rsidRPr="00944BA5">
        <w:rPr>
          <w:sz w:val="24"/>
          <w:szCs w:val="24"/>
        </w:rPr>
        <w:t xml:space="preserve">assistance), § 20.333 (adult care assistance), § 20.400 (children, elderly, families assistance), </w:t>
      </w:r>
      <w:r w:rsidR="00DC1C2B">
        <w:rPr>
          <w:sz w:val="24"/>
          <w:szCs w:val="24"/>
        </w:rPr>
        <w:t>and § 20.5</w:t>
      </w:r>
      <w:r w:rsidRPr="00944BA5">
        <w:rPr>
          <w:sz w:val="24"/>
          <w:szCs w:val="24"/>
        </w:rPr>
        <w:t xml:space="preserve">00 (child assistance).  BIA uses the information provided to determine eligibility for services, ensure uniformity of services, and assure the maintenance of current and accurate records for clear audit data.  All information is collected and retained in secure individual case files. </w:t>
      </w:r>
      <w:r w:rsidR="00DC1C2B">
        <w:rPr>
          <w:sz w:val="24"/>
          <w:szCs w:val="24"/>
        </w:rPr>
        <w:t xml:space="preserve"> </w:t>
      </w:r>
      <w:r w:rsidRPr="00944BA5">
        <w:rPr>
          <w:sz w:val="24"/>
          <w:szCs w:val="24"/>
        </w:rPr>
        <w:t xml:space="preserve">The information collected is also used for budgetary purposes and/or for responses to inquiries from other Federal agencies.  The compilation of data </w:t>
      </w:r>
      <w:r w:rsidR="00C63E30">
        <w:rPr>
          <w:sz w:val="24"/>
          <w:szCs w:val="24"/>
        </w:rPr>
        <w:t>allows</w:t>
      </w:r>
      <w:r w:rsidRPr="00944BA5" w:rsidR="00C63E30">
        <w:rPr>
          <w:sz w:val="24"/>
          <w:szCs w:val="24"/>
        </w:rPr>
        <w:t xml:space="preserve"> </w:t>
      </w:r>
      <w:r w:rsidRPr="00944BA5">
        <w:rPr>
          <w:sz w:val="24"/>
          <w:szCs w:val="24"/>
        </w:rPr>
        <w:t>for quick response to inquiries received.</w:t>
      </w:r>
      <w:r w:rsidR="00EF7C59">
        <w:rPr>
          <w:sz w:val="24"/>
          <w:szCs w:val="24"/>
        </w:rPr>
        <w:t xml:space="preserve"> The only change made to the form was an update to the contact number at the top of the page. </w:t>
      </w:r>
    </w:p>
    <w:p w:rsidRPr="00944BA5" w:rsidR="00944BA5" w:rsidP="00944BA5" w:rsidRDefault="00944BA5">
      <w:pPr>
        <w:rPr>
          <w:sz w:val="24"/>
          <w:szCs w:val="24"/>
        </w:rPr>
      </w:pPr>
    </w:p>
    <w:p w:rsidRPr="00944BA5" w:rsidR="00944BA5" w:rsidP="00944BA5" w:rsidRDefault="00944BA5">
      <w:pPr>
        <w:rPr>
          <w:sz w:val="24"/>
          <w:szCs w:val="24"/>
        </w:rPr>
      </w:pPr>
      <w:r w:rsidRPr="00944BA5">
        <w:rPr>
          <w:sz w:val="24"/>
          <w:szCs w:val="24"/>
          <w:u w:val="single"/>
        </w:rPr>
        <w:t>BIA Form 5-6601 “Application for Assistance/Services”</w:t>
      </w:r>
      <w:r w:rsidRPr="00944BA5">
        <w:rPr>
          <w:sz w:val="24"/>
          <w:szCs w:val="24"/>
        </w:rPr>
        <w:t xml:space="preserve"> is used to identify the applicant and members of the household who may be eligible for service.  Questions pertain to income, sources of income and demographic data such as age, date of birth, income and address.  The first two pages of the application package contain instructions for the form, which begins on page 3.</w:t>
      </w:r>
    </w:p>
    <w:p w:rsidRPr="00944BA5" w:rsidR="00944BA5" w:rsidP="00944BA5" w:rsidRDefault="00944BA5">
      <w:pPr>
        <w:rPr>
          <w:sz w:val="24"/>
          <w:szCs w:val="24"/>
        </w:rPr>
      </w:pPr>
      <w:r w:rsidRPr="00944BA5">
        <w:rPr>
          <w:sz w:val="24"/>
          <w:szCs w:val="24"/>
        </w:rPr>
        <w:t xml:space="preserve">  </w:t>
      </w:r>
    </w:p>
    <w:p w:rsidRPr="00944BA5" w:rsidR="00944BA5" w:rsidP="00944BA5" w:rsidRDefault="00944BA5">
      <w:pPr>
        <w:rPr>
          <w:sz w:val="24"/>
          <w:szCs w:val="24"/>
        </w:rPr>
      </w:pPr>
      <w:r w:rsidRPr="00944BA5">
        <w:rPr>
          <w:sz w:val="24"/>
          <w:szCs w:val="24"/>
        </w:rPr>
        <w:t>The form requires the applicant’s name, tribe</w:t>
      </w:r>
      <w:r w:rsidR="00DC1C2B">
        <w:rPr>
          <w:sz w:val="24"/>
          <w:szCs w:val="24"/>
        </w:rPr>
        <w:t>, tribal enrollment number</w:t>
      </w:r>
      <w:r w:rsidRPr="00944BA5">
        <w:rPr>
          <w:sz w:val="24"/>
          <w:szCs w:val="24"/>
        </w:rPr>
        <w:t>, phone number, mailing address and physical address, as well as directions for how to get to the address.  This information allows the BIA to identify and contact the applicant and allows the BIA case worker to locate the home.  This section of the form also asks for background information on the reason for applying for assistance and the income on which the applicant has been living for the past 3 months</w:t>
      </w:r>
      <w:r w:rsidR="00DC1C2B">
        <w:rPr>
          <w:sz w:val="24"/>
          <w:szCs w:val="24"/>
        </w:rPr>
        <w:t xml:space="preserve"> - </w:t>
      </w:r>
      <w:r w:rsidRPr="00944BA5">
        <w:rPr>
          <w:sz w:val="24"/>
          <w:szCs w:val="24"/>
        </w:rPr>
        <w:t xml:space="preserve">this information allows the BIA case worker to best match the types of assistance BIA can provide to the applicant’s needs.  </w:t>
      </w:r>
    </w:p>
    <w:p w:rsidRPr="00944BA5" w:rsidR="00944BA5" w:rsidP="00944BA5" w:rsidRDefault="00944BA5">
      <w:pPr>
        <w:rPr>
          <w:sz w:val="24"/>
          <w:szCs w:val="24"/>
        </w:rPr>
      </w:pPr>
    </w:p>
    <w:p w:rsidRPr="000B6631" w:rsidR="000B6631" w:rsidP="000B6631" w:rsidRDefault="000B6631">
      <w:pPr>
        <w:numPr>
          <w:ilvl w:val="0"/>
          <w:numId w:val="29"/>
        </w:numPr>
        <w:rPr>
          <w:sz w:val="24"/>
          <w:szCs w:val="24"/>
        </w:rPr>
      </w:pPr>
      <w:r w:rsidRPr="000B6631">
        <w:rPr>
          <w:sz w:val="24"/>
          <w:szCs w:val="24"/>
        </w:rPr>
        <w:t xml:space="preserve">Section I of the form requests a list of members of the household, birth dates, sex, relation to head of household (applicant), marital status, highest grade/degree completed, social security number, and tribal enrollment #.  BIA uses this information to identify each member of the household and determine whether the members qualify as dependents for the purposes of BIA assistance.  </w:t>
      </w:r>
    </w:p>
    <w:p w:rsidRPr="00944BA5" w:rsidR="00944BA5" w:rsidP="00944BA5" w:rsidRDefault="00944BA5">
      <w:pPr>
        <w:rPr>
          <w:sz w:val="24"/>
          <w:szCs w:val="24"/>
        </w:rPr>
      </w:pPr>
    </w:p>
    <w:p w:rsidRPr="00944BA5" w:rsidR="00944BA5" w:rsidP="00944BA5" w:rsidRDefault="00944BA5">
      <w:pPr>
        <w:numPr>
          <w:ilvl w:val="0"/>
          <w:numId w:val="28"/>
        </w:numPr>
        <w:rPr>
          <w:sz w:val="24"/>
          <w:szCs w:val="24"/>
        </w:rPr>
      </w:pPr>
      <w:r w:rsidRPr="00944BA5">
        <w:rPr>
          <w:sz w:val="24"/>
          <w:szCs w:val="24"/>
        </w:rPr>
        <w:t xml:space="preserve">Section II of the form requests the applicant to identify the type of service(s) requested.  </w:t>
      </w:r>
    </w:p>
    <w:p w:rsidRPr="00944BA5" w:rsidR="00944BA5" w:rsidP="00944BA5" w:rsidRDefault="00944BA5">
      <w:pPr>
        <w:ind w:left="720"/>
        <w:rPr>
          <w:sz w:val="24"/>
          <w:szCs w:val="24"/>
        </w:rPr>
      </w:pPr>
    </w:p>
    <w:p w:rsidRPr="00944BA5" w:rsidR="00944BA5" w:rsidP="00944BA5" w:rsidRDefault="00944BA5">
      <w:pPr>
        <w:numPr>
          <w:ilvl w:val="0"/>
          <w:numId w:val="28"/>
        </w:numPr>
        <w:rPr>
          <w:sz w:val="24"/>
          <w:szCs w:val="24"/>
        </w:rPr>
      </w:pPr>
      <w:r w:rsidRPr="00944BA5">
        <w:rPr>
          <w:sz w:val="24"/>
          <w:szCs w:val="24"/>
        </w:rPr>
        <w:t xml:space="preserve">Section III of the form requests information on whether anyone in the household is earning income and, if so, the amounts earned.  This section also requests the applicant to identify the types and amounts of all earned and unearned incomes. </w:t>
      </w:r>
      <w:r w:rsidR="00DC1C2B">
        <w:rPr>
          <w:sz w:val="24"/>
          <w:szCs w:val="24"/>
        </w:rPr>
        <w:t xml:space="preserve"> </w:t>
      </w:r>
      <w:r w:rsidRPr="00944BA5">
        <w:rPr>
          <w:sz w:val="24"/>
          <w:szCs w:val="24"/>
        </w:rPr>
        <w:t xml:space="preserve">BIA compares this total to the state monthly standard and notes the difference as the monthly amount needed.  The shaded portion of this section provides space for the BIA case worker to document the BIA decision to approve or disapprove.  This section also requires information on whether the applicant has applied for Temporary Assistance for Needy Families (TANF) </w:t>
      </w:r>
      <w:r w:rsidR="00E74675">
        <w:rPr>
          <w:sz w:val="24"/>
          <w:szCs w:val="24"/>
        </w:rPr>
        <w:t>from</w:t>
      </w:r>
      <w:r w:rsidRPr="00944BA5" w:rsidR="00E74675">
        <w:rPr>
          <w:sz w:val="24"/>
          <w:szCs w:val="24"/>
        </w:rPr>
        <w:t xml:space="preserve"> </w:t>
      </w:r>
      <w:r w:rsidRPr="00944BA5">
        <w:rPr>
          <w:sz w:val="24"/>
          <w:szCs w:val="24"/>
        </w:rPr>
        <w:t>the U.S. Department of Health and Human Services.</w:t>
      </w:r>
    </w:p>
    <w:p w:rsidRPr="00944BA5" w:rsidR="00944BA5" w:rsidP="00944BA5" w:rsidRDefault="00944BA5">
      <w:pPr>
        <w:rPr>
          <w:sz w:val="24"/>
          <w:szCs w:val="24"/>
        </w:rPr>
      </w:pPr>
    </w:p>
    <w:p w:rsidR="00944BA5" w:rsidP="00944BA5" w:rsidRDefault="000B6631">
      <w:pPr>
        <w:pStyle w:val="ListParagraph"/>
        <w:rPr>
          <w:sz w:val="24"/>
          <w:szCs w:val="24"/>
        </w:rPr>
      </w:pPr>
      <w:r w:rsidRPr="00944BA5">
        <w:rPr>
          <w:sz w:val="24"/>
          <w:szCs w:val="24"/>
        </w:rPr>
        <w:t xml:space="preserve">Section IV of the form requires the applicant to acknowledge that </w:t>
      </w:r>
      <w:r>
        <w:rPr>
          <w:sz w:val="24"/>
          <w:szCs w:val="24"/>
        </w:rPr>
        <w:t>he or she is</w:t>
      </w:r>
      <w:r w:rsidRPr="00944BA5">
        <w:rPr>
          <w:sz w:val="24"/>
          <w:szCs w:val="24"/>
        </w:rPr>
        <w:t xml:space="preserve"> not committing fraud.  The client’s signature is required to indicate his/her request for assistance and is used for the release of information under the Privacy Act.</w:t>
      </w:r>
    </w:p>
    <w:p w:rsidRPr="00944BA5" w:rsidR="000B6631" w:rsidP="00944BA5" w:rsidRDefault="000B6631">
      <w:pPr>
        <w:pStyle w:val="ListParagraph"/>
        <w:rPr>
          <w:sz w:val="24"/>
          <w:szCs w:val="24"/>
        </w:rPr>
      </w:pPr>
    </w:p>
    <w:p w:rsidRPr="00944BA5" w:rsidR="00944BA5" w:rsidP="00944BA5" w:rsidRDefault="00944BA5">
      <w:pPr>
        <w:rPr>
          <w:sz w:val="24"/>
          <w:szCs w:val="24"/>
        </w:rPr>
      </w:pPr>
      <w:r w:rsidRPr="00944BA5">
        <w:rPr>
          <w:sz w:val="24"/>
          <w:szCs w:val="24"/>
        </w:rPr>
        <w:t xml:space="preserve">Pages 5 through 16 contains information that the BIA case worker will fill in based on information obtained through interviews.  The top of page 5 identifies </w:t>
      </w:r>
      <w:r w:rsidR="00027405">
        <w:rPr>
          <w:sz w:val="24"/>
          <w:szCs w:val="24"/>
        </w:rPr>
        <w:t>these pages</w:t>
      </w:r>
      <w:r w:rsidRPr="00944BA5" w:rsidR="00027405">
        <w:rPr>
          <w:sz w:val="24"/>
          <w:szCs w:val="24"/>
        </w:rPr>
        <w:t xml:space="preserve"> </w:t>
      </w:r>
      <w:r w:rsidRPr="00944BA5">
        <w:rPr>
          <w:sz w:val="24"/>
          <w:szCs w:val="24"/>
        </w:rPr>
        <w:t xml:space="preserve">as for BIA use only; these </w:t>
      </w:r>
      <w:r w:rsidR="00027405">
        <w:rPr>
          <w:sz w:val="24"/>
          <w:szCs w:val="24"/>
        </w:rPr>
        <w:t xml:space="preserve">pages </w:t>
      </w:r>
      <w:r w:rsidRPr="00944BA5">
        <w:rPr>
          <w:sz w:val="24"/>
          <w:szCs w:val="24"/>
        </w:rPr>
        <w:t xml:space="preserve">are also shaded to make clear that the applicant is not responsible for filling them out.  </w:t>
      </w:r>
    </w:p>
    <w:p w:rsidRPr="00944BA5" w:rsidR="00944BA5" w:rsidP="00944BA5" w:rsidRDefault="00944BA5">
      <w:pPr>
        <w:rPr>
          <w:sz w:val="24"/>
          <w:szCs w:val="24"/>
        </w:rPr>
      </w:pPr>
    </w:p>
    <w:p w:rsidRPr="00944BA5" w:rsidR="00944BA5" w:rsidP="00944BA5" w:rsidRDefault="00944BA5">
      <w:pPr>
        <w:rPr>
          <w:sz w:val="24"/>
          <w:szCs w:val="24"/>
        </w:rPr>
      </w:pPr>
      <w:r w:rsidRPr="00944BA5">
        <w:rPr>
          <w:sz w:val="24"/>
          <w:szCs w:val="24"/>
        </w:rPr>
        <w:t xml:space="preserve">Pages 17 through 18 contain the required statements on Privacy Act, the Paperwork Reduction Act, Federal law concerning fraud, the right to appeal the BIA decision, information on eligibility, and reporting requirements.  </w:t>
      </w:r>
    </w:p>
    <w:p w:rsidRPr="00944BA5" w:rsidR="00944BA5" w:rsidP="00944BA5" w:rsidRDefault="00944BA5">
      <w:pPr>
        <w:rPr>
          <w:sz w:val="24"/>
          <w:szCs w:val="24"/>
        </w:rPr>
      </w:pPr>
    </w:p>
    <w:p w:rsidRPr="00944BA5" w:rsidR="00944BA5" w:rsidP="00944BA5" w:rsidRDefault="00944BA5">
      <w:pPr>
        <w:rPr>
          <w:sz w:val="24"/>
          <w:szCs w:val="24"/>
        </w:rPr>
      </w:pPr>
      <w:r w:rsidRPr="00944BA5">
        <w:rPr>
          <w:sz w:val="24"/>
          <w:szCs w:val="24"/>
        </w:rPr>
        <w:t xml:space="preserve">Page 19 contains a Release of Information that the applicant may sign to acknowledge that BIA may release information for purposes directly connected with providing benefits or services on the applicant’s behalf or for legal and investigative action related to fraud.  The release is effective for one year or until rescission (whichever is earlier).  </w:t>
      </w:r>
    </w:p>
    <w:p w:rsidRPr="00944BA5" w:rsidR="00944BA5" w:rsidP="00944BA5" w:rsidRDefault="00944BA5">
      <w:pPr>
        <w:rPr>
          <w:sz w:val="24"/>
          <w:szCs w:val="24"/>
        </w:rPr>
      </w:pPr>
    </w:p>
    <w:p w:rsidRPr="00944BA5" w:rsidR="00944BA5" w:rsidP="00944BA5" w:rsidRDefault="00944BA5">
      <w:pPr>
        <w:rPr>
          <w:sz w:val="24"/>
          <w:szCs w:val="24"/>
        </w:rPr>
      </w:pPr>
      <w:r w:rsidRPr="00944BA5">
        <w:rPr>
          <w:sz w:val="24"/>
          <w:szCs w:val="24"/>
          <w:u w:val="single"/>
        </w:rPr>
        <w:t>BIA Form 5-6602 “Individual Self-Sufficiency/Case Plan”</w:t>
      </w:r>
      <w:r w:rsidRPr="00944BA5">
        <w:rPr>
          <w:sz w:val="24"/>
          <w:szCs w:val="24"/>
        </w:rPr>
        <w:t xml:space="preserve">  Once BIA has determined an applicant to be eligible, a BIA case worker works with the individual to fill out a standardized </w:t>
      </w:r>
      <w:r w:rsidR="00245240">
        <w:rPr>
          <w:sz w:val="24"/>
          <w:szCs w:val="24"/>
        </w:rPr>
        <w:t>Individual Self-Sufficiency/Case Plan (</w:t>
      </w:r>
      <w:r w:rsidRPr="00944BA5">
        <w:rPr>
          <w:sz w:val="24"/>
          <w:szCs w:val="24"/>
        </w:rPr>
        <w:t>ISP</w:t>
      </w:r>
      <w:r w:rsidR="00245240">
        <w:rPr>
          <w:sz w:val="24"/>
          <w:szCs w:val="24"/>
        </w:rPr>
        <w:t>)</w:t>
      </w:r>
      <w:r w:rsidRPr="00944BA5">
        <w:rPr>
          <w:sz w:val="24"/>
          <w:szCs w:val="24"/>
        </w:rPr>
        <w:t xml:space="preserve">, pursuant to 25 CFR § 20.301.  The individual provides information on his or her goals to achieve self-sufficiency and his or her strengths and barriers.  Through discussions with the case worker, the individual and case worker then develop the steps and action plan for self-sufficiency.  BIA has </w:t>
      </w:r>
      <w:r w:rsidRPr="00944BA5" w:rsidR="0017329B">
        <w:rPr>
          <w:sz w:val="24"/>
          <w:szCs w:val="24"/>
        </w:rPr>
        <w:t>established</w:t>
      </w:r>
      <w:r w:rsidRPr="00944BA5">
        <w:rPr>
          <w:sz w:val="24"/>
          <w:szCs w:val="24"/>
        </w:rPr>
        <w:t xml:space="preserve"> a form to standardize this process.  The case worker </w:t>
      </w:r>
      <w:r w:rsidR="00EF048E">
        <w:rPr>
          <w:sz w:val="24"/>
          <w:szCs w:val="24"/>
        </w:rPr>
        <w:t>fills</w:t>
      </w:r>
      <w:r w:rsidRPr="00944BA5">
        <w:rPr>
          <w:sz w:val="24"/>
          <w:szCs w:val="24"/>
        </w:rPr>
        <w:t xml:space="preserve"> out the form, based on discussions with the individual, or the individual will provide input directly onto the form.  Both the case worker and individual sign the form. </w:t>
      </w:r>
      <w:r w:rsidR="00EF7C59">
        <w:rPr>
          <w:sz w:val="24"/>
          <w:szCs w:val="24"/>
        </w:rPr>
        <w:t xml:space="preserve">The only change made to this form was an update to the address in the Privacy Act statement. </w:t>
      </w:r>
    </w:p>
    <w:p w:rsidRPr="00944BA5"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3.</w:t>
      </w:r>
      <w:r w:rsidRPr="00944BA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944BA5" w:rsidR="003B5CB7" w:rsidRDefault="003B5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944BA5" w:rsidP="00944BA5" w:rsidRDefault="00944B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944BA5">
        <w:rPr>
          <w:sz w:val="24"/>
          <w:szCs w:val="24"/>
        </w:rPr>
        <w:t xml:space="preserve">This information collection activity’s use of electronic technology to collect the information, and thus reduce the burden, is accomplished by having case workers enter the information provided by the clients directly into their database.  This does not preclude the tribal organizations from setting up a system that will enable them to easily provide the summary of reporting indicators.  In addition, the application form </w:t>
      </w:r>
      <w:r w:rsidR="00873FAE">
        <w:rPr>
          <w:sz w:val="24"/>
          <w:szCs w:val="24"/>
        </w:rPr>
        <w:t xml:space="preserve">is available on the BIA </w:t>
      </w:r>
      <w:r w:rsidRPr="00944BA5">
        <w:rPr>
          <w:sz w:val="24"/>
          <w:szCs w:val="24"/>
        </w:rPr>
        <w:t xml:space="preserve">website and the standardized ISP </w:t>
      </w:r>
      <w:r w:rsidR="004A6E82">
        <w:rPr>
          <w:sz w:val="24"/>
          <w:szCs w:val="24"/>
        </w:rPr>
        <w:t xml:space="preserve">is </w:t>
      </w:r>
      <w:r w:rsidRPr="00944BA5">
        <w:rPr>
          <w:sz w:val="24"/>
          <w:szCs w:val="24"/>
        </w:rPr>
        <w:t xml:space="preserve">available on the </w:t>
      </w:r>
      <w:r w:rsidR="004A6E82">
        <w:rPr>
          <w:sz w:val="24"/>
          <w:szCs w:val="24"/>
        </w:rPr>
        <w:t>BIA Intranet</w:t>
      </w:r>
      <w:r w:rsidRPr="00944BA5" w:rsidR="004A6E82">
        <w:rPr>
          <w:sz w:val="24"/>
          <w:szCs w:val="24"/>
        </w:rPr>
        <w:t xml:space="preserve"> </w:t>
      </w:r>
      <w:r w:rsidRPr="00944BA5">
        <w:rPr>
          <w:sz w:val="24"/>
          <w:szCs w:val="24"/>
        </w:rPr>
        <w:t>for Bureau personn</w:t>
      </w:r>
      <w:r w:rsidR="0037637A">
        <w:rPr>
          <w:sz w:val="24"/>
          <w:szCs w:val="24"/>
        </w:rPr>
        <w:t>el.  Paper</w:t>
      </w: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end"/>
      </w:r>
      <w:r w:rsidRPr="00944BA5">
        <w:rPr>
          <w:sz w:val="24"/>
          <w:szCs w:val="24"/>
        </w:rPr>
        <w:t xml:space="preserve"> copies will continue to be made available, upon request.  Tribes can request and obtain paper copies through commercial mail or by facsimile.</w:t>
      </w:r>
    </w:p>
    <w:p w:rsidRPr="00944BA5" w:rsidR="00734ABC" w:rsidRDefault="00734A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4.</w:t>
      </w:r>
      <w:r w:rsidRPr="00944BA5">
        <w:rPr>
          <w:b/>
          <w:sz w:val="24"/>
          <w:szCs w:val="24"/>
        </w:rPr>
        <w:tab/>
        <w:t>Describe efforts to identify duplication.  Show specifically why any similar information already available cannot be used or modified for use for the purposes described in Item 2 above.</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944BA5" w:rsidP="00944BA5" w:rsidRDefault="00944BA5">
      <w:pPr>
        <w:rPr>
          <w:sz w:val="24"/>
          <w:szCs w:val="24"/>
        </w:rPr>
      </w:pPr>
      <w:r w:rsidRPr="00944BA5">
        <w:rPr>
          <w:sz w:val="24"/>
          <w:szCs w:val="24"/>
          <w:lang w:val="en-CA"/>
        </w:rPr>
        <w:lastRenderedPageBreak/>
        <w:fldChar w:fldCharType="begin"/>
      </w:r>
      <w:r w:rsidRPr="00944BA5">
        <w:rPr>
          <w:sz w:val="24"/>
          <w:szCs w:val="24"/>
          <w:lang w:val="en-CA"/>
        </w:rPr>
        <w:instrText xml:space="preserve"> SEQ CHAPTER \h \r 1</w:instrText>
      </w:r>
      <w:r w:rsidRPr="00944BA5">
        <w:rPr>
          <w:sz w:val="24"/>
          <w:szCs w:val="24"/>
          <w:lang w:val="en-CA"/>
        </w:rPr>
        <w:fldChar w:fldCharType="end"/>
      </w:r>
      <w:r w:rsidRPr="00944BA5">
        <w:rPr>
          <w:sz w:val="24"/>
          <w:szCs w:val="24"/>
        </w:rPr>
        <w:t xml:space="preserve">This is a unique program offered only to Indians who have no other recourse or resources available to them in order to meet basic essential needs.  The information collection is specific to the applicant’s current situation and environment and is not available elsewhere. </w:t>
      </w:r>
    </w:p>
    <w:p w:rsidRPr="00944BA5" w:rsidR="00734ABC" w:rsidRDefault="00734A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5.</w:t>
      </w:r>
      <w:r w:rsidRPr="00944BA5">
        <w:rPr>
          <w:b/>
          <w:sz w:val="24"/>
          <w:szCs w:val="24"/>
        </w:rPr>
        <w:tab/>
        <w:t>If the collection of information impacts small bus</w:t>
      </w:r>
      <w:r w:rsidRPr="00944BA5" w:rsidR="006E339F">
        <w:rPr>
          <w:b/>
          <w:sz w:val="24"/>
          <w:szCs w:val="24"/>
        </w:rPr>
        <w:t>inesses or other small entities</w:t>
      </w:r>
      <w:r w:rsidRPr="00944BA5">
        <w:rPr>
          <w:b/>
          <w:sz w:val="24"/>
          <w:szCs w:val="24"/>
        </w:rPr>
        <w:t>, describe any methods used to minimize burden.</w:t>
      </w:r>
    </w:p>
    <w:p w:rsidR="0037637A" w:rsidP="00944BA5" w:rsidRDefault="0037637A">
      <w:pPr>
        <w:rPr>
          <w:sz w:val="24"/>
          <w:szCs w:val="24"/>
          <w:lang w:val="en-CA"/>
        </w:rPr>
      </w:pPr>
    </w:p>
    <w:p w:rsidRPr="00944BA5" w:rsidR="00944BA5" w:rsidP="00944BA5" w:rsidRDefault="00944BA5">
      <w:pPr>
        <w:rPr>
          <w:sz w:val="24"/>
          <w:szCs w:val="24"/>
        </w:rPr>
      </w:pP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end"/>
      </w:r>
      <w:r w:rsidRPr="00944BA5">
        <w:rPr>
          <w:sz w:val="24"/>
          <w:szCs w:val="24"/>
        </w:rPr>
        <w:t xml:space="preserve">The data </w:t>
      </w:r>
      <w:r w:rsidR="009E26E0">
        <w:rPr>
          <w:sz w:val="24"/>
          <w:szCs w:val="24"/>
        </w:rPr>
        <w:t xml:space="preserve">is </w:t>
      </w:r>
      <w:r w:rsidRPr="00944BA5">
        <w:rPr>
          <w:sz w:val="24"/>
          <w:szCs w:val="24"/>
        </w:rPr>
        <w:t>collect</w:t>
      </w:r>
      <w:r w:rsidR="009E26E0">
        <w:rPr>
          <w:sz w:val="24"/>
          <w:szCs w:val="24"/>
        </w:rPr>
        <w:t xml:space="preserve">ed </w:t>
      </w:r>
      <w:r w:rsidRPr="00944BA5">
        <w:rPr>
          <w:sz w:val="24"/>
          <w:szCs w:val="24"/>
        </w:rPr>
        <w:t xml:space="preserve">from individuals applying for services from their federally-recognized tribe. </w:t>
      </w:r>
      <w:r w:rsidR="00873FAE">
        <w:rPr>
          <w:sz w:val="24"/>
          <w:szCs w:val="24"/>
        </w:rPr>
        <w:t xml:space="preserve"> </w:t>
      </w:r>
      <w:r w:rsidRPr="00944BA5">
        <w:rPr>
          <w:sz w:val="24"/>
          <w:szCs w:val="24"/>
        </w:rPr>
        <w:t>However, the collection will not have a significant economic impact.  Tribes that have elected to operate this program in lieu of receivin</w:t>
      </w:r>
      <w:r w:rsidR="00F91794">
        <w:rPr>
          <w:sz w:val="24"/>
          <w:szCs w:val="24"/>
        </w:rPr>
        <w:t xml:space="preserve">g direct services from the BIA </w:t>
      </w:r>
      <w:r w:rsidRPr="00944BA5">
        <w:rPr>
          <w:sz w:val="24"/>
          <w:szCs w:val="24"/>
        </w:rPr>
        <w:t xml:space="preserve">are required to use the information derived from the forms to determine eligibility for services of clients applying for services.  The information requested on the form is the minimum needed.  </w:t>
      </w:r>
    </w:p>
    <w:p w:rsidRPr="00944BA5"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6.</w:t>
      </w:r>
      <w:r w:rsidRPr="00944BA5">
        <w:rPr>
          <w:b/>
          <w:sz w:val="24"/>
          <w:szCs w:val="24"/>
        </w:rPr>
        <w:tab/>
        <w:t>Describe the consequence to Federal program or policy activities if the collection is not conducted or is conducted less frequently, as well as any technical or legal obstacles to reducing burden.</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944BA5" w:rsidP="00944BA5" w:rsidRDefault="00944BA5">
      <w:pPr>
        <w:rPr>
          <w:sz w:val="24"/>
          <w:szCs w:val="24"/>
        </w:rPr>
      </w:pP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end"/>
      </w:r>
      <w:r w:rsidRPr="00944BA5">
        <w:rPr>
          <w:sz w:val="24"/>
          <w:szCs w:val="24"/>
        </w:rPr>
        <w:t>Initial collection of this information is necessary to determine eligibility for services and to place an individual or assistance group on active or open case status.  Open cases are reviewed on a semi-annual basis, for the purpose of re-determining eligibility.  In addition, clients are required to report changes in their personal circumstances which may lead to adjustments in eligible services.  Without the individual reporting mechanisms and the system of eligibility of re-determination, overpayments might go undetected.  The limited funding available for this program requires careful distribution based upon need.</w:t>
      </w:r>
    </w:p>
    <w:p w:rsidRPr="00944BA5"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7.</w:t>
      </w:r>
      <w:r w:rsidRPr="00944BA5">
        <w:rPr>
          <w:b/>
          <w:sz w:val="24"/>
          <w:szCs w:val="24"/>
        </w:rPr>
        <w:tab/>
        <w:t>Explain any special circumstances that would cause an information collection to be conducted in a manner:</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44BA5">
        <w:rPr>
          <w:b/>
          <w:sz w:val="24"/>
          <w:szCs w:val="24"/>
        </w:rPr>
        <w:tab/>
        <w:t>*</w:t>
      </w:r>
      <w:r w:rsidRPr="00944BA5">
        <w:rPr>
          <w:b/>
          <w:sz w:val="24"/>
          <w:szCs w:val="24"/>
        </w:rPr>
        <w:tab/>
        <w:t>requiring respondents to report information to the agency more often than quarterly;</w:t>
      </w:r>
    </w:p>
    <w:p w:rsidRPr="00944BA5" w:rsidR="00295103" w:rsidRDefault="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44BA5">
        <w:rPr>
          <w:sz w:val="24"/>
          <w:szCs w:val="24"/>
        </w:rPr>
        <w:tab/>
      </w:r>
      <w:r w:rsidRPr="00944BA5" w:rsidR="00295103">
        <w:rPr>
          <w:b/>
          <w:sz w:val="24"/>
          <w:szCs w:val="24"/>
        </w:rPr>
        <w:t>*</w:t>
      </w:r>
      <w:r w:rsidRPr="00944BA5" w:rsidR="00295103">
        <w:rPr>
          <w:b/>
          <w:sz w:val="24"/>
          <w:szCs w:val="24"/>
        </w:rPr>
        <w:tab/>
        <w:t>requiring respondents to prepare a written response to a collection of information in fewer than 30 days after receipt of it;</w:t>
      </w:r>
    </w:p>
    <w:p w:rsidRPr="00944BA5" w:rsidR="00295103" w:rsidRDefault="00376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sidR="00295103">
        <w:rPr>
          <w:b/>
          <w:sz w:val="24"/>
          <w:szCs w:val="24"/>
        </w:rPr>
        <w:t>*</w:t>
      </w:r>
      <w:r w:rsidRPr="00944BA5" w:rsidR="00295103">
        <w:rPr>
          <w:b/>
          <w:sz w:val="24"/>
          <w:szCs w:val="24"/>
        </w:rPr>
        <w:tab/>
        <w:t>requiring respondents to submit more than an original and two copies of any document;</w:t>
      </w:r>
    </w:p>
    <w:p w:rsidRPr="00944BA5" w:rsidR="00295103" w:rsidRDefault="00376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sidR="00295103">
        <w:rPr>
          <w:b/>
          <w:sz w:val="24"/>
          <w:szCs w:val="24"/>
        </w:rPr>
        <w:t>*</w:t>
      </w:r>
      <w:r w:rsidRPr="00944BA5" w:rsidR="00295103">
        <w:rPr>
          <w:b/>
          <w:sz w:val="24"/>
          <w:szCs w:val="24"/>
        </w:rPr>
        <w:tab/>
        <w:t>requiring respondents to retain records, other than health, medical, government contract, grant-in-aid, or tax records, for more than three years;</w:t>
      </w:r>
    </w:p>
    <w:p w:rsidRPr="00944BA5" w:rsidR="00295103" w:rsidRDefault="00376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sidR="00295103">
        <w:rPr>
          <w:b/>
          <w:sz w:val="24"/>
          <w:szCs w:val="24"/>
        </w:rPr>
        <w:t>*</w:t>
      </w:r>
      <w:r w:rsidRPr="00944BA5" w:rsidR="00295103">
        <w:rPr>
          <w:b/>
          <w:sz w:val="24"/>
          <w:szCs w:val="24"/>
        </w:rPr>
        <w:tab/>
        <w:t>in conne</w:t>
      </w:r>
      <w:r w:rsidRPr="00944BA5" w:rsidR="00352210">
        <w:rPr>
          <w:b/>
          <w:sz w:val="24"/>
          <w:szCs w:val="24"/>
        </w:rPr>
        <w:t>ction with a statistical survey</w:t>
      </w:r>
      <w:r w:rsidRPr="00944BA5" w:rsidR="00295103">
        <w:rPr>
          <w:b/>
          <w:sz w:val="24"/>
          <w:szCs w:val="24"/>
        </w:rPr>
        <w:t xml:space="preserve"> that is not designed to produce valid and reliable results that can be generalized to the universe of study;</w:t>
      </w:r>
    </w:p>
    <w:p w:rsidRPr="00944BA5" w:rsidR="00295103" w:rsidRDefault="00376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sidR="00295103">
        <w:rPr>
          <w:b/>
          <w:sz w:val="24"/>
          <w:szCs w:val="24"/>
        </w:rPr>
        <w:t>*</w:t>
      </w:r>
      <w:r w:rsidRPr="00944BA5" w:rsidR="00295103">
        <w:rPr>
          <w:b/>
          <w:sz w:val="24"/>
          <w:szCs w:val="24"/>
        </w:rPr>
        <w:tab/>
        <w:t>requiring the use of a statistical data classification that has not been reviewed and approved by OMB;</w:t>
      </w:r>
    </w:p>
    <w:p w:rsidRPr="00944BA5" w:rsidR="00295103" w:rsidRDefault="00376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sidR="00295103">
        <w:rPr>
          <w:b/>
          <w:sz w:val="24"/>
          <w:szCs w:val="24"/>
        </w:rPr>
        <w:t>*</w:t>
      </w:r>
      <w:r w:rsidRPr="00944BA5" w:rsidR="00295103">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44BA5" w:rsidR="00295103" w:rsidRDefault="00376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944BA5" w:rsidR="00295103">
        <w:rPr>
          <w:b/>
          <w:sz w:val="24"/>
          <w:szCs w:val="24"/>
        </w:rPr>
        <w:t>*</w:t>
      </w:r>
      <w:r w:rsidRPr="00944BA5" w:rsidR="00295103">
        <w:rPr>
          <w:b/>
          <w:sz w:val="24"/>
          <w:szCs w:val="24"/>
        </w:rPr>
        <w:tab/>
        <w:t>requiring respondents to submit proprietary trade secrets, or other confidential information</w:t>
      </w:r>
      <w:r w:rsidRPr="00944BA5" w:rsidR="00352210">
        <w:rPr>
          <w:b/>
          <w:sz w:val="24"/>
          <w:szCs w:val="24"/>
        </w:rPr>
        <w:t>,</w:t>
      </w:r>
      <w:r w:rsidRPr="00944BA5" w:rsidR="00295103">
        <w:rPr>
          <w:b/>
          <w:sz w:val="24"/>
          <w:szCs w:val="24"/>
        </w:rPr>
        <w:t xml:space="preserve"> unless the agency can demonstrate that it has instituted procedures to protect the information's confidentiality to the extent permitted by law.</w:t>
      </w:r>
    </w:p>
    <w:p w:rsidRPr="00944BA5"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944BA5" w:rsidR="008B1596" w:rsidP="00186A4B" w:rsidRDefault="00944BA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sz w:val="24"/>
          <w:szCs w:val="24"/>
        </w:rPr>
        <w:t xml:space="preserve">The Federal regulations governing this program, 25 CFR 20, require recipients to </w:t>
      </w:r>
      <w:r w:rsidR="00186A4B">
        <w:rPr>
          <w:sz w:val="24"/>
          <w:szCs w:val="24"/>
        </w:rPr>
        <w:t xml:space="preserve">immediately </w:t>
      </w:r>
      <w:r w:rsidR="00F91794">
        <w:rPr>
          <w:sz w:val="24"/>
          <w:szCs w:val="24"/>
        </w:rPr>
        <w:t>inform the BIA</w:t>
      </w:r>
      <w:r w:rsidRPr="00944BA5">
        <w:rPr>
          <w:sz w:val="24"/>
          <w:szCs w:val="24"/>
        </w:rPr>
        <w:t xml:space="preserve"> of any changes in status that may affect their eligibility for or the amount of assistance; this could result in the recipient </w:t>
      </w:r>
      <w:r w:rsidR="00A319A4">
        <w:rPr>
          <w:sz w:val="24"/>
          <w:szCs w:val="24"/>
        </w:rPr>
        <w:t xml:space="preserve">having </w:t>
      </w:r>
      <w:r w:rsidRPr="00944BA5">
        <w:rPr>
          <w:sz w:val="24"/>
          <w:szCs w:val="24"/>
        </w:rPr>
        <w:t xml:space="preserve">to report information more often </w:t>
      </w:r>
      <w:r w:rsidR="00A319A4">
        <w:rPr>
          <w:sz w:val="24"/>
          <w:szCs w:val="24"/>
        </w:rPr>
        <w:t xml:space="preserve">than </w:t>
      </w:r>
      <w:r w:rsidRPr="00944BA5">
        <w:rPr>
          <w:sz w:val="24"/>
          <w:szCs w:val="24"/>
        </w:rPr>
        <w:t>quarterly.  There are no other special circumstances that would cause information collection to be conducted in any of the above manners.</w:t>
      </w:r>
    </w:p>
    <w:p w:rsidRPr="00944BA5" w:rsidR="00944BA5" w:rsidRDefault="00944B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8.</w:t>
      </w:r>
      <w:r w:rsidRPr="00944BA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944BA5" w:rsidR="00DE1FFE">
        <w:rPr>
          <w:b/>
          <w:sz w:val="24"/>
          <w:szCs w:val="24"/>
        </w:rPr>
        <w:t xml:space="preserve">ved in response to that notice </w:t>
      </w:r>
      <w:r w:rsidRPr="00944BA5">
        <w:rPr>
          <w:b/>
          <w:sz w:val="24"/>
          <w:szCs w:val="24"/>
        </w:rPr>
        <w:t>and in response to the PRA statement associated with the collec</w:t>
      </w:r>
      <w:r w:rsidRPr="00944BA5" w:rsidR="00DE1FFE">
        <w:rPr>
          <w:b/>
          <w:sz w:val="24"/>
          <w:szCs w:val="24"/>
        </w:rPr>
        <w:t xml:space="preserve">tion over the past three years, </w:t>
      </w:r>
      <w:r w:rsidRPr="00944BA5">
        <w:rPr>
          <w:b/>
          <w:sz w:val="24"/>
          <w:szCs w:val="24"/>
        </w:rPr>
        <w:t>and describe actions taken by the agency in response to these comments.  Specifically address comments received on cost and hour burden.</w:t>
      </w:r>
    </w:p>
    <w:p w:rsidRPr="00944BA5" w:rsidR="002C2DA0" w:rsidP="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944BA5" w:rsidR="00602796" w:rsidP="00602796" w:rsidRDefault="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sz w:val="24"/>
          <w:szCs w:val="24"/>
        </w:rPr>
        <w:t>A 60-day notice for public comments was published in the Federal Register on</w:t>
      </w:r>
      <w:r w:rsidR="007A6543">
        <w:rPr>
          <w:sz w:val="24"/>
          <w:szCs w:val="24"/>
        </w:rPr>
        <w:t xml:space="preserve"> </w:t>
      </w:r>
      <w:r w:rsidR="00FA27B2">
        <w:rPr>
          <w:sz w:val="24"/>
          <w:szCs w:val="24"/>
        </w:rPr>
        <w:t>March 24, 2020 (85</w:t>
      </w:r>
      <w:r w:rsidR="007A6543">
        <w:rPr>
          <w:sz w:val="24"/>
          <w:szCs w:val="24"/>
        </w:rPr>
        <w:t xml:space="preserve"> FR 16</w:t>
      </w:r>
      <w:r w:rsidR="00FA27B2">
        <w:rPr>
          <w:sz w:val="24"/>
          <w:szCs w:val="24"/>
        </w:rPr>
        <w:t>651</w:t>
      </w:r>
      <w:r w:rsidR="007A6543">
        <w:rPr>
          <w:sz w:val="24"/>
          <w:szCs w:val="24"/>
        </w:rPr>
        <w:t>)</w:t>
      </w:r>
      <w:r w:rsidR="00F301AC">
        <w:rPr>
          <w:sz w:val="24"/>
          <w:szCs w:val="24"/>
        </w:rPr>
        <w:t xml:space="preserve">.  There were no comments received in response to this notice. </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44BA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44BA5" w:rsidR="00352210">
        <w:rPr>
          <w:b/>
          <w:sz w:val="24"/>
          <w:szCs w:val="24"/>
        </w:rPr>
        <w:t>.</w:t>
      </w:r>
    </w:p>
    <w:p w:rsidRPr="00944BA5" w:rsidR="003B5CB7" w:rsidP="002C2DA0" w:rsidRDefault="003B5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44BA5">
        <w:rPr>
          <w:b/>
          <w:sz w:val="24"/>
          <w:szCs w:val="24"/>
        </w:rPr>
        <w:t xml:space="preserve">Consultation with representatives of those from whom information is to be obtained or those who must compile records should occur at least once every </w:t>
      </w:r>
      <w:r w:rsidRPr="00944BA5" w:rsidR="00352210">
        <w:rPr>
          <w:b/>
          <w:sz w:val="24"/>
          <w:szCs w:val="24"/>
        </w:rPr>
        <w:t>three</w:t>
      </w:r>
      <w:r w:rsidRPr="00944BA5">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Pr="00F301AC" w:rsidR="004D1538" w:rsidP="00944BA5" w:rsidRDefault="004D15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301AC" w:rsidR="000B6631" w:rsidP="000B6631" w:rsidRDefault="000B66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1AC">
        <w:rPr>
          <w:sz w:val="24"/>
          <w:szCs w:val="24"/>
        </w:rPr>
        <w:t xml:space="preserve">BIA case workers conduct ongoing review and discussion of this information </w:t>
      </w:r>
      <w:r>
        <w:rPr>
          <w:sz w:val="24"/>
          <w:szCs w:val="24"/>
        </w:rPr>
        <w:t xml:space="preserve">collection </w:t>
      </w:r>
      <w:r w:rsidRPr="00F301AC">
        <w:rPr>
          <w:sz w:val="24"/>
          <w:szCs w:val="24"/>
        </w:rPr>
        <w:t xml:space="preserve">with program staff when this form is completed and at various social service meetings conducted during the course of each fiscal year. </w:t>
      </w:r>
    </w:p>
    <w:p w:rsidRPr="00F301AC" w:rsidR="000B6631" w:rsidP="000B6631" w:rsidRDefault="000B66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37990" w:rsidR="00F37990" w:rsidP="000B6631" w:rsidRDefault="000B66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301AC">
        <w:rPr>
          <w:sz w:val="24"/>
          <w:szCs w:val="24"/>
        </w:rPr>
        <w:t xml:space="preserve">In addition, the BIA contacted </w:t>
      </w:r>
      <w:r>
        <w:rPr>
          <w:sz w:val="24"/>
          <w:szCs w:val="24"/>
        </w:rPr>
        <w:t>several social se</w:t>
      </w:r>
      <w:r w:rsidR="004D256A">
        <w:rPr>
          <w:sz w:val="24"/>
          <w:szCs w:val="24"/>
        </w:rPr>
        <w:t>rvice employees.  For instance</w:t>
      </w:r>
      <w:r>
        <w:rPr>
          <w:sz w:val="24"/>
          <w:szCs w:val="24"/>
        </w:rPr>
        <w:t xml:space="preserve">, </w:t>
      </w:r>
      <w:r w:rsidR="00533EDD">
        <w:rPr>
          <w:sz w:val="24"/>
          <w:szCs w:val="24"/>
        </w:rPr>
        <w:t xml:space="preserve">a </w:t>
      </w:r>
      <w:r>
        <w:rPr>
          <w:sz w:val="24"/>
          <w:szCs w:val="24"/>
        </w:rPr>
        <w:t>Social Service Representative,</w:t>
      </w:r>
      <w:r w:rsidRPr="00F301AC">
        <w:rPr>
          <w:sz w:val="24"/>
          <w:szCs w:val="24"/>
        </w:rPr>
        <w:t xml:space="preserve"> at the </w:t>
      </w:r>
      <w:r w:rsidR="00E1266D">
        <w:rPr>
          <w:sz w:val="24"/>
          <w:szCs w:val="24"/>
        </w:rPr>
        <w:t xml:space="preserve">Turtle Mountain </w:t>
      </w:r>
      <w:r w:rsidR="00FA27B2">
        <w:rPr>
          <w:sz w:val="24"/>
          <w:szCs w:val="24"/>
        </w:rPr>
        <w:t>Agency,</w:t>
      </w:r>
      <w:r w:rsidR="00C12691">
        <w:rPr>
          <w:sz w:val="24"/>
          <w:szCs w:val="24"/>
        </w:rPr>
        <w:t xml:space="preserve"> </w:t>
      </w:r>
      <w:r>
        <w:rPr>
          <w:sz w:val="24"/>
          <w:szCs w:val="24"/>
        </w:rPr>
        <w:t xml:space="preserve">was asked about the form. </w:t>
      </w:r>
      <w:r w:rsidRPr="00F301AC">
        <w:rPr>
          <w:sz w:val="24"/>
          <w:szCs w:val="24"/>
        </w:rPr>
        <w:t xml:space="preserve"> </w:t>
      </w:r>
      <w:r w:rsidR="00533EDD">
        <w:rPr>
          <w:sz w:val="24"/>
          <w:szCs w:val="24"/>
        </w:rPr>
        <w:t xml:space="preserve">This individual </w:t>
      </w:r>
      <w:r w:rsidRPr="00F301AC">
        <w:rPr>
          <w:sz w:val="24"/>
          <w:szCs w:val="24"/>
        </w:rPr>
        <w:t xml:space="preserve">indicated that the application form </w:t>
      </w:r>
      <w:r>
        <w:rPr>
          <w:sz w:val="24"/>
          <w:szCs w:val="24"/>
        </w:rPr>
        <w:t xml:space="preserve">and the instructions are clear.  </w:t>
      </w:r>
      <w:r w:rsidR="00533EDD">
        <w:rPr>
          <w:sz w:val="24"/>
          <w:szCs w:val="24"/>
        </w:rPr>
        <w:t>She</w:t>
      </w:r>
      <w:r w:rsidR="004D256A">
        <w:rPr>
          <w:sz w:val="24"/>
          <w:szCs w:val="24"/>
        </w:rPr>
        <w:t xml:space="preserve"> </w:t>
      </w:r>
      <w:r>
        <w:rPr>
          <w:sz w:val="24"/>
          <w:szCs w:val="24"/>
        </w:rPr>
        <w:t xml:space="preserve">and her fellow colleagues at the Agency did not have any recommended changes.  BIA also spoke with </w:t>
      </w:r>
      <w:r w:rsidR="00C12691">
        <w:rPr>
          <w:sz w:val="24"/>
          <w:szCs w:val="24"/>
        </w:rPr>
        <w:t>regional social w</w:t>
      </w:r>
      <w:r w:rsidR="00E1266D">
        <w:rPr>
          <w:sz w:val="24"/>
          <w:szCs w:val="24"/>
        </w:rPr>
        <w:t>orkers</w:t>
      </w:r>
      <w:r>
        <w:rPr>
          <w:sz w:val="24"/>
          <w:szCs w:val="24"/>
        </w:rPr>
        <w:t xml:space="preserve">, from the BIA </w:t>
      </w:r>
      <w:r w:rsidR="00E1266D">
        <w:rPr>
          <w:sz w:val="24"/>
          <w:szCs w:val="24"/>
        </w:rPr>
        <w:t>Great Plains Regional Office and the Eastern Regional Office</w:t>
      </w:r>
      <w:r>
        <w:rPr>
          <w:sz w:val="24"/>
          <w:szCs w:val="24"/>
        </w:rPr>
        <w:t xml:space="preserve">.  </w:t>
      </w:r>
      <w:r w:rsidR="00C12691">
        <w:rPr>
          <w:sz w:val="24"/>
          <w:szCs w:val="24"/>
        </w:rPr>
        <w:t>Both of the r</w:t>
      </w:r>
      <w:r w:rsidR="00E1266D">
        <w:rPr>
          <w:sz w:val="24"/>
          <w:szCs w:val="24"/>
        </w:rPr>
        <w:t xml:space="preserve">egional </w:t>
      </w:r>
      <w:r w:rsidR="00C12691">
        <w:rPr>
          <w:sz w:val="24"/>
          <w:szCs w:val="24"/>
        </w:rPr>
        <w:t>s</w:t>
      </w:r>
      <w:r w:rsidR="00E1266D">
        <w:rPr>
          <w:sz w:val="24"/>
          <w:szCs w:val="24"/>
        </w:rPr>
        <w:t xml:space="preserve">ocial </w:t>
      </w:r>
      <w:r w:rsidR="00C12691">
        <w:rPr>
          <w:sz w:val="24"/>
          <w:szCs w:val="24"/>
        </w:rPr>
        <w:t>w</w:t>
      </w:r>
      <w:r w:rsidR="00E1266D">
        <w:rPr>
          <w:sz w:val="24"/>
          <w:szCs w:val="24"/>
        </w:rPr>
        <w:t xml:space="preserve">orkers </w:t>
      </w:r>
      <w:r>
        <w:rPr>
          <w:sz w:val="24"/>
          <w:szCs w:val="24"/>
        </w:rPr>
        <w:t xml:space="preserve">agreed that the form is user friendly and did not have any recommended changes.  </w:t>
      </w:r>
      <w:r w:rsidR="00C12691">
        <w:rPr>
          <w:sz w:val="24"/>
          <w:szCs w:val="24"/>
        </w:rPr>
        <w:t>The regional social worker with the Great Plains Region recommended</w:t>
      </w:r>
      <w:r w:rsidR="00E1266D">
        <w:rPr>
          <w:sz w:val="24"/>
          <w:szCs w:val="24"/>
        </w:rPr>
        <w:t xml:space="preserve"> that the </w:t>
      </w:r>
      <w:r w:rsidRPr="00F301AC">
        <w:rPr>
          <w:sz w:val="24"/>
          <w:szCs w:val="24"/>
        </w:rPr>
        <w:t xml:space="preserve">forms be made available in a fillable </w:t>
      </w:r>
      <w:r w:rsidR="00EF048E">
        <w:rPr>
          <w:sz w:val="24"/>
          <w:szCs w:val="24"/>
        </w:rPr>
        <w:t xml:space="preserve">and fileable </w:t>
      </w:r>
      <w:r w:rsidRPr="00F301AC">
        <w:rPr>
          <w:sz w:val="24"/>
          <w:szCs w:val="24"/>
        </w:rPr>
        <w:t>format</w:t>
      </w:r>
      <w:r>
        <w:rPr>
          <w:sz w:val="24"/>
          <w:szCs w:val="24"/>
        </w:rPr>
        <w:t xml:space="preserve">. </w:t>
      </w:r>
      <w:r w:rsidR="00C12691">
        <w:rPr>
          <w:sz w:val="24"/>
          <w:szCs w:val="24"/>
        </w:rPr>
        <w:t>Th</w:t>
      </w:r>
      <w:r w:rsidR="00EF048E">
        <w:rPr>
          <w:sz w:val="24"/>
          <w:szCs w:val="24"/>
        </w:rPr>
        <w:t>e forms are fillable, but must be printed. Fileable forms are</w:t>
      </w:r>
      <w:r w:rsidR="00C12691">
        <w:rPr>
          <w:sz w:val="24"/>
          <w:szCs w:val="24"/>
        </w:rPr>
        <w:t xml:space="preserve"> something that the BIA has been interested in implementing for several years, however</w:t>
      </w:r>
      <w:r>
        <w:rPr>
          <w:sz w:val="24"/>
          <w:szCs w:val="24"/>
        </w:rPr>
        <w:t xml:space="preserve"> </w:t>
      </w:r>
      <w:r w:rsidR="00F37990">
        <w:rPr>
          <w:sz w:val="24"/>
          <w:szCs w:val="24"/>
        </w:rPr>
        <w:t xml:space="preserve">BIA has not been </w:t>
      </w:r>
      <w:r w:rsidR="00C12691">
        <w:rPr>
          <w:sz w:val="24"/>
          <w:szCs w:val="24"/>
        </w:rPr>
        <w:t>granted the necessary permission</w:t>
      </w:r>
      <w:r w:rsidR="00F37990">
        <w:rPr>
          <w:sz w:val="24"/>
          <w:szCs w:val="24"/>
        </w:rPr>
        <w:t xml:space="preserve"> to make the forms available in a fil</w:t>
      </w:r>
      <w:r w:rsidR="00EF048E">
        <w:rPr>
          <w:sz w:val="24"/>
          <w:szCs w:val="24"/>
        </w:rPr>
        <w:t>eabl</w:t>
      </w:r>
      <w:r w:rsidR="00F37990">
        <w:rPr>
          <w:sz w:val="24"/>
          <w:szCs w:val="24"/>
        </w:rPr>
        <w:t>e format</w:t>
      </w:r>
      <w:r w:rsidR="00C12691">
        <w:rPr>
          <w:sz w:val="24"/>
          <w:szCs w:val="24"/>
        </w:rPr>
        <w:t>.</w:t>
      </w:r>
    </w:p>
    <w:p w:rsidR="00986357" w:rsidP="00944BA5" w:rsidRDefault="009863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6357">
        <w:rPr>
          <w:sz w:val="24"/>
          <w:szCs w:val="24"/>
        </w:rPr>
        <w:t>.</w:t>
      </w:r>
    </w:p>
    <w:p w:rsidRPr="00F91794" w:rsidR="00986357" w:rsidP="00944BA5" w:rsidRDefault="009863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lastRenderedPageBreak/>
        <w:t>9.</w:t>
      </w:r>
      <w:r w:rsidRPr="00944BA5">
        <w:rPr>
          <w:b/>
          <w:sz w:val="24"/>
          <w:szCs w:val="24"/>
        </w:rPr>
        <w:tab/>
        <w:t>Explain any decision to provide any payment or gift to respondents, other than remuneration of contractors or grantees.</w:t>
      </w:r>
    </w:p>
    <w:p w:rsidRPr="00944BA5" w:rsidR="00D7712F" w:rsidP="002C2DA0"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944BA5" w:rsidR="00DA3736" w:rsidP="00DA3736" w:rsidRDefault="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sz w:val="24"/>
          <w:szCs w:val="24"/>
        </w:rPr>
        <w:t>No payments or gifts are provided to respondents</w:t>
      </w:r>
      <w:r w:rsidRPr="00944BA5" w:rsidR="009036E9">
        <w:rPr>
          <w:sz w:val="24"/>
          <w:szCs w:val="24"/>
        </w:rPr>
        <w:t>.</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44BA5" w:rsidR="004A6DF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10.</w:t>
      </w:r>
      <w:r w:rsidRPr="00944BA5">
        <w:rPr>
          <w:b/>
          <w:sz w:val="24"/>
          <w:szCs w:val="24"/>
        </w:rPr>
        <w:tab/>
        <w:t>Describe any assurance of confidentiality provided to respondents and the basis for the assurance in statute, regulation, or agency policy.</w:t>
      </w:r>
    </w:p>
    <w:p w:rsidRPr="00944BA5" w:rsidR="003D048D" w:rsidP="003D048D" w:rsidRDefault="003D048D">
      <w:pPr>
        <w:pStyle w:val="NormalWeb"/>
        <w:spacing w:before="0" w:beforeAutospacing="0" w:after="0" w:afterAutospacing="0"/>
        <w:rPr>
          <w:szCs w:val="22"/>
        </w:rPr>
      </w:pPr>
    </w:p>
    <w:p w:rsidRPr="00944BA5" w:rsidR="00944BA5" w:rsidP="00944BA5" w:rsidRDefault="00E039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assurances of confidentiality provided to the respondents for this information </w:t>
      </w:r>
      <w:r w:rsidR="00DE32AB">
        <w:rPr>
          <w:sz w:val="24"/>
          <w:szCs w:val="24"/>
        </w:rPr>
        <w:t xml:space="preserve">collection. </w:t>
      </w:r>
      <w:r w:rsidR="00C464D4">
        <w:rPr>
          <w:sz w:val="24"/>
          <w:szCs w:val="24"/>
        </w:rPr>
        <w:t>The BIA complies with the requirements of the Privacy Act of 1974, as amended, to protect the privacy of respondents.  The system of records for this collection was</w:t>
      </w:r>
      <w:r w:rsidR="00DE32AB">
        <w:rPr>
          <w:sz w:val="24"/>
          <w:szCs w:val="24"/>
        </w:rPr>
        <w:t xml:space="preserve"> </w:t>
      </w:r>
      <w:r w:rsidR="00C464D4">
        <w:rPr>
          <w:sz w:val="24"/>
          <w:szCs w:val="24"/>
        </w:rPr>
        <w:t>published in the Federal Register (76 FR 56787)</w:t>
      </w:r>
      <w:r w:rsidRPr="00944BA5" w:rsidR="00944BA5">
        <w:rPr>
          <w:sz w:val="24"/>
          <w:szCs w:val="24"/>
        </w:rPr>
        <w:t xml:space="preserve">: </w:t>
      </w:r>
      <w:r w:rsidR="00D0554B">
        <w:rPr>
          <w:sz w:val="24"/>
          <w:szCs w:val="24"/>
        </w:rPr>
        <w:t xml:space="preserve"> </w:t>
      </w:r>
      <w:r w:rsidR="00DE32AB">
        <w:rPr>
          <w:sz w:val="24"/>
          <w:szCs w:val="24"/>
        </w:rPr>
        <w:t>System of Records</w:t>
      </w:r>
      <w:r w:rsidRPr="00944BA5" w:rsidR="00944BA5">
        <w:rPr>
          <w:sz w:val="24"/>
          <w:szCs w:val="24"/>
        </w:rPr>
        <w:t xml:space="preserve"> BIA-8, </w:t>
      </w:r>
      <w:r w:rsidR="00DE32AB">
        <w:rPr>
          <w:sz w:val="24"/>
          <w:szCs w:val="24"/>
        </w:rPr>
        <w:t xml:space="preserve">Financial Assistance and Social Services – Case Management System.  </w:t>
      </w:r>
    </w:p>
    <w:p w:rsidRPr="003D048D" w:rsidR="003D048D" w:rsidP="003D048D" w:rsidRDefault="003D048D">
      <w:pPr>
        <w:pStyle w:val="NormalWeb"/>
        <w:spacing w:before="0" w:beforeAutospacing="0" w:after="0" w:afterAutospacing="0"/>
        <w:rPr>
          <w:b/>
          <w:sz w:val="28"/>
        </w:rPr>
      </w:pPr>
    </w:p>
    <w:p w:rsidRPr="002C2DA0"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P="002C2DA0" w:rsidRDefault="00D7712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4289A" w:rsidR="00DA3736" w:rsidP="00DA3736" w:rsidRDefault="00CB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Information about income</w:t>
      </w:r>
      <w:r w:rsidR="00606001">
        <w:rPr>
          <w:sz w:val="24"/>
          <w:szCs w:val="24"/>
        </w:rPr>
        <w:t>, family relationships</w:t>
      </w:r>
      <w:r>
        <w:rPr>
          <w:sz w:val="24"/>
          <w:szCs w:val="24"/>
        </w:rPr>
        <w:t xml:space="preserve"> and demographic data are required to establish eligibility for a benefit.  </w:t>
      </w:r>
      <w:r w:rsidRPr="00F4289A" w:rsidR="00DA3736">
        <w:rPr>
          <w:sz w:val="24"/>
          <w:szCs w:val="24"/>
        </w:rPr>
        <w:t xml:space="preserve">There are no </w:t>
      </w:r>
      <w:r>
        <w:rPr>
          <w:sz w:val="24"/>
          <w:szCs w:val="24"/>
        </w:rPr>
        <w:t xml:space="preserve">other </w:t>
      </w:r>
      <w:r w:rsidRPr="00F4289A" w:rsidR="00DA3736">
        <w:rPr>
          <w:sz w:val="24"/>
          <w:szCs w:val="24"/>
        </w:rPr>
        <w:t xml:space="preserve">questions of a sensitive nature included in the information collected.  </w:t>
      </w:r>
    </w:p>
    <w:p w:rsidRPr="002C2DA0"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rsidRPr="002C2DA0" w:rsidR="008238FA" w:rsidRDefault="008238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2C2DA0"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C2DA0"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Pr="002C2DA0"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C2DA0" w:rsidR="00DE7630">
        <w:rPr>
          <w:b/>
          <w:sz w:val="24"/>
          <w:szCs w:val="24"/>
        </w:rPr>
        <w:t>.</w:t>
      </w:r>
    </w:p>
    <w:p w:rsidRPr="00944BA5" w:rsidR="00734ABC" w:rsidP="00734ABC" w:rsidRDefault="00734A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944BA5" w:rsidP="00944BA5"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sz w:val="24"/>
          <w:szCs w:val="24"/>
        </w:rPr>
        <w:t xml:space="preserve">We estimate </w:t>
      </w: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end"/>
      </w:r>
      <w:r w:rsidRPr="00944BA5">
        <w:rPr>
          <w:sz w:val="24"/>
          <w:szCs w:val="24"/>
          <w:lang w:val="en-CA"/>
        </w:rPr>
        <w:t xml:space="preserve">that on </w:t>
      </w:r>
      <w:r w:rsidRPr="00245240">
        <w:rPr>
          <w:sz w:val="24"/>
          <w:szCs w:val="24"/>
          <w:lang w:val="en-CA"/>
        </w:rPr>
        <w:t>an</w:t>
      </w:r>
      <w:r w:rsidRPr="00245240">
        <w:rPr>
          <w:sz w:val="24"/>
          <w:szCs w:val="24"/>
        </w:rPr>
        <w:t xml:space="preserve"> average, there are </w:t>
      </w:r>
      <w:r w:rsidRPr="00245240" w:rsidR="00C3265A">
        <w:rPr>
          <w:sz w:val="24"/>
          <w:szCs w:val="24"/>
        </w:rPr>
        <w:t>124,000</w:t>
      </w:r>
      <w:r w:rsidRPr="00245240">
        <w:rPr>
          <w:sz w:val="24"/>
          <w:szCs w:val="24"/>
        </w:rPr>
        <w:t xml:space="preserve"> applications for assistance per year.  </w:t>
      </w:r>
      <w:r w:rsidRPr="00245240">
        <w:rPr>
          <w:sz w:val="24"/>
          <w:szCs w:val="24"/>
        </w:rPr>
        <w:lastRenderedPageBreak/>
        <w:t xml:space="preserve">Approximately </w:t>
      </w:r>
      <w:r w:rsidRPr="00245240" w:rsidR="00C3265A">
        <w:rPr>
          <w:sz w:val="24"/>
          <w:szCs w:val="24"/>
        </w:rPr>
        <w:t>72,000</w:t>
      </w:r>
      <w:r w:rsidRPr="00245240">
        <w:rPr>
          <w:sz w:val="24"/>
          <w:szCs w:val="24"/>
        </w:rPr>
        <w:t xml:space="preserve"> of the </w:t>
      </w:r>
      <w:r w:rsidRPr="00245240" w:rsidR="00C3265A">
        <w:rPr>
          <w:sz w:val="24"/>
          <w:szCs w:val="24"/>
        </w:rPr>
        <w:t>124</w:t>
      </w:r>
      <w:r w:rsidRPr="00245240" w:rsidR="00023B62">
        <w:rPr>
          <w:sz w:val="24"/>
          <w:szCs w:val="24"/>
        </w:rPr>
        <w:t>,</w:t>
      </w:r>
      <w:r w:rsidRPr="00245240" w:rsidR="00C3265A">
        <w:rPr>
          <w:sz w:val="24"/>
          <w:szCs w:val="24"/>
        </w:rPr>
        <w:t>000</w:t>
      </w:r>
      <w:r w:rsidRPr="00245240">
        <w:rPr>
          <w:sz w:val="24"/>
          <w:szCs w:val="24"/>
        </w:rPr>
        <w:t xml:space="preserve"> respondents also provide information for an ISP. </w:t>
      </w:r>
      <w:r w:rsidRPr="00245240" w:rsidR="00B56968">
        <w:rPr>
          <w:sz w:val="24"/>
          <w:szCs w:val="24"/>
        </w:rPr>
        <w:t xml:space="preserve"> This results in an estimated annual burden of </w:t>
      </w:r>
      <w:r w:rsidRPr="00245240" w:rsidR="00023B62">
        <w:rPr>
          <w:b/>
          <w:sz w:val="24"/>
          <w:szCs w:val="24"/>
        </w:rPr>
        <w:t>134</w:t>
      </w:r>
      <w:r w:rsidRPr="00245240" w:rsidR="00B56968">
        <w:rPr>
          <w:b/>
          <w:sz w:val="24"/>
          <w:szCs w:val="24"/>
        </w:rPr>
        <w:t>,000 hours</w:t>
      </w:r>
      <w:r w:rsidRPr="00245240" w:rsidR="00B56968">
        <w:rPr>
          <w:sz w:val="24"/>
          <w:szCs w:val="24"/>
        </w:rPr>
        <w:t xml:space="preserve"> or the equivalent annualized cost of </w:t>
      </w:r>
      <w:r w:rsidRPr="00245240" w:rsidR="00B56968">
        <w:rPr>
          <w:b/>
          <w:sz w:val="24"/>
          <w:szCs w:val="24"/>
        </w:rPr>
        <w:t>$</w:t>
      </w:r>
      <w:r w:rsidRPr="00245240" w:rsidR="001B4E51">
        <w:rPr>
          <w:b/>
          <w:sz w:val="24"/>
          <w:szCs w:val="24"/>
        </w:rPr>
        <w:t>5,741,900</w:t>
      </w:r>
      <w:r w:rsidRPr="00245240" w:rsidR="00B56968">
        <w:rPr>
          <w:b/>
          <w:sz w:val="24"/>
          <w:szCs w:val="24"/>
        </w:rPr>
        <w:t>.</w:t>
      </w:r>
      <w:r w:rsidRPr="00944BA5">
        <w:rPr>
          <w:sz w:val="24"/>
          <w:szCs w:val="24"/>
        </w:rPr>
        <w:t xml:space="preserve"> </w:t>
      </w:r>
    </w:p>
    <w:p w:rsidR="008238FA" w:rsidP="00944BA5" w:rsidRDefault="008238F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11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8"/>
        <w:gridCol w:w="1804"/>
        <w:gridCol w:w="1563"/>
        <w:gridCol w:w="1477"/>
        <w:gridCol w:w="1477"/>
        <w:gridCol w:w="1408"/>
        <w:gridCol w:w="2028"/>
      </w:tblGrid>
      <w:tr w:rsidRPr="00944BA5" w:rsidR="00536764" w:rsidTr="00C82122">
        <w:tc>
          <w:tcPr>
            <w:tcW w:w="1458"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D</w:t>
            </w:r>
            <w:r w:rsidRPr="00EA6032">
              <w:rPr>
                <w:b/>
                <w:bCs/>
                <w:sz w:val="24"/>
                <w:szCs w:val="24"/>
              </w:rPr>
              <w:t>escription</w:t>
            </w:r>
          </w:p>
        </w:tc>
        <w:tc>
          <w:tcPr>
            <w:tcW w:w="1804"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A6032">
              <w:rPr>
                <w:b/>
                <w:bCs/>
                <w:sz w:val="24"/>
                <w:szCs w:val="24"/>
              </w:rPr>
              <w:t>Respondents</w:t>
            </w:r>
          </w:p>
        </w:tc>
        <w:tc>
          <w:tcPr>
            <w:tcW w:w="1563"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A6032">
              <w:rPr>
                <w:b/>
                <w:bCs/>
                <w:sz w:val="24"/>
                <w:szCs w:val="24"/>
              </w:rPr>
              <w:t>Responses per Respondent</w:t>
            </w:r>
          </w:p>
        </w:tc>
        <w:tc>
          <w:tcPr>
            <w:tcW w:w="1477" w:type="dxa"/>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Number of Responses</w:t>
            </w:r>
          </w:p>
        </w:tc>
        <w:tc>
          <w:tcPr>
            <w:tcW w:w="1477"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A6032">
              <w:rPr>
                <w:b/>
                <w:bCs/>
                <w:sz w:val="24"/>
                <w:szCs w:val="24"/>
              </w:rPr>
              <w:t>Burden Hours per Response</w:t>
            </w:r>
          </w:p>
        </w:tc>
        <w:tc>
          <w:tcPr>
            <w:tcW w:w="1408"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A6032">
              <w:rPr>
                <w:b/>
                <w:bCs/>
                <w:sz w:val="24"/>
                <w:szCs w:val="24"/>
              </w:rPr>
              <w:t>Total Burden Hours</w:t>
            </w:r>
          </w:p>
        </w:tc>
        <w:tc>
          <w:tcPr>
            <w:tcW w:w="2028" w:type="dxa"/>
            <w:shd w:val="clear" w:color="auto" w:fill="auto"/>
          </w:tcPr>
          <w:p w:rsidRPr="00EA6032" w:rsidR="00536764" w:rsidP="00D0554B"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Cost Burden</w:t>
            </w:r>
          </w:p>
        </w:tc>
      </w:tr>
      <w:tr w:rsidRPr="00944BA5" w:rsidR="00536764" w:rsidTr="00C82122">
        <w:tc>
          <w:tcPr>
            <w:tcW w:w="1458"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Application</w:t>
            </w:r>
          </w:p>
        </w:tc>
        <w:tc>
          <w:tcPr>
            <w:tcW w:w="1804"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124</w:t>
            </w:r>
            <w:r w:rsidRPr="00EA6032">
              <w:rPr>
                <w:bCs/>
                <w:sz w:val="24"/>
                <w:szCs w:val="24"/>
              </w:rPr>
              <w:t>,000</w:t>
            </w:r>
          </w:p>
        </w:tc>
        <w:tc>
          <w:tcPr>
            <w:tcW w:w="1563"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1</w:t>
            </w:r>
          </w:p>
        </w:tc>
        <w:tc>
          <w:tcPr>
            <w:tcW w:w="1477" w:type="dxa"/>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124,000</w:t>
            </w:r>
          </w:p>
        </w:tc>
        <w:tc>
          <w:tcPr>
            <w:tcW w:w="1477"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0.5</w:t>
            </w:r>
          </w:p>
        </w:tc>
        <w:tc>
          <w:tcPr>
            <w:tcW w:w="1408"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62</w:t>
            </w:r>
            <w:r w:rsidRPr="00EA6032">
              <w:rPr>
                <w:bCs/>
                <w:sz w:val="24"/>
                <w:szCs w:val="24"/>
              </w:rPr>
              <w:t>,000</w:t>
            </w:r>
          </w:p>
        </w:tc>
        <w:tc>
          <w:tcPr>
            <w:tcW w:w="2028" w:type="dxa"/>
            <w:shd w:val="clear" w:color="auto" w:fill="auto"/>
            <w:vAlign w:val="bottom"/>
          </w:tcPr>
          <w:p w:rsidRPr="00EA6032" w:rsidR="00536764" w:rsidP="00245240" w:rsidRDefault="00536764">
            <w:pPr>
              <w:rPr>
                <w:color w:val="000000"/>
                <w:sz w:val="24"/>
                <w:szCs w:val="24"/>
              </w:rPr>
            </w:pPr>
            <w:r w:rsidRPr="00EA6032">
              <w:rPr>
                <w:color w:val="000000"/>
                <w:sz w:val="24"/>
                <w:szCs w:val="24"/>
              </w:rPr>
              <w:t xml:space="preserve"> $ </w:t>
            </w:r>
            <w:r w:rsidR="00C12691">
              <w:rPr>
                <w:color w:val="000000"/>
                <w:sz w:val="24"/>
                <w:szCs w:val="24"/>
              </w:rPr>
              <w:t>2,300,200</w:t>
            </w:r>
          </w:p>
        </w:tc>
      </w:tr>
      <w:tr w:rsidRPr="00944BA5" w:rsidR="00536764" w:rsidTr="00C82122">
        <w:trPr>
          <w:trHeight w:val="323"/>
        </w:trPr>
        <w:tc>
          <w:tcPr>
            <w:tcW w:w="1458"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ISP</w:t>
            </w:r>
          </w:p>
        </w:tc>
        <w:tc>
          <w:tcPr>
            <w:tcW w:w="1804"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72</w:t>
            </w:r>
            <w:r w:rsidRPr="00EA6032">
              <w:rPr>
                <w:bCs/>
                <w:sz w:val="24"/>
                <w:szCs w:val="24"/>
              </w:rPr>
              <w:t>,000</w:t>
            </w:r>
          </w:p>
        </w:tc>
        <w:tc>
          <w:tcPr>
            <w:tcW w:w="1563"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1</w:t>
            </w:r>
          </w:p>
        </w:tc>
        <w:tc>
          <w:tcPr>
            <w:tcW w:w="1477" w:type="dxa"/>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72,000</w:t>
            </w:r>
          </w:p>
        </w:tc>
        <w:tc>
          <w:tcPr>
            <w:tcW w:w="1477"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1</w:t>
            </w:r>
          </w:p>
        </w:tc>
        <w:tc>
          <w:tcPr>
            <w:tcW w:w="1408"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72</w:t>
            </w:r>
            <w:r w:rsidRPr="00EA6032">
              <w:rPr>
                <w:bCs/>
                <w:sz w:val="24"/>
                <w:szCs w:val="24"/>
              </w:rPr>
              <w:t>,000</w:t>
            </w:r>
          </w:p>
        </w:tc>
        <w:tc>
          <w:tcPr>
            <w:tcW w:w="2028" w:type="dxa"/>
            <w:shd w:val="clear" w:color="auto" w:fill="auto"/>
            <w:vAlign w:val="bottom"/>
          </w:tcPr>
          <w:p w:rsidRPr="00EA6032" w:rsidR="00536764" w:rsidP="00245240" w:rsidRDefault="00536764">
            <w:pPr>
              <w:rPr>
                <w:color w:val="000000"/>
                <w:sz w:val="24"/>
                <w:szCs w:val="24"/>
              </w:rPr>
            </w:pPr>
            <w:r w:rsidRPr="00EA6032">
              <w:rPr>
                <w:color w:val="000000"/>
                <w:sz w:val="24"/>
                <w:szCs w:val="24"/>
              </w:rPr>
              <w:t xml:space="preserve"> $ </w:t>
            </w:r>
            <w:r w:rsidR="00C12691">
              <w:rPr>
                <w:color w:val="000000"/>
                <w:sz w:val="24"/>
                <w:szCs w:val="24"/>
              </w:rPr>
              <w:t>2,671,200</w:t>
            </w:r>
          </w:p>
        </w:tc>
      </w:tr>
      <w:tr w:rsidRPr="00944BA5" w:rsidR="00536764" w:rsidTr="00C82122">
        <w:tc>
          <w:tcPr>
            <w:tcW w:w="1458"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TOTAL</w:t>
            </w:r>
          </w:p>
        </w:tc>
        <w:tc>
          <w:tcPr>
            <w:tcW w:w="1804"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196,000</w:t>
            </w:r>
          </w:p>
        </w:tc>
        <w:tc>
          <w:tcPr>
            <w:tcW w:w="1563"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tc>
        <w:tc>
          <w:tcPr>
            <w:tcW w:w="1477" w:type="dxa"/>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196,000</w:t>
            </w:r>
          </w:p>
        </w:tc>
        <w:tc>
          <w:tcPr>
            <w:tcW w:w="1477"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tc>
        <w:tc>
          <w:tcPr>
            <w:tcW w:w="1408" w:type="dxa"/>
            <w:shd w:val="clear" w:color="auto" w:fill="auto"/>
          </w:tcPr>
          <w:p w:rsidRPr="00EA6032" w:rsidR="00536764" w:rsidP="00EA6032" w:rsidRDefault="005367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134</w:t>
            </w:r>
            <w:r w:rsidRPr="00EA6032">
              <w:rPr>
                <w:b/>
                <w:bCs/>
                <w:sz w:val="24"/>
                <w:szCs w:val="24"/>
              </w:rPr>
              <w:t>,000</w:t>
            </w:r>
          </w:p>
        </w:tc>
        <w:tc>
          <w:tcPr>
            <w:tcW w:w="2028" w:type="dxa"/>
            <w:shd w:val="clear" w:color="auto" w:fill="auto"/>
            <w:vAlign w:val="bottom"/>
          </w:tcPr>
          <w:p w:rsidRPr="00EA6032" w:rsidR="00536764" w:rsidP="00245240" w:rsidRDefault="00536764">
            <w:pPr>
              <w:rPr>
                <w:b/>
                <w:color w:val="000000"/>
                <w:sz w:val="24"/>
                <w:szCs w:val="24"/>
              </w:rPr>
            </w:pPr>
            <w:r w:rsidRPr="00EA6032">
              <w:rPr>
                <w:b/>
                <w:color w:val="000000"/>
                <w:sz w:val="24"/>
                <w:szCs w:val="24"/>
              </w:rPr>
              <w:t xml:space="preserve"> $  </w:t>
            </w:r>
            <w:r w:rsidR="00C12691">
              <w:rPr>
                <w:b/>
                <w:color w:val="000000"/>
                <w:sz w:val="24"/>
                <w:szCs w:val="24"/>
              </w:rPr>
              <w:t>4,971,400</w:t>
            </w:r>
          </w:p>
        </w:tc>
      </w:tr>
    </w:tbl>
    <w:p w:rsidRPr="00944BA5" w:rsidR="00944BA5" w:rsidP="00944BA5"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944BA5" w:rsidP="00944BA5" w:rsidRDefault="00944BA5">
      <w:pPr>
        <w:rPr>
          <w:sz w:val="24"/>
          <w:szCs w:val="24"/>
        </w:rPr>
      </w:pPr>
      <w:r w:rsidRPr="00944BA5">
        <w:rPr>
          <w:sz w:val="24"/>
          <w:szCs w:val="24"/>
        </w:rPr>
        <w:t xml:space="preserve">*The applicants for the programs covered by Financial Assistance are usually unemployed or under employed.  </w:t>
      </w:r>
    </w:p>
    <w:p w:rsidRPr="00944BA5" w:rsidR="00944BA5" w:rsidP="00944BA5" w:rsidRDefault="00944BA5">
      <w:pPr>
        <w:rPr>
          <w:sz w:val="24"/>
          <w:szCs w:val="24"/>
        </w:rPr>
      </w:pPr>
    </w:p>
    <w:p w:rsidRPr="00C12691" w:rsidR="00C12691" w:rsidP="00C12691" w:rsidRDefault="00C12691">
      <w:pPr>
        <w:rPr>
          <w:sz w:val="22"/>
          <w:szCs w:val="22"/>
        </w:rPr>
      </w:pPr>
      <w:r w:rsidRPr="00C12691">
        <w:rPr>
          <w:sz w:val="24"/>
          <w:szCs w:val="24"/>
        </w:rPr>
        <w:t xml:space="preserve">To obtain the hourly rate, BIA used $37.10, the wages and salaries figure for civilian workers from BLS Release USDL-20-0451 Employer Costs for Employee Compensation—December 2020, Table 2, Employer costs per hour worked for employee compensation and costs as a percent of total compensation: Civilian workers, by major occupational and industry group, at https://www.bls.gov/news.release/pdf/ecec.pdf.  This wage includes a multiplier for benefits.  </w:t>
      </w:r>
    </w:p>
    <w:p w:rsidR="00637254" w:rsidP="00944BA5" w:rsidRDefault="00FF6CF1">
      <w:pPr>
        <w:rPr>
          <w:sz w:val="22"/>
          <w:szCs w:val="22"/>
        </w:rPr>
      </w:pPr>
      <w:hyperlink w:history="1" r:id="rId7">
        <w:r w:rsidRPr="00FE650B" w:rsidR="00637254">
          <w:rPr>
            <w:rStyle w:val="Hyperlink"/>
            <w:sz w:val="22"/>
            <w:szCs w:val="22"/>
          </w:rPr>
          <w:t>https://www.bls.gov/news.release/ecec.toc.htm</w:t>
        </w:r>
      </w:hyperlink>
    </w:p>
    <w:p w:rsidRPr="00944BA5" w:rsidR="0001779A" w:rsidP="0001779A" w:rsidRDefault="0001779A">
      <w:pPr>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13.</w:t>
      </w:r>
      <w:r w:rsidRPr="00944BA5">
        <w:rPr>
          <w:b/>
          <w:sz w:val="24"/>
          <w:szCs w:val="24"/>
        </w:rPr>
        <w:tab/>
        <w:t xml:space="preserve">Provide an estimate of the total annual </w:t>
      </w:r>
      <w:r w:rsidRPr="00944BA5" w:rsidR="00DE1FFE">
        <w:rPr>
          <w:b/>
          <w:sz w:val="24"/>
          <w:szCs w:val="24"/>
        </w:rPr>
        <w:t>non-hour</w:t>
      </w:r>
      <w:r w:rsidRPr="00944BA5">
        <w:rPr>
          <w:b/>
          <w:sz w:val="24"/>
          <w:szCs w:val="24"/>
        </w:rPr>
        <w:t xml:space="preserve"> cost burden to respondents or recordkeepers resulting from the collection of information.  (Do not include the cost of any hour burden </w:t>
      </w:r>
      <w:r w:rsidRPr="00944BA5" w:rsidR="004A6DFA">
        <w:rPr>
          <w:b/>
          <w:sz w:val="24"/>
          <w:szCs w:val="24"/>
        </w:rPr>
        <w:t xml:space="preserve">already reflected </w:t>
      </w:r>
      <w:r w:rsidRPr="00944BA5" w:rsidR="00F73931">
        <w:rPr>
          <w:b/>
          <w:sz w:val="24"/>
          <w:szCs w:val="24"/>
        </w:rPr>
        <w:t>in item 12</w:t>
      </w:r>
      <w:r w:rsidRPr="00944BA5" w:rsidR="004A6DFA">
        <w:rPr>
          <w:b/>
          <w:sz w:val="24"/>
          <w:szCs w:val="24"/>
        </w:rPr>
        <w:t>.)</w:t>
      </w:r>
    </w:p>
    <w:p w:rsidRPr="00944BA5" w:rsidR="008238FA" w:rsidRDefault="008238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44BA5">
        <w:rPr>
          <w:b/>
          <w:sz w:val="24"/>
          <w:szCs w:val="24"/>
        </w:rPr>
        <w:t>*</w:t>
      </w:r>
      <w:r w:rsidRPr="00944BA5">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944BA5" w:rsidR="000257C8">
        <w:rPr>
          <w:b/>
          <w:sz w:val="24"/>
          <w:szCs w:val="24"/>
        </w:rPr>
        <w:t>(</w:t>
      </w:r>
      <w:r w:rsidRPr="00944BA5">
        <w:rPr>
          <w:b/>
          <w:sz w:val="24"/>
          <w:szCs w:val="24"/>
        </w:rPr>
        <w:t>including filing fees paid</w:t>
      </w:r>
      <w:r w:rsidRPr="00944BA5" w:rsidR="000257C8">
        <w:rPr>
          <w:b/>
          <w:sz w:val="24"/>
          <w:szCs w:val="24"/>
        </w:rPr>
        <w:t xml:space="preserve"> for form processing)</w:t>
      </w:r>
      <w:r w:rsidRPr="00944BA5">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44BA5">
        <w:rPr>
          <w:b/>
          <w:sz w:val="24"/>
          <w:szCs w:val="24"/>
        </w:rPr>
        <w:t>*</w:t>
      </w:r>
      <w:r w:rsidRPr="00944BA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44BA5">
        <w:rPr>
          <w:b/>
          <w:sz w:val="24"/>
          <w:szCs w:val="24"/>
        </w:rPr>
        <w:tab/>
        <w:t>*</w:t>
      </w:r>
      <w:r w:rsidRPr="00944BA5">
        <w:rPr>
          <w:b/>
          <w:sz w:val="24"/>
          <w:szCs w:val="24"/>
        </w:rPr>
        <w:tab/>
        <w:t xml:space="preserve">Generally, estimates should not include purchases of equipment or services, or portions thereof, made: (1) prior to October 1, 1995, (2) to achieve regulatory </w:t>
      </w:r>
      <w:r w:rsidRPr="00944BA5">
        <w:rPr>
          <w:b/>
          <w:sz w:val="24"/>
          <w:szCs w:val="24"/>
        </w:rPr>
        <w:lastRenderedPageBreak/>
        <w:t xml:space="preserve">compliance with requirements not associated with the information collection, (3) for reasons other than to provide information or keep records for the </w:t>
      </w:r>
      <w:r w:rsidRPr="00944BA5" w:rsidR="008238FA">
        <w:rPr>
          <w:b/>
          <w:sz w:val="24"/>
          <w:szCs w:val="24"/>
        </w:rPr>
        <w:t>government</w:t>
      </w:r>
      <w:r w:rsidRPr="00944BA5">
        <w:rPr>
          <w:b/>
          <w:sz w:val="24"/>
          <w:szCs w:val="24"/>
        </w:rPr>
        <w:t xml:space="preserve"> or (4) as part of customary and usual business or private practices.</w:t>
      </w:r>
    </w:p>
    <w:p w:rsidRPr="00944BA5" w:rsidR="00D7712F" w:rsidP="002C2DA0"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944BA5" w:rsidP="00944BA5" w:rsidRDefault="00944B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sz w:val="24"/>
          <w:szCs w:val="24"/>
        </w:rPr>
        <w:t xml:space="preserve">The annual cost burden to respondents from total capital and startup costs is estimated to be zero because financial assistance funds are provided to cover administrative costs </w:t>
      </w:r>
      <w:r w:rsidRPr="00944BA5">
        <w:rPr>
          <w:iCs/>
          <w:sz w:val="24"/>
          <w:szCs w:val="24"/>
        </w:rPr>
        <w:t>for</w:t>
      </w:r>
      <w:r w:rsidRPr="00944BA5">
        <w:rPr>
          <w:i/>
          <w:iCs/>
          <w:sz w:val="24"/>
          <w:szCs w:val="24"/>
        </w:rPr>
        <w:t xml:space="preserve"> </w:t>
      </w:r>
      <w:r w:rsidRPr="00944BA5">
        <w:rPr>
          <w:sz w:val="24"/>
          <w:szCs w:val="24"/>
        </w:rPr>
        <w:t xml:space="preserve">tribes managing the program.  </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44BA5"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14.</w:t>
      </w:r>
      <w:r w:rsidRPr="00944BA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944BA5" w:rsidR="0060758B">
        <w:rPr>
          <w:b/>
          <w:sz w:val="24"/>
          <w:szCs w:val="24"/>
        </w:rPr>
        <w:t xml:space="preserve">his collection of information. </w:t>
      </w:r>
    </w:p>
    <w:p w:rsidRPr="00944BA5" w:rsidR="00D7712F" w:rsidP="002C2DA0"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944BA5" w:rsidR="00944BA5" w:rsidP="00944BA5" w:rsidRDefault="00944BA5">
      <w:pPr>
        <w:rPr>
          <w:sz w:val="24"/>
          <w:szCs w:val="24"/>
        </w:rPr>
      </w:pPr>
      <w:r w:rsidRPr="00944BA5">
        <w:rPr>
          <w:sz w:val="24"/>
          <w:szCs w:val="24"/>
          <w:lang w:val="en-CA"/>
        </w:rPr>
        <w:fldChar w:fldCharType="begin"/>
      </w:r>
      <w:r w:rsidRPr="00944BA5">
        <w:rPr>
          <w:sz w:val="24"/>
          <w:szCs w:val="24"/>
          <w:lang w:val="en-CA"/>
        </w:rPr>
        <w:instrText xml:space="preserve"> SEQ CHAPTER \h \r 1</w:instrText>
      </w:r>
      <w:r w:rsidRPr="00944BA5">
        <w:rPr>
          <w:sz w:val="24"/>
          <w:szCs w:val="24"/>
          <w:lang w:val="en-CA"/>
        </w:rPr>
        <w:fldChar w:fldCharType="end"/>
      </w:r>
      <w:r w:rsidRPr="00944BA5">
        <w:rPr>
          <w:sz w:val="24"/>
          <w:szCs w:val="24"/>
        </w:rPr>
        <w:t xml:space="preserve">The estimated annualized cost to the Federal </w:t>
      </w:r>
      <w:r w:rsidR="00A7102B">
        <w:rPr>
          <w:sz w:val="24"/>
          <w:szCs w:val="24"/>
        </w:rPr>
        <w:t>g</w:t>
      </w:r>
      <w:r w:rsidRPr="00944BA5">
        <w:rPr>
          <w:sz w:val="24"/>
          <w:szCs w:val="24"/>
        </w:rPr>
        <w:t xml:space="preserve">overnment for this information collection is summarized in the table below.   </w:t>
      </w:r>
    </w:p>
    <w:p w:rsidRPr="00944BA5" w:rsidR="00944BA5" w:rsidP="00944BA5" w:rsidRDefault="00944BA5">
      <w:pPr>
        <w:rPr>
          <w:sz w:val="24"/>
          <w:szCs w:val="24"/>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4"/>
        <w:gridCol w:w="1737"/>
        <w:gridCol w:w="1603"/>
        <w:gridCol w:w="1520"/>
        <w:gridCol w:w="1427"/>
        <w:gridCol w:w="2207"/>
      </w:tblGrid>
      <w:tr w:rsidRPr="00944BA5" w:rsidR="00944BA5" w:rsidTr="00FA27B2">
        <w:trPr>
          <w:trHeight w:val="1187"/>
        </w:trPr>
        <w:tc>
          <w:tcPr>
            <w:tcW w:w="1604"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A6032">
              <w:rPr>
                <w:b/>
                <w:bCs/>
                <w:sz w:val="24"/>
                <w:szCs w:val="24"/>
              </w:rPr>
              <w:t>Description</w:t>
            </w:r>
          </w:p>
        </w:tc>
        <w:tc>
          <w:tcPr>
            <w:tcW w:w="1737"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A6032">
              <w:rPr>
                <w:b/>
                <w:bCs/>
                <w:sz w:val="24"/>
                <w:szCs w:val="24"/>
              </w:rPr>
              <w:t>Respondents</w:t>
            </w:r>
          </w:p>
        </w:tc>
        <w:tc>
          <w:tcPr>
            <w:tcW w:w="1603"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A6032">
              <w:rPr>
                <w:b/>
                <w:bCs/>
                <w:sz w:val="24"/>
                <w:szCs w:val="24"/>
              </w:rPr>
              <w:t>Responses per Respondent</w:t>
            </w:r>
          </w:p>
        </w:tc>
        <w:tc>
          <w:tcPr>
            <w:tcW w:w="1520"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A6032">
              <w:rPr>
                <w:b/>
                <w:bCs/>
                <w:sz w:val="24"/>
                <w:szCs w:val="24"/>
              </w:rPr>
              <w:t>Federal Burden Hours per Response</w:t>
            </w:r>
          </w:p>
        </w:tc>
        <w:tc>
          <w:tcPr>
            <w:tcW w:w="1427" w:type="dxa"/>
            <w:shd w:val="clear" w:color="auto" w:fill="auto"/>
          </w:tcPr>
          <w:p w:rsidR="001B4E51"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A6032">
              <w:rPr>
                <w:b/>
                <w:bCs/>
                <w:sz w:val="24"/>
                <w:szCs w:val="24"/>
              </w:rPr>
              <w:t xml:space="preserve">Total </w:t>
            </w:r>
          </w:p>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A6032">
              <w:rPr>
                <w:b/>
                <w:bCs/>
                <w:sz w:val="24"/>
                <w:szCs w:val="24"/>
              </w:rPr>
              <w:t>Burden Hours</w:t>
            </w:r>
          </w:p>
        </w:tc>
        <w:tc>
          <w:tcPr>
            <w:tcW w:w="2207" w:type="dxa"/>
            <w:shd w:val="clear" w:color="auto" w:fill="auto"/>
          </w:tcPr>
          <w:p w:rsidRPr="00EA6032" w:rsidR="00944BA5" w:rsidP="00392CC2" w:rsidRDefault="004D153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A6032">
              <w:rPr>
                <w:b/>
                <w:bCs/>
                <w:sz w:val="24"/>
                <w:szCs w:val="24"/>
              </w:rPr>
              <w:t>Salary Cost ($</w:t>
            </w:r>
            <w:r w:rsidR="00392CC2">
              <w:rPr>
                <w:b/>
                <w:bCs/>
                <w:sz w:val="24"/>
                <w:szCs w:val="24"/>
              </w:rPr>
              <w:t>36.94</w:t>
            </w:r>
            <w:r w:rsidRPr="00EA6032" w:rsidR="00944BA5">
              <w:rPr>
                <w:b/>
                <w:bCs/>
                <w:sz w:val="24"/>
                <w:szCs w:val="24"/>
              </w:rPr>
              <w:t>/hr)*</w:t>
            </w:r>
          </w:p>
        </w:tc>
      </w:tr>
      <w:tr w:rsidRPr="00944BA5" w:rsidR="00944BA5" w:rsidTr="00EA6032">
        <w:tc>
          <w:tcPr>
            <w:tcW w:w="1604"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Application</w:t>
            </w:r>
          </w:p>
        </w:tc>
        <w:tc>
          <w:tcPr>
            <w:tcW w:w="1737" w:type="dxa"/>
            <w:shd w:val="clear" w:color="auto" w:fill="auto"/>
          </w:tcPr>
          <w:p w:rsidRPr="00EA6032" w:rsidR="00944BA5" w:rsidP="00EA6032" w:rsidRDefault="001B4E5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w:t>
            </w:r>
            <w:r w:rsidRPr="00EA6032" w:rsidR="00944BA5">
              <w:rPr>
                <w:bCs/>
                <w:sz w:val="24"/>
                <w:szCs w:val="24"/>
              </w:rPr>
              <w:t>24,000</w:t>
            </w:r>
          </w:p>
        </w:tc>
        <w:tc>
          <w:tcPr>
            <w:tcW w:w="1603"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1</w:t>
            </w:r>
          </w:p>
        </w:tc>
        <w:tc>
          <w:tcPr>
            <w:tcW w:w="1520"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3*</w:t>
            </w:r>
          </w:p>
        </w:tc>
        <w:tc>
          <w:tcPr>
            <w:tcW w:w="1427" w:type="dxa"/>
            <w:shd w:val="clear" w:color="auto" w:fill="auto"/>
          </w:tcPr>
          <w:p w:rsidRPr="00EA6032" w:rsidR="00944BA5" w:rsidP="00EA6032" w:rsidRDefault="001B4E5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372</w:t>
            </w:r>
            <w:r w:rsidRPr="00EA6032" w:rsidR="00944BA5">
              <w:rPr>
                <w:bCs/>
                <w:sz w:val="24"/>
                <w:szCs w:val="24"/>
              </w:rPr>
              <w:t>,000</w:t>
            </w:r>
          </w:p>
        </w:tc>
        <w:tc>
          <w:tcPr>
            <w:tcW w:w="2207" w:type="dxa"/>
            <w:shd w:val="clear" w:color="auto" w:fill="auto"/>
          </w:tcPr>
          <w:p w:rsidRPr="00EA6032" w:rsidR="00944BA5" w:rsidP="00245240"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w:t>
            </w:r>
            <w:r w:rsidR="00392CC2">
              <w:rPr>
                <w:bCs/>
                <w:sz w:val="24"/>
                <w:szCs w:val="24"/>
              </w:rPr>
              <w:t>13,741,680</w:t>
            </w:r>
          </w:p>
        </w:tc>
      </w:tr>
      <w:tr w:rsidRPr="00944BA5" w:rsidR="00944BA5" w:rsidTr="00EA6032">
        <w:tc>
          <w:tcPr>
            <w:tcW w:w="1604"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ISP</w:t>
            </w:r>
          </w:p>
        </w:tc>
        <w:tc>
          <w:tcPr>
            <w:tcW w:w="1737" w:type="dxa"/>
            <w:shd w:val="clear" w:color="auto" w:fill="auto"/>
          </w:tcPr>
          <w:p w:rsidRPr="00EA6032" w:rsidR="00944BA5" w:rsidP="00EA6032" w:rsidRDefault="001B4E5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72</w:t>
            </w:r>
            <w:r w:rsidRPr="00EA6032" w:rsidR="00944BA5">
              <w:rPr>
                <w:bCs/>
                <w:sz w:val="24"/>
                <w:szCs w:val="24"/>
              </w:rPr>
              <w:t>,000</w:t>
            </w:r>
          </w:p>
        </w:tc>
        <w:tc>
          <w:tcPr>
            <w:tcW w:w="1603"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1</w:t>
            </w:r>
          </w:p>
        </w:tc>
        <w:tc>
          <w:tcPr>
            <w:tcW w:w="1520"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1</w:t>
            </w:r>
          </w:p>
        </w:tc>
        <w:tc>
          <w:tcPr>
            <w:tcW w:w="1427"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 xml:space="preserve">  </w:t>
            </w:r>
            <w:r w:rsidR="001B4E51">
              <w:rPr>
                <w:bCs/>
                <w:sz w:val="24"/>
                <w:szCs w:val="24"/>
              </w:rPr>
              <w:t>72</w:t>
            </w:r>
            <w:r w:rsidRPr="00EA6032">
              <w:rPr>
                <w:bCs/>
                <w:sz w:val="24"/>
                <w:szCs w:val="24"/>
              </w:rPr>
              <w:t>,000</w:t>
            </w:r>
          </w:p>
        </w:tc>
        <w:tc>
          <w:tcPr>
            <w:tcW w:w="2207" w:type="dxa"/>
            <w:shd w:val="clear" w:color="auto" w:fill="auto"/>
          </w:tcPr>
          <w:p w:rsidRPr="00EA6032" w:rsidR="00944BA5" w:rsidP="00245240"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6032">
              <w:rPr>
                <w:bCs/>
                <w:sz w:val="24"/>
                <w:szCs w:val="24"/>
              </w:rPr>
              <w:t>$</w:t>
            </w:r>
            <w:r w:rsidR="00392CC2">
              <w:rPr>
                <w:bCs/>
                <w:sz w:val="24"/>
                <w:szCs w:val="24"/>
              </w:rPr>
              <w:t>2,659,680</w:t>
            </w:r>
          </w:p>
        </w:tc>
      </w:tr>
      <w:tr w:rsidRPr="00944BA5" w:rsidR="00944BA5" w:rsidTr="00EA6032">
        <w:tc>
          <w:tcPr>
            <w:tcW w:w="1604" w:type="dxa"/>
            <w:shd w:val="clear" w:color="auto" w:fill="auto"/>
          </w:tcPr>
          <w:p w:rsidRPr="00EA6032" w:rsidR="00944BA5" w:rsidP="00EA6032" w:rsidRDefault="00392CC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TOTAL</w:t>
            </w:r>
          </w:p>
        </w:tc>
        <w:tc>
          <w:tcPr>
            <w:tcW w:w="1737" w:type="dxa"/>
            <w:shd w:val="clear" w:color="auto" w:fill="auto"/>
          </w:tcPr>
          <w:p w:rsidRPr="00EA6032" w:rsidR="00944BA5" w:rsidP="00EA6032" w:rsidRDefault="00392CC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196,000</w:t>
            </w:r>
          </w:p>
        </w:tc>
        <w:tc>
          <w:tcPr>
            <w:tcW w:w="1603"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tc>
        <w:tc>
          <w:tcPr>
            <w:tcW w:w="1520" w:type="dxa"/>
            <w:shd w:val="clear" w:color="auto" w:fill="auto"/>
          </w:tcPr>
          <w:p w:rsidRPr="00EA6032" w:rsidR="00944BA5" w:rsidP="00EA6032"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tc>
        <w:tc>
          <w:tcPr>
            <w:tcW w:w="1427" w:type="dxa"/>
            <w:shd w:val="clear" w:color="auto" w:fill="auto"/>
          </w:tcPr>
          <w:p w:rsidRPr="00EA6032" w:rsidR="00944BA5" w:rsidP="00EA6032" w:rsidRDefault="001B4E5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444,000</w:t>
            </w:r>
          </w:p>
        </w:tc>
        <w:tc>
          <w:tcPr>
            <w:tcW w:w="2207" w:type="dxa"/>
            <w:shd w:val="clear" w:color="auto" w:fill="auto"/>
          </w:tcPr>
          <w:p w:rsidRPr="00EA6032" w:rsidR="00944BA5" w:rsidP="00245240" w:rsidRDefault="00944BA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A6032">
              <w:rPr>
                <w:b/>
                <w:bCs/>
                <w:sz w:val="24"/>
                <w:szCs w:val="24"/>
              </w:rPr>
              <w:t>$</w:t>
            </w:r>
            <w:r w:rsidR="00392CC2">
              <w:rPr>
                <w:b/>
                <w:bCs/>
                <w:sz w:val="24"/>
                <w:szCs w:val="24"/>
              </w:rPr>
              <w:t>16,401,360</w:t>
            </w:r>
          </w:p>
        </w:tc>
      </w:tr>
    </w:tbl>
    <w:p w:rsidRPr="00944BA5" w:rsidR="00944BA5" w:rsidP="00944BA5" w:rsidRDefault="00944BA5">
      <w:pPr>
        <w:rPr>
          <w:sz w:val="24"/>
          <w:szCs w:val="24"/>
        </w:rPr>
      </w:pPr>
    </w:p>
    <w:p w:rsidRPr="00944BA5" w:rsidR="00944BA5" w:rsidP="00944BA5" w:rsidRDefault="00944BA5">
      <w:pPr>
        <w:rPr>
          <w:sz w:val="24"/>
          <w:szCs w:val="24"/>
        </w:rPr>
      </w:pPr>
      <w:r w:rsidRPr="00944BA5">
        <w:rPr>
          <w:sz w:val="24"/>
          <w:szCs w:val="24"/>
        </w:rPr>
        <w:t xml:space="preserve">* Based on a range from 1/4 hour to 8 hours because of the varying amount of time it takes to verify the information submitted on the application.  </w:t>
      </w:r>
    </w:p>
    <w:p w:rsidRPr="00944BA5" w:rsidR="00944BA5" w:rsidP="00944BA5" w:rsidRDefault="00944BA5">
      <w:pPr>
        <w:rPr>
          <w:sz w:val="24"/>
          <w:szCs w:val="24"/>
        </w:rPr>
      </w:pPr>
    </w:p>
    <w:p w:rsidRPr="00392CC2" w:rsidR="00A7102B" w:rsidP="00A7102B" w:rsidRDefault="00944BA5">
      <w:pPr>
        <w:rPr>
          <w:sz w:val="24"/>
          <w:szCs w:val="24"/>
        </w:rPr>
      </w:pPr>
      <w:r w:rsidRPr="00944BA5">
        <w:rPr>
          <w:sz w:val="24"/>
          <w:szCs w:val="24"/>
        </w:rPr>
        <w:t xml:space="preserve">The salaries </w:t>
      </w:r>
      <w:r w:rsidR="00A7102B">
        <w:rPr>
          <w:sz w:val="24"/>
          <w:szCs w:val="24"/>
        </w:rPr>
        <w:t xml:space="preserve">of Federal government employees handling the information submitted </w:t>
      </w:r>
      <w:r w:rsidRPr="00944BA5">
        <w:rPr>
          <w:sz w:val="24"/>
          <w:szCs w:val="24"/>
        </w:rPr>
        <w:t xml:space="preserve">range from the equivalent of GS-7/5 to GS-9/8.  For this reason, </w:t>
      </w:r>
      <w:r w:rsidR="00A7102B">
        <w:rPr>
          <w:sz w:val="24"/>
          <w:szCs w:val="24"/>
        </w:rPr>
        <w:t>BIA will use</w:t>
      </w:r>
      <w:r w:rsidRPr="00944BA5">
        <w:rPr>
          <w:sz w:val="24"/>
          <w:szCs w:val="24"/>
        </w:rPr>
        <w:t xml:space="preserve"> GS-8/6 as the average salary. </w:t>
      </w:r>
      <w:r w:rsidR="008238FA">
        <w:rPr>
          <w:sz w:val="24"/>
          <w:szCs w:val="24"/>
        </w:rPr>
        <w:t xml:space="preserve"> </w:t>
      </w:r>
      <w:r w:rsidRPr="00A7102B" w:rsidR="00A7102B">
        <w:rPr>
          <w:sz w:val="24"/>
          <w:szCs w:val="24"/>
        </w:rPr>
        <w:t>The current estimated annual cost to the government has been calculated by using the hourly rate provided by the 20</w:t>
      </w:r>
      <w:r w:rsidR="00C82122">
        <w:rPr>
          <w:sz w:val="24"/>
          <w:szCs w:val="24"/>
        </w:rPr>
        <w:t>20</w:t>
      </w:r>
      <w:r w:rsidRPr="00A7102B" w:rsidR="00A7102B">
        <w:rPr>
          <w:sz w:val="24"/>
          <w:szCs w:val="24"/>
        </w:rPr>
        <w:t xml:space="preserve"> General Schedule Annual Rates by Grade and Step:  GS </w:t>
      </w:r>
      <w:r w:rsidR="00A7102B">
        <w:rPr>
          <w:sz w:val="24"/>
          <w:szCs w:val="24"/>
        </w:rPr>
        <w:t>8</w:t>
      </w:r>
      <w:r w:rsidRPr="00A7102B" w:rsidR="00A7102B">
        <w:rPr>
          <w:sz w:val="24"/>
          <w:szCs w:val="24"/>
        </w:rPr>
        <w:t xml:space="preserve">, Step </w:t>
      </w:r>
      <w:r w:rsidR="00A7102B">
        <w:rPr>
          <w:sz w:val="24"/>
          <w:szCs w:val="24"/>
        </w:rPr>
        <w:t>6</w:t>
      </w:r>
      <w:r w:rsidRPr="00A7102B" w:rsidR="00A7102B">
        <w:rPr>
          <w:sz w:val="24"/>
          <w:szCs w:val="24"/>
        </w:rPr>
        <w:t xml:space="preserve"> ($</w:t>
      </w:r>
      <w:r w:rsidR="00392CC2">
        <w:rPr>
          <w:sz w:val="24"/>
          <w:szCs w:val="24"/>
        </w:rPr>
        <w:t>23.09</w:t>
      </w:r>
      <w:r w:rsidRPr="00A7102B" w:rsidR="00A7102B">
        <w:rPr>
          <w:sz w:val="24"/>
          <w:szCs w:val="24"/>
        </w:rPr>
        <w:t xml:space="preserve">), and a multiplier of 1.6 for benefits for a </w:t>
      </w:r>
      <w:r w:rsidRPr="00392CC2" w:rsidR="00A7102B">
        <w:rPr>
          <w:sz w:val="24"/>
          <w:szCs w:val="24"/>
        </w:rPr>
        <w:t>total of $</w:t>
      </w:r>
      <w:r w:rsidR="00392CC2">
        <w:rPr>
          <w:sz w:val="24"/>
          <w:szCs w:val="24"/>
        </w:rPr>
        <w:t>36.94</w:t>
      </w:r>
      <w:r w:rsidRPr="00392CC2" w:rsidR="00A7102B">
        <w:rPr>
          <w:sz w:val="24"/>
          <w:szCs w:val="24"/>
        </w:rPr>
        <w:t>.  The average work time is estimated at 3 hours per application and 1 hour per ISP.</w:t>
      </w:r>
      <w:r w:rsidRPr="00392CC2" w:rsidR="00392CC2">
        <w:rPr>
          <w:sz w:val="24"/>
          <w:szCs w:val="24"/>
        </w:rPr>
        <w:t xml:space="preserve"> </w:t>
      </w:r>
      <w:r w:rsidRPr="00392CC2" w:rsidR="00392CC2">
        <w:rPr>
          <w:i/>
          <w:sz w:val="24"/>
          <w:szCs w:val="24"/>
        </w:rPr>
        <w:t>See</w:t>
      </w:r>
      <w:r w:rsidRPr="00392CC2" w:rsidR="00392CC2">
        <w:rPr>
          <w:sz w:val="24"/>
          <w:szCs w:val="24"/>
        </w:rPr>
        <w:t xml:space="preserve">  </w:t>
      </w:r>
      <w:hyperlink w:history="1" r:id="rId8">
        <w:r w:rsidRPr="00392CC2" w:rsidR="00392CC2">
          <w:rPr>
            <w:rStyle w:val="Hyperlink"/>
            <w:sz w:val="24"/>
            <w:szCs w:val="24"/>
          </w:rPr>
          <w:t>https://www.opm.gov/policy-data-oversight/pay-leave/salaries-wages/salary-tables/20Tables/html/GS_h.aspx</w:t>
        </w:r>
      </w:hyperlink>
      <w:r w:rsidRPr="00392CC2" w:rsidR="00392CC2">
        <w:rPr>
          <w:sz w:val="24"/>
          <w:szCs w:val="24"/>
        </w:rPr>
        <w:t xml:space="preserve">. </w:t>
      </w:r>
    </w:p>
    <w:p w:rsidR="00A7102B" w:rsidP="00A7102B" w:rsidRDefault="00A7102B">
      <w:pPr>
        <w:rPr>
          <w:sz w:val="24"/>
          <w:szCs w:val="24"/>
        </w:rPr>
      </w:pPr>
    </w:p>
    <w:p w:rsidRPr="00944BA5" w:rsidR="00295103" w:rsidP="00A7102B" w:rsidRDefault="00295103">
      <w:pPr>
        <w:rPr>
          <w:b/>
          <w:sz w:val="24"/>
          <w:szCs w:val="24"/>
        </w:rPr>
      </w:pPr>
      <w:r w:rsidRPr="00944BA5">
        <w:rPr>
          <w:b/>
          <w:sz w:val="24"/>
          <w:szCs w:val="24"/>
        </w:rPr>
        <w:t>15.</w:t>
      </w:r>
      <w:r w:rsidRPr="00944BA5">
        <w:rPr>
          <w:b/>
          <w:sz w:val="24"/>
          <w:szCs w:val="24"/>
        </w:rPr>
        <w:tab/>
        <w:t xml:space="preserve">Explain the reasons for any program changes or adjustments </w:t>
      </w:r>
      <w:r w:rsidRPr="00944BA5" w:rsidR="00F73931">
        <w:rPr>
          <w:b/>
          <w:sz w:val="24"/>
          <w:szCs w:val="24"/>
        </w:rPr>
        <w:t>in hour or cost burden</w:t>
      </w:r>
      <w:r w:rsidRPr="00944BA5" w:rsidR="0060758B">
        <w:rPr>
          <w:b/>
          <w:sz w:val="24"/>
          <w:szCs w:val="24"/>
        </w:rPr>
        <w:t>.</w:t>
      </w:r>
    </w:p>
    <w:p w:rsidR="00D7712F" w:rsidP="002C2DA0" w:rsidRDefault="00D7712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P="0037637A" w:rsidRDefault="0037637A">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program made</w:t>
      </w:r>
      <w:r w:rsidR="00161CBC">
        <w:rPr>
          <w:sz w:val="24"/>
          <w:szCs w:val="24"/>
        </w:rPr>
        <w:t xml:space="preserve"> </w:t>
      </w:r>
      <w:r w:rsidR="008D203A">
        <w:rPr>
          <w:sz w:val="24"/>
          <w:szCs w:val="24"/>
        </w:rPr>
        <w:t xml:space="preserve">minimal </w:t>
      </w:r>
      <w:r w:rsidR="00161CBC">
        <w:rPr>
          <w:sz w:val="24"/>
          <w:szCs w:val="24"/>
        </w:rPr>
        <w:t>changes</w:t>
      </w:r>
      <w:r>
        <w:rPr>
          <w:sz w:val="24"/>
          <w:szCs w:val="24"/>
        </w:rPr>
        <w:t xml:space="preserve"> to the forms to add clarity</w:t>
      </w:r>
      <w:r w:rsidR="00B56968">
        <w:rPr>
          <w:sz w:val="24"/>
          <w:szCs w:val="24"/>
        </w:rPr>
        <w:t xml:space="preserve"> which does not impact the hour or cost burden.</w:t>
      </w:r>
      <w:r>
        <w:rPr>
          <w:sz w:val="24"/>
          <w:szCs w:val="24"/>
        </w:rPr>
        <w:t xml:space="preserve">  </w:t>
      </w:r>
      <w:r w:rsidR="00A7102B">
        <w:rPr>
          <w:sz w:val="24"/>
          <w:szCs w:val="24"/>
        </w:rPr>
        <w:t xml:space="preserve">The cost burden increased due to the increased labor statistics issued by the Bureau of Labor Statistics. </w:t>
      </w:r>
      <w:r w:rsidR="008D203A">
        <w:rPr>
          <w:sz w:val="24"/>
          <w:szCs w:val="24"/>
        </w:rPr>
        <w:t xml:space="preserve">The program updated the mail-stop and the telephone contact information. </w:t>
      </w:r>
      <w:r w:rsidR="00C82122">
        <w:rPr>
          <w:sz w:val="24"/>
          <w:szCs w:val="24"/>
        </w:rPr>
        <w:t xml:space="preserve">The burden estimates changed based on agency estimate of how many applications are received each year, on average. </w:t>
      </w:r>
    </w:p>
    <w:p w:rsidRPr="00944BA5" w:rsidR="0037637A" w:rsidP="00DA3736" w:rsidRDefault="00376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lastRenderedPageBreak/>
        <w:t>16.</w:t>
      </w:r>
      <w:r w:rsidRPr="00944BA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44BA5" w:rsidR="00D7712F" w:rsidP="002C2DA0"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944BA5" w:rsidP="00944BA5" w:rsidRDefault="00944B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BA5">
        <w:rPr>
          <w:sz w:val="24"/>
          <w:szCs w:val="24"/>
        </w:rPr>
        <w:t>There are no plans to publish the results of this collection of information.  However, a summary may be used for budget justification.</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17.</w:t>
      </w:r>
      <w:r w:rsidRPr="00944BA5">
        <w:rPr>
          <w:b/>
          <w:sz w:val="24"/>
          <w:szCs w:val="24"/>
        </w:rPr>
        <w:tab/>
        <w:t>If seeking approval to not display the expiration date for OMB approval of the information collection, explain the reasons that display would be inappropriate.</w:t>
      </w:r>
    </w:p>
    <w:p w:rsidRPr="00944BA5" w:rsidR="00D7712F" w:rsidP="002C2DA0"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9036E9" w:rsidP="009036E9" w:rsidRDefault="001060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BIA </w:t>
      </w:r>
      <w:r w:rsidRPr="00944BA5" w:rsidR="009036E9">
        <w:rPr>
          <w:sz w:val="24"/>
          <w:szCs w:val="22"/>
        </w:rPr>
        <w:t>will display the OMB control number and expiration date on</w:t>
      </w:r>
      <w:r w:rsidRPr="00944BA5" w:rsidR="00734ABC">
        <w:rPr>
          <w:sz w:val="24"/>
          <w:szCs w:val="22"/>
        </w:rPr>
        <w:t xml:space="preserve"> the forms.</w:t>
      </w:r>
      <w:r w:rsidRPr="00944BA5" w:rsidR="009036E9">
        <w:rPr>
          <w:sz w:val="24"/>
          <w:szCs w:val="22"/>
        </w:rPr>
        <w:t xml:space="preserve">   </w:t>
      </w: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44BA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44BA5">
        <w:rPr>
          <w:b/>
          <w:sz w:val="24"/>
          <w:szCs w:val="24"/>
        </w:rPr>
        <w:t>18.</w:t>
      </w:r>
      <w:r w:rsidRPr="00944BA5">
        <w:rPr>
          <w:b/>
          <w:sz w:val="24"/>
          <w:szCs w:val="24"/>
        </w:rPr>
        <w:tab/>
        <w:t xml:space="preserve">Explain each exception to the </w:t>
      </w:r>
      <w:r w:rsidRPr="00944BA5" w:rsidR="005D39A7">
        <w:rPr>
          <w:b/>
          <w:sz w:val="24"/>
          <w:szCs w:val="24"/>
        </w:rPr>
        <w:t xml:space="preserve">topics of the </w:t>
      </w:r>
      <w:r w:rsidRPr="00944BA5">
        <w:rPr>
          <w:b/>
          <w:sz w:val="24"/>
          <w:szCs w:val="24"/>
        </w:rPr>
        <w:t>certification statement identified in "Certification for Paperwork Reduction Act Submissions</w:t>
      </w:r>
      <w:r w:rsidRPr="00944BA5" w:rsidR="005D39A7">
        <w:rPr>
          <w:b/>
          <w:sz w:val="24"/>
          <w:szCs w:val="24"/>
        </w:rPr>
        <w:t>.</w:t>
      </w:r>
      <w:r w:rsidRPr="00944BA5">
        <w:rPr>
          <w:b/>
          <w:sz w:val="24"/>
          <w:szCs w:val="24"/>
        </w:rPr>
        <w:t>"</w:t>
      </w:r>
    </w:p>
    <w:p w:rsidRPr="00944BA5"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44BA5" w:rsidR="00295103"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44BA5">
        <w:rPr>
          <w:sz w:val="24"/>
          <w:szCs w:val="24"/>
        </w:rPr>
        <w:t>There are no exceptions</w:t>
      </w:r>
      <w:r w:rsidRPr="00944BA5" w:rsidR="00D7712F">
        <w:rPr>
          <w:sz w:val="24"/>
          <w:szCs w:val="24"/>
        </w:rPr>
        <w:t>.</w:t>
      </w:r>
    </w:p>
    <w:sectPr w:rsidRPr="00944BA5" w:rsidR="00295103" w:rsidSect="00102D52">
      <w:headerReference w:type="default" r:id="rId9"/>
      <w:footerReference w:type="default" r:id="rId10"/>
      <w:type w:val="continuous"/>
      <w:pgSz w:w="12240" w:h="15840"/>
      <w:pgMar w:top="1440" w:right="1440" w:bottom="1440" w:left="1440" w:header="144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80E" w:rsidRDefault="00B4380E">
      <w:r>
        <w:separator/>
      </w:r>
    </w:p>
  </w:endnote>
  <w:endnote w:type="continuationSeparator" w:id="0">
    <w:p w:rsidR="00B4380E" w:rsidRDefault="00B4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D52" w:rsidRDefault="00102D52">
    <w:pPr>
      <w:pStyle w:val="Footer"/>
      <w:jc w:val="center"/>
    </w:pPr>
    <w:r>
      <w:fldChar w:fldCharType="begin"/>
    </w:r>
    <w:r>
      <w:instrText xml:space="preserve"> PAGE   \* MERGEFORMAT </w:instrText>
    </w:r>
    <w:r>
      <w:fldChar w:fldCharType="separate"/>
    </w:r>
    <w:r w:rsidR="00FF6CF1">
      <w:rPr>
        <w:noProof/>
      </w:rPr>
      <w:t>1</w:t>
    </w:r>
    <w:r>
      <w:rPr>
        <w:noProof/>
      </w:rPr>
      <w:fldChar w:fldCharType="end"/>
    </w:r>
  </w:p>
  <w:p w:rsidR="00102D52" w:rsidRDefault="0010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80E" w:rsidRDefault="00B4380E">
      <w:r>
        <w:separator/>
      </w:r>
    </w:p>
  </w:footnote>
  <w:footnote w:type="continuationSeparator" w:id="0">
    <w:p w:rsidR="00B4380E" w:rsidRDefault="00B4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61" w:rsidRDefault="000C5F6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5B"/>
    <w:multiLevelType w:val="hybridMultilevel"/>
    <w:tmpl w:val="017A0DBC"/>
    <w:lvl w:ilvl="0" w:tplc="6D20DE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50100"/>
    <w:multiLevelType w:val="hybridMultilevel"/>
    <w:tmpl w:val="C336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03B97"/>
    <w:multiLevelType w:val="hybridMultilevel"/>
    <w:tmpl w:val="8694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23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A63654"/>
    <w:multiLevelType w:val="hybridMultilevel"/>
    <w:tmpl w:val="DCC6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663D6"/>
    <w:multiLevelType w:val="hybridMultilevel"/>
    <w:tmpl w:val="2A3459AA"/>
    <w:lvl w:ilvl="0" w:tplc="057CB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68379D"/>
    <w:multiLevelType w:val="hybridMultilevel"/>
    <w:tmpl w:val="5C74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E76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7EC48AA"/>
    <w:multiLevelType w:val="hybridMultilevel"/>
    <w:tmpl w:val="DA64D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416BA6"/>
    <w:multiLevelType w:val="hybridMultilevel"/>
    <w:tmpl w:val="0A666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462FA0"/>
    <w:multiLevelType w:val="hybridMultilevel"/>
    <w:tmpl w:val="B4FC9BD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324243"/>
    <w:multiLevelType w:val="hybridMultilevel"/>
    <w:tmpl w:val="8C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528B1"/>
    <w:multiLevelType w:val="hybridMultilevel"/>
    <w:tmpl w:val="A968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E7C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5F725E"/>
    <w:multiLevelType w:val="hybridMultilevel"/>
    <w:tmpl w:val="8F648CCC"/>
    <w:lvl w:ilvl="0" w:tplc="6D20DE34">
      <w:start w:val="1"/>
      <w:numFmt w:val="low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60502682"/>
    <w:multiLevelType w:val="hybridMultilevel"/>
    <w:tmpl w:val="ECD8A8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36C0287"/>
    <w:multiLevelType w:val="hybridMultilevel"/>
    <w:tmpl w:val="316077D6"/>
    <w:lvl w:ilvl="0" w:tplc="E5D830A4">
      <w:start w:val="1"/>
      <w:numFmt w:val="decimal"/>
      <w:lvlText w:val="%1)"/>
      <w:lvlJc w:val="left"/>
      <w:pPr>
        <w:ind w:left="1080" w:hanging="720"/>
      </w:pPr>
      <w:rPr>
        <w:rFonts w:hint="default"/>
      </w:rPr>
    </w:lvl>
    <w:lvl w:ilvl="1" w:tplc="AA52963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41272A"/>
    <w:multiLevelType w:val="hybridMultilevel"/>
    <w:tmpl w:val="2D42A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3229D2"/>
    <w:multiLevelType w:val="hybridMultilevel"/>
    <w:tmpl w:val="172C442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7" w15:restartNumberingAfterBreak="0">
    <w:nsid w:val="76BB3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25"/>
  </w:num>
  <w:num w:numId="2">
    <w:abstractNumId w:val="1"/>
  </w:num>
  <w:num w:numId="3">
    <w:abstractNumId w:val="15"/>
  </w:num>
  <w:num w:numId="4">
    <w:abstractNumId w:val="22"/>
  </w:num>
  <w:num w:numId="5">
    <w:abstractNumId w:val="16"/>
  </w:num>
  <w:num w:numId="6">
    <w:abstractNumId w:val="9"/>
  </w:num>
  <w:num w:numId="7">
    <w:abstractNumId w:val="28"/>
  </w:num>
  <w:num w:numId="8">
    <w:abstractNumId w:val="17"/>
  </w:num>
  <w:num w:numId="9">
    <w:abstractNumId w:val="6"/>
  </w:num>
  <w:num w:numId="10">
    <w:abstractNumId w:val="0"/>
  </w:num>
  <w:num w:numId="11">
    <w:abstractNumId w:val="19"/>
  </w:num>
  <w:num w:numId="12">
    <w:abstractNumId w:val="18"/>
  </w:num>
  <w:num w:numId="13">
    <w:abstractNumId w:val="12"/>
  </w:num>
  <w:num w:numId="14">
    <w:abstractNumId w:val="4"/>
  </w:num>
  <w:num w:numId="15">
    <w:abstractNumId w:val="27"/>
  </w:num>
  <w:num w:numId="16">
    <w:abstractNumId w:val="8"/>
  </w:num>
  <w:num w:numId="17">
    <w:abstractNumId w:val="20"/>
  </w:num>
  <w:num w:numId="18">
    <w:abstractNumId w:val="23"/>
  </w:num>
  <w:num w:numId="19">
    <w:abstractNumId w:val="26"/>
  </w:num>
  <w:num w:numId="20">
    <w:abstractNumId w:val="24"/>
  </w:num>
  <w:num w:numId="21">
    <w:abstractNumId w:val="13"/>
  </w:num>
  <w:num w:numId="22">
    <w:abstractNumId w:val="21"/>
  </w:num>
  <w:num w:numId="23">
    <w:abstractNumId w:val="5"/>
  </w:num>
  <w:num w:numId="24">
    <w:abstractNumId w:val="10"/>
  </w:num>
  <w:num w:numId="25">
    <w:abstractNumId w:val="14"/>
  </w:num>
  <w:num w:numId="26">
    <w:abstractNumId w:val="3"/>
  </w:num>
  <w:num w:numId="27">
    <w:abstractNumId w:val="11"/>
  </w:num>
  <w:num w:numId="28">
    <w:abstractNumId w:val="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117E9"/>
    <w:rsid w:val="00017149"/>
    <w:rsid w:val="0001779A"/>
    <w:rsid w:val="00023B62"/>
    <w:rsid w:val="000257C8"/>
    <w:rsid w:val="00026233"/>
    <w:rsid w:val="00027405"/>
    <w:rsid w:val="0004015D"/>
    <w:rsid w:val="00047E37"/>
    <w:rsid w:val="00060C04"/>
    <w:rsid w:val="000617A5"/>
    <w:rsid w:val="00065D83"/>
    <w:rsid w:val="000763CA"/>
    <w:rsid w:val="00094C31"/>
    <w:rsid w:val="000B4B9E"/>
    <w:rsid w:val="000B6631"/>
    <w:rsid w:val="000C5F61"/>
    <w:rsid w:val="000D5C78"/>
    <w:rsid w:val="000D6F6E"/>
    <w:rsid w:val="000E0F90"/>
    <w:rsid w:val="000F1C17"/>
    <w:rsid w:val="000F3AF1"/>
    <w:rsid w:val="00102D52"/>
    <w:rsid w:val="0010601C"/>
    <w:rsid w:val="001207A4"/>
    <w:rsid w:val="00132E53"/>
    <w:rsid w:val="00133401"/>
    <w:rsid w:val="00150718"/>
    <w:rsid w:val="00156A20"/>
    <w:rsid w:val="00161CBC"/>
    <w:rsid w:val="00162B02"/>
    <w:rsid w:val="00163D39"/>
    <w:rsid w:val="0016443E"/>
    <w:rsid w:val="00164D7F"/>
    <w:rsid w:val="00165CBD"/>
    <w:rsid w:val="0017329B"/>
    <w:rsid w:val="00176309"/>
    <w:rsid w:val="00186A4B"/>
    <w:rsid w:val="001B41F2"/>
    <w:rsid w:val="001B4E51"/>
    <w:rsid w:val="001B62EC"/>
    <w:rsid w:val="001C40ED"/>
    <w:rsid w:val="001F18F0"/>
    <w:rsid w:val="00201DBB"/>
    <w:rsid w:val="002209DE"/>
    <w:rsid w:val="00245240"/>
    <w:rsid w:val="00290124"/>
    <w:rsid w:val="00290E8F"/>
    <w:rsid w:val="00295103"/>
    <w:rsid w:val="00295547"/>
    <w:rsid w:val="0029770D"/>
    <w:rsid w:val="002B6427"/>
    <w:rsid w:val="002C2DA0"/>
    <w:rsid w:val="002C5967"/>
    <w:rsid w:val="002E4098"/>
    <w:rsid w:val="002E63EC"/>
    <w:rsid w:val="002F1310"/>
    <w:rsid w:val="002F2409"/>
    <w:rsid w:val="002F2A85"/>
    <w:rsid w:val="002F638F"/>
    <w:rsid w:val="003108E5"/>
    <w:rsid w:val="003167C6"/>
    <w:rsid w:val="003277E9"/>
    <w:rsid w:val="00344570"/>
    <w:rsid w:val="00352210"/>
    <w:rsid w:val="0037637A"/>
    <w:rsid w:val="003905A0"/>
    <w:rsid w:val="00392CC2"/>
    <w:rsid w:val="00395167"/>
    <w:rsid w:val="003B4E52"/>
    <w:rsid w:val="003B5CB7"/>
    <w:rsid w:val="003C3292"/>
    <w:rsid w:val="003D048D"/>
    <w:rsid w:val="003F60D5"/>
    <w:rsid w:val="003F705A"/>
    <w:rsid w:val="00402A76"/>
    <w:rsid w:val="00406014"/>
    <w:rsid w:val="0041611C"/>
    <w:rsid w:val="004216FC"/>
    <w:rsid w:val="004476EF"/>
    <w:rsid w:val="004513D0"/>
    <w:rsid w:val="00453209"/>
    <w:rsid w:val="00457864"/>
    <w:rsid w:val="00465CEA"/>
    <w:rsid w:val="00467068"/>
    <w:rsid w:val="00472293"/>
    <w:rsid w:val="0048343B"/>
    <w:rsid w:val="004863DB"/>
    <w:rsid w:val="004A6DFA"/>
    <w:rsid w:val="004A6E82"/>
    <w:rsid w:val="004B74DD"/>
    <w:rsid w:val="004C0E58"/>
    <w:rsid w:val="004D1538"/>
    <w:rsid w:val="004D256A"/>
    <w:rsid w:val="00513244"/>
    <w:rsid w:val="00514DDB"/>
    <w:rsid w:val="005169F6"/>
    <w:rsid w:val="00525467"/>
    <w:rsid w:val="00527C6C"/>
    <w:rsid w:val="005306CF"/>
    <w:rsid w:val="00533EDD"/>
    <w:rsid w:val="00536764"/>
    <w:rsid w:val="00541147"/>
    <w:rsid w:val="00541B72"/>
    <w:rsid w:val="0054570F"/>
    <w:rsid w:val="005536B3"/>
    <w:rsid w:val="00563E17"/>
    <w:rsid w:val="00570FD0"/>
    <w:rsid w:val="005747E7"/>
    <w:rsid w:val="0058672F"/>
    <w:rsid w:val="005A6130"/>
    <w:rsid w:val="005B0F1A"/>
    <w:rsid w:val="005B4E52"/>
    <w:rsid w:val="005B74B3"/>
    <w:rsid w:val="005D39A7"/>
    <w:rsid w:val="005E0031"/>
    <w:rsid w:val="005F65A7"/>
    <w:rsid w:val="00602796"/>
    <w:rsid w:val="00606001"/>
    <w:rsid w:val="0060758B"/>
    <w:rsid w:val="00637254"/>
    <w:rsid w:val="00656866"/>
    <w:rsid w:val="00660616"/>
    <w:rsid w:val="006772B8"/>
    <w:rsid w:val="006A4257"/>
    <w:rsid w:val="006B147A"/>
    <w:rsid w:val="006E339F"/>
    <w:rsid w:val="006E6F0D"/>
    <w:rsid w:val="00701C0C"/>
    <w:rsid w:val="00705F8B"/>
    <w:rsid w:val="00734ABC"/>
    <w:rsid w:val="007568D2"/>
    <w:rsid w:val="00783DB5"/>
    <w:rsid w:val="007851E9"/>
    <w:rsid w:val="00787DAD"/>
    <w:rsid w:val="007911C8"/>
    <w:rsid w:val="00793B28"/>
    <w:rsid w:val="007A471F"/>
    <w:rsid w:val="007A4FEA"/>
    <w:rsid w:val="007A6543"/>
    <w:rsid w:val="007B4270"/>
    <w:rsid w:val="007C233E"/>
    <w:rsid w:val="007C3B51"/>
    <w:rsid w:val="007C5F8E"/>
    <w:rsid w:val="007D0A3A"/>
    <w:rsid w:val="007D70D8"/>
    <w:rsid w:val="007E21B5"/>
    <w:rsid w:val="007F26FF"/>
    <w:rsid w:val="007F3FF6"/>
    <w:rsid w:val="008060CC"/>
    <w:rsid w:val="0081259F"/>
    <w:rsid w:val="00823075"/>
    <w:rsid w:val="008238FA"/>
    <w:rsid w:val="00840B66"/>
    <w:rsid w:val="0086114C"/>
    <w:rsid w:val="008656CA"/>
    <w:rsid w:val="00870405"/>
    <w:rsid w:val="00873FAE"/>
    <w:rsid w:val="00877258"/>
    <w:rsid w:val="008809B0"/>
    <w:rsid w:val="008A170C"/>
    <w:rsid w:val="008B1596"/>
    <w:rsid w:val="008B32F0"/>
    <w:rsid w:val="008D203A"/>
    <w:rsid w:val="008E3FD6"/>
    <w:rsid w:val="008F4D5E"/>
    <w:rsid w:val="009036E9"/>
    <w:rsid w:val="009114A7"/>
    <w:rsid w:val="00912562"/>
    <w:rsid w:val="00944BA5"/>
    <w:rsid w:val="00944C21"/>
    <w:rsid w:val="00950AF9"/>
    <w:rsid w:val="009518B9"/>
    <w:rsid w:val="009658D5"/>
    <w:rsid w:val="00981BB4"/>
    <w:rsid w:val="00986357"/>
    <w:rsid w:val="00997317"/>
    <w:rsid w:val="009B359F"/>
    <w:rsid w:val="009D7B3A"/>
    <w:rsid w:val="009E26E0"/>
    <w:rsid w:val="009E601A"/>
    <w:rsid w:val="009F5F4A"/>
    <w:rsid w:val="00A05A5C"/>
    <w:rsid w:val="00A060EA"/>
    <w:rsid w:val="00A06CF2"/>
    <w:rsid w:val="00A319A4"/>
    <w:rsid w:val="00A44883"/>
    <w:rsid w:val="00A44E36"/>
    <w:rsid w:val="00A63731"/>
    <w:rsid w:val="00A7102B"/>
    <w:rsid w:val="00AB22D1"/>
    <w:rsid w:val="00AD15E5"/>
    <w:rsid w:val="00AE1C42"/>
    <w:rsid w:val="00B17758"/>
    <w:rsid w:val="00B24105"/>
    <w:rsid w:val="00B25BD6"/>
    <w:rsid w:val="00B314EC"/>
    <w:rsid w:val="00B4380E"/>
    <w:rsid w:val="00B56968"/>
    <w:rsid w:val="00B57538"/>
    <w:rsid w:val="00B90B7D"/>
    <w:rsid w:val="00B9190B"/>
    <w:rsid w:val="00B958F3"/>
    <w:rsid w:val="00B96C99"/>
    <w:rsid w:val="00BB196B"/>
    <w:rsid w:val="00BB2A69"/>
    <w:rsid w:val="00BC2F9D"/>
    <w:rsid w:val="00BC3D3B"/>
    <w:rsid w:val="00BC4376"/>
    <w:rsid w:val="00BD158A"/>
    <w:rsid w:val="00BD6937"/>
    <w:rsid w:val="00BF0994"/>
    <w:rsid w:val="00C05E06"/>
    <w:rsid w:val="00C12691"/>
    <w:rsid w:val="00C158F9"/>
    <w:rsid w:val="00C30831"/>
    <w:rsid w:val="00C3265A"/>
    <w:rsid w:val="00C464D4"/>
    <w:rsid w:val="00C5659B"/>
    <w:rsid w:val="00C63E30"/>
    <w:rsid w:val="00C670A9"/>
    <w:rsid w:val="00C82122"/>
    <w:rsid w:val="00C90253"/>
    <w:rsid w:val="00CA1CBD"/>
    <w:rsid w:val="00CB2545"/>
    <w:rsid w:val="00CC6950"/>
    <w:rsid w:val="00CD5E13"/>
    <w:rsid w:val="00CF05FE"/>
    <w:rsid w:val="00D0554B"/>
    <w:rsid w:val="00D12408"/>
    <w:rsid w:val="00D14B43"/>
    <w:rsid w:val="00D15031"/>
    <w:rsid w:val="00D17210"/>
    <w:rsid w:val="00D22692"/>
    <w:rsid w:val="00D249E8"/>
    <w:rsid w:val="00D7712F"/>
    <w:rsid w:val="00D94273"/>
    <w:rsid w:val="00DA23BD"/>
    <w:rsid w:val="00DA3736"/>
    <w:rsid w:val="00DB4284"/>
    <w:rsid w:val="00DC1C2B"/>
    <w:rsid w:val="00DD6E96"/>
    <w:rsid w:val="00DE1FFE"/>
    <w:rsid w:val="00DE32AB"/>
    <w:rsid w:val="00DE46B6"/>
    <w:rsid w:val="00DE7630"/>
    <w:rsid w:val="00DE7C9A"/>
    <w:rsid w:val="00E039DF"/>
    <w:rsid w:val="00E1266D"/>
    <w:rsid w:val="00E12C58"/>
    <w:rsid w:val="00E170A8"/>
    <w:rsid w:val="00E3146C"/>
    <w:rsid w:val="00E6013B"/>
    <w:rsid w:val="00E74342"/>
    <w:rsid w:val="00E74675"/>
    <w:rsid w:val="00E86FF7"/>
    <w:rsid w:val="00EA6032"/>
    <w:rsid w:val="00EC2CC4"/>
    <w:rsid w:val="00ED7D28"/>
    <w:rsid w:val="00EE0848"/>
    <w:rsid w:val="00EE2727"/>
    <w:rsid w:val="00EF048E"/>
    <w:rsid w:val="00EF0764"/>
    <w:rsid w:val="00EF7C59"/>
    <w:rsid w:val="00F03039"/>
    <w:rsid w:val="00F1661D"/>
    <w:rsid w:val="00F20962"/>
    <w:rsid w:val="00F301AC"/>
    <w:rsid w:val="00F33D8C"/>
    <w:rsid w:val="00F37990"/>
    <w:rsid w:val="00F42280"/>
    <w:rsid w:val="00F544E1"/>
    <w:rsid w:val="00F629B6"/>
    <w:rsid w:val="00F73931"/>
    <w:rsid w:val="00F91794"/>
    <w:rsid w:val="00FA27B2"/>
    <w:rsid w:val="00FA4FC9"/>
    <w:rsid w:val="00FA7250"/>
    <w:rsid w:val="00FB4D0B"/>
    <w:rsid w:val="00FB72C3"/>
    <w:rsid w:val="00FD20C6"/>
    <w:rsid w:val="00FD284D"/>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2FB0A"/>
  <w15:chartTrackingRefBased/>
  <w15:docId w15:val="{70A792E1-6ECC-4EEA-82C0-56690997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5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rPr>
      <w:lang w:val="x-none" w:eastAsia="x-none"/>
    </w:r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semiHidden/>
    <w:unhideWhenUsed/>
    <w:rsid w:val="002F638F"/>
    <w:rPr>
      <w:lang w:val="x-none" w:eastAsia="x-none"/>
    </w:rPr>
  </w:style>
  <w:style w:type="character" w:customStyle="1" w:styleId="CommentTextChar">
    <w:name w:val="Comment Text Char"/>
    <w:link w:val="CommentText"/>
    <w:uiPriority w:val="99"/>
    <w:semiHidden/>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rPr>
  </w:style>
  <w:style w:type="character" w:customStyle="1" w:styleId="Hypertext">
    <w:name w:val="Hypertext"/>
    <w:rsid w:val="00734ABC"/>
    <w:rPr>
      <w:color w:val="0000FF"/>
      <w:u w:val="single"/>
    </w:rPr>
  </w:style>
  <w:style w:type="paragraph" w:styleId="Header">
    <w:name w:val="header"/>
    <w:basedOn w:val="Normal"/>
    <w:link w:val="HeaderChar"/>
    <w:uiPriority w:val="99"/>
    <w:unhideWhenUsed/>
    <w:rsid w:val="00102D52"/>
    <w:pPr>
      <w:tabs>
        <w:tab w:val="center" w:pos="4680"/>
        <w:tab w:val="right" w:pos="9360"/>
      </w:tabs>
    </w:pPr>
    <w:rPr>
      <w:lang w:val="x-none" w:eastAsia="x-none"/>
    </w:rPr>
  </w:style>
  <w:style w:type="character" w:customStyle="1" w:styleId="HeaderChar">
    <w:name w:val="Header Char"/>
    <w:link w:val="Header"/>
    <w:uiPriority w:val="99"/>
    <w:rsid w:val="00102D52"/>
    <w:rPr>
      <w:rFonts w:ascii="Times New Roman" w:hAnsi="Times New Roman"/>
    </w:rPr>
  </w:style>
  <w:style w:type="paragraph" w:styleId="Revision">
    <w:name w:val="Revision"/>
    <w:hidden/>
    <w:uiPriority w:val="99"/>
    <w:semiHidden/>
    <w:rsid w:val="0053676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58837">
      <w:bodyDiv w:val="1"/>
      <w:marLeft w:val="0"/>
      <w:marRight w:val="0"/>
      <w:marTop w:val="0"/>
      <w:marBottom w:val="0"/>
      <w:divBdr>
        <w:top w:val="none" w:sz="0" w:space="0" w:color="auto"/>
        <w:left w:val="none" w:sz="0" w:space="0" w:color="auto"/>
        <w:bottom w:val="none" w:sz="0" w:space="0" w:color="auto"/>
        <w:right w:val="none" w:sz="0" w:space="0" w:color="auto"/>
      </w:divBdr>
      <w:divsChild>
        <w:div w:id="383023893">
          <w:marLeft w:val="0"/>
          <w:marRight w:val="0"/>
          <w:marTop w:val="0"/>
          <w:marBottom w:val="0"/>
          <w:divBdr>
            <w:top w:val="none" w:sz="0" w:space="0" w:color="auto"/>
            <w:left w:val="none" w:sz="0" w:space="0" w:color="auto"/>
            <w:bottom w:val="none" w:sz="0" w:space="0" w:color="auto"/>
            <w:right w:val="none" w:sz="0" w:space="0" w:color="auto"/>
          </w:divBdr>
        </w:div>
        <w:div w:id="454451753">
          <w:marLeft w:val="0"/>
          <w:marRight w:val="0"/>
          <w:marTop w:val="0"/>
          <w:marBottom w:val="0"/>
          <w:divBdr>
            <w:top w:val="none" w:sz="0" w:space="0" w:color="auto"/>
            <w:left w:val="none" w:sz="0" w:space="0" w:color="auto"/>
            <w:bottom w:val="none" w:sz="0" w:space="0" w:color="auto"/>
            <w:right w:val="none" w:sz="0" w:space="0" w:color="auto"/>
          </w:divBdr>
        </w:div>
        <w:div w:id="673993565">
          <w:marLeft w:val="0"/>
          <w:marRight w:val="0"/>
          <w:marTop w:val="0"/>
          <w:marBottom w:val="0"/>
          <w:divBdr>
            <w:top w:val="none" w:sz="0" w:space="0" w:color="auto"/>
            <w:left w:val="none" w:sz="0" w:space="0" w:color="auto"/>
            <w:bottom w:val="none" w:sz="0" w:space="0" w:color="auto"/>
            <w:right w:val="none" w:sz="0" w:space="0" w:color="auto"/>
          </w:divBdr>
        </w:div>
        <w:div w:id="757479197">
          <w:marLeft w:val="0"/>
          <w:marRight w:val="0"/>
          <w:marTop w:val="0"/>
          <w:marBottom w:val="0"/>
          <w:divBdr>
            <w:top w:val="none" w:sz="0" w:space="0" w:color="auto"/>
            <w:left w:val="none" w:sz="0" w:space="0" w:color="auto"/>
            <w:bottom w:val="none" w:sz="0" w:space="0" w:color="auto"/>
            <w:right w:val="none" w:sz="0" w:space="0" w:color="auto"/>
          </w:divBdr>
        </w:div>
        <w:div w:id="1911579399">
          <w:marLeft w:val="0"/>
          <w:marRight w:val="0"/>
          <w:marTop w:val="0"/>
          <w:marBottom w:val="0"/>
          <w:divBdr>
            <w:top w:val="none" w:sz="0" w:space="0" w:color="auto"/>
            <w:left w:val="none" w:sz="0" w:space="0" w:color="auto"/>
            <w:bottom w:val="none" w:sz="0" w:space="0" w:color="auto"/>
            <w:right w:val="none" w:sz="0" w:space="0" w:color="auto"/>
          </w:divBdr>
        </w:div>
        <w:div w:id="2035959920">
          <w:marLeft w:val="0"/>
          <w:marRight w:val="0"/>
          <w:marTop w:val="0"/>
          <w:marBottom w:val="0"/>
          <w:divBdr>
            <w:top w:val="none" w:sz="0" w:space="0" w:color="auto"/>
            <w:left w:val="none" w:sz="0" w:space="0" w:color="auto"/>
            <w:bottom w:val="none" w:sz="0" w:space="0" w:color="auto"/>
            <w:right w:val="none" w:sz="0" w:space="0" w:color="auto"/>
          </w:divBdr>
        </w:div>
        <w:div w:id="2105103793">
          <w:marLeft w:val="0"/>
          <w:marRight w:val="0"/>
          <w:marTop w:val="0"/>
          <w:marBottom w:val="0"/>
          <w:divBdr>
            <w:top w:val="none" w:sz="0" w:space="0" w:color="auto"/>
            <w:left w:val="none" w:sz="0" w:space="0" w:color="auto"/>
            <w:bottom w:val="none" w:sz="0" w:space="0" w:color="auto"/>
            <w:right w:val="none" w:sz="0" w:space="0" w:color="auto"/>
          </w:divBdr>
        </w:div>
        <w:div w:id="2138523256">
          <w:marLeft w:val="0"/>
          <w:marRight w:val="0"/>
          <w:marTop w:val="0"/>
          <w:marBottom w:val="0"/>
          <w:divBdr>
            <w:top w:val="none" w:sz="0" w:space="0" w:color="auto"/>
            <w:left w:val="none" w:sz="0" w:space="0" w:color="auto"/>
            <w:bottom w:val="none" w:sz="0" w:space="0" w:color="auto"/>
            <w:right w:val="none" w:sz="0" w:space="0" w:color="auto"/>
          </w:divBdr>
        </w:div>
      </w:divsChild>
    </w:div>
    <w:div w:id="258686440">
      <w:bodyDiv w:val="1"/>
      <w:marLeft w:val="0"/>
      <w:marRight w:val="0"/>
      <w:marTop w:val="0"/>
      <w:marBottom w:val="0"/>
      <w:divBdr>
        <w:top w:val="none" w:sz="0" w:space="0" w:color="auto"/>
        <w:left w:val="none" w:sz="0" w:space="0" w:color="auto"/>
        <w:bottom w:val="none" w:sz="0" w:space="0" w:color="auto"/>
        <w:right w:val="none" w:sz="0" w:space="0" w:color="auto"/>
      </w:divBdr>
      <w:divsChild>
        <w:div w:id="485754276">
          <w:marLeft w:val="0"/>
          <w:marRight w:val="0"/>
          <w:marTop w:val="0"/>
          <w:marBottom w:val="0"/>
          <w:divBdr>
            <w:top w:val="none" w:sz="0" w:space="0" w:color="auto"/>
            <w:left w:val="none" w:sz="0" w:space="0" w:color="auto"/>
            <w:bottom w:val="none" w:sz="0" w:space="0" w:color="auto"/>
            <w:right w:val="none" w:sz="0" w:space="0" w:color="auto"/>
          </w:divBdr>
        </w:div>
        <w:div w:id="967130055">
          <w:marLeft w:val="0"/>
          <w:marRight w:val="0"/>
          <w:marTop w:val="0"/>
          <w:marBottom w:val="0"/>
          <w:divBdr>
            <w:top w:val="none" w:sz="0" w:space="0" w:color="auto"/>
            <w:left w:val="none" w:sz="0" w:space="0" w:color="auto"/>
            <w:bottom w:val="none" w:sz="0" w:space="0" w:color="auto"/>
            <w:right w:val="none" w:sz="0" w:space="0" w:color="auto"/>
          </w:divBdr>
        </w:div>
        <w:div w:id="1233542149">
          <w:marLeft w:val="0"/>
          <w:marRight w:val="0"/>
          <w:marTop w:val="0"/>
          <w:marBottom w:val="0"/>
          <w:divBdr>
            <w:top w:val="none" w:sz="0" w:space="0" w:color="auto"/>
            <w:left w:val="none" w:sz="0" w:space="0" w:color="auto"/>
            <w:bottom w:val="none" w:sz="0" w:space="0" w:color="auto"/>
            <w:right w:val="none" w:sz="0" w:space="0" w:color="auto"/>
          </w:divBdr>
        </w:div>
        <w:div w:id="1272668676">
          <w:marLeft w:val="0"/>
          <w:marRight w:val="0"/>
          <w:marTop w:val="0"/>
          <w:marBottom w:val="0"/>
          <w:divBdr>
            <w:top w:val="none" w:sz="0" w:space="0" w:color="auto"/>
            <w:left w:val="none" w:sz="0" w:space="0" w:color="auto"/>
            <w:bottom w:val="none" w:sz="0" w:space="0" w:color="auto"/>
            <w:right w:val="none" w:sz="0" w:space="0" w:color="auto"/>
          </w:divBdr>
        </w:div>
        <w:div w:id="1311597340">
          <w:marLeft w:val="0"/>
          <w:marRight w:val="0"/>
          <w:marTop w:val="0"/>
          <w:marBottom w:val="0"/>
          <w:divBdr>
            <w:top w:val="none" w:sz="0" w:space="0" w:color="auto"/>
            <w:left w:val="none" w:sz="0" w:space="0" w:color="auto"/>
            <w:bottom w:val="none" w:sz="0" w:space="0" w:color="auto"/>
            <w:right w:val="none" w:sz="0" w:space="0" w:color="auto"/>
          </w:divBdr>
        </w:div>
        <w:div w:id="1671329621">
          <w:marLeft w:val="0"/>
          <w:marRight w:val="0"/>
          <w:marTop w:val="0"/>
          <w:marBottom w:val="0"/>
          <w:divBdr>
            <w:top w:val="none" w:sz="0" w:space="0" w:color="auto"/>
            <w:left w:val="none" w:sz="0" w:space="0" w:color="auto"/>
            <w:bottom w:val="none" w:sz="0" w:space="0" w:color="auto"/>
            <w:right w:val="none" w:sz="0" w:space="0" w:color="auto"/>
          </w:divBdr>
        </w:div>
        <w:div w:id="1683974297">
          <w:marLeft w:val="0"/>
          <w:marRight w:val="0"/>
          <w:marTop w:val="0"/>
          <w:marBottom w:val="0"/>
          <w:divBdr>
            <w:top w:val="none" w:sz="0" w:space="0" w:color="auto"/>
            <w:left w:val="none" w:sz="0" w:space="0" w:color="auto"/>
            <w:bottom w:val="none" w:sz="0" w:space="0" w:color="auto"/>
            <w:right w:val="none" w:sz="0" w:space="0" w:color="auto"/>
          </w:divBdr>
        </w:div>
        <w:div w:id="2071614030">
          <w:marLeft w:val="0"/>
          <w:marRight w:val="0"/>
          <w:marTop w:val="0"/>
          <w:marBottom w:val="0"/>
          <w:divBdr>
            <w:top w:val="none" w:sz="0" w:space="0" w:color="auto"/>
            <w:left w:val="none" w:sz="0" w:space="0" w:color="auto"/>
            <w:bottom w:val="none" w:sz="0" w:space="0" w:color="auto"/>
            <w:right w:val="none" w:sz="0" w:space="0" w:color="auto"/>
          </w:divBdr>
        </w:div>
      </w:divsChild>
    </w:div>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20Tables/html/GS_h.aspx" TargetMode="External"/><Relationship Id="rId3" Type="http://schemas.openxmlformats.org/officeDocument/2006/relationships/settings" Target="settings.xml"/><Relationship Id="rId7" Type="http://schemas.openxmlformats.org/officeDocument/2006/relationships/hyperlink" Target="https://www.bls.gov/news.release/ecec.toc.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3615</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24132</CharactersWithSpaces>
  <SharedDoc>false</SharedDoc>
  <HLinks>
    <vt:vector size="12" baseType="variant">
      <vt:variant>
        <vt:i4>6422607</vt:i4>
      </vt:variant>
      <vt:variant>
        <vt:i4>19</vt:i4>
      </vt:variant>
      <vt:variant>
        <vt:i4>0</vt:i4>
      </vt:variant>
      <vt:variant>
        <vt:i4>5</vt:i4>
      </vt:variant>
      <vt:variant>
        <vt:lpwstr>https://www.opm.gov/policy-data-oversight/pay-leave/salaries-wages/salary-tables/20Tables/html/GS_h.aspx</vt:lpwstr>
      </vt:variant>
      <vt:variant>
        <vt:lpwstr/>
      </vt:variant>
      <vt:variant>
        <vt:i4>6094932</vt:i4>
      </vt:variant>
      <vt:variant>
        <vt:i4>14</vt:i4>
      </vt:variant>
      <vt:variant>
        <vt:i4>0</vt:i4>
      </vt:variant>
      <vt:variant>
        <vt:i4>5</vt:i4>
      </vt:variant>
      <vt:variant>
        <vt:lpwstr>https://www.bls.gov/news.release/ecec.toc.htm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Fry, Ashley D</cp:lastModifiedBy>
  <cp:revision>2</cp:revision>
  <cp:lastPrinted>2013-11-01T19:09:00Z</cp:lastPrinted>
  <dcterms:created xsi:type="dcterms:W3CDTF">2020-06-15T16:35:00Z</dcterms:created>
  <dcterms:modified xsi:type="dcterms:W3CDTF">2020-06-15T16:35:00Z</dcterms:modified>
</cp:coreProperties>
</file>