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525CB" w:rsidR="00FF72A8" w:rsidP="00C525CB" w:rsidRDefault="00042ED5">
      <w:pPr>
        <w:jc w:val="center"/>
      </w:pPr>
      <w:r w:rsidRPr="00C525CB">
        <w:t>Department of Justice</w:t>
      </w:r>
    </w:p>
    <w:p w:rsidRPr="00C525CB" w:rsidR="00042ED5" w:rsidP="00C525CB" w:rsidRDefault="00042ED5">
      <w:pPr>
        <w:jc w:val="center"/>
      </w:pPr>
      <w:r w:rsidRPr="00C525CB">
        <w:t>Bureau of Alcohol, Tobacco, Firearms and Explosives</w:t>
      </w:r>
    </w:p>
    <w:p w:rsidRPr="00C525CB" w:rsidR="00042ED5" w:rsidP="00C525CB" w:rsidRDefault="00042ED5">
      <w:pPr>
        <w:jc w:val="center"/>
      </w:pPr>
      <w:r w:rsidRPr="00C525CB">
        <w:t>Information Collection Requirement</w:t>
      </w:r>
    </w:p>
    <w:p w:rsidRPr="00C525CB" w:rsidR="00042ED5" w:rsidP="00C525CB" w:rsidRDefault="00042ED5">
      <w:pPr>
        <w:jc w:val="center"/>
      </w:pPr>
      <w:r w:rsidRPr="00C525CB">
        <w:t>Supporting Statement</w:t>
      </w:r>
    </w:p>
    <w:p w:rsidR="00F8043D" w:rsidP="00C525CB" w:rsidRDefault="00F8043D">
      <w:pPr>
        <w:jc w:val="center"/>
      </w:pPr>
    </w:p>
    <w:p w:rsidR="000F47E6" w:rsidP="00C525CB" w:rsidRDefault="009C2FF8">
      <w:pPr>
        <w:jc w:val="center"/>
      </w:pPr>
      <w:r w:rsidRPr="00C525CB">
        <w:t>OMB # 1140-0099</w:t>
      </w:r>
    </w:p>
    <w:p w:rsidRPr="00C525CB" w:rsidR="00C525CB" w:rsidP="00C525CB" w:rsidRDefault="000F47E6">
      <w:pPr>
        <w:jc w:val="center"/>
      </w:pPr>
      <w:r>
        <w:t xml:space="preserve"> </w:t>
      </w:r>
      <w:r w:rsidRPr="00C525CB" w:rsidR="00C525CB">
        <w:t>ATF Adjunct Instructor Data Form</w:t>
      </w:r>
      <w:r w:rsidR="00C525CB">
        <w:t xml:space="preserve"> -</w:t>
      </w:r>
      <w:r w:rsidRPr="00C525CB" w:rsidR="00C525CB">
        <w:t xml:space="preserve"> ATF Form 6140.3</w:t>
      </w:r>
    </w:p>
    <w:p w:rsidR="009C2FF8" w:rsidP="00C525CB" w:rsidRDefault="009C2FF8">
      <w:pPr>
        <w:jc w:val="center"/>
      </w:pPr>
    </w:p>
    <w:p w:rsidR="00957E41" w:rsidP="00957E41" w:rsidRDefault="00957E41">
      <w:pPr>
        <w:rPr>
          <w:sz w:val="28"/>
          <w:szCs w:val="28"/>
        </w:rPr>
      </w:pPr>
    </w:p>
    <w:p w:rsidRPr="00C525CB" w:rsidR="00042ED5" w:rsidP="00C525CB" w:rsidRDefault="00042ED5">
      <w:pPr>
        <w:spacing w:line="480" w:lineRule="auto"/>
        <w:ind w:hanging="720"/>
        <w:rPr>
          <w:b/>
        </w:rPr>
      </w:pPr>
      <w:r w:rsidRPr="00C525CB">
        <w:rPr>
          <w:b/>
        </w:rPr>
        <w:t>A.</w:t>
      </w:r>
      <w:r w:rsidRPr="00C525CB">
        <w:rPr>
          <w:b/>
        </w:rPr>
        <w:tab/>
      </w:r>
      <w:r w:rsidRPr="00C525CB">
        <w:rPr>
          <w:b/>
          <w:u w:val="single"/>
        </w:rPr>
        <w:t>Justification</w:t>
      </w:r>
    </w:p>
    <w:p w:rsidR="00BA7E21" w:rsidP="00C525CB" w:rsidRDefault="009C2384">
      <w:pPr>
        <w:numPr>
          <w:ilvl w:val="0"/>
          <w:numId w:val="1"/>
        </w:numPr>
        <w:tabs>
          <w:tab w:val="clear" w:pos="360"/>
          <w:tab w:val="num" w:pos="720"/>
          <w:tab w:val="left" w:pos="810"/>
        </w:tabs>
        <w:ind w:left="720" w:hanging="720"/>
      </w:pPr>
      <w:r>
        <w:t>The Bureau of Alcohol, Tobacco, Firearms and Explosives (</w:t>
      </w:r>
      <w:r w:rsidR="00042ED5">
        <w:t>ATF</w:t>
      </w:r>
      <w:r>
        <w:t>)</w:t>
      </w:r>
      <w:r w:rsidR="00042ED5">
        <w:t xml:space="preserve"> </w:t>
      </w:r>
      <w:r w:rsidR="001C04C0">
        <w:t xml:space="preserve">provides law enforcement </w:t>
      </w:r>
      <w:r w:rsidR="00165E34">
        <w:t xml:space="preserve">and investigation </w:t>
      </w:r>
      <w:r w:rsidR="001C04C0">
        <w:t xml:space="preserve">training to </w:t>
      </w:r>
      <w:r>
        <w:t xml:space="preserve">ATF </w:t>
      </w:r>
      <w:r w:rsidR="001C04C0">
        <w:t>employees and Federal, State, local</w:t>
      </w:r>
      <w:r>
        <w:t>, and international</w:t>
      </w:r>
      <w:r w:rsidR="001C04C0">
        <w:t xml:space="preserve"> law enforcement personnel. Training covers numerous topics using both internal and external technical experts from various disciplines. </w:t>
      </w:r>
      <w:r w:rsidR="00165E34">
        <w:t>Internal instructors consist of those individuals who are ATF employees</w:t>
      </w:r>
      <w:r w:rsidR="007F0321">
        <w:t>.</w:t>
      </w:r>
      <w:r w:rsidR="00165E34">
        <w:t xml:space="preserve"> </w:t>
      </w:r>
      <w:r w:rsidR="007F0321">
        <w:t>However</w:t>
      </w:r>
      <w:r w:rsidR="00165E34">
        <w:t>, external instructors may be contractors</w:t>
      </w:r>
      <w:r>
        <w:t xml:space="preserve">, experts </w:t>
      </w:r>
      <w:r w:rsidR="00165E34">
        <w:t xml:space="preserve">from other law enforcement agencies, fire and rescue departments, professional organizations, or academia. </w:t>
      </w:r>
      <w:r w:rsidR="001C04C0">
        <w:t xml:space="preserve">Due to the nature of law enforcement </w:t>
      </w:r>
      <w:r w:rsidR="00165E34">
        <w:t xml:space="preserve">and related </w:t>
      </w:r>
      <w:r w:rsidR="001C04C0">
        <w:t xml:space="preserve">training, detailed records must be kept regarding the </w:t>
      </w:r>
      <w:r w:rsidR="007F0321">
        <w:t>qualification and</w:t>
      </w:r>
      <w:r w:rsidR="001C04C0">
        <w:t xml:space="preserve"> expertise of individuals providing </w:t>
      </w:r>
      <w:r w:rsidR="00165E34">
        <w:t>instructi</w:t>
      </w:r>
      <w:r>
        <w:t>on</w:t>
      </w:r>
      <w:r w:rsidR="001C04C0">
        <w:t xml:space="preserve">. </w:t>
      </w:r>
    </w:p>
    <w:p w:rsidR="00BA7E21" w:rsidP="001B79BB" w:rsidRDefault="00BA7E21">
      <w:pPr>
        <w:tabs>
          <w:tab w:val="left" w:pos="810"/>
        </w:tabs>
        <w:ind w:left="720"/>
      </w:pPr>
    </w:p>
    <w:p w:rsidR="00DE5706" w:rsidP="00DE5706" w:rsidRDefault="007F0321">
      <w:pPr>
        <w:tabs>
          <w:tab w:val="left" w:pos="810"/>
        </w:tabs>
        <w:ind w:left="720"/>
      </w:pPr>
      <w:r>
        <w:t>An instructor’s</w:t>
      </w:r>
      <w:r w:rsidR="001C04C0">
        <w:t xml:space="preserve"> record</w:t>
      </w:r>
      <w:r>
        <w:t xml:space="preserve"> will</w:t>
      </w:r>
      <w:r w:rsidR="001C04C0">
        <w:t xml:space="preserve"> include </w:t>
      </w:r>
      <w:r>
        <w:t xml:space="preserve">their </w:t>
      </w:r>
      <w:r w:rsidR="001C04C0">
        <w:t xml:space="preserve">contact </w:t>
      </w:r>
      <w:r>
        <w:t>information, areas</w:t>
      </w:r>
      <w:r w:rsidR="001C04C0">
        <w:t xml:space="preserve"> of expertise, educational and professional background, and professional </w:t>
      </w:r>
      <w:r w:rsidR="00165E34">
        <w:t>vitas</w:t>
      </w:r>
      <w:r w:rsidR="001C04C0">
        <w:t xml:space="preserve">. </w:t>
      </w:r>
      <w:r w:rsidR="00165E34">
        <w:t xml:space="preserve">Such records are critical </w:t>
      </w:r>
      <w:r w:rsidR="00F8043D">
        <w:t>for</w:t>
      </w:r>
      <w:r w:rsidR="00165E34">
        <w:t xml:space="preserve"> maintaining a legally defensible training program and are requi</w:t>
      </w:r>
      <w:r w:rsidR="00BA1900">
        <w:t xml:space="preserve">red for </w:t>
      </w:r>
      <w:r w:rsidR="009C2384">
        <w:t xml:space="preserve">ATF’s </w:t>
      </w:r>
      <w:r w:rsidR="00BA1900">
        <w:t xml:space="preserve">Federal </w:t>
      </w:r>
      <w:r w:rsidR="009C2384">
        <w:t>L</w:t>
      </w:r>
      <w:r w:rsidR="00BA1900">
        <w:t xml:space="preserve">aw </w:t>
      </w:r>
      <w:r w:rsidR="009C2384">
        <w:t>E</w:t>
      </w:r>
      <w:r w:rsidR="00BA1900">
        <w:t xml:space="preserve">nforcement </w:t>
      </w:r>
      <w:r w:rsidR="009C2384">
        <w:t>T</w:t>
      </w:r>
      <w:r w:rsidR="00165E34">
        <w:t xml:space="preserve">raining </w:t>
      </w:r>
      <w:r w:rsidR="009C2384">
        <w:t>A</w:t>
      </w:r>
      <w:r w:rsidR="00165E34">
        <w:t>ccreditation</w:t>
      </w:r>
      <w:r w:rsidR="004F3290">
        <w:t xml:space="preserve"> (FLETA)</w:t>
      </w:r>
      <w:r w:rsidR="00165E34">
        <w:t xml:space="preserve">. </w:t>
      </w:r>
      <w:r w:rsidR="00030307">
        <w:t xml:space="preserve">In such </w:t>
      </w:r>
      <w:r w:rsidR="00E62591">
        <w:t>legal situations</w:t>
      </w:r>
      <w:r w:rsidR="00030307">
        <w:t>, it</w:t>
      </w:r>
      <w:r w:rsidR="00E62591">
        <w:t xml:space="preserve"> may be</w:t>
      </w:r>
      <w:r w:rsidR="00030307">
        <w:t xml:space="preserve"> necessary to not only show that a specific individual received training, but </w:t>
      </w:r>
      <w:r w:rsidR="008F330C">
        <w:t xml:space="preserve">also demonstrate </w:t>
      </w:r>
      <w:r w:rsidR="00030307">
        <w:t xml:space="preserve">that </w:t>
      </w:r>
      <w:r w:rsidR="008F330C">
        <w:t>qualified instructors provided the training in a consistent manner</w:t>
      </w:r>
      <w:r w:rsidR="00030307">
        <w:t xml:space="preserve">. The Adjunct Instructor Data Form </w:t>
      </w:r>
      <w:r>
        <w:t xml:space="preserve">- </w:t>
      </w:r>
      <w:r w:rsidRPr="00C525CB">
        <w:t>ATF Form 6140.3</w:t>
      </w:r>
      <w:r>
        <w:t xml:space="preserve"> </w:t>
      </w:r>
      <w:r w:rsidR="00030307">
        <w:t xml:space="preserve">will be used to collect the </w:t>
      </w:r>
      <w:r w:rsidR="0006403C">
        <w:t>necessary personally identifiable</w:t>
      </w:r>
      <w:r w:rsidR="00030307">
        <w:t xml:space="preserve"> information</w:t>
      </w:r>
      <w:r w:rsidR="0006403C">
        <w:t xml:space="preserve"> (PII)</w:t>
      </w:r>
      <w:r w:rsidR="00030307">
        <w:t xml:space="preserve"> </w:t>
      </w:r>
      <w:r w:rsidR="00E62591">
        <w:t>from non-ATF employees</w:t>
      </w:r>
      <w:r w:rsidR="0006403C">
        <w:t>, in order to document</w:t>
      </w:r>
      <w:r w:rsidR="00AE0C45">
        <w:t xml:space="preserve"> and evaluate</w:t>
      </w:r>
      <w:r w:rsidR="0006403C">
        <w:t xml:space="preserve"> their qualifications to serve as an ATF instructor</w:t>
      </w:r>
      <w:r w:rsidR="00030307">
        <w:t xml:space="preserve">. The collection of this data is authorized </w:t>
      </w:r>
      <w:r w:rsidR="00AE0C45">
        <w:t xml:space="preserve">by </w:t>
      </w:r>
      <w:r w:rsidR="0094276A">
        <w:t>5 CFR 410.602</w:t>
      </w:r>
      <w:r w:rsidR="009C2384">
        <w:t>,</w:t>
      </w:r>
      <w:r w:rsidR="0094276A">
        <w:t xml:space="preserve"> </w:t>
      </w:r>
      <w:r w:rsidR="00030307">
        <w:t>which</w:t>
      </w:r>
      <w:r w:rsidR="00117982">
        <w:t xml:space="preserve"> provides for the maintenance of training records per an agency’s identified needs. </w:t>
      </w:r>
    </w:p>
    <w:p w:rsidR="00DE5706" w:rsidP="00DE5706" w:rsidRDefault="00DE5706">
      <w:pPr>
        <w:tabs>
          <w:tab w:val="left" w:pos="810"/>
        </w:tabs>
        <w:ind w:left="720"/>
      </w:pPr>
    </w:p>
    <w:p w:rsidR="00A867AE" w:rsidP="00DE5706" w:rsidRDefault="00A867AE">
      <w:pPr>
        <w:tabs>
          <w:tab w:val="left" w:pos="810"/>
        </w:tabs>
        <w:ind w:left="720"/>
      </w:pPr>
      <w:r>
        <w:t>ATF is requesting</w:t>
      </w:r>
      <w:r w:rsidR="00AE2822">
        <w:t xml:space="preserve"> OMB</w:t>
      </w:r>
      <w:r>
        <w:t xml:space="preserve"> approval to make the following changes to OMB 1140-0099 ATF </w:t>
      </w:r>
      <w:r w:rsidRPr="00C525CB">
        <w:t>Adjunct Instructor Data Form</w:t>
      </w:r>
      <w:r>
        <w:t xml:space="preserve"> -</w:t>
      </w:r>
      <w:r w:rsidRPr="00C525CB">
        <w:t xml:space="preserve"> ATF Form 6140.3</w:t>
      </w:r>
      <w:r w:rsidR="00AE0C45">
        <w:t>:</w:t>
      </w:r>
    </w:p>
    <w:p w:rsidR="00580D74" w:rsidP="001B79BB" w:rsidRDefault="00580D74">
      <w:pPr>
        <w:tabs>
          <w:tab w:val="left" w:pos="1440"/>
        </w:tabs>
        <w:ind w:left="720" w:hanging="360"/>
      </w:pPr>
    </w:p>
    <w:p w:rsidR="00580D74" w:rsidP="001B79BB" w:rsidRDefault="00580D74">
      <w:pPr>
        <w:numPr>
          <w:ilvl w:val="0"/>
          <w:numId w:val="14"/>
        </w:numPr>
        <w:tabs>
          <w:tab w:val="left" w:pos="810"/>
        </w:tabs>
        <w:rPr>
          <w:b/>
          <w:u w:val="single"/>
        </w:rPr>
      </w:pPr>
      <w:r w:rsidRPr="001B79BB">
        <w:rPr>
          <w:b/>
          <w:u w:val="single"/>
        </w:rPr>
        <w:t xml:space="preserve">All </w:t>
      </w:r>
      <w:r w:rsidR="000D6268">
        <w:rPr>
          <w:b/>
          <w:u w:val="single"/>
        </w:rPr>
        <w:t>S</w:t>
      </w:r>
      <w:r w:rsidRPr="001B79BB">
        <w:rPr>
          <w:b/>
          <w:u w:val="single"/>
        </w:rPr>
        <w:t>ection</w:t>
      </w:r>
      <w:bookmarkStart w:name="_GoBack" w:id="0"/>
      <w:bookmarkEnd w:id="0"/>
      <w:r w:rsidRPr="001B79BB">
        <w:rPr>
          <w:b/>
          <w:u w:val="single"/>
        </w:rPr>
        <w:t>s</w:t>
      </w:r>
    </w:p>
    <w:p w:rsidRPr="001B79BB" w:rsidR="00580D74" w:rsidP="001B79BB" w:rsidRDefault="00580D74">
      <w:pPr>
        <w:tabs>
          <w:tab w:val="left" w:pos="810"/>
        </w:tabs>
        <w:ind w:left="1080"/>
        <w:rPr>
          <w:b/>
          <w:u w:val="single"/>
        </w:rPr>
      </w:pPr>
    </w:p>
    <w:p w:rsidR="00580D74" w:rsidP="000D6268" w:rsidRDefault="00580D74">
      <w:pPr>
        <w:numPr>
          <w:ilvl w:val="0"/>
          <w:numId w:val="15"/>
        </w:numPr>
        <w:tabs>
          <w:tab w:val="left" w:pos="810"/>
        </w:tabs>
        <w:contextualSpacing/>
      </w:pPr>
      <w:r>
        <w:t>Grammar and punctuation errors were corrected;</w:t>
      </w:r>
    </w:p>
    <w:p w:rsidR="00580D74" w:rsidP="000D6268" w:rsidRDefault="00580D74">
      <w:pPr>
        <w:tabs>
          <w:tab w:val="left" w:pos="810"/>
        </w:tabs>
        <w:ind w:left="1440"/>
        <w:contextualSpacing/>
      </w:pPr>
    </w:p>
    <w:p w:rsidR="00580D74" w:rsidP="000D6268" w:rsidRDefault="00580D74">
      <w:pPr>
        <w:numPr>
          <w:ilvl w:val="0"/>
          <w:numId w:val="15"/>
        </w:numPr>
        <w:tabs>
          <w:tab w:val="left" w:pos="810"/>
        </w:tabs>
        <w:contextualSpacing/>
      </w:pPr>
      <w:r>
        <w:t xml:space="preserve">Form fields were updated to allow for electronic completion and digital/electronic signature capability; </w:t>
      </w:r>
    </w:p>
    <w:p w:rsidR="00580D74" w:rsidP="000D6268" w:rsidRDefault="00580D74">
      <w:pPr>
        <w:pStyle w:val="ListParagraph"/>
      </w:pPr>
    </w:p>
    <w:p w:rsidR="00580D74" w:rsidP="000D6268" w:rsidRDefault="00580D74">
      <w:pPr>
        <w:numPr>
          <w:ilvl w:val="0"/>
          <w:numId w:val="15"/>
        </w:numPr>
        <w:tabs>
          <w:tab w:val="left" w:pos="810"/>
        </w:tabs>
        <w:contextualSpacing/>
      </w:pPr>
      <w:r>
        <w:t>Numerical fields were reformatted to ensure proper completion;</w:t>
      </w:r>
    </w:p>
    <w:p w:rsidR="00580D74" w:rsidP="000D6268" w:rsidRDefault="00580D74">
      <w:pPr>
        <w:pStyle w:val="ListParagraph"/>
      </w:pPr>
    </w:p>
    <w:p w:rsidR="00580D74" w:rsidP="000D6268" w:rsidRDefault="00580D74">
      <w:pPr>
        <w:numPr>
          <w:ilvl w:val="0"/>
          <w:numId w:val="15"/>
        </w:numPr>
        <w:tabs>
          <w:tab w:val="left" w:pos="810"/>
        </w:tabs>
        <w:contextualSpacing/>
      </w:pPr>
      <w:r>
        <w:t>Form fields were reformatted to accommodate additional characters for more complete answers to inquiries;</w:t>
      </w:r>
    </w:p>
    <w:p w:rsidR="00320880" w:rsidP="000D6268" w:rsidRDefault="00320880">
      <w:pPr>
        <w:tabs>
          <w:tab w:val="left" w:pos="810"/>
        </w:tabs>
        <w:contextualSpacing/>
      </w:pPr>
    </w:p>
    <w:p w:rsidR="00580D74" w:rsidP="000D6268" w:rsidRDefault="00320880">
      <w:pPr>
        <w:numPr>
          <w:ilvl w:val="0"/>
          <w:numId w:val="15"/>
        </w:numPr>
        <w:tabs>
          <w:tab w:val="left" w:pos="810"/>
        </w:tabs>
        <w:contextualSpacing/>
      </w:pPr>
      <w:r>
        <w:t xml:space="preserve">Instructions were updated </w:t>
      </w:r>
      <w:r w:rsidR="00580D74">
        <w:t xml:space="preserve">with specific guidance to ensure proper field completion. For instance, applicants are instructed to attach a separate sheet of paper, if additional space is needed. </w:t>
      </w:r>
    </w:p>
    <w:p w:rsidR="00580D74" w:rsidP="001B79BB" w:rsidRDefault="00580D74">
      <w:pPr>
        <w:tabs>
          <w:tab w:val="left" w:pos="810"/>
        </w:tabs>
        <w:ind w:left="1440"/>
      </w:pPr>
    </w:p>
    <w:p w:rsidR="00580D74" w:rsidP="001B79BB" w:rsidRDefault="000D6268">
      <w:pPr>
        <w:numPr>
          <w:ilvl w:val="0"/>
          <w:numId w:val="14"/>
        </w:numPr>
        <w:tabs>
          <w:tab w:val="left" w:pos="810"/>
        </w:tabs>
        <w:rPr>
          <w:b/>
          <w:u w:val="single"/>
        </w:rPr>
      </w:pPr>
      <w:r>
        <w:rPr>
          <w:b/>
          <w:u w:val="single"/>
        </w:rPr>
        <w:t>I</w:t>
      </w:r>
      <w:r w:rsidRPr="001B79BB" w:rsidR="00580D74">
        <w:rPr>
          <w:b/>
          <w:u w:val="single"/>
        </w:rPr>
        <w:t xml:space="preserve">ntroductory </w:t>
      </w:r>
      <w:r>
        <w:rPr>
          <w:b/>
          <w:u w:val="single"/>
        </w:rPr>
        <w:t>P</w:t>
      </w:r>
      <w:r w:rsidRPr="001B79BB" w:rsidR="00580D74">
        <w:rPr>
          <w:b/>
          <w:u w:val="single"/>
        </w:rPr>
        <w:t>aragraphs</w:t>
      </w:r>
      <w:r>
        <w:rPr>
          <w:b/>
          <w:u w:val="single"/>
        </w:rPr>
        <w:t>/I</w:t>
      </w:r>
      <w:r w:rsidRPr="001B79BB" w:rsidR="00580D74">
        <w:rPr>
          <w:b/>
          <w:u w:val="single"/>
        </w:rPr>
        <w:t xml:space="preserve">nstructions </w:t>
      </w:r>
    </w:p>
    <w:p w:rsidRPr="001B79BB" w:rsidR="00580D74" w:rsidP="001B79BB" w:rsidRDefault="00580D74">
      <w:pPr>
        <w:tabs>
          <w:tab w:val="left" w:pos="810"/>
        </w:tabs>
        <w:ind w:left="1080"/>
        <w:rPr>
          <w:b/>
          <w:u w:val="single"/>
        </w:rPr>
      </w:pPr>
    </w:p>
    <w:p w:rsidR="00580D74" w:rsidP="001B79BB" w:rsidRDefault="00580D74">
      <w:pPr>
        <w:numPr>
          <w:ilvl w:val="0"/>
          <w:numId w:val="19"/>
        </w:numPr>
        <w:tabs>
          <w:tab w:val="left" w:pos="810"/>
        </w:tabs>
        <w:ind w:left="1440" w:hanging="360"/>
      </w:pPr>
      <w:r>
        <w:t>Grammar and punctuation errors were corrected;</w:t>
      </w:r>
    </w:p>
    <w:p w:rsidR="00580D74" w:rsidP="001B79BB" w:rsidRDefault="00580D74">
      <w:pPr>
        <w:tabs>
          <w:tab w:val="left" w:pos="810"/>
        </w:tabs>
        <w:ind w:left="1440"/>
      </w:pPr>
    </w:p>
    <w:p w:rsidR="00580D74" w:rsidP="001B79BB" w:rsidRDefault="00580D74">
      <w:pPr>
        <w:numPr>
          <w:ilvl w:val="0"/>
          <w:numId w:val="19"/>
        </w:numPr>
        <w:tabs>
          <w:tab w:val="left" w:pos="810"/>
        </w:tabs>
        <w:ind w:left="1440" w:hanging="360"/>
      </w:pPr>
      <w:r>
        <w:t>Form completion instr</w:t>
      </w:r>
      <w:r w:rsidR="00320880">
        <w:t xml:space="preserve">uctions </w:t>
      </w:r>
      <w:r>
        <w:t>were updated with clear and concise language to ensure proper completion;</w:t>
      </w:r>
    </w:p>
    <w:p w:rsidR="00580D74" w:rsidP="001B79BB" w:rsidRDefault="00580D74">
      <w:pPr>
        <w:pStyle w:val="ListParagraph"/>
      </w:pPr>
    </w:p>
    <w:p w:rsidR="00580D74" w:rsidP="001B79BB" w:rsidRDefault="00580D74">
      <w:pPr>
        <w:numPr>
          <w:ilvl w:val="0"/>
          <w:numId w:val="19"/>
        </w:numPr>
        <w:tabs>
          <w:tab w:val="left" w:pos="810"/>
        </w:tabs>
        <w:ind w:left="1440" w:hanging="360"/>
      </w:pPr>
      <w:r>
        <w:t>The form template was updated to clearly identify applicants;</w:t>
      </w:r>
    </w:p>
    <w:p w:rsidR="00580D74" w:rsidP="001B79BB" w:rsidRDefault="00580D74">
      <w:pPr>
        <w:tabs>
          <w:tab w:val="left" w:pos="810"/>
        </w:tabs>
      </w:pPr>
    </w:p>
    <w:p w:rsidR="00580D74" w:rsidP="001B79BB" w:rsidRDefault="00580D74">
      <w:pPr>
        <w:numPr>
          <w:ilvl w:val="0"/>
          <w:numId w:val="19"/>
        </w:numPr>
        <w:tabs>
          <w:tab w:val="left" w:pos="810"/>
        </w:tabs>
        <w:ind w:left="1440" w:hanging="360"/>
      </w:pPr>
      <w:r>
        <w:t>The list of standards for candidates to serve as an ATF instructor was updated;</w:t>
      </w:r>
    </w:p>
    <w:p w:rsidR="00580D74" w:rsidP="001B79BB" w:rsidRDefault="00580D74">
      <w:pPr>
        <w:tabs>
          <w:tab w:val="left" w:pos="810"/>
        </w:tabs>
        <w:ind w:left="1440"/>
      </w:pPr>
    </w:p>
    <w:p w:rsidR="00580D74" w:rsidP="001B79BB" w:rsidRDefault="00580D74">
      <w:pPr>
        <w:numPr>
          <w:ilvl w:val="0"/>
          <w:numId w:val="19"/>
        </w:numPr>
        <w:tabs>
          <w:tab w:val="left" w:pos="810"/>
        </w:tabs>
        <w:ind w:left="1440" w:hanging="360"/>
      </w:pPr>
      <w:r>
        <w:t>The instructions were update</w:t>
      </w:r>
      <w:r w:rsidR="00320880">
        <w:t>d for</w:t>
      </w:r>
      <w:r>
        <w:t xml:space="preserve"> applicants to attach a separate sheet of paper, if additional space is needed;</w:t>
      </w:r>
    </w:p>
    <w:p w:rsidR="00580D74" w:rsidP="001B79BB" w:rsidRDefault="00580D74">
      <w:pPr>
        <w:pStyle w:val="ListParagraph"/>
      </w:pPr>
    </w:p>
    <w:p w:rsidR="00580D74" w:rsidP="001B79BB" w:rsidRDefault="00580D74">
      <w:pPr>
        <w:numPr>
          <w:ilvl w:val="0"/>
          <w:numId w:val="19"/>
        </w:numPr>
        <w:tabs>
          <w:tab w:val="left" w:pos="810"/>
        </w:tabs>
        <w:ind w:left="1440" w:hanging="360"/>
      </w:pPr>
      <w:r>
        <w:t xml:space="preserve">The ATF approval process was updated to clarify who is authorized to grant supervisory approval; </w:t>
      </w:r>
    </w:p>
    <w:p w:rsidR="00580D74" w:rsidP="001B79BB" w:rsidRDefault="00580D74">
      <w:pPr>
        <w:pStyle w:val="ListParagraph"/>
      </w:pPr>
    </w:p>
    <w:p w:rsidR="00580D74" w:rsidP="001B79BB" w:rsidRDefault="00580D74">
      <w:pPr>
        <w:numPr>
          <w:ilvl w:val="0"/>
          <w:numId w:val="19"/>
        </w:numPr>
        <w:tabs>
          <w:tab w:val="left" w:pos="810"/>
        </w:tabs>
        <w:ind w:left="1440" w:hanging="360"/>
      </w:pPr>
      <w:r>
        <w:t>The requirements for routing submitted applications to HRPD was updated to include data entry and recordkeeping in JTMS as part of the process;</w:t>
      </w:r>
    </w:p>
    <w:p w:rsidR="00580D74" w:rsidP="001B79BB" w:rsidRDefault="00580D74">
      <w:pPr>
        <w:pStyle w:val="ListParagraph"/>
      </w:pPr>
    </w:p>
    <w:p w:rsidR="00580D74" w:rsidP="001B79BB" w:rsidRDefault="00580D74">
      <w:pPr>
        <w:numPr>
          <w:ilvl w:val="0"/>
          <w:numId w:val="14"/>
        </w:numPr>
        <w:tabs>
          <w:tab w:val="left" w:pos="810"/>
        </w:tabs>
        <w:rPr>
          <w:b/>
          <w:u w:val="single"/>
        </w:rPr>
      </w:pPr>
      <w:r w:rsidRPr="001B79BB">
        <w:rPr>
          <w:b/>
          <w:u w:val="single"/>
        </w:rPr>
        <w:t xml:space="preserve">Subject Matter Expertise (SME) </w:t>
      </w:r>
    </w:p>
    <w:p w:rsidRPr="001B79BB" w:rsidR="00580D74" w:rsidP="001B79BB" w:rsidRDefault="00580D74">
      <w:pPr>
        <w:tabs>
          <w:tab w:val="left" w:pos="810"/>
        </w:tabs>
        <w:ind w:left="1080"/>
        <w:rPr>
          <w:b/>
          <w:u w:val="single"/>
        </w:rPr>
      </w:pPr>
    </w:p>
    <w:p w:rsidR="00580D74" w:rsidP="001B79BB" w:rsidRDefault="00580D74">
      <w:pPr>
        <w:numPr>
          <w:ilvl w:val="0"/>
          <w:numId w:val="22"/>
        </w:numPr>
        <w:tabs>
          <w:tab w:val="left" w:pos="810"/>
        </w:tabs>
        <w:ind w:left="1440" w:hanging="360"/>
      </w:pPr>
      <w:r>
        <w:t>The SME fields were updated to correct the titles of ATF-specific expertise (i.e. CGIC/NIBIN).</w:t>
      </w:r>
    </w:p>
    <w:p w:rsidR="00580D74" w:rsidP="001B79BB" w:rsidRDefault="00580D74">
      <w:pPr>
        <w:tabs>
          <w:tab w:val="left" w:pos="810"/>
        </w:tabs>
        <w:ind w:left="1440"/>
      </w:pPr>
    </w:p>
    <w:p w:rsidR="00580D74" w:rsidP="001B79BB" w:rsidRDefault="00580D74">
      <w:pPr>
        <w:numPr>
          <w:ilvl w:val="0"/>
          <w:numId w:val="14"/>
        </w:numPr>
        <w:tabs>
          <w:tab w:val="left" w:pos="810"/>
        </w:tabs>
        <w:rPr>
          <w:b/>
          <w:u w:val="single"/>
        </w:rPr>
      </w:pPr>
      <w:r w:rsidRPr="001B79BB">
        <w:rPr>
          <w:b/>
          <w:u w:val="single"/>
        </w:rPr>
        <w:t>The Hold Harmless Agreement (HHA)</w:t>
      </w:r>
    </w:p>
    <w:p w:rsidRPr="001B79BB" w:rsidR="00580D74" w:rsidP="001B79BB" w:rsidRDefault="00580D74">
      <w:pPr>
        <w:tabs>
          <w:tab w:val="left" w:pos="810"/>
        </w:tabs>
        <w:ind w:left="1080"/>
        <w:rPr>
          <w:b/>
          <w:u w:val="single"/>
        </w:rPr>
      </w:pPr>
    </w:p>
    <w:p w:rsidR="00580D74" w:rsidP="001B79BB" w:rsidRDefault="00580D74">
      <w:pPr>
        <w:numPr>
          <w:ilvl w:val="0"/>
          <w:numId w:val="24"/>
        </w:numPr>
        <w:tabs>
          <w:tab w:val="left" w:pos="810"/>
        </w:tabs>
        <w:ind w:left="1440" w:hanging="360"/>
      </w:pPr>
      <w:r>
        <w:t xml:space="preserve">The HHA was modified to include an electronic signature field, and the following certification language so that the candidate certifies that he/she:  </w:t>
      </w:r>
    </w:p>
    <w:p w:rsidR="00580D74" w:rsidP="001B79BB" w:rsidRDefault="00320880">
      <w:pPr>
        <w:numPr>
          <w:ilvl w:val="0"/>
          <w:numId w:val="26"/>
        </w:numPr>
        <w:tabs>
          <w:tab w:val="left" w:pos="810"/>
        </w:tabs>
      </w:pPr>
      <w:r>
        <w:t>U</w:t>
      </w:r>
      <w:r w:rsidR="00580D74">
        <w:t>nderstands the language/ content of the</w:t>
      </w:r>
      <w:r w:rsidR="00AE2822">
        <w:t xml:space="preserve"> HHA</w:t>
      </w:r>
      <w:r w:rsidR="00580D74">
        <w:t>;</w:t>
      </w:r>
    </w:p>
    <w:p w:rsidR="00580D74" w:rsidP="001B79BB" w:rsidRDefault="00580D74">
      <w:pPr>
        <w:tabs>
          <w:tab w:val="left" w:pos="810"/>
        </w:tabs>
        <w:ind w:left="2160"/>
      </w:pPr>
    </w:p>
    <w:p w:rsidR="00580D74" w:rsidP="001B79BB" w:rsidRDefault="00320880">
      <w:pPr>
        <w:numPr>
          <w:ilvl w:val="0"/>
          <w:numId w:val="26"/>
        </w:numPr>
        <w:tabs>
          <w:tab w:val="left" w:pos="810"/>
        </w:tabs>
      </w:pPr>
      <w:r>
        <w:t>C</w:t>
      </w:r>
      <w:r w:rsidR="00580D74">
        <w:t>ompletes the form truthfully and correctly;</w:t>
      </w:r>
    </w:p>
    <w:p w:rsidR="00580D74" w:rsidP="001B79BB" w:rsidRDefault="00580D74">
      <w:pPr>
        <w:pStyle w:val="ListParagraph"/>
      </w:pPr>
    </w:p>
    <w:p w:rsidR="00580D74" w:rsidP="001B79BB" w:rsidRDefault="00320880">
      <w:pPr>
        <w:numPr>
          <w:ilvl w:val="0"/>
          <w:numId w:val="26"/>
        </w:numPr>
        <w:tabs>
          <w:tab w:val="left" w:pos="810"/>
        </w:tabs>
      </w:pPr>
      <w:r>
        <w:t>I</w:t>
      </w:r>
      <w:r w:rsidR="00580D74">
        <w:t xml:space="preserve">s not prohibited from the receipt, possession, or transportation of firearms, explosives, or ammunition (ATF’s enforcement jurisdiction); and </w:t>
      </w:r>
    </w:p>
    <w:p w:rsidR="00580D74" w:rsidP="001B79BB" w:rsidRDefault="00580D74">
      <w:pPr>
        <w:pStyle w:val="ListParagraph"/>
      </w:pPr>
    </w:p>
    <w:p w:rsidR="00580D74" w:rsidP="001B79BB" w:rsidRDefault="00320880">
      <w:pPr>
        <w:numPr>
          <w:ilvl w:val="0"/>
          <w:numId w:val="26"/>
        </w:numPr>
        <w:tabs>
          <w:tab w:val="left" w:pos="810"/>
        </w:tabs>
      </w:pPr>
      <w:r>
        <w:t>D</w:t>
      </w:r>
      <w:r w:rsidR="00580D74">
        <w:t>id not fail any course(s) that they intend to or will be required to instruct.</w:t>
      </w:r>
    </w:p>
    <w:p w:rsidR="00580D74" w:rsidP="001B79BB" w:rsidRDefault="00580D74">
      <w:pPr>
        <w:pStyle w:val="ListParagraph"/>
      </w:pPr>
    </w:p>
    <w:p w:rsidR="00580D74" w:rsidP="001B79BB" w:rsidRDefault="00580D74">
      <w:pPr>
        <w:numPr>
          <w:ilvl w:val="0"/>
          <w:numId w:val="14"/>
        </w:numPr>
        <w:tabs>
          <w:tab w:val="left" w:pos="810"/>
        </w:tabs>
        <w:rPr>
          <w:b/>
          <w:u w:val="single"/>
        </w:rPr>
      </w:pPr>
      <w:r w:rsidRPr="001B79BB">
        <w:rPr>
          <w:b/>
          <w:u w:val="single"/>
        </w:rPr>
        <w:t>ATF Supervisory approval electronic signature fields</w:t>
      </w:r>
    </w:p>
    <w:p w:rsidRPr="001B79BB" w:rsidR="00580D74" w:rsidP="001B79BB" w:rsidRDefault="00580D74">
      <w:pPr>
        <w:tabs>
          <w:tab w:val="left" w:pos="810"/>
        </w:tabs>
        <w:ind w:left="1080"/>
        <w:rPr>
          <w:b/>
          <w:u w:val="single"/>
        </w:rPr>
      </w:pPr>
    </w:p>
    <w:p w:rsidR="00580D74" w:rsidP="001B79BB" w:rsidRDefault="00580D74">
      <w:pPr>
        <w:numPr>
          <w:ilvl w:val="0"/>
          <w:numId w:val="27"/>
        </w:numPr>
        <w:tabs>
          <w:tab w:val="left" w:pos="810"/>
        </w:tabs>
      </w:pPr>
      <w:r>
        <w:t>The form approval and submission process was updated to remove the requirement for supervisory approval by chain email;</w:t>
      </w:r>
    </w:p>
    <w:p w:rsidR="00580D74" w:rsidP="001B79BB" w:rsidRDefault="00580D74">
      <w:pPr>
        <w:tabs>
          <w:tab w:val="left" w:pos="810"/>
        </w:tabs>
        <w:ind w:left="1440"/>
      </w:pPr>
    </w:p>
    <w:p w:rsidR="00580D74" w:rsidP="001B79BB" w:rsidRDefault="00580D74">
      <w:pPr>
        <w:numPr>
          <w:ilvl w:val="0"/>
          <w:numId w:val="27"/>
        </w:numPr>
        <w:tabs>
          <w:tab w:val="left" w:pos="810"/>
        </w:tabs>
      </w:pPr>
      <w:r>
        <w:t>The form was updated to include certification language for supervisors to confirm that candidate has met the qualification and experience standards to serve as an adjunct instructor;</w:t>
      </w:r>
    </w:p>
    <w:p w:rsidR="00580D74" w:rsidP="001B79BB" w:rsidRDefault="00580D74">
      <w:pPr>
        <w:pStyle w:val="ListParagraph"/>
      </w:pPr>
    </w:p>
    <w:p w:rsidR="00580D74" w:rsidP="001B79BB" w:rsidRDefault="00580D74">
      <w:pPr>
        <w:numPr>
          <w:ilvl w:val="0"/>
          <w:numId w:val="27"/>
        </w:numPr>
        <w:tabs>
          <w:tab w:val="left" w:pos="810"/>
        </w:tabs>
      </w:pPr>
      <w:r>
        <w:t>The chain e-mail approval process was eliminated;</w:t>
      </w:r>
    </w:p>
    <w:p w:rsidR="001C04C0" w:rsidP="00C525CB" w:rsidRDefault="001C04C0">
      <w:pPr>
        <w:tabs>
          <w:tab w:val="left" w:pos="810"/>
        </w:tabs>
        <w:ind w:left="720"/>
      </w:pPr>
    </w:p>
    <w:p w:rsidRPr="00F54A65" w:rsidR="009722CF" w:rsidP="00C525CB" w:rsidRDefault="00E62591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</w:pPr>
      <w:r>
        <w:t>The information</w:t>
      </w:r>
      <w:r w:rsidR="00AE0C45">
        <w:t xml:space="preserve"> provided on the Adjunct Instructor Data Form - </w:t>
      </w:r>
      <w:r w:rsidRPr="00C525CB" w:rsidR="00AE0C45">
        <w:t>ATF Form 6140.3</w:t>
      </w:r>
      <w:r w:rsidR="00496DCF">
        <w:t xml:space="preserve">, </w:t>
      </w:r>
      <w:r>
        <w:t xml:space="preserve">will be collected by </w:t>
      </w:r>
      <w:r w:rsidR="009C2384">
        <w:t xml:space="preserve">ATF’s </w:t>
      </w:r>
      <w:r w:rsidR="009C2FF8">
        <w:t xml:space="preserve">Human Resource </w:t>
      </w:r>
      <w:r>
        <w:t xml:space="preserve">and Professional Development </w:t>
      </w:r>
      <w:r w:rsidR="005F0BF6">
        <w:t xml:space="preserve">(HRPD) </w:t>
      </w:r>
      <w:r>
        <w:t>Directorate</w:t>
      </w:r>
      <w:r w:rsidR="00AE0C45">
        <w:t xml:space="preserve">. In particular, the collected data </w:t>
      </w:r>
      <w:r w:rsidR="009722CF">
        <w:t xml:space="preserve">will provide ATF with sufficient </w:t>
      </w:r>
      <w:r w:rsidR="00AE0C45">
        <w:t xml:space="preserve">information </w:t>
      </w:r>
      <w:r w:rsidR="009722CF">
        <w:t>to identify and contact individual instructors</w:t>
      </w:r>
      <w:r w:rsidR="00AE0C45">
        <w:t xml:space="preserve">, in order to </w:t>
      </w:r>
      <w:r w:rsidR="00316F26">
        <w:t xml:space="preserve">validate </w:t>
      </w:r>
      <w:r w:rsidR="00AE0C45">
        <w:t xml:space="preserve">their </w:t>
      </w:r>
      <w:r w:rsidR="00316F26">
        <w:t>topical expertise prior to training</w:t>
      </w:r>
      <w:r w:rsidR="009C2384">
        <w:t xml:space="preserve"> deliver</w:t>
      </w:r>
      <w:r w:rsidR="00AE2822">
        <w:t>y</w:t>
      </w:r>
      <w:r w:rsidR="00316F26">
        <w:t>,</w:t>
      </w:r>
      <w:r w:rsidR="009722CF">
        <w:t xml:space="preserve"> </w:t>
      </w:r>
      <w:r w:rsidR="00FD1597">
        <w:t>or</w:t>
      </w:r>
      <w:r w:rsidR="00AE2822">
        <w:t xml:space="preserve"> defend their topical expertise during a court proceeding</w:t>
      </w:r>
      <w:r w:rsidR="009722CF">
        <w:t xml:space="preserve">. </w:t>
      </w:r>
      <w:r w:rsidR="00FD1597">
        <w:t>Additionally</w:t>
      </w:r>
      <w:r w:rsidR="00B8230D">
        <w:t xml:space="preserve">, the form contains a “Hold Harmless” </w:t>
      </w:r>
      <w:r w:rsidR="00AE2822">
        <w:t>A</w:t>
      </w:r>
      <w:r w:rsidR="00B8230D">
        <w:t>greement</w:t>
      </w:r>
      <w:r w:rsidR="00AE2822">
        <w:t xml:space="preserve"> (HHA)</w:t>
      </w:r>
      <w:r w:rsidR="00FD1597">
        <w:t xml:space="preserve">, which clarifies that an </w:t>
      </w:r>
      <w:r w:rsidR="00B8230D">
        <w:t>adjunct instructor</w:t>
      </w:r>
      <w:r w:rsidR="00FD1597">
        <w:t xml:space="preserve"> is unable to claim compensation benefits for injur</w:t>
      </w:r>
      <w:r w:rsidR="00496DCF">
        <w:t>ies or accident that occur</w:t>
      </w:r>
      <w:r w:rsidR="00B8230D">
        <w:t xml:space="preserve"> </w:t>
      </w:r>
      <w:r w:rsidR="00AE2822">
        <w:t>during travel</w:t>
      </w:r>
      <w:r w:rsidR="00B8230D">
        <w:t xml:space="preserve"> to </w:t>
      </w:r>
      <w:r w:rsidR="00FD1597">
        <w:t xml:space="preserve">provide </w:t>
      </w:r>
      <w:r w:rsidR="004F3290">
        <w:t xml:space="preserve">ATF </w:t>
      </w:r>
      <w:r w:rsidR="00B8230D">
        <w:t>training</w:t>
      </w:r>
      <w:r w:rsidR="009C2384">
        <w:t xml:space="preserve"> courses</w:t>
      </w:r>
      <w:r w:rsidR="00B8230D">
        <w:t xml:space="preserve">. The adjunct </w:t>
      </w:r>
      <w:r w:rsidR="00496DCF">
        <w:t>instructor’s organization</w:t>
      </w:r>
      <w:r w:rsidR="00B8230D">
        <w:t xml:space="preserve"> will be responsible for addressing </w:t>
      </w:r>
      <w:r w:rsidR="00496DCF">
        <w:t xml:space="preserve">any </w:t>
      </w:r>
      <w:r w:rsidR="00B8230D">
        <w:t xml:space="preserve">liability </w:t>
      </w:r>
      <w:r w:rsidRPr="00F54A65" w:rsidR="009C2384">
        <w:t>relat</w:t>
      </w:r>
      <w:r w:rsidR="00FD1597">
        <w:t xml:space="preserve">ed </w:t>
      </w:r>
      <w:r w:rsidR="00496DCF">
        <w:t xml:space="preserve">to </w:t>
      </w:r>
      <w:r w:rsidR="00FD1597">
        <w:t xml:space="preserve">such </w:t>
      </w:r>
      <w:r w:rsidRPr="00F54A65" w:rsidR="009C2384">
        <w:t xml:space="preserve">accident or </w:t>
      </w:r>
      <w:r w:rsidRPr="00F54A65" w:rsidR="00B8230D">
        <w:t>injury</w:t>
      </w:r>
      <w:r w:rsidRPr="00F54A65" w:rsidR="009C2384">
        <w:t>,</w:t>
      </w:r>
      <w:r w:rsidRPr="00F54A65" w:rsidR="00B8230D">
        <w:t xml:space="preserve"> unless gross negligence can be </w:t>
      </w:r>
      <w:r w:rsidR="00FD1597">
        <w:t>proven</w:t>
      </w:r>
      <w:r w:rsidRPr="00F54A65" w:rsidR="00B8230D">
        <w:t>.</w:t>
      </w:r>
    </w:p>
    <w:p w:rsidRPr="00F54A65" w:rsidR="00957E41" w:rsidP="00C525CB" w:rsidRDefault="00957E41">
      <w:pPr>
        <w:ind w:left="720"/>
      </w:pPr>
    </w:p>
    <w:p w:rsidRPr="00F54A65" w:rsidR="0055037F" w:rsidP="00F54A65" w:rsidRDefault="00496DCF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</w:pPr>
      <w:r>
        <w:t>T</w:t>
      </w:r>
      <w:r w:rsidRPr="00496DCF">
        <w:t>he Adjunct Instructor Data Form - ATF Form 6140.3</w:t>
      </w:r>
      <w:r>
        <w:t xml:space="preserve"> is an electronically fillable, 508 </w:t>
      </w:r>
      <w:r w:rsidR="002B2A0A">
        <w:t>compliant form</w:t>
      </w:r>
      <w:r w:rsidR="00AE2822">
        <w:t>,</w:t>
      </w:r>
      <w:r>
        <w:t xml:space="preserve"> which can be downloaded from the ATF intranet. The form</w:t>
      </w:r>
      <w:r w:rsidR="002B2A0A">
        <w:t xml:space="preserve"> can be electronically completed,</w:t>
      </w:r>
      <w:r>
        <w:t xml:space="preserve"> signed</w:t>
      </w:r>
      <w:r w:rsidR="002B2A0A">
        <w:t xml:space="preserve"> and electronically submitted to ATF for processing,</w:t>
      </w:r>
      <w:r>
        <w:t xml:space="preserve"> if the applicant </w:t>
      </w:r>
      <w:r w:rsidR="002B2A0A">
        <w:t>possesses</w:t>
      </w:r>
      <w:r>
        <w:t xml:space="preserve"> the capability</w:t>
      </w:r>
      <w:r w:rsidR="002B2A0A">
        <w:t xml:space="preserve"> to do so.</w:t>
      </w:r>
      <w:r w:rsidRPr="00F54A65" w:rsidR="005670C2">
        <w:t xml:space="preserve"> </w:t>
      </w:r>
    </w:p>
    <w:p w:rsidRPr="00F54A65" w:rsidR="0055037F" w:rsidP="00F54A65" w:rsidRDefault="0055037F">
      <w:pPr>
        <w:rPr>
          <w:highlight w:val="yellow"/>
        </w:rPr>
      </w:pPr>
    </w:p>
    <w:p w:rsidR="0044409F" w:rsidP="00CA3A89" w:rsidRDefault="005F0BF6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</w:pPr>
      <w:r>
        <w:t xml:space="preserve">ATF’s </w:t>
      </w:r>
      <w:r w:rsidR="00F54A65">
        <w:t>HRPD Directorate</w:t>
      </w:r>
      <w:r w:rsidR="007100FD">
        <w:t xml:space="preserve"> </w:t>
      </w:r>
      <w:r w:rsidR="002B2A0A">
        <w:t xml:space="preserve">is comprised of several </w:t>
      </w:r>
      <w:r w:rsidR="00E62591">
        <w:t>divisions and branches</w:t>
      </w:r>
      <w:r w:rsidR="002B2A0A">
        <w:t>, whose personnel is</w:t>
      </w:r>
      <w:r w:rsidR="00E62591">
        <w:t xml:space="preserve"> responsible for developing and managing training for differ</w:t>
      </w:r>
      <w:r w:rsidR="004F3290">
        <w:t>ent</w:t>
      </w:r>
      <w:r w:rsidR="00E62591">
        <w:t xml:space="preserve"> areas of expertise and audiences. However, </w:t>
      </w:r>
      <w:r w:rsidR="002B2A0A">
        <w:t xml:space="preserve">depending on </w:t>
      </w:r>
      <w:r w:rsidR="00E62591">
        <w:t xml:space="preserve">the nature of the </w:t>
      </w:r>
      <w:r w:rsidR="002B2A0A">
        <w:t xml:space="preserve">subject </w:t>
      </w:r>
      <w:r w:rsidR="00E62591">
        <w:t>matter, the same instructor may be used for multiple programs. In order to prevent duplication of effort</w:t>
      </w:r>
      <w:r w:rsidR="004F3290">
        <w:t>s</w:t>
      </w:r>
      <w:r w:rsidR="00E62591">
        <w:t>, the management of instructors is centralized with</w:t>
      </w:r>
      <w:r w:rsidR="00D84746">
        <w:t>in HRPD’s</w:t>
      </w:r>
      <w:r w:rsidR="008A2F7B">
        <w:t xml:space="preserve"> </w:t>
      </w:r>
      <w:r w:rsidR="00163DA3">
        <w:t>Leadership and Professional Development Division, Training Accreditation Branch</w:t>
      </w:r>
      <w:r w:rsidR="00E62591">
        <w:t xml:space="preserve">. This branch is responsible for the collection and maintenance of instructor records for </w:t>
      </w:r>
      <w:r w:rsidR="00163DA3">
        <w:t>ATF</w:t>
      </w:r>
      <w:r w:rsidR="009119BC">
        <w:t>.</w:t>
      </w:r>
      <w:r w:rsidR="00E62591">
        <w:t xml:space="preserve"> </w:t>
      </w:r>
      <w:r w:rsidR="0044409F">
        <w:t>The information collected is specific to ATF training activities and is not collected anywhere else either within the Bureau or externally.</w:t>
      </w:r>
    </w:p>
    <w:p w:rsidR="00957E41" w:rsidP="00C525CB" w:rsidRDefault="00957E41">
      <w:pPr>
        <w:ind w:left="720"/>
      </w:pPr>
    </w:p>
    <w:p w:rsidR="0044409F" w:rsidP="00C525CB" w:rsidRDefault="00D64235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</w:pPr>
      <w:r>
        <w:t>The collection of this information does not have any significant impact on small business or other entities.</w:t>
      </w:r>
    </w:p>
    <w:p w:rsidR="00957E41" w:rsidP="00C525CB" w:rsidRDefault="00957E41">
      <w:pPr>
        <w:ind w:left="720"/>
      </w:pPr>
    </w:p>
    <w:p w:rsidR="008A2F7B" w:rsidP="001B79BB" w:rsidRDefault="00D64235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</w:pPr>
      <w:r w:rsidRPr="0022020B">
        <w:lastRenderedPageBreak/>
        <w:t>The collection of this information is necessary for ATF training program</w:t>
      </w:r>
      <w:r w:rsidR="008A2F7B">
        <w:t xml:space="preserve"> personnel</w:t>
      </w:r>
      <w:r w:rsidRPr="0022020B">
        <w:t xml:space="preserve"> to </w:t>
      </w:r>
      <w:r w:rsidRPr="0022020B" w:rsidR="009119BC">
        <w:t xml:space="preserve">verify and defend the qualifications of </w:t>
      </w:r>
      <w:r w:rsidR="00C22183">
        <w:t>its</w:t>
      </w:r>
      <w:r w:rsidR="008A2F7B">
        <w:t xml:space="preserve"> incoming</w:t>
      </w:r>
      <w:r w:rsidR="00C22183">
        <w:t xml:space="preserve"> </w:t>
      </w:r>
      <w:r w:rsidRPr="0022020B" w:rsidR="009119BC">
        <w:t>instructor</w:t>
      </w:r>
      <w:r w:rsidR="00C22183">
        <w:t>s</w:t>
      </w:r>
      <w:r w:rsidRPr="0022020B" w:rsidR="009119BC">
        <w:t xml:space="preserve">. </w:t>
      </w:r>
      <w:r w:rsidR="008A2F7B">
        <w:t xml:space="preserve">The collected </w:t>
      </w:r>
      <w:r w:rsidRPr="0022020B" w:rsidR="00FE77B3">
        <w:t xml:space="preserve">information supports training records </w:t>
      </w:r>
      <w:r w:rsidR="00F024AC">
        <w:t xml:space="preserve">required for </w:t>
      </w:r>
      <w:r w:rsidR="00F54A65">
        <w:t>ATF’s continued</w:t>
      </w:r>
      <w:r w:rsidR="00F024AC">
        <w:t xml:space="preserve"> training </w:t>
      </w:r>
      <w:r w:rsidR="00AE2822">
        <w:t xml:space="preserve">accreditation, </w:t>
      </w:r>
      <w:r w:rsidR="00F024AC">
        <w:t>as decided by the</w:t>
      </w:r>
      <w:r w:rsidRPr="0022020B" w:rsidR="00FE77B3">
        <w:t xml:space="preserve"> Federal Law Enforcement Training Accreditation (FLETA) </w:t>
      </w:r>
      <w:r w:rsidR="00F54A65">
        <w:t>B</w:t>
      </w:r>
      <w:r w:rsidRPr="0022020B" w:rsidR="00FE77B3">
        <w:t>oard. The FLETA Board was established by the Office of Management and Budget</w:t>
      </w:r>
      <w:r w:rsidR="008A2F7B">
        <w:t xml:space="preserve"> (OMB)</w:t>
      </w:r>
      <w:r w:rsidRPr="0022020B" w:rsidR="00FE77B3">
        <w:t xml:space="preserve"> and </w:t>
      </w:r>
      <w:r w:rsidR="004F3290">
        <w:t xml:space="preserve">funded through </w:t>
      </w:r>
      <w:r w:rsidRPr="0022020B" w:rsidR="00FE77B3">
        <w:t>congression</w:t>
      </w:r>
      <w:r w:rsidR="0094276A">
        <w:t>al appropriations</w:t>
      </w:r>
      <w:r w:rsidR="008C0A12">
        <w:t xml:space="preserve">. As stipulated, the FLETA Board </w:t>
      </w:r>
      <w:r w:rsidR="008A2F7B">
        <w:t xml:space="preserve">is comprised </w:t>
      </w:r>
      <w:r w:rsidR="008C0A12">
        <w:t>of</w:t>
      </w:r>
      <w:r w:rsidR="008A2F7B">
        <w:t xml:space="preserve"> representatives from f</w:t>
      </w:r>
      <w:r w:rsidRPr="0022020B" w:rsidR="00FE77B3">
        <w:t>ederal law enforcement agencies</w:t>
      </w:r>
      <w:r w:rsidR="00AE2822">
        <w:t xml:space="preserve">, who meet together to </w:t>
      </w:r>
      <w:r w:rsidRPr="0022020B" w:rsidR="00FE77B3">
        <w:t xml:space="preserve">set standards for the </w:t>
      </w:r>
      <w:r w:rsidR="00F54A65">
        <w:t xml:space="preserve">delivery and </w:t>
      </w:r>
      <w:r w:rsidRPr="0022020B" w:rsidR="00FE77B3">
        <w:t>administration of</w:t>
      </w:r>
      <w:r w:rsidR="008A2F7B">
        <w:t xml:space="preserve"> federal</w:t>
      </w:r>
      <w:r w:rsidRPr="0022020B" w:rsidR="00FE77B3">
        <w:t xml:space="preserve"> law enforcement training</w:t>
      </w:r>
      <w:r w:rsidR="008A2F7B">
        <w:t>.</w:t>
      </w:r>
    </w:p>
    <w:p w:rsidR="008A2F7B" w:rsidP="001B79BB" w:rsidRDefault="008A2F7B">
      <w:pPr>
        <w:pStyle w:val="ListParagraph"/>
      </w:pPr>
    </w:p>
    <w:p w:rsidR="00DE5706" w:rsidP="00DE5706" w:rsidRDefault="00597AC2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</w:pPr>
      <w:r w:rsidRPr="00F54A65">
        <w:t xml:space="preserve">There are no special circumstances regarding this information collection </w:t>
      </w:r>
      <w:r w:rsidR="008A2F7B">
        <w:t xml:space="preserve">which is conducted in accordance </w:t>
      </w:r>
      <w:r w:rsidRPr="00F54A65" w:rsidR="00042D00">
        <w:t>within t</w:t>
      </w:r>
      <w:r w:rsidRPr="00F54A65" w:rsidR="002F186D">
        <w:t>he of 5 CFR 1320.6</w:t>
      </w:r>
      <w:r w:rsidR="008C0A12">
        <w:t>.  However,</w:t>
      </w:r>
      <w:r w:rsidRPr="00F54A65" w:rsidR="002F186D">
        <w:t xml:space="preserve"> </w:t>
      </w:r>
      <w:r w:rsidR="00D84746">
        <w:t>i</w:t>
      </w:r>
      <w:r w:rsidRPr="00F54A65" w:rsidR="002F186D">
        <w:t xml:space="preserve">n situations where </w:t>
      </w:r>
      <w:r w:rsidRPr="00F54A65" w:rsidR="00011579">
        <w:t xml:space="preserve">a </w:t>
      </w:r>
      <w:r w:rsidRPr="00F54A65" w:rsidR="002F186D">
        <w:t>previously scheduled instructor</w:t>
      </w:r>
      <w:r w:rsidRPr="00F54A65" w:rsidR="00011579">
        <w:t xml:space="preserve"> i</w:t>
      </w:r>
      <w:r w:rsidRPr="00F54A65" w:rsidR="002F186D">
        <w:t>s unexpectedly unavailable</w:t>
      </w:r>
      <w:r w:rsidRPr="00F54A65" w:rsidR="00011579">
        <w:t xml:space="preserve">, </w:t>
      </w:r>
      <w:r w:rsidR="008C0A12">
        <w:t>this</w:t>
      </w:r>
      <w:r w:rsidRPr="00F54A65" w:rsidR="00011579">
        <w:t xml:space="preserve"> form may need to be completed</w:t>
      </w:r>
      <w:r w:rsidR="00D84746">
        <w:t xml:space="preserve"> by </w:t>
      </w:r>
      <w:r w:rsidR="008C0A12">
        <w:t xml:space="preserve">a separate candidate, </w:t>
      </w:r>
      <w:r w:rsidRPr="00F54A65" w:rsidR="00011579">
        <w:t xml:space="preserve">in </w:t>
      </w:r>
      <w:r w:rsidR="008C0A12">
        <w:t>a timeframe les</w:t>
      </w:r>
      <w:r w:rsidRPr="00F54A65" w:rsidR="00011579">
        <w:t>s than 30 days</w:t>
      </w:r>
      <w:r w:rsidR="00D84746">
        <w:t>,</w:t>
      </w:r>
      <w:r w:rsidR="008A2F7B">
        <w:t xml:space="preserve"> so </w:t>
      </w:r>
      <w:r w:rsidR="00D84746">
        <w:t xml:space="preserve">ATF </w:t>
      </w:r>
      <w:r w:rsidR="008A2F7B">
        <w:t xml:space="preserve">can </w:t>
      </w:r>
      <w:r w:rsidRPr="00F54A65" w:rsidR="00011579">
        <w:t xml:space="preserve">select </w:t>
      </w:r>
      <w:r w:rsidRPr="00F54A65" w:rsidR="007100FD">
        <w:t xml:space="preserve">and </w:t>
      </w:r>
      <w:r w:rsidRPr="00F54A65" w:rsidR="00011579">
        <w:t xml:space="preserve">schedule a </w:t>
      </w:r>
      <w:r w:rsidR="008C0A12">
        <w:t>replacement</w:t>
      </w:r>
      <w:r w:rsidRPr="00F54A65" w:rsidR="00011579">
        <w:t xml:space="preserve"> instructor in a timely manner prior to the training.</w:t>
      </w:r>
      <w:r w:rsidRPr="00F54A65" w:rsidR="00DE5706">
        <w:t xml:space="preserve"> </w:t>
      </w:r>
    </w:p>
    <w:p w:rsidR="00DE5706" w:rsidP="00DE5706" w:rsidRDefault="00DE5706">
      <w:pPr>
        <w:pStyle w:val="ListParagraph"/>
      </w:pPr>
    </w:p>
    <w:p w:rsidR="00DE5706" w:rsidP="00DE5706" w:rsidRDefault="004B4BEF">
      <w:pPr>
        <w:numPr>
          <w:ilvl w:val="0"/>
          <w:numId w:val="1"/>
        </w:numPr>
        <w:tabs>
          <w:tab w:val="clear" w:pos="360"/>
          <w:tab w:val="num" w:pos="720"/>
        </w:tabs>
        <w:spacing w:after="240"/>
        <w:ind w:left="720" w:hanging="720"/>
      </w:pPr>
      <w:r>
        <w:t>No comments were received during the</w:t>
      </w:r>
      <w:r w:rsidR="008A2F7B">
        <w:t xml:space="preserve"> </w:t>
      </w:r>
      <w:r w:rsidRPr="00F54A65" w:rsidR="00997883">
        <w:t xml:space="preserve">60-day </w:t>
      </w:r>
      <w:r>
        <w:t xml:space="preserve">Federal Register Notice period. However, </w:t>
      </w:r>
      <w:r w:rsidR="008A2F7B">
        <w:t>a</w:t>
      </w:r>
      <w:r w:rsidRPr="00F54A65" w:rsidR="008A2F7B">
        <w:t xml:space="preserve"> </w:t>
      </w:r>
      <w:r w:rsidRPr="00F54A65" w:rsidR="00997883">
        <w:t>30-day Notice</w:t>
      </w:r>
      <w:r w:rsidR="008A2F7B">
        <w:t xml:space="preserve"> will be </w:t>
      </w:r>
      <w:r w:rsidRPr="00F54A65" w:rsidR="00997883">
        <w:t>published in the Federal Register</w:t>
      </w:r>
      <w:r w:rsidR="008A2F7B">
        <w:t xml:space="preserve"> to solicit public comments</w:t>
      </w:r>
      <w:r w:rsidRPr="00F54A65" w:rsidR="00997883">
        <w:t>.</w:t>
      </w:r>
      <w:r w:rsidRPr="00F54A65" w:rsidR="00E37B79">
        <w:t xml:space="preserve">  </w:t>
      </w:r>
    </w:p>
    <w:p w:rsidRPr="00F54A65" w:rsidR="005D0CCD" w:rsidP="00DE5706" w:rsidRDefault="005D0CCD">
      <w:pPr>
        <w:numPr>
          <w:ilvl w:val="0"/>
          <w:numId w:val="1"/>
        </w:numPr>
        <w:tabs>
          <w:tab w:val="clear" w:pos="360"/>
          <w:tab w:val="num" w:pos="720"/>
        </w:tabs>
        <w:spacing w:after="240"/>
        <w:ind w:left="720" w:hanging="720"/>
      </w:pPr>
      <w:r w:rsidRPr="00F54A65">
        <w:t>No payment or gift is associated with this collection.</w:t>
      </w:r>
    </w:p>
    <w:p w:rsidR="00957E41" w:rsidP="00C525CB" w:rsidRDefault="00957E41">
      <w:pPr>
        <w:ind w:left="720"/>
      </w:pPr>
    </w:p>
    <w:p w:rsidR="005D0CCD" w:rsidP="00C525CB" w:rsidRDefault="008A2F7B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</w:pPr>
      <w:r>
        <w:t xml:space="preserve">This collection of information </w:t>
      </w:r>
      <w:r w:rsidR="00B240CC">
        <w:t>will remain confidential and is protected by 5 U.S.C. 552</w:t>
      </w:r>
      <w:r w:rsidR="00F024AC">
        <w:t>,</w:t>
      </w:r>
      <w:r w:rsidR="00B240CC">
        <w:t xml:space="preserve"> except where noted. Access to responses </w:t>
      </w:r>
      <w:r w:rsidR="00F54A65">
        <w:t>are</w:t>
      </w:r>
      <w:r w:rsidR="00B240CC">
        <w:t xml:space="preserve"> secured.</w:t>
      </w:r>
    </w:p>
    <w:p w:rsidR="00957E41" w:rsidP="00C525CB" w:rsidRDefault="00957E41">
      <w:pPr>
        <w:ind w:left="720"/>
      </w:pPr>
    </w:p>
    <w:p w:rsidR="009B1149" w:rsidP="00C525CB" w:rsidRDefault="009B1149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</w:pPr>
      <w:r>
        <w:t>No questions of a sensitive nature are asked.</w:t>
      </w:r>
    </w:p>
    <w:p w:rsidR="00957E41" w:rsidP="00C525CB" w:rsidRDefault="00957E41">
      <w:pPr>
        <w:ind w:left="720"/>
      </w:pPr>
    </w:p>
    <w:p w:rsidR="009B1149" w:rsidP="008A2F7B" w:rsidRDefault="009B1149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hanging="720"/>
      </w:pPr>
      <w:r>
        <w:t xml:space="preserve">Estimates of the </w:t>
      </w:r>
      <w:r w:rsidRPr="004F3290">
        <w:rPr>
          <w:b/>
          <w:i/>
        </w:rPr>
        <w:t>annual</w:t>
      </w:r>
      <w:r>
        <w:t xml:space="preserve"> burden hours are as follows:</w:t>
      </w:r>
    </w:p>
    <w:tbl>
      <w:tblPr>
        <w:tblStyle w:val="TableGridLight"/>
        <w:tblW w:w="0" w:type="auto"/>
        <w:tblLook w:val="00A0" w:firstRow="1" w:lastRow="0" w:firstColumn="1" w:lastColumn="0" w:noHBand="0" w:noVBand="0"/>
        <w:tblCaption w:val="Annual Burden Table "/>
        <w:tblDescription w:val="This table shows the annual public burden calculation associated with this Information Collection. "/>
      </w:tblPr>
      <w:tblGrid>
        <w:gridCol w:w="4318"/>
        <w:gridCol w:w="4312"/>
      </w:tblGrid>
      <w:tr w:rsidR="007100FD" w:rsidTr="00ED5882">
        <w:trPr>
          <w:cantSplit/>
          <w:tblHeader/>
        </w:trPr>
        <w:tc>
          <w:tcPr>
            <w:tcW w:w="4428" w:type="dxa"/>
          </w:tcPr>
          <w:p w:rsidR="007100FD" w:rsidP="00C525CB" w:rsidRDefault="007100FD">
            <w:pPr>
              <w:jc w:val="center"/>
            </w:pPr>
            <w:r>
              <w:t>Number of Respondents</w:t>
            </w:r>
          </w:p>
        </w:tc>
        <w:tc>
          <w:tcPr>
            <w:tcW w:w="4428" w:type="dxa"/>
          </w:tcPr>
          <w:p w:rsidR="007100FD" w:rsidP="00C525CB" w:rsidRDefault="007100FD">
            <w:pPr>
              <w:jc w:val="center"/>
            </w:pPr>
            <w:r w:rsidRPr="007100FD">
              <w:t>Ave 20 per year</w:t>
            </w:r>
          </w:p>
        </w:tc>
      </w:tr>
      <w:tr w:rsidR="007100FD" w:rsidTr="00ED5882">
        <w:trPr>
          <w:cantSplit/>
          <w:tblHeader/>
        </w:trPr>
        <w:tc>
          <w:tcPr>
            <w:tcW w:w="4428" w:type="dxa"/>
          </w:tcPr>
          <w:p w:rsidR="007100FD" w:rsidP="00C525CB" w:rsidRDefault="007100FD">
            <w:pPr>
              <w:jc w:val="center"/>
            </w:pPr>
            <w:r w:rsidRPr="007100FD">
              <w:t>Frequency of Response</w:t>
            </w:r>
          </w:p>
        </w:tc>
        <w:tc>
          <w:tcPr>
            <w:tcW w:w="4428" w:type="dxa"/>
          </w:tcPr>
          <w:p w:rsidR="007100FD" w:rsidP="00C525CB" w:rsidRDefault="007100FD">
            <w:pPr>
              <w:jc w:val="center"/>
            </w:pPr>
            <w:r>
              <w:t>One time application</w:t>
            </w:r>
          </w:p>
        </w:tc>
      </w:tr>
      <w:tr w:rsidR="007100FD" w:rsidTr="00ED5882">
        <w:trPr>
          <w:cantSplit/>
          <w:tblHeader/>
        </w:trPr>
        <w:tc>
          <w:tcPr>
            <w:tcW w:w="4428" w:type="dxa"/>
          </w:tcPr>
          <w:p w:rsidR="007100FD" w:rsidP="008A2F7B" w:rsidRDefault="007100FD">
            <w:pPr>
              <w:tabs>
                <w:tab w:val="left" w:pos="1080"/>
              </w:tabs>
              <w:jc w:val="center"/>
            </w:pPr>
            <w:r w:rsidRPr="007100FD">
              <w:t>Number of Responses</w:t>
            </w:r>
          </w:p>
        </w:tc>
        <w:tc>
          <w:tcPr>
            <w:tcW w:w="4428" w:type="dxa"/>
          </w:tcPr>
          <w:p w:rsidR="007100FD" w:rsidP="00C525CB" w:rsidRDefault="007100FD">
            <w:pPr>
              <w:jc w:val="center"/>
            </w:pPr>
            <w:r>
              <w:t>20</w:t>
            </w:r>
          </w:p>
        </w:tc>
      </w:tr>
      <w:tr w:rsidR="007100FD" w:rsidTr="00ED5882">
        <w:trPr>
          <w:cantSplit/>
          <w:tblHeader/>
        </w:trPr>
        <w:tc>
          <w:tcPr>
            <w:tcW w:w="4428" w:type="dxa"/>
          </w:tcPr>
          <w:p w:rsidR="007100FD" w:rsidP="00C525CB" w:rsidRDefault="007100FD">
            <w:pPr>
              <w:jc w:val="center"/>
            </w:pPr>
            <w:r w:rsidRPr="007100FD">
              <w:t>Completion Time</w:t>
            </w:r>
          </w:p>
        </w:tc>
        <w:tc>
          <w:tcPr>
            <w:tcW w:w="4428" w:type="dxa"/>
          </w:tcPr>
          <w:p w:rsidR="007100FD" w:rsidP="00C525CB" w:rsidRDefault="007100FD">
            <w:pPr>
              <w:jc w:val="center"/>
            </w:pPr>
            <w:r w:rsidRPr="007100FD">
              <w:t>30 minutes</w:t>
            </w:r>
          </w:p>
        </w:tc>
      </w:tr>
      <w:tr w:rsidR="007100FD" w:rsidTr="00ED5882">
        <w:trPr>
          <w:cantSplit/>
          <w:tblHeader/>
        </w:trPr>
        <w:tc>
          <w:tcPr>
            <w:tcW w:w="4428" w:type="dxa"/>
          </w:tcPr>
          <w:p w:rsidR="007100FD" w:rsidP="00C525CB" w:rsidRDefault="007100FD">
            <w:pPr>
              <w:jc w:val="center"/>
            </w:pPr>
            <w:r w:rsidRPr="007100FD">
              <w:t>Total Burden</w:t>
            </w:r>
          </w:p>
        </w:tc>
        <w:tc>
          <w:tcPr>
            <w:tcW w:w="4428" w:type="dxa"/>
          </w:tcPr>
          <w:p w:rsidR="007100FD" w:rsidP="00C525CB" w:rsidRDefault="008C0A12">
            <w:pPr>
              <w:jc w:val="center"/>
            </w:pPr>
            <w:r>
              <w:t>10</w:t>
            </w:r>
            <w:r w:rsidR="008A6844">
              <w:t xml:space="preserve"> </w:t>
            </w:r>
            <w:r w:rsidR="007100FD">
              <w:t>hours</w:t>
            </w:r>
          </w:p>
          <w:p w:rsidR="00957E41" w:rsidP="00C525CB" w:rsidRDefault="00957E41">
            <w:pPr>
              <w:jc w:val="center"/>
            </w:pPr>
          </w:p>
        </w:tc>
      </w:tr>
    </w:tbl>
    <w:p w:rsidR="00E22CC7" w:rsidP="00DE5706" w:rsidRDefault="00E22CC7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ind w:left="720" w:hanging="720"/>
      </w:pPr>
      <w:r>
        <w:t>There is no annual cost burden to the respondent</w:t>
      </w:r>
      <w:r w:rsidR="00155E55">
        <w:t xml:space="preserve">, since responses to this IC is submitted electronically. </w:t>
      </w:r>
      <w:r>
        <w:t xml:space="preserve"> </w:t>
      </w:r>
    </w:p>
    <w:p w:rsidR="00E22CC7" w:rsidP="00DE5706" w:rsidRDefault="00E22CC7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ind w:left="720" w:hanging="720"/>
      </w:pPr>
      <w:r>
        <w:t>Estimates of the annual cost to the Federal Government are as follows:</w:t>
      </w:r>
    </w:p>
    <w:tbl>
      <w:tblPr>
        <w:tblStyle w:val="TableGridLight"/>
        <w:tblW w:w="0" w:type="auto"/>
        <w:tblLook w:val="00A0" w:firstRow="1" w:lastRow="0" w:firstColumn="1" w:lastColumn="0" w:noHBand="0" w:noVBand="0"/>
        <w:tblCaption w:val="Federal Government Cost  Table"/>
        <w:tblDescription w:val="This table shows a breakdown of the Federal Government Costs associated with this Information Collection."/>
      </w:tblPr>
      <w:tblGrid>
        <w:gridCol w:w="4325"/>
        <w:gridCol w:w="4305"/>
      </w:tblGrid>
      <w:tr w:rsidR="007100FD" w:rsidTr="00ED5882">
        <w:trPr>
          <w:cantSplit/>
          <w:tblHeader/>
        </w:trPr>
        <w:tc>
          <w:tcPr>
            <w:tcW w:w="4428" w:type="dxa"/>
          </w:tcPr>
          <w:p w:rsidR="007100FD" w:rsidP="008C0A12" w:rsidRDefault="007100FD">
            <w:pPr>
              <w:jc w:val="center"/>
            </w:pPr>
            <w:r>
              <w:t>Printing</w:t>
            </w:r>
          </w:p>
        </w:tc>
        <w:tc>
          <w:tcPr>
            <w:tcW w:w="4428" w:type="dxa"/>
          </w:tcPr>
          <w:p w:rsidR="007100FD" w:rsidP="00DE5706" w:rsidRDefault="00C525CB">
            <w:pPr>
              <w:ind w:left="601" w:hanging="90"/>
            </w:pPr>
            <w:r>
              <w:t>$ 0</w:t>
            </w:r>
          </w:p>
        </w:tc>
      </w:tr>
      <w:tr w:rsidR="007100FD" w:rsidTr="00ED5882">
        <w:trPr>
          <w:cantSplit/>
          <w:tblHeader/>
        </w:trPr>
        <w:tc>
          <w:tcPr>
            <w:tcW w:w="4428" w:type="dxa"/>
          </w:tcPr>
          <w:p w:rsidR="007100FD" w:rsidP="00C525CB" w:rsidRDefault="007100FD">
            <w:pPr>
              <w:jc w:val="center"/>
            </w:pPr>
            <w:r w:rsidRPr="007100FD">
              <w:t>Distribution (Electronic)</w:t>
            </w:r>
          </w:p>
        </w:tc>
        <w:tc>
          <w:tcPr>
            <w:tcW w:w="4428" w:type="dxa"/>
          </w:tcPr>
          <w:p w:rsidR="007100FD" w:rsidP="00DE5706" w:rsidRDefault="00C525CB">
            <w:pPr>
              <w:ind w:left="601" w:hanging="90"/>
            </w:pPr>
            <w:r>
              <w:t>$ 0</w:t>
            </w:r>
          </w:p>
        </w:tc>
      </w:tr>
      <w:tr w:rsidR="007100FD" w:rsidTr="00ED5882">
        <w:trPr>
          <w:cantSplit/>
          <w:tblHeader/>
        </w:trPr>
        <w:tc>
          <w:tcPr>
            <w:tcW w:w="4428" w:type="dxa"/>
          </w:tcPr>
          <w:p w:rsidR="007100FD" w:rsidP="00C525CB" w:rsidRDefault="007100FD">
            <w:pPr>
              <w:ind w:left="900" w:hanging="360"/>
              <w:jc w:val="center"/>
            </w:pPr>
            <w:r w:rsidRPr="007100FD">
              <w:t>Staff Salary (monthly review, analysis, and data entry, GS13 @ 2 hrs per month)</w:t>
            </w:r>
          </w:p>
        </w:tc>
        <w:tc>
          <w:tcPr>
            <w:tcW w:w="4428" w:type="dxa"/>
          </w:tcPr>
          <w:p w:rsidR="007100FD" w:rsidP="008A6844" w:rsidRDefault="007100FD">
            <w:pPr>
              <w:ind w:left="900" w:hanging="360"/>
            </w:pPr>
            <w:r w:rsidRPr="008A6844">
              <w:t xml:space="preserve">$ </w:t>
            </w:r>
            <w:r w:rsidR="008A6844">
              <w:t>941</w:t>
            </w:r>
          </w:p>
        </w:tc>
      </w:tr>
      <w:tr w:rsidR="007100FD" w:rsidTr="00ED5882">
        <w:trPr>
          <w:cantSplit/>
          <w:tblHeader/>
        </w:trPr>
        <w:tc>
          <w:tcPr>
            <w:tcW w:w="4428" w:type="dxa"/>
          </w:tcPr>
          <w:p w:rsidR="007100FD" w:rsidP="00C525CB" w:rsidRDefault="007100FD">
            <w:pPr>
              <w:ind w:left="900" w:hanging="360"/>
              <w:jc w:val="center"/>
            </w:pPr>
            <w:r>
              <w:t>Total</w:t>
            </w:r>
          </w:p>
        </w:tc>
        <w:tc>
          <w:tcPr>
            <w:tcW w:w="4428" w:type="dxa"/>
          </w:tcPr>
          <w:p w:rsidR="007100FD" w:rsidP="00DE5706" w:rsidRDefault="007100FD">
            <w:pPr>
              <w:ind w:left="900" w:hanging="360"/>
            </w:pPr>
            <w:r w:rsidRPr="008A6844">
              <w:t xml:space="preserve">$ </w:t>
            </w:r>
            <w:r w:rsidR="008A6844">
              <w:t>941.</w:t>
            </w:r>
          </w:p>
        </w:tc>
      </w:tr>
    </w:tbl>
    <w:p w:rsidR="00E22CC7" w:rsidP="00C525CB" w:rsidRDefault="001E3BC4">
      <w:pPr>
        <w:numPr>
          <w:ilvl w:val="0"/>
          <w:numId w:val="1"/>
        </w:numPr>
        <w:tabs>
          <w:tab w:val="clear" w:pos="360"/>
          <w:tab w:val="num" w:pos="720"/>
        </w:tabs>
        <w:spacing w:before="240"/>
        <w:ind w:left="720" w:hanging="720"/>
      </w:pPr>
      <w:r>
        <w:lastRenderedPageBreak/>
        <w:t>There are no program changes or adjustments associated with this collection.</w:t>
      </w:r>
    </w:p>
    <w:p w:rsidR="001E3BC4" w:rsidP="00C525CB" w:rsidRDefault="001E3BC4">
      <w:pPr>
        <w:numPr>
          <w:ilvl w:val="0"/>
          <w:numId w:val="1"/>
        </w:numPr>
        <w:tabs>
          <w:tab w:val="clear" w:pos="360"/>
          <w:tab w:val="num" w:pos="720"/>
        </w:tabs>
        <w:spacing w:before="240"/>
        <w:ind w:left="720" w:hanging="720"/>
      </w:pPr>
      <w:r>
        <w:t>The results of this collection will not be published.</w:t>
      </w:r>
    </w:p>
    <w:p w:rsidR="00957E41" w:rsidP="00C525CB" w:rsidRDefault="001E3BC4">
      <w:pPr>
        <w:numPr>
          <w:ilvl w:val="0"/>
          <w:numId w:val="1"/>
        </w:numPr>
        <w:tabs>
          <w:tab w:val="clear" w:pos="360"/>
          <w:tab w:val="num" w:pos="720"/>
        </w:tabs>
        <w:spacing w:before="240"/>
        <w:ind w:left="720" w:hanging="720"/>
      </w:pPr>
      <w:r>
        <w:t>ATF does not request approval to not display the expiration date of OMB approval for this collection.</w:t>
      </w:r>
    </w:p>
    <w:p w:rsidR="00E7740F" w:rsidP="00C525CB" w:rsidRDefault="00E7740F">
      <w:pPr>
        <w:numPr>
          <w:ilvl w:val="0"/>
          <w:numId w:val="1"/>
        </w:numPr>
        <w:tabs>
          <w:tab w:val="clear" w:pos="360"/>
          <w:tab w:val="num" w:pos="720"/>
        </w:tabs>
        <w:spacing w:before="240"/>
        <w:ind w:left="720" w:hanging="720"/>
      </w:pPr>
      <w:r>
        <w:t>There are no exceptions to the certification statement.</w:t>
      </w:r>
    </w:p>
    <w:p w:rsidRPr="00C525CB" w:rsidR="002D571F" w:rsidP="00C525CB" w:rsidRDefault="002D571F">
      <w:pPr>
        <w:numPr>
          <w:ilvl w:val="0"/>
          <w:numId w:val="6"/>
        </w:numPr>
        <w:tabs>
          <w:tab w:val="clear" w:pos="720"/>
          <w:tab w:val="num" w:pos="0"/>
        </w:tabs>
        <w:spacing w:before="240"/>
        <w:ind w:hanging="1440"/>
        <w:rPr>
          <w:b/>
          <w:u w:val="single"/>
        </w:rPr>
      </w:pPr>
      <w:r w:rsidRPr="00C525CB">
        <w:rPr>
          <w:b/>
          <w:u w:val="single"/>
        </w:rPr>
        <w:t>Statistical Methods</w:t>
      </w:r>
    </w:p>
    <w:p w:rsidR="000A2514" w:rsidP="00C525CB" w:rsidRDefault="001B28FA">
      <w:pPr>
        <w:spacing w:before="240"/>
      </w:pPr>
      <w:r>
        <w:t>No</w:t>
      </w:r>
      <w:r w:rsidR="00F024AC">
        <w:t>ne</w:t>
      </w:r>
      <w:r>
        <w:t>.</w:t>
      </w:r>
    </w:p>
    <w:sectPr w:rsidR="000A2514" w:rsidSect="008A5739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8CC" w:rsidRDefault="004C08CC">
      <w:r>
        <w:separator/>
      </w:r>
    </w:p>
  </w:endnote>
  <w:endnote w:type="continuationSeparator" w:id="0">
    <w:p w:rsidR="004C08CC" w:rsidRDefault="004C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579" w:rsidRDefault="00B84600" w:rsidP="00866159">
    <w:pPr>
      <w:pStyle w:val="Footer"/>
      <w:jc w:val="center"/>
    </w:pPr>
    <w:r>
      <w:rPr>
        <w:rStyle w:val="PageNumber"/>
      </w:rPr>
      <w:fldChar w:fldCharType="begin"/>
    </w:r>
    <w:r w:rsidR="0001157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50F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8CC" w:rsidRDefault="004C08CC">
      <w:r>
        <w:separator/>
      </w:r>
    </w:p>
  </w:footnote>
  <w:footnote w:type="continuationSeparator" w:id="0">
    <w:p w:rsidR="004C08CC" w:rsidRDefault="004C0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CCA"/>
    <w:multiLevelType w:val="multilevel"/>
    <w:tmpl w:val="C0588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00FF3"/>
    <w:multiLevelType w:val="hybridMultilevel"/>
    <w:tmpl w:val="C294286C"/>
    <w:lvl w:ilvl="0" w:tplc="DCD8C73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865909"/>
    <w:multiLevelType w:val="hybridMultilevel"/>
    <w:tmpl w:val="FDE03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05D26"/>
    <w:multiLevelType w:val="hybridMultilevel"/>
    <w:tmpl w:val="BA725E06"/>
    <w:lvl w:ilvl="0" w:tplc="038ED17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587874"/>
    <w:multiLevelType w:val="hybridMultilevel"/>
    <w:tmpl w:val="9F3065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9C0E13"/>
    <w:multiLevelType w:val="hybridMultilevel"/>
    <w:tmpl w:val="04C0AFBE"/>
    <w:lvl w:ilvl="0" w:tplc="F2C4F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D3B65"/>
    <w:multiLevelType w:val="hybridMultilevel"/>
    <w:tmpl w:val="C0588D78"/>
    <w:lvl w:ilvl="0" w:tplc="F2C4F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D27B96"/>
    <w:multiLevelType w:val="multilevel"/>
    <w:tmpl w:val="FDE03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55C8A"/>
    <w:multiLevelType w:val="hybridMultilevel"/>
    <w:tmpl w:val="BB8C67B6"/>
    <w:lvl w:ilvl="0" w:tplc="DCD8C734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E87CFE"/>
    <w:multiLevelType w:val="hybridMultilevel"/>
    <w:tmpl w:val="CA5CA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8F50C8"/>
    <w:multiLevelType w:val="hybridMultilevel"/>
    <w:tmpl w:val="A3B010D6"/>
    <w:lvl w:ilvl="0" w:tplc="DCD8C73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785E60"/>
    <w:multiLevelType w:val="hybridMultilevel"/>
    <w:tmpl w:val="18A4B2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75A54D6">
      <w:start w:val="1"/>
      <w:numFmt w:val="decimal"/>
      <w:lvlText w:val="%3)"/>
      <w:lvlJc w:val="left"/>
      <w:pPr>
        <w:ind w:left="222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18714EB"/>
    <w:multiLevelType w:val="multilevel"/>
    <w:tmpl w:val="5F98C1E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DA6E6E"/>
    <w:multiLevelType w:val="hybridMultilevel"/>
    <w:tmpl w:val="725836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EF7295"/>
    <w:multiLevelType w:val="hybridMultilevel"/>
    <w:tmpl w:val="3934D39E"/>
    <w:lvl w:ilvl="0" w:tplc="DCD8C73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100FB"/>
    <w:multiLevelType w:val="hybridMultilevel"/>
    <w:tmpl w:val="9440D0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56316A"/>
    <w:multiLevelType w:val="hybridMultilevel"/>
    <w:tmpl w:val="72DE39A0"/>
    <w:lvl w:ilvl="0" w:tplc="038ED178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9A729F"/>
    <w:multiLevelType w:val="hybridMultilevel"/>
    <w:tmpl w:val="209E96A4"/>
    <w:lvl w:ilvl="0" w:tplc="DCD8C734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9A33C2"/>
    <w:multiLevelType w:val="hybridMultilevel"/>
    <w:tmpl w:val="E9449D74"/>
    <w:lvl w:ilvl="0" w:tplc="871242B4">
      <w:start w:val="1"/>
      <w:numFmt w:val="lowerLetter"/>
      <w:lvlText w:val="%1)"/>
      <w:lvlJc w:val="left"/>
      <w:pPr>
        <w:ind w:left="153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BF4566"/>
    <w:multiLevelType w:val="hybridMultilevel"/>
    <w:tmpl w:val="C26E68B2"/>
    <w:lvl w:ilvl="0" w:tplc="E97CE364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A6203BF"/>
    <w:multiLevelType w:val="hybridMultilevel"/>
    <w:tmpl w:val="F162D53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CF94B6B"/>
    <w:multiLevelType w:val="hybridMultilevel"/>
    <w:tmpl w:val="1CF6923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734E49E6"/>
    <w:multiLevelType w:val="hybridMultilevel"/>
    <w:tmpl w:val="7CC2AB22"/>
    <w:lvl w:ilvl="0" w:tplc="038ED17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55596E"/>
    <w:multiLevelType w:val="hybridMultilevel"/>
    <w:tmpl w:val="18B65F5E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74847FE"/>
    <w:multiLevelType w:val="hybridMultilevel"/>
    <w:tmpl w:val="40C43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AC62E8"/>
    <w:multiLevelType w:val="hybridMultilevel"/>
    <w:tmpl w:val="41409ABC"/>
    <w:lvl w:ilvl="0" w:tplc="871242B4">
      <w:start w:val="1"/>
      <w:numFmt w:val="lowerLetter"/>
      <w:lvlText w:val="%1)"/>
      <w:lvlJc w:val="left"/>
      <w:pPr>
        <w:ind w:left="117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770E6"/>
    <w:multiLevelType w:val="hybridMultilevel"/>
    <w:tmpl w:val="0B507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787714"/>
    <w:multiLevelType w:val="multilevel"/>
    <w:tmpl w:val="40C43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27"/>
  </w:num>
  <w:num w:numId="4">
    <w:abstractNumId w:val="2"/>
  </w:num>
  <w:num w:numId="5">
    <w:abstractNumId w:val="7"/>
  </w:num>
  <w:num w:numId="6">
    <w:abstractNumId w:val="19"/>
  </w:num>
  <w:num w:numId="7">
    <w:abstractNumId w:val="5"/>
  </w:num>
  <w:num w:numId="8">
    <w:abstractNumId w:val="12"/>
  </w:num>
  <w:num w:numId="9">
    <w:abstractNumId w:val="6"/>
  </w:num>
  <w:num w:numId="10">
    <w:abstractNumId w:val="0"/>
  </w:num>
  <w:num w:numId="11">
    <w:abstractNumId w:val="9"/>
  </w:num>
  <w:num w:numId="12">
    <w:abstractNumId w:val="4"/>
  </w:num>
  <w:num w:numId="13">
    <w:abstractNumId w:val="21"/>
  </w:num>
  <w:num w:numId="14">
    <w:abstractNumId w:val="26"/>
  </w:num>
  <w:num w:numId="15">
    <w:abstractNumId w:val="13"/>
  </w:num>
  <w:num w:numId="16">
    <w:abstractNumId w:val="1"/>
  </w:num>
  <w:num w:numId="17">
    <w:abstractNumId w:val="17"/>
  </w:num>
  <w:num w:numId="18">
    <w:abstractNumId w:val="10"/>
  </w:num>
  <w:num w:numId="19">
    <w:abstractNumId w:val="8"/>
  </w:num>
  <w:num w:numId="20">
    <w:abstractNumId w:val="14"/>
  </w:num>
  <w:num w:numId="21">
    <w:abstractNumId w:val="25"/>
  </w:num>
  <w:num w:numId="22">
    <w:abstractNumId w:val="18"/>
  </w:num>
  <w:num w:numId="23">
    <w:abstractNumId w:val="22"/>
  </w:num>
  <w:num w:numId="24">
    <w:abstractNumId w:val="16"/>
  </w:num>
  <w:num w:numId="25">
    <w:abstractNumId w:val="23"/>
  </w:num>
  <w:num w:numId="26">
    <w:abstractNumId w:val="20"/>
  </w:num>
  <w:num w:numId="27">
    <w:abstractNumId w:val="1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D5"/>
    <w:rsid w:val="00002577"/>
    <w:rsid w:val="00011579"/>
    <w:rsid w:val="00023417"/>
    <w:rsid w:val="00030307"/>
    <w:rsid w:val="00031517"/>
    <w:rsid w:val="00035C85"/>
    <w:rsid w:val="00042D00"/>
    <w:rsid w:val="00042ED5"/>
    <w:rsid w:val="00060384"/>
    <w:rsid w:val="0006403C"/>
    <w:rsid w:val="00070985"/>
    <w:rsid w:val="000A2514"/>
    <w:rsid w:val="000C3935"/>
    <w:rsid w:val="000D1696"/>
    <w:rsid w:val="000D52E1"/>
    <w:rsid w:val="000D6268"/>
    <w:rsid w:val="000F47E6"/>
    <w:rsid w:val="00117982"/>
    <w:rsid w:val="0012320E"/>
    <w:rsid w:val="00144049"/>
    <w:rsid w:val="00155E55"/>
    <w:rsid w:val="00163DA3"/>
    <w:rsid w:val="00165E34"/>
    <w:rsid w:val="00167FB0"/>
    <w:rsid w:val="00187D37"/>
    <w:rsid w:val="001A3E56"/>
    <w:rsid w:val="001B28FA"/>
    <w:rsid w:val="001B5796"/>
    <w:rsid w:val="001B79BB"/>
    <w:rsid w:val="001C04C0"/>
    <w:rsid w:val="001C5A68"/>
    <w:rsid w:val="001D0CBC"/>
    <w:rsid w:val="001D6C4C"/>
    <w:rsid w:val="001E1DB5"/>
    <w:rsid w:val="001E3BC4"/>
    <w:rsid w:val="00200350"/>
    <w:rsid w:val="002034B7"/>
    <w:rsid w:val="002170C3"/>
    <w:rsid w:val="0022020B"/>
    <w:rsid w:val="00223D38"/>
    <w:rsid w:val="00227C33"/>
    <w:rsid w:val="00234468"/>
    <w:rsid w:val="002526AD"/>
    <w:rsid w:val="00271E4C"/>
    <w:rsid w:val="00290259"/>
    <w:rsid w:val="002B07B1"/>
    <w:rsid w:val="002B2521"/>
    <w:rsid w:val="002B2A0A"/>
    <w:rsid w:val="002C454E"/>
    <w:rsid w:val="002C5AB8"/>
    <w:rsid w:val="002D571F"/>
    <w:rsid w:val="002F1419"/>
    <w:rsid w:val="002F186D"/>
    <w:rsid w:val="002F2199"/>
    <w:rsid w:val="002F3DD2"/>
    <w:rsid w:val="00316F26"/>
    <w:rsid w:val="00320880"/>
    <w:rsid w:val="00333ECA"/>
    <w:rsid w:val="003744BA"/>
    <w:rsid w:val="003A252C"/>
    <w:rsid w:val="003A399C"/>
    <w:rsid w:val="003D5095"/>
    <w:rsid w:val="003D63D9"/>
    <w:rsid w:val="003E7BFD"/>
    <w:rsid w:val="00425F8D"/>
    <w:rsid w:val="0042657C"/>
    <w:rsid w:val="0044409F"/>
    <w:rsid w:val="00450813"/>
    <w:rsid w:val="00460161"/>
    <w:rsid w:val="00466A75"/>
    <w:rsid w:val="004677E8"/>
    <w:rsid w:val="00474FE5"/>
    <w:rsid w:val="00477040"/>
    <w:rsid w:val="00496DCF"/>
    <w:rsid w:val="004A171F"/>
    <w:rsid w:val="004B4892"/>
    <w:rsid w:val="004B4BEF"/>
    <w:rsid w:val="004B7A76"/>
    <w:rsid w:val="004C08CC"/>
    <w:rsid w:val="004C4FED"/>
    <w:rsid w:val="004D1F8C"/>
    <w:rsid w:val="004F3290"/>
    <w:rsid w:val="00506D86"/>
    <w:rsid w:val="0050732E"/>
    <w:rsid w:val="00535C1F"/>
    <w:rsid w:val="0055037F"/>
    <w:rsid w:val="005670C2"/>
    <w:rsid w:val="00580D74"/>
    <w:rsid w:val="005879AD"/>
    <w:rsid w:val="00594B55"/>
    <w:rsid w:val="00597AC2"/>
    <w:rsid w:val="005A166F"/>
    <w:rsid w:val="005B20D6"/>
    <w:rsid w:val="005C7107"/>
    <w:rsid w:val="005C76F1"/>
    <w:rsid w:val="005D0CCD"/>
    <w:rsid w:val="005D15E9"/>
    <w:rsid w:val="005D4D84"/>
    <w:rsid w:val="005E1F18"/>
    <w:rsid w:val="005F0BF6"/>
    <w:rsid w:val="005F4870"/>
    <w:rsid w:val="005F76C1"/>
    <w:rsid w:val="006010AB"/>
    <w:rsid w:val="006112F8"/>
    <w:rsid w:val="006634C7"/>
    <w:rsid w:val="00663583"/>
    <w:rsid w:val="0067080F"/>
    <w:rsid w:val="006844CD"/>
    <w:rsid w:val="00685197"/>
    <w:rsid w:val="006871EC"/>
    <w:rsid w:val="006923AB"/>
    <w:rsid w:val="006A4A4A"/>
    <w:rsid w:val="006A73A1"/>
    <w:rsid w:val="006C53EA"/>
    <w:rsid w:val="006C5C53"/>
    <w:rsid w:val="006C5E7B"/>
    <w:rsid w:val="006E013A"/>
    <w:rsid w:val="006E1681"/>
    <w:rsid w:val="006F4859"/>
    <w:rsid w:val="006F766E"/>
    <w:rsid w:val="00702914"/>
    <w:rsid w:val="00705E75"/>
    <w:rsid w:val="007100FD"/>
    <w:rsid w:val="007230D8"/>
    <w:rsid w:val="00727ACA"/>
    <w:rsid w:val="00727D30"/>
    <w:rsid w:val="0077492D"/>
    <w:rsid w:val="00783AAD"/>
    <w:rsid w:val="007861F3"/>
    <w:rsid w:val="0079150D"/>
    <w:rsid w:val="00793AD0"/>
    <w:rsid w:val="00797EB9"/>
    <w:rsid w:val="007D269E"/>
    <w:rsid w:val="007F0321"/>
    <w:rsid w:val="008033BF"/>
    <w:rsid w:val="00806411"/>
    <w:rsid w:val="00806502"/>
    <w:rsid w:val="00816158"/>
    <w:rsid w:val="008610F6"/>
    <w:rsid w:val="00861B1F"/>
    <w:rsid w:val="008627B7"/>
    <w:rsid w:val="00866159"/>
    <w:rsid w:val="008725AA"/>
    <w:rsid w:val="0087606A"/>
    <w:rsid w:val="0089398A"/>
    <w:rsid w:val="008A2F7B"/>
    <w:rsid w:val="008A5739"/>
    <w:rsid w:val="008A6844"/>
    <w:rsid w:val="008B0252"/>
    <w:rsid w:val="008B4207"/>
    <w:rsid w:val="008C0A12"/>
    <w:rsid w:val="008F330C"/>
    <w:rsid w:val="00911511"/>
    <w:rsid w:val="009119BC"/>
    <w:rsid w:val="00915AEE"/>
    <w:rsid w:val="00916609"/>
    <w:rsid w:val="0091742D"/>
    <w:rsid w:val="00917DE1"/>
    <w:rsid w:val="00925999"/>
    <w:rsid w:val="00936486"/>
    <w:rsid w:val="00940C1A"/>
    <w:rsid w:val="0094276A"/>
    <w:rsid w:val="009437E7"/>
    <w:rsid w:val="009545B6"/>
    <w:rsid w:val="00957E41"/>
    <w:rsid w:val="009637CB"/>
    <w:rsid w:val="00971713"/>
    <w:rsid w:val="009722CF"/>
    <w:rsid w:val="009728D9"/>
    <w:rsid w:val="00997883"/>
    <w:rsid w:val="009A39F2"/>
    <w:rsid w:val="009B1149"/>
    <w:rsid w:val="009B3B51"/>
    <w:rsid w:val="009C2384"/>
    <w:rsid w:val="009C2FF8"/>
    <w:rsid w:val="009D50FA"/>
    <w:rsid w:val="009E38DA"/>
    <w:rsid w:val="009F7F16"/>
    <w:rsid w:val="00A009D6"/>
    <w:rsid w:val="00A10AFA"/>
    <w:rsid w:val="00A22EA4"/>
    <w:rsid w:val="00A31900"/>
    <w:rsid w:val="00A73F0B"/>
    <w:rsid w:val="00A867AE"/>
    <w:rsid w:val="00A96CFE"/>
    <w:rsid w:val="00AB00BF"/>
    <w:rsid w:val="00AB1052"/>
    <w:rsid w:val="00AE0C45"/>
    <w:rsid w:val="00AE15F2"/>
    <w:rsid w:val="00AE2822"/>
    <w:rsid w:val="00AF2876"/>
    <w:rsid w:val="00AF3A1B"/>
    <w:rsid w:val="00AF6C6F"/>
    <w:rsid w:val="00B01378"/>
    <w:rsid w:val="00B065A7"/>
    <w:rsid w:val="00B22E9C"/>
    <w:rsid w:val="00B240CC"/>
    <w:rsid w:val="00B34341"/>
    <w:rsid w:val="00B549EF"/>
    <w:rsid w:val="00B651F7"/>
    <w:rsid w:val="00B8230D"/>
    <w:rsid w:val="00B84600"/>
    <w:rsid w:val="00BA1900"/>
    <w:rsid w:val="00BA3560"/>
    <w:rsid w:val="00BA407D"/>
    <w:rsid w:val="00BA72AC"/>
    <w:rsid w:val="00BA77CB"/>
    <w:rsid w:val="00BA7E21"/>
    <w:rsid w:val="00BC2707"/>
    <w:rsid w:val="00BC5984"/>
    <w:rsid w:val="00BC6C30"/>
    <w:rsid w:val="00BD20CB"/>
    <w:rsid w:val="00BF171D"/>
    <w:rsid w:val="00C07B14"/>
    <w:rsid w:val="00C11B39"/>
    <w:rsid w:val="00C22183"/>
    <w:rsid w:val="00C525CB"/>
    <w:rsid w:val="00C6157E"/>
    <w:rsid w:val="00C96F67"/>
    <w:rsid w:val="00CA0B93"/>
    <w:rsid w:val="00CA3A89"/>
    <w:rsid w:val="00CA68A2"/>
    <w:rsid w:val="00D32145"/>
    <w:rsid w:val="00D562B7"/>
    <w:rsid w:val="00D64235"/>
    <w:rsid w:val="00D64375"/>
    <w:rsid w:val="00D700BB"/>
    <w:rsid w:val="00D83560"/>
    <w:rsid w:val="00D8377C"/>
    <w:rsid w:val="00D84746"/>
    <w:rsid w:val="00D85CB2"/>
    <w:rsid w:val="00DA0DCF"/>
    <w:rsid w:val="00DC6F68"/>
    <w:rsid w:val="00DD0FF1"/>
    <w:rsid w:val="00DD1A4A"/>
    <w:rsid w:val="00DE5706"/>
    <w:rsid w:val="00DF36BC"/>
    <w:rsid w:val="00E015AB"/>
    <w:rsid w:val="00E06ED5"/>
    <w:rsid w:val="00E22CC7"/>
    <w:rsid w:val="00E37B79"/>
    <w:rsid w:val="00E41E08"/>
    <w:rsid w:val="00E62591"/>
    <w:rsid w:val="00E7241D"/>
    <w:rsid w:val="00E7740F"/>
    <w:rsid w:val="00E83AD6"/>
    <w:rsid w:val="00E906B6"/>
    <w:rsid w:val="00EA7F1D"/>
    <w:rsid w:val="00EB5DC5"/>
    <w:rsid w:val="00ED104B"/>
    <w:rsid w:val="00ED1FCD"/>
    <w:rsid w:val="00ED5882"/>
    <w:rsid w:val="00EE0C1A"/>
    <w:rsid w:val="00F00205"/>
    <w:rsid w:val="00F024AC"/>
    <w:rsid w:val="00F14285"/>
    <w:rsid w:val="00F16E46"/>
    <w:rsid w:val="00F20EBD"/>
    <w:rsid w:val="00F53769"/>
    <w:rsid w:val="00F54994"/>
    <w:rsid w:val="00F54A65"/>
    <w:rsid w:val="00F6590B"/>
    <w:rsid w:val="00F800F7"/>
    <w:rsid w:val="00F8043D"/>
    <w:rsid w:val="00FB2123"/>
    <w:rsid w:val="00FC2744"/>
    <w:rsid w:val="00FD1597"/>
    <w:rsid w:val="00FE77B3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05605-3B8D-40E3-A02F-9C05B752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7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661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61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6159"/>
  </w:style>
  <w:style w:type="paragraph" w:styleId="ListParagraph">
    <w:name w:val="List Paragraph"/>
    <w:basedOn w:val="Normal"/>
    <w:uiPriority w:val="34"/>
    <w:qFormat/>
    <w:rsid w:val="009722C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B28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B28FA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CA3A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3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A3A89"/>
  </w:style>
  <w:style w:type="paragraph" w:styleId="CommentSubject">
    <w:name w:val="annotation subject"/>
    <w:basedOn w:val="CommentText"/>
    <w:next w:val="CommentText"/>
    <w:link w:val="CommentSubjectChar"/>
    <w:rsid w:val="00CA3A89"/>
    <w:rPr>
      <w:b/>
      <w:bCs/>
    </w:rPr>
  </w:style>
  <w:style w:type="character" w:customStyle="1" w:styleId="CommentSubjectChar">
    <w:name w:val="Comment Subject Char"/>
    <w:link w:val="CommentSubject"/>
    <w:rsid w:val="00CA3A89"/>
    <w:rPr>
      <w:b/>
      <w:bCs/>
    </w:rPr>
  </w:style>
  <w:style w:type="paragraph" w:styleId="Revision">
    <w:name w:val="Revision"/>
    <w:hidden/>
    <w:uiPriority w:val="99"/>
    <w:semiHidden/>
    <w:rsid w:val="00CA3A89"/>
    <w:rPr>
      <w:sz w:val="24"/>
      <w:szCs w:val="24"/>
    </w:rPr>
  </w:style>
  <w:style w:type="table" w:styleId="TableGridLight">
    <w:name w:val="Grid Table Light"/>
    <w:basedOn w:val="TableNormal"/>
    <w:uiPriority w:val="40"/>
    <w:rsid w:val="00ED588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063A8-AC3C-4ADC-88C7-CD4C1159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1285</Words>
  <Characters>7288</Characters>
  <Application>Microsoft Office Word</Application>
  <DocSecurity>0</DocSecurity>
  <Lines>196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Adjunct Instructor Justification</vt:lpstr>
    </vt:vector>
  </TitlesOfParts>
  <Company>Bureau of Alcohol, Tobacco, Firearmes and Explosives</Company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Adjunct Instructor Justification</dc:title>
  <dc:subject>Adjunct Instructor Justifaction</dc:subject>
  <dc:creator>ATF</dc:creator>
  <cp:keywords>Adjunct; Instuctor; Justification</cp:keywords>
  <cp:lastModifiedBy>Bolton, Tamelia A.</cp:lastModifiedBy>
  <cp:revision>2</cp:revision>
  <cp:lastPrinted>2011-01-06T17:40:00Z</cp:lastPrinted>
  <dcterms:created xsi:type="dcterms:W3CDTF">2020-06-23T11:38:00Z</dcterms:created>
  <dcterms:modified xsi:type="dcterms:W3CDTF">2020-06-23T11:38:00Z</dcterms:modified>
</cp:coreProperties>
</file>