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F48" w:rsidP="008B14DA" w:rsidRDefault="003D2F48" w14:paraId="29FBD3CE" w14:textId="77777777">
      <w:pPr>
        <w:spacing w:after="0"/>
        <w:jc w:val="center"/>
        <w:rPr>
          <w:rFonts w:ascii="Times New Roman" w:hAnsi="Times New Roman" w:cs="Times New Roman"/>
          <w:b/>
          <w:bCs/>
          <w:sz w:val="24"/>
          <w:szCs w:val="24"/>
        </w:rPr>
      </w:pPr>
      <w:r>
        <w:rPr>
          <w:rFonts w:ascii="Times New Roman" w:hAnsi="Times New Roman" w:cs="Times New Roman"/>
          <w:b/>
          <w:bCs/>
          <w:sz w:val="24"/>
          <w:szCs w:val="24"/>
        </w:rPr>
        <w:t>SUPPORTING STATEMENT FOR</w:t>
      </w:r>
    </w:p>
    <w:p w:rsidR="003D2F48" w:rsidP="00EC42C4" w:rsidRDefault="003D2F48" w14:paraId="3CF95F4D" w14:textId="77777777">
      <w:pPr>
        <w:spacing w:after="0"/>
        <w:jc w:val="center"/>
        <w:rPr>
          <w:rFonts w:ascii="Times New Roman" w:hAnsi="Times New Roman" w:cs="Times New Roman"/>
          <w:b/>
          <w:bCs/>
          <w:sz w:val="24"/>
          <w:szCs w:val="24"/>
        </w:rPr>
      </w:pPr>
      <w:r>
        <w:rPr>
          <w:rFonts w:ascii="Times New Roman" w:hAnsi="Times New Roman" w:cs="Times New Roman"/>
          <w:b/>
          <w:bCs/>
          <w:sz w:val="24"/>
          <w:szCs w:val="24"/>
        </w:rPr>
        <w:t>THE COLLECTION OF INFORMATION REQUIREMENTS OF</w:t>
      </w:r>
    </w:p>
    <w:p w:rsidR="003D2F48" w:rsidP="00D66612" w:rsidRDefault="003D2F48" w14:paraId="45C9E22B" w14:textId="77777777">
      <w:pPr>
        <w:spacing w:after="0"/>
        <w:jc w:val="center"/>
        <w:rPr>
          <w:rFonts w:ascii="Times New Roman" w:hAnsi="Times New Roman" w:cs="Times New Roman"/>
          <w:b/>
          <w:bCs/>
          <w:sz w:val="24"/>
          <w:szCs w:val="24"/>
        </w:rPr>
      </w:pPr>
      <w:r>
        <w:rPr>
          <w:rFonts w:ascii="Times New Roman" w:hAnsi="Times New Roman" w:cs="Times New Roman"/>
          <w:b/>
          <w:bCs/>
          <w:sz w:val="24"/>
          <w:szCs w:val="24"/>
        </w:rPr>
        <w:t>THE LOGGING OPERATIONS STANDARD (29 CFR 1910.266)</w:t>
      </w:r>
      <w:r>
        <w:rPr>
          <w:rFonts w:ascii="Times New Roman" w:hAnsi="Times New Roman" w:cs="Times New Roman"/>
          <w:sz w:val="20"/>
          <w:szCs w:val="20"/>
          <w:vertAlign w:val="superscript"/>
        </w:rPr>
        <w:footnoteReference w:id="1"/>
      </w:r>
    </w:p>
    <w:p w:rsidR="003D2F48" w:rsidRDefault="003D2F48" w14:paraId="6CF65340" w14:textId="77777777">
      <w:pPr>
        <w:spacing w:after="0"/>
        <w:jc w:val="center"/>
        <w:rPr>
          <w:rFonts w:ascii="Times New Roman" w:hAnsi="Times New Roman" w:cs="Times New Roman"/>
          <w:b/>
          <w:bCs/>
          <w:sz w:val="24"/>
          <w:szCs w:val="24"/>
        </w:rPr>
      </w:pPr>
      <w:r>
        <w:rPr>
          <w:rFonts w:ascii="Times New Roman" w:hAnsi="Times New Roman" w:cs="Times New Roman"/>
          <w:b/>
          <w:bCs/>
          <w:sz w:val="24"/>
          <w:szCs w:val="24"/>
        </w:rPr>
        <w:t>OFFICE OF MANAGEMENT AND BUDGET (OMB)</w:t>
      </w:r>
    </w:p>
    <w:p w:rsidR="003D2F48" w:rsidRDefault="00D63145" w14:paraId="40E4B0F7" w14:textId="78EA5A3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CONTROL NO. 1218-0198 </w:t>
      </w:r>
      <w:r w:rsidR="00F2280C">
        <w:rPr>
          <w:rFonts w:ascii="Times New Roman" w:hAnsi="Times New Roman" w:cs="Times New Roman"/>
          <w:b/>
          <w:bCs/>
          <w:sz w:val="24"/>
          <w:szCs w:val="24"/>
        </w:rPr>
        <w:t>(</w:t>
      </w:r>
      <w:r w:rsidR="00216950">
        <w:rPr>
          <w:rFonts w:ascii="Times New Roman" w:hAnsi="Times New Roman" w:cs="Times New Roman"/>
          <w:b/>
          <w:bCs/>
          <w:sz w:val="24"/>
          <w:szCs w:val="24"/>
        </w:rPr>
        <w:t xml:space="preserve">August </w:t>
      </w:r>
      <w:r w:rsidR="00552F3C">
        <w:rPr>
          <w:rFonts w:ascii="Times New Roman" w:hAnsi="Times New Roman" w:cs="Times New Roman"/>
          <w:b/>
          <w:bCs/>
          <w:sz w:val="24"/>
          <w:szCs w:val="24"/>
        </w:rPr>
        <w:t>2020</w:t>
      </w:r>
      <w:r w:rsidR="003D2F48">
        <w:rPr>
          <w:rFonts w:ascii="Times New Roman" w:hAnsi="Times New Roman" w:cs="Times New Roman"/>
          <w:b/>
          <w:bCs/>
          <w:sz w:val="24"/>
          <w:szCs w:val="24"/>
        </w:rPr>
        <w:t>)</w:t>
      </w:r>
    </w:p>
    <w:p w:rsidR="00E97964" w:rsidRDefault="00E97964" w14:paraId="2065D12B" w14:textId="77777777">
      <w:pPr>
        <w:spacing w:after="0"/>
        <w:jc w:val="center"/>
        <w:rPr>
          <w:rFonts w:ascii="Times New Roman" w:hAnsi="Times New Roman" w:cs="Times New Roman"/>
          <w:b/>
          <w:bCs/>
          <w:sz w:val="24"/>
          <w:szCs w:val="24"/>
        </w:rPr>
      </w:pPr>
    </w:p>
    <w:p w:rsidR="00264F85" w:rsidP="009248F6" w:rsidRDefault="00E97964" w14:paraId="55A99942" w14:textId="25113599">
      <w:pPr>
        <w:spacing w:after="0"/>
        <w:rPr>
          <w:rFonts w:ascii="Times New Roman" w:hAnsi="Times New Roman" w:cs="Times New Roman"/>
          <w:bCs/>
          <w:sz w:val="24"/>
          <w:szCs w:val="24"/>
          <w:u w:val="single"/>
        </w:rPr>
      </w:pPr>
      <w:r>
        <w:rPr>
          <w:rFonts w:ascii="Times New Roman" w:hAnsi="Times New Roman" w:cs="Times New Roman"/>
          <w:bCs/>
          <w:sz w:val="24"/>
          <w:szCs w:val="24"/>
          <w:u w:val="single"/>
        </w:rPr>
        <w:t xml:space="preserve">This ICR </w:t>
      </w:r>
      <w:r w:rsidR="002D0411">
        <w:rPr>
          <w:rFonts w:ascii="Times New Roman" w:hAnsi="Times New Roman" w:cs="Times New Roman"/>
          <w:bCs/>
          <w:sz w:val="24"/>
          <w:szCs w:val="24"/>
          <w:u w:val="single"/>
        </w:rPr>
        <w:t xml:space="preserve">is requesting the extension of a currently approved data collection. </w:t>
      </w:r>
    </w:p>
    <w:p w:rsidR="009248F6" w:rsidP="009248F6" w:rsidRDefault="009248F6" w14:paraId="204204E7" w14:textId="77777777">
      <w:pPr>
        <w:spacing w:after="0"/>
        <w:rPr>
          <w:rFonts w:ascii="Times New Roman" w:hAnsi="Times New Roman" w:cs="Times New Roman"/>
          <w:bCs/>
          <w:sz w:val="24"/>
          <w:szCs w:val="24"/>
          <w:u w:val="single"/>
        </w:rPr>
      </w:pPr>
    </w:p>
    <w:p w:rsidRPr="0010440A" w:rsidR="003D2F48" w:rsidP="009248F6" w:rsidRDefault="00264F85" w14:paraId="6B417291" w14:textId="0B8E6EE6">
      <w:pPr>
        <w:pStyle w:val="ListParagraph"/>
        <w:numPr>
          <w:ilvl w:val="0"/>
          <w:numId w:val="6"/>
        </w:numPr>
        <w:spacing w:after="0" w:line="240" w:lineRule="auto"/>
        <w:ind w:left="360"/>
        <w:rPr>
          <w:rFonts w:ascii="Times New Roman" w:hAnsi="Times New Roman" w:cs="Times New Roman"/>
          <w:b/>
          <w:sz w:val="24"/>
          <w:szCs w:val="24"/>
        </w:rPr>
      </w:pPr>
      <w:r w:rsidRPr="0010440A">
        <w:rPr>
          <w:rFonts w:ascii="Times New Roman" w:hAnsi="Times New Roman" w:cs="Times New Roman"/>
          <w:b/>
        </w:rPr>
        <w:t xml:space="preserve"> </w:t>
      </w:r>
      <w:r w:rsidRPr="0010440A" w:rsidR="003D2F48">
        <w:rPr>
          <w:rFonts w:ascii="Times New Roman" w:hAnsi="Times New Roman" w:cs="Times New Roman"/>
          <w:b/>
          <w:sz w:val="24"/>
          <w:szCs w:val="24"/>
        </w:rPr>
        <w:t>JUSTIFICATION</w:t>
      </w:r>
    </w:p>
    <w:p w:rsidRPr="0010440A" w:rsidR="00264F85" w:rsidP="009248F6" w:rsidRDefault="00264F85" w14:paraId="48D51332" w14:textId="77777777">
      <w:pPr>
        <w:pStyle w:val="ListParagraph"/>
        <w:spacing w:after="0" w:line="240" w:lineRule="auto"/>
        <w:rPr>
          <w:rFonts w:ascii="Times New Roman" w:hAnsi="Times New Roman" w:cs="Times New Roman"/>
          <w:b/>
          <w:bCs/>
          <w:sz w:val="24"/>
          <w:szCs w:val="24"/>
        </w:rPr>
      </w:pPr>
    </w:p>
    <w:p w:rsidR="003D2F48" w:rsidP="009248F6" w:rsidRDefault="003D2F48" w14:paraId="314E3C02"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w:t>
      </w:r>
      <w:r w:rsidR="00552F3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10440A" w:rsidR="008B14DA" w:rsidP="008B14DA" w:rsidRDefault="008B14DA" w14:paraId="2160E036" w14:textId="77777777">
      <w:pPr>
        <w:spacing w:after="0" w:line="276" w:lineRule="auto"/>
        <w:rPr>
          <w:rFonts w:ascii="Times New Roman" w:hAnsi="Times New Roman" w:eastAsia="Times New Roman" w:cs="Times New Roman"/>
          <w:b/>
          <w:bCs/>
          <w:sz w:val="24"/>
          <w:szCs w:val="24"/>
        </w:rPr>
      </w:pPr>
    </w:p>
    <w:p w:rsidR="003D2F48" w:rsidP="008B14DA" w:rsidRDefault="003D2F48" w14:paraId="1C86360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main purpose of the Occupational Safety and Health Act of 1970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(29 U.S.C. 657).</w:t>
      </w:r>
    </w:p>
    <w:p w:rsidR="008B14DA" w:rsidP="008B14DA" w:rsidRDefault="008B14DA" w14:paraId="63D3B682" w14:textId="77777777">
      <w:pPr>
        <w:spacing w:after="0" w:line="240" w:lineRule="auto"/>
        <w:rPr>
          <w:rFonts w:ascii="Times New Roman" w:hAnsi="Times New Roman" w:cs="Times New Roman"/>
          <w:sz w:val="24"/>
          <w:szCs w:val="24"/>
        </w:rPr>
      </w:pPr>
    </w:p>
    <w:p w:rsidR="003D2F48" w:rsidP="008B14DA" w:rsidRDefault="003D2F48" w14:paraId="4C0D7EC1" w14:textId="77777777">
      <w:pPr>
        <w:spacing w:after="0"/>
        <w:rPr>
          <w:rFonts w:ascii="Times New Roman" w:hAnsi="Times New Roman" w:cs="Times New Roman"/>
          <w:sz w:val="24"/>
          <w:szCs w:val="24"/>
        </w:rPr>
      </w:pPr>
      <w:r>
        <w:rPr>
          <w:rFonts w:ascii="Times New Roman" w:hAnsi="Times New Roman" w:cs="Times New Roman"/>
          <w:sz w:val="24"/>
          <w:szCs w:val="24"/>
        </w:rPr>
        <w:t xml:space="preserve">Under the authority granted by the OSH Act, the Occupational Safety and Health Administration (“OSHA” or “the Agency”) published the Logging Operations Standard (“the Standard”) (29 CFR 1910.266).  Item 2 and 12 below describe the specific information collection requirements of these paragraphs.  </w:t>
      </w:r>
    </w:p>
    <w:p w:rsidR="008B14DA" w:rsidP="008B14DA" w:rsidRDefault="008B14DA" w14:paraId="3CC490AC" w14:textId="77777777">
      <w:pPr>
        <w:spacing w:after="0"/>
        <w:rPr>
          <w:rFonts w:ascii="Times New Roman" w:hAnsi="Times New Roman" w:cs="Times New Roman"/>
          <w:sz w:val="24"/>
          <w:szCs w:val="24"/>
        </w:rPr>
      </w:pPr>
    </w:p>
    <w:p w:rsidR="003D2F48" w:rsidP="008B14DA" w:rsidRDefault="003D2F48" w14:paraId="5BEEF92A"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2.</w:t>
      </w:r>
      <w:r w:rsidR="00552F3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Pr="0010440A" w:rsidR="008B14DA" w:rsidP="008B14DA" w:rsidRDefault="008B14DA" w14:paraId="79D9A28F" w14:textId="77777777">
      <w:pPr>
        <w:spacing w:after="0" w:line="240" w:lineRule="auto"/>
        <w:rPr>
          <w:rFonts w:ascii="Times New Roman" w:hAnsi="Times New Roman" w:eastAsia="Times New Roman" w:cs="Times New Roman"/>
          <w:b/>
          <w:bCs/>
          <w:sz w:val="24"/>
          <w:szCs w:val="24"/>
        </w:rPr>
      </w:pPr>
    </w:p>
    <w:p w:rsidR="003D2F48" w:rsidP="008B14DA" w:rsidRDefault="003D2F48" w14:paraId="2D3E54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Paragraph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of the Standard requires the employer to assure that operating and maintenance instructions are available on machines or in the area where the machine is being operated.  Paragraph (g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 requires the employer to assure that operating and maintenance instructions are available in each vehicle.</w:t>
      </w:r>
    </w:p>
    <w:p w:rsidR="008B14DA" w:rsidP="008B14DA" w:rsidRDefault="008B14DA" w14:paraId="4B2EBD39" w14:textId="77777777">
      <w:pPr>
        <w:spacing w:after="0" w:line="240" w:lineRule="auto"/>
        <w:rPr>
          <w:rFonts w:ascii="Times New Roman" w:hAnsi="Times New Roman" w:cs="Times New Roman"/>
          <w:sz w:val="24"/>
          <w:szCs w:val="24"/>
        </w:rPr>
      </w:pPr>
    </w:p>
    <w:p w:rsidR="003D2F48" w:rsidP="008B14DA" w:rsidRDefault="003D2F48" w14:paraId="5B1E0CDF" w14:textId="72412693">
      <w:pPr>
        <w:spacing w:after="0" w:line="240" w:lineRule="auto"/>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specifies that employers must verify that they are in compliance with the training requirements in 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This certification must be in writing and provide the </w:t>
      </w:r>
      <w:r>
        <w:rPr>
          <w:rFonts w:ascii="Times New Roman" w:hAnsi="Times New Roman" w:cs="Times New Roman"/>
          <w:sz w:val="24"/>
          <w:szCs w:val="24"/>
        </w:rPr>
        <w:lastRenderedPageBreak/>
        <w:t>following information:  the name/identifier of the worker/supervisor; the date(s) of the training;</w:t>
      </w:r>
      <w:r w:rsidR="00552F3C">
        <w:rPr>
          <w:rFonts w:ascii="Times New Roman" w:hAnsi="Times New Roman" w:cs="Times New Roman"/>
          <w:sz w:val="24"/>
          <w:szCs w:val="24"/>
        </w:rPr>
        <w:t xml:space="preserve"> </w:t>
      </w:r>
      <w:r>
        <w:rPr>
          <w:rFonts w:ascii="Times New Roman" w:hAnsi="Times New Roman" w:cs="Times New Roman"/>
          <w:sz w:val="24"/>
          <w:szCs w:val="24"/>
        </w:rPr>
        <w:t>and either the signature of the employer or the individual who conducted the training.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10)(ii) requires employers to maintain the most recent certification for training completed by a worker/supervisor.</w:t>
      </w:r>
    </w:p>
    <w:p w:rsidR="008B14DA" w:rsidP="008B14DA" w:rsidRDefault="008B14DA" w14:paraId="2AE0A6B2" w14:textId="77777777">
      <w:pPr>
        <w:spacing w:after="0" w:line="240" w:lineRule="auto"/>
        <w:rPr>
          <w:rFonts w:ascii="Times New Roman" w:hAnsi="Times New Roman" w:cs="Times New Roman"/>
          <w:sz w:val="24"/>
          <w:szCs w:val="24"/>
        </w:rPr>
      </w:pPr>
    </w:p>
    <w:p w:rsidR="003D2F48" w:rsidP="008B14DA" w:rsidRDefault="003D2F48" w14:paraId="0767D2C9" w14:textId="6B9059D4">
      <w:pPr>
        <w:spacing w:after="0" w:line="240" w:lineRule="auto"/>
        <w:rPr>
          <w:rFonts w:ascii="Times New Roman" w:hAnsi="Times New Roman" w:cs="Times New Roman"/>
          <w:sz w:val="24"/>
          <w:szCs w:val="24"/>
        </w:rPr>
      </w:pPr>
      <w:r>
        <w:rPr>
          <w:rFonts w:ascii="Times New Roman" w:hAnsi="Times New Roman" w:cs="Times New Roman"/>
          <w:sz w:val="24"/>
          <w:szCs w:val="24"/>
        </w:rPr>
        <w:t>Establishing and maintaining written certification of the training that each worker/supervisor has received (i.e., job and first aid) assures the employer that the training specified by the Standard has been conducted, and at the required frequencies.  With regard to first aid training, the certification assures that the worker’s/supervisor’s training certificate is currently valid.  In addition, these records provide the most efficient means for an OSHA compliance officer to determine whether an employer perform</w:t>
      </w:r>
      <w:r w:rsidR="006A67D8">
        <w:rPr>
          <w:rFonts w:ascii="Times New Roman" w:hAnsi="Times New Roman" w:cs="Times New Roman"/>
          <w:sz w:val="24"/>
          <w:szCs w:val="24"/>
        </w:rPr>
        <w:t>ed</w:t>
      </w:r>
      <w:r>
        <w:rPr>
          <w:rFonts w:ascii="Times New Roman" w:hAnsi="Times New Roman" w:cs="Times New Roman"/>
          <w:sz w:val="24"/>
          <w:szCs w:val="24"/>
        </w:rPr>
        <w:t xml:space="preserve"> the required training at the necessary and appropriate frequencies.</w:t>
      </w:r>
    </w:p>
    <w:p w:rsidR="008B14DA" w:rsidP="008B14DA" w:rsidRDefault="008B14DA" w14:paraId="350E0D83" w14:textId="77777777">
      <w:pPr>
        <w:spacing w:after="0" w:line="240" w:lineRule="auto"/>
        <w:rPr>
          <w:rFonts w:ascii="Times New Roman" w:hAnsi="Times New Roman" w:cs="Times New Roman"/>
          <w:sz w:val="24"/>
          <w:szCs w:val="24"/>
        </w:rPr>
      </w:pPr>
    </w:p>
    <w:p w:rsidR="003D2F48" w:rsidP="008B14DA" w:rsidRDefault="003D2F48" w14:paraId="77291FAC"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3.</w:t>
      </w:r>
      <w:r w:rsidR="00552F3C">
        <w:rPr>
          <w:rFonts w:ascii="Times New Roman" w:hAnsi="Times New Roman" w:eastAsia="Times New Roman" w:cs="Times New Roman"/>
          <w:b/>
          <w:bCs/>
          <w:sz w:val="24"/>
          <w:szCs w:val="24"/>
        </w:rPr>
        <w:t xml:space="preserve">  </w:t>
      </w:r>
      <w:r w:rsidRPr="00427C55">
        <w:rPr>
          <w:rFonts w:ascii="Times New Roman" w:hAnsi="Times New Roman" w:eastAsia="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27C55" w:rsidR="008B14DA" w:rsidP="008B14DA" w:rsidRDefault="008B14DA" w14:paraId="7FB0F574" w14:textId="77777777">
      <w:pPr>
        <w:spacing w:after="0" w:line="240" w:lineRule="auto"/>
        <w:rPr>
          <w:rFonts w:ascii="Times New Roman" w:hAnsi="Times New Roman" w:eastAsia="Times New Roman" w:cs="Times New Roman"/>
          <w:b/>
          <w:bCs/>
          <w:sz w:val="24"/>
          <w:szCs w:val="24"/>
        </w:rPr>
      </w:pPr>
    </w:p>
    <w:p w:rsidR="003D2F48" w:rsidP="008B14DA" w:rsidRDefault="003D2F48" w14:paraId="42C5599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Employers may use improved information technology when establishing and maintaining the required records.  OSHA wrote the paperwork requirements of the Standard in performance-oriented language (i.e., in terms of </w:t>
      </w:r>
      <w:r>
        <w:rPr>
          <w:rFonts w:ascii="Times New Roman" w:hAnsi="Times New Roman" w:cs="Times New Roman"/>
          <w:sz w:val="24"/>
          <w:szCs w:val="24"/>
          <w:u w:val="single"/>
        </w:rPr>
        <w:t>what</w:t>
      </w:r>
      <w:r>
        <w:rPr>
          <w:rFonts w:ascii="Times New Roman" w:hAnsi="Times New Roman" w:cs="Times New Roman"/>
          <w:sz w:val="24"/>
          <w:szCs w:val="24"/>
        </w:rPr>
        <w:t xml:space="preserve"> data to collect, not </w:t>
      </w:r>
      <w:r>
        <w:rPr>
          <w:rFonts w:ascii="Times New Roman" w:hAnsi="Times New Roman" w:cs="Times New Roman"/>
          <w:sz w:val="24"/>
          <w:szCs w:val="24"/>
          <w:u w:val="single"/>
        </w:rPr>
        <w:t>how</w:t>
      </w:r>
      <w:r>
        <w:rPr>
          <w:rFonts w:ascii="Times New Roman" w:hAnsi="Times New Roman" w:cs="Times New Roman"/>
          <w:sz w:val="24"/>
          <w:szCs w:val="24"/>
        </w:rPr>
        <w:t xml:space="preserve"> to record the data).</w:t>
      </w:r>
    </w:p>
    <w:p w:rsidR="008B14DA" w:rsidP="008B14DA" w:rsidRDefault="008B14DA" w14:paraId="280B4988" w14:textId="77777777">
      <w:pPr>
        <w:spacing w:after="0" w:line="240" w:lineRule="auto"/>
        <w:rPr>
          <w:rFonts w:ascii="Times New Roman" w:hAnsi="Times New Roman" w:cs="Times New Roman"/>
          <w:sz w:val="24"/>
          <w:szCs w:val="24"/>
        </w:rPr>
      </w:pPr>
    </w:p>
    <w:p w:rsidR="003D2F48" w:rsidP="008B14DA" w:rsidRDefault="003D2F48" w14:paraId="54109F0D"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4.</w:t>
      </w:r>
      <w:r w:rsidR="00AB662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Describe efforts to identify duplication.  Show specifically why any similar information already available cannot be used or modified for use for the purpose(s) described in Item A.2 above.</w:t>
      </w:r>
    </w:p>
    <w:p w:rsidRPr="0010440A" w:rsidR="00BE789E" w:rsidP="008B14DA" w:rsidRDefault="00BE789E" w14:paraId="1CB29BDA" w14:textId="77777777">
      <w:pPr>
        <w:spacing w:after="0" w:line="240" w:lineRule="auto"/>
        <w:rPr>
          <w:rFonts w:ascii="Times New Roman" w:hAnsi="Times New Roman" w:eastAsia="Times New Roman" w:cs="Times New Roman"/>
          <w:b/>
          <w:bCs/>
          <w:sz w:val="24"/>
          <w:szCs w:val="24"/>
        </w:rPr>
      </w:pPr>
    </w:p>
    <w:p w:rsidR="003D2F48" w:rsidP="008B14DA" w:rsidRDefault="003D2F48" w14:paraId="0B11C3C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in the Standard are specific to each employer and worker involved, and no other source or agency duplicates the requirement or can make the required information available to OSHA (i.e., the required information is available only from employers).</w:t>
      </w:r>
    </w:p>
    <w:p w:rsidR="008B14DA" w:rsidP="008B14DA" w:rsidRDefault="008B14DA" w14:paraId="43906B01" w14:textId="77777777">
      <w:pPr>
        <w:spacing w:after="0" w:line="240" w:lineRule="auto"/>
        <w:rPr>
          <w:rFonts w:ascii="Times New Roman" w:hAnsi="Times New Roman" w:cs="Times New Roman"/>
          <w:sz w:val="24"/>
          <w:szCs w:val="24"/>
        </w:rPr>
      </w:pPr>
    </w:p>
    <w:p w:rsidR="003D2F48" w:rsidP="008B14DA" w:rsidRDefault="003D2F48" w14:paraId="1665EAAB"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5.</w:t>
      </w:r>
      <w:r w:rsidR="00AB662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If the collection of information impacts small businesses or other small entities, describe the methods used to minimize burden.</w:t>
      </w:r>
    </w:p>
    <w:p w:rsidRPr="0010440A" w:rsidR="008B14DA" w:rsidP="008B14DA" w:rsidRDefault="008B14DA" w14:paraId="5EE86BC6" w14:textId="77777777">
      <w:pPr>
        <w:spacing w:after="0" w:line="240" w:lineRule="auto"/>
        <w:rPr>
          <w:rFonts w:ascii="Times New Roman" w:hAnsi="Times New Roman" w:eastAsia="Times New Roman" w:cs="Times New Roman"/>
          <w:b/>
          <w:bCs/>
          <w:sz w:val="24"/>
          <w:szCs w:val="24"/>
        </w:rPr>
      </w:pPr>
    </w:p>
    <w:p w:rsidR="003D2F48" w:rsidP="008B14DA" w:rsidRDefault="003D2F48" w14:paraId="157B79F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specified by the Standard do not have a significant impact on a substantial number of small entities.</w:t>
      </w:r>
    </w:p>
    <w:p w:rsidR="008B14DA" w:rsidP="008B14DA" w:rsidRDefault="008B14DA" w14:paraId="3D0326A4" w14:textId="77777777">
      <w:pPr>
        <w:spacing w:after="0" w:line="240" w:lineRule="auto"/>
        <w:rPr>
          <w:rFonts w:ascii="Times New Roman" w:hAnsi="Times New Roman" w:cs="Times New Roman"/>
          <w:sz w:val="24"/>
          <w:szCs w:val="24"/>
        </w:rPr>
      </w:pPr>
    </w:p>
    <w:p w:rsidR="003D2F48" w:rsidP="008B14DA" w:rsidRDefault="003D2F48" w14:paraId="3CEE2B9C" w14:textId="77777777">
      <w:pPr>
        <w:widowControl/>
        <w:overflowPunct/>
        <w:adjustRightInd/>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6.</w:t>
      </w:r>
      <w:r w:rsidRPr="0010440A" w:rsidR="00C1514D">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Describe the consequence to Federal program or policy activities if the collection is not conducted or is</w:t>
      </w:r>
      <w:r w:rsidRPr="0010440A" w:rsidR="00C1514D">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conducted less frequently, as well as any technical or legal obstacles to reducing the burden.</w:t>
      </w:r>
    </w:p>
    <w:p w:rsidRPr="0010440A" w:rsidR="008B14DA" w:rsidP="008B14DA" w:rsidRDefault="008B14DA" w14:paraId="180BC4D5" w14:textId="77777777">
      <w:pPr>
        <w:widowControl/>
        <w:overflowPunct/>
        <w:adjustRightInd/>
        <w:spacing w:after="0" w:line="240" w:lineRule="auto"/>
        <w:rPr>
          <w:rFonts w:ascii="Times New Roman" w:hAnsi="Times New Roman" w:eastAsia="Times New Roman" w:cs="Times New Roman"/>
          <w:b/>
          <w:bCs/>
          <w:sz w:val="24"/>
          <w:szCs w:val="24"/>
        </w:rPr>
      </w:pPr>
    </w:p>
    <w:p w:rsidR="001C0187" w:rsidP="008B14DA" w:rsidRDefault="003D2F48" w14:paraId="168AEBF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frequency specified by the Standard (i.e., retention of the written training certification records until replaced) is the minimum frequency that the Agency believes is necessary to assure employers and OSHA compliance officers that workers/supervisors</w:t>
      </w:r>
    </w:p>
    <w:p w:rsidR="003D2F48" w:rsidP="008B14DA" w:rsidRDefault="003D2F48" w14:paraId="6A8AE1E7" w14:textId="4871B80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received</w:t>
      </w:r>
      <w:proofErr w:type="gramEnd"/>
      <w:r>
        <w:rPr>
          <w:rFonts w:ascii="Times New Roman" w:hAnsi="Times New Roman" w:cs="Times New Roman"/>
          <w:sz w:val="24"/>
          <w:szCs w:val="24"/>
        </w:rPr>
        <w:t xml:space="preserve"> the required training at the appropriate frequencies.  Removing this frequency requirement would eliminate any documentation of the training completed by a worker/ supervisor.</w:t>
      </w:r>
    </w:p>
    <w:p w:rsidR="00BE789E" w:rsidP="008B14DA" w:rsidRDefault="00BE789E" w14:paraId="6D095B31" w14:textId="77777777">
      <w:pPr>
        <w:spacing w:after="0" w:line="240" w:lineRule="auto"/>
        <w:rPr>
          <w:rFonts w:ascii="Times New Roman" w:hAnsi="Times New Roman" w:cs="Times New Roman"/>
          <w:sz w:val="24"/>
          <w:szCs w:val="24"/>
        </w:rPr>
      </w:pPr>
    </w:p>
    <w:p w:rsidR="003D2F48" w:rsidP="0010440A" w:rsidRDefault="003D2F48" w14:paraId="1AFC65CF"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7.</w:t>
      </w:r>
      <w:r w:rsidRPr="0010440A">
        <w:rPr>
          <w:rFonts w:ascii="Times New Roman" w:hAnsi="Times New Roman" w:eastAsia="Times New Roman" w:cs="Times New Roman"/>
          <w:b/>
          <w:bCs/>
          <w:sz w:val="24"/>
          <w:szCs w:val="24"/>
        </w:rPr>
        <w:tab/>
        <w:t>Explain any special circumstances that would cause an information collection to be conducted in a manner:</w:t>
      </w:r>
    </w:p>
    <w:p w:rsidRPr="0010440A" w:rsidR="008B14DA" w:rsidP="0010440A" w:rsidRDefault="008B14DA" w14:paraId="5FDA652D" w14:textId="77777777">
      <w:pPr>
        <w:spacing w:after="0" w:line="240" w:lineRule="auto"/>
        <w:rPr>
          <w:rFonts w:ascii="Times New Roman" w:hAnsi="Times New Roman" w:eastAsia="Times New Roman" w:cs="Times New Roman"/>
          <w:b/>
          <w:bCs/>
          <w:sz w:val="24"/>
          <w:szCs w:val="24"/>
        </w:rPr>
      </w:pPr>
    </w:p>
    <w:p w:rsidR="003D2F48" w:rsidP="0010440A" w:rsidRDefault="003D2F48" w14:paraId="58686B47"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Requiring respondents to report information to the agency more often than quarterly;</w:t>
      </w:r>
    </w:p>
    <w:p w:rsidRPr="0010440A" w:rsidR="008B14DA" w:rsidP="0010440A" w:rsidRDefault="008B14DA" w14:paraId="38E86D44"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47B4A7D0"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Pr="0010440A" w:rsidR="008B14DA" w:rsidP="0010440A" w:rsidRDefault="008B14DA" w14:paraId="7896B5CB"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48C927C7"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 xml:space="preserve">Requiring respondents to submit more than an original and two copies of any document; </w:t>
      </w:r>
    </w:p>
    <w:p w:rsidRPr="0010440A" w:rsidR="008B14DA" w:rsidP="0010440A" w:rsidRDefault="008B14DA" w14:paraId="6807E105"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115073F5"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Requiring respondents to retain records, other than health, medical, government contract, grant-in-aid, or tax records for more than three years;</w:t>
      </w:r>
    </w:p>
    <w:p w:rsidRPr="0010440A" w:rsidR="008B14DA" w:rsidP="0010440A" w:rsidRDefault="008B14DA" w14:paraId="567D2A23"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1AC65A08"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Pr="0010440A" w:rsidR="008B14DA" w:rsidP="0010440A" w:rsidRDefault="008B14DA" w14:paraId="4678AC2A"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1E719722"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Requiring the use of statistical data classification that has not been reviewed and approved by OMB;</w:t>
      </w:r>
    </w:p>
    <w:p w:rsidRPr="0010440A" w:rsidR="008B14DA" w:rsidP="0010440A" w:rsidRDefault="008B14DA" w14:paraId="06BFBEF5"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050D7B0C" w14:textId="77777777">
      <w:pPr>
        <w:spacing w:after="0" w:line="240" w:lineRule="auto"/>
        <w:ind w:left="288"/>
        <w:rPr>
          <w:rFonts w:ascii="Times New Roman" w:hAnsi="Times New Roman" w:eastAsia="Times New Roman" w:cs="Times New Roman"/>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 xml:space="preserve">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10440A">
        <w:rPr>
          <w:rFonts w:ascii="Times New Roman" w:hAnsi="Times New Roman" w:eastAsia="Times New Roman" w:cs="Times New Roman"/>
          <w:sz w:val="24"/>
          <w:szCs w:val="24"/>
        </w:rPr>
        <w:t xml:space="preserve"> </w:t>
      </w:r>
    </w:p>
    <w:p w:rsidRPr="0010440A" w:rsidR="008B14DA" w:rsidP="0010440A" w:rsidRDefault="008B14DA" w14:paraId="71363E1E" w14:textId="77777777">
      <w:pPr>
        <w:spacing w:after="0" w:line="240" w:lineRule="auto"/>
        <w:ind w:left="288"/>
        <w:rPr>
          <w:rFonts w:ascii="Times New Roman" w:hAnsi="Times New Roman" w:eastAsia="Times New Roman" w:cs="Times New Roman"/>
          <w:sz w:val="24"/>
          <w:szCs w:val="24"/>
        </w:rPr>
      </w:pPr>
    </w:p>
    <w:p w:rsidR="003D2F48" w:rsidP="0010440A" w:rsidRDefault="003D2F48" w14:paraId="48F9FF08" w14:textId="4DAD0010">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AB662C">
        <w:rPr>
          <w:rFonts w:ascii="Symbol" w:hAnsi="Symbol" w:eastAsia="Times New Roman" w:cs="Symbol"/>
          <w:sz w:val="24"/>
          <w:szCs w:val="24"/>
        </w:rPr>
        <w:t></w:t>
      </w:r>
      <w:r w:rsidR="00AB662C">
        <w:rPr>
          <w:rFonts w:ascii="Symbol" w:hAnsi="Symbol" w:eastAsia="Times New Roman" w:cs="Symbol"/>
          <w:sz w:val="24"/>
          <w:szCs w:val="24"/>
        </w:rPr>
        <w:t></w:t>
      </w:r>
      <w:r w:rsidRPr="0010440A">
        <w:rPr>
          <w:rFonts w:ascii="Times New Roman" w:hAnsi="Times New Roman" w:eastAsia="Times New Roman" w:cs="Times New Roman"/>
          <w:b/>
          <w:bCs/>
          <w:sz w:val="24"/>
          <w:szCs w:val="24"/>
        </w:rPr>
        <w:t>Requiring respondents to submit proprietary trade secret, or other confidential information unless the agency can prove that it has instituted procedures to protect the information’s confidentially to the extent permitted by law.</w:t>
      </w:r>
    </w:p>
    <w:p w:rsidRPr="0010440A" w:rsidR="008B14DA" w:rsidP="0010440A" w:rsidRDefault="008B14DA" w14:paraId="39B9B2BE"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240AFEE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exist that require employers to collect information in the manner or using the procedures specified by this item.  The information collection requirements are consistent with the guidelines provided in 5 CFR 1320.5.</w:t>
      </w:r>
    </w:p>
    <w:p w:rsidR="008B14DA" w:rsidP="0010440A" w:rsidRDefault="008B14DA" w14:paraId="54E11877" w14:textId="77777777">
      <w:pPr>
        <w:spacing w:after="0" w:line="240" w:lineRule="auto"/>
        <w:rPr>
          <w:rFonts w:ascii="Times New Roman" w:hAnsi="Times New Roman" w:cs="Times New Roman"/>
          <w:sz w:val="24"/>
          <w:szCs w:val="24"/>
        </w:rPr>
      </w:pPr>
    </w:p>
    <w:p w:rsidR="003D2F48" w:rsidP="0010440A" w:rsidRDefault="003D2F48" w14:paraId="5A746A71" w14:textId="77777777">
      <w:pPr>
        <w:widowControl/>
        <w:overflowPunct/>
        <w:adjustRightInd/>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8.</w:t>
      </w:r>
      <w:r w:rsidR="0027438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 xml:space="preserve">If applicable, provide a copy and identify the date and page number of publication in the </w:t>
      </w:r>
      <w:r w:rsidRPr="0010440A">
        <w:rPr>
          <w:rFonts w:ascii="Times New Roman" w:hAnsi="Times New Roman" w:eastAsia="Times New Roman" w:cs="Times New Roman"/>
          <w:b/>
          <w:bCs/>
          <w:i/>
          <w:iCs/>
          <w:sz w:val="24"/>
          <w:szCs w:val="24"/>
        </w:rPr>
        <w:t>Federal Register</w:t>
      </w:r>
      <w:r w:rsidRPr="0010440A">
        <w:rPr>
          <w:rFonts w:ascii="Times New Roman" w:hAnsi="Times New Roman" w:eastAsia="Times New Roman" w:cs="Times New Roman"/>
          <w:b/>
          <w:bCs/>
          <w:sz w:val="24"/>
          <w:szCs w:val="24"/>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10440A" w:rsidR="008B14DA" w:rsidP="0010440A" w:rsidRDefault="008B14DA" w14:paraId="3F244964" w14:textId="77777777">
      <w:pPr>
        <w:widowControl/>
        <w:overflowPunct/>
        <w:adjustRightInd/>
        <w:spacing w:after="0" w:line="240" w:lineRule="auto"/>
        <w:rPr>
          <w:rFonts w:ascii="Times New Roman" w:hAnsi="Times New Roman" w:eastAsia="Times New Roman" w:cs="Times New Roman"/>
          <w:b/>
          <w:bCs/>
          <w:sz w:val="24"/>
          <w:szCs w:val="24"/>
        </w:rPr>
      </w:pPr>
    </w:p>
    <w:p w:rsidR="008B14DA" w:rsidP="0010440A" w:rsidRDefault="003D2F48" w14:paraId="6E206116" w14:textId="77777777">
      <w:pPr>
        <w:spacing w:after="0" w:line="240" w:lineRule="auto"/>
        <w:rPr>
          <w:rFonts w:ascii="Times New Roman" w:hAnsi="Times New Roman" w:cs="Times New Roman"/>
          <w:b/>
          <w:bCs/>
          <w:sz w:val="24"/>
          <w:szCs w:val="24"/>
        </w:rPr>
      </w:pPr>
      <w:r w:rsidRPr="0010440A">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10440A" w:rsidR="00BE789E" w:rsidP="0010440A" w:rsidRDefault="00BE789E" w14:paraId="6B396813" w14:textId="77777777">
      <w:pPr>
        <w:spacing w:after="0" w:line="240" w:lineRule="auto"/>
        <w:rPr>
          <w:rFonts w:ascii="Times New Roman" w:hAnsi="Times New Roman" w:cs="Times New Roman"/>
          <w:b/>
          <w:bCs/>
          <w:sz w:val="24"/>
          <w:szCs w:val="24"/>
        </w:rPr>
      </w:pPr>
    </w:p>
    <w:p w:rsidR="003D2F48" w:rsidP="0010440A" w:rsidRDefault="003D2F48" w14:paraId="145A8E13" w14:textId="77777777">
      <w:pPr>
        <w:spacing w:after="0" w:line="240" w:lineRule="auto"/>
        <w:rPr>
          <w:rFonts w:ascii="Times New Roman" w:hAnsi="Times New Roman" w:cs="Times New Roman"/>
          <w:b/>
          <w:bCs/>
          <w:sz w:val="24"/>
          <w:szCs w:val="24"/>
        </w:rPr>
      </w:pPr>
      <w:r w:rsidRPr="0010440A">
        <w:rPr>
          <w:rFonts w:ascii="Times New Roman" w:hAnsi="Times New Roman" w:cs="Times New Roman"/>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10440A" w:rsidR="008B14DA" w:rsidP="0010440A" w:rsidRDefault="008B14DA" w14:paraId="71093B67" w14:textId="77777777">
      <w:pPr>
        <w:spacing w:after="0" w:line="240" w:lineRule="auto"/>
        <w:rPr>
          <w:rFonts w:ascii="Times New Roman" w:hAnsi="Times New Roman" w:cs="Times New Roman"/>
          <w:b/>
          <w:bCs/>
          <w:sz w:val="24"/>
          <w:szCs w:val="24"/>
        </w:rPr>
      </w:pPr>
    </w:p>
    <w:p w:rsidR="00BE789E" w:rsidP="0010440A" w:rsidRDefault="00BE789E" w14:paraId="0A38C9B8" w14:textId="153F6F9C">
      <w:pPr>
        <w:spacing w:after="0" w:line="240" w:lineRule="auto"/>
        <w:rPr>
          <w:rFonts w:ascii="Times New Roman" w:hAnsi="Times New Roman" w:cs="Times New Roman"/>
          <w:sz w:val="24"/>
          <w:szCs w:val="24"/>
        </w:rPr>
      </w:pPr>
      <w:r>
        <w:rPr>
          <w:rFonts w:ascii="Times New Roman" w:hAnsi="Times New Roman" w:cs="Times New Roman"/>
          <w:sz w:val="24"/>
          <w:szCs w:val="24"/>
        </w:rPr>
        <w:t>As required by the Paperwork Reduction Act of 1995 (44 U.S.C. 3506 (c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2)(A)), OSHA published a notice in the Federal Register </w:t>
      </w:r>
      <w:r w:rsidR="001F1B81">
        <w:rPr>
          <w:rFonts w:ascii="Times New Roman" w:hAnsi="Times New Roman" w:cs="Times New Roman"/>
          <w:sz w:val="24"/>
          <w:szCs w:val="24"/>
        </w:rPr>
        <w:t>on April 24, 2020 (</w:t>
      </w:r>
      <w:r w:rsidR="009B4ADF">
        <w:rPr>
          <w:rFonts w:ascii="Times New Roman" w:hAnsi="Times New Roman" w:cs="Times New Roman"/>
          <w:sz w:val="24"/>
          <w:szCs w:val="24"/>
        </w:rPr>
        <w:t>85 FR 23068</w:t>
      </w:r>
      <w:r w:rsidR="001F1B81">
        <w:rPr>
          <w:rFonts w:ascii="Times New Roman" w:hAnsi="Times New Roman" w:cs="Times New Roman"/>
          <w:sz w:val="24"/>
          <w:szCs w:val="24"/>
        </w:rPr>
        <w:t>)</w:t>
      </w:r>
      <w:r w:rsidR="00264F85">
        <w:rPr>
          <w:rFonts w:ascii="Times New Roman" w:hAnsi="Times New Roman" w:cs="Times New Roman"/>
          <w:sz w:val="24"/>
          <w:szCs w:val="24"/>
        </w:rPr>
        <w:t xml:space="preserve"> </w:t>
      </w:r>
      <w:r>
        <w:rPr>
          <w:rFonts w:ascii="Times New Roman" w:hAnsi="Times New Roman" w:cs="Times New Roman"/>
          <w:sz w:val="24"/>
          <w:szCs w:val="24"/>
        </w:rPr>
        <w:t xml:space="preserve">requesting public comments on its proposed extension of the information collection requirement contained in the Logging Operations Standard (29 CFR 1910.266) (Docket No. OSHA-2010-0041).  This notice </w:t>
      </w:r>
      <w:r w:rsidR="00E568F1">
        <w:rPr>
          <w:rFonts w:ascii="Times New Roman" w:hAnsi="Times New Roman" w:cs="Times New Roman"/>
          <w:sz w:val="24"/>
          <w:szCs w:val="24"/>
        </w:rPr>
        <w:t xml:space="preserve">was part of a preclearance consultation program that provided interested parties the opportunity to comment on OSHA’s request for an extension by the Office of Management and Budget (OMB) of a previous approval of the information collection requirement found in the above Standard.  </w:t>
      </w:r>
      <w:r>
        <w:rPr>
          <w:rFonts w:ascii="Times New Roman" w:hAnsi="Times New Roman" w:cs="Times New Roman"/>
          <w:sz w:val="24"/>
          <w:szCs w:val="24"/>
        </w:rPr>
        <w:t xml:space="preserve"> </w:t>
      </w:r>
      <w:r w:rsidR="00E568F1">
        <w:rPr>
          <w:rFonts w:ascii="Times New Roman" w:hAnsi="Times New Roman" w:cs="Times New Roman"/>
          <w:sz w:val="24"/>
          <w:szCs w:val="24"/>
        </w:rPr>
        <w:t>The Agency did not receive any comments in response to this notice.</w:t>
      </w:r>
    </w:p>
    <w:p w:rsidR="008B14DA" w:rsidP="0010440A" w:rsidRDefault="008B14DA" w14:paraId="3F9F4F84" w14:textId="7C2DBC10">
      <w:pPr>
        <w:spacing w:after="0" w:line="240" w:lineRule="auto"/>
        <w:rPr>
          <w:rFonts w:ascii="Times New Roman" w:hAnsi="Times New Roman" w:cs="Times New Roman"/>
          <w:sz w:val="24"/>
          <w:szCs w:val="24"/>
        </w:rPr>
      </w:pPr>
    </w:p>
    <w:p w:rsidR="003D2F48" w:rsidP="0010440A" w:rsidRDefault="003D2F48" w14:paraId="5DBA5338"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9.</w:t>
      </w:r>
      <w:r w:rsidRPr="0010440A" w:rsidR="0027438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 xml:space="preserve">Explain any decision to provide any payments or gift to respondents, other than </w:t>
      </w:r>
      <w:r w:rsidRPr="0010440A" w:rsidR="002E2EBD">
        <w:rPr>
          <w:rFonts w:ascii="Times New Roman" w:hAnsi="Times New Roman" w:eastAsia="Times New Roman" w:cs="Times New Roman"/>
          <w:b/>
          <w:bCs/>
          <w:sz w:val="24"/>
          <w:szCs w:val="24"/>
        </w:rPr>
        <w:t>remuneration</w:t>
      </w:r>
      <w:r w:rsidRPr="0010440A">
        <w:rPr>
          <w:rFonts w:ascii="Times New Roman" w:hAnsi="Times New Roman" w:eastAsia="Times New Roman" w:cs="Times New Roman"/>
          <w:b/>
          <w:bCs/>
          <w:sz w:val="24"/>
          <w:szCs w:val="24"/>
        </w:rPr>
        <w:t xml:space="preserve"> of contractors or grantees.</w:t>
      </w:r>
    </w:p>
    <w:p w:rsidRPr="0010440A" w:rsidR="008B14DA" w:rsidP="0010440A" w:rsidRDefault="008B14DA" w14:paraId="50176422" w14:textId="77777777">
      <w:pPr>
        <w:spacing w:after="0" w:line="240" w:lineRule="auto"/>
        <w:rPr>
          <w:rFonts w:ascii="Times New Roman" w:hAnsi="Times New Roman" w:eastAsia="Times New Roman" w:cs="Times New Roman"/>
          <w:b/>
          <w:bCs/>
          <w:sz w:val="24"/>
          <w:szCs w:val="24"/>
        </w:rPr>
      </w:pPr>
    </w:p>
    <w:p w:rsidR="003D2F48" w:rsidP="0010440A" w:rsidRDefault="003D2F48" w14:paraId="2C694F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will </w:t>
      </w:r>
      <w:r>
        <w:rPr>
          <w:rFonts w:ascii="Times New Roman" w:hAnsi="Times New Roman" w:cs="Times New Roman"/>
          <w:sz w:val="24"/>
          <w:szCs w:val="24"/>
          <w:u w:val="single"/>
        </w:rPr>
        <w:t>not</w:t>
      </w:r>
      <w:r>
        <w:rPr>
          <w:rFonts w:ascii="Times New Roman" w:hAnsi="Times New Roman" w:cs="Times New Roman"/>
          <w:sz w:val="24"/>
          <w:szCs w:val="24"/>
        </w:rPr>
        <w:t xml:space="preserve"> provide payments or gifts to the respondents.</w:t>
      </w:r>
    </w:p>
    <w:p w:rsidR="008B14DA" w:rsidP="0010440A" w:rsidRDefault="008B14DA" w14:paraId="5F1DE74E" w14:textId="77777777">
      <w:pPr>
        <w:spacing w:after="0" w:line="240" w:lineRule="auto"/>
        <w:rPr>
          <w:rFonts w:ascii="Times New Roman" w:hAnsi="Times New Roman" w:cs="Times New Roman"/>
          <w:sz w:val="24"/>
          <w:szCs w:val="24"/>
        </w:rPr>
      </w:pPr>
    </w:p>
    <w:p w:rsidR="003D2F48" w:rsidP="0010440A" w:rsidRDefault="003D2F48" w14:paraId="193F8AAF"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10.</w:t>
      </w:r>
      <w:r w:rsidR="0027438C">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Describe any assurance of confidentiality provided to respondents and the basis for the assurance in statute, regulation, or agency policy.</w:t>
      </w:r>
    </w:p>
    <w:p w:rsidRPr="0010440A" w:rsidR="008B14DA" w:rsidP="0010440A" w:rsidRDefault="008B14DA" w14:paraId="35B80BE7" w14:textId="77777777">
      <w:pPr>
        <w:spacing w:after="0" w:line="240" w:lineRule="auto"/>
        <w:rPr>
          <w:rFonts w:ascii="Times New Roman" w:hAnsi="Times New Roman" w:eastAsia="Times New Roman" w:cs="Times New Roman"/>
          <w:b/>
          <w:bCs/>
          <w:sz w:val="24"/>
          <w:szCs w:val="24"/>
        </w:rPr>
      </w:pPr>
    </w:p>
    <w:p w:rsidR="003D2F48" w:rsidP="0010440A" w:rsidRDefault="003D2F48" w14:paraId="70AD7CD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paperwork requirements specified by the Standard do not require the collection of confidential information.</w:t>
      </w:r>
    </w:p>
    <w:p w:rsidR="008B14DA" w:rsidP="0010440A" w:rsidRDefault="008B14DA" w14:paraId="4A9A97AC" w14:textId="77777777">
      <w:pPr>
        <w:spacing w:after="0" w:line="240" w:lineRule="auto"/>
        <w:rPr>
          <w:rFonts w:ascii="Times New Roman" w:hAnsi="Times New Roman" w:cs="Times New Roman"/>
          <w:sz w:val="24"/>
          <w:szCs w:val="24"/>
        </w:rPr>
      </w:pPr>
    </w:p>
    <w:p w:rsidR="003D2F48" w:rsidP="0010440A" w:rsidRDefault="003D2F48" w14:paraId="27B9866A"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11.</w:t>
      </w:r>
      <w:r w:rsidR="00427C55">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0440A" w:rsidR="008B14DA" w:rsidP="0010440A" w:rsidRDefault="008B14DA" w14:paraId="13665DB0" w14:textId="77777777">
      <w:pPr>
        <w:spacing w:after="0" w:line="240" w:lineRule="auto"/>
        <w:rPr>
          <w:rFonts w:ascii="Times New Roman" w:hAnsi="Times New Roman" w:eastAsia="Times New Roman" w:cs="Times New Roman"/>
          <w:b/>
          <w:bCs/>
          <w:sz w:val="24"/>
          <w:szCs w:val="24"/>
        </w:rPr>
      </w:pPr>
    </w:p>
    <w:p w:rsidR="003D2F48" w:rsidP="0010440A" w:rsidRDefault="003D2F48" w14:paraId="5924DFD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paperwork requirements specified by the Standard do </w:t>
      </w:r>
      <w:r w:rsidRPr="00F76696">
        <w:rPr>
          <w:rFonts w:ascii="Times New Roman" w:hAnsi="Times New Roman" w:cs="Times New Roman"/>
          <w:sz w:val="24"/>
          <w:szCs w:val="24"/>
          <w:u w:val="single"/>
        </w:rPr>
        <w:t>not</w:t>
      </w:r>
      <w:r>
        <w:rPr>
          <w:rFonts w:ascii="Times New Roman" w:hAnsi="Times New Roman" w:cs="Times New Roman"/>
          <w:sz w:val="24"/>
          <w:szCs w:val="24"/>
        </w:rPr>
        <w:t xml:space="preserve"> require the collection of sensitive information.</w:t>
      </w:r>
    </w:p>
    <w:p w:rsidR="008B14DA" w:rsidP="0010440A" w:rsidRDefault="008B14DA" w14:paraId="76ACDA3A" w14:textId="77777777">
      <w:pPr>
        <w:spacing w:after="0" w:line="240" w:lineRule="auto"/>
        <w:rPr>
          <w:rFonts w:ascii="Times New Roman" w:hAnsi="Times New Roman" w:cs="Times New Roman"/>
          <w:sz w:val="24"/>
          <w:szCs w:val="24"/>
        </w:rPr>
      </w:pPr>
    </w:p>
    <w:p w:rsidR="003D2F48" w:rsidP="0010440A" w:rsidRDefault="003D2F48" w14:paraId="603CE512"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12.</w:t>
      </w:r>
      <w:r w:rsidR="00427C55">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Provide estimates of the hour burden of the collection of information.  The statement should:</w:t>
      </w:r>
    </w:p>
    <w:p w:rsidRPr="0010440A" w:rsidR="008B14DA" w:rsidP="0010440A" w:rsidRDefault="008B14DA" w14:paraId="1B2CC313" w14:textId="77777777">
      <w:pPr>
        <w:spacing w:after="0" w:line="240" w:lineRule="auto"/>
        <w:rPr>
          <w:rFonts w:ascii="Times New Roman" w:hAnsi="Times New Roman" w:eastAsia="Times New Roman" w:cs="Times New Roman"/>
          <w:b/>
          <w:bCs/>
          <w:sz w:val="24"/>
          <w:szCs w:val="24"/>
        </w:rPr>
      </w:pPr>
    </w:p>
    <w:p w:rsidR="003D2F48" w:rsidP="0010440A" w:rsidRDefault="003D2F48" w14:paraId="1F447A15"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427C55">
        <w:rPr>
          <w:rFonts w:ascii="Symbol" w:hAnsi="Symbol" w:eastAsia="Times New Roman" w:cs="Symbol"/>
          <w:sz w:val="24"/>
          <w:szCs w:val="24"/>
        </w:rPr>
        <w:t></w:t>
      </w:r>
      <w:r w:rsidR="00427C55">
        <w:rPr>
          <w:rFonts w:ascii="Symbol" w:hAnsi="Symbol" w:eastAsia="Times New Roman" w:cs="Symbol"/>
          <w:sz w:val="24"/>
          <w:szCs w:val="24"/>
        </w:rPr>
        <w:t></w:t>
      </w:r>
      <w:r w:rsidRPr="0010440A">
        <w:rPr>
          <w:rFonts w:ascii="Times New Roman" w:hAnsi="Times New Roman" w:eastAsia="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440A" w:rsidR="008B14DA" w:rsidP="0010440A" w:rsidRDefault="008B14DA" w14:paraId="210C4ABA"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6F9B85E7"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427C55">
        <w:rPr>
          <w:rFonts w:ascii="Symbol" w:hAnsi="Symbol" w:eastAsia="Times New Roman" w:cs="Symbol"/>
          <w:sz w:val="24"/>
          <w:szCs w:val="24"/>
        </w:rPr>
        <w:t></w:t>
      </w:r>
      <w:r w:rsidR="00427C55">
        <w:rPr>
          <w:rFonts w:ascii="Symbol" w:hAnsi="Symbol" w:eastAsia="Times New Roman" w:cs="Symbol"/>
          <w:sz w:val="24"/>
          <w:szCs w:val="24"/>
        </w:rPr>
        <w:t></w:t>
      </w:r>
      <w:r w:rsidRPr="0010440A">
        <w:rPr>
          <w:rFonts w:ascii="Times New Roman" w:hAnsi="Times New Roman" w:eastAsia="Times New Roman" w:cs="Times New Roman"/>
          <w:b/>
          <w:bCs/>
          <w:sz w:val="24"/>
          <w:szCs w:val="24"/>
        </w:rPr>
        <w:t>If this request for approval covers more than one form, provide separate hour burden estimate for each form and aggregate the hour burdens.</w:t>
      </w:r>
    </w:p>
    <w:p w:rsidRPr="0010440A" w:rsidR="008B14DA" w:rsidP="0010440A" w:rsidRDefault="008B14DA" w14:paraId="3C6CE1EF" w14:textId="77777777">
      <w:pPr>
        <w:spacing w:after="0" w:line="240" w:lineRule="auto"/>
        <w:ind w:left="288"/>
        <w:rPr>
          <w:rFonts w:ascii="Times New Roman" w:hAnsi="Times New Roman" w:eastAsia="Times New Roman" w:cs="Times New Roman"/>
          <w:b/>
          <w:bCs/>
          <w:sz w:val="24"/>
          <w:szCs w:val="24"/>
        </w:rPr>
      </w:pPr>
    </w:p>
    <w:p w:rsidR="003D2F48" w:rsidP="0010440A" w:rsidRDefault="003D2F48" w14:paraId="382460C5" w14:textId="77777777">
      <w:pPr>
        <w:spacing w:after="0" w:line="240" w:lineRule="auto"/>
        <w:ind w:left="288"/>
        <w:rPr>
          <w:rFonts w:ascii="Times New Roman" w:hAnsi="Times New Roman" w:eastAsia="Times New Roman" w:cs="Times New Roman"/>
          <w:b/>
          <w:bCs/>
          <w:sz w:val="24"/>
          <w:szCs w:val="24"/>
        </w:rPr>
      </w:pPr>
      <w:r w:rsidRPr="0010440A">
        <w:rPr>
          <w:rFonts w:ascii="Symbol" w:hAnsi="Symbol" w:eastAsia="Times New Roman" w:cs="Symbol"/>
          <w:sz w:val="24"/>
          <w:szCs w:val="24"/>
        </w:rPr>
        <w:t></w:t>
      </w:r>
      <w:r w:rsidR="00427C55">
        <w:rPr>
          <w:rFonts w:ascii="Symbol" w:hAnsi="Symbol" w:eastAsia="Times New Roman" w:cs="Symbol"/>
          <w:sz w:val="24"/>
          <w:szCs w:val="24"/>
        </w:rPr>
        <w:t></w:t>
      </w:r>
      <w:r w:rsidR="00427C55">
        <w:rPr>
          <w:rFonts w:ascii="Symbol" w:hAnsi="Symbol" w:eastAsia="Times New Roman" w:cs="Symbol"/>
          <w:sz w:val="24"/>
          <w:szCs w:val="24"/>
        </w:rPr>
        <w:t></w:t>
      </w:r>
      <w:r w:rsidRPr="0010440A">
        <w:rPr>
          <w:rFonts w:ascii="Times New Roman" w:hAnsi="Times New Roman" w:eastAsia="Times New Roman" w:cs="Times New Roman"/>
          <w:b/>
          <w:bCs/>
          <w:sz w:val="24"/>
          <w:szCs w:val="24"/>
        </w:rPr>
        <w:t>Provide estimates of annualized cost to respondents for the hour burdens for collection of information, identifying and using appropriate wage-rate categories.</w:t>
      </w:r>
    </w:p>
    <w:p w:rsidRPr="0010440A" w:rsidR="008B14DA" w:rsidP="0010440A" w:rsidRDefault="008B14DA" w14:paraId="66A14253" w14:textId="77777777">
      <w:pPr>
        <w:spacing w:after="0" w:line="240" w:lineRule="auto"/>
        <w:ind w:left="288"/>
        <w:rPr>
          <w:rFonts w:ascii="Times New Roman" w:hAnsi="Times New Roman" w:eastAsia="Times New Roman" w:cs="Times New Roman"/>
          <w:b/>
          <w:bCs/>
          <w:sz w:val="24"/>
          <w:szCs w:val="24"/>
        </w:rPr>
      </w:pPr>
    </w:p>
    <w:p w:rsidR="003D2F48" w:rsidP="0010440A" w:rsidRDefault="008877CB" w14:paraId="537A6569"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Respondent </w:t>
      </w:r>
      <w:r w:rsidR="003D2F48">
        <w:rPr>
          <w:rFonts w:ascii="Times New Roman" w:hAnsi="Times New Roman" w:cs="Times New Roman"/>
          <w:b/>
          <w:bCs/>
          <w:sz w:val="24"/>
          <w:szCs w:val="24"/>
        </w:rPr>
        <w:t>Burden-Hour</w:t>
      </w:r>
      <w:r>
        <w:rPr>
          <w:rFonts w:ascii="Times New Roman" w:hAnsi="Times New Roman" w:cs="Times New Roman"/>
          <w:b/>
          <w:bCs/>
          <w:sz w:val="24"/>
          <w:szCs w:val="24"/>
        </w:rPr>
        <w:t xml:space="preserve"> </w:t>
      </w:r>
      <w:r w:rsidR="003D2F48">
        <w:rPr>
          <w:rFonts w:ascii="Times New Roman" w:hAnsi="Times New Roman" w:cs="Times New Roman"/>
          <w:b/>
          <w:bCs/>
          <w:sz w:val="24"/>
          <w:szCs w:val="24"/>
        </w:rPr>
        <w:t xml:space="preserve">and Cost </w:t>
      </w:r>
      <w:r>
        <w:rPr>
          <w:rFonts w:ascii="Times New Roman" w:hAnsi="Times New Roman" w:cs="Times New Roman"/>
          <w:b/>
          <w:bCs/>
          <w:sz w:val="24"/>
          <w:szCs w:val="24"/>
        </w:rPr>
        <w:t xml:space="preserve">Burden </w:t>
      </w:r>
      <w:r w:rsidR="003D2F48">
        <w:rPr>
          <w:rFonts w:ascii="Times New Roman" w:hAnsi="Times New Roman" w:cs="Times New Roman"/>
          <w:b/>
          <w:bCs/>
          <w:sz w:val="24"/>
          <w:szCs w:val="24"/>
        </w:rPr>
        <w:t>Determination</w:t>
      </w:r>
      <w:r>
        <w:rPr>
          <w:rFonts w:ascii="Times New Roman" w:hAnsi="Times New Roman" w:cs="Times New Roman"/>
          <w:b/>
          <w:bCs/>
          <w:sz w:val="24"/>
          <w:szCs w:val="24"/>
        </w:rPr>
        <w:t>s</w:t>
      </w:r>
    </w:p>
    <w:p w:rsidR="008B14DA" w:rsidP="0010440A" w:rsidRDefault="008B14DA" w14:paraId="19913F45" w14:textId="77777777">
      <w:pPr>
        <w:spacing w:after="0" w:line="240" w:lineRule="auto"/>
        <w:rPr>
          <w:rFonts w:ascii="Times New Roman" w:hAnsi="Times New Roman" w:cs="Times New Roman"/>
          <w:b/>
          <w:bCs/>
          <w:sz w:val="24"/>
          <w:szCs w:val="24"/>
        </w:rPr>
      </w:pPr>
    </w:p>
    <w:p w:rsidR="009F1620" w:rsidP="0010440A" w:rsidRDefault="009F1620" w14:paraId="537839C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determined the wage rate from mean hourly wage earnings to represent the cost of employee time.  For the relevant standard occupational classification category, OSHA used the wage rates reported in the Bureau of Labor </w:t>
      </w:r>
      <w:r w:rsidR="008A4F71">
        <w:rPr>
          <w:rFonts w:ascii="Times New Roman" w:hAnsi="Times New Roman" w:cs="Times New Roman"/>
          <w:sz w:val="24"/>
          <w:szCs w:val="24"/>
        </w:rPr>
        <w:t>Statistics, U.S. Department of L</w:t>
      </w:r>
      <w:r>
        <w:rPr>
          <w:rFonts w:ascii="Times New Roman" w:hAnsi="Times New Roman" w:cs="Times New Roman"/>
          <w:sz w:val="24"/>
          <w:szCs w:val="24"/>
        </w:rPr>
        <w:t xml:space="preserve">abor. </w:t>
      </w:r>
      <w:r>
        <w:rPr>
          <w:rFonts w:ascii="Times New Roman" w:hAnsi="Times New Roman" w:cs="Times New Roman"/>
          <w:i/>
          <w:sz w:val="24"/>
          <w:szCs w:val="24"/>
        </w:rPr>
        <w:t>Occupational Emplo</w:t>
      </w:r>
      <w:r w:rsidR="00F6039E">
        <w:rPr>
          <w:rFonts w:ascii="Times New Roman" w:hAnsi="Times New Roman" w:cs="Times New Roman"/>
          <w:i/>
          <w:sz w:val="24"/>
          <w:szCs w:val="24"/>
        </w:rPr>
        <w:t>yment Statistics (OES), May 2019</w:t>
      </w:r>
      <w:r>
        <w:rPr>
          <w:rFonts w:ascii="Times New Roman" w:hAnsi="Times New Roman" w:cs="Times New Roman"/>
          <w:i/>
          <w:sz w:val="24"/>
          <w:szCs w:val="24"/>
        </w:rPr>
        <w:t xml:space="preserve"> </w:t>
      </w:r>
      <w:r w:rsidR="00F6039E">
        <w:rPr>
          <w:rFonts w:ascii="Times New Roman" w:hAnsi="Times New Roman" w:cs="Times New Roman"/>
          <w:sz w:val="24"/>
          <w:szCs w:val="24"/>
        </w:rPr>
        <w:t>[date accessed: April 1, 2020</w:t>
      </w:r>
      <w:r>
        <w:rPr>
          <w:rFonts w:ascii="Times New Roman" w:hAnsi="Times New Roman" w:cs="Times New Roman"/>
          <w:sz w:val="24"/>
          <w:szCs w:val="24"/>
        </w:rPr>
        <w:t xml:space="preserve">]. (OES data is available at </w:t>
      </w:r>
      <w:hyperlink w:history="1" r:id="rId11">
        <w:r w:rsidRPr="00561F61">
          <w:rPr>
            <w:rStyle w:val="Hyperlink"/>
            <w:rFonts w:ascii="Times New Roman" w:hAnsi="Times New Roman" w:cs="Times New Roman"/>
            <w:sz w:val="24"/>
            <w:szCs w:val="24"/>
          </w:rPr>
          <w:t>https://www.bls.gov/oes/tables.htm</w:t>
        </w:r>
      </w:hyperlink>
      <w:r>
        <w:rPr>
          <w:rFonts w:ascii="Times New Roman" w:hAnsi="Times New Roman" w:cs="Times New Roman"/>
          <w:sz w:val="24"/>
          <w:szCs w:val="24"/>
        </w:rPr>
        <w:t>.  To access a wage rate, select the year “Occupational Profiles,” and the Standard Occupational Classification (SOC) Code).</w:t>
      </w:r>
    </w:p>
    <w:p w:rsidR="009F1620" w:rsidP="0010440A" w:rsidRDefault="009F1620" w14:paraId="464DBF2B" w14:textId="77777777">
      <w:pPr>
        <w:spacing w:after="0" w:line="240" w:lineRule="auto"/>
        <w:rPr>
          <w:rFonts w:ascii="Times New Roman" w:hAnsi="Times New Roman" w:cs="Times New Roman"/>
          <w:sz w:val="24"/>
          <w:szCs w:val="24"/>
        </w:rPr>
      </w:pPr>
    </w:p>
    <w:p w:rsidR="009F1620" w:rsidP="0010440A" w:rsidRDefault="009F1620" w14:paraId="2FABA4B9" w14:textId="424767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derive the loaded hourly wage rate presented in the table below, the Agency used data from the Bureau of Labor Statistics’ (BLS) </w:t>
      </w:r>
      <w:r>
        <w:rPr>
          <w:rFonts w:ascii="Times New Roman" w:hAnsi="Times New Roman" w:cs="Times New Roman"/>
          <w:i/>
          <w:sz w:val="24"/>
          <w:szCs w:val="24"/>
        </w:rPr>
        <w:t>Occupational Employment Statistics (OES),</w:t>
      </w:r>
      <w:r>
        <w:rPr>
          <w:rFonts w:ascii="Times New Roman" w:hAnsi="Times New Roman" w:cs="Times New Roman"/>
          <w:sz w:val="24"/>
          <w:szCs w:val="24"/>
        </w:rPr>
        <w:t xml:space="preserve"> as described in the paragraph above.  Then, the Agency applied to the wage rate a fringe benefit markup based on Table 2 of the following BLS release: </w:t>
      </w:r>
      <w:r>
        <w:rPr>
          <w:rFonts w:ascii="Times New Roman" w:hAnsi="Times New Roman" w:cs="Times New Roman"/>
          <w:i/>
          <w:sz w:val="24"/>
          <w:szCs w:val="24"/>
        </w:rPr>
        <w:t xml:space="preserve">Employer Costs for Compensation </w:t>
      </w:r>
      <w:r>
        <w:rPr>
          <w:rFonts w:ascii="Times New Roman" w:hAnsi="Times New Roman" w:cs="Times New Roman"/>
          <w:sz w:val="24"/>
          <w:szCs w:val="24"/>
        </w:rPr>
        <w:t>news release text; released 10:00 AM (</w:t>
      </w:r>
      <w:r w:rsidR="00787FE0">
        <w:rPr>
          <w:rFonts w:ascii="Times New Roman" w:hAnsi="Times New Roman" w:cs="Times New Roman"/>
          <w:sz w:val="24"/>
          <w:szCs w:val="24"/>
        </w:rPr>
        <w:t xml:space="preserve">EDT), </w:t>
      </w:r>
      <w:r w:rsidR="00F6039E">
        <w:rPr>
          <w:rFonts w:ascii="Times New Roman" w:hAnsi="Times New Roman" w:cs="Times New Roman"/>
          <w:sz w:val="24"/>
          <w:szCs w:val="24"/>
        </w:rPr>
        <w:t>March 19, 2020</w:t>
      </w:r>
      <w:r w:rsidR="00E97964">
        <w:rPr>
          <w:rFonts w:ascii="Times New Roman" w:hAnsi="Times New Roman" w:cs="Times New Roman"/>
          <w:sz w:val="24"/>
          <w:szCs w:val="24"/>
        </w:rPr>
        <w:t xml:space="preserve"> </w:t>
      </w:r>
      <w:r w:rsidR="00264F85">
        <w:rPr>
          <w:rFonts w:ascii="Times New Roman" w:hAnsi="Times New Roman" w:cs="Times New Roman"/>
          <w:sz w:val="24"/>
          <w:szCs w:val="24"/>
        </w:rPr>
        <w:t>(</w:t>
      </w:r>
      <w:hyperlink w:history="1" r:id="rId12">
        <w:r w:rsidRPr="00787FE0" w:rsidR="00787FE0">
          <w:rPr>
            <w:rStyle w:val="Hyperlink"/>
            <w:rFonts w:ascii="Times New Roman" w:hAnsi="Times New Roman" w:cs="Times New Roman"/>
            <w:sz w:val="24"/>
            <w:szCs w:val="24"/>
          </w:rPr>
          <w:t>https://www.bls.gov/news.release/ecec.nr0.htm</w:t>
        </w:r>
      </w:hyperlink>
      <w:r w:rsidR="00CC4977">
        <w:rPr>
          <w:rFonts w:ascii="Times New Roman" w:hAnsi="Times New Roman" w:cs="Times New Roman"/>
          <w:sz w:val="24"/>
          <w:szCs w:val="24"/>
        </w:rPr>
        <w:t xml:space="preserve">).  BLS reported that for civilian workers, fringe </w:t>
      </w:r>
      <w:r w:rsidR="0073645D">
        <w:rPr>
          <w:rFonts w:ascii="Times New Roman" w:hAnsi="Times New Roman" w:cs="Times New Roman"/>
          <w:sz w:val="24"/>
          <w:szCs w:val="24"/>
        </w:rPr>
        <w:t>benef</w:t>
      </w:r>
      <w:r w:rsidR="00CC4977">
        <w:rPr>
          <w:rFonts w:ascii="Times New Roman" w:hAnsi="Times New Roman" w:cs="Times New Roman"/>
          <w:sz w:val="24"/>
          <w:szCs w:val="24"/>
        </w:rPr>
        <w:t>its acc</w:t>
      </w:r>
      <w:r w:rsidR="0073645D">
        <w:rPr>
          <w:rFonts w:ascii="Times New Roman" w:hAnsi="Times New Roman" w:cs="Times New Roman"/>
          <w:sz w:val="24"/>
          <w:szCs w:val="24"/>
        </w:rPr>
        <w:t>o</w:t>
      </w:r>
      <w:r w:rsidR="00CC4977">
        <w:rPr>
          <w:rFonts w:ascii="Times New Roman" w:hAnsi="Times New Roman" w:cs="Times New Roman"/>
          <w:sz w:val="24"/>
          <w:szCs w:val="24"/>
        </w:rPr>
        <w:t xml:space="preserve">unted </w:t>
      </w:r>
      <w:r w:rsidR="00F6039E">
        <w:rPr>
          <w:rFonts w:ascii="Times New Roman" w:hAnsi="Times New Roman" w:cs="Times New Roman"/>
          <w:sz w:val="24"/>
          <w:szCs w:val="24"/>
        </w:rPr>
        <w:t>for 31.4</w:t>
      </w:r>
      <w:r w:rsidR="0073645D">
        <w:rPr>
          <w:rFonts w:ascii="Times New Roman" w:hAnsi="Times New Roman" w:cs="Times New Roman"/>
          <w:sz w:val="24"/>
          <w:szCs w:val="24"/>
        </w:rPr>
        <w:t xml:space="preserve"> percent of total compensation and wages </w:t>
      </w:r>
      <w:r w:rsidR="00F6039E">
        <w:rPr>
          <w:rFonts w:ascii="Times New Roman" w:hAnsi="Times New Roman" w:cs="Times New Roman"/>
          <w:sz w:val="24"/>
          <w:szCs w:val="24"/>
        </w:rPr>
        <w:t>accounted for the remaining 68.6</w:t>
      </w:r>
      <w:r w:rsidR="0073645D">
        <w:rPr>
          <w:rFonts w:ascii="Times New Roman" w:hAnsi="Times New Roman" w:cs="Times New Roman"/>
          <w:sz w:val="24"/>
          <w:szCs w:val="24"/>
        </w:rPr>
        <w:t xml:space="preserve"> percent.  To calculate the loaded hourly wage for each occupation, the Agency divided the mean hourly wage rate by 1 minus the fringe benefits. </w:t>
      </w:r>
    </w:p>
    <w:p w:rsidR="00E97964" w:rsidP="0010440A" w:rsidRDefault="00E97964" w14:paraId="66DB0759" w14:textId="77777777">
      <w:pPr>
        <w:spacing w:after="0" w:line="240" w:lineRule="auto"/>
        <w:rPr>
          <w:rFonts w:ascii="Times New Roman" w:hAnsi="Times New Roman" w:cs="Times New Roman"/>
          <w:sz w:val="24"/>
          <w:szCs w:val="24"/>
        </w:rPr>
      </w:pPr>
    </w:p>
    <w:p w:rsidR="008B14DA" w:rsidP="0010440A" w:rsidRDefault="008B14DA" w14:paraId="635209A7" w14:textId="7777777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98"/>
        <w:gridCol w:w="1894"/>
        <w:gridCol w:w="1843"/>
        <w:gridCol w:w="1859"/>
        <w:gridCol w:w="1856"/>
      </w:tblGrid>
      <w:tr w:rsidR="0073645D" w:rsidTr="00457920" w14:paraId="5ECE28BE" w14:textId="77777777">
        <w:tc>
          <w:tcPr>
            <w:tcW w:w="9576" w:type="dxa"/>
            <w:gridSpan w:val="5"/>
          </w:tcPr>
          <w:p w:rsidR="0073645D" w:rsidP="0010440A" w:rsidRDefault="00B41D5E" w14:paraId="5D49444D" w14:textId="484A2E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w:t>
            </w:r>
            <w:r w:rsidR="008F59F8">
              <w:rPr>
                <w:rFonts w:ascii="Times New Roman" w:hAnsi="Times New Roman" w:cs="Times New Roman"/>
                <w:b/>
                <w:sz w:val="24"/>
                <w:szCs w:val="24"/>
              </w:rPr>
              <w:t>:</w:t>
            </w:r>
            <w:r>
              <w:rPr>
                <w:rFonts w:ascii="Times New Roman" w:hAnsi="Times New Roman" w:cs="Times New Roman"/>
                <w:b/>
                <w:sz w:val="24"/>
                <w:szCs w:val="24"/>
              </w:rPr>
              <w:t xml:space="preserve"> </w:t>
            </w:r>
            <w:r w:rsidR="0073645D">
              <w:rPr>
                <w:rFonts w:ascii="Times New Roman" w:hAnsi="Times New Roman" w:cs="Times New Roman"/>
                <w:b/>
                <w:sz w:val="24"/>
                <w:szCs w:val="24"/>
              </w:rPr>
              <w:t>WAGE HOUR ESTIMATES</w:t>
            </w:r>
          </w:p>
        </w:tc>
      </w:tr>
      <w:tr w:rsidR="0073645D" w:rsidTr="0073645D" w14:paraId="6E5E6CBF" w14:textId="77777777">
        <w:tc>
          <w:tcPr>
            <w:tcW w:w="1915" w:type="dxa"/>
          </w:tcPr>
          <w:p w:rsidR="0073645D" w:rsidP="0010440A" w:rsidRDefault="0073645D" w14:paraId="25FDFB02"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Occupational Title</w:t>
            </w:r>
          </w:p>
        </w:tc>
        <w:tc>
          <w:tcPr>
            <w:tcW w:w="1915" w:type="dxa"/>
          </w:tcPr>
          <w:p w:rsidR="0073645D" w:rsidP="0010440A" w:rsidRDefault="0073645D" w14:paraId="1B934A7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Standard Occupational Code</w:t>
            </w:r>
          </w:p>
        </w:tc>
        <w:tc>
          <w:tcPr>
            <w:tcW w:w="1915" w:type="dxa"/>
          </w:tcPr>
          <w:p w:rsidR="0073645D" w:rsidP="0010440A" w:rsidRDefault="0073645D" w14:paraId="7C9D007C"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Mean Hour Wage Rate </w:t>
            </w:r>
          </w:p>
          <w:p w:rsidR="0073645D" w:rsidP="0010440A" w:rsidRDefault="0073645D" w14:paraId="2E2890E8"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1915" w:type="dxa"/>
          </w:tcPr>
          <w:p w:rsidR="0073645D" w:rsidP="0010440A" w:rsidRDefault="0073645D" w14:paraId="654BD17F"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Fringe Benefits (B)</w:t>
            </w:r>
          </w:p>
        </w:tc>
        <w:tc>
          <w:tcPr>
            <w:tcW w:w="1916" w:type="dxa"/>
          </w:tcPr>
          <w:p w:rsidR="0073645D" w:rsidP="0010440A" w:rsidRDefault="0073645D" w14:paraId="28B0DE56"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Loaded Hourly Wage Rate </w:t>
            </w:r>
          </w:p>
          <w:p w:rsidR="0073645D" w:rsidP="0010440A" w:rsidRDefault="009864C9" w14:paraId="244E63F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73645D">
              <w:rPr>
                <w:rFonts w:ascii="Times New Roman" w:hAnsi="Times New Roman" w:cs="Times New Roman"/>
                <w:b/>
                <w:sz w:val="24"/>
                <w:szCs w:val="24"/>
              </w:rPr>
              <w:t>C) = (A)/(1-B)</w:t>
            </w:r>
          </w:p>
        </w:tc>
      </w:tr>
      <w:tr w:rsidR="0073645D" w:rsidTr="0010440A" w14:paraId="77CED291" w14:textId="77777777">
        <w:tc>
          <w:tcPr>
            <w:tcW w:w="1915" w:type="dxa"/>
          </w:tcPr>
          <w:p w:rsidRPr="0010440A" w:rsidR="0073645D" w:rsidP="008B14DA" w:rsidRDefault="0073645D" w14:paraId="377ED00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Logging Equipment Operators (Operator)</w:t>
            </w:r>
          </w:p>
        </w:tc>
        <w:tc>
          <w:tcPr>
            <w:tcW w:w="1915" w:type="dxa"/>
            <w:vAlign w:val="bottom"/>
          </w:tcPr>
          <w:p w:rsidRPr="0010440A" w:rsidR="0073645D" w:rsidP="0010440A" w:rsidRDefault="00D74E7F" w14:paraId="17005585" w14:textId="77777777">
            <w:pPr>
              <w:spacing w:after="0" w:line="240" w:lineRule="auto"/>
              <w:jc w:val="center"/>
              <w:rPr>
                <w:rFonts w:ascii="Times New Roman" w:hAnsi="Times New Roman" w:cs="Times New Roman"/>
                <w:sz w:val="24"/>
                <w:szCs w:val="24"/>
              </w:rPr>
            </w:pPr>
            <w:r w:rsidRPr="00D74E7F">
              <w:rPr>
                <w:rFonts w:ascii="Times New Roman" w:hAnsi="Times New Roman" w:cs="Times New Roman"/>
                <w:sz w:val="24"/>
                <w:szCs w:val="24"/>
              </w:rPr>
              <w:t>45-4022</w:t>
            </w:r>
          </w:p>
        </w:tc>
        <w:tc>
          <w:tcPr>
            <w:tcW w:w="1915" w:type="dxa"/>
            <w:vAlign w:val="bottom"/>
          </w:tcPr>
          <w:p w:rsidRPr="0010440A" w:rsidR="0073645D" w:rsidP="0010440A" w:rsidRDefault="006F661C" w14:paraId="02DD9E25"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915" w:type="dxa"/>
            <w:vAlign w:val="bottom"/>
          </w:tcPr>
          <w:p w:rsidRPr="0010440A" w:rsidR="0073645D" w:rsidP="0010440A" w:rsidRDefault="00D74E7F" w14:paraId="0B08A83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6F661C">
              <w:rPr>
                <w:rFonts w:ascii="Times New Roman" w:hAnsi="Times New Roman" w:cs="Times New Roman"/>
                <w:sz w:val="24"/>
                <w:szCs w:val="24"/>
              </w:rPr>
              <w:t>4</w:t>
            </w:r>
          </w:p>
        </w:tc>
        <w:tc>
          <w:tcPr>
            <w:tcW w:w="1916" w:type="dxa"/>
            <w:vAlign w:val="bottom"/>
          </w:tcPr>
          <w:p w:rsidRPr="0010440A" w:rsidR="0073645D" w:rsidP="0010440A" w:rsidRDefault="00D74E7F" w14:paraId="662A175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6F661C">
              <w:rPr>
                <w:rFonts w:ascii="Times New Roman" w:hAnsi="Times New Roman" w:cs="Times New Roman"/>
                <w:sz w:val="24"/>
                <w:szCs w:val="24"/>
              </w:rPr>
              <w:t>48</w:t>
            </w:r>
          </w:p>
        </w:tc>
      </w:tr>
      <w:tr w:rsidR="0073645D" w:rsidTr="0010440A" w14:paraId="7A4598FF" w14:textId="77777777">
        <w:tc>
          <w:tcPr>
            <w:tcW w:w="1915" w:type="dxa"/>
          </w:tcPr>
          <w:p w:rsidRPr="0010440A" w:rsidR="0073645D" w:rsidP="008B14DA" w:rsidRDefault="0073645D" w14:paraId="5470F16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Secretaries and Administrative Assistants, Except Legal, Medical, and Executive (Secretary)</w:t>
            </w:r>
          </w:p>
        </w:tc>
        <w:tc>
          <w:tcPr>
            <w:tcW w:w="1915" w:type="dxa"/>
            <w:vAlign w:val="bottom"/>
          </w:tcPr>
          <w:p w:rsidRPr="0010440A" w:rsidR="0073645D" w:rsidP="0010440A" w:rsidRDefault="00D74E7F" w14:paraId="0BE99F1D" w14:textId="77777777">
            <w:pPr>
              <w:spacing w:after="0" w:line="240" w:lineRule="auto"/>
              <w:jc w:val="center"/>
              <w:rPr>
                <w:rFonts w:ascii="Times New Roman" w:hAnsi="Times New Roman" w:cs="Times New Roman"/>
                <w:sz w:val="24"/>
                <w:szCs w:val="24"/>
              </w:rPr>
            </w:pPr>
            <w:r w:rsidRPr="00D74E7F">
              <w:rPr>
                <w:rFonts w:ascii="Times New Roman" w:hAnsi="Times New Roman" w:cs="Times New Roman"/>
                <w:sz w:val="24"/>
                <w:szCs w:val="24"/>
              </w:rPr>
              <w:t>43-6014</w:t>
            </w:r>
          </w:p>
        </w:tc>
        <w:tc>
          <w:tcPr>
            <w:tcW w:w="1915" w:type="dxa"/>
            <w:vAlign w:val="bottom"/>
          </w:tcPr>
          <w:p w:rsidRPr="0010440A" w:rsidR="0073645D" w:rsidP="0010440A" w:rsidRDefault="00D74E7F" w14:paraId="1C89D2D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6F661C">
              <w:rPr>
                <w:rFonts w:ascii="Times New Roman" w:hAnsi="Times New Roman" w:cs="Times New Roman"/>
                <w:sz w:val="24"/>
                <w:szCs w:val="24"/>
              </w:rPr>
              <w:t>84</w:t>
            </w:r>
          </w:p>
        </w:tc>
        <w:tc>
          <w:tcPr>
            <w:tcW w:w="1915" w:type="dxa"/>
            <w:vAlign w:val="bottom"/>
          </w:tcPr>
          <w:p w:rsidRPr="0010440A" w:rsidR="0073645D" w:rsidP="0010440A" w:rsidRDefault="00D74E7F" w14:paraId="6E6A112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6F661C">
              <w:rPr>
                <w:rFonts w:ascii="Times New Roman" w:hAnsi="Times New Roman" w:cs="Times New Roman"/>
                <w:sz w:val="24"/>
                <w:szCs w:val="24"/>
              </w:rPr>
              <w:t>4</w:t>
            </w:r>
          </w:p>
        </w:tc>
        <w:tc>
          <w:tcPr>
            <w:tcW w:w="1916" w:type="dxa"/>
            <w:vAlign w:val="bottom"/>
          </w:tcPr>
          <w:p w:rsidRPr="0010440A" w:rsidR="0073645D" w:rsidP="0010440A" w:rsidRDefault="006F661C" w14:paraId="762165A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27.46</w:t>
            </w:r>
          </w:p>
        </w:tc>
      </w:tr>
    </w:tbl>
    <w:p w:rsidRPr="006F0351" w:rsidR="0073645D" w:rsidP="0010440A" w:rsidRDefault="0073645D" w14:paraId="5B0B6D0A" w14:textId="77777777">
      <w:pPr>
        <w:spacing w:after="0" w:line="240" w:lineRule="auto"/>
        <w:rPr>
          <w:rFonts w:ascii="Times New Roman" w:hAnsi="Times New Roman" w:cs="Times New Roman"/>
          <w:b/>
          <w:sz w:val="24"/>
          <w:szCs w:val="24"/>
        </w:rPr>
      </w:pPr>
    </w:p>
    <w:p w:rsidR="00671CE7" w:rsidP="00671CE7" w:rsidRDefault="00671CE7" w14:paraId="0943120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sections summarize the burden hour and cost determinations for the information collection requirements specified by the Standard (See Table 1, </w:t>
      </w:r>
      <w:r w:rsidRPr="001160C0">
        <w:rPr>
          <w:rFonts w:ascii="Times New Roman" w:hAnsi="Times New Roman" w:cs="Times New Roman"/>
          <w:i/>
          <w:sz w:val="24"/>
          <w:szCs w:val="24"/>
        </w:rPr>
        <w:t>Estimated Annualized Respondent Hour and Cost</w:t>
      </w:r>
      <w:r>
        <w:rPr>
          <w:rFonts w:ascii="Times New Roman" w:hAnsi="Times New Roman" w:cs="Times New Roman"/>
          <w:i/>
          <w:sz w:val="24"/>
          <w:szCs w:val="24"/>
        </w:rPr>
        <w:t xml:space="preserve"> Burden)</w:t>
      </w:r>
      <w:r>
        <w:rPr>
          <w:rFonts w:ascii="Times New Roman" w:hAnsi="Times New Roman" w:cs="Times New Roman"/>
          <w:sz w:val="24"/>
          <w:szCs w:val="24"/>
        </w:rPr>
        <w:t>.  In determining the burden hours and cost associated with these requirements, OSHA estimated that the logging industry, including timber tract operations, currently has 50,188 workers/supervisors and 8,076 logging establishments.</w:t>
      </w:r>
      <w:r>
        <w:rPr>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p>
    <w:p w:rsidR="00671CE7" w:rsidP="00671CE7" w:rsidRDefault="00671CE7" w14:paraId="348BCB20" w14:textId="77777777">
      <w:pPr>
        <w:spacing w:after="0" w:line="240" w:lineRule="auto"/>
        <w:rPr>
          <w:rFonts w:ascii="Times New Roman" w:hAnsi="Times New Roman" w:cs="Times New Roman"/>
          <w:b/>
          <w:bCs/>
          <w:sz w:val="24"/>
          <w:szCs w:val="24"/>
        </w:rPr>
      </w:pPr>
    </w:p>
    <w:p w:rsidR="003D2F48" w:rsidP="00671CE7" w:rsidRDefault="00671CE7" w14:paraId="60DA6C92" w14:textId="093796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3D2F48">
        <w:rPr>
          <w:rFonts w:ascii="Times New Roman" w:hAnsi="Times New Roman" w:cs="Times New Roman"/>
          <w:b/>
          <w:bCs/>
          <w:sz w:val="24"/>
          <w:szCs w:val="24"/>
        </w:rPr>
        <w:t>(A)  Maintenance and Operating Instructions (§§ 1910.266(f</w:t>
      </w:r>
      <w:proofErr w:type="gramStart"/>
      <w:r w:rsidR="003D2F48">
        <w:rPr>
          <w:rFonts w:ascii="Times New Roman" w:hAnsi="Times New Roman" w:cs="Times New Roman"/>
          <w:b/>
          <w:bCs/>
          <w:sz w:val="24"/>
          <w:szCs w:val="24"/>
        </w:rPr>
        <w:t>)(</w:t>
      </w:r>
      <w:proofErr w:type="gramEnd"/>
      <w:r w:rsidR="003D2F48">
        <w:rPr>
          <w:rFonts w:ascii="Times New Roman" w:hAnsi="Times New Roman" w:cs="Times New Roman"/>
          <w:b/>
          <w:bCs/>
          <w:sz w:val="24"/>
          <w:szCs w:val="24"/>
        </w:rPr>
        <w:t>1)(iii) and (g)(3))</w:t>
      </w:r>
    </w:p>
    <w:p w:rsidR="0091499C" w:rsidP="0010440A" w:rsidRDefault="0091499C" w14:paraId="368407AA" w14:textId="77777777">
      <w:pPr>
        <w:spacing w:after="0" w:line="240" w:lineRule="auto"/>
        <w:rPr>
          <w:rFonts w:ascii="Times New Roman" w:hAnsi="Times New Roman" w:cs="Times New Roman"/>
          <w:b/>
          <w:bCs/>
          <w:sz w:val="24"/>
          <w:szCs w:val="24"/>
        </w:rPr>
      </w:pPr>
    </w:p>
    <w:p w:rsidR="003D2F48" w:rsidP="0010440A" w:rsidRDefault="003D2F48" w14:paraId="0226CA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Under paragraphs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1)(iii) and (g)(3) of the Standard, employers must assure that operating and maintenance instructions are available on machines or in the area where the machine is being operated, and in vehicles.  Based on the Regulatory Impact Analysis (RIA) for the Revisions to the Standard, equipment manufacturers include operator’s manuals with new logging machines.  For those machines with no operating instructions in the cab, the employer will be required to obtain and retain a manual within the immediate work area of each machine.  Vehicles, however, have special compartments to hold manuals which make the likelihood of loss or destruction of manuals a rare event.  Since the Logging Operations final rule has been in effect since 1995, OSHA assumes that all employers are in compliance with the provision to have operating and maintenance instructions available on machines or in the areas where the machines are being operated.  </w:t>
      </w:r>
    </w:p>
    <w:p w:rsidR="008B14DA" w:rsidP="0010440A" w:rsidRDefault="008B14DA" w14:paraId="2531280B" w14:textId="77777777">
      <w:pPr>
        <w:spacing w:after="0" w:line="240" w:lineRule="auto"/>
        <w:rPr>
          <w:rFonts w:ascii="Times New Roman" w:hAnsi="Times New Roman" w:cs="Times New Roman"/>
          <w:sz w:val="24"/>
          <w:szCs w:val="24"/>
        </w:rPr>
      </w:pPr>
    </w:p>
    <w:p w:rsidR="003D2F48" w:rsidP="0010440A" w:rsidRDefault="003D2F48" w14:paraId="69DA036A" w14:textId="43A98896">
      <w:pPr>
        <w:spacing w:after="0" w:line="240" w:lineRule="auto"/>
        <w:rPr>
          <w:rFonts w:ascii="Times New Roman" w:hAnsi="Times New Roman" w:cs="Times New Roman"/>
          <w:sz w:val="24"/>
          <w:szCs w:val="24"/>
        </w:rPr>
      </w:pPr>
      <w:r>
        <w:rPr>
          <w:rFonts w:ascii="Times New Roman" w:hAnsi="Times New Roman" w:cs="Times New Roman"/>
          <w:sz w:val="24"/>
          <w:szCs w:val="24"/>
        </w:rPr>
        <w:t>However, OSHA realizes that there may be incidents where the instructions might be lost, misplaced, or destroyed and need to be replaced.  Therefore, for purposes of calculating burden hours, the Agency estimates that approximately 10 percent of the establishments (</w:t>
      </w:r>
      <w:r w:rsidR="00D74E7F">
        <w:rPr>
          <w:rFonts w:ascii="Times New Roman" w:hAnsi="Times New Roman" w:cs="Times New Roman"/>
          <w:sz w:val="24"/>
          <w:szCs w:val="24"/>
        </w:rPr>
        <w:t>808</w:t>
      </w:r>
      <w:r>
        <w:rPr>
          <w:rFonts w:ascii="Times New Roman" w:hAnsi="Times New Roman" w:cs="Times New Roman"/>
          <w:sz w:val="24"/>
          <w:szCs w:val="24"/>
        </w:rPr>
        <w:t>) will have at least one machine manual replaced annually and that it will take a logging equipment operator with an hourly wage rate of $</w:t>
      </w:r>
      <w:r w:rsidR="006F661C">
        <w:rPr>
          <w:rFonts w:ascii="Times New Roman" w:hAnsi="Times New Roman" w:cs="Times New Roman"/>
          <w:sz w:val="24"/>
          <w:szCs w:val="24"/>
        </w:rPr>
        <w:t>29.48</w:t>
      </w:r>
      <w:r>
        <w:rPr>
          <w:rFonts w:ascii="Times New Roman" w:hAnsi="Times New Roman" w:cs="Times New Roman"/>
          <w:sz w:val="24"/>
          <w:szCs w:val="24"/>
        </w:rPr>
        <w:t xml:space="preserve"> approximately 10 minutes </w:t>
      </w:r>
      <w:r w:rsidR="00F60E15">
        <w:rPr>
          <w:rFonts w:ascii="Times New Roman" w:hAnsi="Times New Roman" w:cs="Times New Roman"/>
          <w:sz w:val="24"/>
          <w:szCs w:val="24"/>
        </w:rPr>
        <w:t xml:space="preserve">(10/60 hour) </w:t>
      </w:r>
      <w:r>
        <w:rPr>
          <w:rFonts w:ascii="Times New Roman" w:hAnsi="Times New Roman" w:cs="Times New Roman"/>
          <w:sz w:val="24"/>
          <w:szCs w:val="24"/>
        </w:rPr>
        <w:t>to locate the manual either on the premises or by calling the manufacturer for a replacement manual, and placing the instructions in the equipment.</w:t>
      </w:r>
      <w:r>
        <w:rPr>
          <w:rFonts w:ascii="Times New Roman" w:hAnsi="Times New Roman" w:cs="Times New Roman"/>
          <w:sz w:val="20"/>
          <w:szCs w:val="20"/>
          <w:vertAlign w:val="superscript"/>
        </w:rPr>
        <w:footnoteReference w:id="3"/>
      </w:r>
      <w:r>
        <w:rPr>
          <w:rFonts w:ascii="Times New Roman" w:hAnsi="Times New Roman" w:cs="Times New Roman"/>
          <w:sz w:val="24"/>
          <w:szCs w:val="24"/>
        </w:rPr>
        <w:t xml:space="preserve">  Accordingly, the annual burden hours and cost of the paperwork requirement for 1910.266(f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1)(iii) are:</w:t>
      </w:r>
    </w:p>
    <w:p w:rsidR="008B14DA" w:rsidP="0010440A" w:rsidRDefault="008B14DA" w14:paraId="6BC1ED0B" w14:textId="77777777">
      <w:pPr>
        <w:spacing w:after="0" w:line="240" w:lineRule="auto"/>
        <w:rPr>
          <w:rFonts w:ascii="Times New Roman" w:hAnsi="Times New Roman" w:cs="Times New Roman"/>
          <w:sz w:val="24"/>
          <w:szCs w:val="24"/>
        </w:rPr>
      </w:pPr>
    </w:p>
    <w:p w:rsidR="003D2F48" w:rsidP="0010440A" w:rsidRDefault="003D2F48" w14:paraId="09AFC2A6" w14:textId="761EDEB5">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r>
      <w:r w:rsidR="00D74E7F">
        <w:rPr>
          <w:rFonts w:ascii="Times New Roman" w:hAnsi="Times New Roman" w:cs="Times New Roman"/>
          <w:sz w:val="24"/>
          <w:szCs w:val="24"/>
        </w:rPr>
        <w:t>808</w:t>
      </w:r>
      <w:r>
        <w:rPr>
          <w:rFonts w:ascii="Times New Roman" w:hAnsi="Times New Roman" w:cs="Times New Roman"/>
          <w:sz w:val="24"/>
          <w:szCs w:val="24"/>
        </w:rPr>
        <w:t xml:space="preserve"> establishments x </w:t>
      </w:r>
      <w:r w:rsidR="00D74E7F">
        <w:rPr>
          <w:rFonts w:ascii="Times New Roman" w:hAnsi="Times New Roman" w:cs="Times New Roman"/>
          <w:sz w:val="24"/>
          <w:szCs w:val="24"/>
        </w:rPr>
        <w:t>10/60</w:t>
      </w:r>
      <w:r>
        <w:rPr>
          <w:rFonts w:ascii="Times New Roman" w:hAnsi="Times New Roman" w:cs="Times New Roman"/>
          <w:sz w:val="24"/>
          <w:szCs w:val="24"/>
        </w:rPr>
        <w:t xml:space="preserve"> hour = 13</w:t>
      </w:r>
      <w:r w:rsidR="00D74E7F">
        <w:rPr>
          <w:rFonts w:ascii="Times New Roman" w:hAnsi="Times New Roman" w:cs="Times New Roman"/>
          <w:sz w:val="24"/>
          <w:szCs w:val="24"/>
        </w:rPr>
        <w:t>5</w:t>
      </w:r>
    </w:p>
    <w:p w:rsidR="008F4A0B" w:rsidP="0010440A" w:rsidRDefault="003D2F48" w14:paraId="36CB1353" w14:textId="18950D57">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00D74E7F">
        <w:rPr>
          <w:rFonts w:ascii="Times New Roman" w:hAnsi="Times New Roman" w:cs="Times New Roman"/>
          <w:sz w:val="24"/>
          <w:szCs w:val="24"/>
        </w:rPr>
        <w:t>5</w:t>
      </w:r>
      <w:r>
        <w:rPr>
          <w:rFonts w:ascii="Times New Roman" w:hAnsi="Times New Roman" w:cs="Times New Roman"/>
          <w:sz w:val="24"/>
          <w:szCs w:val="24"/>
        </w:rPr>
        <w:t xml:space="preserve"> hours x $</w:t>
      </w:r>
      <w:r w:rsidR="006F661C">
        <w:rPr>
          <w:rFonts w:ascii="Times New Roman" w:hAnsi="Times New Roman" w:cs="Times New Roman"/>
          <w:sz w:val="24"/>
          <w:szCs w:val="24"/>
        </w:rPr>
        <w:t>29.48</w:t>
      </w:r>
      <w:r>
        <w:rPr>
          <w:rFonts w:ascii="Times New Roman" w:hAnsi="Times New Roman" w:cs="Times New Roman"/>
          <w:sz w:val="24"/>
          <w:szCs w:val="24"/>
        </w:rPr>
        <w:t xml:space="preserve"> = $</w:t>
      </w:r>
      <w:r w:rsidR="00581CC8">
        <w:rPr>
          <w:rFonts w:ascii="Times New Roman" w:hAnsi="Times New Roman" w:cs="Times New Roman"/>
          <w:sz w:val="24"/>
          <w:szCs w:val="24"/>
        </w:rPr>
        <w:t>3,980</w:t>
      </w:r>
    </w:p>
    <w:p w:rsidR="008B14DA" w:rsidP="0010440A" w:rsidRDefault="008B14DA" w14:paraId="27B139C3" w14:textId="292D709D">
      <w:pPr>
        <w:spacing w:after="0" w:line="240" w:lineRule="auto"/>
        <w:ind w:left="720"/>
        <w:rPr>
          <w:rFonts w:ascii="Times New Roman" w:hAnsi="Times New Roman" w:cs="Times New Roman"/>
          <w:sz w:val="24"/>
          <w:szCs w:val="24"/>
        </w:rPr>
      </w:pPr>
    </w:p>
    <w:p w:rsidR="003D2F48" w:rsidP="0010440A" w:rsidRDefault="003D2F48" w14:paraId="5501A2D0"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  Certification of Training (§ 1910.266(</w:t>
      </w:r>
      <w:proofErr w:type="spellStart"/>
      <w:r>
        <w:rPr>
          <w:rFonts w:ascii="Times New Roman" w:hAnsi="Times New Roman" w:cs="Times New Roman"/>
          <w:b/>
          <w:bCs/>
          <w:sz w:val="24"/>
          <w:szCs w:val="24"/>
        </w:rPr>
        <w:t>i</w:t>
      </w:r>
      <w:proofErr w:type="spellEnd"/>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10)(</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and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)(10)(ii))</w:t>
      </w:r>
    </w:p>
    <w:p w:rsidR="003E4446" w:rsidP="0010440A" w:rsidRDefault="003E4446" w14:paraId="3ACFEF83" w14:textId="77777777">
      <w:pPr>
        <w:spacing w:after="0" w:line="240" w:lineRule="auto"/>
        <w:rPr>
          <w:rFonts w:ascii="Times New Roman" w:hAnsi="Times New Roman" w:cs="Times New Roman"/>
          <w:b/>
          <w:bCs/>
          <w:sz w:val="24"/>
          <w:szCs w:val="24"/>
        </w:rPr>
      </w:pPr>
    </w:p>
    <w:p w:rsidR="003D2F48" w:rsidP="0010440A" w:rsidRDefault="003D2F48" w14:paraId="562448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requires employers to certify in writing that a worker/supervisor received the training the Standard requires.  Under paragraph (</w:t>
      </w:r>
      <w:proofErr w:type="spellStart"/>
      <w:r>
        <w:rPr>
          <w:rFonts w:ascii="Times New Roman" w:hAnsi="Times New Roman" w:cs="Times New Roman"/>
          <w:sz w:val="24"/>
          <w:szCs w:val="24"/>
        </w:rPr>
        <w:t>i</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10)(ii), employers need only maintain the most recent certification for training (job training and first aid training) that a worker/supervisor has received.  </w:t>
      </w:r>
    </w:p>
    <w:p w:rsidR="008B14DA" w:rsidP="0010440A" w:rsidRDefault="008B14DA" w14:paraId="48F5EE3D" w14:textId="77777777">
      <w:pPr>
        <w:spacing w:after="0" w:line="240" w:lineRule="auto"/>
        <w:rPr>
          <w:rFonts w:ascii="Times New Roman" w:hAnsi="Times New Roman" w:cs="Times New Roman"/>
          <w:sz w:val="24"/>
          <w:szCs w:val="24"/>
        </w:rPr>
      </w:pPr>
    </w:p>
    <w:p w:rsidR="003D2F48" w:rsidP="0010440A" w:rsidRDefault="003D2F48" w14:paraId="1DC16C36" w14:textId="46B89D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Regulatory Impact Analysis (RIA) for the Standard, there is an estimated turnover rate in the industry of 32 percent or approximately </w:t>
      </w:r>
      <w:r w:rsidR="00361DFF">
        <w:rPr>
          <w:rFonts w:ascii="Times New Roman" w:hAnsi="Times New Roman" w:cs="Times New Roman"/>
          <w:sz w:val="24"/>
          <w:szCs w:val="24"/>
        </w:rPr>
        <w:t>16,060</w:t>
      </w:r>
      <w:r>
        <w:rPr>
          <w:rFonts w:ascii="Times New Roman" w:hAnsi="Times New Roman" w:cs="Times New Roman"/>
          <w:sz w:val="24"/>
          <w:szCs w:val="24"/>
        </w:rPr>
        <w:t xml:space="preserve"> workers (</w:t>
      </w:r>
      <w:r w:rsidR="00361DFF">
        <w:rPr>
          <w:rFonts w:ascii="Times New Roman" w:hAnsi="Times New Roman" w:cs="Times New Roman"/>
          <w:sz w:val="24"/>
          <w:szCs w:val="24"/>
        </w:rPr>
        <w:t>50,188</w:t>
      </w:r>
      <w:r>
        <w:rPr>
          <w:rFonts w:ascii="Times New Roman" w:hAnsi="Times New Roman" w:cs="Times New Roman"/>
          <w:sz w:val="24"/>
          <w:szCs w:val="24"/>
        </w:rPr>
        <w:t xml:space="preserve"> x .32 = </w:t>
      </w:r>
      <w:r w:rsidR="00361DFF">
        <w:rPr>
          <w:rFonts w:ascii="Times New Roman" w:hAnsi="Times New Roman" w:cs="Times New Roman"/>
          <w:sz w:val="24"/>
          <w:szCs w:val="24"/>
        </w:rPr>
        <w:t>16,060</w:t>
      </w:r>
      <w:r>
        <w:rPr>
          <w:rFonts w:ascii="Times New Roman" w:hAnsi="Times New Roman" w:cs="Times New Roman"/>
          <w:sz w:val="24"/>
          <w:szCs w:val="24"/>
        </w:rPr>
        <w:t xml:space="preserve">).  Each year employers must maintain </w:t>
      </w:r>
      <w:r w:rsidR="00361DFF">
        <w:rPr>
          <w:rFonts w:ascii="Times New Roman" w:hAnsi="Times New Roman" w:cs="Times New Roman"/>
          <w:sz w:val="24"/>
          <w:szCs w:val="24"/>
        </w:rPr>
        <w:t>34,128</w:t>
      </w:r>
      <w:r>
        <w:rPr>
          <w:rFonts w:ascii="Times New Roman" w:hAnsi="Times New Roman" w:cs="Times New Roman"/>
          <w:sz w:val="24"/>
          <w:szCs w:val="24"/>
        </w:rPr>
        <w:t xml:space="preserve"> (</w:t>
      </w:r>
      <w:r w:rsidR="00361DFF">
        <w:rPr>
          <w:rFonts w:ascii="Times New Roman" w:hAnsi="Times New Roman" w:cs="Times New Roman"/>
          <w:sz w:val="24"/>
          <w:szCs w:val="24"/>
        </w:rPr>
        <w:t>50,188</w:t>
      </w:r>
      <w:r>
        <w:rPr>
          <w:rFonts w:ascii="Times New Roman" w:hAnsi="Times New Roman" w:cs="Times New Roman"/>
          <w:sz w:val="24"/>
          <w:szCs w:val="24"/>
        </w:rPr>
        <w:t xml:space="preserve"> – </w:t>
      </w:r>
      <w:r w:rsidR="00361DFF">
        <w:rPr>
          <w:rFonts w:ascii="Times New Roman" w:hAnsi="Times New Roman" w:cs="Times New Roman"/>
          <w:sz w:val="24"/>
          <w:szCs w:val="24"/>
        </w:rPr>
        <w:t>16,060</w:t>
      </w:r>
      <w:r>
        <w:rPr>
          <w:rFonts w:ascii="Times New Roman" w:hAnsi="Times New Roman" w:cs="Times New Roman"/>
          <w:sz w:val="24"/>
          <w:szCs w:val="24"/>
        </w:rPr>
        <w:t xml:space="preserve">) training certifications for already trained workers/supervisors, as well as generate and maintain </w:t>
      </w:r>
      <w:r w:rsidR="00361DFF">
        <w:rPr>
          <w:rFonts w:ascii="Times New Roman" w:hAnsi="Times New Roman" w:cs="Times New Roman"/>
          <w:sz w:val="24"/>
          <w:szCs w:val="24"/>
        </w:rPr>
        <w:t>16,060</w:t>
      </w:r>
      <w:r>
        <w:rPr>
          <w:rFonts w:ascii="Times New Roman" w:hAnsi="Times New Roman" w:cs="Times New Roman"/>
          <w:sz w:val="24"/>
          <w:szCs w:val="24"/>
        </w:rPr>
        <w:t xml:space="preserve"> new training certifications for the worker/supervisors who require initial training, new training, or retraining.  Accordingly, OSHA estimates that a secretary at an hourly wage rate of $</w:t>
      </w:r>
      <w:r w:rsidR="00581CC8">
        <w:rPr>
          <w:rFonts w:ascii="Times New Roman" w:hAnsi="Times New Roman" w:cs="Times New Roman"/>
          <w:sz w:val="24"/>
          <w:szCs w:val="24"/>
        </w:rPr>
        <w:t>27.46</w:t>
      </w:r>
      <w:r>
        <w:rPr>
          <w:rFonts w:ascii="Times New Roman" w:hAnsi="Times New Roman" w:cs="Times New Roman"/>
          <w:sz w:val="24"/>
          <w:szCs w:val="24"/>
        </w:rPr>
        <w:t xml:space="preserve"> will take </w:t>
      </w:r>
      <w:r w:rsidR="00457920">
        <w:rPr>
          <w:rFonts w:ascii="Times New Roman" w:hAnsi="Times New Roman" w:cs="Times New Roman"/>
          <w:sz w:val="24"/>
          <w:szCs w:val="24"/>
        </w:rPr>
        <w:t>1</w:t>
      </w:r>
      <w:r>
        <w:rPr>
          <w:rFonts w:ascii="Times New Roman" w:hAnsi="Times New Roman" w:cs="Times New Roman"/>
          <w:sz w:val="24"/>
          <w:szCs w:val="24"/>
        </w:rPr>
        <w:t xml:space="preserve"> minute </w:t>
      </w:r>
      <w:r w:rsidR="00F60E15">
        <w:rPr>
          <w:rFonts w:ascii="Times New Roman" w:hAnsi="Times New Roman" w:cs="Times New Roman"/>
          <w:sz w:val="24"/>
          <w:szCs w:val="24"/>
        </w:rPr>
        <w:t xml:space="preserve">(1/60 hour) </w:t>
      </w:r>
      <w:r>
        <w:rPr>
          <w:rFonts w:ascii="Times New Roman" w:hAnsi="Times New Roman" w:cs="Times New Roman"/>
          <w:sz w:val="24"/>
          <w:szCs w:val="24"/>
        </w:rPr>
        <w:t>to maintain each existing (</w:t>
      </w:r>
      <w:r w:rsidR="00457920">
        <w:rPr>
          <w:rFonts w:ascii="Times New Roman" w:hAnsi="Times New Roman" w:cs="Times New Roman"/>
          <w:sz w:val="24"/>
          <w:szCs w:val="24"/>
        </w:rPr>
        <w:t>34,128</w:t>
      </w:r>
      <w:r>
        <w:rPr>
          <w:rFonts w:ascii="Times New Roman" w:hAnsi="Times New Roman" w:cs="Times New Roman"/>
          <w:sz w:val="24"/>
          <w:szCs w:val="24"/>
        </w:rPr>
        <w:t xml:space="preserve">) training certifications and </w:t>
      </w:r>
      <w:r w:rsidR="00457920">
        <w:rPr>
          <w:rFonts w:ascii="Times New Roman" w:hAnsi="Times New Roman" w:cs="Times New Roman"/>
          <w:sz w:val="24"/>
          <w:szCs w:val="24"/>
        </w:rPr>
        <w:t>3</w:t>
      </w:r>
      <w:r>
        <w:rPr>
          <w:rFonts w:ascii="Times New Roman" w:hAnsi="Times New Roman" w:cs="Times New Roman"/>
          <w:sz w:val="24"/>
          <w:szCs w:val="24"/>
        </w:rPr>
        <w:t xml:space="preserve"> minutes </w:t>
      </w:r>
      <w:r w:rsidR="00F60E15">
        <w:rPr>
          <w:rFonts w:ascii="Times New Roman" w:hAnsi="Times New Roman" w:cs="Times New Roman"/>
          <w:sz w:val="24"/>
          <w:szCs w:val="24"/>
        </w:rPr>
        <w:t xml:space="preserve">(3/60 hour) </w:t>
      </w:r>
      <w:r>
        <w:rPr>
          <w:rFonts w:ascii="Times New Roman" w:hAnsi="Times New Roman" w:cs="Times New Roman"/>
          <w:sz w:val="24"/>
          <w:szCs w:val="24"/>
        </w:rPr>
        <w:t>to generate and maintain each new (</w:t>
      </w:r>
      <w:r w:rsidR="00457920">
        <w:rPr>
          <w:rFonts w:ascii="Times New Roman" w:hAnsi="Times New Roman" w:cs="Times New Roman"/>
          <w:sz w:val="24"/>
          <w:szCs w:val="24"/>
        </w:rPr>
        <w:t>16,060</w:t>
      </w:r>
      <w:r>
        <w:rPr>
          <w:rFonts w:ascii="Times New Roman" w:hAnsi="Times New Roman" w:cs="Times New Roman"/>
          <w:sz w:val="24"/>
          <w:szCs w:val="24"/>
        </w:rPr>
        <w:t>) training certification.  The Agency believes that employers have developed the necessary training materials earlier and, as a result, do not need to revise this material during the period covered by this ICR.  Therefore, the Agency is taking no burden hours or cost for employers to develop or revise the training materials required by the Standard.  Therefore, the annual burden hours and cost of these paperwork requirements are:</w:t>
      </w:r>
    </w:p>
    <w:p w:rsidR="008B14DA" w:rsidP="0010440A" w:rsidRDefault="008B14DA" w14:paraId="20610320" w14:textId="77777777">
      <w:pPr>
        <w:spacing w:after="0" w:line="240" w:lineRule="auto"/>
        <w:rPr>
          <w:rFonts w:ascii="Times New Roman" w:hAnsi="Times New Roman" w:cs="Times New Roman"/>
          <w:sz w:val="24"/>
          <w:szCs w:val="24"/>
        </w:rPr>
      </w:pPr>
    </w:p>
    <w:p w:rsidR="003D2F48" w:rsidP="0010440A" w:rsidRDefault="003D2F48" w14:paraId="44C19C3F" w14:textId="4D359484">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w:t>
      </w:r>
      <w:r>
        <w:rPr>
          <w:rFonts w:ascii="Times New Roman" w:hAnsi="Times New Roman" w:cs="Times New Roman"/>
          <w:sz w:val="24"/>
          <w:szCs w:val="24"/>
        </w:rPr>
        <w:tab/>
      </w:r>
      <w:r w:rsidR="00457920">
        <w:rPr>
          <w:rFonts w:ascii="Times New Roman" w:hAnsi="Times New Roman" w:cs="Times New Roman"/>
          <w:sz w:val="24"/>
          <w:szCs w:val="24"/>
        </w:rPr>
        <w:t>34,128</w:t>
      </w:r>
      <w:r>
        <w:rPr>
          <w:rFonts w:ascii="Times New Roman" w:hAnsi="Times New Roman" w:cs="Times New Roman"/>
          <w:sz w:val="24"/>
          <w:szCs w:val="24"/>
        </w:rPr>
        <w:t xml:space="preserve"> existing training certifications x </w:t>
      </w:r>
      <w:r w:rsidR="00EC42C4">
        <w:rPr>
          <w:rFonts w:ascii="Times New Roman" w:hAnsi="Times New Roman" w:cs="Times New Roman"/>
          <w:sz w:val="24"/>
          <w:szCs w:val="24"/>
        </w:rPr>
        <w:t>1/60</w:t>
      </w:r>
      <w:r>
        <w:rPr>
          <w:rFonts w:ascii="Times New Roman" w:hAnsi="Times New Roman" w:cs="Times New Roman"/>
          <w:sz w:val="24"/>
          <w:szCs w:val="24"/>
        </w:rPr>
        <w:t xml:space="preserve"> hour = </w:t>
      </w:r>
      <w:r w:rsidR="00EC42C4">
        <w:rPr>
          <w:rFonts w:ascii="Times New Roman" w:hAnsi="Times New Roman" w:cs="Times New Roman"/>
          <w:sz w:val="24"/>
          <w:szCs w:val="24"/>
        </w:rPr>
        <w:t>569</w:t>
      </w:r>
    </w:p>
    <w:p w:rsidR="003D2F48" w:rsidP="0010440A" w:rsidRDefault="003D2F48" w14:paraId="5293EA83" w14:textId="675120FD">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42C4">
        <w:rPr>
          <w:rFonts w:ascii="Times New Roman" w:hAnsi="Times New Roman" w:cs="Times New Roman"/>
          <w:sz w:val="24"/>
          <w:szCs w:val="24"/>
        </w:rPr>
        <w:t>569</w:t>
      </w:r>
      <w:r>
        <w:rPr>
          <w:rFonts w:ascii="Times New Roman" w:hAnsi="Times New Roman" w:cs="Times New Roman"/>
          <w:sz w:val="24"/>
          <w:szCs w:val="24"/>
        </w:rPr>
        <w:t xml:space="preserve"> hours x $</w:t>
      </w:r>
      <w:r w:rsidR="006F661C">
        <w:rPr>
          <w:rFonts w:ascii="Times New Roman" w:hAnsi="Times New Roman" w:cs="Times New Roman"/>
          <w:sz w:val="24"/>
          <w:szCs w:val="24"/>
        </w:rPr>
        <w:t>27.46</w:t>
      </w:r>
      <w:r>
        <w:rPr>
          <w:rFonts w:ascii="Times New Roman" w:hAnsi="Times New Roman" w:cs="Times New Roman"/>
          <w:sz w:val="24"/>
          <w:szCs w:val="24"/>
        </w:rPr>
        <w:t xml:space="preserve"> = $</w:t>
      </w:r>
      <w:r w:rsidR="00581CC8">
        <w:rPr>
          <w:rFonts w:ascii="Times New Roman" w:hAnsi="Times New Roman" w:cs="Times New Roman"/>
          <w:sz w:val="24"/>
          <w:szCs w:val="24"/>
        </w:rPr>
        <w:t>15,625</w:t>
      </w:r>
    </w:p>
    <w:p w:rsidR="00EC42C4" w:rsidP="0010440A" w:rsidRDefault="00EC42C4" w14:paraId="0F988453" w14:textId="77777777">
      <w:pPr>
        <w:spacing w:after="0" w:line="240" w:lineRule="auto"/>
        <w:ind w:left="720"/>
        <w:rPr>
          <w:rFonts w:ascii="Times New Roman" w:hAnsi="Times New Roman" w:cs="Times New Roman"/>
          <w:sz w:val="24"/>
          <w:szCs w:val="24"/>
        </w:rPr>
      </w:pPr>
    </w:p>
    <w:p w:rsidR="003D2F48" w:rsidP="0010440A" w:rsidRDefault="003D2F48" w14:paraId="69192ABC" w14:textId="754A7A6F">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r>
      <w:r w:rsidR="00EC42C4">
        <w:rPr>
          <w:rFonts w:ascii="Times New Roman" w:hAnsi="Times New Roman" w:cs="Times New Roman"/>
          <w:sz w:val="24"/>
          <w:szCs w:val="24"/>
        </w:rPr>
        <w:t>16,060</w:t>
      </w:r>
      <w:r>
        <w:rPr>
          <w:rFonts w:ascii="Times New Roman" w:hAnsi="Times New Roman" w:cs="Times New Roman"/>
          <w:sz w:val="24"/>
          <w:szCs w:val="24"/>
        </w:rPr>
        <w:t xml:space="preserve"> new training certifications x </w:t>
      </w:r>
      <w:r w:rsidR="00457920">
        <w:rPr>
          <w:rFonts w:ascii="Times New Roman" w:hAnsi="Times New Roman" w:cs="Times New Roman"/>
          <w:sz w:val="24"/>
          <w:szCs w:val="24"/>
        </w:rPr>
        <w:t>3/60</w:t>
      </w:r>
      <w:r>
        <w:rPr>
          <w:rFonts w:ascii="Times New Roman" w:hAnsi="Times New Roman" w:cs="Times New Roman"/>
          <w:sz w:val="24"/>
          <w:szCs w:val="24"/>
        </w:rPr>
        <w:t xml:space="preserve"> hour = </w:t>
      </w:r>
      <w:r w:rsidR="00EC42C4">
        <w:rPr>
          <w:rFonts w:ascii="Times New Roman" w:hAnsi="Times New Roman" w:cs="Times New Roman"/>
          <w:sz w:val="24"/>
          <w:szCs w:val="24"/>
        </w:rPr>
        <w:t>803</w:t>
      </w:r>
    </w:p>
    <w:p w:rsidR="003D2F48" w:rsidP="0010440A" w:rsidRDefault="003D2F48" w14:paraId="05894C30" w14:textId="0FE523AF">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Cost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9D7C0F">
        <w:rPr>
          <w:rFonts w:ascii="Times New Roman" w:hAnsi="Times New Roman" w:cs="Times New Roman"/>
          <w:sz w:val="24"/>
          <w:szCs w:val="24"/>
        </w:rPr>
        <w:tab/>
      </w:r>
      <w:r w:rsidR="00EC42C4">
        <w:rPr>
          <w:rFonts w:ascii="Times New Roman" w:hAnsi="Times New Roman" w:cs="Times New Roman"/>
          <w:sz w:val="24"/>
          <w:szCs w:val="24"/>
        </w:rPr>
        <w:t>803</w:t>
      </w:r>
      <w:r>
        <w:rPr>
          <w:rFonts w:ascii="Times New Roman" w:hAnsi="Times New Roman" w:cs="Times New Roman"/>
          <w:sz w:val="24"/>
          <w:szCs w:val="24"/>
        </w:rPr>
        <w:t xml:space="preserve"> hours x $</w:t>
      </w:r>
      <w:r w:rsidR="006F661C">
        <w:rPr>
          <w:rFonts w:ascii="Times New Roman" w:hAnsi="Times New Roman" w:cs="Times New Roman"/>
          <w:sz w:val="24"/>
          <w:szCs w:val="24"/>
        </w:rPr>
        <w:t>27.46</w:t>
      </w:r>
      <w:r>
        <w:rPr>
          <w:rFonts w:ascii="Times New Roman" w:hAnsi="Times New Roman" w:cs="Times New Roman"/>
          <w:sz w:val="24"/>
          <w:szCs w:val="24"/>
        </w:rPr>
        <w:t xml:space="preserve"> = $</w:t>
      </w:r>
      <w:r w:rsidR="006E10FB">
        <w:rPr>
          <w:rFonts w:ascii="Times New Roman" w:hAnsi="Times New Roman" w:cs="Times New Roman"/>
          <w:sz w:val="24"/>
          <w:szCs w:val="24"/>
        </w:rPr>
        <w:t>22,050</w:t>
      </w:r>
    </w:p>
    <w:p w:rsidR="008B14DA" w:rsidP="0010440A" w:rsidRDefault="008B14DA" w14:paraId="7F3C7166" w14:textId="77777777">
      <w:pPr>
        <w:spacing w:after="0" w:line="240" w:lineRule="auto"/>
        <w:ind w:left="720"/>
        <w:rPr>
          <w:rFonts w:ascii="Times New Roman" w:hAnsi="Times New Roman" w:cs="Times New Roman"/>
          <w:sz w:val="24"/>
          <w:szCs w:val="24"/>
        </w:rPr>
      </w:pPr>
    </w:p>
    <w:p w:rsidR="003D2F48" w:rsidP="0010440A" w:rsidRDefault="003D2F48" w14:paraId="4CD75D73"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  Disclosure of Training Certification Records</w:t>
      </w:r>
    </w:p>
    <w:p w:rsidR="00BE789E" w:rsidP="0010440A" w:rsidRDefault="00BE789E" w14:paraId="7D28E74E" w14:textId="77777777">
      <w:pPr>
        <w:spacing w:after="0" w:line="240" w:lineRule="auto"/>
        <w:rPr>
          <w:rFonts w:ascii="Times New Roman" w:hAnsi="Times New Roman" w:cs="Times New Roman"/>
          <w:sz w:val="24"/>
          <w:szCs w:val="24"/>
        </w:rPr>
      </w:pPr>
    </w:p>
    <w:p w:rsidR="00E97964" w:rsidP="0010440A" w:rsidRDefault="00EC42C4" w14:paraId="253E9612" w14:textId="77777777">
      <w:pPr>
        <w:overflowPunct/>
        <w:autoSpaceDE w:val="0"/>
        <w:autoSpaceDN w:val="0"/>
        <w:adjustRightInd/>
        <w:spacing w:after="0" w:line="240" w:lineRule="auto"/>
        <w:ind w:right="288"/>
        <w:rPr>
          <w:rFonts w:ascii="Times New Roman" w:hAnsi="Times New Roman" w:cs="Times New Roman"/>
          <w:bCs/>
          <w:kern w:val="0"/>
          <w:sz w:val="24"/>
          <w:szCs w:val="24"/>
        </w:rPr>
      </w:pPr>
      <w:r>
        <w:rPr>
          <w:rFonts w:ascii="Times New Roman" w:hAnsi="Times New Roman" w:cs="Times New Roman"/>
          <w:bCs/>
          <w:kern w:val="0"/>
          <w:sz w:val="24"/>
          <w:szCs w:val="24"/>
        </w:rPr>
        <w:t>The Agency has no annualized cost associated with enforcing the Standard.  OSHA would only re</w:t>
      </w:r>
      <w:bookmarkStart w:name="_GoBack" w:id="0"/>
      <w:bookmarkEnd w:id="0"/>
      <w:r>
        <w:rPr>
          <w:rFonts w:ascii="Times New Roman" w:hAnsi="Times New Roman" w:cs="Times New Roman"/>
          <w:bCs/>
          <w:kern w:val="0"/>
          <w:sz w:val="24"/>
          <w:szCs w:val="24"/>
        </w:rPr>
        <w:t>view records in the context of an investigation of a particular employer to determine compliance with the Standard.  These activities are outside the scope of the PRA.  See 5 CFR 1320.4(a</w:t>
      </w:r>
      <w:proofErr w:type="gramStart"/>
      <w:r>
        <w:rPr>
          <w:rFonts w:ascii="Times New Roman" w:hAnsi="Times New Roman" w:cs="Times New Roman"/>
          <w:bCs/>
          <w:kern w:val="0"/>
          <w:sz w:val="24"/>
          <w:szCs w:val="24"/>
        </w:rPr>
        <w:t>)(</w:t>
      </w:r>
      <w:proofErr w:type="gramEnd"/>
      <w:r>
        <w:rPr>
          <w:rFonts w:ascii="Times New Roman" w:hAnsi="Times New Roman" w:cs="Times New Roman"/>
          <w:bCs/>
          <w:kern w:val="0"/>
          <w:sz w:val="24"/>
          <w:szCs w:val="24"/>
        </w:rPr>
        <w:t xml:space="preserve">2). </w:t>
      </w:r>
    </w:p>
    <w:p w:rsidR="00E97964" w:rsidP="0010440A" w:rsidRDefault="00E97964" w14:paraId="6D0FF865" w14:textId="77777777">
      <w:pPr>
        <w:overflowPunct/>
        <w:autoSpaceDE w:val="0"/>
        <w:autoSpaceDN w:val="0"/>
        <w:adjustRightInd/>
        <w:spacing w:after="0" w:line="240" w:lineRule="auto"/>
        <w:ind w:right="288"/>
        <w:rPr>
          <w:rFonts w:ascii="Times New Roman" w:hAnsi="Times New Roman" w:cs="Times New Roman"/>
          <w:bCs/>
          <w:kern w:val="0"/>
          <w:sz w:val="24"/>
          <w:szCs w:val="24"/>
        </w:rPr>
      </w:pPr>
    </w:p>
    <w:p w:rsidR="006536DA" w:rsidP="00E97964" w:rsidRDefault="006536DA" w14:paraId="18B91BF3" w14:textId="77777777">
      <w:pPr>
        <w:widowControl/>
        <w:overflowPunct/>
        <w:adjustRightInd/>
        <w:spacing w:after="200" w:line="276" w:lineRule="auto"/>
        <w:rPr>
          <w:rFonts w:ascii="Times New Roman" w:hAnsi="Times New Roman" w:cs="Times New Roman"/>
          <w:bCs/>
          <w:kern w:val="0"/>
          <w:sz w:val="24"/>
          <w:szCs w:val="24"/>
        </w:rPr>
        <w:sectPr w:rsidR="006536DA" w:rsidSect="00581395">
          <w:headerReference w:type="default" r:id="rId13"/>
          <w:footerReference w:type="default" r:id="rId14"/>
          <w:headerReference w:type="first" r:id="rId15"/>
          <w:footerReference w:type="first" r:id="rId16"/>
          <w:pgSz w:w="12240" w:h="15840" w:code="1"/>
          <w:pgMar w:top="1440" w:right="1440" w:bottom="1440" w:left="1440" w:header="576" w:footer="576" w:gutter="0"/>
          <w:pgNumType w:start="1" w:chapStyle="1"/>
          <w:cols w:space="720"/>
          <w:noEndnote/>
          <w:titlePg/>
          <w:docGrid w:linePitch="299"/>
        </w:sectPr>
      </w:pPr>
    </w:p>
    <w:p w:rsidR="00E97964" w:rsidP="0010440A" w:rsidRDefault="00E97964" w14:paraId="10720A6E" w14:textId="77777777">
      <w:pPr>
        <w:widowControl/>
        <w:overflowPunct/>
        <w:adjustRightInd/>
        <w:spacing w:after="200" w:line="276" w:lineRule="auto"/>
        <w:rPr>
          <w:rFonts w:ascii="Times New Roman" w:hAnsi="Times New Roman" w:cs="Times New Roman"/>
          <w:bCs/>
          <w:kern w:val="0"/>
          <w:sz w:val="24"/>
          <w:szCs w:val="24"/>
        </w:rPr>
      </w:pPr>
    </w:p>
    <w:tbl>
      <w:tblPr>
        <w:tblStyle w:val="TableGrid"/>
        <w:tblW w:w="0" w:type="auto"/>
        <w:jc w:val="center"/>
        <w:tblLook w:val="04A0" w:firstRow="1" w:lastRow="0" w:firstColumn="1" w:lastColumn="0" w:noHBand="0" w:noVBand="1"/>
      </w:tblPr>
      <w:tblGrid>
        <w:gridCol w:w="1952"/>
        <w:gridCol w:w="1450"/>
        <w:gridCol w:w="1523"/>
        <w:gridCol w:w="1451"/>
        <w:gridCol w:w="1389"/>
        <w:gridCol w:w="1354"/>
        <w:gridCol w:w="1282"/>
        <w:gridCol w:w="1266"/>
        <w:gridCol w:w="1283"/>
      </w:tblGrid>
      <w:tr w:rsidR="006536DA" w:rsidTr="0010440A" w14:paraId="58FCBA1C" w14:textId="77777777">
        <w:trPr>
          <w:trHeight w:val="368"/>
          <w:jc w:val="center"/>
        </w:trPr>
        <w:tc>
          <w:tcPr>
            <w:tcW w:w="13176" w:type="dxa"/>
            <w:gridSpan w:val="9"/>
            <w:shd w:val="clear" w:color="auto" w:fill="CCC0D9" w:themeFill="accent4" w:themeFillTint="66"/>
            <w:vAlign w:val="center"/>
          </w:tcPr>
          <w:p w:rsidRPr="0010440A" w:rsidR="006536DA" w:rsidP="0010440A" w:rsidRDefault="006536DA" w14:paraId="0206C694" w14:textId="6496B6EE">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 xml:space="preserve">Table </w:t>
            </w:r>
            <w:r w:rsidR="00B41D5E">
              <w:rPr>
                <w:rFonts w:ascii="Times New Roman" w:hAnsi="Times New Roman" w:cs="Times New Roman"/>
                <w:b/>
                <w:bCs/>
                <w:kern w:val="0"/>
                <w:sz w:val="24"/>
                <w:szCs w:val="24"/>
              </w:rPr>
              <w:t>2</w:t>
            </w:r>
            <w:r>
              <w:rPr>
                <w:rFonts w:ascii="Times New Roman" w:hAnsi="Times New Roman" w:cs="Times New Roman"/>
                <w:b/>
                <w:bCs/>
                <w:kern w:val="0"/>
                <w:sz w:val="24"/>
                <w:szCs w:val="24"/>
              </w:rPr>
              <w:t xml:space="preserve">: Estimated Annualized Respondent Hour and Cost Burden </w:t>
            </w:r>
          </w:p>
        </w:tc>
      </w:tr>
      <w:tr w:rsidRPr="008F6BCF" w:rsidR="00A17047" w:rsidTr="0010440A" w14:paraId="52D30750" w14:textId="77777777">
        <w:trPr>
          <w:jc w:val="center"/>
        </w:trPr>
        <w:tc>
          <w:tcPr>
            <w:tcW w:w="1970" w:type="dxa"/>
            <w:shd w:val="clear" w:color="auto" w:fill="E5DFEC" w:themeFill="accent4" w:themeFillTint="33"/>
            <w:vAlign w:val="center"/>
          </w:tcPr>
          <w:p w:rsidRPr="0010440A" w:rsidR="006536DA" w:rsidP="0010440A" w:rsidRDefault="006536DA" w14:paraId="727CB3AA" w14:textId="77777777">
            <w:pPr>
              <w:spacing w:after="0" w:line="240" w:lineRule="auto"/>
              <w:jc w:val="center"/>
              <w:rPr>
                <w:rFonts w:ascii="Times New Roman" w:hAnsi="Times New Roman" w:cs="Times New Roman"/>
                <w:b/>
                <w:bCs/>
                <w:kern w:val="0"/>
                <w:sz w:val="24"/>
                <w:szCs w:val="24"/>
              </w:rPr>
            </w:pPr>
            <w:r w:rsidRPr="008F4A0B">
              <w:rPr>
                <w:rFonts w:ascii="Times New Roman" w:hAnsi="Times New Roman" w:cs="Times New Roman"/>
                <w:b/>
                <w:bCs/>
                <w:kern w:val="0"/>
                <w:sz w:val="24"/>
                <w:szCs w:val="24"/>
              </w:rPr>
              <w:t>Information Collection Requirements</w:t>
            </w:r>
          </w:p>
        </w:tc>
        <w:tc>
          <w:tcPr>
            <w:tcW w:w="1453" w:type="dxa"/>
            <w:shd w:val="clear" w:color="auto" w:fill="E5DFEC" w:themeFill="accent4" w:themeFillTint="33"/>
            <w:vAlign w:val="center"/>
          </w:tcPr>
          <w:p w:rsidRPr="0010440A" w:rsidR="006536DA" w:rsidP="0010440A" w:rsidRDefault="006536DA" w14:paraId="35057C64" w14:textId="77777777">
            <w:pPr>
              <w:spacing w:after="0" w:line="240" w:lineRule="auto"/>
              <w:jc w:val="center"/>
              <w:rPr>
                <w:rFonts w:ascii="Times New Roman" w:hAnsi="Times New Roman" w:cs="Times New Roman"/>
                <w:b/>
                <w:bCs/>
                <w:kern w:val="0"/>
                <w:sz w:val="24"/>
                <w:szCs w:val="24"/>
              </w:rPr>
            </w:pPr>
            <w:r w:rsidRPr="0010440A">
              <w:rPr>
                <w:rFonts w:ascii="Times New Roman" w:hAnsi="Times New Roman" w:cs="Times New Roman"/>
                <w:b/>
                <w:bCs/>
                <w:kern w:val="0"/>
                <w:sz w:val="24"/>
                <w:szCs w:val="24"/>
              </w:rPr>
              <w:t>Type of Respondent</w:t>
            </w:r>
          </w:p>
        </w:tc>
        <w:tc>
          <w:tcPr>
            <w:tcW w:w="1523" w:type="dxa"/>
            <w:shd w:val="clear" w:color="auto" w:fill="E5DFEC" w:themeFill="accent4" w:themeFillTint="33"/>
            <w:vAlign w:val="center"/>
          </w:tcPr>
          <w:p w:rsidRPr="0010440A" w:rsidR="006536DA" w:rsidP="0010440A" w:rsidRDefault="006536DA" w14:paraId="2E81D714"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No. of Respondents</w:t>
            </w:r>
          </w:p>
        </w:tc>
        <w:tc>
          <w:tcPr>
            <w:tcW w:w="1455" w:type="dxa"/>
            <w:shd w:val="clear" w:color="auto" w:fill="E5DFEC" w:themeFill="accent4" w:themeFillTint="33"/>
            <w:vAlign w:val="center"/>
          </w:tcPr>
          <w:p w:rsidRPr="0010440A" w:rsidR="006536DA" w:rsidP="0010440A" w:rsidRDefault="006536DA" w14:paraId="4624F06F"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of Responses per Respondent </w:t>
            </w:r>
          </w:p>
        </w:tc>
        <w:tc>
          <w:tcPr>
            <w:tcW w:w="1409" w:type="dxa"/>
            <w:shd w:val="clear" w:color="auto" w:fill="E5DFEC" w:themeFill="accent4" w:themeFillTint="33"/>
            <w:vAlign w:val="center"/>
          </w:tcPr>
          <w:p w:rsidRPr="0010440A" w:rsidR="006536DA" w:rsidP="0010440A" w:rsidRDefault="006536DA" w14:paraId="1228A7D2"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Total No. of Responses</w:t>
            </w:r>
          </w:p>
        </w:tc>
        <w:tc>
          <w:tcPr>
            <w:tcW w:w="1384" w:type="dxa"/>
            <w:shd w:val="clear" w:color="auto" w:fill="E5DFEC" w:themeFill="accent4" w:themeFillTint="33"/>
            <w:vAlign w:val="center"/>
          </w:tcPr>
          <w:p w:rsidRPr="0010440A" w:rsidR="006536DA" w:rsidP="0010440A" w:rsidRDefault="006536DA" w14:paraId="3CBAE06E"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Avg. Burden per Response (In Hrs.)</w:t>
            </w:r>
          </w:p>
        </w:tc>
        <w:tc>
          <w:tcPr>
            <w:tcW w:w="1331" w:type="dxa"/>
            <w:shd w:val="clear" w:color="auto" w:fill="E5DFEC" w:themeFill="accent4" w:themeFillTint="33"/>
            <w:vAlign w:val="center"/>
          </w:tcPr>
          <w:p w:rsidRPr="0010440A" w:rsidR="006536DA" w:rsidP="0010440A" w:rsidRDefault="006536DA" w14:paraId="6840BE31"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Total Burden Hours</w:t>
            </w:r>
          </w:p>
        </w:tc>
        <w:tc>
          <w:tcPr>
            <w:tcW w:w="1320" w:type="dxa"/>
            <w:shd w:val="clear" w:color="auto" w:fill="E5DFEC" w:themeFill="accent4" w:themeFillTint="33"/>
            <w:vAlign w:val="center"/>
          </w:tcPr>
          <w:p w:rsidRPr="0010440A" w:rsidR="006536DA" w:rsidP="0010440A" w:rsidRDefault="006536DA" w14:paraId="16CD3CAA"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Avg. Hourly Wage Rate</w:t>
            </w:r>
          </w:p>
        </w:tc>
        <w:tc>
          <w:tcPr>
            <w:tcW w:w="1331" w:type="dxa"/>
            <w:shd w:val="clear" w:color="auto" w:fill="E5DFEC" w:themeFill="accent4" w:themeFillTint="33"/>
            <w:vAlign w:val="center"/>
          </w:tcPr>
          <w:p w:rsidRPr="0010440A" w:rsidR="006536DA" w:rsidP="0010440A" w:rsidRDefault="006536DA" w14:paraId="5A9CF795"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 xml:space="preserve">Total Burden Costs </w:t>
            </w:r>
          </w:p>
        </w:tc>
      </w:tr>
      <w:tr w:rsidRPr="008F6BCF" w:rsidR="00A17047" w:rsidTr="0010440A" w14:paraId="308CCE95" w14:textId="77777777">
        <w:trPr>
          <w:jc w:val="center"/>
        </w:trPr>
        <w:tc>
          <w:tcPr>
            <w:tcW w:w="1970" w:type="dxa"/>
            <w:vAlign w:val="center"/>
          </w:tcPr>
          <w:p w:rsidRPr="008F4A0B" w:rsidR="00A17047" w:rsidP="0010440A" w:rsidRDefault="00A17047" w14:paraId="04CC6F64" w14:textId="77777777">
            <w:pPr>
              <w:spacing w:after="0" w:line="240" w:lineRule="auto"/>
              <w:rPr>
                <w:rFonts w:ascii="Times New Roman" w:hAnsi="Times New Roman" w:cs="Times New Roman"/>
                <w:bCs/>
                <w:kern w:val="0"/>
                <w:sz w:val="24"/>
                <w:szCs w:val="24"/>
              </w:rPr>
            </w:pPr>
            <w:r w:rsidRPr="008F6BCF">
              <w:rPr>
                <w:rFonts w:ascii="Times New Roman" w:hAnsi="Times New Roman" w:cs="Times New Roman"/>
                <w:b/>
                <w:bCs/>
                <w:szCs w:val="24"/>
              </w:rPr>
              <w:t xml:space="preserve">(A) </w:t>
            </w:r>
            <w:r w:rsidRPr="0010440A">
              <w:rPr>
                <w:rFonts w:ascii="Times New Roman" w:hAnsi="Times New Roman" w:cs="Times New Roman"/>
                <w:b/>
                <w:bCs/>
                <w:szCs w:val="24"/>
              </w:rPr>
              <w:t>Maintenance and Operating Instructions (§§ 1910.266(f)(1)(iii) and (g)(3))</w:t>
            </w:r>
          </w:p>
        </w:tc>
        <w:tc>
          <w:tcPr>
            <w:tcW w:w="1453" w:type="dxa"/>
            <w:vAlign w:val="bottom"/>
          </w:tcPr>
          <w:p w:rsidRPr="008F4A0B" w:rsidR="00A17047" w:rsidP="00A17047" w:rsidRDefault="00A17047" w14:paraId="31DA1550"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Employer (Operator)</w:t>
            </w:r>
          </w:p>
        </w:tc>
        <w:tc>
          <w:tcPr>
            <w:tcW w:w="1523" w:type="dxa"/>
            <w:vAlign w:val="bottom"/>
          </w:tcPr>
          <w:p w:rsidRPr="008F4A0B" w:rsidR="00A17047" w:rsidP="00A17047" w:rsidRDefault="00A17047" w14:paraId="16706A91"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808</w:t>
            </w:r>
          </w:p>
        </w:tc>
        <w:tc>
          <w:tcPr>
            <w:tcW w:w="1455" w:type="dxa"/>
            <w:vAlign w:val="bottom"/>
          </w:tcPr>
          <w:p w:rsidRPr="008F4A0B" w:rsidR="00A17047" w:rsidP="00A17047" w:rsidRDefault="00A17047" w14:paraId="71B5019B"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w:t>
            </w:r>
          </w:p>
        </w:tc>
        <w:tc>
          <w:tcPr>
            <w:tcW w:w="1409" w:type="dxa"/>
            <w:vAlign w:val="bottom"/>
          </w:tcPr>
          <w:p w:rsidRPr="008F4A0B" w:rsidR="00A17047" w:rsidP="00A17047" w:rsidRDefault="00A17047" w14:paraId="480B9BB5"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808</w:t>
            </w:r>
          </w:p>
        </w:tc>
        <w:tc>
          <w:tcPr>
            <w:tcW w:w="1384" w:type="dxa"/>
            <w:vAlign w:val="bottom"/>
          </w:tcPr>
          <w:p w:rsidRPr="008F4A0B" w:rsidR="00A17047" w:rsidP="00A17047" w:rsidRDefault="00A17047" w14:paraId="00614719"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10/60</w:t>
            </w:r>
          </w:p>
        </w:tc>
        <w:tc>
          <w:tcPr>
            <w:tcW w:w="1331" w:type="dxa"/>
            <w:vAlign w:val="bottom"/>
          </w:tcPr>
          <w:p w:rsidRPr="008F4A0B" w:rsidR="00A17047" w:rsidP="00A17047" w:rsidRDefault="00A17047" w14:paraId="2EF1437A"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135</w:t>
            </w:r>
          </w:p>
        </w:tc>
        <w:tc>
          <w:tcPr>
            <w:tcW w:w="1320" w:type="dxa"/>
            <w:vAlign w:val="bottom"/>
          </w:tcPr>
          <w:p w:rsidRPr="008F4A0B" w:rsidR="00A17047" w:rsidP="00A17047" w:rsidRDefault="009F6D20" w14:paraId="78B67E67"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$29.48</w:t>
            </w:r>
          </w:p>
        </w:tc>
        <w:tc>
          <w:tcPr>
            <w:tcW w:w="1331" w:type="dxa"/>
            <w:vAlign w:val="bottom"/>
          </w:tcPr>
          <w:p w:rsidRPr="008F4A0B" w:rsidR="00A17047" w:rsidP="00A17047" w:rsidRDefault="009F6D20" w14:paraId="0C1C30E7"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$3,980</w:t>
            </w:r>
          </w:p>
        </w:tc>
      </w:tr>
      <w:tr w:rsidRPr="008F6BCF" w:rsidR="006C73FC" w:rsidTr="006C73FC" w14:paraId="5C36AD7E" w14:textId="77777777">
        <w:trPr>
          <w:trHeight w:val="503"/>
          <w:jc w:val="center"/>
        </w:trPr>
        <w:tc>
          <w:tcPr>
            <w:tcW w:w="1970" w:type="dxa"/>
            <w:vMerge w:val="restart"/>
            <w:vAlign w:val="center"/>
          </w:tcPr>
          <w:p w:rsidRPr="008F4A0B" w:rsidR="006C73FC" w:rsidP="00A17047" w:rsidRDefault="006C73FC" w14:paraId="24DDFA9B" w14:textId="77777777">
            <w:pPr>
              <w:spacing w:after="0" w:line="240" w:lineRule="auto"/>
              <w:rPr>
                <w:rFonts w:ascii="Times New Roman" w:hAnsi="Times New Roman" w:cs="Times New Roman"/>
                <w:b/>
                <w:bCs/>
                <w:szCs w:val="24"/>
              </w:rPr>
            </w:pPr>
            <w:r w:rsidRPr="000646B6">
              <w:rPr>
                <w:rFonts w:ascii="Times New Roman" w:hAnsi="Times New Roman" w:cs="Times New Roman"/>
                <w:b/>
                <w:bCs/>
                <w:szCs w:val="24"/>
              </w:rPr>
              <w:t>(B) Certification of Training (§ 1910.266(</w:t>
            </w:r>
            <w:proofErr w:type="spellStart"/>
            <w:r w:rsidRPr="000646B6">
              <w:rPr>
                <w:rFonts w:ascii="Times New Roman" w:hAnsi="Times New Roman" w:cs="Times New Roman"/>
                <w:b/>
                <w:bCs/>
                <w:szCs w:val="24"/>
              </w:rPr>
              <w:t>i</w:t>
            </w:r>
            <w:proofErr w:type="spellEnd"/>
            <w:r w:rsidRPr="000646B6">
              <w:rPr>
                <w:rFonts w:ascii="Times New Roman" w:hAnsi="Times New Roman" w:cs="Times New Roman"/>
                <w:b/>
                <w:bCs/>
                <w:szCs w:val="24"/>
              </w:rPr>
              <w:t>)(10)(</w:t>
            </w:r>
            <w:proofErr w:type="spellStart"/>
            <w:r w:rsidRPr="000646B6">
              <w:rPr>
                <w:rFonts w:ascii="Times New Roman" w:hAnsi="Times New Roman" w:cs="Times New Roman"/>
                <w:b/>
                <w:bCs/>
                <w:szCs w:val="24"/>
              </w:rPr>
              <w:t>i</w:t>
            </w:r>
            <w:proofErr w:type="spellEnd"/>
            <w:r w:rsidRPr="000646B6">
              <w:rPr>
                <w:rFonts w:ascii="Times New Roman" w:hAnsi="Times New Roman" w:cs="Times New Roman"/>
                <w:b/>
                <w:bCs/>
                <w:szCs w:val="24"/>
              </w:rPr>
              <w:t>) and (</w:t>
            </w:r>
            <w:proofErr w:type="spellStart"/>
            <w:r w:rsidRPr="000646B6">
              <w:rPr>
                <w:rFonts w:ascii="Times New Roman" w:hAnsi="Times New Roman" w:cs="Times New Roman"/>
                <w:b/>
                <w:bCs/>
                <w:szCs w:val="24"/>
              </w:rPr>
              <w:t>i</w:t>
            </w:r>
            <w:proofErr w:type="spellEnd"/>
            <w:r w:rsidRPr="000646B6">
              <w:rPr>
                <w:rFonts w:ascii="Times New Roman" w:hAnsi="Times New Roman" w:cs="Times New Roman"/>
                <w:b/>
                <w:bCs/>
                <w:szCs w:val="24"/>
              </w:rPr>
              <w:t>)(10)(ii))</w:t>
            </w:r>
          </w:p>
        </w:tc>
        <w:tc>
          <w:tcPr>
            <w:tcW w:w="1453" w:type="dxa"/>
            <w:vMerge w:val="restart"/>
            <w:vAlign w:val="bottom"/>
          </w:tcPr>
          <w:p w:rsidR="006C73FC" w:rsidP="00A17047" w:rsidRDefault="006C73FC" w14:paraId="72E3C2EE"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Employer (Secretary)</w:t>
            </w:r>
          </w:p>
        </w:tc>
        <w:tc>
          <w:tcPr>
            <w:tcW w:w="1523" w:type="dxa"/>
            <w:vAlign w:val="bottom"/>
          </w:tcPr>
          <w:p w:rsidR="006C73FC" w:rsidP="00A17047" w:rsidRDefault="006C73FC" w14:paraId="26BA0E43"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8,076</w:t>
            </w:r>
          </w:p>
        </w:tc>
        <w:tc>
          <w:tcPr>
            <w:tcW w:w="1455" w:type="dxa"/>
            <w:vAlign w:val="bottom"/>
          </w:tcPr>
          <w:p w:rsidR="006C73FC" w:rsidP="00A17047" w:rsidRDefault="006C73FC" w14:paraId="4AC1E619"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4.22585</w:t>
            </w:r>
          </w:p>
        </w:tc>
        <w:tc>
          <w:tcPr>
            <w:tcW w:w="1409" w:type="dxa"/>
            <w:vAlign w:val="bottom"/>
          </w:tcPr>
          <w:p w:rsidR="006C73FC" w:rsidP="00A17047" w:rsidRDefault="006C73FC" w14:paraId="0BA52B0C"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34,128</w:t>
            </w:r>
          </w:p>
        </w:tc>
        <w:tc>
          <w:tcPr>
            <w:tcW w:w="1384" w:type="dxa"/>
            <w:vAlign w:val="bottom"/>
          </w:tcPr>
          <w:p w:rsidR="006C73FC" w:rsidP="00A17047" w:rsidRDefault="006C73FC" w14:paraId="5A71164B"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1/60</w:t>
            </w:r>
          </w:p>
        </w:tc>
        <w:tc>
          <w:tcPr>
            <w:tcW w:w="1331" w:type="dxa"/>
            <w:vAlign w:val="bottom"/>
          </w:tcPr>
          <w:p w:rsidR="006C73FC" w:rsidP="00A17047" w:rsidRDefault="006C73FC" w14:paraId="3F711828"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569</w:t>
            </w:r>
          </w:p>
        </w:tc>
        <w:tc>
          <w:tcPr>
            <w:tcW w:w="1320" w:type="dxa"/>
            <w:vAlign w:val="bottom"/>
          </w:tcPr>
          <w:p w:rsidR="006C73FC" w:rsidP="00A17047" w:rsidRDefault="009F6D20" w14:paraId="70B8995C"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$27.46</w:t>
            </w:r>
          </w:p>
        </w:tc>
        <w:tc>
          <w:tcPr>
            <w:tcW w:w="1331" w:type="dxa"/>
            <w:vAlign w:val="bottom"/>
          </w:tcPr>
          <w:p w:rsidR="006C73FC" w:rsidP="00A17047" w:rsidRDefault="009F6D20" w14:paraId="74E04EA9"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$15,625</w:t>
            </w:r>
          </w:p>
        </w:tc>
      </w:tr>
      <w:tr w:rsidRPr="008F6BCF" w:rsidR="006C73FC" w:rsidTr="00A17047" w14:paraId="3E2CF663" w14:textId="77777777">
        <w:trPr>
          <w:trHeight w:val="502"/>
          <w:jc w:val="center"/>
        </w:trPr>
        <w:tc>
          <w:tcPr>
            <w:tcW w:w="1970" w:type="dxa"/>
            <w:vMerge/>
            <w:vAlign w:val="center"/>
          </w:tcPr>
          <w:p w:rsidRPr="000646B6" w:rsidR="006C73FC" w:rsidP="00A17047" w:rsidRDefault="006C73FC" w14:paraId="38AA9D9B" w14:textId="77777777">
            <w:pPr>
              <w:spacing w:after="0" w:line="240" w:lineRule="auto"/>
              <w:rPr>
                <w:rFonts w:ascii="Times New Roman" w:hAnsi="Times New Roman" w:cs="Times New Roman"/>
                <w:b/>
                <w:bCs/>
                <w:szCs w:val="24"/>
              </w:rPr>
            </w:pPr>
          </w:p>
        </w:tc>
        <w:tc>
          <w:tcPr>
            <w:tcW w:w="1453" w:type="dxa"/>
            <w:vMerge/>
            <w:vAlign w:val="bottom"/>
          </w:tcPr>
          <w:p w:rsidR="006C73FC" w:rsidP="00A17047" w:rsidRDefault="006C73FC" w14:paraId="046D0D31" w14:textId="77777777">
            <w:pPr>
              <w:spacing w:after="0" w:line="240" w:lineRule="auto"/>
              <w:jc w:val="center"/>
              <w:rPr>
                <w:rFonts w:ascii="Times New Roman" w:hAnsi="Times New Roman" w:cs="Times New Roman"/>
                <w:bCs/>
                <w:kern w:val="0"/>
                <w:sz w:val="24"/>
                <w:szCs w:val="24"/>
              </w:rPr>
            </w:pPr>
          </w:p>
        </w:tc>
        <w:tc>
          <w:tcPr>
            <w:tcW w:w="1523" w:type="dxa"/>
            <w:vAlign w:val="bottom"/>
          </w:tcPr>
          <w:p w:rsidR="006C73FC" w:rsidP="00A17047" w:rsidRDefault="006C73FC" w14:paraId="669FC805"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8,076</w:t>
            </w:r>
          </w:p>
        </w:tc>
        <w:tc>
          <w:tcPr>
            <w:tcW w:w="1455" w:type="dxa"/>
            <w:vAlign w:val="bottom"/>
          </w:tcPr>
          <w:p w:rsidR="006C73FC" w:rsidP="00A17047" w:rsidRDefault="006C73FC" w14:paraId="1AC96300"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1.98860</w:t>
            </w:r>
          </w:p>
        </w:tc>
        <w:tc>
          <w:tcPr>
            <w:tcW w:w="1409" w:type="dxa"/>
            <w:vAlign w:val="bottom"/>
          </w:tcPr>
          <w:p w:rsidR="006C73FC" w:rsidP="00A17047" w:rsidRDefault="006C73FC" w14:paraId="3AE7C227"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16,060</w:t>
            </w:r>
          </w:p>
        </w:tc>
        <w:tc>
          <w:tcPr>
            <w:tcW w:w="1384" w:type="dxa"/>
            <w:vAlign w:val="bottom"/>
          </w:tcPr>
          <w:p w:rsidR="006C73FC" w:rsidP="00A17047" w:rsidRDefault="006C73FC" w14:paraId="68103320"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3/60</w:t>
            </w:r>
          </w:p>
        </w:tc>
        <w:tc>
          <w:tcPr>
            <w:tcW w:w="1331" w:type="dxa"/>
            <w:vAlign w:val="bottom"/>
          </w:tcPr>
          <w:p w:rsidR="006C73FC" w:rsidP="00A17047" w:rsidRDefault="006C73FC" w14:paraId="50862E1D"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803</w:t>
            </w:r>
          </w:p>
        </w:tc>
        <w:tc>
          <w:tcPr>
            <w:tcW w:w="1320" w:type="dxa"/>
            <w:vAlign w:val="bottom"/>
          </w:tcPr>
          <w:p w:rsidR="006C73FC" w:rsidP="00A17047" w:rsidRDefault="009F6D20" w14:paraId="46A3E00F"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$27.46</w:t>
            </w:r>
          </w:p>
        </w:tc>
        <w:tc>
          <w:tcPr>
            <w:tcW w:w="1331" w:type="dxa"/>
            <w:vAlign w:val="bottom"/>
          </w:tcPr>
          <w:p w:rsidR="006C73FC" w:rsidP="00A17047" w:rsidRDefault="009F6D20" w14:paraId="17D76AE8" w14:textId="77777777">
            <w:pPr>
              <w:spacing w:after="0" w:line="240" w:lineRule="auto"/>
              <w:jc w:val="center"/>
              <w:rPr>
                <w:rFonts w:ascii="Times New Roman" w:hAnsi="Times New Roman" w:cs="Times New Roman"/>
                <w:bCs/>
                <w:kern w:val="0"/>
                <w:sz w:val="24"/>
                <w:szCs w:val="24"/>
              </w:rPr>
            </w:pPr>
            <w:r>
              <w:rPr>
                <w:rFonts w:ascii="Times New Roman" w:hAnsi="Times New Roman" w:cs="Times New Roman"/>
                <w:bCs/>
                <w:kern w:val="0"/>
                <w:sz w:val="24"/>
                <w:szCs w:val="24"/>
              </w:rPr>
              <w:t>$22,050</w:t>
            </w:r>
          </w:p>
        </w:tc>
      </w:tr>
      <w:tr w:rsidRPr="008F6BCF" w:rsidR="006C73FC" w:rsidTr="0010440A" w14:paraId="25796B56" w14:textId="77777777">
        <w:trPr>
          <w:jc w:val="center"/>
        </w:trPr>
        <w:tc>
          <w:tcPr>
            <w:tcW w:w="1970" w:type="dxa"/>
            <w:shd w:val="clear" w:color="auto" w:fill="CCC0D9" w:themeFill="accent4" w:themeFillTint="66"/>
            <w:vAlign w:val="center"/>
          </w:tcPr>
          <w:p w:rsidRPr="008F4A0B" w:rsidR="006C73FC" w:rsidP="00A17047" w:rsidRDefault="006C73FC" w14:paraId="5DF4FEF7" w14:textId="77777777">
            <w:pPr>
              <w:spacing w:after="0" w:line="240" w:lineRule="auto"/>
              <w:rPr>
                <w:rFonts w:ascii="Times New Roman" w:hAnsi="Times New Roman" w:cs="Times New Roman"/>
                <w:b/>
                <w:bCs/>
                <w:szCs w:val="24"/>
              </w:rPr>
            </w:pPr>
            <w:r>
              <w:rPr>
                <w:rFonts w:ascii="Times New Roman" w:hAnsi="Times New Roman" w:cs="Times New Roman"/>
                <w:b/>
                <w:bCs/>
                <w:szCs w:val="24"/>
              </w:rPr>
              <w:t>Unduplicated Totals</w:t>
            </w:r>
          </w:p>
        </w:tc>
        <w:tc>
          <w:tcPr>
            <w:tcW w:w="1453" w:type="dxa"/>
            <w:shd w:val="clear" w:color="auto" w:fill="CCC0D9" w:themeFill="accent4" w:themeFillTint="66"/>
            <w:vAlign w:val="bottom"/>
          </w:tcPr>
          <w:p w:rsidRPr="0010440A" w:rsidR="006C73FC" w:rsidP="00A17047" w:rsidRDefault="005272AA" w14:paraId="1AE6431E"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w:t>
            </w:r>
          </w:p>
        </w:tc>
        <w:tc>
          <w:tcPr>
            <w:tcW w:w="1523" w:type="dxa"/>
            <w:shd w:val="clear" w:color="auto" w:fill="CCC0D9" w:themeFill="accent4" w:themeFillTint="66"/>
            <w:vAlign w:val="bottom"/>
          </w:tcPr>
          <w:p w:rsidRPr="0010440A" w:rsidR="006C73FC" w:rsidP="00A17047" w:rsidRDefault="005272AA" w14:paraId="0EA99345"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8,076</w:t>
            </w:r>
            <w:r>
              <w:rPr>
                <w:rStyle w:val="FootnoteReference"/>
                <w:rFonts w:ascii="Times New Roman" w:hAnsi="Times New Roman" w:cs="Times New Roman"/>
                <w:b/>
                <w:bCs/>
                <w:kern w:val="0"/>
                <w:sz w:val="24"/>
                <w:szCs w:val="24"/>
              </w:rPr>
              <w:footnoteReference w:id="4"/>
            </w:r>
          </w:p>
        </w:tc>
        <w:tc>
          <w:tcPr>
            <w:tcW w:w="1455" w:type="dxa"/>
            <w:shd w:val="clear" w:color="auto" w:fill="CCC0D9" w:themeFill="accent4" w:themeFillTint="66"/>
            <w:vAlign w:val="bottom"/>
          </w:tcPr>
          <w:p w:rsidRPr="0010440A" w:rsidR="006C73FC" w:rsidP="00A17047" w:rsidRDefault="005272AA" w14:paraId="1A83687A"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w:t>
            </w:r>
          </w:p>
        </w:tc>
        <w:tc>
          <w:tcPr>
            <w:tcW w:w="1409" w:type="dxa"/>
            <w:shd w:val="clear" w:color="auto" w:fill="CCC0D9" w:themeFill="accent4" w:themeFillTint="66"/>
            <w:vAlign w:val="bottom"/>
          </w:tcPr>
          <w:p w:rsidRPr="0010440A" w:rsidR="006C73FC" w:rsidP="00A17047" w:rsidRDefault="005272AA" w14:paraId="3E4BE2D1"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50,996</w:t>
            </w:r>
          </w:p>
        </w:tc>
        <w:tc>
          <w:tcPr>
            <w:tcW w:w="1384" w:type="dxa"/>
            <w:shd w:val="clear" w:color="auto" w:fill="CCC0D9" w:themeFill="accent4" w:themeFillTint="66"/>
            <w:vAlign w:val="bottom"/>
          </w:tcPr>
          <w:p w:rsidRPr="0010440A" w:rsidR="006C73FC" w:rsidP="00A17047" w:rsidRDefault="005272AA" w14:paraId="0049453F"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w:t>
            </w:r>
          </w:p>
        </w:tc>
        <w:tc>
          <w:tcPr>
            <w:tcW w:w="1331" w:type="dxa"/>
            <w:shd w:val="clear" w:color="auto" w:fill="CCC0D9" w:themeFill="accent4" w:themeFillTint="66"/>
            <w:vAlign w:val="bottom"/>
          </w:tcPr>
          <w:p w:rsidRPr="0010440A" w:rsidR="006C73FC" w:rsidP="00A17047" w:rsidRDefault="005272AA" w14:paraId="15F222C8"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1,507</w:t>
            </w:r>
          </w:p>
        </w:tc>
        <w:tc>
          <w:tcPr>
            <w:tcW w:w="1320" w:type="dxa"/>
            <w:shd w:val="clear" w:color="auto" w:fill="CCC0D9" w:themeFill="accent4" w:themeFillTint="66"/>
            <w:vAlign w:val="bottom"/>
          </w:tcPr>
          <w:p w:rsidRPr="0010440A" w:rsidR="006C73FC" w:rsidP="00A17047" w:rsidRDefault="005272AA" w14:paraId="052D2289"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w:t>
            </w:r>
          </w:p>
        </w:tc>
        <w:tc>
          <w:tcPr>
            <w:tcW w:w="1331" w:type="dxa"/>
            <w:shd w:val="clear" w:color="auto" w:fill="CCC0D9" w:themeFill="accent4" w:themeFillTint="66"/>
            <w:vAlign w:val="bottom"/>
          </w:tcPr>
          <w:p w:rsidRPr="0010440A" w:rsidR="006C73FC" w:rsidP="00A17047" w:rsidRDefault="005272AA" w14:paraId="2F929561" w14:textId="77777777">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r w:rsidR="009F6D20">
              <w:rPr>
                <w:rFonts w:ascii="Times New Roman" w:hAnsi="Times New Roman" w:cs="Times New Roman"/>
                <w:b/>
                <w:bCs/>
                <w:kern w:val="0"/>
                <w:sz w:val="24"/>
                <w:szCs w:val="24"/>
              </w:rPr>
              <w:t>1,655</w:t>
            </w:r>
          </w:p>
        </w:tc>
      </w:tr>
    </w:tbl>
    <w:p w:rsidR="006536DA" w:rsidRDefault="006536DA" w14:paraId="3E1777AB" w14:textId="77777777">
      <w:pPr>
        <w:spacing w:after="0" w:line="240" w:lineRule="auto"/>
        <w:rPr>
          <w:rFonts w:ascii="Times New Roman" w:hAnsi="Times New Roman" w:cs="Times New Roman"/>
          <w:bCs/>
          <w:kern w:val="0"/>
          <w:sz w:val="24"/>
          <w:szCs w:val="24"/>
        </w:rPr>
        <w:sectPr w:rsidR="006536DA" w:rsidSect="00581395">
          <w:pgSz w:w="15840" w:h="12240" w:orient="landscape" w:code="1"/>
          <w:pgMar w:top="1440" w:right="1440" w:bottom="1440" w:left="1440" w:header="576" w:footer="576" w:gutter="0"/>
          <w:pgNumType w:start="8"/>
          <w:cols w:space="720"/>
          <w:noEndnote/>
          <w:docGrid w:linePitch="299"/>
        </w:sectPr>
      </w:pPr>
    </w:p>
    <w:p w:rsidR="003D2F48" w:rsidP="0010440A" w:rsidRDefault="003D2F48" w14:paraId="5D026D77" w14:textId="77777777">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13.</w:t>
      </w:r>
      <w:r w:rsidR="00427C55">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 xml:space="preserve">Provide an estimate of the total annual cost burden to respondents or </w:t>
      </w:r>
      <w:proofErr w:type="spellStart"/>
      <w:r w:rsidRPr="0010440A">
        <w:rPr>
          <w:rFonts w:ascii="Times New Roman" w:hAnsi="Times New Roman" w:eastAsia="Times New Roman" w:cs="Times New Roman"/>
          <w:b/>
          <w:bCs/>
          <w:sz w:val="24"/>
          <w:szCs w:val="24"/>
        </w:rPr>
        <w:t>recordkeepers</w:t>
      </w:r>
      <w:proofErr w:type="spellEnd"/>
      <w:r w:rsidRPr="0010440A">
        <w:rPr>
          <w:rFonts w:ascii="Times New Roman" w:hAnsi="Times New Roman" w:eastAsia="Times New Roman" w:cs="Times New Roman"/>
          <w:b/>
          <w:bCs/>
          <w:sz w:val="24"/>
          <w:szCs w:val="24"/>
        </w:rPr>
        <w:t xml:space="preserve"> resulting from the collection of information.  (Do not include the cost of any hour burden shown in Items 12 and 14.)</w:t>
      </w:r>
    </w:p>
    <w:p w:rsidRPr="0010440A" w:rsidR="008B14DA" w:rsidP="0010440A" w:rsidRDefault="008B14DA" w14:paraId="412E5183" w14:textId="77777777">
      <w:pPr>
        <w:spacing w:after="0" w:line="240" w:lineRule="auto"/>
        <w:rPr>
          <w:rFonts w:ascii="Times New Roman" w:hAnsi="Times New Roman" w:eastAsia="Times New Roman" w:cs="Times New Roman"/>
          <w:b/>
          <w:bCs/>
          <w:sz w:val="24"/>
          <w:szCs w:val="24"/>
        </w:rPr>
      </w:pPr>
    </w:p>
    <w:p w:rsidR="003D2F48" w:rsidP="0010440A" w:rsidRDefault="003F1753" w14:paraId="28F9DBEB" w14:textId="60620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Therefore, there </w:t>
      </w:r>
      <w:r w:rsidR="00216950">
        <w:rPr>
          <w:rFonts w:ascii="Times New Roman" w:hAnsi="Times New Roman" w:cs="Times New Roman"/>
          <w:sz w:val="24"/>
          <w:szCs w:val="24"/>
        </w:rPr>
        <w:t xml:space="preserve">are </w:t>
      </w:r>
      <w:r w:rsidR="00126802">
        <w:rPr>
          <w:rFonts w:ascii="Times New Roman" w:hAnsi="Times New Roman" w:cs="Times New Roman"/>
          <w:sz w:val="24"/>
          <w:szCs w:val="24"/>
        </w:rPr>
        <w:t>no cost</w:t>
      </w:r>
      <w:r w:rsidR="00216950">
        <w:rPr>
          <w:rFonts w:ascii="Times New Roman" w:hAnsi="Times New Roman" w:cs="Times New Roman"/>
          <w:sz w:val="24"/>
          <w:szCs w:val="24"/>
        </w:rPr>
        <w:t>s</w:t>
      </w:r>
      <w:r>
        <w:rPr>
          <w:rFonts w:ascii="Times New Roman" w:hAnsi="Times New Roman" w:cs="Times New Roman"/>
          <w:sz w:val="24"/>
          <w:szCs w:val="24"/>
        </w:rPr>
        <w:t xml:space="preserve"> to the respondent</w:t>
      </w:r>
      <w:r w:rsidR="00216950">
        <w:rPr>
          <w:rFonts w:ascii="Times New Roman" w:hAnsi="Times New Roman" w:cs="Times New Roman"/>
          <w:sz w:val="24"/>
          <w:szCs w:val="24"/>
        </w:rPr>
        <w:t>s</w:t>
      </w:r>
      <w:r>
        <w:rPr>
          <w:rFonts w:ascii="Times New Roman" w:hAnsi="Times New Roman" w:cs="Times New Roman"/>
          <w:sz w:val="24"/>
          <w:szCs w:val="24"/>
        </w:rPr>
        <w:t xml:space="preserve"> other than their time.</w:t>
      </w:r>
    </w:p>
    <w:p w:rsidR="008B14DA" w:rsidP="0010440A" w:rsidRDefault="008B14DA" w14:paraId="14768B3C" w14:textId="77777777">
      <w:pPr>
        <w:spacing w:after="0" w:line="240" w:lineRule="auto"/>
        <w:rPr>
          <w:rFonts w:ascii="Times New Roman" w:hAnsi="Times New Roman" w:cs="Times New Roman"/>
          <w:sz w:val="24"/>
          <w:szCs w:val="24"/>
        </w:rPr>
      </w:pPr>
    </w:p>
    <w:p w:rsidR="003D2F48" w:rsidP="0010440A" w:rsidRDefault="003D2F48" w14:paraId="22C82D81" w14:textId="04C06ED5">
      <w:pPr>
        <w:spacing w:after="0" w:line="240" w:lineRule="auto"/>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14.</w:t>
      </w:r>
      <w:r w:rsidR="00427C55">
        <w:rPr>
          <w:rFonts w:ascii="Times New Roman" w:hAnsi="Times New Roman" w:eastAsia="Times New Roman" w:cs="Times New Roman"/>
          <w:b/>
          <w:bCs/>
          <w:sz w:val="24"/>
          <w:szCs w:val="24"/>
        </w:rPr>
        <w:t xml:space="preserve">  </w:t>
      </w:r>
      <w:r w:rsidRPr="0010440A">
        <w:rPr>
          <w:rFonts w:ascii="Times New Roman" w:hAnsi="Times New Roman" w:eastAsia="Times New Roman" w:cs="Times New Roman"/>
          <w:b/>
          <w:bCs/>
          <w:sz w:val="24"/>
          <w:szCs w:val="24"/>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Pr="0010440A" w:rsidR="002E2EBD">
        <w:rPr>
          <w:rFonts w:ascii="Times New Roman" w:hAnsi="Times New Roman" w:eastAsia="Times New Roman" w:cs="Times New Roman"/>
          <w:b/>
          <w:bCs/>
          <w:sz w:val="24"/>
          <w:szCs w:val="24"/>
        </w:rPr>
        <w:t>and any</w:t>
      </w:r>
      <w:r w:rsidRPr="0010440A">
        <w:rPr>
          <w:rFonts w:ascii="Times New Roman" w:hAnsi="Times New Roman" w:eastAsia="Times New Roman" w:cs="Times New Roman"/>
          <w:b/>
          <w:bCs/>
          <w:sz w:val="24"/>
          <w:szCs w:val="24"/>
        </w:rPr>
        <w:t xml:space="preserve"> other expense that would not have been incurred without this collection of information.  Agencies also may aggregate cost estimates from Item 12, 13, and 14 into a single table.</w:t>
      </w:r>
    </w:p>
    <w:p w:rsidRPr="0010440A" w:rsidR="008B14DA" w:rsidP="0010440A" w:rsidRDefault="008B14DA" w14:paraId="748663E2" w14:textId="77777777">
      <w:pPr>
        <w:spacing w:after="0" w:line="240" w:lineRule="auto"/>
        <w:rPr>
          <w:rFonts w:ascii="Times New Roman" w:hAnsi="Times New Roman" w:eastAsia="Times New Roman" w:cs="Times New Roman"/>
          <w:b/>
          <w:bCs/>
          <w:sz w:val="24"/>
          <w:szCs w:val="24"/>
        </w:rPr>
      </w:pPr>
    </w:p>
    <w:p w:rsidR="003D2F48" w:rsidP="0010440A" w:rsidRDefault="003D2F48" w14:paraId="62B2D3E1" w14:textId="77777777">
      <w:pPr>
        <w:spacing w:after="0" w:line="240" w:lineRule="auto"/>
        <w:ind w:left="360" w:hanging="360"/>
        <w:rPr>
          <w:rFonts w:ascii="Times New Roman" w:hAnsi="Times New Roman" w:cs="Times New Roman"/>
          <w:sz w:val="24"/>
          <w:szCs w:val="24"/>
        </w:rPr>
      </w:pPr>
      <w:r w:rsidRPr="00F76696">
        <w:rPr>
          <w:rFonts w:ascii="Times New Roman" w:hAnsi="Times New Roman" w:cs="Times New Roman"/>
          <w:sz w:val="24"/>
          <w:szCs w:val="24"/>
        </w:rPr>
        <w:t>There is no cost to the Federal government</w:t>
      </w:r>
      <w:r>
        <w:rPr>
          <w:rFonts w:ascii="Times New Roman" w:hAnsi="Times New Roman" w:cs="Times New Roman"/>
          <w:sz w:val="24"/>
          <w:szCs w:val="24"/>
        </w:rPr>
        <w:t>.</w:t>
      </w:r>
    </w:p>
    <w:p w:rsidR="008B14DA" w:rsidP="0010440A" w:rsidRDefault="008B14DA" w14:paraId="01774578" w14:textId="77777777">
      <w:pPr>
        <w:spacing w:after="0" w:line="240" w:lineRule="auto"/>
        <w:ind w:left="360" w:hanging="360"/>
        <w:rPr>
          <w:rFonts w:ascii="Times New Roman" w:hAnsi="Times New Roman" w:cs="Times New Roman"/>
          <w:sz w:val="24"/>
          <w:szCs w:val="24"/>
        </w:rPr>
      </w:pPr>
    </w:p>
    <w:p w:rsidR="003D2F48" w:rsidP="0010440A" w:rsidRDefault="003D2F48" w14:paraId="57B0C131" w14:textId="77777777">
      <w:pPr>
        <w:spacing w:after="0" w:line="240" w:lineRule="auto"/>
        <w:ind w:left="360" w:hanging="360"/>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15.</w:t>
      </w:r>
      <w:r w:rsidRPr="0010440A">
        <w:rPr>
          <w:rFonts w:ascii="Times New Roman" w:hAnsi="Times New Roman" w:eastAsia="Times New Roman" w:cs="Times New Roman"/>
          <w:b/>
          <w:bCs/>
          <w:sz w:val="24"/>
          <w:szCs w:val="24"/>
        </w:rPr>
        <w:tab/>
        <w:t>Explain the reasons for any program changes or adjustments.</w:t>
      </w:r>
    </w:p>
    <w:p w:rsidRPr="0010440A" w:rsidR="008B14DA" w:rsidP="0010440A" w:rsidRDefault="008B14DA" w14:paraId="32F06246" w14:textId="77777777">
      <w:pPr>
        <w:spacing w:after="0" w:line="240" w:lineRule="auto"/>
        <w:ind w:left="360" w:hanging="360"/>
        <w:rPr>
          <w:rFonts w:ascii="Times New Roman" w:hAnsi="Times New Roman" w:eastAsia="Times New Roman" w:cs="Times New Roman"/>
          <w:b/>
          <w:bCs/>
          <w:sz w:val="24"/>
          <w:szCs w:val="24"/>
        </w:rPr>
      </w:pPr>
    </w:p>
    <w:p w:rsidR="00F60E15" w:rsidP="0010440A" w:rsidRDefault="00F60E15" w14:paraId="4AF6E4D5" w14:textId="38AD19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updated County Business Pattern data, the agency found that the number of establishments increased from 7,908 to 8,076, as well as the number of workers from 49,649 to 50,188.  However, </w:t>
      </w:r>
      <w:r w:rsidR="003D2F48">
        <w:rPr>
          <w:rFonts w:ascii="Times New Roman" w:hAnsi="Times New Roman" w:cs="Times New Roman"/>
          <w:sz w:val="24"/>
          <w:szCs w:val="24"/>
        </w:rPr>
        <w:t>OSHA is requesting an adjustment decrease in the number of burden hours for the information collection requirements in the Standard from 1,6</w:t>
      </w:r>
      <w:r w:rsidR="00FF40E1">
        <w:rPr>
          <w:rFonts w:ascii="Times New Roman" w:hAnsi="Times New Roman" w:cs="Times New Roman"/>
          <w:sz w:val="24"/>
          <w:szCs w:val="24"/>
        </w:rPr>
        <w:t>03</w:t>
      </w:r>
      <w:r w:rsidR="003D2F48">
        <w:rPr>
          <w:rFonts w:ascii="Times New Roman" w:hAnsi="Times New Roman" w:cs="Times New Roman"/>
          <w:sz w:val="24"/>
          <w:szCs w:val="24"/>
        </w:rPr>
        <w:t xml:space="preserve"> hours to 1,</w:t>
      </w:r>
      <w:r w:rsidR="00FF40E1">
        <w:rPr>
          <w:rFonts w:ascii="Times New Roman" w:hAnsi="Times New Roman" w:cs="Times New Roman"/>
          <w:sz w:val="24"/>
          <w:szCs w:val="24"/>
        </w:rPr>
        <w:t>507</w:t>
      </w:r>
      <w:r w:rsidR="003D2F48">
        <w:rPr>
          <w:rFonts w:ascii="Times New Roman" w:hAnsi="Times New Roman" w:cs="Times New Roman"/>
          <w:sz w:val="24"/>
          <w:szCs w:val="24"/>
        </w:rPr>
        <w:t xml:space="preserve"> hours for a total decrease of </w:t>
      </w:r>
      <w:r w:rsidR="00FF40E1">
        <w:rPr>
          <w:rFonts w:ascii="Times New Roman" w:hAnsi="Times New Roman" w:cs="Times New Roman"/>
          <w:sz w:val="24"/>
          <w:szCs w:val="24"/>
        </w:rPr>
        <w:t>96</w:t>
      </w:r>
      <w:r w:rsidR="003D2F48">
        <w:rPr>
          <w:rFonts w:ascii="Times New Roman" w:hAnsi="Times New Roman" w:cs="Times New Roman"/>
          <w:sz w:val="24"/>
          <w:szCs w:val="24"/>
        </w:rPr>
        <w:t xml:space="preserve"> burden hours.  </w:t>
      </w:r>
      <w:r w:rsidR="00FF40E1">
        <w:rPr>
          <w:rFonts w:ascii="Times New Roman" w:hAnsi="Times New Roman" w:cs="Times New Roman"/>
          <w:sz w:val="24"/>
          <w:szCs w:val="24"/>
        </w:rPr>
        <w:t>The decrease is due to the agency’s use of a new method for rounding burden hours.</w:t>
      </w:r>
    </w:p>
    <w:p w:rsidR="001C0187" w:rsidP="0010440A" w:rsidRDefault="00FF40E1" w14:paraId="5BAA4333" w14:textId="7D2E56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D2F48" w:rsidP="0010440A" w:rsidRDefault="003D2F48" w14:paraId="38FCB1B8" w14:textId="77777777">
      <w:pPr>
        <w:spacing w:after="0" w:line="276" w:lineRule="auto"/>
        <w:rPr>
          <w:rFonts w:ascii="Times New Roman" w:hAnsi="Times New Roman" w:eastAsia="Times New Roman" w:cs="Times New Roman"/>
          <w:b/>
          <w:bCs/>
          <w:sz w:val="24"/>
          <w:szCs w:val="24"/>
        </w:rPr>
      </w:pPr>
      <w:r w:rsidRPr="008B14DA">
        <w:rPr>
          <w:rFonts w:ascii="Times New Roman" w:hAnsi="Times New Roman" w:eastAsia="Times New Roman" w:cs="Times New Roman"/>
          <w:b/>
          <w:bCs/>
          <w:sz w:val="24"/>
          <w:szCs w:val="24"/>
        </w:rPr>
        <w:t>16.</w:t>
      </w:r>
      <w:r w:rsidR="00427C55">
        <w:rPr>
          <w:rFonts w:ascii="Times New Roman" w:hAnsi="Times New Roman" w:eastAsia="Times New Roman" w:cs="Times New Roman"/>
          <w:b/>
          <w:bCs/>
          <w:sz w:val="24"/>
          <w:szCs w:val="24"/>
        </w:rPr>
        <w:t xml:space="preserve">  </w:t>
      </w:r>
      <w:r w:rsidRPr="008B14DA">
        <w:rPr>
          <w:rFonts w:ascii="Times New Roman" w:hAnsi="Times New Roman" w:eastAsia="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8B14DA" w:rsidR="008B14DA" w:rsidP="0010440A" w:rsidRDefault="008B14DA" w14:paraId="513AA6CD" w14:textId="77777777">
      <w:pPr>
        <w:spacing w:after="0" w:line="276" w:lineRule="auto"/>
        <w:rPr>
          <w:rFonts w:ascii="Times New Roman" w:hAnsi="Times New Roman" w:eastAsia="Times New Roman" w:cs="Times New Roman"/>
          <w:b/>
          <w:bCs/>
          <w:sz w:val="24"/>
          <w:szCs w:val="24"/>
        </w:rPr>
      </w:pPr>
    </w:p>
    <w:p w:rsidR="003D2F48" w:rsidP="0010440A" w:rsidRDefault="003D2F48" w14:paraId="521DE0D6" w14:textId="77777777">
      <w:pPr>
        <w:spacing w:after="0"/>
        <w:rPr>
          <w:rFonts w:ascii="Times New Roman" w:hAnsi="Times New Roman" w:cs="Times New Roman"/>
          <w:sz w:val="24"/>
          <w:szCs w:val="24"/>
        </w:rPr>
      </w:pPr>
      <w:r>
        <w:rPr>
          <w:rFonts w:ascii="Times New Roman" w:hAnsi="Times New Roman" w:cs="Times New Roman"/>
          <w:sz w:val="24"/>
          <w:szCs w:val="24"/>
        </w:rPr>
        <w:t>OSHA will not publish the information collected under the Standard.</w:t>
      </w:r>
    </w:p>
    <w:p w:rsidR="008B14DA" w:rsidP="0010440A" w:rsidRDefault="008B14DA" w14:paraId="5F474DD4" w14:textId="77777777">
      <w:pPr>
        <w:spacing w:after="0"/>
        <w:rPr>
          <w:rFonts w:ascii="Times New Roman" w:hAnsi="Times New Roman" w:cs="Times New Roman"/>
          <w:sz w:val="24"/>
          <w:szCs w:val="24"/>
        </w:rPr>
      </w:pPr>
    </w:p>
    <w:p w:rsidR="003D2F48" w:rsidP="0010440A" w:rsidRDefault="003D2F48" w14:paraId="4D81A0EC" w14:textId="77777777">
      <w:pPr>
        <w:spacing w:after="0" w:line="276" w:lineRule="auto"/>
        <w:rPr>
          <w:rFonts w:ascii="Times New Roman" w:hAnsi="Times New Roman" w:eastAsia="Times New Roman" w:cs="Times New Roman"/>
          <w:b/>
          <w:bCs/>
          <w:sz w:val="24"/>
          <w:szCs w:val="24"/>
        </w:rPr>
      </w:pPr>
      <w:r w:rsidRPr="008B14DA">
        <w:rPr>
          <w:rFonts w:ascii="Times New Roman" w:hAnsi="Times New Roman" w:eastAsia="Times New Roman" w:cs="Times New Roman"/>
          <w:b/>
          <w:bCs/>
          <w:sz w:val="24"/>
          <w:szCs w:val="24"/>
        </w:rPr>
        <w:t>17.</w:t>
      </w:r>
      <w:r w:rsidR="008B14DA">
        <w:rPr>
          <w:rFonts w:ascii="Times New Roman" w:hAnsi="Times New Roman" w:eastAsia="Times New Roman" w:cs="Times New Roman"/>
          <w:b/>
          <w:bCs/>
          <w:sz w:val="24"/>
          <w:szCs w:val="24"/>
        </w:rPr>
        <w:t xml:space="preserve">  </w:t>
      </w:r>
      <w:r w:rsidRPr="008B14DA">
        <w:rPr>
          <w:rFonts w:ascii="Times New Roman" w:hAnsi="Times New Roman" w:eastAsia="Times New Roman" w:cs="Times New Roman"/>
          <w:b/>
          <w:bCs/>
          <w:sz w:val="24"/>
          <w:szCs w:val="24"/>
        </w:rPr>
        <w:t>If seeking approval to not display the expiration date for OMB approval of the information collection, explain the reasons that display would be appropriate.</w:t>
      </w:r>
    </w:p>
    <w:p w:rsidRPr="008B14DA" w:rsidR="008B14DA" w:rsidP="0010440A" w:rsidRDefault="008B14DA" w14:paraId="01074E96" w14:textId="77777777">
      <w:pPr>
        <w:spacing w:after="0" w:line="276" w:lineRule="auto"/>
        <w:rPr>
          <w:rFonts w:ascii="Times New Roman" w:hAnsi="Times New Roman" w:eastAsia="Times New Roman" w:cs="Times New Roman"/>
          <w:b/>
          <w:bCs/>
          <w:sz w:val="24"/>
          <w:szCs w:val="24"/>
        </w:rPr>
      </w:pPr>
    </w:p>
    <w:p w:rsidR="003D2F48" w:rsidP="0010440A" w:rsidRDefault="003D2F48" w14:paraId="105E8399" w14:textId="40386B95">
      <w:pPr>
        <w:spacing w:after="0" w:line="240" w:lineRule="auto"/>
        <w:rPr>
          <w:rFonts w:ascii="Times New Roman" w:hAnsi="Times New Roman" w:cs="Times New Roman"/>
          <w:sz w:val="24"/>
          <w:szCs w:val="24"/>
        </w:rPr>
      </w:pPr>
      <w:r w:rsidRPr="00206B3F">
        <w:rPr>
          <w:rFonts w:ascii="Times New Roman" w:hAnsi="Times New Roman" w:cs="Times New Roman"/>
          <w:sz w:val="24"/>
          <w:szCs w:val="24"/>
        </w:rPr>
        <w:t>OSHA lists current valid control numbers in</w:t>
      </w:r>
      <w:r w:rsidRPr="00F76696">
        <w:rPr>
          <w:rFonts w:ascii="Times New Roman" w:hAnsi="Times New Roman" w:cs="Times New Roman"/>
          <w:sz w:val="24"/>
          <w:szCs w:val="24"/>
        </w:rPr>
        <w:t xml:space="preserve"> §§</w:t>
      </w:r>
      <w:r>
        <w:rPr>
          <w:rFonts w:ascii="Times New Roman" w:hAnsi="Times New Roman" w:cs="Times New Roman"/>
          <w:sz w:val="24"/>
          <w:szCs w:val="24"/>
        </w:rPr>
        <w:t>1910.8, 1915.8, 1917.4, and 1926.5 and publishes the expiration date in the Federal Register notice announcing OMB approval of the information-collection requirement. (See 5 CFR 1320.3(f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w:t>
      </w:r>
      <w:r w:rsidR="00BB26EF">
        <w:rPr>
          <w:rFonts w:ascii="Times New Roman" w:hAnsi="Times New Roman" w:cs="Times New Roman"/>
          <w:sz w:val="24"/>
          <w:szCs w:val="24"/>
        </w:rPr>
        <w:t>.</w:t>
      </w:r>
      <w:r>
        <w:rPr>
          <w:rFonts w:ascii="Times New Roman" w:hAnsi="Times New Roman" w:cs="Times New Roman"/>
          <w:sz w:val="24"/>
          <w:szCs w:val="24"/>
        </w:rPr>
        <w:t xml:space="preserve">  OSHA believes that this is the most appropriate and accurate mechanism to inform interested parties of these expiration dates. </w:t>
      </w:r>
      <w:r w:rsidRPr="00206B3F">
        <w:rPr>
          <w:rFonts w:ascii="Times New Roman" w:hAnsi="Times New Roman" w:cs="Times New Roman"/>
          <w:sz w:val="24"/>
          <w:szCs w:val="24"/>
        </w:rPr>
        <w:t xml:space="preserve"> </w:t>
      </w:r>
    </w:p>
    <w:p w:rsidRPr="00206B3F" w:rsidR="008B14DA" w:rsidP="0010440A" w:rsidRDefault="008B14DA" w14:paraId="14EB336B" w14:textId="77777777">
      <w:pPr>
        <w:spacing w:after="0"/>
        <w:rPr>
          <w:rFonts w:ascii="Times New Roman" w:hAnsi="Times New Roman" w:cs="Times New Roman"/>
          <w:sz w:val="24"/>
          <w:szCs w:val="24"/>
        </w:rPr>
      </w:pPr>
    </w:p>
    <w:p w:rsidR="003D2F48" w:rsidP="0010440A" w:rsidRDefault="003D2F48" w14:paraId="1E203CA5" w14:textId="77777777">
      <w:pPr>
        <w:spacing w:after="0"/>
        <w:rPr>
          <w:rFonts w:ascii="Times New Roman" w:hAnsi="Times New Roman" w:eastAsia="Times New Roman" w:cs="Times New Roman"/>
          <w:b/>
          <w:bCs/>
          <w:sz w:val="24"/>
          <w:szCs w:val="24"/>
        </w:rPr>
      </w:pPr>
      <w:r w:rsidRPr="0010440A">
        <w:rPr>
          <w:rFonts w:ascii="Times New Roman" w:hAnsi="Times New Roman" w:eastAsia="Times New Roman" w:cs="Times New Roman"/>
          <w:b/>
          <w:bCs/>
          <w:sz w:val="24"/>
          <w:szCs w:val="24"/>
        </w:rPr>
        <w:t>18.  Explain each exception to the certification statement.</w:t>
      </w:r>
    </w:p>
    <w:p w:rsidRPr="0010440A" w:rsidR="008B14DA" w:rsidP="0010440A" w:rsidRDefault="008B14DA" w14:paraId="55C33A94" w14:textId="77777777">
      <w:pPr>
        <w:spacing w:after="0"/>
        <w:rPr>
          <w:rFonts w:ascii="Times New Roman" w:hAnsi="Times New Roman" w:eastAsia="Times New Roman" w:cs="Times New Roman"/>
          <w:b/>
          <w:bCs/>
          <w:sz w:val="24"/>
          <w:szCs w:val="24"/>
        </w:rPr>
      </w:pPr>
    </w:p>
    <w:p w:rsidR="007A67D0" w:rsidP="0010440A" w:rsidRDefault="003D2F48" w14:paraId="68990A27" w14:textId="4F8418F5">
      <w:pPr>
        <w:spacing w:after="0"/>
        <w:rPr>
          <w:rFonts w:ascii="Times New Roman" w:hAnsi="Times New Roman" w:cs="Times New Roman"/>
          <w:sz w:val="24"/>
          <w:szCs w:val="24"/>
        </w:rPr>
      </w:pPr>
      <w:r>
        <w:rPr>
          <w:rFonts w:ascii="Times New Roman" w:hAnsi="Times New Roman" w:cs="Times New Roman"/>
          <w:sz w:val="24"/>
          <w:szCs w:val="24"/>
        </w:rPr>
        <w:t>OSHA is not seeking an exception to the certification statement.</w:t>
      </w:r>
    </w:p>
    <w:p w:rsidR="001C0187" w:rsidP="0010440A" w:rsidRDefault="001C0187" w14:paraId="52275DE6" w14:textId="77777777">
      <w:pPr>
        <w:spacing w:after="0"/>
        <w:rPr>
          <w:rFonts w:ascii="Times New Roman" w:hAnsi="Times New Roman" w:cs="Times New Roman"/>
          <w:sz w:val="24"/>
          <w:szCs w:val="24"/>
        </w:rPr>
      </w:pPr>
    </w:p>
    <w:p w:rsidR="00C23F50" w:rsidP="00C23F50" w:rsidRDefault="003D2F48" w14:paraId="4DD96223" w14:textId="76DD7C47">
      <w:pPr>
        <w:pStyle w:val="ListParagraph"/>
        <w:numPr>
          <w:ilvl w:val="0"/>
          <w:numId w:val="6"/>
        </w:numPr>
        <w:spacing w:after="0"/>
        <w:rPr>
          <w:rFonts w:ascii="Times New Roman" w:hAnsi="Times New Roman" w:cs="Times New Roman"/>
          <w:b/>
          <w:bCs/>
          <w:sz w:val="24"/>
          <w:szCs w:val="24"/>
        </w:rPr>
      </w:pPr>
      <w:r w:rsidRPr="00C23F50">
        <w:rPr>
          <w:rFonts w:ascii="Times New Roman" w:hAnsi="Times New Roman" w:cs="Times New Roman"/>
          <w:b/>
          <w:bCs/>
          <w:sz w:val="24"/>
          <w:szCs w:val="24"/>
        </w:rPr>
        <w:t>COLLECTIONS OF INFORMATION EMPLOYING STATISTICAL METHODS</w:t>
      </w:r>
    </w:p>
    <w:p w:rsidR="00C23F50" w:rsidRDefault="00C23F50" w14:paraId="20964D19" w14:textId="77777777">
      <w:pPr>
        <w:spacing w:after="0"/>
        <w:rPr>
          <w:rFonts w:ascii="Times New Roman" w:hAnsi="Times New Roman" w:cs="Times New Roman"/>
          <w:sz w:val="24"/>
          <w:szCs w:val="24"/>
        </w:rPr>
      </w:pPr>
    </w:p>
    <w:p w:rsidR="00C23F50" w:rsidRDefault="003D2F48" w14:paraId="3392CA68" w14:textId="7E17C36A">
      <w:pPr>
        <w:spacing w:after="0"/>
        <w:rPr>
          <w:rFonts w:ascii="Times New Roman" w:hAnsi="Times New Roman" w:cs="Times New Roman"/>
          <w:sz w:val="24"/>
          <w:szCs w:val="24"/>
        </w:rPr>
      </w:pPr>
      <w:r>
        <w:rPr>
          <w:rFonts w:ascii="Times New Roman" w:hAnsi="Times New Roman" w:cs="Times New Roman"/>
          <w:sz w:val="24"/>
          <w:szCs w:val="24"/>
        </w:rPr>
        <w:t>This Supporting Statement does not contain any collection of information requirements that employ statistical methods.</w:t>
      </w:r>
    </w:p>
    <w:p w:rsidR="00C23F50" w:rsidP="00C23F50" w:rsidRDefault="00C23F50" w14:paraId="255841C0" w14:textId="77777777">
      <w:pPr>
        <w:widowControl/>
        <w:overflowPunct/>
        <w:adjustRightInd/>
        <w:spacing w:after="200" w:line="276" w:lineRule="auto"/>
        <w:jc w:val="center"/>
        <w:rPr>
          <w:rFonts w:ascii="Times New Roman" w:hAnsi="Times New Roman" w:cs="Times New Roman"/>
          <w:sz w:val="24"/>
          <w:szCs w:val="24"/>
        </w:rPr>
        <w:sectPr w:rsidR="00C23F50" w:rsidSect="0058054A">
          <w:headerReference w:type="default" r:id="rId17"/>
          <w:footerReference w:type="default" r:id="rId18"/>
          <w:footerReference w:type="first" r:id="rId19"/>
          <w:pgSz w:w="12240" w:h="15840"/>
          <w:pgMar w:top="1440" w:right="1440" w:bottom="1440" w:left="1440" w:header="720" w:footer="720" w:gutter="0"/>
          <w:pgNumType w:start="9"/>
          <w:cols w:space="720"/>
          <w:noEndnote/>
          <w:docGrid w:linePitch="299"/>
        </w:sectPr>
      </w:pPr>
      <w:r>
        <w:rPr>
          <w:rFonts w:ascii="Times New Roman" w:hAnsi="Times New Roman" w:cs="Times New Roman"/>
          <w:sz w:val="24"/>
          <w:szCs w:val="24"/>
        </w:rPr>
        <w:br w:type="page"/>
      </w:r>
    </w:p>
    <w:p w:rsidRPr="00C23F50" w:rsidR="00161401" w:rsidP="00C23F50" w:rsidRDefault="001C0187" w14:paraId="59A8F0D4" w14:textId="1516C38A">
      <w:pPr>
        <w:widowControl/>
        <w:overflowPunct/>
        <w:adjustRightInd/>
        <w:spacing w:after="200" w:line="276" w:lineRule="auto"/>
        <w:jc w:val="center"/>
        <w:rPr>
          <w:rFonts w:ascii="Times New Roman" w:hAnsi="Times New Roman" w:cs="Times New Roman"/>
          <w:sz w:val="24"/>
          <w:szCs w:val="24"/>
        </w:rPr>
      </w:pPr>
      <w:r w:rsidRPr="0010440A">
        <w:rPr>
          <w:rFonts w:ascii="Times New Roman" w:hAnsi="Times New Roman" w:cs="Times New Roman"/>
          <w:b/>
          <w:bCs/>
          <w:sz w:val="24"/>
          <w:szCs w:val="24"/>
          <w:u w:val="single"/>
        </w:rPr>
        <w:t xml:space="preserve">Table </w:t>
      </w:r>
      <w:r w:rsidR="00B41D5E">
        <w:rPr>
          <w:rFonts w:ascii="Times New Roman" w:hAnsi="Times New Roman" w:cs="Times New Roman"/>
          <w:b/>
          <w:bCs/>
          <w:sz w:val="24"/>
          <w:szCs w:val="24"/>
          <w:u w:val="single"/>
        </w:rPr>
        <w:t>3</w:t>
      </w:r>
      <w:r w:rsidRPr="0010440A">
        <w:rPr>
          <w:rFonts w:ascii="Times New Roman" w:hAnsi="Times New Roman" w:cs="Times New Roman"/>
          <w:b/>
          <w:bCs/>
          <w:sz w:val="24"/>
          <w:szCs w:val="24"/>
          <w:u w:val="single"/>
        </w:rPr>
        <w:t>:  Requested Burden Hour Adjustments</w:t>
      </w:r>
    </w:p>
    <w:p w:rsidRPr="0010440A" w:rsidR="0002709F" w:rsidP="001C0187" w:rsidRDefault="0002709F" w14:paraId="412BD96B" w14:textId="77777777">
      <w:pPr>
        <w:spacing w:after="0"/>
        <w:jc w:val="center"/>
        <w:rPr>
          <w:rFonts w:ascii="Times New Roman" w:hAnsi="Times New Roman" w:cs="Times New Roman"/>
          <w:b/>
          <w:bCs/>
          <w:sz w:val="24"/>
          <w:szCs w:val="24"/>
          <w:u w:val="single"/>
        </w:rPr>
      </w:pPr>
    </w:p>
    <w:tbl>
      <w:tblPr>
        <w:tblW w:w="12311" w:type="dxa"/>
        <w:tblLayout w:type="fixed"/>
        <w:tblCellMar>
          <w:left w:w="180" w:type="dxa"/>
          <w:right w:w="180" w:type="dxa"/>
        </w:tblCellMar>
        <w:tblLook w:val="0000" w:firstRow="0" w:lastRow="0" w:firstColumn="0" w:lastColumn="0" w:noHBand="0" w:noVBand="0"/>
      </w:tblPr>
      <w:tblGrid>
        <w:gridCol w:w="2610"/>
        <w:gridCol w:w="1260"/>
        <w:gridCol w:w="1440"/>
        <w:gridCol w:w="1620"/>
        <w:gridCol w:w="1530"/>
        <w:gridCol w:w="3851"/>
      </w:tblGrid>
      <w:tr w:rsidR="001C0187" w:rsidTr="000646B6" w14:paraId="0F82D87A" w14:textId="77777777">
        <w:trPr>
          <w:trHeight w:val="1040"/>
        </w:trPr>
        <w:tc>
          <w:tcPr>
            <w:tcW w:w="2610" w:type="dxa"/>
            <w:tcBorders>
              <w:top w:val="single" w:color="auto" w:sz="8" w:space="0"/>
              <w:left w:val="single" w:color="auto" w:sz="8" w:space="0"/>
              <w:bottom w:val="single" w:color="auto" w:sz="8" w:space="0"/>
              <w:right w:val="nil"/>
            </w:tcBorders>
            <w:vAlign w:val="bottom"/>
          </w:tcPr>
          <w:p w:rsidRPr="0010440A" w:rsidR="001C0187" w:rsidP="000646B6" w:rsidRDefault="001C0187" w14:paraId="4A40C6FF" w14:textId="77777777">
            <w:pPr>
              <w:spacing w:after="0"/>
              <w:jc w:val="center"/>
              <w:rPr>
                <w:rFonts w:ascii="Times New Roman" w:hAnsi="Times New Roman" w:cs="Times New Roman"/>
              </w:rPr>
            </w:pPr>
            <w:r w:rsidRPr="0010440A">
              <w:rPr>
                <w:rFonts w:ascii="Times New Roman" w:hAnsi="Times New Roman" w:cs="Times New Roman"/>
                <w:b/>
                <w:bCs/>
              </w:rPr>
              <w:t>Information Collection Requirement</w:t>
            </w:r>
          </w:p>
        </w:tc>
        <w:tc>
          <w:tcPr>
            <w:tcW w:w="1260" w:type="dxa"/>
            <w:tcBorders>
              <w:top w:val="single" w:color="auto" w:sz="8" w:space="0"/>
              <w:left w:val="single" w:color="auto" w:sz="8" w:space="0"/>
              <w:bottom w:val="single" w:color="auto" w:sz="8" w:space="0"/>
              <w:right w:val="nil"/>
            </w:tcBorders>
            <w:vAlign w:val="bottom"/>
          </w:tcPr>
          <w:p w:rsidRPr="0010440A" w:rsidR="001C0187" w:rsidP="000646B6" w:rsidRDefault="001C0187" w14:paraId="321EF868" w14:textId="77777777">
            <w:pPr>
              <w:spacing w:after="0"/>
              <w:jc w:val="center"/>
              <w:rPr>
                <w:rFonts w:ascii="Times New Roman" w:hAnsi="Times New Roman" w:cs="Times New Roman"/>
              </w:rPr>
            </w:pPr>
            <w:r w:rsidRPr="0010440A">
              <w:rPr>
                <w:rFonts w:ascii="Times New Roman" w:hAnsi="Times New Roman" w:cs="Times New Roman"/>
                <w:b/>
                <w:bCs/>
              </w:rPr>
              <w:t>Current Burden Hours</w:t>
            </w:r>
          </w:p>
        </w:tc>
        <w:tc>
          <w:tcPr>
            <w:tcW w:w="1440" w:type="dxa"/>
            <w:tcBorders>
              <w:top w:val="single" w:color="auto" w:sz="8" w:space="0"/>
              <w:left w:val="single" w:color="auto" w:sz="8" w:space="0"/>
              <w:bottom w:val="single" w:color="auto" w:sz="8" w:space="0"/>
              <w:right w:val="nil"/>
            </w:tcBorders>
            <w:vAlign w:val="bottom"/>
          </w:tcPr>
          <w:p w:rsidRPr="0010440A" w:rsidR="001C0187" w:rsidP="000646B6" w:rsidRDefault="001C0187" w14:paraId="692C8A77" w14:textId="77777777">
            <w:pPr>
              <w:spacing w:after="0"/>
              <w:jc w:val="center"/>
              <w:rPr>
                <w:rFonts w:ascii="Times New Roman" w:hAnsi="Times New Roman" w:cs="Times New Roman"/>
              </w:rPr>
            </w:pPr>
            <w:r w:rsidRPr="0010440A">
              <w:rPr>
                <w:rFonts w:ascii="Times New Roman" w:hAnsi="Times New Roman" w:cs="Times New Roman"/>
                <w:b/>
                <w:bCs/>
              </w:rPr>
              <w:t>Requested Burden Hours</w:t>
            </w:r>
          </w:p>
        </w:tc>
        <w:tc>
          <w:tcPr>
            <w:tcW w:w="1620" w:type="dxa"/>
            <w:tcBorders>
              <w:top w:val="single" w:color="auto" w:sz="8" w:space="0"/>
              <w:left w:val="single" w:color="auto" w:sz="8" w:space="0"/>
              <w:bottom w:val="single" w:color="auto" w:sz="8" w:space="0"/>
              <w:right w:val="nil"/>
            </w:tcBorders>
            <w:vAlign w:val="bottom"/>
          </w:tcPr>
          <w:p w:rsidRPr="0010440A" w:rsidR="001C0187" w:rsidP="000646B6" w:rsidRDefault="001C0187" w14:paraId="6CC8EB84" w14:textId="77777777">
            <w:pPr>
              <w:spacing w:after="0"/>
              <w:jc w:val="center"/>
              <w:rPr>
                <w:rFonts w:ascii="Times New Roman" w:hAnsi="Times New Roman" w:cs="Times New Roman"/>
              </w:rPr>
            </w:pPr>
            <w:r w:rsidRPr="0010440A">
              <w:rPr>
                <w:rFonts w:ascii="Times New Roman" w:hAnsi="Times New Roman" w:cs="Times New Roman"/>
                <w:b/>
                <w:bCs/>
              </w:rPr>
              <w:t>Adjustment</w:t>
            </w:r>
          </w:p>
        </w:tc>
        <w:tc>
          <w:tcPr>
            <w:tcW w:w="1530" w:type="dxa"/>
            <w:tcBorders>
              <w:top w:val="single" w:color="auto" w:sz="8" w:space="0"/>
              <w:left w:val="single" w:color="auto" w:sz="8" w:space="0"/>
              <w:bottom w:val="single" w:color="auto" w:sz="8" w:space="0"/>
              <w:right w:val="nil"/>
            </w:tcBorders>
            <w:vAlign w:val="bottom"/>
          </w:tcPr>
          <w:p w:rsidRPr="0010440A" w:rsidR="001C0187" w:rsidP="000646B6" w:rsidRDefault="001C0187" w14:paraId="7300238E" w14:textId="77777777">
            <w:pPr>
              <w:spacing w:after="0"/>
              <w:jc w:val="center"/>
              <w:rPr>
                <w:rFonts w:ascii="Times New Roman" w:hAnsi="Times New Roman" w:cs="Times New Roman"/>
              </w:rPr>
            </w:pPr>
            <w:r w:rsidRPr="0010440A">
              <w:rPr>
                <w:rFonts w:ascii="Times New Roman" w:hAnsi="Times New Roman" w:cs="Times New Roman"/>
                <w:b/>
                <w:bCs/>
              </w:rPr>
              <w:t>Total Responses</w:t>
            </w:r>
          </w:p>
        </w:tc>
        <w:tc>
          <w:tcPr>
            <w:tcW w:w="3851" w:type="dxa"/>
            <w:tcBorders>
              <w:top w:val="single" w:color="auto" w:sz="8" w:space="0"/>
              <w:left w:val="single" w:color="auto" w:sz="8" w:space="0"/>
              <w:bottom w:val="single" w:color="auto" w:sz="8" w:space="0"/>
              <w:right w:val="single" w:color="auto" w:sz="8" w:space="0"/>
            </w:tcBorders>
            <w:vAlign w:val="bottom"/>
          </w:tcPr>
          <w:p w:rsidRPr="0010440A" w:rsidR="001C0187" w:rsidP="000646B6" w:rsidRDefault="001C0187" w14:paraId="6761017C" w14:textId="77777777">
            <w:pPr>
              <w:spacing w:after="0"/>
              <w:jc w:val="center"/>
              <w:rPr>
                <w:rFonts w:ascii="Times New Roman" w:hAnsi="Times New Roman" w:cs="Times New Roman"/>
              </w:rPr>
            </w:pPr>
            <w:r w:rsidRPr="0010440A">
              <w:rPr>
                <w:rFonts w:ascii="Times New Roman" w:hAnsi="Times New Roman" w:cs="Times New Roman"/>
                <w:b/>
                <w:bCs/>
              </w:rPr>
              <w:t>Explanation of Adjustment</w:t>
            </w:r>
          </w:p>
        </w:tc>
      </w:tr>
      <w:tr w:rsidR="001C0187" w:rsidTr="000646B6" w14:paraId="0B652EDB" w14:textId="77777777">
        <w:trPr>
          <w:trHeight w:val="1696"/>
        </w:trPr>
        <w:tc>
          <w:tcPr>
            <w:tcW w:w="2610" w:type="dxa"/>
            <w:tcBorders>
              <w:top w:val="single" w:color="auto" w:sz="8" w:space="0"/>
              <w:left w:val="single" w:color="auto" w:sz="8" w:space="0"/>
              <w:bottom w:val="single" w:color="auto" w:sz="8" w:space="0"/>
              <w:right w:val="nil"/>
            </w:tcBorders>
          </w:tcPr>
          <w:p w:rsidRPr="00F76696" w:rsidR="001C0187" w:rsidP="000646B6" w:rsidRDefault="001C0187" w14:paraId="29B77F69" w14:textId="77777777">
            <w:pPr>
              <w:spacing w:after="0" w:line="240" w:lineRule="auto"/>
              <w:rPr>
                <w:rFonts w:ascii="Times New Roman" w:hAnsi="Times New Roman" w:cs="Times New Roman"/>
              </w:rPr>
            </w:pPr>
            <w:r w:rsidRPr="00F76696">
              <w:rPr>
                <w:rFonts w:ascii="Times New Roman" w:hAnsi="Times New Roman" w:cs="Times New Roman"/>
                <w:b/>
                <w:bCs/>
              </w:rPr>
              <w:t>Maintenance and Operating Instructions (§§ 1910.266(f)(1)(iii) and (g)(3</w:t>
            </w:r>
            <w:r>
              <w:rPr>
                <w:rFonts w:ascii="Times New Roman" w:hAnsi="Times New Roman" w:cs="Times New Roman"/>
                <w:b/>
                <w:bCs/>
              </w:rPr>
              <w:t>))</w:t>
            </w:r>
          </w:p>
        </w:tc>
        <w:tc>
          <w:tcPr>
            <w:tcW w:w="1260" w:type="dxa"/>
            <w:tcBorders>
              <w:top w:val="single" w:color="auto" w:sz="8" w:space="0"/>
              <w:left w:val="single" w:color="auto" w:sz="8" w:space="0"/>
              <w:bottom w:val="single" w:color="auto" w:sz="8" w:space="0"/>
              <w:right w:val="nil"/>
            </w:tcBorders>
          </w:tcPr>
          <w:p w:rsidRPr="00F76696" w:rsidR="001C0187" w:rsidP="000646B6" w:rsidRDefault="008F4A0B" w14:paraId="7F9FB6BB" w14:textId="77777777">
            <w:pPr>
              <w:spacing w:after="0"/>
              <w:jc w:val="center"/>
              <w:rPr>
                <w:rFonts w:ascii="Times New Roman" w:hAnsi="Times New Roman" w:cs="Times New Roman"/>
              </w:rPr>
            </w:pPr>
            <w:r>
              <w:rPr>
                <w:rFonts w:ascii="Times New Roman" w:hAnsi="Times New Roman" w:cs="Times New Roman"/>
              </w:rPr>
              <w:t>134</w:t>
            </w:r>
          </w:p>
        </w:tc>
        <w:tc>
          <w:tcPr>
            <w:tcW w:w="1440" w:type="dxa"/>
            <w:tcBorders>
              <w:top w:val="single" w:color="auto" w:sz="8" w:space="0"/>
              <w:left w:val="single" w:color="auto" w:sz="8" w:space="0"/>
              <w:bottom w:val="single" w:color="auto" w:sz="8" w:space="0"/>
              <w:right w:val="nil"/>
            </w:tcBorders>
          </w:tcPr>
          <w:p w:rsidRPr="00F76696" w:rsidR="001C0187" w:rsidP="000646B6" w:rsidRDefault="008F4A0B" w14:paraId="2D32311A" w14:textId="77777777">
            <w:pPr>
              <w:spacing w:after="0"/>
              <w:jc w:val="center"/>
              <w:rPr>
                <w:rFonts w:ascii="Times New Roman" w:hAnsi="Times New Roman" w:cs="Times New Roman"/>
              </w:rPr>
            </w:pPr>
            <w:r>
              <w:rPr>
                <w:rFonts w:ascii="Times New Roman" w:hAnsi="Times New Roman" w:cs="Times New Roman"/>
              </w:rPr>
              <w:t>135</w:t>
            </w:r>
          </w:p>
        </w:tc>
        <w:tc>
          <w:tcPr>
            <w:tcW w:w="1620" w:type="dxa"/>
            <w:tcBorders>
              <w:top w:val="single" w:color="auto" w:sz="8" w:space="0"/>
              <w:left w:val="single" w:color="auto" w:sz="8" w:space="0"/>
              <w:bottom w:val="single" w:color="auto" w:sz="8" w:space="0"/>
              <w:right w:val="nil"/>
            </w:tcBorders>
          </w:tcPr>
          <w:p w:rsidRPr="00F76696" w:rsidR="001C0187" w:rsidP="000646B6" w:rsidRDefault="008F4A0B" w14:paraId="79926E03" w14:textId="77777777">
            <w:pPr>
              <w:spacing w:after="0"/>
              <w:jc w:val="center"/>
              <w:rPr>
                <w:rFonts w:ascii="Times New Roman" w:hAnsi="Times New Roman" w:cs="Times New Roman"/>
              </w:rPr>
            </w:pPr>
            <w:r>
              <w:rPr>
                <w:rFonts w:ascii="Times New Roman" w:hAnsi="Times New Roman" w:cs="Times New Roman"/>
              </w:rPr>
              <w:t>1</w:t>
            </w:r>
          </w:p>
        </w:tc>
        <w:tc>
          <w:tcPr>
            <w:tcW w:w="1530" w:type="dxa"/>
            <w:tcBorders>
              <w:top w:val="single" w:color="auto" w:sz="8" w:space="0"/>
              <w:left w:val="single" w:color="auto" w:sz="8" w:space="0"/>
              <w:bottom w:val="single" w:color="auto" w:sz="8" w:space="0"/>
              <w:right w:val="nil"/>
            </w:tcBorders>
          </w:tcPr>
          <w:p w:rsidRPr="00F76696" w:rsidR="001C0187" w:rsidP="000646B6" w:rsidRDefault="008F6BCF" w14:paraId="01935271" w14:textId="77777777">
            <w:pPr>
              <w:spacing w:after="0"/>
              <w:jc w:val="center"/>
              <w:rPr>
                <w:rFonts w:ascii="Times New Roman" w:hAnsi="Times New Roman" w:cs="Times New Roman"/>
              </w:rPr>
            </w:pPr>
            <w:r>
              <w:rPr>
                <w:rFonts w:ascii="Times New Roman" w:hAnsi="Times New Roman" w:cs="Times New Roman"/>
              </w:rPr>
              <w:t>808</w:t>
            </w:r>
          </w:p>
        </w:tc>
        <w:tc>
          <w:tcPr>
            <w:tcW w:w="3851" w:type="dxa"/>
            <w:tcBorders>
              <w:top w:val="single" w:color="auto" w:sz="8" w:space="0"/>
              <w:left w:val="single" w:color="auto" w:sz="8" w:space="0"/>
              <w:bottom w:val="single" w:color="auto" w:sz="8" w:space="0"/>
              <w:right w:val="single" w:color="auto" w:sz="8" w:space="0"/>
            </w:tcBorders>
          </w:tcPr>
          <w:p w:rsidRPr="00F76696" w:rsidR="001C0187" w:rsidP="008F6BCF" w:rsidRDefault="001C0187" w14:paraId="0BCE7B84" w14:textId="77777777">
            <w:pPr>
              <w:spacing w:after="0"/>
              <w:rPr>
                <w:rFonts w:ascii="Times New Roman" w:hAnsi="Times New Roman" w:cs="Times New Roman"/>
              </w:rPr>
            </w:pPr>
            <w:r w:rsidRPr="00F76696">
              <w:rPr>
                <w:rFonts w:ascii="Times New Roman" w:hAnsi="Times New Roman" w:cs="Times New Roman"/>
              </w:rPr>
              <w:t xml:space="preserve">Adjustment </w:t>
            </w:r>
            <w:r w:rsidR="008F4A0B">
              <w:rPr>
                <w:rFonts w:ascii="Times New Roman" w:hAnsi="Times New Roman" w:cs="Times New Roman"/>
              </w:rPr>
              <w:t xml:space="preserve">increase </w:t>
            </w:r>
            <w:r w:rsidRPr="00F76696">
              <w:rPr>
                <w:rFonts w:ascii="Times New Roman" w:hAnsi="Times New Roman" w:cs="Times New Roman"/>
              </w:rPr>
              <w:t>based on updated data; the number of est</w:t>
            </w:r>
            <w:r w:rsidR="008F4A0B">
              <w:rPr>
                <w:rFonts w:ascii="Times New Roman" w:hAnsi="Times New Roman" w:cs="Times New Roman"/>
              </w:rPr>
              <w:t>ablishments increased from 7,908 to 8,076</w:t>
            </w:r>
            <w:r w:rsidRPr="00F76696">
              <w:rPr>
                <w:rFonts w:ascii="Times New Roman" w:hAnsi="Times New Roman" w:cs="Times New Roman"/>
              </w:rPr>
              <w:t>.</w:t>
            </w:r>
          </w:p>
        </w:tc>
      </w:tr>
      <w:tr w:rsidR="001C0187" w:rsidTr="000646B6" w14:paraId="6C9240FD" w14:textId="77777777">
        <w:trPr>
          <w:trHeight w:val="1013"/>
        </w:trPr>
        <w:tc>
          <w:tcPr>
            <w:tcW w:w="2610" w:type="dxa"/>
            <w:vMerge w:val="restart"/>
            <w:tcBorders>
              <w:top w:val="single" w:color="auto" w:sz="8" w:space="0"/>
              <w:left w:val="single" w:color="auto" w:sz="8" w:space="0"/>
              <w:right w:val="nil"/>
            </w:tcBorders>
          </w:tcPr>
          <w:p w:rsidRPr="00F76696" w:rsidR="001C0187" w:rsidP="000646B6" w:rsidRDefault="001C0187" w14:paraId="43C33381" w14:textId="77777777">
            <w:pPr>
              <w:spacing w:after="0"/>
              <w:rPr>
                <w:rFonts w:ascii="Times New Roman" w:hAnsi="Times New Roman" w:cs="Times New Roman"/>
              </w:rPr>
            </w:pPr>
            <w:r w:rsidRPr="00F76696">
              <w:rPr>
                <w:rFonts w:ascii="Times New Roman" w:hAnsi="Times New Roman" w:cs="Times New Roman"/>
                <w:b/>
                <w:bCs/>
              </w:rPr>
              <w:t>Certification of Training (§§ 1910.266(</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)(10)(</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 and (</w:t>
            </w:r>
            <w:proofErr w:type="spellStart"/>
            <w:r w:rsidRPr="00F76696">
              <w:rPr>
                <w:rFonts w:ascii="Times New Roman" w:hAnsi="Times New Roman" w:cs="Times New Roman"/>
                <w:b/>
                <w:bCs/>
              </w:rPr>
              <w:t>i</w:t>
            </w:r>
            <w:proofErr w:type="spellEnd"/>
            <w:r w:rsidRPr="00F76696">
              <w:rPr>
                <w:rFonts w:ascii="Times New Roman" w:hAnsi="Times New Roman" w:cs="Times New Roman"/>
                <w:b/>
                <w:bCs/>
              </w:rPr>
              <w:t>)(10)(ii))</w:t>
            </w:r>
          </w:p>
        </w:tc>
        <w:tc>
          <w:tcPr>
            <w:tcW w:w="1260" w:type="dxa"/>
            <w:tcBorders>
              <w:top w:val="single" w:color="auto" w:sz="8" w:space="0"/>
              <w:left w:val="single" w:color="auto" w:sz="8" w:space="0"/>
              <w:bottom w:val="single" w:color="auto" w:sz="8" w:space="0"/>
              <w:right w:val="nil"/>
            </w:tcBorders>
          </w:tcPr>
          <w:p w:rsidRPr="00F76696" w:rsidR="001C0187" w:rsidP="000646B6" w:rsidRDefault="008F4A0B" w14:paraId="329BB6F1" w14:textId="77777777">
            <w:pPr>
              <w:spacing w:after="0"/>
              <w:jc w:val="center"/>
              <w:rPr>
                <w:rFonts w:ascii="Times New Roman" w:hAnsi="Times New Roman" w:cs="Times New Roman"/>
              </w:rPr>
            </w:pPr>
            <w:r>
              <w:rPr>
                <w:rFonts w:ascii="Times New Roman" w:hAnsi="Times New Roman" w:cs="Times New Roman"/>
              </w:rPr>
              <w:t>675</w:t>
            </w:r>
          </w:p>
        </w:tc>
        <w:tc>
          <w:tcPr>
            <w:tcW w:w="1440" w:type="dxa"/>
            <w:tcBorders>
              <w:top w:val="single" w:color="auto" w:sz="8" w:space="0"/>
              <w:left w:val="single" w:color="auto" w:sz="8" w:space="0"/>
              <w:bottom w:val="single" w:color="auto" w:sz="8" w:space="0"/>
              <w:right w:val="nil"/>
            </w:tcBorders>
          </w:tcPr>
          <w:p w:rsidRPr="00F76696" w:rsidR="001C0187" w:rsidP="000646B6" w:rsidRDefault="008F4A0B" w14:paraId="1AC5F9E5" w14:textId="77777777">
            <w:pPr>
              <w:spacing w:after="0"/>
              <w:jc w:val="center"/>
              <w:rPr>
                <w:rFonts w:ascii="Times New Roman" w:hAnsi="Times New Roman" w:cs="Times New Roman"/>
              </w:rPr>
            </w:pPr>
            <w:r>
              <w:rPr>
                <w:rFonts w:ascii="Times New Roman" w:hAnsi="Times New Roman" w:cs="Times New Roman"/>
              </w:rPr>
              <w:t>569</w:t>
            </w:r>
          </w:p>
        </w:tc>
        <w:tc>
          <w:tcPr>
            <w:tcW w:w="1620" w:type="dxa"/>
            <w:tcBorders>
              <w:top w:val="single" w:color="auto" w:sz="8" w:space="0"/>
              <w:left w:val="single" w:color="auto" w:sz="8" w:space="0"/>
              <w:bottom w:val="single" w:color="auto" w:sz="8" w:space="0"/>
              <w:right w:val="nil"/>
            </w:tcBorders>
          </w:tcPr>
          <w:p w:rsidRPr="00F76696" w:rsidR="001C0187" w:rsidP="000646B6" w:rsidRDefault="00205125" w14:paraId="38107E77" w14:textId="77777777">
            <w:pPr>
              <w:spacing w:after="0"/>
              <w:jc w:val="center"/>
              <w:rPr>
                <w:rFonts w:ascii="Times New Roman" w:hAnsi="Times New Roman" w:cs="Times New Roman"/>
              </w:rPr>
            </w:pPr>
            <w:r>
              <w:rPr>
                <w:rFonts w:ascii="Times New Roman" w:hAnsi="Times New Roman" w:cs="Times New Roman"/>
              </w:rPr>
              <w:t>-106</w:t>
            </w:r>
          </w:p>
        </w:tc>
        <w:tc>
          <w:tcPr>
            <w:tcW w:w="1530" w:type="dxa"/>
            <w:tcBorders>
              <w:top w:val="single" w:color="auto" w:sz="8" w:space="0"/>
              <w:left w:val="single" w:color="auto" w:sz="8" w:space="0"/>
              <w:bottom w:val="single" w:color="auto" w:sz="8" w:space="0"/>
              <w:right w:val="nil"/>
            </w:tcBorders>
          </w:tcPr>
          <w:p w:rsidRPr="00F76696" w:rsidR="001C0187" w:rsidP="000646B6" w:rsidRDefault="00205125" w14:paraId="6BD05E84" w14:textId="77777777">
            <w:pPr>
              <w:spacing w:after="0"/>
              <w:jc w:val="center"/>
              <w:rPr>
                <w:rFonts w:ascii="Times New Roman" w:hAnsi="Times New Roman" w:cs="Times New Roman"/>
              </w:rPr>
            </w:pPr>
            <w:r>
              <w:rPr>
                <w:rFonts w:ascii="Times New Roman" w:hAnsi="Times New Roman" w:cs="Times New Roman"/>
              </w:rPr>
              <w:t>34,128</w:t>
            </w:r>
            <w:r w:rsidRPr="00F76696" w:rsidR="001C0187">
              <w:rPr>
                <w:rFonts w:ascii="Times New Roman" w:hAnsi="Times New Roman" w:cs="Times New Roman"/>
              </w:rPr>
              <w:t xml:space="preserve"> </w:t>
            </w:r>
          </w:p>
        </w:tc>
        <w:tc>
          <w:tcPr>
            <w:tcW w:w="3851" w:type="dxa"/>
            <w:vMerge w:val="restart"/>
            <w:tcBorders>
              <w:top w:val="single" w:color="auto" w:sz="8" w:space="0"/>
              <w:left w:val="single" w:color="auto" w:sz="8" w:space="0"/>
              <w:right w:val="single" w:color="auto" w:sz="8" w:space="0"/>
            </w:tcBorders>
          </w:tcPr>
          <w:p w:rsidRPr="00F76696" w:rsidR="001C0187" w:rsidP="00205125" w:rsidRDefault="001C0187" w14:paraId="33C6CC24" w14:textId="54C54F3D">
            <w:pPr>
              <w:spacing w:after="0"/>
              <w:rPr>
                <w:rFonts w:ascii="Times New Roman" w:hAnsi="Times New Roman" w:cs="Times New Roman"/>
              </w:rPr>
            </w:pPr>
            <w:r w:rsidRPr="00F76696">
              <w:rPr>
                <w:rFonts w:ascii="Times New Roman" w:hAnsi="Times New Roman" w:cs="Times New Roman"/>
              </w:rPr>
              <w:t xml:space="preserve">An overall adjustment </w:t>
            </w:r>
            <w:r w:rsidR="00AA6B53">
              <w:rPr>
                <w:rFonts w:ascii="Times New Roman" w:hAnsi="Times New Roman" w:cs="Times New Roman"/>
              </w:rPr>
              <w:t>decrease</w:t>
            </w:r>
            <w:r w:rsidR="00205125">
              <w:rPr>
                <w:rFonts w:ascii="Times New Roman" w:hAnsi="Times New Roman" w:cs="Times New Roman"/>
              </w:rPr>
              <w:t xml:space="preserve"> </w:t>
            </w:r>
            <w:r w:rsidRPr="00F76696">
              <w:rPr>
                <w:rFonts w:ascii="Times New Roman" w:hAnsi="Times New Roman" w:cs="Times New Roman"/>
              </w:rPr>
              <w:t>based on updated data</w:t>
            </w:r>
            <w:r w:rsidR="00AA6B53">
              <w:rPr>
                <w:rFonts w:ascii="Times New Roman" w:hAnsi="Times New Roman" w:cs="Times New Roman"/>
              </w:rPr>
              <w:t xml:space="preserve"> and calculations</w:t>
            </w:r>
            <w:r w:rsidRPr="00F76696">
              <w:rPr>
                <w:rFonts w:ascii="Times New Roman" w:hAnsi="Times New Roman" w:cs="Times New Roman"/>
              </w:rPr>
              <w:t>; the number of workers</w:t>
            </w:r>
            <w:r w:rsidR="00AA6B53">
              <w:rPr>
                <w:rFonts w:ascii="Times New Roman" w:hAnsi="Times New Roman" w:cs="Times New Roman"/>
              </w:rPr>
              <w:t xml:space="preserve"> increased from 49,649</w:t>
            </w:r>
            <w:r w:rsidR="00205125">
              <w:rPr>
                <w:rFonts w:ascii="Times New Roman" w:hAnsi="Times New Roman" w:cs="Times New Roman"/>
              </w:rPr>
              <w:t xml:space="preserve"> to 50,188</w:t>
            </w:r>
            <w:r w:rsidRPr="00F76696">
              <w:rPr>
                <w:rFonts w:ascii="Times New Roman" w:hAnsi="Times New Roman" w:cs="Times New Roman"/>
              </w:rPr>
              <w:t xml:space="preserve">. </w:t>
            </w:r>
          </w:p>
        </w:tc>
      </w:tr>
      <w:tr w:rsidR="001C0187" w:rsidTr="000646B6" w14:paraId="4FC16CDF" w14:textId="77777777">
        <w:trPr>
          <w:trHeight w:val="1012"/>
        </w:trPr>
        <w:tc>
          <w:tcPr>
            <w:tcW w:w="2610" w:type="dxa"/>
            <w:vMerge/>
            <w:tcBorders>
              <w:left w:val="single" w:color="auto" w:sz="8" w:space="0"/>
              <w:bottom w:val="single" w:color="auto" w:sz="8" w:space="0"/>
              <w:right w:val="nil"/>
            </w:tcBorders>
          </w:tcPr>
          <w:p w:rsidRPr="00F76696" w:rsidR="001C0187" w:rsidP="000646B6" w:rsidRDefault="001C0187" w14:paraId="41D427CA" w14:textId="77777777">
            <w:pPr>
              <w:spacing w:after="0"/>
              <w:rPr>
                <w:rFonts w:ascii="Times New Roman" w:hAnsi="Times New Roman" w:cs="Times New Roman"/>
                <w:b/>
                <w:bCs/>
              </w:rPr>
            </w:pPr>
          </w:p>
        </w:tc>
        <w:tc>
          <w:tcPr>
            <w:tcW w:w="1260" w:type="dxa"/>
            <w:tcBorders>
              <w:top w:val="single" w:color="auto" w:sz="8" w:space="0"/>
              <w:left w:val="single" w:color="auto" w:sz="8" w:space="0"/>
              <w:bottom w:val="single" w:color="auto" w:sz="8" w:space="0"/>
              <w:right w:val="nil"/>
            </w:tcBorders>
          </w:tcPr>
          <w:p w:rsidRPr="00F76696" w:rsidR="001C0187" w:rsidP="000646B6" w:rsidRDefault="008F4A0B" w14:paraId="03075038" w14:textId="77777777">
            <w:pPr>
              <w:spacing w:after="0"/>
              <w:jc w:val="center"/>
              <w:rPr>
                <w:rFonts w:ascii="Times New Roman" w:hAnsi="Times New Roman" w:cs="Times New Roman"/>
              </w:rPr>
            </w:pPr>
            <w:r>
              <w:rPr>
                <w:rFonts w:ascii="Times New Roman" w:hAnsi="Times New Roman" w:cs="Times New Roman"/>
              </w:rPr>
              <w:t>794</w:t>
            </w:r>
          </w:p>
        </w:tc>
        <w:tc>
          <w:tcPr>
            <w:tcW w:w="1440" w:type="dxa"/>
            <w:tcBorders>
              <w:top w:val="single" w:color="auto" w:sz="8" w:space="0"/>
              <w:left w:val="single" w:color="auto" w:sz="8" w:space="0"/>
              <w:bottom w:val="single" w:color="auto" w:sz="8" w:space="0"/>
              <w:right w:val="nil"/>
            </w:tcBorders>
          </w:tcPr>
          <w:p w:rsidRPr="00F76696" w:rsidR="001C0187" w:rsidP="000646B6" w:rsidRDefault="008F4A0B" w14:paraId="4A9D3408" w14:textId="77777777">
            <w:pPr>
              <w:spacing w:after="0"/>
              <w:jc w:val="center"/>
              <w:rPr>
                <w:rFonts w:ascii="Times New Roman" w:hAnsi="Times New Roman" w:cs="Times New Roman"/>
              </w:rPr>
            </w:pPr>
            <w:r>
              <w:rPr>
                <w:rFonts w:ascii="Times New Roman" w:hAnsi="Times New Roman" w:cs="Times New Roman"/>
              </w:rPr>
              <w:t>803</w:t>
            </w:r>
          </w:p>
        </w:tc>
        <w:tc>
          <w:tcPr>
            <w:tcW w:w="1620" w:type="dxa"/>
            <w:tcBorders>
              <w:top w:val="single" w:color="auto" w:sz="8" w:space="0"/>
              <w:left w:val="single" w:color="auto" w:sz="8" w:space="0"/>
              <w:bottom w:val="single" w:color="auto" w:sz="8" w:space="0"/>
              <w:right w:val="nil"/>
            </w:tcBorders>
          </w:tcPr>
          <w:p w:rsidRPr="00F76696" w:rsidR="001C0187" w:rsidP="000646B6" w:rsidRDefault="00205125" w14:paraId="0BE1FFE3" w14:textId="77777777">
            <w:pPr>
              <w:spacing w:after="0"/>
              <w:jc w:val="center"/>
              <w:rPr>
                <w:rFonts w:ascii="Times New Roman" w:hAnsi="Times New Roman" w:cs="Times New Roman"/>
              </w:rPr>
            </w:pPr>
            <w:r>
              <w:rPr>
                <w:rFonts w:ascii="Times New Roman" w:hAnsi="Times New Roman" w:cs="Times New Roman"/>
              </w:rPr>
              <w:t>9</w:t>
            </w:r>
          </w:p>
        </w:tc>
        <w:tc>
          <w:tcPr>
            <w:tcW w:w="1530" w:type="dxa"/>
            <w:tcBorders>
              <w:top w:val="single" w:color="auto" w:sz="8" w:space="0"/>
              <w:left w:val="single" w:color="auto" w:sz="8" w:space="0"/>
              <w:bottom w:val="single" w:color="auto" w:sz="8" w:space="0"/>
              <w:right w:val="nil"/>
            </w:tcBorders>
          </w:tcPr>
          <w:p w:rsidRPr="00F76696" w:rsidR="001C0187" w:rsidP="000646B6" w:rsidRDefault="00205125" w14:paraId="78225DEF" w14:textId="77777777">
            <w:pPr>
              <w:spacing w:after="0"/>
              <w:jc w:val="center"/>
              <w:rPr>
                <w:rFonts w:ascii="Times New Roman" w:hAnsi="Times New Roman" w:cs="Times New Roman"/>
              </w:rPr>
            </w:pPr>
            <w:r>
              <w:rPr>
                <w:rFonts w:ascii="Times New Roman" w:hAnsi="Times New Roman" w:cs="Times New Roman"/>
              </w:rPr>
              <w:t>16,060</w:t>
            </w:r>
          </w:p>
        </w:tc>
        <w:tc>
          <w:tcPr>
            <w:tcW w:w="3851" w:type="dxa"/>
            <w:vMerge/>
            <w:tcBorders>
              <w:left w:val="single" w:color="auto" w:sz="8" w:space="0"/>
              <w:bottom w:val="single" w:color="auto" w:sz="8" w:space="0"/>
              <w:right w:val="single" w:color="auto" w:sz="8" w:space="0"/>
            </w:tcBorders>
          </w:tcPr>
          <w:p w:rsidRPr="00F76696" w:rsidR="001C0187" w:rsidP="000646B6" w:rsidRDefault="001C0187" w14:paraId="597A9C0C" w14:textId="77777777">
            <w:pPr>
              <w:spacing w:after="0"/>
              <w:rPr>
                <w:rFonts w:ascii="Times New Roman" w:hAnsi="Times New Roman" w:cs="Times New Roman"/>
              </w:rPr>
            </w:pPr>
          </w:p>
        </w:tc>
      </w:tr>
      <w:tr w:rsidR="001C0187" w:rsidTr="000646B6" w14:paraId="33762137" w14:textId="77777777">
        <w:trPr>
          <w:trHeight w:val="384"/>
        </w:trPr>
        <w:tc>
          <w:tcPr>
            <w:tcW w:w="2610" w:type="dxa"/>
            <w:tcBorders>
              <w:top w:val="single" w:color="auto" w:sz="8" w:space="0"/>
              <w:left w:val="single" w:color="auto" w:sz="8" w:space="0"/>
              <w:bottom w:val="single" w:color="auto" w:sz="8" w:space="0"/>
              <w:right w:val="nil"/>
            </w:tcBorders>
          </w:tcPr>
          <w:p w:rsidRPr="00F76696" w:rsidR="001C0187" w:rsidP="0010440A" w:rsidRDefault="001C0187" w14:paraId="4A7A9229" w14:textId="77777777">
            <w:pPr>
              <w:spacing w:after="0"/>
              <w:rPr>
                <w:rFonts w:ascii="Times New Roman" w:hAnsi="Times New Roman" w:cs="Times New Roman"/>
              </w:rPr>
            </w:pPr>
            <w:r w:rsidRPr="00F76696">
              <w:rPr>
                <w:rFonts w:ascii="Times New Roman" w:hAnsi="Times New Roman" w:cs="Times New Roman"/>
                <w:b/>
                <w:bCs/>
              </w:rPr>
              <w:t>TOTAL</w:t>
            </w:r>
          </w:p>
        </w:tc>
        <w:tc>
          <w:tcPr>
            <w:tcW w:w="1260" w:type="dxa"/>
            <w:tcBorders>
              <w:top w:val="single" w:color="auto" w:sz="8" w:space="0"/>
              <w:left w:val="single" w:color="auto" w:sz="8" w:space="0"/>
              <w:bottom w:val="single" w:color="auto" w:sz="8" w:space="0"/>
              <w:right w:val="nil"/>
            </w:tcBorders>
          </w:tcPr>
          <w:p w:rsidRPr="00F76696" w:rsidR="001C0187" w:rsidP="000646B6" w:rsidRDefault="00205125" w14:paraId="5B45FEFE" w14:textId="77777777">
            <w:pPr>
              <w:spacing w:after="0"/>
              <w:jc w:val="center"/>
              <w:rPr>
                <w:rFonts w:ascii="Times New Roman" w:hAnsi="Times New Roman" w:cs="Times New Roman"/>
              </w:rPr>
            </w:pPr>
            <w:r>
              <w:rPr>
                <w:rFonts w:ascii="Times New Roman" w:hAnsi="Times New Roman" w:cs="Times New Roman"/>
                <w:b/>
                <w:bCs/>
              </w:rPr>
              <w:t>1,603</w:t>
            </w:r>
          </w:p>
        </w:tc>
        <w:tc>
          <w:tcPr>
            <w:tcW w:w="1440" w:type="dxa"/>
            <w:tcBorders>
              <w:top w:val="single" w:color="auto" w:sz="8" w:space="0"/>
              <w:left w:val="single" w:color="auto" w:sz="8" w:space="0"/>
              <w:bottom w:val="single" w:color="auto" w:sz="8" w:space="0"/>
              <w:right w:val="nil"/>
            </w:tcBorders>
          </w:tcPr>
          <w:p w:rsidRPr="00F76696" w:rsidR="001C0187" w:rsidP="000646B6" w:rsidRDefault="00205125" w14:paraId="275436C8" w14:textId="77777777">
            <w:pPr>
              <w:spacing w:after="0"/>
              <w:jc w:val="center"/>
              <w:rPr>
                <w:rFonts w:ascii="Times New Roman" w:hAnsi="Times New Roman" w:cs="Times New Roman"/>
              </w:rPr>
            </w:pPr>
            <w:r>
              <w:rPr>
                <w:rFonts w:ascii="Times New Roman" w:hAnsi="Times New Roman" w:cs="Times New Roman"/>
                <w:b/>
                <w:bCs/>
              </w:rPr>
              <w:t>1,507</w:t>
            </w:r>
            <w:r w:rsidRPr="00F76696" w:rsidR="001C0187">
              <w:rPr>
                <w:rFonts w:ascii="Times New Roman" w:hAnsi="Times New Roman" w:cs="Times New Roman"/>
                <w:b/>
                <w:bCs/>
              </w:rPr>
              <w:t xml:space="preserve"> </w:t>
            </w:r>
          </w:p>
        </w:tc>
        <w:tc>
          <w:tcPr>
            <w:tcW w:w="1620" w:type="dxa"/>
            <w:tcBorders>
              <w:top w:val="single" w:color="auto" w:sz="8" w:space="0"/>
              <w:left w:val="single" w:color="auto" w:sz="8" w:space="0"/>
              <w:bottom w:val="single" w:color="auto" w:sz="8" w:space="0"/>
              <w:right w:val="nil"/>
            </w:tcBorders>
          </w:tcPr>
          <w:p w:rsidRPr="00F76696" w:rsidR="001C0187" w:rsidP="000646B6" w:rsidRDefault="00205125" w14:paraId="64C66EB2" w14:textId="77777777">
            <w:pPr>
              <w:spacing w:after="0"/>
              <w:jc w:val="center"/>
              <w:rPr>
                <w:rFonts w:ascii="Times New Roman" w:hAnsi="Times New Roman" w:cs="Times New Roman"/>
              </w:rPr>
            </w:pPr>
            <w:r>
              <w:rPr>
                <w:rFonts w:ascii="Times New Roman" w:hAnsi="Times New Roman" w:cs="Times New Roman"/>
                <w:b/>
                <w:bCs/>
              </w:rPr>
              <w:t>-96</w:t>
            </w:r>
          </w:p>
        </w:tc>
        <w:tc>
          <w:tcPr>
            <w:tcW w:w="1530" w:type="dxa"/>
            <w:tcBorders>
              <w:top w:val="single" w:color="auto" w:sz="8" w:space="0"/>
              <w:left w:val="single" w:color="auto" w:sz="8" w:space="0"/>
              <w:bottom w:val="single" w:color="auto" w:sz="8" w:space="0"/>
              <w:right w:val="nil"/>
            </w:tcBorders>
          </w:tcPr>
          <w:p w:rsidRPr="00F76696" w:rsidR="001C0187" w:rsidP="000646B6" w:rsidRDefault="00205125" w14:paraId="2B918CEA" w14:textId="77777777">
            <w:pPr>
              <w:spacing w:after="0"/>
              <w:jc w:val="center"/>
              <w:rPr>
                <w:rFonts w:ascii="Times New Roman" w:hAnsi="Times New Roman" w:cs="Times New Roman"/>
              </w:rPr>
            </w:pPr>
            <w:r>
              <w:rPr>
                <w:rFonts w:ascii="Times New Roman" w:hAnsi="Times New Roman" w:cs="Times New Roman"/>
                <w:b/>
                <w:bCs/>
              </w:rPr>
              <w:t>50,996</w:t>
            </w:r>
            <w:r w:rsidRPr="00F76696" w:rsidR="001C0187">
              <w:rPr>
                <w:rFonts w:ascii="Times New Roman" w:hAnsi="Times New Roman" w:cs="Times New Roman"/>
                <w:b/>
                <w:bCs/>
              </w:rPr>
              <w:t xml:space="preserve"> </w:t>
            </w:r>
          </w:p>
        </w:tc>
        <w:tc>
          <w:tcPr>
            <w:tcW w:w="3851" w:type="dxa"/>
            <w:tcBorders>
              <w:top w:val="single" w:color="auto" w:sz="8" w:space="0"/>
              <w:left w:val="single" w:color="auto" w:sz="8" w:space="0"/>
              <w:bottom w:val="single" w:color="auto" w:sz="8" w:space="0"/>
              <w:right w:val="single" w:color="auto" w:sz="8" w:space="0"/>
            </w:tcBorders>
          </w:tcPr>
          <w:p w:rsidR="001C0187" w:rsidP="000646B6" w:rsidRDefault="001C0187" w14:paraId="09D7B637" w14:textId="77777777">
            <w:pPr>
              <w:overflowPunct/>
              <w:autoSpaceDE w:val="0"/>
              <w:autoSpaceDN w:val="0"/>
              <w:spacing w:after="0" w:line="240" w:lineRule="auto"/>
              <w:rPr>
                <w:rFonts w:ascii="Times New Roman" w:hAnsi="Times New Roman" w:cs="Times New Roman"/>
                <w:sz w:val="24"/>
                <w:szCs w:val="24"/>
              </w:rPr>
            </w:pPr>
          </w:p>
        </w:tc>
      </w:tr>
    </w:tbl>
    <w:p w:rsidRPr="00016301" w:rsidR="003D2F48" w:rsidP="00BE338A" w:rsidRDefault="003D2F48" w14:paraId="53378FE5" w14:textId="532C5E54">
      <w:pPr>
        <w:ind w:firstLine="720"/>
        <w:rPr>
          <w:rFonts w:ascii="Times New Roman" w:hAnsi="Times New Roman" w:cs="Times New Roman"/>
        </w:rPr>
      </w:pPr>
    </w:p>
    <w:sectPr w:rsidRPr="00016301" w:rsidR="003D2F48" w:rsidSect="0058054A">
      <w:pgSz w:w="15840" w:h="12240" w:orient="landscape"/>
      <w:pgMar w:top="1440" w:right="1440" w:bottom="1440" w:left="1440" w:header="720" w:footer="720" w:gutter="0"/>
      <w:pgNumType w:start="1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C3F3" w14:textId="77777777" w:rsidR="006A57B2" w:rsidRDefault="006A57B2" w:rsidP="003D2F48">
      <w:pPr>
        <w:spacing w:after="0" w:line="240" w:lineRule="auto"/>
      </w:pPr>
      <w:r>
        <w:separator/>
      </w:r>
    </w:p>
  </w:endnote>
  <w:endnote w:type="continuationSeparator" w:id="0">
    <w:p w14:paraId="33016501" w14:textId="77777777" w:rsidR="006A57B2" w:rsidRDefault="006A57B2" w:rsidP="003D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081856"/>
      <w:docPartObj>
        <w:docPartGallery w:val="Page Numbers (Bottom of Page)"/>
        <w:docPartUnique/>
      </w:docPartObj>
    </w:sdtPr>
    <w:sdtEndPr>
      <w:rPr>
        <w:noProof/>
      </w:rPr>
    </w:sdtEndPr>
    <w:sdtContent>
      <w:p w14:paraId="5334213D" w14:textId="7FEF8BA5" w:rsidR="0058054A" w:rsidRDefault="0058054A">
        <w:pPr>
          <w:pStyle w:val="Footer"/>
          <w:jc w:val="center"/>
        </w:pPr>
        <w:r>
          <w:fldChar w:fldCharType="begin"/>
        </w:r>
        <w:r>
          <w:instrText xml:space="preserve"> PAGE   \* MERGEFORMAT </w:instrText>
        </w:r>
        <w:r>
          <w:fldChar w:fldCharType="separate"/>
        </w:r>
        <w:r w:rsidR="00CD0FAD">
          <w:rPr>
            <w:noProof/>
          </w:rPr>
          <w:t>8</w:t>
        </w:r>
        <w:r>
          <w:rPr>
            <w:noProof/>
          </w:rPr>
          <w:fldChar w:fldCharType="end"/>
        </w:r>
      </w:p>
    </w:sdtContent>
  </w:sdt>
  <w:p w14:paraId="74A9E7DD" w14:textId="77777777" w:rsidR="00457920" w:rsidRDefault="00457920">
    <w:pPr>
      <w:tabs>
        <w:tab w:val="center" w:pos="4680"/>
        <w:tab w:val="right" w:pos="9360"/>
      </w:tabs>
      <w:rPr>
        <w:rFonts w:cstheme="minorBidi"/>
        <w:kern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D4F4" w14:textId="0D6AC16A" w:rsidR="00581395" w:rsidRDefault="00581395">
    <w:pPr>
      <w:pStyle w:val="Footer"/>
      <w:jc w:val="center"/>
    </w:pPr>
  </w:p>
  <w:p w14:paraId="35DEE7A5" w14:textId="77777777" w:rsidR="00457920" w:rsidRDefault="00457920" w:rsidP="00427C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671911"/>
      <w:docPartObj>
        <w:docPartGallery w:val="Page Numbers (Bottom of Page)"/>
        <w:docPartUnique/>
      </w:docPartObj>
    </w:sdtPr>
    <w:sdtEndPr>
      <w:rPr>
        <w:noProof/>
      </w:rPr>
    </w:sdtEndPr>
    <w:sdtContent>
      <w:p w14:paraId="64E9AFB2" w14:textId="45455042" w:rsidR="0058054A" w:rsidRDefault="0058054A">
        <w:pPr>
          <w:pStyle w:val="Footer"/>
          <w:jc w:val="center"/>
        </w:pPr>
        <w:r>
          <w:fldChar w:fldCharType="begin"/>
        </w:r>
        <w:r>
          <w:instrText xml:space="preserve"> PAGE   \* MERGEFORMAT </w:instrText>
        </w:r>
        <w:r>
          <w:fldChar w:fldCharType="separate"/>
        </w:r>
        <w:r w:rsidR="00CD0FAD">
          <w:rPr>
            <w:noProof/>
          </w:rPr>
          <w:t>11</w:t>
        </w:r>
        <w:r>
          <w:rPr>
            <w:noProof/>
          </w:rPr>
          <w:fldChar w:fldCharType="end"/>
        </w:r>
      </w:p>
    </w:sdtContent>
  </w:sdt>
  <w:p w14:paraId="3FA85334" w14:textId="14D884C1" w:rsidR="001E2316" w:rsidRDefault="001E231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1859"/>
      <w:docPartObj>
        <w:docPartGallery w:val="Page Numbers (Bottom of Page)"/>
        <w:docPartUnique/>
      </w:docPartObj>
    </w:sdtPr>
    <w:sdtEndPr>
      <w:rPr>
        <w:noProof/>
      </w:rPr>
    </w:sdtEndPr>
    <w:sdtContent>
      <w:p w14:paraId="1385FCFD" w14:textId="387AFF93" w:rsidR="00A720C9" w:rsidRDefault="00A720C9">
        <w:pPr>
          <w:pStyle w:val="Footer"/>
          <w:jc w:val="center"/>
        </w:pPr>
        <w:r>
          <w:fldChar w:fldCharType="begin"/>
        </w:r>
        <w:r>
          <w:instrText xml:space="preserve"> PAGE   \* MERGEFORMAT </w:instrText>
        </w:r>
        <w:r>
          <w:fldChar w:fldCharType="separate"/>
        </w:r>
        <w:r w:rsidR="00EA5259">
          <w:rPr>
            <w:noProof/>
          </w:rPr>
          <w:t>12</w:t>
        </w:r>
        <w:r>
          <w:rPr>
            <w:noProof/>
          </w:rPr>
          <w:fldChar w:fldCharType="end"/>
        </w:r>
      </w:p>
    </w:sdtContent>
  </w:sdt>
  <w:p w14:paraId="52A6DEF2" w14:textId="77777777" w:rsidR="00A720C9" w:rsidRDefault="00A720C9" w:rsidP="00581395">
    <w:pPr>
      <w:pStyle w:val="Footer"/>
      <w:tabs>
        <w:tab w:val="clear" w:pos="9360"/>
        <w:tab w:val="left" w:pos="5040"/>
        <w:tab w:val="left" w:pos="5760"/>
        <w:tab w:val="left" w:pos="6480"/>
      </w:tabs>
    </w:pPr>
  </w:p>
  <w:p w14:paraId="1A82D8C5" w14:textId="77777777" w:rsidR="001E2316" w:rsidRDefault="001E2316"/>
  <w:p w14:paraId="4C287600" w14:textId="77777777" w:rsidR="001E2316" w:rsidRDefault="001E2316"/>
  <w:p w14:paraId="384ADF5C" w14:textId="77777777" w:rsidR="001E2316" w:rsidRDefault="001E23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0381" w14:textId="77777777" w:rsidR="006A57B2" w:rsidRDefault="006A57B2" w:rsidP="003D2F48">
      <w:pPr>
        <w:spacing w:after="0" w:line="240" w:lineRule="auto"/>
      </w:pPr>
      <w:r>
        <w:separator/>
      </w:r>
    </w:p>
  </w:footnote>
  <w:footnote w:type="continuationSeparator" w:id="0">
    <w:p w14:paraId="5075FD2B" w14:textId="77777777" w:rsidR="006A57B2" w:rsidRDefault="006A57B2" w:rsidP="003D2F48">
      <w:pPr>
        <w:spacing w:after="0" w:line="240" w:lineRule="auto"/>
      </w:pPr>
      <w:r>
        <w:continuationSeparator/>
      </w:r>
    </w:p>
  </w:footnote>
  <w:footnote w:id="1">
    <w:p w14:paraId="4324DFDA" w14:textId="31AE08E4" w:rsidR="00457920" w:rsidRDefault="00457920" w:rsidP="0010440A">
      <w:pPr>
        <w:tabs>
          <w:tab w:val="left" w:pos="0"/>
          <w:tab w:val="left" w:pos="180"/>
          <w:tab w:val="left" w:pos="270"/>
          <w:tab w:val="left" w:pos="540"/>
          <w:tab w:val="left" w:pos="720"/>
          <w:tab w:val="left" w:pos="2160"/>
          <w:tab w:val="left" w:pos="2250"/>
          <w:tab w:val="left" w:pos="2880"/>
        </w:tabs>
        <w:spacing w:after="0" w:line="240" w:lineRule="auto"/>
        <w:jc w:val="center"/>
        <w:rPr>
          <w:rFonts w:ascii="Times New Roman" w:hAnsi="Times New Roman" w:cs="Times New Roman"/>
          <w:sz w:val="18"/>
          <w:szCs w:val="18"/>
        </w:rPr>
      </w:pPr>
      <w:r>
        <w:rPr>
          <w:kern w:val="0"/>
        </w:rPr>
        <w:tab/>
      </w:r>
      <w:r>
        <w:rPr>
          <w:rFonts w:cstheme="minorBidi"/>
          <w:kern w:val="0"/>
          <w:sz w:val="24"/>
          <w:szCs w:val="24"/>
          <w:vertAlign w:val="superscript"/>
        </w:rPr>
        <w:footnoteRef/>
      </w:r>
      <w:r w:rsidRPr="00DE4F3D">
        <w:rPr>
          <w:rFonts w:ascii="Times New Roman" w:hAnsi="Times New Roman" w:cs="Times New Roman"/>
          <w:kern w:val="0"/>
          <w:sz w:val="18"/>
          <w:szCs w:val="18"/>
        </w:rPr>
        <w:t>T</w:t>
      </w:r>
      <w:r w:rsidRPr="00DE4F3D">
        <w:rPr>
          <w:rFonts w:ascii="Times New Roman" w:hAnsi="Times New Roman" w:cs="Times New Roman"/>
          <w:spacing w:val="-2"/>
          <w:sz w:val="18"/>
          <w:szCs w:val="18"/>
        </w:rPr>
        <w:t>he purpose of this supporting statement is to analyze and describe the burden hours and costs associated with provisions of</w:t>
      </w:r>
      <w:r>
        <w:rPr>
          <w:rFonts w:ascii="Times New Roman" w:hAnsi="Times New Roman" w:cs="Times New Roman"/>
          <w:spacing w:val="-2"/>
          <w:sz w:val="18"/>
          <w:szCs w:val="18"/>
        </w:rPr>
        <w:t xml:space="preserve"> </w:t>
      </w:r>
      <w:r w:rsidRPr="00DE4F3D">
        <w:rPr>
          <w:rFonts w:ascii="Times New Roman" w:hAnsi="Times New Roman" w:cs="Times New Roman"/>
          <w:spacing w:val="-2"/>
          <w:sz w:val="18"/>
          <w:szCs w:val="18"/>
        </w:rPr>
        <w:t>the</w:t>
      </w:r>
      <w:r w:rsidR="00264F85">
        <w:rPr>
          <w:rFonts w:ascii="Times New Roman" w:hAnsi="Times New Roman" w:cs="Times New Roman"/>
          <w:spacing w:val="-2"/>
          <w:sz w:val="18"/>
          <w:szCs w:val="18"/>
        </w:rPr>
        <w:t xml:space="preserve"> </w:t>
      </w:r>
      <w:r w:rsidRPr="00DE4F3D">
        <w:rPr>
          <w:rFonts w:ascii="Times New Roman" w:hAnsi="Times New Roman" w:cs="Times New Roman"/>
          <w:spacing w:val="-2"/>
          <w:sz w:val="18"/>
          <w:szCs w:val="18"/>
        </w:rPr>
        <w:t xml:space="preserve">Standard that contain paperwork requirements; this supporting statement does not provide </w:t>
      </w:r>
      <w:r w:rsidRPr="00DE4F3D">
        <w:rPr>
          <w:rFonts w:ascii="Times New Roman" w:hAnsi="Times New Roman" w:cs="Times New Roman"/>
          <w:sz w:val="18"/>
          <w:szCs w:val="18"/>
        </w:rPr>
        <w:t>information or guidance on how to</w:t>
      </w:r>
    </w:p>
    <w:p w14:paraId="78AC8AE1" w14:textId="77777777" w:rsidR="00457920" w:rsidRPr="00DE4F3D" w:rsidRDefault="00457920" w:rsidP="003D2F48">
      <w:pPr>
        <w:tabs>
          <w:tab w:val="left" w:pos="0"/>
          <w:tab w:val="left" w:pos="540"/>
          <w:tab w:val="left" w:pos="720"/>
          <w:tab w:val="left" w:pos="2160"/>
          <w:tab w:val="left" w:pos="2250"/>
          <w:tab w:val="left" w:pos="2880"/>
        </w:tabs>
        <w:rPr>
          <w:rFonts w:ascii="Times New Roman" w:hAnsi="Times New Roman" w:cs="Times New Roman"/>
          <w:kern w:val="0"/>
          <w:sz w:val="18"/>
          <w:szCs w:val="18"/>
        </w:rPr>
      </w:pPr>
      <w:proofErr w:type="gramStart"/>
      <w:r w:rsidRPr="00DE4F3D">
        <w:rPr>
          <w:rFonts w:ascii="Times New Roman" w:hAnsi="Times New Roman" w:cs="Times New Roman"/>
          <w:sz w:val="18"/>
          <w:szCs w:val="18"/>
        </w:rPr>
        <w:t>comply</w:t>
      </w:r>
      <w:proofErr w:type="gramEnd"/>
      <w:r w:rsidRPr="00DE4F3D">
        <w:rPr>
          <w:rFonts w:ascii="Times New Roman" w:hAnsi="Times New Roman" w:cs="Times New Roman"/>
          <w:sz w:val="18"/>
          <w:szCs w:val="18"/>
        </w:rPr>
        <w:t xml:space="preserve"> with, or how to enforce, the Standard.</w:t>
      </w:r>
    </w:p>
  </w:footnote>
  <w:footnote w:id="2">
    <w:p w14:paraId="6D1786B5" w14:textId="77777777" w:rsidR="00671CE7" w:rsidRPr="00F76696" w:rsidRDefault="00671CE7" w:rsidP="00671CE7">
      <w:pPr>
        <w:spacing w:after="0" w:line="240" w:lineRule="auto"/>
        <w:ind w:firstLine="720"/>
        <w:rPr>
          <w:rFonts w:ascii="Times New Roman" w:hAnsi="Times New Roman" w:cs="Times New Roman"/>
          <w:kern w:val="0"/>
          <w:sz w:val="24"/>
          <w:szCs w:val="24"/>
        </w:rPr>
      </w:pPr>
      <w:r>
        <w:rPr>
          <w:rFonts w:cstheme="minorBidi"/>
          <w:kern w:val="0"/>
          <w:sz w:val="24"/>
          <w:szCs w:val="24"/>
          <w:vertAlign w:val="superscript"/>
        </w:rPr>
        <w:footnoteRef/>
      </w:r>
      <w:r>
        <w:rPr>
          <w:rFonts w:ascii="Times New Roman" w:hAnsi="Times New Roman" w:cs="Times New Roman"/>
          <w:kern w:val="0"/>
          <w:sz w:val="20"/>
          <w:szCs w:val="20"/>
        </w:rPr>
        <w:t xml:space="preserve">Source:  U.S. Census Bureau, 2016 County Business Patterns, NAICS 1133-Logging, United States </w:t>
      </w:r>
      <w:hyperlink r:id="rId1" w:history="1">
        <w:r w:rsidRPr="0057670A">
          <w:rPr>
            <w:rStyle w:val="Hyperlink"/>
            <w:rFonts w:ascii="Times New Roman" w:hAnsi="Times New Roman" w:cs="Times New Roman"/>
            <w:kern w:val="0"/>
            <w:sz w:val="20"/>
            <w:szCs w:val="20"/>
          </w:rPr>
          <w:t>https://www.census.gov/data/tables/2016/econ/susb/2016-susb-annual.html</w:t>
        </w:r>
      </w:hyperlink>
    </w:p>
  </w:footnote>
  <w:footnote w:id="3">
    <w:p w14:paraId="7FE4B8C8" w14:textId="77777777" w:rsidR="00457920" w:rsidRPr="00DE4F3D" w:rsidRDefault="00457920" w:rsidP="0010440A">
      <w:pPr>
        <w:spacing w:after="0" w:line="240" w:lineRule="auto"/>
        <w:ind w:firstLine="720"/>
        <w:rPr>
          <w:rFonts w:ascii="Times New Roman" w:hAnsi="Times New Roman" w:cs="Times New Roman"/>
          <w:kern w:val="0"/>
          <w:sz w:val="18"/>
          <w:szCs w:val="18"/>
        </w:rPr>
      </w:pPr>
      <w:r>
        <w:rPr>
          <w:rFonts w:cstheme="minorBidi"/>
          <w:kern w:val="0"/>
          <w:sz w:val="24"/>
          <w:szCs w:val="24"/>
          <w:vertAlign w:val="superscript"/>
        </w:rPr>
        <w:footnoteRef/>
      </w:r>
      <w:r w:rsidRPr="00DE4F3D">
        <w:rPr>
          <w:rFonts w:ascii="Times New Roman" w:hAnsi="Times New Roman" w:cs="Times New Roman"/>
          <w:kern w:val="0"/>
          <w:sz w:val="18"/>
          <w:szCs w:val="18"/>
        </w:rPr>
        <w:t>Regulatory Impact Analysis for the Revisions to the Pulpwood Logging Standard (29 CFR 1910.266), pp. III-9-10, U.S. Department of Labor, Occupational Safety and Health Administration, Office of Regulatory Analysis, June 30, 1994.</w:t>
      </w:r>
    </w:p>
  </w:footnote>
  <w:footnote w:id="4">
    <w:p w14:paraId="0491D37C" w14:textId="77777777" w:rsidR="005272AA" w:rsidRPr="0010440A" w:rsidRDefault="00F60E15">
      <w:pPr>
        <w:pStyle w:val="FootnoteText"/>
        <w:rPr>
          <w:rFonts w:ascii="Times New Roman" w:hAnsi="Times New Roman" w:cs="Times New Roman"/>
          <w:sz w:val="18"/>
          <w:szCs w:val="18"/>
        </w:rPr>
      </w:pPr>
      <w:r>
        <w:rPr>
          <w:rFonts w:ascii="Times New Roman" w:hAnsi="Times New Roman" w:cs="Times New Roman"/>
          <w:sz w:val="18"/>
          <w:szCs w:val="18"/>
        </w:rPr>
        <w:tab/>
      </w:r>
      <w:r w:rsidR="005272AA" w:rsidRPr="0010440A">
        <w:rPr>
          <w:rStyle w:val="FootnoteReference"/>
          <w:rFonts w:ascii="Times New Roman" w:hAnsi="Times New Roman" w:cs="Times New Roman"/>
          <w:sz w:val="18"/>
          <w:szCs w:val="18"/>
        </w:rPr>
        <w:footnoteRef/>
      </w:r>
      <w:r w:rsidR="005272AA" w:rsidRPr="0010440A">
        <w:rPr>
          <w:rFonts w:ascii="Times New Roman" w:hAnsi="Times New Roman" w:cs="Times New Roman"/>
          <w:sz w:val="18"/>
          <w:szCs w:val="18"/>
        </w:rPr>
        <w:t xml:space="preserve"> The number of unduplicated respondents is 8,076.  Therefore, the respondents displayed in the “Certification of Training” row are duplicated.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59FA" w14:textId="3B83B943" w:rsidR="00457920" w:rsidRDefault="00130198" w:rsidP="00E15C67">
    <w:pPr>
      <w:tabs>
        <w:tab w:val="center" w:pos="6480"/>
        <w:tab w:val="right" w:pos="12960"/>
      </w:tabs>
      <w:spacing w:after="0"/>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Logging Operations Standard</w:t>
    </w:r>
    <w:r w:rsidR="0036681A">
      <w:rPr>
        <w:rFonts w:ascii="Times New Roman" w:eastAsia="Times New Roman" w:hAnsi="Times New Roman" w:cs="Times New Roman"/>
        <w:kern w:val="0"/>
        <w:sz w:val="20"/>
        <w:szCs w:val="20"/>
      </w:rPr>
      <w:t xml:space="preserve"> (29 CFR 1910.266)</w:t>
    </w:r>
  </w:p>
  <w:p w14:paraId="7CBDB0A3" w14:textId="22D94695" w:rsidR="00130198" w:rsidRDefault="00130198" w:rsidP="00E15C67">
    <w:pPr>
      <w:tabs>
        <w:tab w:val="center" w:pos="6480"/>
        <w:tab w:val="right" w:pos="12960"/>
      </w:tabs>
      <w:spacing w:after="0"/>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1218-0198</w:t>
    </w:r>
  </w:p>
  <w:p w14:paraId="047575AF" w14:textId="6E0F4280" w:rsidR="00130198" w:rsidRPr="009F66FD" w:rsidRDefault="00130198" w:rsidP="00E15C67">
    <w:pPr>
      <w:tabs>
        <w:tab w:val="center" w:pos="6480"/>
        <w:tab w:val="right" w:pos="12960"/>
      </w:tabs>
      <w:spacing w:after="0"/>
      <w:rPr>
        <w:rFonts w:ascii="Times New Roman" w:hAnsi="Times New Roman" w:cs="Times New Roman"/>
        <w:kern w:val="0"/>
        <w:sz w:val="24"/>
        <w:szCs w:val="24"/>
      </w:rPr>
    </w:pPr>
    <w:r>
      <w:rPr>
        <w:rFonts w:ascii="Times New Roman" w:eastAsia="Times New Roman" w:hAnsi="Times New Roman" w:cs="Times New Roman"/>
        <w:kern w:val="0"/>
        <w:sz w:val="20"/>
        <w:szCs w:val="20"/>
      </w:rPr>
      <w:t>September 30,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F2B1" w14:textId="6B7ACA8E" w:rsidR="00130198" w:rsidRPr="00130198" w:rsidRDefault="00130198" w:rsidP="0010440A">
    <w:pPr>
      <w:pStyle w:val="Header"/>
      <w:tabs>
        <w:tab w:val="clear" w:pos="4680"/>
        <w:tab w:val="clear" w:pos="9360"/>
        <w:tab w:val="left" w:pos="7080"/>
      </w:tabs>
      <w:rPr>
        <w:rFonts w:ascii="Times New Roman" w:hAnsi="Times New Roman" w:cs="Times New Roman"/>
        <w:sz w:val="20"/>
        <w:szCs w:val="20"/>
      </w:rPr>
    </w:pPr>
    <w:r w:rsidRPr="00130198">
      <w:rPr>
        <w:rFonts w:ascii="Times New Roman" w:hAnsi="Times New Roman" w:cs="Times New Roman"/>
        <w:sz w:val="20"/>
        <w:szCs w:val="20"/>
      </w:rPr>
      <w:t>The Logging Operations Standard</w:t>
    </w:r>
    <w:r w:rsidR="0036681A">
      <w:rPr>
        <w:rFonts w:ascii="Times New Roman" w:hAnsi="Times New Roman" w:cs="Times New Roman"/>
        <w:sz w:val="20"/>
        <w:szCs w:val="20"/>
      </w:rPr>
      <w:t xml:space="preserve"> (29 CFR 1910.266)</w:t>
    </w:r>
  </w:p>
  <w:p w14:paraId="7AE5D848" w14:textId="77777777" w:rsidR="00130198" w:rsidRPr="00130198" w:rsidRDefault="00130198" w:rsidP="0010440A">
    <w:pPr>
      <w:pStyle w:val="Header"/>
      <w:tabs>
        <w:tab w:val="clear" w:pos="4680"/>
        <w:tab w:val="clear" w:pos="9360"/>
        <w:tab w:val="left" w:pos="7080"/>
      </w:tabs>
      <w:rPr>
        <w:rFonts w:ascii="Times New Roman" w:hAnsi="Times New Roman" w:cs="Times New Roman"/>
        <w:sz w:val="20"/>
        <w:szCs w:val="20"/>
      </w:rPr>
    </w:pPr>
    <w:r w:rsidRPr="00130198">
      <w:rPr>
        <w:rFonts w:ascii="Times New Roman" w:hAnsi="Times New Roman" w:cs="Times New Roman"/>
        <w:sz w:val="20"/>
        <w:szCs w:val="20"/>
      </w:rPr>
      <w:t>1218-0198</w:t>
    </w:r>
  </w:p>
  <w:p w14:paraId="2AAC3EF6" w14:textId="5A235519" w:rsidR="00457920" w:rsidRDefault="00130198" w:rsidP="0010440A">
    <w:pPr>
      <w:pStyle w:val="Header"/>
      <w:tabs>
        <w:tab w:val="clear" w:pos="4680"/>
        <w:tab w:val="clear" w:pos="9360"/>
        <w:tab w:val="left" w:pos="7080"/>
      </w:tabs>
    </w:pPr>
    <w:r w:rsidRPr="00130198">
      <w:rPr>
        <w:rFonts w:ascii="Times New Roman" w:hAnsi="Times New Roman" w:cs="Times New Roman"/>
        <w:sz w:val="20"/>
        <w:szCs w:val="20"/>
      </w:rPr>
      <w:t>September 30, 2020</w:t>
    </w:r>
    <w:r w:rsidR="00DD29B9">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C7C78" w14:textId="64A0FE82" w:rsidR="00383938" w:rsidRDefault="00130198" w:rsidP="00383938">
    <w:pPr>
      <w:pStyle w:val="Head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Logging Operations Standard</w:t>
    </w:r>
    <w:r w:rsidR="0036681A">
      <w:rPr>
        <w:rFonts w:ascii="Times New Roman" w:eastAsia="Times New Roman" w:hAnsi="Times New Roman" w:cs="Times New Roman"/>
        <w:kern w:val="0"/>
        <w:sz w:val="20"/>
        <w:szCs w:val="20"/>
      </w:rPr>
      <w:t xml:space="preserve"> (29 CFR 1910.266)</w:t>
    </w:r>
  </w:p>
  <w:p w14:paraId="69E7B174" w14:textId="0073E81E" w:rsidR="00130198" w:rsidRDefault="00130198" w:rsidP="00383938">
    <w:pPr>
      <w:pStyle w:val="Head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1218-0198</w:t>
    </w:r>
  </w:p>
  <w:p w14:paraId="799C87A2" w14:textId="7FC28C52" w:rsidR="00130198" w:rsidRDefault="00130198" w:rsidP="00383938">
    <w:pPr>
      <w:pStyle w:val="Header"/>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September 30, 2020</w:t>
    </w:r>
  </w:p>
  <w:p w14:paraId="658E1F9F" w14:textId="77777777" w:rsidR="00130198" w:rsidRPr="00383938" w:rsidRDefault="00130198" w:rsidP="00383938">
    <w:pPr>
      <w:pStyle w:val="Header"/>
      <w:rPr>
        <w:rFonts w:ascii="Times New Roman" w:eastAsia="Times New Roman" w:hAnsi="Times New Roman" w:cs="Times New Roman"/>
        <w:kern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66A0"/>
    <w:multiLevelType w:val="hybridMultilevel"/>
    <w:tmpl w:val="972AA052"/>
    <w:lvl w:ilvl="0" w:tplc="F738CF6C">
      <w:start w:val="1"/>
      <w:numFmt w:val="lowerLetter"/>
      <w:lvlText w:val="(%1)"/>
      <w:lvlJc w:val="left"/>
      <w:pPr>
        <w:ind w:left="200" w:hanging="353"/>
      </w:pPr>
      <w:rPr>
        <w:rFonts w:ascii="Verdana" w:eastAsia="Verdana" w:hAnsi="Verdana" w:cs="Verdana" w:hint="default"/>
        <w:color w:val="00339A"/>
        <w:spacing w:val="-2"/>
        <w:w w:val="98"/>
        <w:sz w:val="19"/>
        <w:szCs w:val="19"/>
        <w:lang w:val="en-US" w:eastAsia="en-US" w:bidi="en-US"/>
      </w:rPr>
    </w:lvl>
    <w:lvl w:ilvl="1" w:tplc="F3DE4546">
      <w:numFmt w:val="bullet"/>
      <w:lvlText w:val="•"/>
      <w:lvlJc w:val="left"/>
      <w:pPr>
        <w:ind w:left="1013" w:hanging="353"/>
      </w:pPr>
      <w:rPr>
        <w:rFonts w:hint="default"/>
        <w:lang w:val="en-US" w:eastAsia="en-US" w:bidi="en-US"/>
      </w:rPr>
    </w:lvl>
    <w:lvl w:ilvl="2" w:tplc="090A262A">
      <w:numFmt w:val="bullet"/>
      <w:lvlText w:val="•"/>
      <w:lvlJc w:val="left"/>
      <w:pPr>
        <w:ind w:left="1826" w:hanging="353"/>
      </w:pPr>
      <w:rPr>
        <w:rFonts w:hint="default"/>
        <w:lang w:val="en-US" w:eastAsia="en-US" w:bidi="en-US"/>
      </w:rPr>
    </w:lvl>
    <w:lvl w:ilvl="3" w:tplc="931654FA">
      <w:numFmt w:val="bullet"/>
      <w:lvlText w:val="•"/>
      <w:lvlJc w:val="left"/>
      <w:pPr>
        <w:ind w:left="2639" w:hanging="353"/>
      </w:pPr>
      <w:rPr>
        <w:rFonts w:hint="default"/>
        <w:lang w:val="en-US" w:eastAsia="en-US" w:bidi="en-US"/>
      </w:rPr>
    </w:lvl>
    <w:lvl w:ilvl="4" w:tplc="6CF44556">
      <w:numFmt w:val="bullet"/>
      <w:lvlText w:val="•"/>
      <w:lvlJc w:val="left"/>
      <w:pPr>
        <w:ind w:left="3453" w:hanging="353"/>
      </w:pPr>
      <w:rPr>
        <w:rFonts w:hint="default"/>
        <w:lang w:val="en-US" w:eastAsia="en-US" w:bidi="en-US"/>
      </w:rPr>
    </w:lvl>
    <w:lvl w:ilvl="5" w:tplc="55D2D290">
      <w:numFmt w:val="bullet"/>
      <w:lvlText w:val="•"/>
      <w:lvlJc w:val="left"/>
      <w:pPr>
        <w:ind w:left="4266" w:hanging="353"/>
      </w:pPr>
      <w:rPr>
        <w:rFonts w:hint="default"/>
        <w:lang w:val="en-US" w:eastAsia="en-US" w:bidi="en-US"/>
      </w:rPr>
    </w:lvl>
    <w:lvl w:ilvl="6" w:tplc="95E4CC24">
      <w:numFmt w:val="bullet"/>
      <w:lvlText w:val="•"/>
      <w:lvlJc w:val="left"/>
      <w:pPr>
        <w:ind w:left="5079" w:hanging="353"/>
      </w:pPr>
      <w:rPr>
        <w:rFonts w:hint="default"/>
        <w:lang w:val="en-US" w:eastAsia="en-US" w:bidi="en-US"/>
      </w:rPr>
    </w:lvl>
    <w:lvl w:ilvl="7" w:tplc="2C040F12">
      <w:numFmt w:val="bullet"/>
      <w:lvlText w:val="•"/>
      <w:lvlJc w:val="left"/>
      <w:pPr>
        <w:ind w:left="5893" w:hanging="353"/>
      </w:pPr>
      <w:rPr>
        <w:rFonts w:hint="default"/>
        <w:lang w:val="en-US" w:eastAsia="en-US" w:bidi="en-US"/>
      </w:rPr>
    </w:lvl>
    <w:lvl w:ilvl="8" w:tplc="62167F26">
      <w:numFmt w:val="bullet"/>
      <w:lvlText w:val="•"/>
      <w:lvlJc w:val="left"/>
      <w:pPr>
        <w:ind w:left="6706" w:hanging="353"/>
      </w:pPr>
      <w:rPr>
        <w:rFonts w:hint="default"/>
        <w:lang w:val="en-US" w:eastAsia="en-US" w:bidi="en-US"/>
      </w:rPr>
    </w:lvl>
  </w:abstractNum>
  <w:abstractNum w:abstractNumId="1" w15:restartNumberingAfterBreak="0">
    <w:nsid w:val="277860B5"/>
    <w:multiLevelType w:val="hybridMultilevel"/>
    <w:tmpl w:val="42DE9ADA"/>
    <w:lvl w:ilvl="0" w:tplc="A086BDB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7DE299E"/>
    <w:multiLevelType w:val="hybridMultilevel"/>
    <w:tmpl w:val="ADA2953A"/>
    <w:lvl w:ilvl="0" w:tplc="F98E6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BD195F"/>
    <w:multiLevelType w:val="hybridMultilevel"/>
    <w:tmpl w:val="58F4ED20"/>
    <w:lvl w:ilvl="0" w:tplc="FFC0157E">
      <w:start w:val="3"/>
      <w:numFmt w:val="decimal"/>
      <w:lvlText w:val="(%1)"/>
      <w:lvlJc w:val="left"/>
      <w:pPr>
        <w:ind w:left="365" w:hanging="363"/>
      </w:pPr>
      <w:rPr>
        <w:rFonts w:ascii="Verdana" w:eastAsia="Verdana" w:hAnsi="Verdana" w:cs="Verdana" w:hint="default"/>
        <w:color w:val="00339A"/>
        <w:spacing w:val="-1"/>
        <w:w w:val="98"/>
        <w:sz w:val="19"/>
        <w:szCs w:val="19"/>
        <w:lang w:val="en-US" w:eastAsia="en-US" w:bidi="en-US"/>
      </w:rPr>
    </w:lvl>
    <w:lvl w:ilvl="1" w:tplc="0442940A">
      <w:numFmt w:val="bullet"/>
      <w:lvlText w:val="•"/>
      <w:lvlJc w:val="left"/>
      <w:pPr>
        <w:ind w:left="1157" w:hanging="363"/>
      </w:pPr>
      <w:rPr>
        <w:rFonts w:hint="default"/>
        <w:lang w:val="en-US" w:eastAsia="en-US" w:bidi="en-US"/>
      </w:rPr>
    </w:lvl>
    <w:lvl w:ilvl="2" w:tplc="E14A54B2">
      <w:numFmt w:val="bullet"/>
      <w:lvlText w:val="•"/>
      <w:lvlJc w:val="left"/>
      <w:pPr>
        <w:ind w:left="1954" w:hanging="363"/>
      </w:pPr>
      <w:rPr>
        <w:rFonts w:hint="default"/>
        <w:lang w:val="en-US" w:eastAsia="en-US" w:bidi="en-US"/>
      </w:rPr>
    </w:lvl>
    <w:lvl w:ilvl="3" w:tplc="9CC810D4">
      <w:numFmt w:val="bullet"/>
      <w:lvlText w:val="•"/>
      <w:lvlJc w:val="left"/>
      <w:pPr>
        <w:ind w:left="2751" w:hanging="363"/>
      </w:pPr>
      <w:rPr>
        <w:rFonts w:hint="default"/>
        <w:lang w:val="en-US" w:eastAsia="en-US" w:bidi="en-US"/>
      </w:rPr>
    </w:lvl>
    <w:lvl w:ilvl="4" w:tplc="E71A7936">
      <w:numFmt w:val="bullet"/>
      <w:lvlText w:val="•"/>
      <w:lvlJc w:val="left"/>
      <w:pPr>
        <w:ind w:left="3549" w:hanging="363"/>
      </w:pPr>
      <w:rPr>
        <w:rFonts w:hint="default"/>
        <w:lang w:val="en-US" w:eastAsia="en-US" w:bidi="en-US"/>
      </w:rPr>
    </w:lvl>
    <w:lvl w:ilvl="5" w:tplc="7DA6B752">
      <w:numFmt w:val="bullet"/>
      <w:lvlText w:val="•"/>
      <w:lvlJc w:val="left"/>
      <w:pPr>
        <w:ind w:left="4346" w:hanging="363"/>
      </w:pPr>
      <w:rPr>
        <w:rFonts w:hint="default"/>
        <w:lang w:val="en-US" w:eastAsia="en-US" w:bidi="en-US"/>
      </w:rPr>
    </w:lvl>
    <w:lvl w:ilvl="6" w:tplc="54D29388">
      <w:numFmt w:val="bullet"/>
      <w:lvlText w:val="•"/>
      <w:lvlJc w:val="left"/>
      <w:pPr>
        <w:ind w:left="5143" w:hanging="363"/>
      </w:pPr>
      <w:rPr>
        <w:rFonts w:hint="default"/>
        <w:lang w:val="en-US" w:eastAsia="en-US" w:bidi="en-US"/>
      </w:rPr>
    </w:lvl>
    <w:lvl w:ilvl="7" w:tplc="5E0EB388">
      <w:numFmt w:val="bullet"/>
      <w:lvlText w:val="•"/>
      <w:lvlJc w:val="left"/>
      <w:pPr>
        <w:ind w:left="5941" w:hanging="363"/>
      </w:pPr>
      <w:rPr>
        <w:rFonts w:hint="default"/>
        <w:lang w:val="en-US" w:eastAsia="en-US" w:bidi="en-US"/>
      </w:rPr>
    </w:lvl>
    <w:lvl w:ilvl="8" w:tplc="DAEE5A5E">
      <w:numFmt w:val="bullet"/>
      <w:lvlText w:val="•"/>
      <w:lvlJc w:val="left"/>
      <w:pPr>
        <w:ind w:left="6738" w:hanging="363"/>
      </w:pPr>
      <w:rPr>
        <w:rFonts w:hint="default"/>
        <w:lang w:val="en-US" w:eastAsia="en-US" w:bidi="en-US"/>
      </w:rPr>
    </w:lvl>
  </w:abstractNum>
  <w:abstractNum w:abstractNumId="4" w15:restartNumberingAfterBreak="0">
    <w:nsid w:val="302838CF"/>
    <w:multiLevelType w:val="hybridMultilevel"/>
    <w:tmpl w:val="0EA66BB8"/>
    <w:lvl w:ilvl="0" w:tplc="FFC0157E">
      <w:start w:val="3"/>
      <w:numFmt w:val="decimal"/>
      <w:lvlText w:val="(%1)"/>
      <w:lvlJc w:val="left"/>
      <w:pPr>
        <w:ind w:left="365" w:hanging="363"/>
      </w:pPr>
      <w:rPr>
        <w:rFonts w:ascii="Verdana" w:eastAsia="Verdana" w:hAnsi="Verdana" w:cs="Verdana" w:hint="default"/>
        <w:color w:val="00339A"/>
        <w:spacing w:val="-1"/>
        <w:w w:val="98"/>
        <w:sz w:val="19"/>
        <w:szCs w:val="19"/>
        <w:lang w:val="en-US" w:eastAsia="en-US" w:bidi="en-US"/>
      </w:rPr>
    </w:lvl>
    <w:lvl w:ilvl="1" w:tplc="0442940A">
      <w:numFmt w:val="bullet"/>
      <w:lvlText w:val="•"/>
      <w:lvlJc w:val="left"/>
      <w:pPr>
        <w:ind w:left="1157" w:hanging="363"/>
      </w:pPr>
      <w:rPr>
        <w:rFonts w:hint="default"/>
        <w:lang w:val="en-US" w:eastAsia="en-US" w:bidi="en-US"/>
      </w:rPr>
    </w:lvl>
    <w:lvl w:ilvl="2" w:tplc="E14A54B2">
      <w:numFmt w:val="bullet"/>
      <w:lvlText w:val="•"/>
      <w:lvlJc w:val="left"/>
      <w:pPr>
        <w:ind w:left="1954" w:hanging="363"/>
      </w:pPr>
      <w:rPr>
        <w:rFonts w:hint="default"/>
        <w:lang w:val="en-US" w:eastAsia="en-US" w:bidi="en-US"/>
      </w:rPr>
    </w:lvl>
    <w:lvl w:ilvl="3" w:tplc="9CC810D4">
      <w:numFmt w:val="bullet"/>
      <w:lvlText w:val="•"/>
      <w:lvlJc w:val="left"/>
      <w:pPr>
        <w:ind w:left="2751" w:hanging="363"/>
      </w:pPr>
      <w:rPr>
        <w:rFonts w:hint="default"/>
        <w:lang w:val="en-US" w:eastAsia="en-US" w:bidi="en-US"/>
      </w:rPr>
    </w:lvl>
    <w:lvl w:ilvl="4" w:tplc="E71A7936">
      <w:numFmt w:val="bullet"/>
      <w:lvlText w:val="•"/>
      <w:lvlJc w:val="left"/>
      <w:pPr>
        <w:ind w:left="3549" w:hanging="363"/>
      </w:pPr>
      <w:rPr>
        <w:rFonts w:hint="default"/>
        <w:lang w:val="en-US" w:eastAsia="en-US" w:bidi="en-US"/>
      </w:rPr>
    </w:lvl>
    <w:lvl w:ilvl="5" w:tplc="7DA6B752">
      <w:numFmt w:val="bullet"/>
      <w:lvlText w:val="•"/>
      <w:lvlJc w:val="left"/>
      <w:pPr>
        <w:ind w:left="4346" w:hanging="363"/>
      </w:pPr>
      <w:rPr>
        <w:rFonts w:hint="default"/>
        <w:lang w:val="en-US" w:eastAsia="en-US" w:bidi="en-US"/>
      </w:rPr>
    </w:lvl>
    <w:lvl w:ilvl="6" w:tplc="54D29388">
      <w:numFmt w:val="bullet"/>
      <w:lvlText w:val="•"/>
      <w:lvlJc w:val="left"/>
      <w:pPr>
        <w:ind w:left="5143" w:hanging="363"/>
      </w:pPr>
      <w:rPr>
        <w:rFonts w:hint="default"/>
        <w:lang w:val="en-US" w:eastAsia="en-US" w:bidi="en-US"/>
      </w:rPr>
    </w:lvl>
    <w:lvl w:ilvl="7" w:tplc="5E0EB388">
      <w:numFmt w:val="bullet"/>
      <w:lvlText w:val="•"/>
      <w:lvlJc w:val="left"/>
      <w:pPr>
        <w:ind w:left="5941" w:hanging="363"/>
      </w:pPr>
      <w:rPr>
        <w:rFonts w:hint="default"/>
        <w:lang w:val="en-US" w:eastAsia="en-US" w:bidi="en-US"/>
      </w:rPr>
    </w:lvl>
    <w:lvl w:ilvl="8" w:tplc="DAEE5A5E">
      <w:numFmt w:val="bullet"/>
      <w:lvlText w:val="•"/>
      <w:lvlJc w:val="left"/>
      <w:pPr>
        <w:ind w:left="6738" w:hanging="363"/>
      </w:pPr>
      <w:rPr>
        <w:rFonts w:hint="default"/>
        <w:lang w:val="en-US" w:eastAsia="en-US" w:bidi="en-US"/>
      </w:rPr>
    </w:lvl>
  </w:abstractNum>
  <w:abstractNum w:abstractNumId="5" w15:restartNumberingAfterBreak="0">
    <w:nsid w:val="33423615"/>
    <w:multiLevelType w:val="hybridMultilevel"/>
    <w:tmpl w:val="87868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A08FC"/>
    <w:multiLevelType w:val="hybridMultilevel"/>
    <w:tmpl w:val="B8C4A7E6"/>
    <w:lvl w:ilvl="0" w:tplc="9F4CB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8706A2"/>
    <w:multiLevelType w:val="hybridMultilevel"/>
    <w:tmpl w:val="418AC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90116"/>
    <w:multiLevelType w:val="hybridMultilevel"/>
    <w:tmpl w:val="F61AFFBC"/>
    <w:lvl w:ilvl="0" w:tplc="54465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2"/>
  </w:num>
  <w:num w:numId="5">
    <w:abstractNumId w:val="1"/>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48"/>
    <w:rsid w:val="00003261"/>
    <w:rsid w:val="00016301"/>
    <w:rsid w:val="0002709F"/>
    <w:rsid w:val="0006270E"/>
    <w:rsid w:val="000D05DB"/>
    <w:rsid w:val="0010440A"/>
    <w:rsid w:val="001160C0"/>
    <w:rsid w:val="00117140"/>
    <w:rsid w:val="00126802"/>
    <w:rsid w:val="00130198"/>
    <w:rsid w:val="00145289"/>
    <w:rsid w:val="00161401"/>
    <w:rsid w:val="00182A45"/>
    <w:rsid w:val="00195CE4"/>
    <w:rsid w:val="001C0187"/>
    <w:rsid w:val="001C53F7"/>
    <w:rsid w:val="001D2BD3"/>
    <w:rsid w:val="001E2316"/>
    <w:rsid w:val="001F1B81"/>
    <w:rsid w:val="00205125"/>
    <w:rsid w:val="00216950"/>
    <w:rsid w:val="002339F9"/>
    <w:rsid w:val="00264F85"/>
    <w:rsid w:val="0027438C"/>
    <w:rsid w:val="00283EDF"/>
    <w:rsid w:val="002D0411"/>
    <w:rsid w:val="002D5A63"/>
    <w:rsid w:val="002E2D8F"/>
    <w:rsid w:val="002E2EBD"/>
    <w:rsid w:val="00316E18"/>
    <w:rsid w:val="0033030F"/>
    <w:rsid w:val="00334E16"/>
    <w:rsid w:val="00335166"/>
    <w:rsid w:val="00342250"/>
    <w:rsid w:val="003562A0"/>
    <w:rsid w:val="00361DFF"/>
    <w:rsid w:val="0036681A"/>
    <w:rsid w:val="00380A8A"/>
    <w:rsid w:val="00383938"/>
    <w:rsid w:val="003900F3"/>
    <w:rsid w:val="00397F7B"/>
    <w:rsid w:val="003B1C07"/>
    <w:rsid w:val="003C32C0"/>
    <w:rsid w:val="003C6720"/>
    <w:rsid w:val="003D2F48"/>
    <w:rsid w:val="003E1608"/>
    <w:rsid w:val="003E4446"/>
    <w:rsid w:val="003F1753"/>
    <w:rsid w:val="00400465"/>
    <w:rsid w:val="004021EE"/>
    <w:rsid w:val="00412903"/>
    <w:rsid w:val="004142CA"/>
    <w:rsid w:val="00427C55"/>
    <w:rsid w:val="00457920"/>
    <w:rsid w:val="00466B23"/>
    <w:rsid w:val="00470B1C"/>
    <w:rsid w:val="004F09EF"/>
    <w:rsid w:val="004F4B50"/>
    <w:rsid w:val="004F4CAA"/>
    <w:rsid w:val="00525AE7"/>
    <w:rsid w:val="005272AA"/>
    <w:rsid w:val="00552F3C"/>
    <w:rsid w:val="005532AC"/>
    <w:rsid w:val="0057670A"/>
    <w:rsid w:val="0058054A"/>
    <w:rsid w:val="00581395"/>
    <w:rsid w:val="00581CC8"/>
    <w:rsid w:val="00593E35"/>
    <w:rsid w:val="005A3CF1"/>
    <w:rsid w:val="005A62F6"/>
    <w:rsid w:val="005D6EDC"/>
    <w:rsid w:val="005F60D8"/>
    <w:rsid w:val="006158D0"/>
    <w:rsid w:val="00626BAE"/>
    <w:rsid w:val="00641830"/>
    <w:rsid w:val="006536DA"/>
    <w:rsid w:val="0066696E"/>
    <w:rsid w:val="00671CE7"/>
    <w:rsid w:val="0067751A"/>
    <w:rsid w:val="006A57B2"/>
    <w:rsid w:val="006A67D8"/>
    <w:rsid w:val="006B54DD"/>
    <w:rsid w:val="006B566F"/>
    <w:rsid w:val="006C5C0D"/>
    <w:rsid w:val="006C669D"/>
    <w:rsid w:val="006C73FC"/>
    <w:rsid w:val="006E10FB"/>
    <w:rsid w:val="006F0351"/>
    <w:rsid w:val="006F535C"/>
    <w:rsid w:val="006F5925"/>
    <w:rsid w:val="006F661C"/>
    <w:rsid w:val="00704CF5"/>
    <w:rsid w:val="00731F79"/>
    <w:rsid w:val="0073645D"/>
    <w:rsid w:val="007403EA"/>
    <w:rsid w:val="00743ED4"/>
    <w:rsid w:val="0074628E"/>
    <w:rsid w:val="00787FE0"/>
    <w:rsid w:val="007943DA"/>
    <w:rsid w:val="007A011F"/>
    <w:rsid w:val="007A5DBE"/>
    <w:rsid w:val="007A67D0"/>
    <w:rsid w:val="00865B32"/>
    <w:rsid w:val="0086756A"/>
    <w:rsid w:val="008817E4"/>
    <w:rsid w:val="008877CB"/>
    <w:rsid w:val="008A3610"/>
    <w:rsid w:val="008A4F71"/>
    <w:rsid w:val="008B14DA"/>
    <w:rsid w:val="008D03C5"/>
    <w:rsid w:val="008D7EF7"/>
    <w:rsid w:val="008F4A0B"/>
    <w:rsid w:val="008F59F8"/>
    <w:rsid w:val="008F6BCF"/>
    <w:rsid w:val="0091499C"/>
    <w:rsid w:val="009248F6"/>
    <w:rsid w:val="00941684"/>
    <w:rsid w:val="009864C9"/>
    <w:rsid w:val="009A5E3E"/>
    <w:rsid w:val="009B4ADF"/>
    <w:rsid w:val="009D6EE6"/>
    <w:rsid w:val="009D7C0F"/>
    <w:rsid w:val="009E158E"/>
    <w:rsid w:val="009E3688"/>
    <w:rsid w:val="009E3E94"/>
    <w:rsid w:val="009E519A"/>
    <w:rsid w:val="009F1620"/>
    <w:rsid w:val="009F6D20"/>
    <w:rsid w:val="00A1050A"/>
    <w:rsid w:val="00A17047"/>
    <w:rsid w:val="00A17C07"/>
    <w:rsid w:val="00A50BAB"/>
    <w:rsid w:val="00A720C9"/>
    <w:rsid w:val="00A85D7B"/>
    <w:rsid w:val="00A91E7B"/>
    <w:rsid w:val="00A95BAD"/>
    <w:rsid w:val="00AA6B53"/>
    <w:rsid w:val="00AB662C"/>
    <w:rsid w:val="00AC7392"/>
    <w:rsid w:val="00B01663"/>
    <w:rsid w:val="00B24F70"/>
    <w:rsid w:val="00B26728"/>
    <w:rsid w:val="00B40C42"/>
    <w:rsid w:val="00B41D5E"/>
    <w:rsid w:val="00B632C7"/>
    <w:rsid w:val="00B91546"/>
    <w:rsid w:val="00BA60CC"/>
    <w:rsid w:val="00BB26EF"/>
    <w:rsid w:val="00BC6C78"/>
    <w:rsid w:val="00BC7A31"/>
    <w:rsid w:val="00BD37D3"/>
    <w:rsid w:val="00BD4F41"/>
    <w:rsid w:val="00BD5893"/>
    <w:rsid w:val="00BE338A"/>
    <w:rsid w:val="00BE789E"/>
    <w:rsid w:val="00C1514D"/>
    <w:rsid w:val="00C220E2"/>
    <w:rsid w:val="00C23B81"/>
    <w:rsid w:val="00C23D26"/>
    <w:rsid w:val="00C23F50"/>
    <w:rsid w:val="00C5158C"/>
    <w:rsid w:val="00C92B31"/>
    <w:rsid w:val="00CA6DC5"/>
    <w:rsid w:val="00CC4977"/>
    <w:rsid w:val="00CD0FAD"/>
    <w:rsid w:val="00CE3B08"/>
    <w:rsid w:val="00CF0B24"/>
    <w:rsid w:val="00D63145"/>
    <w:rsid w:val="00D66612"/>
    <w:rsid w:val="00D74E7F"/>
    <w:rsid w:val="00DD29B9"/>
    <w:rsid w:val="00DD324E"/>
    <w:rsid w:val="00DF6A4F"/>
    <w:rsid w:val="00E07B18"/>
    <w:rsid w:val="00E15C67"/>
    <w:rsid w:val="00E42ACF"/>
    <w:rsid w:val="00E568F1"/>
    <w:rsid w:val="00E70535"/>
    <w:rsid w:val="00E97964"/>
    <w:rsid w:val="00EA28D2"/>
    <w:rsid w:val="00EA5259"/>
    <w:rsid w:val="00EC42C4"/>
    <w:rsid w:val="00F17AD1"/>
    <w:rsid w:val="00F2280C"/>
    <w:rsid w:val="00F4451D"/>
    <w:rsid w:val="00F54D3C"/>
    <w:rsid w:val="00F6039E"/>
    <w:rsid w:val="00F60E15"/>
    <w:rsid w:val="00F769D8"/>
    <w:rsid w:val="00FE66B9"/>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FAC7"/>
  <w15:docId w15:val="{50ED1B23-171C-4B40-B19F-30E1F957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4F"/>
    <w:pPr>
      <w:widowControl w:val="0"/>
      <w:overflowPunct w:val="0"/>
      <w:adjustRightInd w:val="0"/>
      <w:spacing w:after="240" w:line="275" w:lineRule="auto"/>
    </w:pPr>
    <w:rPr>
      <w:rFonts w:ascii="Calibri" w:eastAsiaTheme="minorEastAsia"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F48"/>
    <w:rPr>
      <w:rFonts w:ascii="Calibri" w:eastAsiaTheme="minorEastAsia" w:hAnsi="Calibri" w:cs="Calibri"/>
      <w:kern w:val="28"/>
    </w:rPr>
  </w:style>
  <w:style w:type="character" w:styleId="Hyperlink">
    <w:name w:val="Hyperlink"/>
    <w:basedOn w:val="DefaultParagraphFont"/>
    <w:uiPriority w:val="99"/>
    <w:unhideWhenUsed/>
    <w:rsid w:val="003D2F48"/>
    <w:rPr>
      <w:color w:val="0000FF" w:themeColor="hyperlink"/>
      <w:u w:val="single"/>
    </w:rPr>
  </w:style>
  <w:style w:type="paragraph" w:styleId="FootnoteText">
    <w:name w:val="footnote text"/>
    <w:basedOn w:val="Normal"/>
    <w:link w:val="FootnoteTextChar"/>
    <w:uiPriority w:val="99"/>
    <w:semiHidden/>
    <w:unhideWhenUsed/>
    <w:rsid w:val="003D2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F48"/>
    <w:rPr>
      <w:rFonts w:ascii="Calibri" w:eastAsiaTheme="minorEastAsia" w:hAnsi="Calibri" w:cs="Calibri"/>
      <w:kern w:val="28"/>
      <w:sz w:val="20"/>
      <w:szCs w:val="20"/>
    </w:rPr>
  </w:style>
  <w:style w:type="character" w:styleId="FootnoteReference">
    <w:name w:val="footnote reference"/>
    <w:basedOn w:val="DefaultParagraphFont"/>
    <w:uiPriority w:val="99"/>
    <w:semiHidden/>
    <w:unhideWhenUsed/>
    <w:rsid w:val="003D2F48"/>
    <w:rPr>
      <w:vertAlign w:val="superscript"/>
    </w:rPr>
  </w:style>
  <w:style w:type="paragraph" w:styleId="Footer">
    <w:name w:val="footer"/>
    <w:basedOn w:val="Normal"/>
    <w:link w:val="FooterChar"/>
    <w:uiPriority w:val="99"/>
    <w:unhideWhenUsed/>
    <w:rsid w:val="003D2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48"/>
    <w:rPr>
      <w:rFonts w:ascii="Calibri" w:eastAsiaTheme="minorEastAsia" w:hAnsi="Calibri" w:cs="Calibri"/>
      <w:kern w:val="28"/>
    </w:rPr>
  </w:style>
  <w:style w:type="paragraph" w:styleId="BalloonText">
    <w:name w:val="Balloon Text"/>
    <w:basedOn w:val="Normal"/>
    <w:link w:val="BalloonTextChar"/>
    <w:uiPriority w:val="99"/>
    <w:semiHidden/>
    <w:unhideWhenUsed/>
    <w:rsid w:val="003D2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F48"/>
    <w:rPr>
      <w:rFonts w:ascii="Tahoma" w:eastAsiaTheme="minorEastAsia" w:hAnsi="Tahoma" w:cs="Tahoma"/>
      <w:kern w:val="28"/>
      <w:sz w:val="16"/>
      <w:szCs w:val="16"/>
    </w:rPr>
  </w:style>
  <w:style w:type="character" w:styleId="FollowedHyperlink">
    <w:name w:val="FollowedHyperlink"/>
    <w:basedOn w:val="DefaultParagraphFont"/>
    <w:uiPriority w:val="99"/>
    <w:semiHidden/>
    <w:unhideWhenUsed/>
    <w:rsid w:val="00BD37D3"/>
    <w:rPr>
      <w:color w:val="800080" w:themeColor="followedHyperlink"/>
      <w:u w:val="single"/>
    </w:rPr>
  </w:style>
  <w:style w:type="character" w:styleId="CommentReference">
    <w:name w:val="annotation reference"/>
    <w:basedOn w:val="DefaultParagraphFont"/>
    <w:uiPriority w:val="99"/>
    <w:semiHidden/>
    <w:unhideWhenUsed/>
    <w:rsid w:val="00412903"/>
    <w:rPr>
      <w:sz w:val="16"/>
      <w:szCs w:val="16"/>
    </w:rPr>
  </w:style>
  <w:style w:type="paragraph" w:styleId="CommentText">
    <w:name w:val="annotation text"/>
    <w:basedOn w:val="Normal"/>
    <w:link w:val="CommentTextChar"/>
    <w:uiPriority w:val="99"/>
    <w:semiHidden/>
    <w:unhideWhenUsed/>
    <w:rsid w:val="00412903"/>
    <w:pPr>
      <w:spacing w:line="240" w:lineRule="auto"/>
    </w:pPr>
    <w:rPr>
      <w:sz w:val="20"/>
      <w:szCs w:val="20"/>
    </w:rPr>
  </w:style>
  <w:style w:type="character" w:customStyle="1" w:styleId="CommentTextChar">
    <w:name w:val="Comment Text Char"/>
    <w:basedOn w:val="DefaultParagraphFont"/>
    <w:link w:val="CommentText"/>
    <w:uiPriority w:val="99"/>
    <w:semiHidden/>
    <w:rsid w:val="00412903"/>
    <w:rPr>
      <w:rFonts w:ascii="Calibri" w:eastAsiaTheme="minorEastAsia" w:hAnsi="Calibri" w:cs="Calibri"/>
      <w:kern w:val="28"/>
      <w:sz w:val="20"/>
      <w:szCs w:val="20"/>
    </w:rPr>
  </w:style>
  <w:style w:type="paragraph" w:styleId="CommentSubject">
    <w:name w:val="annotation subject"/>
    <w:basedOn w:val="CommentText"/>
    <w:next w:val="CommentText"/>
    <w:link w:val="CommentSubjectChar"/>
    <w:uiPriority w:val="99"/>
    <w:semiHidden/>
    <w:unhideWhenUsed/>
    <w:rsid w:val="00412903"/>
    <w:rPr>
      <w:b/>
      <w:bCs/>
    </w:rPr>
  </w:style>
  <w:style w:type="character" w:customStyle="1" w:styleId="CommentSubjectChar">
    <w:name w:val="Comment Subject Char"/>
    <w:basedOn w:val="CommentTextChar"/>
    <w:link w:val="CommentSubject"/>
    <w:uiPriority w:val="99"/>
    <w:semiHidden/>
    <w:rsid w:val="00412903"/>
    <w:rPr>
      <w:rFonts w:ascii="Calibri" w:eastAsiaTheme="minorEastAsia" w:hAnsi="Calibri" w:cs="Calibri"/>
      <w:b/>
      <w:bCs/>
      <w:kern w:val="28"/>
      <w:sz w:val="20"/>
      <w:szCs w:val="20"/>
    </w:rPr>
  </w:style>
  <w:style w:type="table" w:styleId="TableGrid">
    <w:name w:val="Table Grid"/>
    <w:basedOn w:val="TableNormal"/>
    <w:uiPriority w:val="59"/>
    <w:rsid w:val="00DF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A4F"/>
    <w:pPr>
      <w:ind w:left="720"/>
      <w:contextualSpacing/>
    </w:pPr>
  </w:style>
  <w:style w:type="paragraph" w:styleId="Revision">
    <w:name w:val="Revision"/>
    <w:hidden/>
    <w:uiPriority w:val="99"/>
    <w:semiHidden/>
    <w:rsid w:val="008877CB"/>
    <w:pPr>
      <w:spacing w:after="0" w:line="240" w:lineRule="auto"/>
    </w:pPr>
    <w:rPr>
      <w:rFonts w:ascii="Calibri" w:eastAsiaTheme="minorEastAsia" w:hAnsi="Calibri" w:cs="Calibri"/>
      <w:kern w:val="28"/>
    </w:rPr>
  </w:style>
  <w:style w:type="paragraph" w:customStyle="1" w:styleId="TableParagraph">
    <w:name w:val="Table Paragraph"/>
    <w:basedOn w:val="Normal"/>
    <w:uiPriority w:val="1"/>
    <w:qFormat/>
    <w:rsid w:val="00A720C9"/>
    <w:pPr>
      <w:overflowPunct/>
      <w:autoSpaceDE w:val="0"/>
      <w:autoSpaceDN w:val="0"/>
      <w:adjustRightInd/>
      <w:spacing w:after="0" w:line="240" w:lineRule="auto"/>
    </w:pPr>
    <w:rPr>
      <w:rFonts w:ascii="Verdana" w:eastAsia="Verdana" w:hAnsi="Verdana" w:cs="Verdana"/>
      <w:kern w:val="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683489">
      <w:bodyDiv w:val="1"/>
      <w:marLeft w:val="0"/>
      <w:marRight w:val="0"/>
      <w:marTop w:val="0"/>
      <w:marBottom w:val="0"/>
      <w:divBdr>
        <w:top w:val="none" w:sz="0" w:space="0" w:color="auto"/>
        <w:left w:val="none" w:sz="0" w:space="0" w:color="auto"/>
        <w:bottom w:val="none" w:sz="0" w:space="0" w:color="auto"/>
        <w:right w:val="none" w:sz="0" w:space="0" w:color="auto"/>
      </w:divBdr>
    </w:div>
    <w:div w:id="14707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data/tables/2016/econ/susb/2016-susb-an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F3B3-FBBE-4F31-B473-7EE697621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61382-081D-4FEF-9725-6626BDFD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281EF-6CE1-4828-AA01-677AB8E44C74}">
  <ds:schemaRefs>
    <ds:schemaRef ds:uri="http://schemas.microsoft.com/sharepoint/v3/contenttype/forms"/>
  </ds:schemaRefs>
</ds:datastoreItem>
</file>

<file path=customXml/itemProps4.xml><?xml version="1.0" encoding="utf-8"?>
<ds:datastoreItem xmlns:ds="http://schemas.openxmlformats.org/officeDocument/2006/customXml" ds:itemID="{544E8E5C-63B5-40E6-97A4-DE3BE2C3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Harper, Hiliary - OSHA</cp:lastModifiedBy>
  <cp:revision>2</cp:revision>
  <dcterms:created xsi:type="dcterms:W3CDTF">2020-09-01T18:24:00Z</dcterms:created>
  <dcterms:modified xsi:type="dcterms:W3CDTF">2020-09-01T18:24:00Z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