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305A" w:rsidR="00C9064B" w:rsidP="000E23CB" w:rsidRDefault="0043726C"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Pr="001F305A" w:rsidR="006572EE" w:rsidP="000E23CB" w:rsidRDefault="00085D52" w14:paraId="22EBC395" w14:textId="0616812C">
      <w:pPr>
        <w:spacing w:line="360" w:lineRule="auto"/>
        <w:jc w:val="center"/>
        <w:rPr>
          <w:b/>
          <w:sz w:val="40"/>
          <w:szCs w:val="40"/>
        </w:rPr>
      </w:pPr>
      <w:bookmarkStart w:name="_Hlk30315048" w:id="0"/>
      <w:r>
        <w:rPr>
          <w:b/>
          <w:color w:val="000000"/>
          <w:sz w:val="40"/>
          <w:szCs w:val="40"/>
        </w:rPr>
        <w:t>Addition of Stimulus Questions</w:t>
      </w:r>
      <w:r w:rsidRPr="001F305A" w:rsidR="00BA2D8A">
        <w:rPr>
          <w:b/>
          <w:color w:val="000000"/>
          <w:sz w:val="40"/>
          <w:szCs w:val="40"/>
        </w:rPr>
        <w:t xml:space="preserve"> to the </w:t>
      </w:r>
      <w:r>
        <w:rPr>
          <w:b/>
          <w:color w:val="000000"/>
          <w:sz w:val="40"/>
          <w:szCs w:val="40"/>
        </w:rPr>
        <w:t>CEQ</w:t>
      </w:r>
      <w:r w:rsidR="003E4276">
        <w:rPr>
          <w:b/>
          <w:color w:val="000000"/>
          <w:sz w:val="40"/>
          <w:szCs w:val="40"/>
        </w:rPr>
        <w:t>, Modification of Placement and Pick-up Procedures for CED</w:t>
      </w:r>
      <w:r w:rsidRPr="001F305A" w:rsidR="006572EE">
        <w:rPr>
          <w:b/>
          <w:color w:val="000000"/>
          <w:sz w:val="40"/>
          <w:szCs w:val="40"/>
        </w:rPr>
        <w:t xml:space="preserve"> </w:t>
      </w:r>
      <w:r w:rsidR="00FE2844">
        <w:rPr>
          <w:b/>
          <w:color w:val="000000"/>
          <w:sz w:val="40"/>
          <w:szCs w:val="40"/>
        </w:rPr>
        <w:t xml:space="preserve">for the </w:t>
      </w:r>
      <w:r w:rsidR="00194164">
        <w:rPr>
          <w:b/>
          <w:color w:val="000000"/>
          <w:sz w:val="40"/>
          <w:szCs w:val="40"/>
        </w:rPr>
        <w:t>Coronavirus</w:t>
      </w:r>
      <w:r w:rsidR="00FE2844">
        <w:rPr>
          <w:b/>
          <w:color w:val="000000"/>
          <w:sz w:val="40"/>
          <w:szCs w:val="40"/>
        </w:rPr>
        <w:t xml:space="preserve"> Pandemic</w:t>
      </w:r>
    </w:p>
    <w:p w:rsidRPr="00330B92" w:rsidR="00BF058A" w:rsidP="00BF058A" w:rsidRDefault="000C6196" w14:paraId="49BAFE99" w14:textId="77777777">
      <w:pPr>
        <w:spacing w:line="360" w:lineRule="auto"/>
        <w:jc w:val="center"/>
        <w:rPr>
          <w:rFonts w:eastAsia="Calibri"/>
          <w:sz w:val="32"/>
          <w:szCs w:val="32"/>
        </w:rPr>
      </w:pPr>
      <w:r>
        <w:rPr>
          <w:rFonts w:eastAsia="Calibri"/>
          <w:sz w:val="32"/>
          <w:szCs w:val="32"/>
        </w:rPr>
        <w:t>Request for OMB approval</w:t>
      </w:r>
    </w:p>
    <w:p w:rsidRPr="001F305A" w:rsidR="00EE5AE1" w:rsidP="001C3B73" w:rsidRDefault="00EE5AE1" w14:paraId="25C61AC3" w14:textId="77777777">
      <w:pPr>
        <w:rPr>
          <w:rFonts w:eastAsia="Calibri"/>
          <w:sz w:val="40"/>
          <w:szCs w:val="40"/>
        </w:rPr>
      </w:pPr>
    </w:p>
    <w:p w:rsidRPr="0039324B" w:rsidR="005976C9" w:rsidP="005976C9" w:rsidRDefault="00194164" w14:paraId="3BFD62E3" w14:textId="28662E62">
      <w:pPr>
        <w:jc w:val="center"/>
        <w:rPr>
          <w:rFonts w:eastAsiaTheme="minorHAnsi"/>
          <w:b/>
        </w:rPr>
      </w:pPr>
      <w:r>
        <w:rPr>
          <w:rFonts w:eastAsiaTheme="minorHAnsi"/>
          <w:b/>
        </w:rPr>
        <w:t>5</w:t>
      </w:r>
      <w:r w:rsidR="00085D52">
        <w:rPr>
          <w:rFonts w:eastAsiaTheme="minorHAnsi"/>
          <w:b/>
        </w:rPr>
        <w:t>/2020</w:t>
      </w:r>
    </w:p>
    <w:p w:rsidR="00BF058A" w:rsidP="00BF058A" w:rsidRDefault="00BF058A" w14:paraId="02C77336" w14:textId="77777777">
      <w:pPr>
        <w:spacing w:line="360" w:lineRule="auto"/>
        <w:jc w:val="center"/>
        <w:rPr>
          <w:rFonts w:eastAsia="Calibri"/>
          <w:b/>
          <w:sz w:val="40"/>
          <w:szCs w:val="40"/>
        </w:rPr>
      </w:pPr>
    </w:p>
    <w:p w:rsidR="0039324B" w:rsidP="00BF058A" w:rsidRDefault="0039324B" w14:paraId="389BA2CD" w14:textId="77777777">
      <w:pPr>
        <w:spacing w:line="360" w:lineRule="auto"/>
        <w:jc w:val="center"/>
        <w:rPr>
          <w:rFonts w:eastAsia="Calibri"/>
          <w:b/>
          <w:sz w:val="40"/>
          <w:szCs w:val="40"/>
        </w:rPr>
      </w:pPr>
    </w:p>
    <w:p w:rsidRPr="00740E2E" w:rsidR="00BF058A" w:rsidP="00BF058A" w:rsidRDefault="00BF058A" w14:paraId="45C1778E" w14:textId="77777777">
      <w:pPr>
        <w:spacing w:line="360" w:lineRule="auto"/>
        <w:jc w:val="center"/>
        <w:rPr>
          <w:rFonts w:eastAsia="Calibri"/>
          <w:b/>
          <w:sz w:val="40"/>
          <w:szCs w:val="40"/>
        </w:rPr>
      </w:pPr>
      <w:r w:rsidRPr="00740E2E">
        <w:rPr>
          <w:rFonts w:eastAsia="Calibri"/>
          <w:b/>
          <w:sz w:val="40"/>
          <w:szCs w:val="40"/>
        </w:rPr>
        <w:t>Supporting Statement Section A</w:t>
      </w:r>
    </w:p>
    <w:bookmarkEnd w:id="0"/>
    <w:p w:rsidRPr="001F305A" w:rsidR="005976C9" w:rsidP="005976C9" w:rsidRDefault="005976C9" w14:paraId="2A144E57" w14:textId="77777777">
      <w:pPr>
        <w:jc w:val="center"/>
        <w:rPr>
          <w:rFonts w:eastAsiaTheme="minorHAnsi"/>
          <w:b/>
          <w:sz w:val="36"/>
          <w:szCs w:val="28"/>
        </w:rPr>
      </w:pPr>
    </w:p>
    <w:p w:rsidRPr="001F305A" w:rsidR="00406D63" w:rsidP="00E67965" w:rsidRDefault="00406D63" w14:paraId="680E2B95" w14:textId="77777777">
      <w:pPr>
        <w:rPr>
          <w:rFonts w:eastAsia="Calibri"/>
        </w:rPr>
      </w:pPr>
    </w:p>
    <w:p w:rsidRPr="001F305A" w:rsidR="0012192D" w:rsidP="0012192D" w:rsidRDefault="0012192D" w14:paraId="02AAD404" w14:textId="77777777">
      <w:pPr>
        <w:outlineLvl w:val="3"/>
        <w:rPr>
          <w:rFonts w:eastAsiaTheme="minorHAnsi"/>
          <w:b/>
          <w:szCs w:val="22"/>
        </w:rPr>
      </w:pPr>
    </w:p>
    <w:p w:rsidRPr="001F305A" w:rsidR="0012192D" w:rsidP="0012192D" w:rsidRDefault="0012192D" w14:paraId="6E944B9B" w14:textId="77777777">
      <w:pPr>
        <w:outlineLvl w:val="3"/>
        <w:rPr>
          <w:rFonts w:eastAsiaTheme="minorHAnsi"/>
          <w:b/>
          <w:szCs w:val="22"/>
        </w:rPr>
      </w:pPr>
    </w:p>
    <w:p w:rsidRPr="001F305A" w:rsidR="0012192D" w:rsidP="0012192D" w:rsidRDefault="0012192D" w14:paraId="4A257551" w14:textId="77777777">
      <w:pPr>
        <w:outlineLvl w:val="3"/>
        <w:rPr>
          <w:rFonts w:eastAsiaTheme="minorHAnsi"/>
          <w:b/>
          <w:szCs w:val="22"/>
        </w:rPr>
      </w:pPr>
    </w:p>
    <w:p w:rsidRPr="001F305A" w:rsidR="0012192D" w:rsidP="0012192D" w:rsidRDefault="0012192D" w14:paraId="1A128682" w14:textId="77777777">
      <w:pPr>
        <w:outlineLvl w:val="3"/>
        <w:rPr>
          <w:rFonts w:eastAsiaTheme="minorHAnsi"/>
          <w:b/>
          <w:szCs w:val="22"/>
        </w:rPr>
      </w:pPr>
    </w:p>
    <w:p w:rsidRPr="001F305A" w:rsidR="0012192D" w:rsidP="0012192D" w:rsidRDefault="0012192D" w14:paraId="53BEFA26" w14:textId="77777777">
      <w:pPr>
        <w:outlineLvl w:val="3"/>
        <w:rPr>
          <w:rFonts w:eastAsiaTheme="minorHAnsi"/>
          <w:b/>
          <w:szCs w:val="22"/>
        </w:rPr>
      </w:pPr>
    </w:p>
    <w:p w:rsidR="0050786E" w:rsidP="0012192D" w:rsidRDefault="0050786E" w14:paraId="608F643C" w14:textId="77777777">
      <w:pPr>
        <w:outlineLvl w:val="3"/>
        <w:rPr>
          <w:rFonts w:eastAsiaTheme="minorHAnsi"/>
          <w:b/>
          <w:szCs w:val="22"/>
        </w:rPr>
      </w:pPr>
    </w:p>
    <w:p w:rsidR="0050786E" w:rsidP="0012192D" w:rsidRDefault="0050786E" w14:paraId="7805493B" w14:textId="77777777">
      <w:pPr>
        <w:outlineLvl w:val="3"/>
        <w:rPr>
          <w:rFonts w:eastAsiaTheme="minorHAnsi"/>
          <w:b/>
          <w:szCs w:val="22"/>
        </w:rPr>
      </w:pPr>
    </w:p>
    <w:p w:rsidR="0050786E" w:rsidP="0012192D" w:rsidRDefault="0050786E" w14:paraId="7DD74ACD" w14:textId="77777777">
      <w:pPr>
        <w:outlineLvl w:val="3"/>
        <w:rPr>
          <w:rFonts w:eastAsiaTheme="minorHAnsi"/>
          <w:b/>
          <w:szCs w:val="22"/>
        </w:rPr>
      </w:pPr>
    </w:p>
    <w:p w:rsidR="0050786E" w:rsidP="00C738E9" w:rsidRDefault="00C738E9" w14:paraId="475D89BE" w14:textId="3DCDF7B0">
      <w:pPr>
        <w:tabs>
          <w:tab w:val="left" w:pos="2976"/>
        </w:tabs>
        <w:outlineLvl w:val="3"/>
        <w:rPr>
          <w:rFonts w:eastAsiaTheme="minorHAnsi"/>
          <w:b/>
          <w:szCs w:val="22"/>
        </w:rPr>
      </w:pPr>
      <w:r>
        <w:rPr>
          <w:rFonts w:eastAsiaTheme="minorHAnsi"/>
          <w:b/>
          <w:szCs w:val="22"/>
        </w:rPr>
        <w:tab/>
      </w:r>
    </w:p>
    <w:p w:rsidR="0050786E" w:rsidP="0012192D" w:rsidRDefault="0050786E" w14:paraId="6A7A0DD2" w14:textId="77777777">
      <w:pPr>
        <w:outlineLvl w:val="3"/>
        <w:rPr>
          <w:rFonts w:eastAsiaTheme="minorHAnsi"/>
          <w:b/>
          <w:szCs w:val="22"/>
        </w:rPr>
      </w:pPr>
    </w:p>
    <w:p w:rsidR="0050786E" w:rsidP="0012192D" w:rsidRDefault="0050786E" w14:paraId="67711C49" w14:textId="77777777">
      <w:pPr>
        <w:outlineLvl w:val="3"/>
        <w:rPr>
          <w:rFonts w:eastAsiaTheme="minorHAnsi"/>
          <w:b/>
          <w:szCs w:val="22"/>
        </w:rPr>
      </w:pPr>
    </w:p>
    <w:p w:rsidR="0050786E" w:rsidP="0012192D" w:rsidRDefault="0050786E" w14:paraId="7957050B" w14:textId="77777777">
      <w:pPr>
        <w:outlineLvl w:val="3"/>
        <w:rPr>
          <w:rFonts w:eastAsiaTheme="minorHAnsi"/>
          <w:b/>
          <w:szCs w:val="22"/>
        </w:rPr>
      </w:pPr>
    </w:p>
    <w:p w:rsidRPr="001F305A" w:rsidR="005B5CB3" w:rsidP="00B14B8E" w:rsidRDefault="006D2DA6" w14:paraId="1A695FC0" w14:textId="77777777">
      <w:pPr>
        <w:rPr>
          <w:rFonts w:eastAsia="Calibri"/>
          <w:b/>
          <w:color w:val="000000"/>
        </w:rPr>
      </w:pPr>
      <w:r w:rsidRPr="001F305A">
        <w:rPr>
          <w:rFonts w:eastAsia="Calibri"/>
        </w:rPr>
        <w:br w:type="page"/>
      </w:r>
    </w:p>
    <w:p w:rsidRPr="000C6196" w:rsidR="000C6196" w:rsidP="000C6196" w:rsidRDefault="000C6196" w14:paraId="578AF9D4" w14:textId="77777777">
      <w:bookmarkStart w:name="_Toc30238153" w:id="1"/>
    </w:p>
    <w:p w:rsidRPr="000F302E" w:rsidR="009135CB" w:rsidP="001209EC" w:rsidRDefault="009135CB" w14:paraId="099F12E2" w14:textId="77777777">
      <w:pPr>
        <w:pStyle w:val="Heading1"/>
        <w:numPr>
          <w:ilvl w:val="0"/>
          <w:numId w:val="45"/>
        </w:numPr>
      </w:pPr>
      <w:r w:rsidRPr="000F302E">
        <w:t>C</w:t>
      </w:r>
      <w:r w:rsidRPr="000F302E" w:rsidR="003C278E">
        <w:t xml:space="preserve">ircumstances Making </w:t>
      </w:r>
      <w:r w:rsidRPr="000F302E" w:rsidR="000223F7">
        <w:t xml:space="preserve">the Collection of Information </w:t>
      </w:r>
      <w:r w:rsidRPr="000F302E" w:rsidR="003C278E">
        <w:t>Necessary</w:t>
      </w:r>
      <w:bookmarkEnd w:id="1"/>
    </w:p>
    <w:p w:rsidR="00B42029" w:rsidP="00A96FB1" w:rsidRDefault="0079634E" w14:paraId="5D1A8539" w14:textId="5ECC479B">
      <w:pPr>
        <w:rPr>
          <w:rFonts w:eastAsiaTheme="minorHAnsi"/>
        </w:rPr>
      </w:pPr>
      <w:r w:rsidRPr="00E859A2">
        <w:rPr>
          <w:rFonts w:eastAsiaTheme="minorHAnsi"/>
        </w:rPr>
        <w:t xml:space="preserve">The </w:t>
      </w:r>
      <w:r w:rsidR="00692D9E">
        <w:rPr>
          <w:rFonts w:eastAsiaTheme="minorHAnsi"/>
        </w:rPr>
        <w:t>Department of Labor</w:t>
      </w:r>
      <w:r w:rsidR="00EF1BFA">
        <w:rPr>
          <w:rFonts w:eastAsiaTheme="minorHAnsi"/>
        </w:rPr>
        <w:t>, Bureau of Labor Statistics (BLS)</w:t>
      </w:r>
      <w:r w:rsidRPr="00E859A2" w:rsidR="00B25A02">
        <w:rPr>
          <w:rFonts w:eastAsiaTheme="minorHAnsi"/>
        </w:rPr>
        <w:t xml:space="preserve"> requests an emergency 180-day approval </w:t>
      </w:r>
      <w:r w:rsidR="000C6196">
        <w:rPr>
          <w:rFonts w:eastAsiaTheme="minorHAnsi"/>
        </w:rPr>
        <w:t>of an emergency</w:t>
      </w:r>
      <w:r w:rsidRPr="00DB599D" w:rsidR="00DB599D">
        <w:rPr>
          <w:rFonts w:eastAsiaTheme="minorHAnsi"/>
        </w:rPr>
        <w:t xml:space="preserve"> Information Collection Request (ICR) </w:t>
      </w:r>
      <w:r w:rsidR="00DB599D">
        <w:rPr>
          <w:rFonts w:eastAsiaTheme="minorHAnsi"/>
        </w:rPr>
        <w:t xml:space="preserve">to add </w:t>
      </w:r>
      <w:r w:rsidR="00683264">
        <w:rPr>
          <w:rFonts w:eastAsiaTheme="minorHAnsi"/>
        </w:rPr>
        <w:t xml:space="preserve">seven </w:t>
      </w:r>
      <w:r w:rsidR="00692D9E">
        <w:rPr>
          <w:rFonts w:eastAsiaTheme="minorHAnsi"/>
        </w:rPr>
        <w:t>questions</w:t>
      </w:r>
      <w:r w:rsidR="00631818">
        <w:rPr>
          <w:rFonts w:eastAsiaTheme="minorHAnsi"/>
        </w:rPr>
        <w:t xml:space="preserve"> to the</w:t>
      </w:r>
      <w:r w:rsidR="00C51C99">
        <w:rPr>
          <w:rFonts w:eastAsiaTheme="minorHAnsi"/>
        </w:rPr>
        <w:t xml:space="preserve"> Consumer Expenditure Quarterly (</w:t>
      </w:r>
      <w:r w:rsidR="00631818">
        <w:rPr>
          <w:rFonts w:eastAsiaTheme="minorHAnsi"/>
        </w:rPr>
        <w:t>CEQ</w:t>
      </w:r>
      <w:r w:rsidR="00C51C99">
        <w:rPr>
          <w:rFonts w:eastAsiaTheme="minorHAnsi"/>
        </w:rPr>
        <w:t>)</w:t>
      </w:r>
      <w:r w:rsidR="00631818">
        <w:rPr>
          <w:rFonts w:eastAsiaTheme="minorHAnsi"/>
        </w:rPr>
        <w:t xml:space="preserve"> survey</w:t>
      </w:r>
      <w:r w:rsidR="00692D9E">
        <w:rPr>
          <w:rFonts w:eastAsiaTheme="minorHAnsi"/>
        </w:rPr>
        <w:t xml:space="preserve"> on the stimulus payment </w:t>
      </w:r>
      <w:r w:rsidR="00B42029">
        <w:rPr>
          <w:rFonts w:eastAsiaTheme="minorHAnsi"/>
        </w:rPr>
        <w:t xml:space="preserve">made by </w:t>
      </w:r>
      <w:r w:rsidR="00692D9E">
        <w:rPr>
          <w:rFonts w:eastAsiaTheme="minorHAnsi"/>
        </w:rPr>
        <w:t>the Federal Government</w:t>
      </w:r>
      <w:r w:rsidR="00B42029">
        <w:rPr>
          <w:rFonts w:eastAsiaTheme="minorHAnsi"/>
        </w:rPr>
        <w:t xml:space="preserve"> in response to the coronavirus pandemic</w:t>
      </w:r>
      <w:r w:rsidR="00631818">
        <w:rPr>
          <w:rFonts w:eastAsiaTheme="minorHAnsi"/>
        </w:rPr>
        <w:t xml:space="preserve"> and</w:t>
      </w:r>
      <w:r w:rsidR="00F03F59">
        <w:rPr>
          <w:rFonts w:eastAsiaTheme="minorHAnsi"/>
        </w:rPr>
        <w:t xml:space="preserve"> to modify procedures</w:t>
      </w:r>
      <w:r w:rsidR="00631818">
        <w:rPr>
          <w:rFonts w:eastAsiaTheme="minorHAnsi"/>
        </w:rPr>
        <w:t xml:space="preserve"> for the </w:t>
      </w:r>
      <w:r w:rsidR="00C51C99">
        <w:rPr>
          <w:rFonts w:eastAsiaTheme="minorHAnsi"/>
        </w:rPr>
        <w:t>Consumer Expenditure Diary (</w:t>
      </w:r>
      <w:r w:rsidR="00631818">
        <w:rPr>
          <w:rFonts w:eastAsiaTheme="minorHAnsi"/>
        </w:rPr>
        <w:t>CED</w:t>
      </w:r>
      <w:r w:rsidR="00C51C99">
        <w:rPr>
          <w:rFonts w:eastAsiaTheme="minorHAnsi"/>
        </w:rPr>
        <w:t>)</w:t>
      </w:r>
      <w:r w:rsidR="00631818">
        <w:rPr>
          <w:rFonts w:eastAsiaTheme="minorHAnsi"/>
        </w:rPr>
        <w:t xml:space="preserve"> survey to limit</w:t>
      </w:r>
      <w:r w:rsidR="00F03F59">
        <w:rPr>
          <w:rFonts w:eastAsiaTheme="minorHAnsi"/>
        </w:rPr>
        <w:t xml:space="preserve"> exposure</w:t>
      </w:r>
      <w:r w:rsidR="003E4276">
        <w:rPr>
          <w:rFonts w:eastAsiaTheme="minorHAnsi"/>
        </w:rPr>
        <w:t xml:space="preserve"> of staff</w:t>
      </w:r>
      <w:r w:rsidR="00F03F59">
        <w:rPr>
          <w:rFonts w:eastAsiaTheme="minorHAnsi"/>
        </w:rPr>
        <w:t xml:space="preserve"> </w:t>
      </w:r>
      <w:r w:rsidR="00631818">
        <w:rPr>
          <w:rFonts w:eastAsiaTheme="minorHAnsi"/>
        </w:rPr>
        <w:t>and respondents</w:t>
      </w:r>
      <w:r w:rsidR="00B42029">
        <w:rPr>
          <w:rFonts w:eastAsiaTheme="minorHAnsi"/>
        </w:rPr>
        <w:t>.</w:t>
      </w:r>
      <w:r w:rsidR="00D20F31">
        <w:rPr>
          <w:rFonts w:eastAsiaTheme="minorHAnsi"/>
        </w:rPr>
        <w:t xml:space="preserve">  These questions will be administered beginning in June and continue through December</w:t>
      </w:r>
      <w:r w:rsidR="003150E7">
        <w:rPr>
          <w:rFonts w:eastAsiaTheme="minorHAnsi"/>
        </w:rPr>
        <w:t xml:space="preserve"> (as needed)</w:t>
      </w:r>
      <w:r w:rsidR="00D20F31">
        <w:rPr>
          <w:rFonts w:eastAsiaTheme="minorHAnsi"/>
        </w:rPr>
        <w:t>.</w:t>
      </w:r>
    </w:p>
    <w:p w:rsidR="00B42029" w:rsidP="00A96FB1" w:rsidRDefault="00B42029" w14:paraId="5D75D05E" w14:textId="77777777">
      <w:pPr>
        <w:rPr>
          <w:rFonts w:eastAsiaTheme="minorHAnsi"/>
        </w:rPr>
      </w:pPr>
    </w:p>
    <w:p w:rsidR="00987C65" w:rsidP="00987C65" w:rsidRDefault="00B42029" w14:paraId="04DEC4F9" w14:textId="730E1E52">
      <w:pPr>
        <w:rPr>
          <w:rFonts w:eastAsiaTheme="minorHAnsi"/>
        </w:rPr>
      </w:pPr>
      <w:r>
        <w:t xml:space="preserve">These questions are necessary </w:t>
      </w:r>
      <w:r w:rsidR="00C51C99">
        <w:t xml:space="preserve">to measure the </w:t>
      </w:r>
      <w:r w:rsidR="00BD6E69">
        <w:t xml:space="preserve">effect </w:t>
      </w:r>
      <w:r w:rsidR="00C51C99">
        <w:t>of the stimulus payments sent directly to many households</w:t>
      </w:r>
      <w:r>
        <w:t xml:space="preserve"> </w:t>
      </w:r>
      <w:r w:rsidR="00A6592D">
        <w:t>i</w:t>
      </w:r>
      <w:r w:rsidRPr="00B42029">
        <w:t>n response to the coronavirus</w:t>
      </w:r>
      <w:r w:rsidR="00A6592D">
        <w:t xml:space="preserve"> pandemic</w:t>
      </w:r>
      <w:r>
        <w:t xml:space="preserve">.  </w:t>
      </w:r>
      <w:r w:rsidRPr="00E859A2" w:rsidR="00987C65">
        <w:t xml:space="preserve">Addition of </w:t>
      </w:r>
      <w:r w:rsidR="000C6196">
        <w:t>the questions described below are</w:t>
      </w:r>
      <w:r w:rsidRPr="00E859A2" w:rsidR="00987C65">
        <w:t xml:space="preserve"> </w:t>
      </w:r>
      <w:r w:rsidR="00DB599D">
        <w:t>needed</w:t>
      </w:r>
      <w:r w:rsidRPr="00E859A2" w:rsidR="00987C65">
        <w:t xml:space="preserve"> to facilitate a timely and effective </w:t>
      </w:r>
      <w:r w:rsidR="00A6592D">
        <w:t>collection of expenditure data resulting from the stimulus</w:t>
      </w:r>
      <w:r w:rsidRPr="00E859A2" w:rsidR="00987C65">
        <w:t xml:space="preserve">. </w:t>
      </w:r>
      <w:r w:rsidR="005B33C8">
        <w:t xml:space="preserve"> </w:t>
      </w:r>
      <w:r w:rsidR="000C6196">
        <w:t>Economic</w:t>
      </w:r>
      <w:r w:rsidRPr="00E859A2" w:rsidR="00987C65">
        <w:t xml:space="preserve"> data are used to </w:t>
      </w:r>
      <w:r w:rsidR="00A6592D">
        <w:t>evaluate the intended effect of the stimulus and to adequately explain changes in expenditure patterns that result from the coronavirus pandemic</w:t>
      </w:r>
      <w:r w:rsidR="000C6196">
        <w:t>.</w:t>
      </w:r>
      <w:r w:rsidRPr="00E859A2" w:rsidR="00987C65">
        <w:rPr>
          <w:rFonts w:eastAsiaTheme="minorHAnsi"/>
        </w:rPr>
        <w:t xml:space="preserve"> </w:t>
      </w:r>
    </w:p>
    <w:p w:rsidR="00F03F59" w:rsidP="00987C65" w:rsidRDefault="00F03F59" w14:paraId="3BA16955" w14:textId="77777777">
      <w:pPr>
        <w:rPr>
          <w:rFonts w:eastAsiaTheme="minorHAnsi"/>
        </w:rPr>
      </w:pPr>
    </w:p>
    <w:p w:rsidR="00544D42" w:rsidP="00B42029" w:rsidRDefault="00B42029" w14:paraId="50999B55" w14:textId="5596F5EC">
      <w:r>
        <w:t>Together, t</w:t>
      </w:r>
      <w:r w:rsidRPr="006A5B97">
        <w:t xml:space="preserve">he questions will capture: </w:t>
      </w:r>
      <w:r w:rsidR="00C51C99">
        <w:t xml:space="preserve">1) </w:t>
      </w:r>
      <w:r w:rsidRPr="006A5B97">
        <w:t xml:space="preserve">the receipt </w:t>
      </w:r>
      <w:r w:rsidR="00A6592D">
        <w:t>of the</w:t>
      </w:r>
      <w:r w:rsidRPr="006A5B97">
        <w:t xml:space="preserve"> </w:t>
      </w:r>
      <w:r>
        <w:t>stimulus payments</w:t>
      </w:r>
      <w:r w:rsidR="00BD6E69">
        <w:t>,</w:t>
      </w:r>
      <w:r w:rsidRPr="006A5B97">
        <w:t xml:space="preserve"> </w:t>
      </w:r>
      <w:r w:rsidR="00C51C99">
        <w:t>2</w:t>
      </w:r>
      <w:r w:rsidR="00F11A36">
        <w:t xml:space="preserve">) </w:t>
      </w:r>
      <w:r w:rsidR="00BD6E69">
        <w:t>by which member</w:t>
      </w:r>
      <w:r w:rsidR="006224A8">
        <w:t>s</w:t>
      </w:r>
      <w:r w:rsidR="00BD6E69">
        <w:t xml:space="preserve"> of the Consumer Unit (CU), 3) </w:t>
      </w:r>
      <w:r w:rsidRPr="006A5B97">
        <w:t xml:space="preserve">the month the CU received the </w:t>
      </w:r>
      <w:r>
        <w:t>stimulus</w:t>
      </w:r>
      <w:r w:rsidRPr="006A5B97">
        <w:t xml:space="preserve">, </w:t>
      </w:r>
      <w:r w:rsidR="00BD6E69">
        <w:t>4</w:t>
      </w:r>
      <w:r w:rsidR="00C51C99">
        <w:t xml:space="preserve">) </w:t>
      </w:r>
      <w:r w:rsidRPr="006A5B97">
        <w:t xml:space="preserve">the amount of the </w:t>
      </w:r>
      <w:r>
        <w:t>stimulus</w:t>
      </w:r>
      <w:r w:rsidRPr="006A5B97">
        <w:t xml:space="preserve">, </w:t>
      </w:r>
      <w:r w:rsidR="00BD6E69">
        <w:t>5</w:t>
      </w:r>
      <w:r w:rsidR="00C51C99">
        <w:t xml:space="preserve">) </w:t>
      </w:r>
      <w:r>
        <w:t xml:space="preserve">how the CU received the stimulus (direct deposit or check), </w:t>
      </w:r>
      <w:r w:rsidR="00BD6E69">
        <w:t>6</w:t>
      </w:r>
      <w:r w:rsidR="00C51C99">
        <w:t xml:space="preserve">) </w:t>
      </w:r>
      <w:r w:rsidRPr="006A5B97">
        <w:t xml:space="preserve">the primary use of the </w:t>
      </w:r>
      <w:r>
        <w:t>stimulus</w:t>
      </w:r>
      <w:r w:rsidR="00FB59B6">
        <w:t xml:space="preserve"> and 7) whether any additional stimulus checks were received by the CU</w:t>
      </w:r>
      <w:r w:rsidRPr="006A5B97">
        <w:t xml:space="preserve">.  </w:t>
      </w:r>
      <w:r w:rsidR="00A6592D">
        <w:t>(See Attachment A for a detailed description of each question.)</w:t>
      </w:r>
    </w:p>
    <w:p w:rsidR="003E4276" w:rsidP="00B42029" w:rsidRDefault="003E4276" w14:paraId="2F4D5919" w14:textId="2FE8E08D"/>
    <w:p w:rsidR="003E4276" w:rsidP="003E4276" w:rsidRDefault="003E4276" w14:paraId="0C3FE806" w14:textId="7E2DC8D7">
      <w:pPr>
        <w:pStyle w:val="Default"/>
        <w:rPr>
          <w:color w:val="auto"/>
        </w:rPr>
      </w:pPr>
      <w:r>
        <w:t>Diary placement p</w:t>
      </w:r>
      <w:r w:rsidRPr="00F03F59">
        <w:t xml:space="preserve">rocedures must also be modified </w:t>
      </w:r>
      <w:r w:rsidRPr="00F03F59">
        <w:rPr>
          <w:color w:val="auto"/>
        </w:rPr>
        <w:t>in order to reduce unnecessary travel, and</w:t>
      </w:r>
      <w:r>
        <w:t xml:space="preserve"> ensure staff </w:t>
      </w:r>
      <w:r w:rsidR="00C51C99">
        <w:t xml:space="preserve">and respondent </w:t>
      </w:r>
      <w:r>
        <w:t xml:space="preserve">health and safety.  </w:t>
      </w:r>
      <w:r w:rsidRPr="003E4276">
        <w:rPr>
          <w:color w:val="auto"/>
        </w:rPr>
        <w:t xml:space="preserve">For cases where </w:t>
      </w:r>
      <w:r w:rsidR="00C51C99">
        <w:rPr>
          <w:color w:val="auto"/>
        </w:rPr>
        <w:t>Field Representatives (</w:t>
      </w:r>
      <w:r w:rsidRPr="003E4276">
        <w:rPr>
          <w:color w:val="auto"/>
        </w:rPr>
        <w:t>FRs</w:t>
      </w:r>
      <w:r w:rsidR="00C51C99">
        <w:rPr>
          <w:color w:val="auto"/>
        </w:rPr>
        <w:t>)</w:t>
      </w:r>
      <w:r w:rsidRPr="003E4276">
        <w:rPr>
          <w:color w:val="auto"/>
        </w:rPr>
        <w:t xml:space="preserve"> have already dropped off Diaries, the FR will call the respondent and ask for permission to transcribe the respondent's expenses into a blank CE-801 </w:t>
      </w:r>
      <w:r>
        <w:rPr>
          <w:color w:val="auto"/>
        </w:rPr>
        <w:t>by</w:t>
      </w:r>
      <w:r w:rsidRPr="003E4276">
        <w:rPr>
          <w:color w:val="auto"/>
        </w:rPr>
        <w:t xml:space="preserve"> phone. </w:t>
      </w:r>
    </w:p>
    <w:p w:rsidR="00E47496" w:rsidP="003E4276" w:rsidRDefault="00E47496" w14:paraId="1C077B85" w14:textId="77777777">
      <w:pPr>
        <w:pStyle w:val="Default"/>
        <w:rPr>
          <w:color w:val="auto"/>
        </w:rPr>
      </w:pPr>
    </w:p>
    <w:p w:rsidR="003E4276" w:rsidP="0006237E" w:rsidRDefault="0006237E" w14:paraId="3E7F8613" w14:textId="1B654743">
      <w:pPr>
        <w:pStyle w:val="Default"/>
      </w:pPr>
      <w:r w:rsidRPr="0006237E">
        <w:t xml:space="preserve">For cases </w:t>
      </w:r>
      <w:r w:rsidR="007A1AC1">
        <w:t>where Diaries have not been</w:t>
      </w:r>
      <w:r w:rsidRPr="0006237E">
        <w:t xml:space="preserve"> placed, </w:t>
      </w:r>
      <w:r w:rsidR="001D077C">
        <w:t>Regional Offices (</w:t>
      </w:r>
      <w:r w:rsidRPr="0006237E">
        <w:t>ROs</w:t>
      </w:r>
      <w:r w:rsidR="001D077C">
        <w:t>)</w:t>
      </w:r>
      <w:r w:rsidRPr="0006237E">
        <w:t xml:space="preserve"> will </w:t>
      </w:r>
      <w:r w:rsidRPr="003E4276" w:rsidR="003E4276">
        <w:t xml:space="preserve">provide FRs with </w:t>
      </w:r>
      <w:r w:rsidRPr="0006237E">
        <w:t xml:space="preserve">the </w:t>
      </w:r>
      <w:r w:rsidRPr="003E4276" w:rsidR="003E4276">
        <w:t xml:space="preserve">phone number of </w:t>
      </w:r>
      <w:r w:rsidRPr="0006237E">
        <w:t xml:space="preserve">the </w:t>
      </w:r>
      <w:r w:rsidRPr="003E4276" w:rsidR="003E4276">
        <w:t xml:space="preserve">sample address if available. </w:t>
      </w:r>
      <w:r>
        <w:t xml:space="preserve"> </w:t>
      </w:r>
      <w:r w:rsidRPr="003E4276" w:rsidR="003E4276">
        <w:t>FR</w:t>
      </w:r>
      <w:r w:rsidRPr="0006237E">
        <w:t>s will</w:t>
      </w:r>
      <w:r w:rsidRPr="003E4276" w:rsidR="003E4276">
        <w:t xml:space="preserve"> </w:t>
      </w:r>
      <w:r w:rsidR="00464A54">
        <w:t xml:space="preserve">call respondents, </w:t>
      </w:r>
      <w:r w:rsidRPr="003E4276" w:rsidR="003E4276">
        <w:t xml:space="preserve">introduce themselves to the person answering the phone, and explain why they are calling instead of visiting in person. </w:t>
      </w:r>
      <w:r w:rsidR="007A1AC1">
        <w:t xml:space="preserve"> </w:t>
      </w:r>
      <w:r w:rsidRPr="0006237E">
        <w:t xml:space="preserve">The </w:t>
      </w:r>
      <w:r w:rsidRPr="003E4276" w:rsidR="003E4276">
        <w:t xml:space="preserve">FR </w:t>
      </w:r>
      <w:r w:rsidRPr="0006237E">
        <w:t xml:space="preserve">will then verify the </w:t>
      </w:r>
      <w:r w:rsidRPr="003E4276" w:rsidR="003E4276">
        <w:t xml:space="preserve">address and solicit participation in the CED Survey. </w:t>
      </w:r>
      <w:r w:rsidR="007A1AC1">
        <w:t xml:space="preserve"> </w:t>
      </w:r>
      <w:r w:rsidRPr="003E4276" w:rsidR="003E4276">
        <w:t xml:space="preserve">If the respondent agrees, the FR will then complete the </w:t>
      </w:r>
      <w:r w:rsidR="002D24AC">
        <w:t>computer assisted personal interview (</w:t>
      </w:r>
      <w:r w:rsidRPr="003E4276" w:rsidR="003E4276">
        <w:t>CAPI</w:t>
      </w:r>
      <w:r w:rsidR="002D24AC">
        <w:t>)</w:t>
      </w:r>
      <w:r w:rsidRPr="003E4276" w:rsidR="003E4276">
        <w:t xml:space="preserve"> </w:t>
      </w:r>
      <w:r w:rsidR="0029423F">
        <w:t xml:space="preserve">Diary </w:t>
      </w:r>
      <w:r w:rsidRPr="003E4276" w:rsidR="003E4276">
        <w:t>placemen</w:t>
      </w:r>
      <w:r w:rsidRPr="0006237E">
        <w:t xml:space="preserve">t interview by phone instead of personal visit; and either 1) </w:t>
      </w:r>
      <w:r w:rsidRPr="003E4276" w:rsidR="003E4276">
        <w:t xml:space="preserve">send the respondent a web link to the diary on the BLS website </w:t>
      </w:r>
      <w:r w:rsidRPr="0006237E">
        <w:t xml:space="preserve">by </w:t>
      </w:r>
      <w:r w:rsidR="0029423F">
        <w:t xml:space="preserve">text or </w:t>
      </w:r>
      <w:r w:rsidRPr="0006237E">
        <w:t xml:space="preserve">email </w:t>
      </w:r>
      <w:r w:rsidR="00C51C99">
        <w:t xml:space="preserve">or </w:t>
      </w:r>
      <w:r w:rsidRPr="0006237E">
        <w:t>2</w:t>
      </w:r>
      <w:r w:rsidRPr="003E4276" w:rsidR="003E4276">
        <w:t>)</w:t>
      </w:r>
      <w:r w:rsidRPr="0006237E">
        <w:t xml:space="preserve"> ship a paper Diary to the respondent</w:t>
      </w:r>
      <w:r w:rsidR="0029423F">
        <w:t>.</w:t>
      </w:r>
      <w:r w:rsidR="00464A54">
        <w:t xml:space="preserve">  </w:t>
      </w:r>
      <w:r w:rsidR="002376C2">
        <w:t>(</w:t>
      </w:r>
      <w:r w:rsidR="00544D42">
        <w:t>S</w:t>
      </w:r>
      <w:r w:rsidRPr="0006237E" w:rsidR="00544D42">
        <w:t xml:space="preserve">ee </w:t>
      </w:r>
      <w:r w:rsidR="00544D42">
        <w:t xml:space="preserve">Attachment B for the email template </w:t>
      </w:r>
      <w:r w:rsidR="002376C2">
        <w:t>that will be sent to respondents with a link to the paper diary.)</w:t>
      </w:r>
    </w:p>
    <w:p w:rsidRPr="003E4276" w:rsidR="00E47496" w:rsidP="0006237E" w:rsidRDefault="00E47496" w14:paraId="02FF6D0F" w14:textId="77777777">
      <w:pPr>
        <w:pStyle w:val="Default"/>
      </w:pPr>
    </w:p>
    <w:p w:rsidRPr="00E47496" w:rsidR="003E4276" w:rsidP="00E47496" w:rsidRDefault="003E4276" w14:paraId="18E781D6" w14:textId="176B97BB">
      <w:pPr>
        <w:autoSpaceDE w:val="0"/>
        <w:autoSpaceDN w:val="0"/>
        <w:adjustRightInd w:val="0"/>
        <w:spacing w:after="30"/>
        <w:rPr>
          <w:color w:val="000000"/>
        </w:rPr>
      </w:pPr>
      <w:r w:rsidRPr="003E4276">
        <w:rPr>
          <w:color w:val="000000"/>
        </w:rPr>
        <w:t>FR</w:t>
      </w:r>
      <w:r w:rsidRPr="00E47496" w:rsidR="0006237E">
        <w:rPr>
          <w:color w:val="000000"/>
        </w:rPr>
        <w:t>s will continue to</w:t>
      </w:r>
      <w:r w:rsidRPr="003E4276">
        <w:rPr>
          <w:color w:val="000000"/>
        </w:rPr>
        <w:t xml:space="preserve"> conduct</w:t>
      </w:r>
      <w:r w:rsidRPr="00E47496" w:rsidR="0006237E">
        <w:rPr>
          <w:color w:val="000000"/>
        </w:rPr>
        <w:t xml:space="preserve"> the </w:t>
      </w:r>
      <w:r w:rsidRPr="003E4276">
        <w:rPr>
          <w:color w:val="000000"/>
        </w:rPr>
        <w:t xml:space="preserve">midweek telephone call with </w:t>
      </w:r>
      <w:r w:rsidR="002D24AC">
        <w:rPr>
          <w:color w:val="000000"/>
        </w:rPr>
        <w:t xml:space="preserve">the </w:t>
      </w:r>
      <w:r w:rsidRPr="003E4276">
        <w:rPr>
          <w:color w:val="000000"/>
        </w:rPr>
        <w:t>respondent</w:t>
      </w:r>
      <w:r w:rsidR="00E47496">
        <w:rPr>
          <w:color w:val="000000"/>
        </w:rPr>
        <w:t>.  During this call,</w:t>
      </w:r>
      <w:r w:rsidRPr="00E47496" w:rsidR="0006237E">
        <w:rPr>
          <w:color w:val="000000"/>
        </w:rPr>
        <w:t xml:space="preserve"> the FR will</w:t>
      </w:r>
      <w:r w:rsidRPr="003E4276">
        <w:rPr>
          <w:color w:val="000000"/>
        </w:rPr>
        <w:t xml:space="preserve"> transcribe</w:t>
      </w:r>
      <w:r w:rsidRPr="00E47496" w:rsidR="0006237E">
        <w:rPr>
          <w:color w:val="000000"/>
        </w:rPr>
        <w:t xml:space="preserve"> expenses and answer any questions.  FRs will contact</w:t>
      </w:r>
      <w:r w:rsidRPr="003E4276">
        <w:rPr>
          <w:color w:val="000000"/>
        </w:rPr>
        <w:t xml:space="preserve"> respondent</w:t>
      </w:r>
      <w:r w:rsidR="001D077C">
        <w:rPr>
          <w:color w:val="000000"/>
        </w:rPr>
        <w:t>s</w:t>
      </w:r>
      <w:r w:rsidRPr="003E4276">
        <w:rPr>
          <w:color w:val="000000"/>
        </w:rPr>
        <w:t xml:space="preserve"> on "Day 15" </w:t>
      </w:r>
      <w:r w:rsidRPr="00E47496" w:rsidR="00E47496">
        <w:rPr>
          <w:color w:val="000000"/>
        </w:rPr>
        <w:t xml:space="preserve">by phone </w:t>
      </w:r>
      <w:r w:rsidRPr="003E4276">
        <w:rPr>
          <w:color w:val="000000"/>
        </w:rPr>
        <w:t>to perform the last transcription of expenses, and complete the coverage questions</w:t>
      </w:r>
      <w:r w:rsidRPr="00E47496" w:rsidR="0006237E">
        <w:rPr>
          <w:color w:val="000000"/>
        </w:rPr>
        <w:t xml:space="preserve"> </w:t>
      </w:r>
      <w:r w:rsidRPr="00E47496" w:rsidR="00E47496">
        <w:rPr>
          <w:color w:val="000000"/>
        </w:rPr>
        <w:t xml:space="preserve">that are normally asked in person at pickup.  </w:t>
      </w:r>
    </w:p>
    <w:p w:rsidRPr="0089018E" w:rsidR="00987C65" w:rsidP="0089018E" w:rsidRDefault="00987C65" w14:paraId="63425DDB" w14:textId="77777777">
      <w:pPr>
        <w:pStyle w:val="Default"/>
        <w:rPr>
          <w:color w:val="auto"/>
        </w:rPr>
      </w:pPr>
    </w:p>
    <w:p w:rsidR="001D077C" w:rsidP="0089018E" w:rsidRDefault="00E47496" w14:paraId="404BDF26" w14:textId="5EDF6852">
      <w:r w:rsidRPr="0089018E">
        <w:t>Beginning in June</w:t>
      </w:r>
      <w:r w:rsidR="00D20F31">
        <w:t xml:space="preserve"> and continuing through the end of December (as needed)</w:t>
      </w:r>
      <w:r w:rsidRPr="0089018E">
        <w:t>, FRs will have the additional option of offering the respondent an online Diary during the telephone placement interview</w:t>
      </w:r>
      <w:r w:rsidRPr="0089018E" w:rsidR="00464A54">
        <w:t xml:space="preserve">.  </w:t>
      </w:r>
      <w:r w:rsidR="0089018E">
        <w:t>The following procedures will remain the same a</w:t>
      </w:r>
      <w:r w:rsidRPr="0089018E" w:rsidR="00464A54">
        <w:t xml:space="preserve">s with the </w:t>
      </w:r>
      <w:r w:rsidR="001D077C">
        <w:t>Large Scale Feasibility (</w:t>
      </w:r>
      <w:r w:rsidRPr="0089018E" w:rsidR="00464A54">
        <w:t>LSF</w:t>
      </w:r>
      <w:r w:rsidR="001D077C">
        <w:t>)</w:t>
      </w:r>
      <w:r w:rsidRPr="0089018E" w:rsidR="00464A54">
        <w:t xml:space="preserve"> test</w:t>
      </w:r>
      <w:r w:rsidR="0089018E">
        <w:t>:</w:t>
      </w:r>
      <w:r w:rsidRPr="0089018E" w:rsidR="00464A54">
        <w:t xml:space="preserve"> 1) screening questions will be used to determine if the </w:t>
      </w:r>
      <w:r w:rsidR="001D077C">
        <w:t>respondent</w:t>
      </w:r>
      <w:r w:rsidRPr="0089018E" w:rsidR="00464A54">
        <w:t xml:space="preserve"> is eligible to receive an online Diary (respondent must have in-home internet access and </w:t>
      </w:r>
      <w:r w:rsidR="0089018E">
        <w:t xml:space="preserve">must </w:t>
      </w:r>
      <w:r w:rsidRPr="0089018E" w:rsidR="00464A54">
        <w:t xml:space="preserve">access the </w:t>
      </w:r>
      <w:r w:rsidRPr="0089018E" w:rsidR="00464A54">
        <w:lastRenderedPageBreak/>
        <w:t>internet at least a few times a week)</w:t>
      </w:r>
      <w:r w:rsidR="0089018E">
        <w:t>;</w:t>
      </w:r>
      <w:r w:rsidRPr="0089018E" w:rsidR="00464A54">
        <w:t xml:space="preserve"> 2) </w:t>
      </w:r>
      <w:r w:rsidR="00D94CC0">
        <w:t xml:space="preserve">a welcome email will be sent; 3) </w:t>
      </w:r>
      <w:r w:rsidRPr="0089018E">
        <w:t xml:space="preserve">an email reminder will be sent to respondents who have not logged in or </w:t>
      </w:r>
      <w:r w:rsidRPr="0089018E" w:rsidR="00464A54">
        <w:t xml:space="preserve">have </w:t>
      </w:r>
      <w:r w:rsidRPr="0089018E">
        <w:t>not entered any expenses by the 8th day after placement</w:t>
      </w:r>
      <w:r w:rsidR="0089018E">
        <w:t xml:space="preserve">; </w:t>
      </w:r>
      <w:r w:rsidR="00D94CC0">
        <w:t>4</w:t>
      </w:r>
      <w:r w:rsidR="0089018E">
        <w:t xml:space="preserve">) the FR will call the respondent at the end of the recording period and enter any recalled purchases or expenses (not already recorded in the online diary) into the CAPI instrument and then complete the CAPI portion of the pick-up </w:t>
      </w:r>
      <w:r w:rsidR="0029423F">
        <w:t>interview</w:t>
      </w:r>
      <w:r w:rsidRPr="0029423F" w:rsidR="0089018E">
        <w:t>.</w:t>
      </w:r>
      <w:r w:rsidR="0089018E">
        <w:t xml:space="preserve">  </w:t>
      </w:r>
    </w:p>
    <w:p w:rsidR="001D077C" w:rsidP="0089018E" w:rsidRDefault="001D077C" w14:paraId="1054B1A7" w14:textId="77777777"/>
    <w:p w:rsidR="00126BB9" w:rsidP="0089018E" w:rsidRDefault="00BB6C3D" w14:paraId="63FDCC76" w14:textId="6EBF8808">
      <w:r>
        <w:t>Additionally, all CEQ interviews will be conducted by telephone</w:t>
      </w:r>
      <w:r w:rsidR="001D077C">
        <w:t xml:space="preserve"> for the duration of the </w:t>
      </w:r>
      <w:r w:rsidR="00194164">
        <w:t>coronavirus</w:t>
      </w:r>
      <w:r w:rsidR="001D077C">
        <w:t xml:space="preserve"> pandemic period</w:t>
      </w:r>
      <w:r>
        <w:t xml:space="preserve">.  </w:t>
      </w:r>
    </w:p>
    <w:p w:rsidR="00FD6764" w:rsidP="00FD6764" w:rsidRDefault="00444DB0" w14:paraId="55FC49D1" w14:textId="6BA3678E">
      <w:pPr>
        <w:pStyle w:val="NormalWeb"/>
        <w:rPr>
          <w:color w:val="000000"/>
        </w:rPr>
      </w:pPr>
      <w:r>
        <w:rPr>
          <w:color w:val="000000"/>
        </w:rPr>
        <w:t xml:space="preserve">Finally, for both CEQ and CED, additional wording will be added regarding receipt of the advanced letter in order to ensure communication of the </w:t>
      </w:r>
      <w:r w:rsidR="002D24AC">
        <w:rPr>
          <w:color w:val="000000"/>
        </w:rPr>
        <w:t>confidentiality and Paperwork Reduction Act statement</w:t>
      </w:r>
      <w:r w:rsidR="00B971F3">
        <w:rPr>
          <w:color w:val="000000"/>
        </w:rPr>
        <w:t>s</w:t>
      </w:r>
      <w:r>
        <w:rPr>
          <w:color w:val="000000"/>
        </w:rPr>
        <w:t xml:space="preserve"> to respondents who may not have received the advanced letter.  If the respondent indicates that the letter was not received, the FR will offer to email </w:t>
      </w:r>
      <w:r w:rsidR="00175D82">
        <w:rPr>
          <w:color w:val="000000"/>
        </w:rPr>
        <w:t xml:space="preserve">the letter. </w:t>
      </w:r>
      <w:r w:rsidR="002376C2">
        <w:rPr>
          <w:color w:val="000000"/>
        </w:rPr>
        <w:t xml:space="preserve"> </w:t>
      </w:r>
      <w:r w:rsidR="00175D82">
        <w:rPr>
          <w:color w:val="000000"/>
        </w:rPr>
        <w:t xml:space="preserve">In the event that the respondent refuses, the FR will be instructed to read the </w:t>
      </w:r>
      <w:r w:rsidR="00683264">
        <w:rPr>
          <w:color w:val="000000"/>
        </w:rPr>
        <w:t xml:space="preserve">attached </w:t>
      </w:r>
      <w:r w:rsidR="00FD6764">
        <w:rPr>
          <w:color w:val="000000"/>
        </w:rPr>
        <w:t xml:space="preserve">confidentiality, Paperwork Reduction act, and burden estimate statements.  (See </w:t>
      </w:r>
      <w:r w:rsidR="00630144">
        <w:rPr>
          <w:color w:val="000000"/>
        </w:rPr>
        <w:t xml:space="preserve">Attachment C - </w:t>
      </w:r>
      <w:r w:rsidR="00FD6764">
        <w:rPr>
          <w:color w:val="000000"/>
        </w:rPr>
        <w:t xml:space="preserve">Respondent Contact Procedures and Email Template </w:t>
      </w:r>
      <w:r w:rsidR="00603826">
        <w:rPr>
          <w:color w:val="000000"/>
        </w:rPr>
        <w:t xml:space="preserve">and Attachment D – Diary Instrument Specifications </w:t>
      </w:r>
      <w:r w:rsidR="00FD6764">
        <w:rPr>
          <w:color w:val="000000"/>
        </w:rPr>
        <w:t xml:space="preserve">for additional information on the additional wording and email.) </w:t>
      </w:r>
    </w:p>
    <w:p w:rsidR="000C6196" w:rsidP="00FD6764" w:rsidRDefault="00A6592D" w14:paraId="16711558" w14:textId="25128344">
      <w:pPr>
        <w:pStyle w:val="NormalWeb"/>
      </w:pPr>
      <w:r>
        <w:t>The</w:t>
      </w:r>
      <w:r w:rsidR="007F16F6">
        <w:t xml:space="preserve">se changes apply to the currently OMB approved CEQ </w:t>
      </w:r>
      <w:r w:rsidR="003E4276">
        <w:t xml:space="preserve">and CED </w:t>
      </w:r>
      <w:r w:rsidR="007F16F6">
        <w:t xml:space="preserve">survey </w:t>
      </w:r>
      <w:r w:rsidR="0047535E">
        <w:t>collection</w:t>
      </w:r>
      <w:r w:rsidR="003E4276">
        <w:t>s</w:t>
      </w:r>
      <w:r w:rsidR="0047535E">
        <w:t xml:space="preserve"> </w:t>
      </w:r>
      <w:r w:rsidR="007F16F6">
        <w:t xml:space="preserve">with control number 1220-0050 </w:t>
      </w:r>
      <w:r w:rsidR="001D077C">
        <w:t xml:space="preserve"> with the current</w:t>
      </w:r>
      <w:r w:rsidR="0047535E">
        <w:t xml:space="preserve"> </w:t>
      </w:r>
      <w:r w:rsidR="007F16F6">
        <w:t xml:space="preserve">expiration date of </w:t>
      </w:r>
      <w:r w:rsidR="001D077C">
        <w:t xml:space="preserve">September </w:t>
      </w:r>
      <w:r w:rsidR="0047535E">
        <w:t>30, 2022</w:t>
      </w:r>
      <w:r w:rsidR="003E4276">
        <w:t xml:space="preserve">.  </w:t>
      </w:r>
      <w:r w:rsidR="001D077C">
        <w:t>The authorizing statutes for this collection are available in the current package.</w:t>
      </w:r>
    </w:p>
    <w:p w:rsidRPr="00E859A2" w:rsidR="003E4276" w:rsidP="003E4276" w:rsidRDefault="003E4276" w14:paraId="2FC96DCF" w14:textId="77777777">
      <w:pPr>
        <w:pStyle w:val="Header"/>
      </w:pPr>
    </w:p>
    <w:p w:rsidRPr="00E859A2" w:rsidR="009135CB" w:rsidP="001209EC" w:rsidRDefault="009135CB" w14:paraId="0B4C9BFA" w14:textId="38C5E38D">
      <w:pPr>
        <w:pStyle w:val="Heading1"/>
        <w:rPr>
          <w:sz w:val="24"/>
          <w:szCs w:val="24"/>
        </w:rPr>
      </w:pPr>
      <w:bookmarkStart w:name="_Toc30238154" w:id="2"/>
      <w:r w:rsidRPr="00E859A2">
        <w:rPr>
          <w:sz w:val="24"/>
          <w:szCs w:val="24"/>
        </w:rPr>
        <w:t xml:space="preserve">Purpose and Use of </w:t>
      </w:r>
      <w:r w:rsidRPr="00E859A2" w:rsidR="00A824BA">
        <w:rPr>
          <w:sz w:val="24"/>
          <w:szCs w:val="24"/>
        </w:rPr>
        <w:t xml:space="preserve">the </w:t>
      </w:r>
      <w:r w:rsidRPr="00E859A2">
        <w:rPr>
          <w:sz w:val="24"/>
          <w:szCs w:val="24"/>
        </w:rPr>
        <w:t>Information</w:t>
      </w:r>
      <w:r w:rsidRPr="00E859A2" w:rsidR="008C76E9">
        <w:rPr>
          <w:sz w:val="24"/>
          <w:szCs w:val="24"/>
        </w:rPr>
        <w:t xml:space="preserve"> Collection</w:t>
      </w:r>
      <w:bookmarkEnd w:id="2"/>
    </w:p>
    <w:p w:rsidR="0047535E" w:rsidP="0047535E" w:rsidRDefault="00923C76" w14:paraId="4A53CEDD" w14:textId="1494CDC2">
      <w:pPr>
        <w:rPr>
          <w:rFonts w:eastAsiaTheme="minorHAnsi"/>
        </w:rPr>
      </w:pPr>
      <w:r w:rsidRPr="00E859A2">
        <w:rPr>
          <w:color w:val="000000"/>
        </w:rPr>
        <w:t>The purpose of a</w:t>
      </w:r>
      <w:r w:rsidRPr="00E859A2" w:rsidR="000D5DD0">
        <w:rPr>
          <w:color w:val="000000"/>
        </w:rPr>
        <w:t xml:space="preserve">dding </w:t>
      </w:r>
      <w:r w:rsidR="0047535E">
        <w:rPr>
          <w:color w:val="000000"/>
        </w:rPr>
        <w:t>these stimulus questions</w:t>
      </w:r>
      <w:r w:rsidRPr="00E859A2" w:rsidR="000D5DD0">
        <w:rPr>
          <w:color w:val="000000"/>
        </w:rPr>
        <w:t xml:space="preserve"> </w:t>
      </w:r>
      <w:r w:rsidR="0029423F">
        <w:rPr>
          <w:color w:val="000000"/>
        </w:rPr>
        <w:t xml:space="preserve">to the CEQ </w:t>
      </w:r>
      <w:r w:rsidR="00E859A2">
        <w:rPr>
          <w:color w:val="000000"/>
        </w:rPr>
        <w:t>is to</w:t>
      </w:r>
      <w:r w:rsidRPr="00E859A2" w:rsidR="000D5DD0">
        <w:rPr>
          <w:color w:val="000000"/>
        </w:rPr>
        <w:t xml:space="preserve"> facilitate </w:t>
      </w:r>
      <w:r w:rsidRPr="00E859A2" w:rsidR="0047535E">
        <w:t xml:space="preserve">a timely and effective </w:t>
      </w:r>
      <w:r w:rsidR="0047535E">
        <w:t>collection of expenditure data resulting from the stimulus</w:t>
      </w:r>
      <w:r w:rsidR="001D077C">
        <w:t xml:space="preserve"> payments</w:t>
      </w:r>
      <w:r w:rsidRPr="00E859A2" w:rsidR="0047535E">
        <w:t xml:space="preserve">. </w:t>
      </w:r>
      <w:r w:rsidR="00792503">
        <w:t xml:space="preserve"> </w:t>
      </w:r>
      <w:r w:rsidR="0047535E">
        <w:t>Economic</w:t>
      </w:r>
      <w:r w:rsidRPr="00E859A2" w:rsidR="0047535E">
        <w:t xml:space="preserve"> data are used to </w:t>
      </w:r>
      <w:r w:rsidR="0047535E">
        <w:t>evaluate the intended effect of the stimulus and to adequately explain changes in expenditure patterns that result from the coronavirus pandemic</w:t>
      </w:r>
      <w:r w:rsidR="00085D52">
        <w:t xml:space="preserve"> and stimulus</w:t>
      </w:r>
      <w:r w:rsidR="0047535E">
        <w:t>.</w:t>
      </w:r>
      <w:r w:rsidRPr="00E859A2" w:rsidR="0047535E">
        <w:rPr>
          <w:rFonts w:eastAsiaTheme="minorHAnsi"/>
        </w:rPr>
        <w:t xml:space="preserve"> </w:t>
      </w:r>
      <w:r w:rsidR="0029423F">
        <w:rPr>
          <w:rFonts w:eastAsiaTheme="minorHAnsi"/>
        </w:rPr>
        <w:t xml:space="preserve"> </w:t>
      </w:r>
    </w:p>
    <w:p w:rsidR="0029423F" w:rsidP="0047535E" w:rsidRDefault="0029423F" w14:paraId="6B2A183F" w14:textId="77777777">
      <w:pPr>
        <w:rPr>
          <w:rFonts w:eastAsiaTheme="minorHAnsi"/>
        </w:rPr>
      </w:pPr>
    </w:p>
    <w:p w:rsidR="0029423F" w:rsidP="0047535E" w:rsidRDefault="0029423F" w14:paraId="48F10D37" w14:textId="524289CA">
      <w:pPr>
        <w:rPr>
          <w:rFonts w:eastAsiaTheme="minorHAnsi"/>
        </w:rPr>
      </w:pPr>
      <w:r>
        <w:t>Diary placement p</w:t>
      </w:r>
      <w:r w:rsidRPr="00F03F59">
        <w:t>rocedures must be modified in order to reduce unnecessary travel, and</w:t>
      </w:r>
      <w:r>
        <w:t xml:space="preserve"> ensure staff</w:t>
      </w:r>
      <w:r w:rsidR="001D077C">
        <w:t xml:space="preserve"> and respondent</w:t>
      </w:r>
      <w:r w:rsidR="00444DB0">
        <w:t xml:space="preserve"> </w:t>
      </w:r>
      <w:r>
        <w:t xml:space="preserve">health and safety.  </w:t>
      </w:r>
    </w:p>
    <w:p w:rsidRPr="00E859A2" w:rsidR="000D5DD0" w:rsidP="00E70DD9" w:rsidRDefault="000D5DD0" w14:paraId="001C960E" w14:textId="1B59425E">
      <w:pPr>
        <w:rPr>
          <w:color w:val="000000"/>
        </w:rPr>
      </w:pPr>
    </w:p>
    <w:p w:rsidR="001F482A" w:rsidP="001D077C" w:rsidRDefault="0047535E" w14:paraId="63B5417E" w14:textId="4DECE2AB">
      <w:r>
        <w:t xml:space="preserve">For additional information, see the </w:t>
      </w:r>
      <w:r w:rsidR="001D077C">
        <w:t>currently approved</w:t>
      </w:r>
      <w:r>
        <w:t xml:space="preserve"> </w:t>
      </w:r>
      <w:r w:rsidR="00EF1BFA">
        <w:t>ICR</w:t>
      </w:r>
      <w:r>
        <w:t xml:space="preserve"> for collection 1220-0550.</w:t>
      </w:r>
    </w:p>
    <w:p w:rsidRPr="00E859A2" w:rsidR="000C6196" w:rsidP="00925656" w:rsidRDefault="000C6196" w14:paraId="3B9E77A3" w14:textId="77777777">
      <w:pPr>
        <w:spacing w:line="360" w:lineRule="auto"/>
      </w:pPr>
    </w:p>
    <w:p w:rsidRPr="00E859A2" w:rsidR="00C03048" w:rsidP="001209EC" w:rsidRDefault="00C03048" w14:paraId="4960698D" w14:textId="77777777">
      <w:pPr>
        <w:pStyle w:val="Heading1"/>
        <w:rPr>
          <w:sz w:val="24"/>
          <w:szCs w:val="24"/>
        </w:rPr>
      </w:pPr>
      <w:bookmarkStart w:name="_Toc30238155" w:id="3"/>
      <w:r w:rsidRPr="00E859A2">
        <w:rPr>
          <w:sz w:val="24"/>
          <w:szCs w:val="24"/>
        </w:rPr>
        <w:t>Use of Improved Information Technology</w:t>
      </w:r>
      <w:r w:rsidRPr="00E859A2" w:rsidR="00A824BA">
        <w:rPr>
          <w:sz w:val="24"/>
          <w:szCs w:val="24"/>
        </w:rPr>
        <w:t xml:space="preserve"> and Burden Reduction</w:t>
      </w:r>
      <w:bookmarkEnd w:id="3"/>
      <w:r w:rsidRPr="00E859A2">
        <w:rPr>
          <w:sz w:val="24"/>
          <w:szCs w:val="24"/>
        </w:rPr>
        <w:t xml:space="preserve">   </w:t>
      </w:r>
    </w:p>
    <w:p w:rsidR="00792503" w:rsidP="001F26CF" w:rsidRDefault="001F26CF" w14:paraId="435A3497" w14:textId="77777777">
      <w:pPr>
        <w:rPr>
          <w:color w:val="000000"/>
        </w:rPr>
      </w:pPr>
      <w:r w:rsidRPr="001F26CF">
        <w:rPr>
          <w:color w:val="000000"/>
        </w:rPr>
        <w:t xml:space="preserve">These questions will be added to the current </w:t>
      </w:r>
      <w:r w:rsidR="00B971F3">
        <w:rPr>
          <w:color w:val="000000"/>
        </w:rPr>
        <w:t xml:space="preserve">CEQ </w:t>
      </w:r>
      <w:r w:rsidRPr="001F26CF">
        <w:rPr>
          <w:color w:val="000000"/>
        </w:rPr>
        <w:t>(CAPI instrument</w:t>
      </w:r>
      <w:r w:rsidR="00792503">
        <w:rPr>
          <w:color w:val="000000"/>
        </w:rPr>
        <w:t>)</w:t>
      </w:r>
      <w:r w:rsidRPr="001F26CF">
        <w:rPr>
          <w:color w:val="000000"/>
        </w:rPr>
        <w:t xml:space="preserve">. </w:t>
      </w:r>
      <w:r w:rsidR="00792503">
        <w:rPr>
          <w:color w:val="000000"/>
        </w:rPr>
        <w:t xml:space="preserve"> </w:t>
      </w:r>
    </w:p>
    <w:p w:rsidR="00792503" w:rsidP="001F26CF" w:rsidRDefault="00792503" w14:paraId="7F247DF0" w14:textId="77777777">
      <w:pPr>
        <w:rPr>
          <w:color w:val="000000"/>
        </w:rPr>
      </w:pPr>
    </w:p>
    <w:p w:rsidR="001F26CF" w:rsidP="001F26CF" w:rsidRDefault="001F26CF" w14:paraId="162706EA" w14:textId="76A04FDB">
      <w:pPr>
        <w:rPr>
          <w:color w:val="000000"/>
        </w:rPr>
      </w:pPr>
      <w:r w:rsidRPr="001F26CF">
        <w:rPr>
          <w:color w:val="000000"/>
        </w:rPr>
        <w:t xml:space="preserve">For additional information on the use of improved information technology, see the </w:t>
      </w:r>
      <w:r w:rsidR="00EF1BFA">
        <w:rPr>
          <w:color w:val="000000"/>
        </w:rPr>
        <w:t xml:space="preserve">currently approved ICR </w:t>
      </w:r>
      <w:r w:rsidRPr="001F26CF">
        <w:rPr>
          <w:color w:val="000000"/>
        </w:rPr>
        <w:t>for collection 1220-0550.</w:t>
      </w:r>
    </w:p>
    <w:p w:rsidRPr="00E859A2" w:rsidR="00C03048" w:rsidP="00925656" w:rsidRDefault="00C03048" w14:paraId="251FBD9F"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E859A2" w:rsidR="009135CB" w:rsidP="001209EC" w:rsidRDefault="00CF4B0F" w14:paraId="4DBA4392" w14:textId="77777777">
      <w:pPr>
        <w:pStyle w:val="Heading1"/>
        <w:rPr>
          <w:sz w:val="24"/>
          <w:szCs w:val="24"/>
        </w:rPr>
      </w:pPr>
      <w:bookmarkStart w:name="_Toc30238156" w:id="4"/>
      <w:r w:rsidRPr="00E859A2">
        <w:rPr>
          <w:sz w:val="24"/>
          <w:szCs w:val="24"/>
        </w:rPr>
        <w:t>Efforts to Identify Duplication and Use of Similar Information</w:t>
      </w:r>
      <w:bookmarkEnd w:id="4"/>
      <w:r w:rsidRPr="00E859A2">
        <w:rPr>
          <w:sz w:val="24"/>
          <w:szCs w:val="24"/>
        </w:rPr>
        <w:t xml:space="preserve">  </w:t>
      </w:r>
    </w:p>
    <w:p w:rsidR="00792503" w:rsidP="001F26CF" w:rsidRDefault="001F26CF" w14:paraId="7D8E72EF" w14:textId="0C3DA9D2">
      <w:pPr>
        <w:rPr>
          <w:color w:val="000000"/>
        </w:rPr>
      </w:pPr>
      <w:r w:rsidRPr="001F26CF">
        <w:rPr>
          <w:color w:val="000000"/>
        </w:rPr>
        <w:t xml:space="preserve">To our knowledge, no other Federal agency is collecting this information.  </w:t>
      </w:r>
      <w:r w:rsidR="00195E13">
        <w:rPr>
          <w:color w:val="000000"/>
        </w:rPr>
        <w:t xml:space="preserve">No other Federal survey collects the detail of expenditure information contained in the Consumer Expenditure </w:t>
      </w:r>
      <w:r w:rsidR="009C30B3">
        <w:rPr>
          <w:color w:val="000000"/>
        </w:rPr>
        <w:t xml:space="preserve">(CE) </w:t>
      </w:r>
      <w:r w:rsidR="00195E13">
        <w:rPr>
          <w:color w:val="000000"/>
        </w:rPr>
        <w:t xml:space="preserve">surveys.  </w:t>
      </w:r>
    </w:p>
    <w:p w:rsidR="00792503" w:rsidP="001F26CF" w:rsidRDefault="00792503" w14:paraId="08B46327" w14:textId="77777777">
      <w:pPr>
        <w:rPr>
          <w:color w:val="000000"/>
        </w:rPr>
      </w:pPr>
    </w:p>
    <w:p w:rsidR="001F26CF" w:rsidP="001F26CF" w:rsidRDefault="001F26CF" w14:paraId="08659E67" w14:textId="5CDC40F2">
      <w:pPr>
        <w:rPr>
          <w:color w:val="000000"/>
        </w:rPr>
      </w:pPr>
      <w:r w:rsidRPr="001F26CF">
        <w:rPr>
          <w:color w:val="000000"/>
        </w:rPr>
        <w:t xml:space="preserve">For additional information on </w:t>
      </w:r>
      <w:r>
        <w:rPr>
          <w:color w:val="000000"/>
        </w:rPr>
        <w:t>efforts to i</w:t>
      </w:r>
      <w:r w:rsidRPr="001F26CF">
        <w:rPr>
          <w:color w:val="000000"/>
        </w:rPr>
        <w:t xml:space="preserve">dentify </w:t>
      </w:r>
      <w:r>
        <w:rPr>
          <w:color w:val="000000"/>
        </w:rPr>
        <w:t>duplication and u</w:t>
      </w:r>
      <w:r w:rsidRPr="001F26CF">
        <w:rPr>
          <w:color w:val="000000"/>
        </w:rPr>
        <w:t xml:space="preserve">se of </w:t>
      </w:r>
      <w:r>
        <w:rPr>
          <w:color w:val="000000"/>
        </w:rPr>
        <w:t>s</w:t>
      </w:r>
      <w:r w:rsidRPr="001F26CF">
        <w:rPr>
          <w:color w:val="000000"/>
        </w:rPr>
        <w:t xml:space="preserve">imilar </w:t>
      </w:r>
      <w:r>
        <w:rPr>
          <w:color w:val="000000"/>
        </w:rPr>
        <w:t>information</w:t>
      </w:r>
      <w:r w:rsidRPr="001F26CF">
        <w:rPr>
          <w:color w:val="000000"/>
        </w:rPr>
        <w:t xml:space="preserve">, see the </w:t>
      </w:r>
      <w:r w:rsidR="00195E13">
        <w:rPr>
          <w:color w:val="000000"/>
        </w:rPr>
        <w:t>currently approved ICR</w:t>
      </w:r>
      <w:r w:rsidRPr="001F26CF">
        <w:rPr>
          <w:color w:val="000000"/>
        </w:rPr>
        <w:t xml:space="preserve"> for collection 1220-0550.</w:t>
      </w:r>
    </w:p>
    <w:p w:rsidR="001F26CF" w:rsidP="001F26CF" w:rsidRDefault="001F26CF" w14:paraId="43563608" w14:textId="2285F71B">
      <w:pPr>
        <w:tabs>
          <w:tab w:val="left" w:pos="1176"/>
          <w:tab w:val="left" w:pos="1656"/>
          <w:tab w:val="left" w:pos="6696"/>
          <w:tab w:val="left" w:pos="8256"/>
        </w:tabs>
        <w:ind w:left="480" w:hanging="480"/>
      </w:pPr>
    </w:p>
    <w:p w:rsidRPr="00E859A2" w:rsidR="009135CB" w:rsidP="001209EC" w:rsidRDefault="003034F9" w14:paraId="41AFA92E" w14:textId="77777777">
      <w:pPr>
        <w:pStyle w:val="Heading1"/>
        <w:rPr>
          <w:sz w:val="24"/>
          <w:szCs w:val="24"/>
        </w:rPr>
      </w:pPr>
      <w:bookmarkStart w:name="_Toc30238157" w:id="5"/>
      <w:r w:rsidRPr="00E859A2">
        <w:rPr>
          <w:sz w:val="24"/>
          <w:szCs w:val="24"/>
        </w:rPr>
        <w:t>Impact on Small Businesses or Other Small Entities</w:t>
      </w:r>
      <w:bookmarkEnd w:id="5"/>
    </w:p>
    <w:p w:rsidR="00792503" w:rsidP="001F26CF" w:rsidRDefault="001F26CF" w14:paraId="1812551D" w14:textId="77777777">
      <w:pPr>
        <w:rPr>
          <w:color w:val="000000"/>
        </w:rPr>
      </w:pPr>
      <w:r w:rsidRPr="001F26CF">
        <w:rPr>
          <w:color w:val="000000"/>
        </w:rPr>
        <w:t>Not applicable: the collection of information on the CE questionnaires involves individuals or households, not small businesses.</w:t>
      </w:r>
      <w:r w:rsidR="00041F69">
        <w:rPr>
          <w:color w:val="000000"/>
        </w:rPr>
        <w:t xml:space="preserve">  </w:t>
      </w:r>
    </w:p>
    <w:p w:rsidR="00792503" w:rsidP="001F26CF" w:rsidRDefault="00792503" w14:paraId="53011431" w14:textId="77777777">
      <w:pPr>
        <w:rPr>
          <w:color w:val="000000"/>
        </w:rPr>
      </w:pPr>
    </w:p>
    <w:p w:rsidRPr="001F26CF" w:rsidR="001F26CF" w:rsidP="001F26CF" w:rsidRDefault="00041F69" w14:paraId="69228F30" w14:textId="1257F28F">
      <w:pPr>
        <w:rPr>
          <w:color w:val="000000"/>
        </w:rPr>
      </w:pPr>
      <w:r>
        <w:rPr>
          <w:color w:val="000000"/>
        </w:rPr>
        <w:t>See currently approved ICR for the collection 1220-0050.</w:t>
      </w:r>
    </w:p>
    <w:p w:rsidRPr="00E859A2" w:rsidR="00904DF8" w:rsidP="00925656" w:rsidRDefault="00904DF8" w14:paraId="39F3413B" w14:textId="77777777">
      <w:pPr>
        <w:spacing w:line="360" w:lineRule="auto"/>
        <w:rPr>
          <w:b/>
          <w:color w:val="000000"/>
        </w:rPr>
      </w:pPr>
    </w:p>
    <w:p w:rsidRPr="00E859A2" w:rsidR="009135CB" w:rsidP="001209EC" w:rsidRDefault="00696F5F" w14:paraId="441A4641" w14:textId="77777777">
      <w:pPr>
        <w:pStyle w:val="Heading1"/>
        <w:rPr>
          <w:sz w:val="24"/>
          <w:szCs w:val="24"/>
        </w:rPr>
      </w:pPr>
      <w:bookmarkStart w:name="_Toc30238158" w:id="6"/>
      <w:r w:rsidRPr="00E859A2">
        <w:rPr>
          <w:sz w:val="24"/>
          <w:szCs w:val="24"/>
        </w:rPr>
        <w:t xml:space="preserve">Consequences of </w:t>
      </w:r>
      <w:r w:rsidRPr="00E859A2" w:rsidR="008C76E9">
        <w:rPr>
          <w:sz w:val="24"/>
          <w:szCs w:val="24"/>
        </w:rPr>
        <w:t xml:space="preserve">Collecting </w:t>
      </w:r>
      <w:r w:rsidRPr="00E859A2">
        <w:rPr>
          <w:sz w:val="24"/>
          <w:szCs w:val="24"/>
        </w:rPr>
        <w:t>the Information Less Frequently</w:t>
      </w:r>
      <w:bookmarkEnd w:id="6"/>
    </w:p>
    <w:p w:rsidR="00792503" w:rsidP="00FF6477" w:rsidRDefault="00FF6477" w14:paraId="0B4C7D7A" w14:textId="44D282D5">
      <w:pPr>
        <w:rPr>
          <w:color w:val="000000"/>
        </w:rPr>
      </w:pPr>
      <w:r>
        <w:rPr>
          <w:color w:val="000000"/>
        </w:rPr>
        <w:t xml:space="preserve">These questions will be added to the </w:t>
      </w:r>
      <w:r w:rsidR="00523B5A">
        <w:rPr>
          <w:color w:val="000000"/>
        </w:rPr>
        <w:t xml:space="preserve">CEQ </w:t>
      </w:r>
      <w:r>
        <w:rPr>
          <w:color w:val="000000"/>
        </w:rPr>
        <w:t xml:space="preserve">collection instrument </w:t>
      </w:r>
      <w:r w:rsidRPr="006224A8" w:rsidR="00CE752F">
        <w:t>for 180 days</w:t>
      </w:r>
      <w:r w:rsidR="00B971F3">
        <w:t xml:space="preserve"> after approval</w:t>
      </w:r>
      <w:r w:rsidR="00C04E6D">
        <w:t xml:space="preserve">. </w:t>
      </w:r>
      <w:r>
        <w:rPr>
          <w:color w:val="000000"/>
        </w:rPr>
        <w:t xml:space="preserve"> </w:t>
      </w:r>
      <w:r w:rsidR="00CE752F">
        <w:rPr>
          <w:color w:val="000000"/>
        </w:rPr>
        <w:t>The data will supplement the expenditure and income information already collected by CE</w:t>
      </w:r>
      <w:r w:rsidR="00523B5A">
        <w:rPr>
          <w:color w:val="000000"/>
        </w:rPr>
        <w:t>Q</w:t>
      </w:r>
      <w:r w:rsidR="00CE752F">
        <w:rPr>
          <w:color w:val="000000"/>
        </w:rPr>
        <w:t xml:space="preserve"> and help </w:t>
      </w:r>
      <w:r w:rsidR="00CE752F">
        <w:t>explain changes in expenditure patterns that result from the coronavirus pandemic and stimulus</w:t>
      </w:r>
      <w:r w:rsidR="00CE752F">
        <w:rPr>
          <w:color w:val="000000"/>
        </w:rPr>
        <w:t xml:space="preserve"> payment receipt.  </w:t>
      </w:r>
      <w:r>
        <w:rPr>
          <w:color w:val="000000"/>
        </w:rPr>
        <w:t xml:space="preserve">It is necessary to ask the receipt of the stimulus in each quarter in order to collect the universe of stimulus payments received by all </w:t>
      </w:r>
      <w:r w:rsidR="00792503">
        <w:rPr>
          <w:color w:val="000000"/>
        </w:rPr>
        <w:t>CUs</w:t>
      </w:r>
      <w:r>
        <w:rPr>
          <w:color w:val="000000"/>
        </w:rPr>
        <w:t xml:space="preserve">.  </w:t>
      </w:r>
    </w:p>
    <w:p w:rsidR="00792503" w:rsidP="00FF6477" w:rsidRDefault="00792503" w14:paraId="2A7B66F8" w14:textId="77777777">
      <w:pPr>
        <w:rPr>
          <w:color w:val="000000"/>
        </w:rPr>
      </w:pPr>
    </w:p>
    <w:p w:rsidR="00FF6477" w:rsidP="00FF6477" w:rsidRDefault="00FF6477" w14:paraId="73CD0FEB" w14:textId="10766E8A">
      <w:pPr>
        <w:rPr>
          <w:color w:val="000000"/>
        </w:rPr>
      </w:pPr>
      <w:r w:rsidRPr="001F26CF">
        <w:rPr>
          <w:color w:val="000000"/>
        </w:rPr>
        <w:t xml:space="preserve">For additional information on </w:t>
      </w:r>
      <w:r>
        <w:rPr>
          <w:color w:val="000000"/>
        </w:rPr>
        <w:t>consequences of collecting the information less frequently</w:t>
      </w:r>
      <w:r w:rsidRPr="001F26CF">
        <w:rPr>
          <w:color w:val="000000"/>
        </w:rPr>
        <w:t>, see the 2020 OMB package submission for collection 1220-0550.</w:t>
      </w:r>
    </w:p>
    <w:p w:rsidRPr="00E859A2" w:rsidR="00EC3280" w:rsidP="00925656" w:rsidRDefault="00EC3280" w14:paraId="67116D88" w14:textId="77777777">
      <w:pPr>
        <w:spacing w:line="360" w:lineRule="auto"/>
        <w:rPr>
          <w:color w:val="000000"/>
        </w:rPr>
      </w:pPr>
    </w:p>
    <w:p w:rsidRPr="00E859A2" w:rsidR="009135CB" w:rsidP="001209EC" w:rsidRDefault="00EE7897" w14:paraId="22A3ED46" w14:textId="77777777">
      <w:pPr>
        <w:pStyle w:val="Heading1"/>
        <w:rPr>
          <w:sz w:val="24"/>
          <w:szCs w:val="24"/>
        </w:rPr>
      </w:pPr>
      <w:bookmarkStart w:name="_Toc30238159" w:id="7"/>
      <w:r w:rsidRPr="00E859A2">
        <w:rPr>
          <w:sz w:val="24"/>
          <w:szCs w:val="24"/>
        </w:rPr>
        <w:t>Special Circumstances Relating to the Guidelines of 5 CFR 1320.5</w:t>
      </w:r>
      <w:bookmarkEnd w:id="7"/>
    </w:p>
    <w:p w:rsidR="00904DF8" w:rsidP="00A73D3A" w:rsidRDefault="00FA074D" w14:paraId="05D25B5E" w14:textId="5AF1FCD2">
      <w:pPr>
        <w:rPr>
          <w:color w:val="000000"/>
        </w:rPr>
      </w:pPr>
      <w:r w:rsidRPr="00E859A2">
        <w:rPr>
          <w:color w:val="000000"/>
        </w:rPr>
        <w:t xml:space="preserve">Collection </w:t>
      </w:r>
      <w:r w:rsidRPr="00E859A2" w:rsidR="009016DD">
        <w:rPr>
          <w:color w:val="000000"/>
        </w:rPr>
        <w:t xml:space="preserve">of </w:t>
      </w:r>
      <w:r w:rsidR="009C30B3">
        <w:rPr>
          <w:color w:val="000000"/>
        </w:rPr>
        <w:t>CE</w:t>
      </w:r>
      <w:r w:rsidR="00FF6477">
        <w:rPr>
          <w:color w:val="000000"/>
        </w:rPr>
        <w:t xml:space="preserve"> data</w:t>
      </w:r>
      <w:r w:rsidRPr="00E859A2" w:rsidR="009016DD">
        <w:rPr>
          <w:color w:val="000000"/>
        </w:rPr>
        <w:t xml:space="preserve"> is conducted in a manner consistent </w:t>
      </w:r>
      <w:r w:rsidRPr="00E859A2">
        <w:rPr>
          <w:color w:val="000000"/>
        </w:rPr>
        <w:t xml:space="preserve">with the guidelines in 5 CFR 1320.5. </w:t>
      </w:r>
    </w:p>
    <w:p w:rsidRPr="00E859A2" w:rsidR="000654AC" w:rsidP="00A73D3A" w:rsidRDefault="000654AC" w14:paraId="7207DCD1" w14:textId="77777777">
      <w:pPr>
        <w:rPr>
          <w:b/>
          <w:color w:val="000000"/>
        </w:rPr>
      </w:pPr>
    </w:p>
    <w:p w:rsidRPr="00E859A2" w:rsidR="009135CB" w:rsidP="001209EC" w:rsidRDefault="00A20BCC" w14:paraId="32AF3C8E" w14:textId="77777777">
      <w:pPr>
        <w:pStyle w:val="Heading1"/>
        <w:rPr>
          <w:sz w:val="24"/>
          <w:szCs w:val="24"/>
        </w:rPr>
      </w:pPr>
      <w:bookmarkStart w:name="_Toc30238160" w:id="8"/>
      <w:r w:rsidRPr="00E859A2">
        <w:rPr>
          <w:sz w:val="24"/>
          <w:szCs w:val="24"/>
        </w:rPr>
        <w:t>Comments in Response to the Federal Register Notice and Efforts to Consult Outside the Agency</w:t>
      </w:r>
      <w:bookmarkEnd w:id="8"/>
    </w:p>
    <w:p w:rsidRPr="00E859A2" w:rsidR="008F1BCE" w:rsidP="00523B5A" w:rsidRDefault="008F1BCE" w14:paraId="07B2EC88" w14:textId="4445992B">
      <w:pPr>
        <w:ind w:left="288" w:hanging="288"/>
        <w:contextualSpacing/>
        <w:rPr>
          <w:rFonts w:eastAsia="Calibri"/>
        </w:rPr>
      </w:pPr>
      <w:r w:rsidRPr="00E859A2">
        <w:rPr>
          <w:rFonts w:eastAsia="Calibri"/>
        </w:rPr>
        <w:t xml:space="preserve">A. Because this is a request for an emergency clearance, </w:t>
      </w:r>
      <w:r w:rsidR="00FF6477">
        <w:rPr>
          <w:rFonts w:eastAsia="Calibri"/>
        </w:rPr>
        <w:t>the Department of Labor</w:t>
      </w:r>
      <w:r w:rsidRPr="00E859A2">
        <w:rPr>
          <w:rFonts w:eastAsia="Calibri"/>
        </w:rPr>
        <w:t xml:space="preserve"> asks that the </w:t>
      </w:r>
      <w:r w:rsidRPr="00E859A2" w:rsidR="002F6C8C">
        <w:rPr>
          <w:rFonts w:eastAsia="Calibri"/>
        </w:rPr>
        <w:t>6</w:t>
      </w:r>
      <w:r w:rsidRPr="00E859A2">
        <w:rPr>
          <w:rFonts w:eastAsia="Calibri"/>
        </w:rPr>
        <w:t xml:space="preserve">0-day comment period be waived. </w:t>
      </w:r>
      <w:r w:rsidR="007D7880">
        <w:rPr>
          <w:rFonts w:eastAsia="Calibri"/>
        </w:rPr>
        <w:t xml:space="preserve"> </w:t>
      </w:r>
      <w:r w:rsidRPr="00E859A2">
        <w:rPr>
          <w:rFonts w:eastAsia="Calibri"/>
        </w:rPr>
        <w:t xml:space="preserve">However, a </w:t>
      </w:r>
      <w:r w:rsidRPr="00E859A2" w:rsidR="001F2A48">
        <w:rPr>
          <w:rFonts w:eastAsia="Calibri"/>
        </w:rPr>
        <w:t>6</w:t>
      </w:r>
      <w:r w:rsidRPr="00E859A2">
        <w:rPr>
          <w:rFonts w:eastAsia="Calibri"/>
        </w:rPr>
        <w:t xml:space="preserve">0-day Federal Register </w:t>
      </w:r>
      <w:r w:rsidR="00F5344C">
        <w:rPr>
          <w:rFonts w:eastAsia="Calibri"/>
        </w:rPr>
        <w:t>N</w:t>
      </w:r>
      <w:r w:rsidRPr="00E859A2">
        <w:rPr>
          <w:rFonts w:eastAsia="Calibri"/>
        </w:rPr>
        <w:t xml:space="preserve">otice </w:t>
      </w:r>
      <w:r w:rsidR="00F5344C">
        <w:rPr>
          <w:rFonts w:eastAsia="Calibri"/>
        </w:rPr>
        <w:t xml:space="preserve">(FRN) </w:t>
      </w:r>
      <w:r w:rsidRPr="00E859A2">
        <w:rPr>
          <w:rFonts w:eastAsia="Calibri"/>
        </w:rPr>
        <w:t xml:space="preserve">will be submitted </w:t>
      </w:r>
      <w:r w:rsidR="001D722F">
        <w:rPr>
          <w:rFonts w:eastAsia="Calibri"/>
        </w:rPr>
        <w:t>as part of a broad</w:t>
      </w:r>
      <w:r w:rsidR="00F5344C">
        <w:rPr>
          <w:rFonts w:eastAsia="Calibri"/>
        </w:rPr>
        <w:t>er</w:t>
      </w:r>
      <w:r w:rsidR="001D722F">
        <w:rPr>
          <w:rFonts w:eastAsia="Calibri"/>
        </w:rPr>
        <w:t xml:space="preserve"> 60-day FRN </w:t>
      </w:r>
      <w:r w:rsidR="00041F69">
        <w:rPr>
          <w:rFonts w:eastAsia="Calibri"/>
        </w:rPr>
        <w:t xml:space="preserve">revision </w:t>
      </w:r>
      <w:r w:rsidR="007D7880">
        <w:rPr>
          <w:rFonts w:eastAsia="Calibri"/>
        </w:rPr>
        <w:t xml:space="preserve">which </w:t>
      </w:r>
      <w:r w:rsidR="00F5344C">
        <w:rPr>
          <w:rFonts w:eastAsia="Calibri"/>
        </w:rPr>
        <w:t xml:space="preserve">will </w:t>
      </w:r>
      <w:r w:rsidR="00FF6477">
        <w:rPr>
          <w:rFonts w:eastAsia="Calibri"/>
        </w:rPr>
        <w:t xml:space="preserve">describe questionnaire changes that will </w:t>
      </w:r>
      <w:r w:rsidR="00FF6477">
        <w:t>streamline the collection process and keep the survey current with items available in the marketplace</w:t>
      </w:r>
      <w:r w:rsidR="00041F69">
        <w:t>, as well as include the request to keep these questions beyond the 180</w:t>
      </w:r>
      <w:r w:rsidR="007D7880">
        <w:t>-</w:t>
      </w:r>
      <w:r w:rsidR="00041F69">
        <w:t>day approval of this request</w:t>
      </w:r>
      <w:r w:rsidR="00C503EB">
        <w:t xml:space="preserve"> if needed</w:t>
      </w:r>
      <w:r w:rsidR="00041F69">
        <w:t>.</w:t>
      </w:r>
    </w:p>
    <w:p w:rsidRPr="00E859A2" w:rsidR="008F1BCE" w:rsidP="00987016" w:rsidRDefault="008F1BCE" w14:paraId="7628C1D2" w14:textId="77777777">
      <w:pPr>
        <w:contextualSpacing/>
        <w:jc w:val="right"/>
        <w:rPr>
          <w:rFonts w:eastAsia="Calibri"/>
        </w:rPr>
      </w:pPr>
    </w:p>
    <w:p w:rsidR="0029423F" w:rsidP="0029423F" w:rsidRDefault="008F1BCE" w14:paraId="2DC22A2E" w14:textId="6CEDD25A">
      <w:pPr>
        <w:spacing w:line="360" w:lineRule="auto"/>
        <w:contextualSpacing/>
        <w:rPr>
          <w:rFonts w:eastAsia="Calibri"/>
        </w:rPr>
      </w:pPr>
      <w:r w:rsidRPr="00E859A2">
        <w:rPr>
          <w:rFonts w:eastAsia="Calibri"/>
        </w:rPr>
        <w:t xml:space="preserve">B. </w:t>
      </w:r>
      <w:r w:rsidR="00041F69">
        <w:rPr>
          <w:rFonts w:eastAsia="Calibri"/>
        </w:rPr>
        <w:t xml:space="preserve">During the development of the CE </w:t>
      </w:r>
      <w:r w:rsidR="00194164">
        <w:rPr>
          <w:rFonts w:eastAsia="Calibri"/>
        </w:rPr>
        <w:t>coronavirus pandemic stimulus</w:t>
      </w:r>
      <w:r w:rsidR="00683264">
        <w:rPr>
          <w:rFonts w:eastAsia="Calibri"/>
        </w:rPr>
        <w:t xml:space="preserve"> </w:t>
      </w:r>
      <w:r w:rsidR="00194164">
        <w:rPr>
          <w:rFonts w:eastAsia="Calibri"/>
        </w:rPr>
        <w:t>payment</w:t>
      </w:r>
      <w:r w:rsidR="00041F69">
        <w:rPr>
          <w:rFonts w:eastAsia="Calibri"/>
        </w:rPr>
        <w:t xml:space="preserve"> questions, BLS has been in consultation with:</w:t>
      </w:r>
      <w:r w:rsidR="0029423F">
        <w:rPr>
          <w:rFonts w:eastAsia="Calibri"/>
        </w:rPr>
        <w:t xml:space="preserve"> </w:t>
      </w:r>
    </w:p>
    <w:p w:rsidRPr="0029423F" w:rsidR="0029423F" w:rsidP="006364D4" w:rsidRDefault="0029423F" w14:paraId="66A1F090" w14:textId="77777777">
      <w:pPr>
        <w:shd w:val="clear" w:color="auto" w:fill="FFFFFF"/>
        <w:ind w:left="720"/>
        <w:rPr>
          <w:rFonts w:eastAsia="Calibri"/>
        </w:rPr>
      </w:pPr>
      <w:r w:rsidRPr="0029423F">
        <w:rPr>
          <w:rFonts w:eastAsia="Calibri"/>
        </w:rPr>
        <w:t>David S. Johnson</w:t>
      </w:r>
    </w:p>
    <w:p w:rsidRPr="0029423F" w:rsidR="0029423F" w:rsidP="006364D4" w:rsidRDefault="0029423F" w14:paraId="495A6305" w14:textId="77777777">
      <w:pPr>
        <w:shd w:val="clear" w:color="auto" w:fill="FFFFFF"/>
        <w:ind w:left="720"/>
        <w:rPr>
          <w:rFonts w:eastAsia="Calibri"/>
        </w:rPr>
      </w:pPr>
      <w:r w:rsidRPr="0029423F">
        <w:rPr>
          <w:rFonts w:eastAsia="Calibri"/>
        </w:rPr>
        <w:t>Population Studies Center</w:t>
      </w:r>
    </w:p>
    <w:p w:rsidR="00F70276" w:rsidP="006364D4" w:rsidRDefault="00A54276" w14:paraId="6B6C445E" w14:textId="2B9590A8">
      <w:pPr>
        <w:shd w:val="clear" w:color="auto" w:fill="FFFFFF"/>
        <w:ind w:left="720"/>
        <w:rPr>
          <w:rFonts w:eastAsia="Calibri"/>
        </w:rPr>
      </w:pPr>
      <w:r w:rsidRPr="0029423F">
        <w:rPr>
          <w:rFonts w:eastAsia="Calibri"/>
        </w:rPr>
        <w:t>University of Michigan</w:t>
      </w:r>
    </w:p>
    <w:p w:rsidR="006364D4" w:rsidP="006364D4" w:rsidRDefault="006364D4" w14:paraId="744B72E2" w14:textId="77777777">
      <w:pPr>
        <w:shd w:val="clear" w:color="auto" w:fill="FFFFFF"/>
        <w:ind w:left="720"/>
        <w:rPr>
          <w:rFonts w:eastAsia="Calibri"/>
        </w:rPr>
      </w:pPr>
    </w:p>
    <w:p w:rsidRPr="00B44EF2" w:rsidR="006364D4" w:rsidP="006364D4" w:rsidRDefault="006364D4" w14:paraId="73238303" w14:textId="77777777">
      <w:pPr>
        <w:shd w:val="clear" w:color="auto" w:fill="FFFFFF"/>
        <w:ind w:left="720"/>
        <w:rPr>
          <w:rFonts w:eastAsia="Calibri"/>
        </w:rPr>
      </w:pPr>
      <w:r w:rsidRPr="00B44EF2">
        <w:rPr>
          <w:rFonts w:eastAsia="Calibri"/>
        </w:rPr>
        <w:t>Jennifer Epps</w:t>
      </w:r>
    </w:p>
    <w:p w:rsidRPr="00B44EF2" w:rsidR="006364D4" w:rsidP="006364D4" w:rsidRDefault="006364D4" w14:paraId="3465EF2B" w14:textId="77777777">
      <w:pPr>
        <w:shd w:val="clear" w:color="auto" w:fill="FFFFFF"/>
        <w:ind w:left="720"/>
        <w:rPr>
          <w:rFonts w:eastAsia="Calibri"/>
        </w:rPr>
      </w:pPr>
      <w:r w:rsidRPr="00B44EF2">
        <w:rPr>
          <w:rFonts w:eastAsia="Calibri"/>
        </w:rPr>
        <w:t>Associate Director for Demographic Programs – Survey Operations</w:t>
      </w:r>
    </w:p>
    <w:p w:rsidRPr="00B44EF2" w:rsidR="006364D4" w:rsidP="006364D4" w:rsidRDefault="006364D4" w14:paraId="45951FCF" w14:textId="77777777">
      <w:pPr>
        <w:shd w:val="clear" w:color="auto" w:fill="FFFFFF"/>
        <w:ind w:left="720"/>
        <w:rPr>
          <w:rFonts w:eastAsia="Calibri"/>
        </w:rPr>
      </w:pPr>
      <w:r>
        <w:rPr>
          <w:rFonts w:eastAsia="Calibri"/>
        </w:rPr>
        <w:t>Census Bureau</w:t>
      </w:r>
    </w:p>
    <w:p w:rsidRPr="00B44EF2" w:rsidR="006364D4" w:rsidP="006364D4" w:rsidRDefault="006364D4" w14:paraId="04F22437" w14:textId="77777777">
      <w:pPr>
        <w:shd w:val="clear" w:color="auto" w:fill="FFFFFF"/>
        <w:ind w:left="720"/>
        <w:rPr>
          <w:rFonts w:eastAsia="Calibri"/>
        </w:rPr>
      </w:pPr>
    </w:p>
    <w:p w:rsidRPr="00B44EF2" w:rsidR="006364D4" w:rsidP="006364D4" w:rsidRDefault="006364D4" w14:paraId="5864078E" w14:textId="77777777">
      <w:pPr>
        <w:shd w:val="clear" w:color="auto" w:fill="FFFFFF"/>
        <w:ind w:left="720"/>
        <w:rPr>
          <w:rFonts w:eastAsia="Calibri"/>
        </w:rPr>
      </w:pPr>
      <w:r w:rsidRPr="00B44EF2">
        <w:rPr>
          <w:rFonts w:eastAsia="Calibri"/>
        </w:rPr>
        <w:t>John Gloster</w:t>
      </w:r>
    </w:p>
    <w:p w:rsidRPr="00B44EF2" w:rsidR="006364D4" w:rsidP="006364D4" w:rsidRDefault="006364D4" w14:paraId="1082A78F" w14:textId="77777777">
      <w:pPr>
        <w:shd w:val="clear" w:color="auto" w:fill="FFFFFF"/>
        <w:ind w:left="720"/>
        <w:rPr>
          <w:rFonts w:eastAsia="Calibri"/>
        </w:rPr>
      </w:pPr>
      <w:r w:rsidRPr="00B44EF2">
        <w:rPr>
          <w:rFonts w:eastAsia="Calibri"/>
        </w:rPr>
        <w:t>Associate Director for Demographic Programs – Survey Operations</w:t>
      </w:r>
    </w:p>
    <w:p w:rsidRPr="00B44EF2" w:rsidR="006364D4" w:rsidP="006364D4" w:rsidRDefault="006364D4" w14:paraId="7F62CBAC" w14:textId="77777777">
      <w:pPr>
        <w:shd w:val="clear" w:color="auto" w:fill="FFFFFF"/>
        <w:ind w:left="720"/>
        <w:rPr>
          <w:rFonts w:eastAsia="Calibri"/>
        </w:rPr>
      </w:pPr>
      <w:r>
        <w:rPr>
          <w:rFonts w:eastAsia="Calibri"/>
        </w:rPr>
        <w:t>Census Bureau</w:t>
      </w:r>
    </w:p>
    <w:p w:rsidRPr="00B44EF2" w:rsidR="006364D4" w:rsidP="006364D4" w:rsidRDefault="006364D4" w14:paraId="0C2C8491" w14:textId="77777777">
      <w:pPr>
        <w:shd w:val="clear" w:color="auto" w:fill="FFFFFF"/>
        <w:ind w:left="720"/>
        <w:rPr>
          <w:rFonts w:eastAsia="Calibri"/>
        </w:rPr>
      </w:pPr>
    </w:p>
    <w:p w:rsidRPr="00B44EF2" w:rsidR="006364D4" w:rsidP="006364D4" w:rsidRDefault="006364D4" w14:paraId="22E6648D" w14:textId="77777777">
      <w:pPr>
        <w:shd w:val="clear" w:color="auto" w:fill="FFFFFF"/>
        <w:ind w:left="720"/>
        <w:rPr>
          <w:rFonts w:eastAsia="Calibri"/>
        </w:rPr>
      </w:pPr>
      <w:r w:rsidRPr="00B44EF2">
        <w:rPr>
          <w:rFonts w:eastAsia="Calibri"/>
        </w:rPr>
        <w:t>Richard Schwartz</w:t>
      </w:r>
    </w:p>
    <w:p w:rsidRPr="00B44EF2" w:rsidR="006364D4" w:rsidP="006364D4" w:rsidRDefault="006364D4" w14:paraId="7BAC3FB3" w14:textId="77777777">
      <w:pPr>
        <w:shd w:val="clear" w:color="auto" w:fill="FFFFFF"/>
        <w:ind w:left="720"/>
        <w:rPr>
          <w:rFonts w:eastAsia="Calibri"/>
        </w:rPr>
      </w:pPr>
      <w:r w:rsidRPr="00B44EF2">
        <w:rPr>
          <w:rFonts w:eastAsia="Calibri"/>
        </w:rPr>
        <w:t>Associate Director for Demographic Programs – Survey Operations</w:t>
      </w:r>
    </w:p>
    <w:p w:rsidRPr="00B44EF2" w:rsidR="006364D4" w:rsidP="006364D4" w:rsidRDefault="006364D4" w14:paraId="1A14A500" w14:textId="77777777">
      <w:pPr>
        <w:shd w:val="clear" w:color="auto" w:fill="FFFFFF"/>
        <w:ind w:left="720"/>
        <w:rPr>
          <w:rFonts w:eastAsia="Calibri"/>
        </w:rPr>
      </w:pPr>
      <w:r>
        <w:rPr>
          <w:rFonts w:eastAsia="Calibri"/>
        </w:rPr>
        <w:t>Census Bureau</w:t>
      </w:r>
    </w:p>
    <w:p w:rsidRPr="00B44EF2" w:rsidR="006364D4" w:rsidP="006364D4" w:rsidRDefault="006364D4" w14:paraId="250AA4ED" w14:textId="77777777">
      <w:pPr>
        <w:shd w:val="clear" w:color="auto" w:fill="FFFFFF"/>
        <w:ind w:left="720"/>
        <w:rPr>
          <w:rFonts w:eastAsia="Calibri"/>
        </w:rPr>
      </w:pPr>
    </w:p>
    <w:p w:rsidRPr="00B44EF2" w:rsidR="006364D4" w:rsidP="006364D4" w:rsidRDefault="006364D4" w14:paraId="2465ED38" w14:textId="77777777">
      <w:pPr>
        <w:shd w:val="clear" w:color="auto" w:fill="FFFFFF"/>
        <w:ind w:left="720"/>
        <w:rPr>
          <w:rFonts w:eastAsia="Calibri"/>
        </w:rPr>
      </w:pPr>
      <w:r w:rsidRPr="00B44EF2">
        <w:rPr>
          <w:rFonts w:eastAsia="Calibri"/>
        </w:rPr>
        <w:t>Stephen Ash</w:t>
      </w:r>
    </w:p>
    <w:p w:rsidRPr="00B44EF2" w:rsidR="006364D4" w:rsidP="006364D4" w:rsidRDefault="006364D4" w14:paraId="754A3E01" w14:textId="77777777">
      <w:pPr>
        <w:shd w:val="clear" w:color="auto" w:fill="FFFFFF"/>
        <w:ind w:left="720"/>
        <w:rPr>
          <w:rFonts w:eastAsia="Calibri"/>
        </w:rPr>
      </w:pPr>
      <w:r w:rsidRPr="00B44EF2">
        <w:rPr>
          <w:rFonts w:eastAsia="Calibri"/>
        </w:rPr>
        <w:t>Demographic Statistical Methods Division</w:t>
      </w:r>
    </w:p>
    <w:p w:rsidRPr="00B44EF2" w:rsidR="006364D4" w:rsidP="006364D4" w:rsidRDefault="006364D4" w14:paraId="3C39A333" w14:textId="77777777">
      <w:pPr>
        <w:shd w:val="clear" w:color="auto" w:fill="FFFFFF"/>
        <w:ind w:left="720"/>
        <w:rPr>
          <w:rFonts w:eastAsia="Calibri"/>
        </w:rPr>
      </w:pPr>
      <w:r>
        <w:rPr>
          <w:rFonts w:eastAsia="Calibri"/>
        </w:rPr>
        <w:t>Census Bureau</w:t>
      </w:r>
    </w:p>
    <w:p w:rsidRPr="00B44EF2" w:rsidR="006364D4" w:rsidP="006364D4" w:rsidRDefault="006364D4" w14:paraId="0A36B8AB" w14:textId="77777777">
      <w:pPr>
        <w:shd w:val="clear" w:color="auto" w:fill="FFFFFF"/>
        <w:ind w:left="720"/>
        <w:rPr>
          <w:rFonts w:eastAsia="Calibri"/>
        </w:rPr>
      </w:pPr>
    </w:p>
    <w:p w:rsidRPr="00B44EF2" w:rsidR="006364D4" w:rsidP="006364D4" w:rsidRDefault="006364D4" w14:paraId="70572321" w14:textId="77777777">
      <w:pPr>
        <w:shd w:val="clear" w:color="auto" w:fill="FFFFFF"/>
        <w:ind w:left="720"/>
        <w:rPr>
          <w:rFonts w:eastAsia="Calibri"/>
        </w:rPr>
      </w:pPr>
      <w:r w:rsidRPr="00B44EF2">
        <w:rPr>
          <w:rFonts w:eastAsia="Calibri"/>
        </w:rPr>
        <w:t>Susan Hostetter</w:t>
      </w:r>
    </w:p>
    <w:p w:rsidRPr="00B44EF2" w:rsidR="006364D4" w:rsidP="006364D4" w:rsidRDefault="006364D4" w14:paraId="59EB8CDE" w14:textId="77777777">
      <w:pPr>
        <w:shd w:val="clear" w:color="auto" w:fill="FFFFFF"/>
        <w:ind w:left="720"/>
        <w:rPr>
          <w:rFonts w:eastAsia="Calibri"/>
        </w:rPr>
      </w:pPr>
      <w:r w:rsidRPr="00B44EF2">
        <w:rPr>
          <w:rFonts w:eastAsia="Calibri"/>
        </w:rPr>
        <w:t>Demographic Statistical Methods Division</w:t>
      </w:r>
    </w:p>
    <w:p w:rsidRPr="00B44EF2" w:rsidR="006364D4" w:rsidP="006364D4" w:rsidRDefault="006364D4" w14:paraId="3C87FF6F" w14:textId="77777777">
      <w:pPr>
        <w:shd w:val="clear" w:color="auto" w:fill="FFFFFF"/>
        <w:ind w:left="720"/>
        <w:rPr>
          <w:rFonts w:eastAsia="Calibri"/>
        </w:rPr>
      </w:pPr>
      <w:r>
        <w:rPr>
          <w:rFonts w:eastAsia="Calibri"/>
        </w:rPr>
        <w:t>Census Bureau</w:t>
      </w:r>
    </w:p>
    <w:p w:rsidRPr="0029423F" w:rsidR="0029423F" w:rsidP="00925656" w:rsidRDefault="0029423F" w14:paraId="0EB411FA" w14:textId="77777777">
      <w:pPr>
        <w:spacing w:line="360" w:lineRule="auto"/>
        <w:contextualSpacing/>
        <w:rPr>
          <w:rFonts w:eastAsia="Calibri"/>
        </w:rPr>
      </w:pPr>
    </w:p>
    <w:p w:rsidR="0029423F" w:rsidP="0029423F" w:rsidRDefault="000C6196" w14:paraId="74F68A1B" w14:textId="08A08C24">
      <w:pPr>
        <w:rPr>
          <w:color w:val="000000"/>
        </w:rPr>
      </w:pPr>
      <w:r w:rsidRPr="0029423F">
        <w:rPr>
          <w:color w:val="000000"/>
        </w:rPr>
        <w:t xml:space="preserve">C. </w:t>
      </w:r>
      <w:bookmarkStart w:name="_Toc30238161" w:id="9"/>
      <w:r w:rsidRPr="001F26CF" w:rsidR="0029423F">
        <w:rPr>
          <w:color w:val="000000"/>
        </w:rPr>
        <w:t>F</w:t>
      </w:r>
      <w:r w:rsidR="0029423F">
        <w:rPr>
          <w:color w:val="000000"/>
        </w:rPr>
        <w:t>or additional information on consultations outside</w:t>
      </w:r>
      <w:r w:rsidRPr="001F26CF" w:rsidR="0029423F">
        <w:rPr>
          <w:color w:val="000000"/>
        </w:rPr>
        <w:t xml:space="preserve">, see </w:t>
      </w:r>
      <w:r w:rsidR="00041F69">
        <w:rPr>
          <w:color w:val="000000"/>
        </w:rPr>
        <w:t>currently approved ICR for</w:t>
      </w:r>
      <w:r w:rsidRPr="001F26CF" w:rsidR="0029423F">
        <w:rPr>
          <w:color w:val="000000"/>
        </w:rPr>
        <w:t xml:space="preserve"> 1220-0550.</w:t>
      </w:r>
    </w:p>
    <w:p w:rsidR="00041F69" w:rsidP="0029423F" w:rsidRDefault="00041F69" w14:paraId="09F05662" w14:textId="77777777">
      <w:pPr>
        <w:spacing w:line="360" w:lineRule="auto"/>
      </w:pPr>
    </w:p>
    <w:p w:rsidRPr="00277C68" w:rsidR="009135CB" w:rsidP="00214830" w:rsidRDefault="00297138" w14:paraId="7AEF15ED" w14:textId="122CFD06">
      <w:pPr>
        <w:pStyle w:val="Heading1"/>
      </w:pPr>
      <w:r w:rsidRPr="00277C68">
        <w:t>E</w:t>
      </w:r>
      <w:r w:rsidRPr="00277C68" w:rsidR="00AB64D2">
        <w:t>xplanation of Any Payment or Gift to Respondents</w:t>
      </w:r>
      <w:bookmarkEnd w:id="9"/>
    </w:p>
    <w:p w:rsidR="007D7880" w:rsidP="00A54276" w:rsidRDefault="00A54276" w14:paraId="154B7BD0" w14:textId="77777777">
      <w:pPr>
        <w:contextualSpacing/>
        <w:rPr>
          <w:rFonts w:eastAsia="Calibri"/>
        </w:rPr>
      </w:pPr>
      <w:r w:rsidRPr="00A54276">
        <w:rPr>
          <w:rFonts w:eastAsia="Calibri"/>
        </w:rPr>
        <w:t>There is no change from the currently approved collection 1220-0050.</w:t>
      </w:r>
    </w:p>
    <w:p w:rsidR="007D7880" w:rsidP="00A54276" w:rsidRDefault="007D7880" w14:paraId="35F6D29D" w14:textId="77777777">
      <w:pPr>
        <w:contextualSpacing/>
        <w:rPr>
          <w:rFonts w:eastAsia="Calibri"/>
        </w:rPr>
      </w:pPr>
    </w:p>
    <w:p w:rsidRPr="00A54276" w:rsidR="009135CB" w:rsidP="00A54276" w:rsidRDefault="00297138" w14:paraId="4129163D" w14:textId="09FDA9D5">
      <w:pPr>
        <w:contextualSpacing/>
        <w:rPr>
          <w:rFonts w:eastAsia="Calibri"/>
        </w:rPr>
      </w:pPr>
      <w:r>
        <w:rPr>
          <w:rFonts w:eastAsia="Calibri"/>
        </w:rPr>
        <w:t>Please see currently approved ICR for 1220-0050.</w:t>
      </w:r>
    </w:p>
    <w:p w:rsidRPr="00E859A2" w:rsidR="008F0291" w:rsidP="00925656" w:rsidRDefault="008F0291" w14:paraId="604706CA" w14:textId="77777777">
      <w:pPr>
        <w:spacing w:line="360" w:lineRule="auto"/>
        <w:rPr>
          <w:color w:val="000000"/>
        </w:rPr>
      </w:pPr>
    </w:p>
    <w:p w:rsidRPr="00E859A2" w:rsidR="00F123D7" w:rsidP="001209EC" w:rsidRDefault="00AC07CA" w14:paraId="1FDC4B0D" w14:textId="77777777">
      <w:pPr>
        <w:pStyle w:val="Heading1"/>
        <w:rPr>
          <w:sz w:val="24"/>
          <w:szCs w:val="24"/>
        </w:rPr>
      </w:pPr>
      <w:bookmarkStart w:name="_Toc30238162" w:id="10"/>
      <w:r w:rsidRPr="00E859A2">
        <w:rPr>
          <w:sz w:val="24"/>
          <w:szCs w:val="24"/>
        </w:rPr>
        <w:t>Protection of the Privacy and Confidentiality of Information Provided by Respondents</w:t>
      </w:r>
      <w:bookmarkEnd w:id="10"/>
    </w:p>
    <w:p w:rsidR="007D7880" w:rsidP="00A54276" w:rsidRDefault="00297138" w14:paraId="58FAA33B" w14:textId="2F96C776">
      <w:pPr>
        <w:contextualSpacing/>
        <w:rPr>
          <w:rFonts w:eastAsia="Calibri"/>
        </w:rPr>
      </w:pPr>
      <w:r>
        <w:rPr>
          <w:rFonts w:eastAsia="Calibri"/>
        </w:rPr>
        <w:t xml:space="preserve">Data collected through the </w:t>
      </w:r>
      <w:r w:rsidR="00194164">
        <w:rPr>
          <w:rFonts w:eastAsia="Calibri"/>
        </w:rPr>
        <w:t>coronavirus pandemic stimulus payment</w:t>
      </w:r>
      <w:r>
        <w:rPr>
          <w:rFonts w:eastAsia="Calibri"/>
        </w:rPr>
        <w:t xml:space="preserve"> questions will be protected in the same manner as other data collected for the CE.    </w:t>
      </w:r>
    </w:p>
    <w:p w:rsidR="007D7880" w:rsidP="00A54276" w:rsidRDefault="007D7880" w14:paraId="2FDDE5E7" w14:textId="77777777">
      <w:pPr>
        <w:contextualSpacing/>
        <w:rPr>
          <w:rFonts w:eastAsia="Calibri"/>
        </w:rPr>
      </w:pPr>
    </w:p>
    <w:p w:rsidRPr="00A54276" w:rsidR="00F3306B" w:rsidP="00A54276" w:rsidRDefault="00297138" w14:paraId="0FC4B8FD" w14:textId="2254F23D">
      <w:pPr>
        <w:contextualSpacing/>
        <w:rPr>
          <w:rFonts w:eastAsia="Calibri"/>
        </w:rPr>
      </w:pPr>
      <w:r>
        <w:rPr>
          <w:rFonts w:eastAsia="Calibri"/>
        </w:rPr>
        <w:t>See currently approved ICR for 1220-0050 for further information</w:t>
      </w:r>
      <w:r w:rsidR="00B971F3">
        <w:rPr>
          <w:rFonts w:eastAsia="Calibri"/>
        </w:rPr>
        <w:t>.</w:t>
      </w:r>
    </w:p>
    <w:p w:rsidRPr="00E859A2" w:rsidR="00EA6DFA" w:rsidP="00925656" w:rsidRDefault="00EA6DFA" w14:paraId="3B5D44CD" w14:textId="77777777">
      <w:pPr>
        <w:spacing w:line="360" w:lineRule="auto"/>
        <w:rPr>
          <w:color w:val="000000"/>
        </w:rPr>
      </w:pPr>
    </w:p>
    <w:p w:rsidRPr="00E859A2" w:rsidR="009135CB" w:rsidP="001209EC" w:rsidRDefault="00D53C2C" w14:paraId="04252FD6" w14:textId="77777777">
      <w:pPr>
        <w:pStyle w:val="Heading1"/>
        <w:rPr>
          <w:sz w:val="24"/>
          <w:szCs w:val="24"/>
        </w:rPr>
      </w:pPr>
      <w:bookmarkStart w:name="_Toc30238163" w:id="11"/>
      <w:r w:rsidRPr="00E859A2">
        <w:rPr>
          <w:sz w:val="24"/>
          <w:szCs w:val="24"/>
        </w:rPr>
        <w:t>Justification for Sensitive Questions</w:t>
      </w:r>
      <w:bookmarkEnd w:id="11"/>
    </w:p>
    <w:p w:rsidR="007D7880" w:rsidP="00297138" w:rsidRDefault="00297138" w14:paraId="5742D584" w14:textId="0D6E78E9">
      <w:pPr>
        <w:tabs>
          <w:tab w:val="left" w:pos="1176"/>
          <w:tab w:val="left" w:pos="1656"/>
          <w:tab w:val="left" w:pos="6696"/>
          <w:tab w:val="left" w:pos="8256"/>
        </w:tabs>
      </w:pPr>
      <w:r>
        <w:t xml:space="preserve">The </w:t>
      </w:r>
      <w:r w:rsidR="00194164">
        <w:t>coronavirus stimulus payment</w:t>
      </w:r>
      <w:r>
        <w:t xml:space="preserve"> questions proposed for inclusion in</w:t>
      </w:r>
      <w:r w:rsidR="003C19A4">
        <w:t xml:space="preserve"> the</w:t>
      </w:r>
      <w:r>
        <w:t xml:space="preserve"> CE are not of a sensitive nature and do not concern matters that are commonly considered private.  </w:t>
      </w:r>
      <w:r w:rsidR="00A54276">
        <w:t xml:space="preserve">The CE </w:t>
      </w:r>
      <w:r w:rsidR="007D7880">
        <w:t>s</w:t>
      </w:r>
      <w:r w:rsidR="00A54276">
        <w:t>urveys do not include any questions of a sensitive nature.</w:t>
      </w:r>
      <w:r>
        <w:t xml:space="preserve">  </w:t>
      </w:r>
    </w:p>
    <w:p w:rsidR="007D7880" w:rsidP="00297138" w:rsidRDefault="007D7880" w14:paraId="12A622EE" w14:textId="77777777">
      <w:pPr>
        <w:tabs>
          <w:tab w:val="left" w:pos="1176"/>
          <w:tab w:val="left" w:pos="1656"/>
          <w:tab w:val="left" w:pos="6696"/>
          <w:tab w:val="left" w:pos="8256"/>
        </w:tabs>
      </w:pPr>
    </w:p>
    <w:p w:rsidR="00A54276" w:rsidP="00297138" w:rsidRDefault="00297138" w14:paraId="2E8C9DA8" w14:textId="3A05FC20">
      <w:pPr>
        <w:tabs>
          <w:tab w:val="left" w:pos="1176"/>
          <w:tab w:val="left" w:pos="1656"/>
          <w:tab w:val="left" w:pos="6696"/>
          <w:tab w:val="left" w:pos="8256"/>
        </w:tabs>
      </w:pPr>
      <w:r>
        <w:t>See currently approved ICR for 1220-0050 for further information.</w:t>
      </w:r>
    </w:p>
    <w:p w:rsidRPr="00550EF0" w:rsidR="00B23E76" w:rsidP="00925656" w:rsidRDefault="00B23E76" w14:paraId="560A6522" w14:textId="77777777">
      <w:pPr>
        <w:spacing w:line="360" w:lineRule="auto"/>
        <w:rPr>
          <w:b/>
          <w:color w:val="0000FF"/>
        </w:rPr>
      </w:pPr>
    </w:p>
    <w:p w:rsidRPr="00550EF0" w:rsidR="003F592D" w:rsidP="001209EC" w:rsidRDefault="003F592D" w14:paraId="67D6B7B8" w14:textId="77777777">
      <w:pPr>
        <w:pStyle w:val="Heading1"/>
        <w:rPr>
          <w:sz w:val="24"/>
          <w:szCs w:val="24"/>
        </w:rPr>
      </w:pPr>
      <w:bookmarkStart w:name="_Toc30238164" w:id="12"/>
      <w:r w:rsidRPr="00550EF0">
        <w:rPr>
          <w:sz w:val="24"/>
          <w:szCs w:val="24"/>
        </w:rPr>
        <w:t>Estimates of Annualized Burden Hours and Costs</w:t>
      </w:r>
      <w:bookmarkEnd w:id="12"/>
      <w:r w:rsidRPr="00550EF0" w:rsidR="00232DD7">
        <w:rPr>
          <w:sz w:val="24"/>
          <w:szCs w:val="24"/>
        </w:rPr>
        <w:t xml:space="preserve"> </w:t>
      </w:r>
    </w:p>
    <w:p w:rsidR="00617E5F" w:rsidP="00617E5F" w:rsidRDefault="00617E5F" w14:paraId="78AAA1BB" w14:textId="77777777">
      <w:pPr>
        <w:spacing w:line="360" w:lineRule="auto"/>
      </w:pPr>
      <w:r w:rsidRPr="00550EF0">
        <w:t>Estimates of Burden Hours</w:t>
      </w:r>
      <w:r w:rsidR="00C944D0">
        <w:t xml:space="preserve"> for 180 Days</w:t>
      </w:r>
    </w:p>
    <w:p w:rsidRPr="006364D4" w:rsidR="006364D4" w:rsidP="006364D4" w:rsidRDefault="006364D4" w14:paraId="40BB4C1B" w14:textId="7528C099">
      <w:pPr>
        <w:rPr>
          <w:rFonts w:eastAsiaTheme="minorHAnsi"/>
        </w:rPr>
      </w:pPr>
      <w:r w:rsidRPr="006364D4">
        <w:rPr>
          <w:rFonts w:eastAsiaTheme="minorHAnsi"/>
        </w:rPr>
        <w:t>CE estimates that it will take approximately</w:t>
      </w:r>
      <w:r w:rsidR="00956600">
        <w:rPr>
          <w:rFonts w:eastAsiaTheme="minorHAnsi"/>
        </w:rPr>
        <w:t xml:space="preserve"> 1 minute to answer the additional questions. CE estimates that 33 percent of respondents will have received the stimulus payment during each reference period and answer these additional questions. </w:t>
      </w:r>
      <w:r w:rsidR="002B4FAE">
        <w:rPr>
          <w:rFonts w:eastAsiaTheme="minorHAnsi"/>
        </w:rPr>
        <w:t xml:space="preserve">Thus, across all respondents, CE estimates </w:t>
      </w:r>
      <w:r w:rsidRPr="006364D4">
        <w:rPr>
          <w:rFonts w:eastAsiaTheme="minorHAnsi"/>
        </w:rPr>
        <w:t>20 second</w:t>
      </w:r>
      <w:r w:rsidR="009C30B3">
        <w:rPr>
          <w:rFonts w:eastAsiaTheme="minorHAnsi"/>
        </w:rPr>
        <w:t>s</w:t>
      </w:r>
      <w:r w:rsidRPr="006364D4">
        <w:rPr>
          <w:rFonts w:eastAsiaTheme="minorHAnsi"/>
        </w:rPr>
        <w:t xml:space="preserve"> on average to ask the additional questions on the stimulus in the CEQ.  This estimate was calculated by reading the questions aloud with a pause for allowing the respondent to answer</w:t>
      </w:r>
      <w:r w:rsidR="00956600">
        <w:rPr>
          <w:rFonts w:eastAsiaTheme="minorHAnsi"/>
        </w:rPr>
        <w:t xml:space="preserve">. </w:t>
      </w:r>
      <w:r w:rsidRPr="006364D4">
        <w:rPr>
          <w:rFonts w:eastAsiaTheme="minorHAnsi"/>
        </w:rPr>
        <w:t xml:space="preserve">.  Additionally, because FRs will no longer pick up completed diaries, </w:t>
      </w:r>
      <w:r w:rsidR="002B4FAE">
        <w:rPr>
          <w:rFonts w:eastAsiaTheme="minorHAnsi"/>
        </w:rPr>
        <w:t xml:space="preserve">respondents must spend additional time on the phone with an FR telling them their responses. While on the phone with the respondent, the FR will </w:t>
      </w:r>
      <w:r w:rsidRPr="006364D4">
        <w:rPr>
          <w:rFonts w:eastAsiaTheme="minorHAnsi"/>
        </w:rPr>
        <w:t xml:space="preserve">transcribe </w:t>
      </w:r>
      <w:r w:rsidR="002B4FAE">
        <w:rPr>
          <w:rFonts w:eastAsiaTheme="minorHAnsi"/>
        </w:rPr>
        <w:t xml:space="preserve">the respondent’s answers </w:t>
      </w:r>
      <w:r w:rsidRPr="006364D4">
        <w:rPr>
          <w:rFonts w:eastAsiaTheme="minorHAnsi"/>
        </w:rPr>
        <w:t xml:space="preserve">onto a blank diary in the FRs possession. </w:t>
      </w:r>
      <w:r w:rsidR="00881284">
        <w:rPr>
          <w:rFonts w:eastAsiaTheme="minorHAnsi"/>
        </w:rPr>
        <w:t>This process will add approximately 15 minutes of respondent burden.</w:t>
      </w:r>
      <w:r w:rsidRPr="006364D4">
        <w:rPr>
          <w:rFonts w:eastAsiaTheme="minorHAnsi"/>
        </w:rPr>
        <w:t xml:space="preserve"> CE estimates that the transcription of these expenses will take approximately 5 minutes</w:t>
      </w:r>
      <w:r w:rsidR="00D20F31">
        <w:rPr>
          <w:rFonts w:eastAsiaTheme="minorHAnsi"/>
        </w:rPr>
        <w:t xml:space="preserve"> for each of the three telephone calls the FR will place</w:t>
      </w:r>
      <w:r w:rsidRPr="006364D4">
        <w:rPr>
          <w:rFonts w:eastAsiaTheme="minorHAnsi"/>
        </w:rPr>
        <w:t>.</w:t>
      </w:r>
    </w:p>
    <w:p w:rsidRPr="00550EF0" w:rsidR="00617E5F" w:rsidP="00617E5F" w:rsidRDefault="00617E5F" w14:paraId="450B725A"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2"/>
        <w:gridCol w:w="1816"/>
        <w:gridCol w:w="1532"/>
        <w:gridCol w:w="1515"/>
        <w:gridCol w:w="1469"/>
        <w:gridCol w:w="1450"/>
      </w:tblGrid>
      <w:tr w:rsidRPr="00550EF0" w:rsidR="00617E5F" w:rsidTr="00550EF0" w14:paraId="0B372DCF" w14:textId="77777777">
        <w:trPr>
          <w:trHeight w:val="900"/>
        </w:trPr>
        <w:tc>
          <w:tcPr>
            <w:tcW w:w="1532" w:type="dxa"/>
            <w:vAlign w:val="center"/>
          </w:tcPr>
          <w:p w:rsidRPr="00550EF0" w:rsidR="00617E5F" w:rsidP="00617E5F" w:rsidRDefault="00617E5F" w14:paraId="632EC46E" w14:textId="77777777">
            <w:pPr>
              <w:spacing w:line="360" w:lineRule="auto"/>
              <w:rPr>
                <w:rFonts w:ascii="Times New Roman" w:hAnsi="Times New Roman" w:eastAsia="Times New Roman" w:cs="Times New Roman"/>
                <w:b/>
              </w:rPr>
            </w:pPr>
            <w:bookmarkStart w:name="_Hlk30508752" w:id="13"/>
            <w:bookmarkStart w:name="_Hlk30315559" w:id="14"/>
            <w:r w:rsidRPr="00550EF0">
              <w:rPr>
                <w:rFonts w:ascii="Times New Roman" w:hAnsi="Times New Roman" w:eastAsia="Times New Roman" w:cs="Times New Roman"/>
                <w:b/>
              </w:rPr>
              <w:t>Type of Respondents</w:t>
            </w:r>
          </w:p>
        </w:tc>
        <w:tc>
          <w:tcPr>
            <w:tcW w:w="1816" w:type="dxa"/>
            <w:vAlign w:val="center"/>
          </w:tcPr>
          <w:p w:rsidRPr="00550EF0" w:rsidR="00617E5F" w:rsidP="00617E5F" w:rsidRDefault="00617E5F" w14:paraId="143292B8"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Form Name</w:t>
            </w:r>
          </w:p>
        </w:tc>
        <w:tc>
          <w:tcPr>
            <w:tcW w:w="1532" w:type="dxa"/>
            <w:vAlign w:val="center"/>
          </w:tcPr>
          <w:p w:rsidRPr="00550EF0" w:rsidR="00617E5F" w:rsidP="00617E5F" w:rsidRDefault="00617E5F" w14:paraId="73335FC0"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Number of Respondents</w:t>
            </w:r>
          </w:p>
        </w:tc>
        <w:tc>
          <w:tcPr>
            <w:tcW w:w="1515" w:type="dxa"/>
            <w:vAlign w:val="center"/>
          </w:tcPr>
          <w:p w:rsidRPr="00550EF0" w:rsidR="00617E5F" w:rsidP="00617E5F" w:rsidRDefault="00617E5F" w14:paraId="14ED50D3"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Number of  Responses per Respondent</w:t>
            </w:r>
          </w:p>
        </w:tc>
        <w:tc>
          <w:tcPr>
            <w:tcW w:w="1469" w:type="dxa"/>
            <w:vAlign w:val="center"/>
          </w:tcPr>
          <w:p w:rsidRPr="00550EF0" w:rsidR="00617E5F" w:rsidP="00617E5F" w:rsidRDefault="00617E5F" w14:paraId="6F425CBB"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Average Burden Per Response  (in hours)</w:t>
            </w:r>
          </w:p>
        </w:tc>
        <w:tc>
          <w:tcPr>
            <w:tcW w:w="1450" w:type="dxa"/>
            <w:vAlign w:val="center"/>
          </w:tcPr>
          <w:p w:rsidRPr="00550EF0" w:rsidR="00617E5F" w:rsidP="00617E5F" w:rsidRDefault="00617E5F" w14:paraId="5FEC66F8"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Total Burden  (in hours)</w:t>
            </w:r>
          </w:p>
        </w:tc>
      </w:tr>
      <w:tr w:rsidRPr="00550EF0" w:rsidR="00617E5F" w:rsidTr="00550EF0" w14:paraId="1544AE69" w14:textId="77777777">
        <w:tc>
          <w:tcPr>
            <w:tcW w:w="1532" w:type="dxa"/>
            <w:vAlign w:val="center"/>
          </w:tcPr>
          <w:p w:rsidRPr="00550EF0" w:rsidR="00617E5F" w:rsidP="00617E5F" w:rsidRDefault="00085D52" w14:paraId="5EE51F63" w14:textId="67F76833">
            <w:pPr>
              <w:spacing w:line="360" w:lineRule="auto"/>
              <w:rPr>
                <w:rFonts w:ascii="Times New Roman" w:hAnsi="Times New Roman" w:eastAsia="Times New Roman" w:cs="Times New Roman"/>
              </w:rPr>
            </w:pPr>
            <w:bookmarkStart w:name="_Hlk30508764" w:id="15"/>
            <w:bookmarkEnd w:id="13"/>
            <w:r>
              <w:rPr>
                <w:rFonts w:ascii="Times New Roman" w:hAnsi="Times New Roman" w:eastAsia="Times New Roman" w:cs="Times New Roman"/>
              </w:rPr>
              <w:t>Household</w:t>
            </w:r>
          </w:p>
        </w:tc>
        <w:tc>
          <w:tcPr>
            <w:tcW w:w="1816" w:type="dxa"/>
            <w:vAlign w:val="center"/>
          </w:tcPr>
          <w:p w:rsidRPr="00550EF0" w:rsidR="00617E5F" w:rsidP="00617E5F" w:rsidRDefault="00085D52" w14:paraId="16F1F3DB" w14:textId="19655B6D">
            <w:pPr>
              <w:spacing w:line="360" w:lineRule="auto"/>
              <w:rPr>
                <w:rFonts w:ascii="Times New Roman" w:hAnsi="Times New Roman" w:eastAsia="Times New Roman" w:cs="Times New Roman"/>
              </w:rPr>
            </w:pPr>
            <w:r>
              <w:rPr>
                <w:rFonts w:ascii="Times New Roman" w:hAnsi="Times New Roman" w:eastAsia="Times New Roman" w:cs="Times New Roman"/>
              </w:rPr>
              <w:t>CEQ CAPI Instrument</w:t>
            </w:r>
          </w:p>
        </w:tc>
        <w:tc>
          <w:tcPr>
            <w:tcW w:w="1532" w:type="dxa"/>
            <w:vAlign w:val="center"/>
          </w:tcPr>
          <w:p w:rsidRPr="00550EF0" w:rsidR="00617E5F" w:rsidP="00617E5F" w:rsidRDefault="00FE7E78" w14:paraId="5B24D8B2" w14:textId="23CC62F1">
            <w:pPr>
              <w:spacing w:line="360" w:lineRule="auto"/>
              <w:rPr>
                <w:rFonts w:ascii="Times New Roman" w:hAnsi="Times New Roman" w:eastAsia="Times New Roman" w:cs="Times New Roman"/>
              </w:rPr>
            </w:pPr>
            <w:r>
              <w:rPr>
                <w:rFonts w:ascii="Times New Roman" w:hAnsi="Times New Roman" w:eastAsia="Times New Roman" w:cs="Times New Roman"/>
              </w:rPr>
              <w:t>5,450</w:t>
            </w:r>
          </w:p>
        </w:tc>
        <w:tc>
          <w:tcPr>
            <w:tcW w:w="1515" w:type="dxa"/>
            <w:vAlign w:val="center"/>
          </w:tcPr>
          <w:p w:rsidRPr="00550EF0" w:rsidR="00617E5F" w:rsidP="00617E5F" w:rsidRDefault="00085D52" w14:paraId="2F9A1116" w14:textId="6071117A">
            <w:pPr>
              <w:spacing w:line="360" w:lineRule="auto"/>
              <w:rPr>
                <w:rFonts w:ascii="Times New Roman" w:hAnsi="Times New Roman" w:eastAsia="Times New Roman" w:cs="Times New Roman"/>
              </w:rPr>
            </w:pPr>
            <w:r>
              <w:rPr>
                <w:rFonts w:ascii="Times New Roman" w:hAnsi="Times New Roman" w:eastAsia="Times New Roman" w:cs="Times New Roman"/>
              </w:rPr>
              <w:t>2</w:t>
            </w:r>
          </w:p>
        </w:tc>
        <w:tc>
          <w:tcPr>
            <w:tcW w:w="1469" w:type="dxa"/>
            <w:vAlign w:val="center"/>
          </w:tcPr>
          <w:p w:rsidRPr="00550EF0" w:rsidR="00617E5F" w:rsidP="00617E5F" w:rsidRDefault="00085D52" w14:paraId="448E4C76" w14:textId="078E0C41">
            <w:pPr>
              <w:spacing w:line="360" w:lineRule="auto"/>
              <w:rPr>
                <w:rFonts w:ascii="Times New Roman" w:hAnsi="Times New Roman" w:eastAsia="Times New Roman" w:cs="Times New Roman"/>
              </w:rPr>
            </w:pPr>
            <w:r>
              <w:rPr>
                <w:rFonts w:ascii="Times New Roman" w:hAnsi="Times New Roman" w:eastAsia="Times New Roman" w:cs="Times New Roman"/>
              </w:rPr>
              <w:t>.0056 hours</w:t>
            </w:r>
          </w:p>
        </w:tc>
        <w:tc>
          <w:tcPr>
            <w:tcW w:w="1450" w:type="dxa"/>
            <w:vAlign w:val="center"/>
          </w:tcPr>
          <w:p w:rsidRPr="00550EF0" w:rsidR="00617E5F" w:rsidP="00617E5F" w:rsidRDefault="00FE7E78" w14:paraId="2218320C" w14:textId="58B3FC70">
            <w:pPr>
              <w:spacing w:line="360" w:lineRule="auto"/>
              <w:rPr>
                <w:rFonts w:ascii="Times New Roman" w:hAnsi="Times New Roman" w:eastAsia="Times New Roman" w:cs="Times New Roman"/>
              </w:rPr>
            </w:pPr>
            <w:r>
              <w:rPr>
                <w:rFonts w:ascii="Times New Roman" w:hAnsi="Times New Roman" w:eastAsia="Times New Roman" w:cs="Times New Roman"/>
              </w:rPr>
              <w:t>61</w:t>
            </w:r>
          </w:p>
        </w:tc>
      </w:tr>
      <w:tr w:rsidRPr="00550EF0" w:rsidR="00C944D0" w:rsidDel="00550EF0" w:rsidTr="00550EF0" w14:paraId="5CB75A45" w14:textId="77777777">
        <w:tc>
          <w:tcPr>
            <w:tcW w:w="1532" w:type="dxa"/>
            <w:vAlign w:val="center"/>
          </w:tcPr>
          <w:p w:rsidRPr="00C944D0" w:rsidR="00C944D0" w:rsidDel="00550EF0" w:rsidP="00617E5F" w:rsidRDefault="0029423F" w14:paraId="06E3A087" w14:textId="190851FF">
            <w:pPr>
              <w:spacing w:line="360" w:lineRule="auto"/>
              <w:rPr>
                <w:rFonts w:ascii="Times New Roman" w:hAnsi="Times New Roman" w:cs="Times New Roman"/>
              </w:rPr>
            </w:pPr>
            <w:r>
              <w:rPr>
                <w:rFonts w:ascii="Times New Roman" w:hAnsi="Times New Roman" w:cs="Times New Roman"/>
              </w:rPr>
              <w:t>Household</w:t>
            </w:r>
          </w:p>
        </w:tc>
        <w:tc>
          <w:tcPr>
            <w:tcW w:w="1816" w:type="dxa"/>
            <w:vAlign w:val="center"/>
          </w:tcPr>
          <w:p w:rsidRPr="00C944D0" w:rsidR="00C944D0" w:rsidDel="00550EF0" w:rsidP="0029423F" w:rsidRDefault="0029423F" w14:paraId="65921F3A" w14:textId="15F76083">
            <w:pPr>
              <w:spacing w:line="360" w:lineRule="auto"/>
              <w:rPr>
                <w:rFonts w:ascii="Times New Roman" w:hAnsi="Times New Roman" w:cs="Times New Roman"/>
              </w:rPr>
            </w:pPr>
            <w:r>
              <w:rPr>
                <w:rFonts w:ascii="Times New Roman" w:hAnsi="Times New Roman" w:cs="Times New Roman"/>
              </w:rPr>
              <w:t>CED Paper Diary</w:t>
            </w:r>
          </w:p>
        </w:tc>
        <w:tc>
          <w:tcPr>
            <w:tcW w:w="1532" w:type="dxa"/>
            <w:vAlign w:val="center"/>
          </w:tcPr>
          <w:p w:rsidRPr="00C944D0" w:rsidR="00C944D0" w:rsidDel="00550EF0" w:rsidP="006F7608" w:rsidRDefault="00BB6C3D" w14:paraId="31C4D926" w14:textId="18DB94DD">
            <w:pPr>
              <w:spacing w:line="360" w:lineRule="auto"/>
              <w:rPr>
                <w:rFonts w:ascii="Times New Roman" w:hAnsi="Times New Roman" w:cs="Times New Roman"/>
              </w:rPr>
            </w:pPr>
            <w:r>
              <w:rPr>
                <w:rFonts w:ascii="Times New Roman" w:hAnsi="Times New Roman" w:cs="Times New Roman"/>
              </w:rPr>
              <w:t>3,</w:t>
            </w:r>
            <w:r w:rsidR="006F7608">
              <w:rPr>
                <w:rFonts w:ascii="Times New Roman" w:hAnsi="Times New Roman" w:cs="Times New Roman"/>
              </w:rPr>
              <w:t>398</w:t>
            </w:r>
          </w:p>
        </w:tc>
        <w:tc>
          <w:tcPr>
            <w:tcW w:w="1515" w:type="dxa"/>
            <w:vAlign w:val="center"/>
          </w:tcPr>
          <w:p w:rsidRPr="00C944D0" w:rsidR="00C944D0" w:rsidDel="00550EF0" w:rsidP="00617E5F" w:rsidRDefault="0029423F" w14:paraId="67CB61EA" w14:textId="48B181E7">
            <w:pPr>
              <w:spacing w:line="360" w:lineRule="auto"/>
              <w:rPr>
                <w:rFonts w:ascii="Times New Roman" w:hAnsi="Times New Roman" w:cs="Times New Roman"/>
              </w:rPr>
            </w:pPr>
            <w:r>
              <w:rPr>
                <w:rFonts w:ascii="Times New Roman" w:hAnsi="Times New Roman" w:cs="Times New Roman"/>
              </w:rPr>
              <w:t>3</w:t>
            </w:r>
          </w:p>
        </w:tc>
        <w:tc>
          <w:tcPr>
            <w:tcW w:w="1469" w:type="dxa"/>
            <w:vAlign w:val="center"/>
          </w:tcPr>
          <w:p w:rsidRPr="00C944D0" w:rsidR="00C944D0" w:rsidDel="00550EF0" w:rsidP="00617E5F" w:rsidRDefault="0029423F" w14:paraId="0078496B" w14:textId="13C764E2">
            <w:pPr>
              <w:spacing w:line="360" w:lineRule="auto"/>
              <w:rPr>
                <w:rFonts w:ascii="Times New Roman" w:hAnsi="Times New Roman" w:cs="Times New Roman"/>
              </w:rPr>
            </w:pPr>
            <w:r>
              <w:rPr>
                <w:rFonts w:ascii="Times New Roman" w:hAnsi="Times New Roman" w:cs="Times New Roman"/>
              </w:rPr>
              <w:t>.0833 hours</w:t>
            </w:r>
          </w:p>
        </w:tc>
        <w:tc>
          <w:tcPr>
            <w:tcW w:w="1450" w:type="dxa"/>
            <w:vAlign w:val="center"/>
          </w:tcPr>
          <w:p w:rsidRPr="00C944D0" w:rsidR="00BB6C3D" w:rsidDel="00550EF0" w:rsidP="00617E5F" w:rsidRDefault="006F7608" w14:paraId="21A54791" w14:textId="53CB13A9">
            <w:pPr>
              <w:spacing w:line="360" w:lineRule="auto"/>
              <w:rPr>
                <w:rFonts w:ascii="Times New Roman" w:hAnsi="Times New Roman" w:cs="Times New Roman"/>
              </w:rPr>
            </w:pPr>
            <w:r>
              <w:rPr>
                <w:rFonts w:ascii="Times New Roman" w:hAnsi="Times New Roman" w:cs="Times New Roman"/>
              </w:rPr>
              <w:t>849</w:t>
            </w:r>
          </w:p>
        </w:tc>
      </w:tr>
      <w:tr w:rsidRPr="00550EF0" w:rsidR="00617E5F" w:rsidTr="00550EF0" w14:paraId="13A1901D" w14:textId="77777777">
        <w:tc>
          <w:tcPr>
            <w:tcW w:w="1532" w:type="dxa"/>
          </w:tcPr>
          <w:p w:rsidRPr="00550EF0" w:rsidR="00617E5F" w:rsidP="00617E5F" w:rsidRDefault="00617E5F" w14:paraId="1A227F54" w14:textId="4738E919">
            <w:pPr>
              <w:spacing w:line="360" w:lineRule="auto"/>
              <w:rPr>
                <w:rFonts w:ascii="Times New Roman" w:hAnsi="Times New Roman" w:eastAsia="Times New Roman" w:cs="Times New Roman"/>
                <w:b/>
              </w:rPr>
            </w:pPr>
            <w:bookmarkStart w:name="_Hlk30508910" w:id="16"/>
            <w:bookmarkEnd w:id="15"/>
            <w:r w:rsidRPr="00550EF0">
              <w:rPr>
                <w:rFonts w:ascii="Times New Roman" w:hAnsi="Times New Roman" w:eastAsia="Times New Roman" w:cs="Times New Roman"/>
                <w:b/>
              </w:rPr>
              <w:t>Total</w:t>
            </w:r>
          </w:p>
        </w:tc>
        <w:tc>
          <w:tcPr>
            <w:tcW w:w="1816" w:type="dxa"/>
          </w:tcPr>
          <w:p w:rsidRPr="00550EF0" w:rsidR="00617E5F" w:rsidP="00617E5F" w:rsidRDefault="00617E5F" w14:paraId="387B8352" w14:textId="77777777">
            <w:pPr>
              <w:spacing w:line="360" w:lineRule="auto"/>
              <w:rPr>
                <w:rFonts w:ascii="Times New Roman" w:hAnsi="Times New Roman" w:eastAsia="Times New Roman" w:cs="Times New Roman"/>
                <w:b/>
              </w:rPr>
            </w:pPr>
          </w:p>
        </w:tc>
        <w:tc>
          <w:tcPr>
            <w:tcW w:w="1532" w:type="dxa"/>
          </w:tcPr>
          <w:p w:rsidRPr="00550EF0" w:rsidR="00617E5F" w:rsidP="00617E5F" w:rsidRDefault="00617E5F" w14:paraId="7569B767"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 xml:space="preserve"> </w:t>
            </w:r>
          </w:p>
        </w:tc>
        <w:tc>
          <w:tcPr>
            <w:tcW w:w="1515" w:type="dxa"/>
          </w:tcPr>
          <w:p w:rsidRPr="00550EF0" w:rsidR="00617E5F" w:rsidP="00617E5F" w:rsidRDefault="00617E5F" w14:paraId="73ADE9B8"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 xml:space="preserve"> </w:t>
            </w:r>
          </w:p>
        </w:tc>
        <w:tc>
          <w:tcPr>
            <w:tcW w:w="1469" w:type="dxa"/>
          </w:tcPr>
          <w:p w:rsidRPr="00550EF0" w:rsidR="00617E5F" w:rsidP="00617E5F" w:rsidRDefault="00617E5F" w14:paraId="71EC290F" w14:textId="77777777">
            <w:pPr>
              <w:spacing w:line="360" w:lineRule="auto"/>
              <w:rPr>
                <w:rFonts w:ascii="Times New Roman" w:hAnsi="Times New Roman" w:eastAsia="Times New Roman" w:cs="Times New Roman"/>
                <w:b/>
              </w:rPr>
            </w:pPr>
            <w:r w:rsidRPr="00550EF0">
              <w:rPr>
                <w:rFonts w:ascii="Times New Roman" w:hAnsi="Times New Roman" w:eastAsia="Times New Roman" w:cs="Times New Roman"/>
                <w:b/>
              </w:rPr>
              <w:t xml:space="preserve"> </w:t>
            </w:r>
          </w:p>
        </w:tc>
        <w:tc>
          <w:tcPr>
            <w:tcW w:w="1450" w:type="dxa"/>
          </w:tcPr>
          <w:p w:rsidRPr="00550EF0" w:rsidR="00617E5F" w:rsidP="00AB5A85" w:rsidRDefault="00FE7E78" w14:paraId="0BF00FFA" w14:textId="67CBBFEC">
            <w:pPr>
              <w:rPr>
                <w:rFonts w:ascii="Times New Roman" w:hAnsi="Times New Roman" w:cs="Times New Roman"/>
                <w:color w:val="000000"/>
              </w:rPr>
            </w:pPr>
            <w:r>
              <w:rPr>
                <w:rFonts w:ascii="Times New Roman" w:hAnsi="Times New Roman" w:cs="Times New Roman"/>
                <w:color w:val="000000"/>
              </w:rPr>
              <w:t>910</w:t>
            </w:r>
          </w:p>
        </w:tc>
      </w:tr>
      <w:bookmarkEnd w:id="14"/>
      <w:bookmarkEnd w:id="16"/>
    </w:tbl>
    <w:p w:rsidR="00AA1C0C" w:rsidP="00C106D7" w:rsidRDefault="00AA1C0C" w14:paraId="3822550B" w14:textId="128A2B86">
      <w:pPr>
        <w:spacing w:line="360" w:lineRule="auto"/>
        <w:rPr>
          <w:sz w:val="20"/>
          <w:szCs w:val="20"/>
        </w:rPr>
      </w:pPr>
    </w:p>
    <w:p w:rsidRPr="0029423F" w:rsidR="0029423F" w:rsidP="00C106D7" w:rsidRDefault="0029423F" w14:paraId="622C368C" w14:textId="77777777">
      <w:pPr>
        <w:spacing w:line="360" w:lineRule="auto"/>
        <w:rPr>
          <w:sz w:val="20"/>
          <w:szCs w:val="20"/>
        </w:rPr>
      </w:pPr>
    </w:p>
    <w:p w:rsidRPr="00550EF0" w:rsidR="000326EB" w:rsidP="000326EB" w:rsidRDefault="000326EB" w14:paraId="18255CCB" w14:textId="77777777">
      <w:pPr>
        <w:spacing w:line="360" w:lineRule="auto"/>
        <w:rPr>
          <w:color w:val="000000"/>
        </w:rPr>
      </w:pPr>
      <w:r w:rsidRPr="00550EF0">
        <w:rPr>
          <w:color w:val="000000"/>
        </w:rPr>
        <w:t>Estimates of Cost Burden</w:t>
      </w:r>
      <w:r w:rsidR="00C944D0">
        <w:rPr>
          <w:color w:val="000000"/>
        </w:rPr>
        <w:t xml:space="preserve"> for 180 Days</w:t>
      </w:r>
    </w:p>
    <w:p w:rsidRPr="00550EF0" w:rsidR="000326EB" w:rsidP="000326EB" w:rsidRDefault="000326EB" w14:paraId="6C658A65" w14:textId="77777777">
      <w:pPr>
        <w:spacing w:line="360" w:lineRule="auto"/>
        <w:rPr>
          <w:color w:val="000000"/>
        </w:rPr>
      </w:pPr>
    </w:p>
    <w:tbl>
      <w:tblPr>
        <w:tblStyle w:val="TableGrid"/>
        <w:tblW w:w="103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1350"/>
        <w:gridCol w:w="990"/>
        <w:gridCol w:w="1440"/>
        <w:gridCol w:w="1260"/>
        <w:gridCol w:w="990"/>
        <w:gridCol w:w="1260"/>
        <w:gridCol w:w="1440"/>
      </w:tblGrid>
      <w:tr w:rsidRPr="00550EF0" w:rsidR="00550EF0" w:rsidTr="008675D1" w14:paraId="3E2E0B34" w14:textId="77777777">
        <w:trPr>
          <w:jc w:val="center"/>
        </w:trPr>
        <w:tc>
          <w:tcPr>
            <w:tcW w:w="1605" w:type="dxa"/>
          </w:tcPr>
          <w:p w:rsidRPr="00550EF0" w:rsidR="000326EB" w:rsidP="00770BA2" w:rsidRDefault="000326EB" w14:paraId="0E7B3CCE" w14:textId="77777777">
            <w:pPr>
              <w:rPr>
                <w:rFonts w:ascii="Times New Roman" w:hAnsi="Times New Roman" w:cs="Times New Roman"/>
                <w:b/>
                <w:color w:val="000000"/>
              </w:rPr>
            </w:pPr>
            <w:r w:rsidRPr="00550EF0">
              <w:rPr>
                <w:rFonts w:ascii="Times New Roman" w:hAnsi="Times New Roman" w:cs="Times New Roman"/>
                <w:b/>
                <w:color w:val="000000"/>
              </w:rPr>
              <w:t>Type of Respondents</w:t>
            </w:r>
          </w:p>
        </w:tc>
        <w:tc>
          <w:tcPr>
            <w:tcW w:w="1350" w:type="dxa"/>
          </w:tcPr>
          <w:p w:rsidRPr="00550EF0" w:rsidR="000326EB" w:rsidP="00770BA2" w:rsidRDefault="000326EB" w14:paraId="28D864E8" w14:textId="77777777">
            <w:pPr>
              <w:rPr>
                <w:rFonts w:ascii="Times New Roman" w:hAnsi="Times New Roman" w:cs="Times New Roman"/>
                <w:b/>
                <w:color w:val="000000"/>
              </w:rPr>
            </w:pPr>
            <w:r w:rsidRPr="00550EF0">
              <w:rPr>
                <w:rFonts w:ascii="Times New Roman" w:hAnsi="Times New Roman" w:cs="Times New Roman"/>
                <w:b/>
                <w:color w:val="000000"/>
              </w:rPr>
              <w:t>Form Name</w:t>
            </w:r>
          </w:p>
        </w:tc>
        <w:tc>
          <w:tcPr>
            <w:tcW w:w="990" w:type="dxa"/>
          </w:tcPr>
          <w:p w:rsidRPr="00550EF0" w:rsidR="000326EB" w:rsidP="00770BA2" w:rsidRDefault="000326EB" w14:paraId="10A3E95B" w14:textId="77777777">
            <w:pPr>
              <w:rPr>
                <w:rFonts w:ascii="Times New Roman" w:hAnsi="Times New Roman" w:cs="Times New Roman"/>
                <w:b/>
                <w:color w:val="000000"/>
              </w:rPr>
            </w:pPr>
            <w:r w:rsidRPr="00550EF0">
              <w:rPr>
                <w:rFonts w:ascii="Times New Roman" w:hAnsi="Times New Roman" w:cs="Times New Roman"/>
                <w:b/>
              </w:rPr>
              <w:t>Number of Respondents</w:t>
            </w:r>
          </w:p>
        </w:tc>
        <w:tc>
          <w:tcPr>
            <w:tcW w:w="1440" w:type="dxa"/>
          </w:tcPr>
          <w:p w:rsidRPr="00550EF0" w:rsidR="000326EB" w:rsidP="00770BA2" w:rsidRDefault="000326EB" w14:paraId="7B3C1010" w14:textId="77777777">
            <w:pPr>
              <w:rPr>
                <w:rFonts w:ascii="Times New Roman" w:hAnsi="Times New Roman" w:cs="Times New Roman"/>
                <w:b/>
                <w:color w:val="000000"/>
              </w:rPr>
            </w:pPr>
            <w:r w:rsidRPr="00550EF0">
              <w:rPr>
                <w:rFonts w:ascii="Times New Roman" w:hAnsi="Times New Roman" w:cs="Times New Roman"/>
                <w:b/>
              </w:rPr>
              <w:t>Number of  Responses per Respondent</w:t>
            </w:r>
          </w:p>
        </w:tc>
        <w:tc>
          <w:tcPr>
            <w:tcW w:w="1260" w:type="dxa"/>
          </w:tcPr>
          <w:p w:rsidRPr="00550EF0" w:rsidR="000326EB" w:rsidP="00770BA2" w:rsidRDefault="000326EB" w14:paraId="4A412501" w14:textId="77777777">
            <w:pPr>
              <w:rPr>
                <w:rFonts w:ascii="Times New Roman" w:hAnsi="Times New Roman" w:cs="Times New Roman"/>
                <w:b/>
                <w:color w:val="000000"/>
              </w:rPr>
            </w:pPr>
            <w:r w:rsidRPr="00550EF0">
              <w:rPr>
                <w:rFonts w:ascii="Times New Roman" w:hAnsi="Times New Roman" w:cs="Times New Roman"/>
                <w:b/>
              </w:rPr>
              <w:t>Average Burden Per Response  (in hours)</w:t>
            </w:r>
          </w:p>
        </w:tc>
        <w:tc>
          <w:tcPr>
            <w:tcW w:w="990" w:type="dxa"/>
          </w:tcPr>
          <w:p w:rsidRPr="00550EF0" w:rsidR="000326EB" w:rsidP="00770BA2" w:rsidRDefault="000326EB" w14:paraId="4035867B" w14:textId="77777777">
            <w:pPr>
              <w:rPr>
                <w:rFonts w:ascii="Times New Roman" w:hAnsi="Times New Roman" w:cs="Times New Roman"/>
                <w:b/>
                <w:color w:val="000000"/>
              </w:rPr>
            </w:pPr>
            <w:r w:rsidRPr="00550EF0">
              <w:rPr>
                <w:rFonts w:ascii="Times New Roman" w:hAnsi="Times New Roman" w:cs="Times New Roman"/>
                <w:b/>
              </w:rPr>
              <w:t>Total Burden Hours</w:t>
            </w:r>
          </w:p>
        </w:tc>
        <w:tc>
          <w:tcPr>
            <w:tcW w:w="1260" w:type="dxa"/>
          </w:tcPr>
          <w:p w:rsidRPr="00550EF0" w:rsidR="000326EB" w:rsidP="00770BA2" w:rsidRDefault="000326EB" w14:paraId="607504D5" w14:textId="77777777">
            <w:pPr>
              <w:rPr>
                <w:rFonts w:ascii="Times New Roman" w:hAnsi="Times New Roman" w:cs="Times New Roman"/>
                <w:b/>
                <w:color w:val="000000"/>
              </w:rPr>
            </w:pPr>
            <w:r w:rsidRPr="00550EF0">
              <w:rPr>
                <w:rFonts w:ascii="Times New Roman" w:hAnsi="Times New Roman" w:cs="Times New Roman"/>
                <w:b/>
              </w:rPr>
              <w:t>Hourly Wage Rate</w:t>
            </w:r>
          </w:p>
        </w:tc>
        <w:tc>
          <w:tcPr>
            <w:tcW w:w="1440" w:type="dxa"/>
          </w:tcPr>
          <w:p w:rsidRPr="00550EF0" w:rsidR="000326EB" w:rsidP="00770BA2" w:rsidRDefault="000326EB" w14:paraId="04474BA7" w14:textId="77777777">
            <w:pPr>
              <w:rPr>
                <w:rFonts w:ascii="Times New Roman" w:hAnsi="Times New Roman" w:cs="Times New Roman"/>
                <w:b/>
                <w:color w:val="000000"/>
              </w:rPr>
            </w:pPr>
            <w:r w:rsidRPr="00550EF0">
              <w:rPr>
                <w:rFonts w:ascii="Times New Roman" w:hAnsi="Times New Roman" w:cs="Times New Roman"/>
                <w:b/>
              </w:rPr>
              <w:t xml:space="preserve">Respondent Cost </w:t>
            </w:r>
          </w:p>
        </w:tc>
      </w:tr>
      <w:tr w:rsidRPr="00550EF0" w:rsidR="00085D52" w:rsidTr="008675D1" w14:paraId="65C17250" w14:textId="77777777">
        <w:trPr>
          <w:jc w:val="center"/>
        </w:trPr>
        <w:tc>
          <w:tcPr>
            <w:tcW w:w="1605" w:type="dxa"/>
            <w:vAlign w:val="center"/>
          </w:tcPr>
          <w:p w:rsidRPr="00550EF0" w:rsidR="00085D52" w:rsidP="00085D52" w:rsidRDefault="00085D52" w14:paraId="077092F3" w14:textId="06E549D8">
            <w:pPr>
              <w:rPr>
                <w:rFonts w:ascii="Times New Roman" w:hAnsi="Times New Roman" w:cs="Times New Roman"/>
              </w:rPr>
            </w:pPr>
            <w:r>
              <w:rPr>
                <w:rFonts w:ascii="Times New Roman" w:hAnsi="Times New Roman" w:eastAsia="Times New Roman" w:cs="Times New Roman"/>
              </w:rPr>
              <w:t>Household</w:t>
            </w:r>
          </w:p>
        </w:tc>
        <w:tc>
          <w:tcPr>
            <w:tcW w:w="1350" w:type="dxa"/>
            <w:vAlign w:val="center"/>
          </w:tcPr>
          <w:p w:rsidRPr="00550EF0" w:rsidR="00085D52" w:rsidP="00085D52" w:rsidRDefault="00085D52" w14:paraId="04C22B94" w14:textId="254E8AE2">
            <w:pPr>
              <w:rPr>
                <w:rFonts w:ascii="Times New Roman" w:hAnsi="Times New Roman" w:cs="Times New Roman"/>
              </w:rPr>
            </w:pPr>
            <w:r>
              <w:rPr>
                <w:rFonts w:ascii="Times New Roman" w:hAnsi="Times New Roman" w:eastAsia="Times New Roman" w:cs="Times New Roman"/>
              </w:rPr>
              <w:t>CEQ CAPI Instrument</w:t>
            </w:r>
          </w:p>
        </w:tc>
        <w:tc>
          <w:tcPr>
            <w:tcW w:w="990" w:type="dxa"/>
            <w:vAlign w:val="center"/>
          </w:tcPr>
          <w:p w:rsidRPr="00550EF0" w:rsidR="00085D52" w:rsidP="00085D52" w:rsidRDefault="00FE7E78" w14:paraId="280E8231" w14:textId="181EEBBF">
            <w:pPr>
              <w:rPr>
                <w:rFonts w:ascii="Times New Roman" w:hAnsi="Times New Roman" w:cs="Times New Roman"/>
              </w:rPr>
            </w:pPr>
            <w:r>
              <w:rPr>
                <w:rFonts w:ascii="Times New Roman" w:hAnsi="Times New Roman" w:eastAsia="Times New Roman" w:cs="Times New Roman"/>
              </w:rPr>
              <w:t>5,450</w:t>
            </w:r>
          </w:p>
        </w:tc>
        <w:tc>
          <w:tcPr>
            <w:tcW w:w="1440" w:type="dxa"/>
            <w:vAlign w:val="center"/>
          </w:tcPr>
          <w:p w:rsidRPr="00550EF0" w:rsidR="00085D52" w:rsidP="00085D52" w:rsidRDefault="00085D52" w14:paraId="4FA558D5" w14:textId="243F227D">
            <w:pPr>
              <w:rPr>
                <w:rFonts w:ascii="Times New Roman" w:hAnsi="Times New Roman" w:cs="Times New Roman"/>
                <w:color w:val="000000"/>
              </w:rPr>
            </w:pPr>
            <w:r>
              <w:rPr>
                <w:rFonts w:ascii="Times New Roman" w:hAnsi="Times New Roman" w:eastAsia="Times New Roman" w:cs="Times New Roman"/>
              </w:rPr>
              <w:t>2</w:t>
            </w:r>
          </w:p>
        </w:tc>
        <w:tc>
          <w:tcPr>
            <w:tcW w:w="1260" w:type="dxa"/>
            <w:vAlign w:val="center"/>
          </w:tcPr>
          <w:p w:rsidRPr="00550EF0" w:rsidR="00085D52" w:rsidP="00085D52" w:rsidRDefault="00085D52" w14:paraId="154DC4B7" w14:textId="251ACDAF">
            <w:pPr>
              <w:rPr>
                <w:rFonts w:ascii="Times New Roman" w:hAnsi="Times New Roman" w:cs="Times New Roman"/>
                <w:color w:val="000000"/>
              </w:rPr>
            </w:pPr>
            <w:r>
              <w:rPr>
                <w:rFonts w:ascii="Times New Roman" w:hAnsi="Times New Roman" w:eastAsia="Times New Roman" w:cs="Times New Roman"/>
              </w:rPr>
              <w:t>.0056 hours</w:t>
            </w:r>
          </w:p>
        </w:tc>
        <w:tc>
          <w:tcPr>
            <w:tcW w:w="990" w:type="dxa"/>
            <w:vAlign w:val="center"/>
          </w:tcPr>
          <w:p w:rsidRPr="00550EF0" w:rsidR="00085D52" w:rsidP="00085D52" w:rsidRDefault="00FE7E78" w14:paraId="63805215" w14:textId="2E1E197D">
            <w:pPr>
              <w:rPr>
                <w:rFonts w:ascii="Times New Roman" w:hAnsi="Times New Roman" w:cs="Times New Roman"/>
                <w:color w:val="000000"/>
              </w:rPr>
            </w:pPr>
            <w:r>
              <w:rPr>
                <w:rFonts w:ascii="Times New Roman" w:hAnsi="Times New Roman" w:eastAsia="Times New Roman" w:cs="Times New Roman"/>
              </w:rPr>
              <w:t>61</w:t>
            </w:r>
          </w:p>
        </w:tc>
        <w:tc>
          <w:tcPr>
            <w:tcW w:w="1260" w:type="dxa"/>
            <w:vAlign w:val="center"/>
          </w:tcPr>
          <w:p w:rsidRPr="00550EF0" w:rsidR="00085D52" w:rsidP="00085D52" w:rsidRDefault="00085D52" w14:paraId="4CD9D2E9" w14:textId="398BF01B">
            <w:pPr>
              <w:rPr>
                <w:rFonts w:ascii="Times New Roman" w:hAnsi="Times New Roman" w:cs="Times New Roman"/>
                <w:color w:val="000000"/>
              </w:rPr>
            </w:pPr>
            <w:r>
              <w:rPr>
                <w:rFonts w:ascii="Times New Roman" w:hAnsi="Times New Roman" w:cs="Times New Roman"/>
                <w:color w:val="000000"/>
              </w:rPr>
              <w:t>$7.25</w:t>
            </w:r>
          </w:p>
        </w:tc>
        <w:tc>
          <w:tcPr>
            <w:tcW w:w="1440" w:type="dxa"/>
            <w:vAlign w:val="center"/>
          </w:tcPr>
          <w:p w:rsidRPr="00550EF0" w:rsidR="00085D52" w:rsidP="00FE7E78" w:rsidRDefault="00085D52" w14:paraId="5B7D01F8" w14:textId="244B2248">
            <w:pPr>
              <w:rPr>
                <w:rFonts w:ascii="Times New Roman" w:hAnsi="Times New Roman" w:cs="Times New Roman"/>
                <w:color w:val="000000"/>
              </w:rPr>
            </w:pPr>
            <w:r>
              <w:rPr>
                <w:rFonts w:ascii="Times New Roman" w:hAnsi="Times New Roman" w:cs="Times New Roman"/>
                <w:color w:val="000000"/>
              </w:rPr>
              <w:t>$</w:t>
            </w:r>
            <w:r w:rsidR="00FE7E78">
              <w:rPr>
                <w:rFonts w:ascii="Times New Roman" w:hAnsi="Times New Roman" w:cs="Times New Roman"/>
                <w:color w:val="000000"/>
              </w:rPr>
              <w:t>442</w:t>
            </w:r>
          </w:p>
        </w:tc>
      </w:tr>
      <w:tr w:rsidRPr="00550EF0" w:rsidR="00085D52" w:rsidTr="008675D1" w14:paraId="097978A3" w14:textId="77777777">
        <w:trPr>
          <w:jc w:val="center"/>
        </w:trPr>
        <w:tc>
          <w:tcPr>
            <w:tcW w:w="1605" w:type="dxa"/>
            <w:vAlign w:val="center"/>
          </w:tcPr>
          <w:p w:rsidRPr="00550EF0" w:rsidR="00085D52" w:rsidP="00085D52" w:rsidRDefault="0029423F" w14:paraId="5709FD20" w14:textId="7CEEA4BE">
            <w:pPr>
              <w:rPr>
                <w:rFonts w:ascii="Times New Roman" w:hAnsi="Times New Roman" w:cs="Times New Roman"/>
              </w:rPr>
            </w:pPr>
            <w:r>
              <w:rPr>
                <w:rFonts w:ascii="Times New Roman" w:hAnsi="Times New Roman" w:cs="Times New Roman"/>
              </w:rPr>
              <w:t>Household</w:t>
            </w:r>
          </w:p>
        </w:tc>
        <w:tc>
          <w:tcPr>
            <w:tcW w:w="1350" w:type="dxa"/>
            <w:vAlign w:val="center"/>
          </w:tcPr>
          <w:p w:rsidRPr="00550EF0" w:rsidR="00085D52" w:rsidP="00085D52" w:rsidRDefault="0029423F" w14:paraId="35409BA7" w14:textId="6A32FBFD">
            <w:pPr>
              <w:rPr>
                <w:rFonts w:ascii="Times New Roman" w:hAnsi="Times New Roman" w:cs="Times New Roman"/>
              </w:rPr>
            </w:pPr>
            <w:r>
              <w:rPr>
                <w:rFonts w:ascii="Times New Roman" w:hAnsi="Times New Roman" w:cs="Times New Roman"/>
              </w:rPr>
              <w:t>CED Paper Diary</w:t>
            </w:r>
          </w:p>
        </w:tc>
        <w:tc>
          <w:tcPr>
            <w:tcW w:w="990" w:type="dxa"/>
            <w:vAlign w:val="center"/>
          </w:tcPr>
          <w:p w:rsidRPr="00550EF0" w:rsidR="00085D52" w:rsidP="00085D52" w:rsidRDefault="00FE7E78" w14:paraId="0AA02625" w14:textId="37809629">
            <w:pPr>
              <w:rPr>
                <w:rFonts w:ascii="Times New Roman" w:hAnsi="Times New Roman" w:cs="Times New Roman"/>
              </w:rPr>
            </w:pPr>
            <w:r>
              <w:rPr>
                <w:rFonts w:ascii="Times New Roman" w:hAnsi="Times New Roman" w:cs="Times New Roman"/>
              </w:rPr>
              <w:t>3,398</w:t>
            </w:r>
          </w:p>
        </w:tc>
        <w:tc>
          <w:tcPr>
            <w:tcW w:w="1440" w:type="dxa"/>
            <w:vAlign w:val="center"/>
          </w:tcPr>
          <w:p w:rsidRPr="00550EF0" w:rsidR="00085D52" w:rsidP="00085D52" w:rsidRDefault="0029423F" w14:paraId="3CE41011" w14:textId="55B37E6E">
            <w:pPr>
              <w:rPr>
                <w:rFonts w:ascii="Times New Roman" w:hAnsi="Times New Roman" w:cs="Times New Roman"/>
              </w:rPr>
            </w:pPr>
            <w:r>
              <w:rPr>
                <w:rFonts w:ascii="Times New Roman" w:hAnsi="Times New Roman" w:cs="Times New Roman"/>
              </w:rPr>
              <w:t>3</w:t>
            </w:r>
          </w:p>
        </w:tc>
        <w:tc>
          <w:tcPr>
            <w:tcW w:w="1260" w:type="dxa"/>
            <w:vAlign w:val="center"/>
          </w:tcPr>
          <w:p w:rsidRPr="00550EF0" w:rsidR="00085D52" w:rsidP="00085D52" w:rsidRDefault="0029423F" w14:paraId="14491F9D" w14:textId="620628FC">
            <w:pPr>
              <w:rPr>
                <w:rFonts w:ascii="Times New Roman" w:hAnsi="Times New Roman" w:cs="Times New Roman"/>
              </w:rPr>
            </w:pPr>
            <w:r>
              <w:rPr>
                <w:rFonts w:ascii="Times New Roman" w:hAnsi="Times New Roman" w:cs="Times New Roman"/>
              </w:rPr>
              <w:t>.0833</w:t>
            </w:r>
          </w:p>
        </w:tc>
        <w:tc>
          <w:tcPr>
            <w:tcW w:w="990" w:type="dxa"/>
            <w:vAlign w:val="center"/>
          </w:tcPr>
          <w:p w:rsidRPr="00550EF0" w:rsidR="00085D52" w:rsidP="00085D52" w:rsidRDefault="00FE7E78" w14:paraId="544E8FCB" w14:textId="3A11F2F1">
            <w:pPr>
              <w:rPr>
                <w:rFonts w:ascii="Times New Roman" w:hAnsi="Times New Roman" w:cs="Times New Roman"/>
              </w:rPr>
            </w:pPr>
            <w:r>
              <w:rPr>
                <w:rFonts w:ascii="Times New Roman" w:hAnsi="Times New Roman" w:cs="Times New Roman"/>
              </w:rPr>
              <w:t>849</w:t>
            </w:r>
          </w:p>
        </w:tc>
        <w:tc>
          <w:tcPr>
            <w:tcW w:w="1260" w:type="dxa"/>
            <w:vAlign w:val="center"/>
          </w:tcPr>
          <w:p w:rsidRPr="00550EF0" w:rsidR="00085D52" w:rsidP="00085D52" w:rsidRDefault="0029423F" w14:paraId="64EF3CB4" w14:textId="5E828696">
            <w:pPr>
              <w:rPr>
                <w:rFonts w:ascii="Times New Roman" w:hAnsi="Times New Roman" w:cs="Times New Roman"/>
              </w:rPr>
            </w:pPr>
            <w:r>
              <w:rPr>
                <w:rFonts w:ascii="Times New Roman" w:hAnsi="Times New Roman" w:cs="Times New Roman"/>
              </w:rPr>
              <w:t>$7.25</w:t>
            </w:r>
          </w:p>
        </w:tc>
        <w:tc>
          <w:tcPr>
            <w:tcW w:w="1440" w:type="dxa"/>
            <w:vAlign w:val="center"/>
          </w:tcPr>
          <w:p w:rsidRPr="00550EF0" w:rsidR="00085D52" w:rsidP="00FE7E78" w:rsidRDefault="0029423F" w14:paraId="48F8BD0D" w14:textId="46305E0E">
            <w:pPr>
              <w:rPr>
                <w:rFonts w:ascii="Times New Roman" w:hAnsi="Times New Roman" w:cs="Times New Roman"/>
              </w:rPr>
            </w:pPr>
            <w:r>
              <w:rPr>
                <w:rFonts w:ascii="Times New Roman" w:hAnsi="Times New Roman" w:cs="Times New Roman"/>
              </w:rPr>
              <w:t>$</w:t>
            </w:r>
            <w:r w:rsidR="00FE7E78">
              <w:rPr>
                <w:rFonts w:ascii="Times New Roman" w:hAnsi="Times New Roman" w:cs="Times New Roman"/>
              </w:rPr>
              <w:t>6,155</w:t>
            </w:r>
          </w:p>
        </w:tc>
      </w:tr>
      <w:tr w:rsidRPr="00550EF0" w:rsidR="00085D52" w:rsidTr="008675D1" w14:paraId="1B36B9A0" w14:textId="77777777">
        <w:trPr>
          <w:jc w:val="center"/>
        </w:trPr>
        <w:tc>
          <w:tcPr>
            <w:tcW w:w="1605" w:type="dxa"/>
          </w:tcPr>
          <w:p w:rsidRPr="00550EF0" w:rsidR="00085D52" w:rsidP="00085D52" w:rsidRDefault="00085D52" w14:paraId="11362981" w14:textId="77777777">
            <w:pPr>
              <w:rPr>
                <w:rFonts w:ascii="Times New Roman" w:hAnsi="Times New Roman" w:cs="Times New Roman"/>
                <w:b/>
                <w:color w:val="000000"/>
              </w:rPr>
            </w:pPr>
            <w:r w:rsidRPr="00550EF0">
              <w:rPr>
                <w:rFonts w:ascii="Times New Roman" w:hAnsi="Times New Roman" w:cs="Times New Roman"/>
                <w:b/>
                <w:color w:val="000000"/>
              </w:rPr>
              <w:t>Total</w:t>
            </w:r>
          </w:p>
        </w:tc>
        <w:tc>
          <w:tcPr>
            <w:tcW w:w="1350" w:type="dxa"/>
          </w:tcPr>
          <w:p w:rsidRPr="00550EF0" w:rsidR="00085D52" w:rsidP="00085D52" w:rsidRDefault="00085D52" w14:paraId="65E2F222" w14:textId="77777777">
            <w:pPr>
              <w:rPr>
                <w:rFonts w:ascii="Times New Roman" w:hAnsi="Times New Roman" w:cs="Times New Roman"/>
                <w:color w:val="000000"/>
              </w:rPr>
            </w:pPr>
          </w:p>
        </w:tc>
        <w:tc>
          <w:tcPr>
            <w:tcW w:w="990" w:type="dxa"/>
          </w:tcPr>
          <w:p w:rsidRPr="00550EF0" w:rsidR="00085D52" w:rsidP="00085D52" w:rsidRDefault="00085D52" w14:paraId="4E6FEC00" w14:textId="77777777">
            <w:pPr>
              <w:rPr>
                <w:rFonts w:ascii="Times New Roman" w:hAnsi="Times New Roman" w:cs="Times New Roman"/>
                <w:color w:val="000000"/>
              </w:rPr>
            </w:pPr>
          </w:p>
        </w:tc>
        <w:tc>
          <w:tcPr>
            <w:tcW w:w="1440" w:type="dxa"/>
          </w:tcPr>
          <w:p w:rsidRPr="00550EF0" w:rsidR="00085D52" w:rsidP="00085D52" w:rsidRDefault="00085D52" w14:paraId="36BD9A30" w14:textId="77777777">
            <w:pPr>
              <w:rPr>
                <w:rFonts w:ascii="Times New Roman" w:hAnsi="Times New Roman" w:cs="Times New Roman"/>
                <w:color w:val="000000"/>
              </w:rPr>
            </w:pPr>
          </w:p>
        </w:tc>
        <w:tc>
          <w:tcPr>
            <w:tcW w:w="1260" w:type="dxa"/>
          </w:tcPr>
          <w:p w:rsidRPr="00550EF0" w:rsidR="00085D52" w:rsidP="00085D52" w:rsidRDefault="00085D52" w14:paraId="22D0E347" w14:textId="77777777">
            <w:pPr>
              <w:rPr>
                <w:rFonts w:ascii="Times New Roman" w:hAnsi="Times New Roman" w:cs="Times New Roman"/>
                <w:color w:val="000000"/>
              </w:rPr>
            </w:pPr>
          </w:p>
        </w:tc>
        <w:tc>
          <w:tcPr>
            <w:tcW w:w="990" w:type="dxa"/>
          </w:tcPr>
          <w:p w:rsidRPr="00550EF0" w:rsidR="00085D52" w:rsidP="00085D52" w:rsidRDefault="00085D52" w14:paraId="42ABEB57" w14:textId="77777777">
            <w:pPr>
              <w:rPr>
                <w:rFonts w:ascii="Times New Roman" w:hAnsi="Times New Roman" w:cs="Times New Roman"/>
                <w:color w:val="000000"/>
              </w:rPr>
            </w:pPr>
          </w:p>
        </w:tc>
        <w:tc>
          <w:tcPr>
            <w:tcW w:w="1260" w:type="dxa"/>
          </w:tcPr>
          <w:p w:rsidRPr="00550EF0" w:rsidR="00085D52" w:rsidP="00085D52" w:rsidRDefault="00085D52" w14:paraId="58704C8F" w14:textId="77777777">
            <w:pPr>
              <w:rPr>
                <w:rFonts w:ascii="Times New Roman" w:hAnsi="Times New Roman" w:cs="Times New Roman"/>
                <w:color w:val="000000"/>
              </w:rPr>
            </w:pPr>
          </w:p>
        </w:tc>
        <w:tc>
          <w:tcPr>
            <w:tcW w:w="1440" w:type="dxa"/>
          </w:tcPr>
          <w:p w:rsidRPr="00550EF0" w:rsidR="00085D52" w:rsidP="00FE7E78" w:rsidRDefault="00085D52" w14:paraId="6735EFA0" w14:textId="1BD0036D">
            <w:pPr>
              <w:rPr>
                <w:rFonts w:ascii="Times New Roman" w:hAnsi="Times New Roman" w:cs="Times New Roman"/>
                <w:b/>
                <w:color w:val="000000"/>
              </w:rPr>
            </w:pPr>
            <w:r w:rsidRPr="00550EF0">
              <w:rPr>
                <w:rFonts w:ascii="Times New Roman" w:hAnsi="Times New Roman" w:cs="Times New Roman"/>
                <w:b/>
                <w:color w:val="000000"/>
              </w:rPr>
              <w:t>$</w:t>
            </w:r>
            <w:r w:rsidR="00FE7E78">
              <w:rPr>
                <w:rFonts w:ascii="Times New Roman" w:hAnsi="Times New Roman" w:cs="Times New Roman"/>
                <w:b/>
                <w:color w:val="000000"/>
              </w:rPr>
              <w:t>6,597</w:t>
            </w:r>
          </w:p>
        </w:tc>
      </w:tr>
    </w:tbl>
    <w:p w:rsidRPr="00550EF0" w:rsidR="000A3373" w:rsidP="000A3373" w:rsidRDefault="000A3373" w14:paraId="22544A72" w14:textId="77777777">
      <w:pPr>
        <w:spacing w:line="360" w:lineRule="auto"/>
        <w:rPr>
          <w:color w:val="000000"/>
        </w:rPr>
      </w:pPr>
    </w:p>
    <w:p w:rsidRPr="00550EF0" w:rsidR="00214648" w:rsidP="00E70DD9" w:rsidRDefault="00214648" w14:paraId="05AEABE8" w14:textId="77777777">
      <w:pPr>
        <w:tabs>
          <w:tab w:val="left" w:pos="1"/>
          <w:tab w:val="left" w:pos="1584"/>
          <w:tab w:val="left" w:pos="3888"/>
          <w:tab w:val="left" w:pos="5472"/>
          <w:tab w:val="left" w:pos="7200"/>
        </w:tabs>
        <w:rPr>
          <w:color w:val="000000"/>
        </w:rPr>
      </w:pPr>
    </w:p>
    <w:p w:rsidRPr="00550EF0" w:rsidR="009135CB" w:rsidP="001209EC" w:rsidRDefault="009135CB" w14:paraId="777E78E9" w14:textId="77777777">
      <w:pPr>
        <w:pStyle w:val="Heading1"/>
        <w:rPr>
          <w:sz w:val="24"/>
          <w:szCs w:val="24"/>
        </w:rPr>
      </w:pPr>
      <w:bookmarkStart w:name="_Toc30143583" w:id="17"/>
      <w:bookmarkStart w:name="_Toc30143614" w:id="18"/>
      <w:bookmarkStart w:name="_Toc30143697" w:id="19"/>
      <w:bookmarkStart w:name="_Toc30143584" w:id="20"/>
      <w:bookmarkStart w:name="_Toc30143615" w:id="21"/>
      <w:bookmarkStart w:name="_Toc30143698" w:id="22"/>
      <w:bookmarkStart w:name="_Toc30238165" w:id="23"/>
      <w:bookmarkEnd w:id="17"/>
      <w:bookmarkEnd w:id="18"/>
      <w:bookmarkEnd w:id="19"/>
      <w:bookmarkEnd w:id="20"/>
      <w:bookmarkEnd w:id="21"/>
      <w:bookmarkEnd w:id="22"/>
      <w:r w:rsidRPr="00550EF0">
        <w:rPr>
          <w:sz w:val="24"/>
          <w:szCs w:val="24"/>
        </w:rPr>
        <w:t xml:space="preserve">Estimate of Other Total Annual Cost Burden to Respondents or </w:t>
      </w:r>
      <w:r w:rsidRPr="00550EF0" w:rsidR="00BD540F">
        <w:rPr>
          <w:sz w:val="24"/>
          <w:szCs w:val="24"/>
        </w:rPr>
        <w:t>Record</w:t>
      </w:r>
      <w:r w:rsidRPr="00550EF0" w:rsidR="001A4D48">
        <w:rPr>
          <w:sz w:val="24"/>
          <w:szCs w:val="24"/>
        </w:rPr>
        <w:t xml:space="preserve"> K</w:t>
      </w:r>
      <w:r w:rsidRPr="00550EF0" w:rsidR="00BD540F">
        <w:rPr>
          <w:sz w:val="24"/>
          <w:szCs w:val="24"/>
        </w:rPr>
        <w:t>eepers</w:t>
      </w:r>
      <w:bookmarkEnd w:id="23"/>
    </w:p>
    <w:p w:rsidR="006310CB" w:rsidP="00FE2844" w:rsidRDefault="009135CB" w14:paraId="6B86DE6A" w14:textId="77777777">
      <w:pPr>
        <w:tabs>
          <w:tab w:val="left" w:pos="1"/>
          <w:tab w:val="left" w:pos="1584"/>
          <w:tab w:val="left" w:pos="3888"/>
          <w:tab w:val="left" w:pos="5472"/>
          <w:tab w:val="left" w:pos="7200"/>
        </w:tabs>
        <w:rPr>
          <w:color w:val="000000"/>
        </w:rPr>
      </w:pPr>
      <w:bookmarkStart w:name="_Hlk30189111" w:id="24"/>
      <w:r w:rsidRPr="00550EF0">
        <w:rPr>
          <w:color w:val="000000"/>
        </w:rPr>
        <w:t>There are no other annual costs to respondents or record</w:t>
      </w:r>
      <w:r w:rsidRPr="00550EF0" w:rsidR="00DB6DED">
        <w:rPr>
          <w:color w:val="000000"/>
        </w:rPr>
        <w:t xml:space="preserve"> </w:t>
      </w:r>
      <w:r w:rsidRPr="00550EF0">
        <w:rPr>
          <w:color w:val="000000"/>
        </w:rPr>
        <w:t>keepers</w:t>
      </w:r>
      <w:r w:rsidR="00FE2844">
        <w:rPr>
          <w:color w:val="000000"/>
        </w:rPr>
        <w:t xml:space="preserve"> other than their time to respond. </w:t>
      </w:r>
    </w:p>
    <w:p w:rsidR="006310CB" w:rsidP="00FE2844" w:rsidRDefault="006310CB" w14:paraId="5B9E26A9" w14:textId="77777777">
      <w:pPr>
        <w:tabs>
          <w:tab w:val="left" w:pos="1"/>
          <w:tab w:val="left" w:pos="1584"/>
          <w:tab w:val="left" w:pos="3888"/>
          <w:tab w:val="left" w:pos="5472"/>
          <w:tab w:val="left" w:pos="7200"/>
        </w:tabs>
        <w:rPr>
          <w:color w:val="000000"/>
        </w:rPr>
      </w:pPr>
    </w:p>
    <w:p w:rsidRPr="00550EF0" w:rsidR="009135CB" w:rsidP="00FE2844" w:rsidRDefault="00FE2844" w14:paraId="49F17A3B" w14:textId="300F723C">
      <w:pPr>
        <w:tabs>
          <w:tab w:val="left" w:pos="1"/>
          <w:tab w:val="left" w:pos="1584"/>
          <w:tab w:val="left" w:pos="3888"/>
          <w:tab w:val="left" w:pos="5472"/>
          <w:tab w:val="left" w:pos="7200"/>
        </w:tabs>
        <w:rPr>
          <w:color w:val="000000"/>
        </w:rPr>
      </w:pPr>
      <w:r>
        <w:rPr>
          <w:color w:val="000000"/>
        </w:rPr>
        <w:t>See currently approved ICR 1220-0050 for further information.</w:t>
      </w:r>
      <w:r w:rsidRPr="00550EF0" w:rsidR="009135CB">
        <w:rPr>
          <w:color w:val="000000"/>
        </w:rPr>
        <w:t xml:space="preserve">  </w:t>
      </w:r>
    </w:p>
    <w:bookmarkEnd w:id="24"/>
    <w:p w:rsidRPr="00550EF0" w:rsidR="000B7D79" w:rsidP="00925656" w:rsidRDefault="000B7D79" w14:paraId="0553ECD5" w14:textId="77777777">
      <w:pPr>
        <w:tabs>
          <w:tab w:val="left" w:pos="1"/>
          <w:tab w:val="left" w:pos="1584"/>
          <w:tab w:val="left" w:pos="3888"/>
          <w:tab w:val="left" w:pos="5472"/>
          <w:tab w:val="left" w:pos="7200"/>
        </w:tabs>
        <w:spacing w:line="360" w:lineRule="auto"/>
        <w:rPr>
          <w:b/>
          <w:color w:val="000000"/>
        </w:rPr>
      </w:pPr>
    </w:p>
    <w:p w:rsidRPr="00550EF0" w:rsidR="009135CB" w:rsidP="001209EC" w:rsidRDefault="009135CB" w14:paraId="7FB14A84" w14:textId="77777777">
      <w:pPr>
        <w:pStyle w:val="Heading1"/>
        <w:rPr>
          <w:sz w:val="24"/>
          <w:szCs w:val="24"/>
        </w:rPr>
      </w:pPr>
      <w:bookmarkStart w:name="_Toc30238166" w:id="25"/>
      <w:r w:rsidRPr="00550EF0">
        <w:rPr>
          <w:sz w:val="24"/>
          <w:szCs w:val="24"/>
        </w:rPr>
        <w:t>Cost to the Federal Government</w:t>
      </w:r>
      <w:bookmarkEnd w:id="25"/>
      <w:r w:rsidRPr="00550EF0" w:rsidR="00A62F53">
        <w:rPr>
          <w:sz w:val="24"/>
          <w:szCs w:val="24"/>
        </w:rPr>
        <w:t xml:space="preserve"> </w:t>
      </w:r>
      <w:r w:rsidR="00361910">
        <w:rPr>
          <w:sz w:val="24"/>
          <w:szCs w:val="24"/>
        </w:rPr>
        <w:t>for 180 Days</w:t>
      </w:r>
    </w:p>
    <w:p w:rsidR="006310CB" w:rsidP="00F11A36" w:rsidRDefault="0068357E" w14:paraId="5D3E0A71" w14:textId="714F764D">
      <w:pPr>
        <w:tabs>
          <w:tab w:val="left" w:pos="1"/>
          <w:tab w:val="left" w:pos="1584"/>
          <w:tab w:val="left" w:pos="3888"/>
          <w:tab w:val="left" w:pos="5472"/>
          <w:tab w:val="left" w:pos="7200"/>
        </w:tabs>
        <w:rPr>
          <w:color w:val="000000"/>
        </w:rPr>
      </w:pPr>
      <w:r>
        <w:rPr>
          <w:color w:val="000000"/>
        </w:rPr>
        <w:t xml:space="preserve">There are no additional costs for these questions.  </w:t>
      </w:r>
      <w:r w:rsidRPr="0068357E">
        <w:rPr>
          <w:color w:val="000000"/>
        </w:rPr>
        <w:t>Funding for these questions will be part of the annual agreement through which the BLS contracts with the Census Bureau to collect CE data.</w:t>
      </w:r>
      <w:r>
        <w:rPr>
          <w:color w:val="000000"/>
        </w:rPr>
        <w:t xml:space="preserve"> </w:t>
      </w:r>
    </w:p>
    <w:p w:rsidR="006310CB" w:rsidP="00F11A36" w:rsidRDefault="006310CB" w14:paraId="5D9412C9" w14:textId="77777777">
      <w:pPr>
        <w:tabs>
          <w:tab w:val="left" w:pos="1"/>
          <w:tab w:val="left" w:pos="1584"/>
          <w:tab w:val="left" w:pos="3888"/>
          <w:tab w:val="left" w:pos="5472"/>
          <w:tab w:val="left" w:pos="7200"/>
        </w:tabs>
        <w:rPr>
          <w:color w:val="000000"/>
        </w:rPr>
      </w:pPr>
    </w:p>
    <w:p w:rsidR="00F11A36" w:rsidP="00F11A36" w:rsidRDefault="00F11A36" w14:paraId="0A05FB2E" w14:textId="30238438">
      <w:pPr>
        <w:tabs>
          <w:tab w:val="left" w:pos="1"/>
          <w:tab w:val="left" w:pos="1584"/>
          <w:tab w:val="left" w:pos="3888"/>
          <w:tab w:val="left" w:pos="5472"/>
          <w:tab w:val="left" w:pos="7200"/>
        </w:tabs>
        <w:rPr>
          <w:color w:val="000000"/>
        </w:rPr>
      </w:pPr>
      <w:r w:rsidRPr="00F11A36">
        <w:rPr>
          <w:color w:val="000000"/>
        </w:rPr>
        <w:t>Please see the currently approved ICR for 1220-0050 for further information on costs.</w:t>
      </w:r>
      <w:r w:rsidRPr="00F11A36" w:rsidDel="00F11A36">
        <w:rPr>
          <w:color w:val="000000"/>
        </w:rPr>
        <w:t xml:space="preserve"> </w:t>
      </w:r>
    </w:p>
    <w:p w:rsidRPr="00F11A36" w:rsidR="00361910" w:rsidP="00F11A36" w:rsidRDefault="00361910" w14:paraId="6796320C" w14:textId="77777777">
      <w:pPr>
        <w:tabs>
          <w:tab w:val="left" w:pos="1"/>
          <w:tab w:val="left" w:pos="1584"/>
          <w:tab w:val="left" w:pos="3888"/>
          <w:tab w:val="left" w:pos="5472"/>
          <w:tab w:val="left" w:pos="7200"/>
        </w:tabs>
        <w:rPr>
          <w:color w:val="000000"/>
        </w:rPr>
      </w:pPr>
    </w:p>
    <w:p w:rsidRPr="00550EF0" w:rsidR="009135CB" w:rsidP="001209EC" w:rsidRDefault="004132BA" w14:paraId="23ACF523" w14:textId="77777777">
      <w:pPr>
        <w:pStyle w:val="Heading1"/>
        <w:rPr>
          <w:sz w:val="24"/>
          <w:szCs w:val="24"/>
        </w:rPr>
      </w:pPr>
      <w:bookmarkStart w:name="_Toc30238167" w:id="26"/>
      <w:r w:rsidRPr="00550EF0">
        <w:rPr>
          <w:sz w:val="24"/>
          <w:szCs w:val="24"/>
        </w:rPr>
        <w:t>E</w:t>
      </w:r>
      <w:r w:rsidRPr="00550EF0" w:rsidR="009135CB">
        <w:rPr>
          <w:sz w:val="24"/>
          <w:szCs w:val="24"/>
        </w:rPr>
        <w:t>xplanation for Program Changes or Adjustments</w:t>
      </w:r>
      <w:bookmarkEnd w:id="26"/>
    </w:p>
    <w:p w:rsidRPr="0029423F" w:rsidR="0029423F" w:rsidP="0029423F" w:rsidRDefault="00FE2844" w14:paraId="40DB6419" w14:textId="5343D374">
      <w:pPr>
        <w:contextualSpacing/>
        <w:rPr>
          <w:rFonts w:eastAsia="Calibri"/>
        </w:rPr>
      </w:pPr>
      <w:r>
        <w:rPr>
          <w:rFonts w:eastAsia="Calibri"/>
        </w:rPr>
        <w:t xml:space="preserve">The collection is submitted as a new collection. </w:t>
      </w:r>
    </w:p>
    <w:p w:rsidR="00371AFE" w:rsidP="00255FD3" w:rsidRDefault="00371AFE" w14:paraId="32EDA453" w14:textId="77777777">
      <w:pPr>
        <w:rPr>
          <w:rFonts w:eastAsiaTheme="minorHAnsi"/>
        </w:rPr>
      </w:pPr>
    </w:p>
    <w:p w:rsidRPr="00E859A2" w:rsidR="009135CB" w:rsidP="001209EC" w:rsidRDefault="004132BA" w14:paraId="61C5C6D6" w14:textId="77777777">
      <w:pPr>
        <w:pStyle w:val="Heading1"/>
        <w:rPr>
          <w:sz w:val="24"/>
          <w:szCs w:val="24"/>
        </w:rPr>
      </w:pPr>
      <w:bookmarkStart w:name="_Toc30238168" w:id="27"/>
      <w:r w:rsidRPr="00E859A2">
        <w:rPr>
          <w:sz w:val="24"/>
          <w:szCs w:val="24"/>
        </w:rPr>
        <w:t>P</w:t>
      </w:r>
      <w:r w:rsidRPr="00E859A2" w:rsidR="009135CB">
        <w:rPr>
          <w:sz w:val="24"/>
          <w:szCs w:val="24"/>
        </w:rPr>
        <w:t xml:space="preserve">lans for Tabulation and Publication and Project Time </w:t>
      </w:r>
      <w:bookmarkStart w:name="_GoBack" w:id="28"/>
      <w:bookmarkEnd w:id="28"/>
      <w:r w:rsidRPr="00E859A2" w:rsidR="009135CB">
        <w:rPr>
          <w:sz w:val="24"/>
          <w:szCs w:val="24"/>
        </w:rPr>
        <w:t>Schedule</w:t>
      </w:r>
      <w:bookmarkEnd w:id="27"/>
      <w:r w:rsidRPr="00E859A2" w:rsidR="00F35B3D">
        <w:rPr>
          <w:sz w:val="24"/>
          <w:szCs w:val="24"/>
        </w:rPr>
        <w:t xml:space="preserve"> </w:t>
      </w:r>
    </w:p>
    <w:p w:rsidR="0023505C" w:rsidP="0023505C" w:rsidRDefault="0023505C" w14:paraId="653DB9E1" w14:textId="6A90612D">
      <w:pPr>
        <w:tabs>
          <w:tab w:val="left" w:pos="1"/>
          <w:tab w:val="left" w:pos="1584"/>
          <w:tab w:val="left" w:pos="3888"/>
          <w:tab w:val="left" w:pos="5472"/>
          <w:tab w:val="left" w:pos="7200"/>
        </w:tabs>
        <w:rPr>
          <w:color w:val="000000"/>
        </w:rPr>
      </w:pPr>
      <w:r>
        <w:rPr>
          <w:color w:val="000000"/>
        </w:rPr>
        <w:t>As with past</w:t>
      </w:r>
      <w:r w:rsidRPr="00277C68">
        <w:rPr>
          <w:color w:val="000000"/>
        </w:rPr>
        <w:t xml:space="preserve"> special data collections, such as the addition of stimulus questions in 2009, BLS plans to summarize the findings from the </w:t>
      </w:r>
      <w:r w:rsidR="00194164">
        <w:rPr>
          <w:color w:val="000000"/>
        </w:rPr>
        <w:t>coronavirus pandemic</w:t>
      </w:r>
      <w:r w:rsidRPr="00277C68">
        <w:rPr>
          <w:color w:val="000000"/>
        </w:rPr>
        <w:t xml:space="preserve"> </w:t>
      </w:r>
      <w:r>
        <w:rPr>
          <w:color w:val="000000"/>
        </w:rPr>
        <w:t xml:space="preserve">stimulus </w:t>
      </w:r>
      <w:r w:rsidRPr="00277C68">
        <w:rPr>
          <w:color w:val="000000"/>
        </w:rPr>
        <w:t xml:space="preserve">questions and make them available to the public. </w:t>
      </w:r>
      <w:r w:rsidR="006310CB">
        <w:rPr>
          <w:color w:val="000000"/>
        </w:rPr>
        <w:t xml:space="preserve"> </w:t>
      </w:r>
      <w:r>
        <w:rPr>
          <w:color w:val="000000"/>
        </w:rPr>
        <w:t xml:space="preserve">Analysis will include </w:t>
      </w:r>
      <w:r w:rsidRPr="006310CB">
        <w:rPr>
          <w:lang w:val="en"/>
        </w:rPr>
        <w:t xml:space="preserve">the change in household spending caused by receipt of the stimulus payments including durable and non-durable goods.  </w:t>
      </w:r>
      <w:r w:rsidR="006310CB">
        <w:rPr>
          <w:lang w:val="en"/>
        </w:rPr>
        <w:t>A s</w:t>
      </w:r>
      <w:r w:rsidRPr="006310CB">
        <w:rPr>
          <w:lang w:val="en"/>
        </w:rPr>
        <w:t>imilar analysis was completed following the addition of stimulus questions in 2009.</w:t>
      </w:r>
      <w:r w:rsidRPr="006310CB">
        <w:rPr>
          <w:rFonts w:ascii="Georgia" w:hAnsi="Georgia"/>
          <w:lang w:val="en"/>
        </w:rPr>
        <w:t xml:space="preserve">  </w:t>
      </w:r>
      <w:r w:rsidRPr="00277C68">
        <w:rPr>
          <w:color w:val="000000"/>
        </w:rPr>
        <w:t xml:space="preserve">The raw data will also be released </w:t>
      </w:r>
      <w:r w:rsidR="006310CB">
        <w:rPr>
          <w:color w:val="000000"/>
        </w:rPr>
        <w:t xml:space="preserve">to </w:t>
      </w:r>
      <w:r>
        <w:rPr>
          <w:color w:val="000000"/>
        </w:rPr>
        <w:t>the</w:t>
      </w:r>
      <w:r w:rsidRPr="00277C68">
        <w:rPr>
          <w:color w:val="000000"/>
        </w:rPr>
        <w:t xml:space="preserve"> public </w:t>
      </w:r>
      <w:r w:rsidR="006310CB">
        <w:rPr>
          <w:color w:val="000000"/>
        </w:rPr>
        <w:t>and made available through</w:t>
      </w:r>
      <w:r w:rsidRPr="00277C68">
        <w:rPr>
          <w:color w:val="000000"/>
        </w:rPr>
        <w:t xml:space="preserve"> microdata files</w:t>
      </w:r>
      <w:r w:rsidR="00C503EB">
        <w:rPr>
          <w:color w:val="000000"/>
        </w:rPr>
        <w:t xml:space="preserve"> in the fall of 2021</w:t>
      </w:r>
      <w:r w:rsidRPr="00277C68">
        <w:rPr>
          <w:color w:val="000000"/>
        </w:rPr>
        <w:t>.</w:t>
      </w:r>
    </w:p>
    <w:p w:rsidR="0023505C" w:rsidP="0023505C" w:rsidRDefault="0023505C" w14:paraId="0C10DF02" w14:textId="77777777">
      <w:pPr>
        <w:tabs>
          <w:tab w:val="left" w:pos="1"/>
          <w:tab w:val="left" w:pos="1584"/>
          <w:tab w:val="left" w:pos="3888"/>
          <w:tab w:val="left" w:pos="5472"/>
          <w:tab w:val="left" w:pos="7200"/>
        </w:tabs>
        <w:rPr>
          <w:color w:val="000000"/>
        </w:rPr>
      </w:pPr>
    </w:p>
    <w:p w:rsidRPr="0018220F" w:rsidR="0023505C" w:rsidP="0023505C" w:rsidRDefault="006310CB" w14:paraId="7E480346" w14:textId="3C53E337">
      <w:pPr>
        <w:rPr>
          <w:color w:val="000000"/>
        </w:rPr>
      </w:pPr>
      <w:r>
        <w:rPr>
          <w:color w:val="000000"/>
        </w:rPr>
        <w:t xml:space="preserve">The </w:t>
      </w:r>
      <w:r w:rsidRPr="0018220F" w:rsidR="0023505C">
        <w:rPr>
          <w:color w:val="000000"/>
        </w:rPr>
        <w:t xml:space="preserve">BLS will publish </w:t>
      </w:r>
      <w:r>
        <w:rPr>
          <w:color w:val="000000"/>
        </w:rPr>
        <w:t xml:space="preserve">its </w:t>
      </w:r>
      <w:r w:rsidRPr="0018220F" w:rsidR="0023505C">
        <w:rPr>
          <w:color w:val="000000"/>
        </w:rPr>
        <w:t xml:space="preserve">analysis </w:t>
      </w:r>
      <w:r w:rsidR="00683264">
        <w:rPr>
          <w:color w:val="000000"/>
        </w:rPr>
        <w:t>of</w:t>
      </w:r>
      <w:r w:rsidRPr="0018220F" w:rsidR="0023505C">
        <w:rPr>
          <w:color w:val="000000"/>
        </w:rPr>
        <w:t xml:space="preserve"> the quality of collected data including unit nonresponse, record usage rates, item nonresponse, number of rounded items, edit flag rates, average perceived burden, and average perceived length before and after </w:t>
      </w:r>
      <w:r w:rsidR="00194164">
        <w:rPr>
          <w:color w:val="000000"/>
        </w:rPr>
        <w:t>coronavirus pandemic</w:t>
      </w:r>
      <w:r w:rsidRPr="0018220F" w:rsidR="0023505C">
        <w:rPr>
          <w:color w:val="000000"/>
        </w:rPr>
        <w:t xml:space="preserve"> data collection changes</w:t>
      </w:r>
      <w:r w:rsidR="00C503EB">
        <w:rPr>
          <w:color w:val="000000"/>
        </w:rPr>
        <w:t xml:space="preserve"> </w:t>
      </w:r>
      <w:r w:rsidR="00E273B1">
        <w:rPr>
          <w:color w:val="000000"/>
        </w:rPr>
        <w:t xml:space="preserve">by December </w:t>
      </w:r>
      <w:r w:rsidR="00C503EB">
        <w:rPr>
          <w:color w:val="000000"/>
        </w:rPr>
        <w:t>2021</w:t>
      </w:r>
      <w:r w:rsidRPr="0018220F" w:rsidR="0023505C">
        <w:rPr>
          <w:color w:val="000000"/>
        </w:rPr>
        <w:t>.  </w:t>
      </w:r>
    </w:p>
    <w:p w:rsidR="0023505C" w:rsidP="0023505C" w:rsidRDefault="0023505C" w14:paraId="2BB2936F" w14:textId="77777777">
      <w:pPr>
        <w:tabs>
          <w:tab w:val="left" w:pos="1"/>
          <w:tab w:val="left" w:pos="1584"/>
          <w:tab w:val="left" w:pos="3888"/>
          <w:tab w:val="left" w:pos="5472"/>
          <w:tab w:val="left" w:pos="7200"/>
        </w:tabs>
        <w:rPr>
          <w:color w:val="000000"/>
        </w:rPr>
      </w:pPr>
    </w:p>
    <w:p w:rsidRPr="00E859A2" w:rsidR="008D085C" w:rsidP="00371AFE" w:rsidRDefault="008D085C" w14:paraId="2A988F17" w14:textId="77777777">
      <w:pPr>
        <w:tabs>
          <w:tab w:val="left" w:pos="1"/>
          <w:tab w:val="left" w:pos="1584"/>
          <w:tab w:val="left" w:pos="3888"/>
          <w:tab w:val="left" w:pos="5472"/>
          <w:tab w:val="left" w:pos="7200"/>
        </w:tabs>
        <w:rPr>
          <w:color w:val="000000"/>
        </w:rPr>
      </w:pPr>
    </w:p>
    <w:p w:rsidRPr="00E859A2" w:rsidR="009135CB" w:rsidP="001209EC" w:rsidRDefault="0054726E" w14:paraId="39B632E8" w14:textId="77777777">
      <w:pPr>
        <w:pStyle w:val="Heading1"/>
        <w:rPr>
          <w:sz w:val="24"/>
          <w:szCs w:val="24"/>
        </w:rPr>
      </w:pPr>
      <w:bookmarkStart w:name="_Toc30238169" w:id="29"/>
      <w:r w:rsidRPr="00E859A2">
        <w:rPr>
          <w:sz w:val="24"/>
          <w:szCs w:val="24"/>
        </w:rPr>
        <w:t xml:space="preserve">Reason(s) </w:t>
      </w:r>
      <w:r w:rsidR="008D085C">
        <w:rPr>
          <w:sz w:val="24"/>
          <w:szCs w:val="24"/>
        </w:rPr>
        <w:t xml:space="preserve">Not to </w:t>
      </w:r>
      <w:r w:rsidRPr="00E859A2">
        <w:rPr>
          <w:sz w:val="24"/>
          <w:szCs w:val="24"/>
        </w:rPr>
        <w:t xml:space="preserve">Display OMB Expiration Date </w:t>
      </w:r>
      <w:bookmarkEnd w:id="29"/>
    </w:p>
    <w:p w:rsidRPr="00E859A2" w:rsidR="00D17637" w:rsidP="0029423F" w:rsidRDefault="0029423F" w14:paraId="2DC63F10" w14:textId="37A3309F">
      <w:pPr>
        <w:contextualSpacing/>
        <w:rPr>
          <w:b/>
          <w:color w:val="000000"/>
        </w:rPr>
      </w:pPr>
      <w:r w:rsidRPr="0029423F">
        <w:rPr>
          <w:rFonts w:eastAsia="Calibri"/>
        </w:rPr>
        <w:t>The BLS requests not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 (see Attachment I).  For the Diary CE-801 there is a significant costs savings in printing a large quantity of forms at one time due to the set up costs involved in printing for the survey instrument.  By not printing the date on the form the BLS will be able to continue to use forms in stock, assuming no form changes, once the OMB clearance date has expired and a new expiration date has been approved.  The BLS would save both time and money by not having to destroy the old questionnaires and printing new ones.</w:t>
      </w:r>
      <w:r w:rsidRPr="0029423F">
        <w:rPr>
          <w:rFonts w:eastAsia="Calibri"/>
        </w:rPr>
        <w:br/>
      </w:r>
    </w:p>
    <w:p w:rsidRPr="00E859A2" w:rsidR="009135CB" w:rsidP="001209EC" w:rsidRDefault="009135CB" w14:paraId="296E2653" w14:textId="77777777">
      <w:pPr>
        <w:pStyle w:val="Heading1"/>
        <w:rPr>
          <w:sz w:val="24"/>
          <w:szCs w:val="24"/>
        </w:rPr>
      </w:pPr>
      <w:bookmarkStart w:name="_Toc30238170" w:id="30"/>
      <w:r w:rsidRPr="00E859A2">
        <w:rPr>
          <w:sz w:val="24"/>
          <w:szCs w:val="24"/>
        </w:rPr>
        <w:t>Exceptions to Certification for Paperwork Reduction Act Submissions</w:t>
      </w:r>
      <w:bookmarkEnd w:id="30"/>
    </w:p>
    <w:p w:rsidRPr="00E859A2" w:rsidR="00E2607E" w:rsidP="00925656" w:rsidRDefault="0047710E" w14:paraId="01C10C02" w14:textId="77777777">
      <w:pPr>
        <w:tabs>
          <w:tab w:val="left" w:pos="1"/>
          <w:tab w:val="left" w:pos="1584"/>
          <w:tab w:val="left" w:pos="3888"/>
          <w:tab w:val="left" w:pos="5472"/>
          <w:tab w:val="left" w:pos="7200"/>
        </w:tabs>
        <w:spacing w:line="360" w:lineRule="auto"/>
        <w:rPr>
          <w:color w:val="000000"/>
        </w:rPr>
      </w:pPr>
      <w:r w:rsidRPr="00E859A2">
        <w:rPr>
          <w:color w:val="000000"/>
        </w:rPr>
        <w:t>There are n</w:t>
      </w:r>
      <w:r w:rsidRPr="00E859A2" w:rsidR="009135CB">
        <w:rPr>
          <w:color w:val="000000"/>
        </w:rPr>
        <w:t xml:space="preserve">o exceptions </w:t>
      </w:r>
      <w:r w:rsidRPr="00E859A2">
        <w:rPr>
          <w:color w:val="000000"/>
        </w:rPr>
        <w:t>to the certification</w:t>
      </w:r>
      <w:r w:rsidRPr="00E859A2" w:rsidR="009135CB">
        <w:rPr>
          <w:color w:val="000000"/>
        </w:rPr>
        <w:t>.</w:t>
      </w:r>
    </w:p>
    <w:p w:rsidRPr="00E859A2" w:rsidR="004D62C4" w:rsidP="00925656" w:rsidRDefault="004D62C4" w14:paraId="65F651A3" w14:textId="2118F2E4">
      <w:pPr>
        <w:tabs>
          <w:tab w:val="left" w:pos="1"/>
          <w:tab w:val="left" w:pos="1584"/>
          <w:tab w:val="left" w:pos="3888"/>
          <w:tab w:val="left" w:pos="5472"/>
          <w:tab w:val="left" w:pos="7200"/>
        </w:tabs>
        <w:spacing w:line="360" w:lineRule="auto"/>
        <w:rPr>
          <w:color w:val="000000"/>
        </w:rPr>
      </w:pPr>
    </w:p>
    <w:sectPr w:rsidRPr="00E859A2" w:rsidR="004D62C4" w:rsidSect="00E516D2">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07DA" w14:textId="77777777" w:rsidR="00CD6AD8" w:rsidRDefault="00CD6AD8">
      <w:r>
        <w:separator/>
      </w:r>
    </w:p>
  </w:endnote>
  <w:endnote w:type="continuationSeparator" w:id="0">
    <w:p w14:paraId="631430CC" w14:textId="77777777" w:rsidR="00CD6AD8" w:rsidRDefault="00CD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5AD06E26" w:rsidR="001D722F" w:rsidRDefault="001D722F">
        <w:pPr>
          <w:pStyle w:val="Footer"/>
          <w:jc w:val="right"/>
        </w:pPr>
        <w:r>
          <w:fldChar w:fldCharType="begin"/>
        </w:r>
        <w:r>
          <w:instrText xml:space="preserve"> PAGE   \* MERGEFORMAT </w:instrText>
        </w:r>
        <w:r>
          <w:fldChar w:fldCharType="separate"/>
        </w:r>
        <w:r w:rsidR="004378A8">
          <w:rPr>
            <w:noProof/>
          </w:rPr>
          <w:t>7</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653779"/>
      <w:docPartObj>
        <w:docPartGallery w:val="Page Numbers (Bottom of Page)"/>
        <w:docPartUnique/>
      </w:docPartObj>
    </w:sdtPr>
    <w:sdtEndPr>
      <w:rPr>
        <w:noProof/>
      </w:rPr>
    </w:sdtEndPr>
    <w:sdtContent>
      <w:p w14:paraId="73670957" w14:textId="54C622F5" w:rsidR="001D722F" w:rsidRDefault="001D722F">
        <w:pPr>
          <w:pStyle w:val="Footer"/>
          <w:jc w:val="right"/>
        </w:pPr>
        <w:r>
          <w:fldChar w:fldCharType="begin"/>
        </w:r>
        <w:r>
          <w:instrText xml:space="preserve"> PAGE   \* MERGEFORMAT </w:instrText>
        </w:r>
        <w:r>
          <w:fldChar w:fldCharType="separate"/>
        </w:r>
        <w:r w:rsidR="004378A8">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6C11E" w14:textId="77777777" w:rsidR="00CD6AD8" w:rsidRDefault="00CD6AD8">
      <w:r>
        <w:separator/>
      </w:r>
    </w:p>
  </w:footnote>
  <w:footnote w:type="continuationSeparator" w:id="0">
    <w:p w14:paraId="72E7EAC3" w14:textId="77777777" w:rsidR="00CD6AD8" w:rsidRDefault="00CD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15B53" w14:textId="02351237" w:rsidR="00C738E9" w:rsidRPr="003C7565" w:rsidRDefault="00C738E9" w:rsidP="00C738E9">
    <w:r>
      <w:t>CE-</w:t>
    </w:r>
    <w:r w:rsidR="00194164">
      <w:t>Addition of stimulus</w:t>
    </w:r>
    <w:r w:rsidR="00192328">
      <w:t xml:space="preserve"> payment</w:t>
    </w:r>
    <w:r w:rsidR="00194164">
      <w:t xml:space="preserve"> </w:t>
    </w:r>
    <w:r w:rsidRPr="003C7565">
      <w:t>Questions</w:t>
    </w:r>
    <w:r w:rsidR="00194164">
      <w:t xml:space="preserve"> for the coronavirus pandemic</w:t>
    </w:r>
  </w:p>
  <w:p w14:paraId="06F95865" w14:textId="77777777" w:rsidR="00C738E9" w:rsidRPr="003C7565" w:rsidRDefault="00C738E9" w:rsidP="00C738E9">
    <w:r w:rsidRPr="003C7565">
      <w:t>1220-new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A57B1"/>
    <w:multiLevelType w:val="hybridMultilevel"/>
    <w:tmpl w:val="D156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76F05"/>
    <w:multiLevelType w:val="hybridMultilevel"/>
    <w:tmpl w:val="E9A0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3"/>
  </w:num>
  <w:num w:numId="7">
    <w:abstractNumId w:val="3"/>
  </w:num>
  <w:num w:numId="8">
    <w:abstractNumId w:val="9"/>
  </w:num>
  <w:num w:numId="9">
    <w:abstractNumId w:val="44"/>
  </w:num>
  <w:num w:numId="10">
    <w:abstractNumId w:val="31"/>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5"/>
  </w:num>
  <w:num w:numId="15">
    <w:abstractNumId w:val="27"/>
  </w:num>
  <w:num w:numId="16">
    <w:abstractNumId w:val="37"/>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6"/>
  </w:num>
  <w:num w:numId="21">
    <w:abstractNumId w:val="41"/>
  </w:num>
  <w:num w:numId="22">
    <w:abstractNumId w:val="40"/>
  </w:num>
  <w:num w:numId="23">
    <w:abstractNumId w:val="32"/>
  </w:num>
  <w:num w:numId="24">
    <w:abstractNumId w:val="1"/>
  </w:num>
  <w:num w:numId="25">
    <w:abstractNumId w:val="21"/>
  </w:num>
  <w:num w:numId="26">
    <w:abstractNumId w:val="13"/>
  </w:num>
  <w:num w:numId="27">
    <w:abstractNumId w:val="42"/>
  </w:num>
  <w:num w:numId="28">
    <w:abstractNumId w:val="4"/>
  </w:num>
  <w:num w:numId="29">
    <w:abstractNumId w:val="14"/>
  </w:num>
  <w:num w:numId="30">
    <w:abstractNumId w:val="19"/>
  </w:num>
  <w:num w:numId="31">
    <w:abstractNumId w:val="20"/>
  </w:num>
  <w:num w:numId="32">
    <w:abstractNumId w:val="34"/>
  </w:num>
  <w:num w:numId="33">
    <w:abstractNumId w:val="38"/>
  </w:num>
  <w:num w:numId="34">
    <w:abstractNumId w:val="5"/>
  </w:num>
  <w:num w:numId="35">
    <w:abstractNumId w:val="26"/>
  </w:num>
  <w:num w:numId="36">
    <w:abstractNumId w:val="39"/>
  </w:num>
  <w:num w:numId="37">
    <w:abstractNumId w:val="12"/>
  </w:num>
  <w:num w:numId="38">
    <w:abstractNumId w:val="6"/>
  </w:num>
  <w:num w:numId="39">
    <w:abstractNumId w:val="29"/>
  </w:num>
  <w:num w:numId="40">
    <w:abstractNumId w:val="7"/>
  </w:num>
  <w:num w:numId="41">
    <w:abstractNumId w:val="43"/>
  </w:num>
  <w:num w:numId="42">
    <w:abstractNumId w:val="18"/>
  </w:num>
  <w:num w:numId="43">
    <w:abstractNumId w:val="8"/>
  </w:num>
  <w:num w:numId="44">
    <w:abstractNumId w:val="24"/>
  </w:num>
  <w:num w:numId="45">
    <w:abstractNumId w:val="24"/>
    <w:lvlOverride w:ilvl="0">
      <w:startOverride w:val="1"/>
    </w:lvlOverride>
  </w:num>
  <w:num w:numId="46">
    <w:abstractNumId w:val="33"/>
  </w:num>
  <w:num w:numId="47">
    <w:abstractNumId w:val="2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397D"/>
    <w:rsid w:val="00033DC5"/>
    <w:rsid w:val="000344FF"/>
    <w:rsid w:val="0003463A"/>
    <w:rsid w:val="00034745"/>
    <w:rsid w:val="000377BB"/>
    <w:rsid w:val="0004076F"/>
    <w:rsid w:val="00040884"/>
    <w:rsid w:val="000409C7"/>
    <w:rsid w:val="00040B9D"/>
    <w:rsid w:val="00041101"/>
    <w:rsid w:val="000413F1"/>
    <w:rsid w:val="00041E85"/>
    <w:rsid w:val="00041F69"/>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3B6D"/>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37E"/>
    <w:rsid w:val="000628A5"/>
    <w:rsid w:val="00062C5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6C3"/>
    <w:rsid w:val="000848D9"/>
    <w:rsid w:val="00084BA9"/>
    <w:rsid w:val="00084F5F"/>
    <w:rsid w:val="0008536A"/>
    <w:rsid w:val="00085713"/>
    <w:rsid w:val="00085B48"/>
    <w:rsid w:val="00085D52"/>
    <w:rsid w:val="00086057"/>
    <w:rsid w:val="000861E9"/>
    <w:rsid w:val="00087285"/>
    <w:rsid w:val="00087476"/>
    <w:rsid w:val="00087893"/>
    <w:rsid w:val="00087D3F"/>
    <w:rsid w:val="0009018E"/>
    <w:rsid w:val="00090F06"/>
    <w:rsid w:val="00091EA0"/>
    <w:rsid w:val="0009253D"/>
    <w:rsid w:val="00092A1F"/>
    <w:rsid w:val="00093F2D"/>
    <w:rsid w:val="00095AE1"/>
    <w:rsid w:val="00095FA7"/>
    <w:rsid w:val="000974C7"/>
    <w:rsid w:val="0009764B"/>
    <w:rsid w:val="00097F37"/>
    <w:rsid w:val="000A005A"/>
    <w:rsid w:val="000A0637"/>
    <w:rsid w:val="000A0F01"/>
    <w:rsid w:val="000A0FE9"/>
    <w:rsid w:val="000A1243"/>
    <w:rsid w:val="000A1492"/>
    <w:rsid w:val="000A1832"/>
    <w:rsid w:val="000A24D3"/>
    <w:rsid w:val="000A2BAD"/>
    <w:rsid w:val="000A3373"/>
    <w:rsid w:val="000A364B"/>
    <w:rsid w:val="000A3E29"/>
    <w:rsid w:val="000A4225"/>
    <w:rsid w:val="000A505D"/>
    <w:rsid w:val="000A542D"/>
    <w:rsid w:val="000A63F7"/>
    <w:rsid w:val="000A6603"/>
    <w:rsid w:val="000A7B87"/>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BB9"/>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5D82"/>
    <w:rsid w:val="0017647D"/>
    <w:rsid w:val="00176AB6"/>
    <w:rsid w:val="00176E9E"/>
    <w:rsid w:val="00176F5D"/>
    <w:rsid w:val="00177024"/>
    <w:rsid w:val="00177B55"/>
    <w:rsid w:val="00177C61"/>
    <w:rsid w:val="001808A5"/>
    <w:rsid w:val="001818F6"/>
    <w:rsid w:val="0018220F"/>
    <w:rsid w:val="00182A05"/>
    <w:rsid w:val="00182F9F"/>
    <w:rsid w:val="00183B1F"/>
    <w:rsid w:val="0018475A"/>
    <w:rsid w:val="00184C52"/>
    <w:rsid w:val="00185597"/>
    <w:rsid w:val="0018591E"/>
    <w:rsid w:val="00185AE4"/>
    <w:rsid w:val="00185E89"/>
    <w:rsid w:val="001861C4"/>
    <w:rsid w:val="0018659D"/>
    <w:rsid w:val="001865BE"/>
    <w:rsid w:val="0018669A"/>
    <w:rsid w:val="00186AA9"/>
    <w:rsid w:val="0018780B"/>
    <w:rsid w:val="001905C5"/>
    <w:rsid w:val="001920CA"/>
    <w:rsid w:val="00192121"/>
    <w:rsid w:val="00192328"/>
    <w:rsid w:val="00192392"/>
    <w:rsid w:val="001924C0"/>
    <w:rsid w:val="00192E7A"/>
    <w:rsid w:val="00193097"/>
    <w:rsid w:val="00193905"/>
    <w:rsid w:val="00193BA8"/>
    <w:rsid w:val="00193BC8"/>
    <w:rsid w:val="00194164"/>
    <w:rsid w:val="0019424C"/>
    <w:rsid w:val="00194372"/>
    <w:rsid w:val="00194EEC"/>
    <w:rsid w:val="00194F03"/>
    <w:rsid w:val="00195E13"/>
    <w:rsid w:val="00196045"/>
    <w:rsid w:val="0019637C"/>
    <w:rsid w:val="001978F8"/>
    <w:rsid w:val="00197A2E"/>
    <w:rsid w:val="001A021F"/>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3DB2"/>
    <w:rsid w:val="001B4165"/>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077C"/>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6CF"/>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648"/>
    <w:rsid w:val="0021481A"/>
    <w:rsid w:val="00214830"/>
    <w:rsid w:val="0021536D"/>
    <w:rsid w:val="00216190"/>
    <w:rsid w:val="0022184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05C"/>
    <w:rsid w:val="002357DA"/>
    <w:rsid w:val="00236714"/>
    <w:rsid w:val="0023688B"/>
    <w:rsid w:val="00236F23"/>
    <w:rsid w:val="002376C2"/>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346"/>
    <w:rsid w:val="0026043A"/>
    <w:rsid w:val="0026074D"/>
    <w:rsid w:val="0026118D"/>
    <w:rsid w:val="00263491"/>
    <w:rsid w:val="0026370F"/>
    <w:rsid w:val="00263AD3"/>
    <w:rsid w:val="00264836"/>
    <w:rsid w:val="00264BF4"/>
    <w:rsid w:val="00264CEF"/>
    <w:rsid w:val="002650CF"/>
    <w:rsid w:val="002652D5"/>
    <w:rsid w:val="00265412"/>
    <w:rsid w:val="002669B1"/>
    <w:rsid w:val="0026727F"/>
    <w:rsid w:val="00270706"/>
    <w:rsid w:val="00270BAD"/>
    <w:rsid w:val="002719CE"/>
    <w:rsid w:val="00272653"/>
    <w:rsid w:val="00272FF0"/>
    <w:rsid w:val="00273CD7"/>
    <w:rsid w:val="00273DA8"/>
    <w:rsid w:val="00273F4B"/>
    <w:rsid w:val="00274135"/>
    <w:rsid w:val="0027624F"/>
    <w:rsid w:val="00276D62"/>
    <w:rsid w:val="00277C68"/>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412A"/>
    <w:rsid w:val="002941AA"/>
    <w:rsid w:val="00294230"/>
    <w:rsid w:val="0029423F"/>
    <w:rsid w:val="00294580"/>
    <w:rsid w:val="00294CBF"/>
    <w:rsid w:val="002953DC"/>
    <w:rsid w:val="002957C4"/>
    <w:rsid w:val="0029629C"/>
    <w:rsid w:val="0029681E"/>
    <w:rsid w:val="00297138"/>
    <w:rsid w:val="002A1076"/>
    <w:rsid w:val="002A1EAD"/>
    <w:rsid w:val="002A1FFD"/>
    <w:rsid w:val="002A3378"/>
    <w:rsid w:val="002A3C5B"/>
    <w:rsid w:val="002A49F1"/>
    <w:rsid w:val="002A518F"/>
    <w:rsid w:val="002A602A"/>
    <w:rsid w:val="002A7449"/>
    <w:rsid w:val="002A78FE"/>
    <w:rsid w:val="002A7D54"/>
    <w:rsid w:val="002B0001"/>
    <w:rsid w:val="002B0479"/>
    <w:rsid w:val="002B0CB5"/>
    <w:rsid w:val="002B2561"/>
    <w:rsid w:val="002B2D07"/>
    <w:rsid w:val="002B2DD6"/>
    <w:rsid w:val="002B3262"/>
    <w:rsid w:val="002B369D"/>
    <w:rsid w:val="002B40CB"/>
    <w:rsid w:val="002B43CF"/>
    <w:rsid w:val="002B4BD3"/>
    <w:rsid w:val="002B4FAE"/>
    <w:rsid w:val="002B61E0"/>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4AC"/>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0E7"/>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0A7"/>
    <w:rsid w:val="003375EC"/>
    <w:rsid w:val="00337CCC"/>
    <w:rsid w:val="00340948"/>
    <w:rsid w:val="00342B2E"/>
    <w:rsid w:val="00343176"/>
    <w:rsid w:val="00344856"/>
    <w:rsid w:val="00344EB4"/>
    <w:rsid w:val="00345676"/>
    <w:rsid w:val="0034632B"/>
    <w:rsid w:val="0034704E"/>
    <w:rsid w:val="003478D9"/>
    <w:rsid w:val="00350393"/>
    <w:rsid w:val="003528DF"/>
    <w:rsid w:val="0035328C"/>
    <w:rsid w:val="00353998"/>
    <w:rsid w:val="003541CF"/>
    <w:rsid w:val="0035434E"/>
    <w:rsid w:val="00354568"/>
    <w:rsid w:val="00354B34"/>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9A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4FC1"/>
    <w:rsid w:val="003D5853"/>
    <w:rsid w:val="003D594D"/>
    <w:rsid w:val="003D67A8"/>
    <w:rsid w:val="003D6F6D"/>
    <w:rsid w:val="003D70F7"/>
    <w:rsid w:val="003D7434"/>
    <w:rsid w:val="003D75FE"/>
    <w:rsid w:val="003D7E09"/>
    <w:rsid w:val="003E0112"/>
    <w:rsid w:val="003E027B"/>
    <w:rsid w:val="003E0475"/>
    <w:rsid w:val="003E192B"/>
    <w:rsid w:val="003E1BB0"/>
    <w:rsid w:val="003E2324"/>
    <w:rsid w:val="003E2333"/>
    <w:rsid w:val="003E244E"/>
    <w:rsid w:val="003E2E31"/>
    <w:rsid w:val="003E33CC"/>
    <w:rsid w:val="003E3753"/>
    <w:rsid w:val="003E3991"/>
    <w:rsid w:val="003E3B99"/>
    <w:rsid w:val="003E3F66"/>
    <w:rsid w:val="003E427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8A8"/>
    <w:rsid w:val="00437FF0"/>
    <w:rsid w:val="00440503"/>
    <w:rsid w:val="004406C0"/>
    <w:rsid w:val="00440788"/>
    <w:rsid w:val="00440F87"/>
    <w:rsid w:val="00442337"/>
    <w:rsid w:val="00443832"/>
    <w:rsid w:val="004444BB"/>
    <w:rsid w:val="00444BF1"/>
    <w:rsid w:val="00444DB0"/>
    <w:rsid w:val="00445056"/>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4A54"/>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535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55BE"/>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103E3"/>
    <w:rsid w:val="00510C87"/>
    <w:rsid w:val="00510DCA"/>
    <w:rsid w:val="0051123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A6"/>
    <w:rsid w:val="005221E0"/>
    <w:rsid w:val="00522295"/>
    <w:rsid w:val="005227C6"/>
    <w:rsid w:val="00523B5A"/>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379E7"/>
    <w:rsid w:val="005403C9"/>
    <w:rsid w:val="005409A1"/>
    <w:rsid w:val="00541A6B"/>
    <w:rsid w:val="00541B8D"/>
    <w:rsid w:val="005420E6"/>
    <w:rsid w:val="00543C5D"/>
    <w:rsid w:val="00544465"/>
    <w:rsid w:val="00544D42"/>
    <w:rsid w:val="00544D9D"/>
    <w:rsid w:val="00544F0D"/>
    <w:rsid w:val="005453E1"/>
    <w:rsid w:val="005456E1"/>
    <w:rsid w:val="0054726E"/>
    <w:rsid w:val="0054768D"/>
    <w:rsid w:val="00547B22"/>
    <w:rsid w:val="00550243"/>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BEA"/>
    <w:rsid w:val="005733BC"/>
    <w:rsid w:val="00574064"/>
    <w:rsid w:val="005743E9"/>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3C8"/>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E40"/>
    <w:rsid w:val="005C52E0"/>
    <w:rsid w:val="005C67DA"/>
    <w:rsid w:val="005C7604"/>
    <w:rsid w:val="005D11F4"/>
    <w:rsid w:val="005D171D"/>
    <w:rsid w:val="005D1772"/>
    <w:rsid w:val="005D1E6C"/>
    <w:rsid w:val="005D31A5"/>
    <w:rsid w:val="005D31F0"/>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826"/>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3D8D"/>
    <w:rsid w:val="0061443A"/>
    <w:rsid w:val="006156F7"/>
    <w:rsid w:val="00616147"/>
    <w:rsid w:val="00616E82"/>
    <w:rsid w:val="006178B5"/>
    <w:rsid w:val="006178FC"/>
    <w:rsid w:val="00617E5F"/>
    <w:rsid w:val="00621966"/>
    <w:rsid w:val="00621B17"/>
    <w:rsid w:val="00621F53"/>
    <w:rsid w:val="006220CA"/>
    <w:rsid w:val="006224A8"/>
    <w:rsid w:val="0062295B"/>
    <w:rsid w:val="00622A47"/>
    <w:rsid w:val="00622ECB"/>
    <w:rsid w:val="00623B4D"/>
    <w:rsid w:val="0062559D"/>
    <w:rsid w:val="00626A5F"/>
    <w:rsid w:val="00627506"/>
    <w:rsid w:val="006278B6"/>
    <w:rsid w:val="006279DA"/>
    <w:rsid w:val="00627B7C"/>
    <w:rsid w:val="00630144"/>
    <w:rsid w:val="00630295"/>
    <w:rsid w:val="006302CF"/>
    <w:rsid w:val="006310CB"/>
    <w:rsid w:val="00631818"/>
    <w:rsid w:val="00631967"/>
    <w:rsid w:val="00632C35"/>
    <w:rsid w:val="00633D09"/>
    <w:rsid w:val="00633EBE"/>
    <w:rsid w:val="00634155"/>
    <w:rsid w:val="00634355"/>
    <w:rsid w:val="00635C42"/>
    <w:rsid w:val="00635D87"/>
    <w:rsid w:val="00635E49"/>
    <w:rsid w:val="006364D4"/>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396E"/>
    <w:rsid w:val="00664F5E"/>
    <w:rsid w:val="0066562A"/>
    <w:rsid w:val="006663E8"/>
    <w:rsid w:val="006670B3"/>
    <w:rsid w:val="00667333"/>
    <w:rsid w:val="00667B09"/>
    <w:rsid w:val="0067173B"/>
    <w:rsid w:val="00671BB2"/>
    <w:rsid w:val="006729C6"/>
    <w:rsid w:val="00672A6D"/>
    <w:rsid w:val="006731A5"/>
    <w:rsid w:val="006748B1"/>
    <w:rsid w:val="006754BC"/>
    <w:rsid w:val="006756B6"/>
    <w:rsid w:val="00675BBA"/>
    <w:rsid w:val="00675D7E"/>
    <w:rsid w:val="00676109"/>
    <w:rsid w:val="0067651A"/>
    <w:rsid w:val="00676AAD"/>
    <w:rsid w:val="00677C87"/>
    <w:rsid w:val="00680098"/>
    <w:rsid w:val="00681C30"/>
    <w:rsid w:val="00681ED1"/>
    <w:rsid w:val="00681F7E"/>
    <w:rsid w:val="00683264"/>
    <w:rsid w:val="0068334B"/>
    <w:rsid w:val="0068357E"/>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2D9E"/>
    <w:rsid w:val="00693AB9"/>
    <w:rsid w:val="006956ED"/>
    <w:rsid w:val="0069658E"/>
    <w:rsid w:val="00696F59"/>
    <w:rsid w:val="00696F5F"/>
    <w:rsid w:val="00696F85"/>
    <w:rsid w:val="006A0091"/>
    <w:rsid w:val="006A07AC"/>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5B15"/>
    <w:rsid w:val="006B6060"/>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4AD6"/>
    <w:rsid w:val="006E4B23"/>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608"/>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044D"/>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503"/>
    <w:rsid w:val="00792D06"/>
    <w:rsid w:val="00794BE6"/>
    <w:rsid w:val="00794D1E"/>
    <w:rsid w:val="00795545"/>
    <w:rsid w:val="00795E0C"/>
    <w:rsid w:val="0079634E"/>
    <w:rsid w:val="00797176"/>
    <w:rsid w:val="007A02DF"/>
    <w:rsid w:val="007A094C"/>
    <w:rsid w:val="007A0E16"/>
    <w:rsid w:val="007A1AC1"/>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BFC"/>
    <w:rsid w:val="007D721E"/>
    <w:rsid w:val="007D7880"/>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6F6"/>
    <w:rsid w:val="007F18F1"/>
    <w:rsid w:val="007F1AB8"/>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1E03"/>
    <w:rsid w:val="0082211C"/>
    <w:rsid w:val="00822400"/>
    <w:rsid w:val="00822EFF"/>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84"/>
    <w:rsid w:val="008812BD"/>
    <w:rsid w:val="00881F72"/>
    <w:rsid w:val="00881F80"/>
    <w:rsid w:val="008823C7"/>
    <w:rsid w:val="0088405E"/>
    <w:rsid w:val="0088556A"/>
    <w:rsid w:val="00885FC6"/>
    <w:rsid w:val="00886449"/>
    <w:rsid w:val="00886B61"/>
    <w:rsid w:val="00886CF0"/>
    <w:rsid w:val="0088754B"/>
    <w:rsid w:val="00887819"/>
    <w:rsid w:val="00887AA5"/>
    <w:rsid w:val="0089018E"/>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D085C"/>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6600"/>
    <w:rsid w:val="009575BD"/>
    <w:rsid w:val="00957633"/>
    <w:rsid w:val="00957811"/>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16"/>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179"/>
    <w:rsid w:val="009A0F31"/>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30B3"/>
    <w:rsid w:val="009C43DC"/>
    <w:rsid w:val="009C43F3"/>
    <w:rsid w:val="009C45E4"/>
    <w:rsid w:val="009C4719"/>
    <w:rsid w:val="009C5F5D"/>
    <w:rsid w:val="009C78AF"/>
    <w:rsid w:val="009D0187"/>
    <w:rsid w:val="009D078B"/>
    <w:rsid w:val="009D0957"/>
    <w:rsid w:val="009D0F67"/>
    <w:rsid w:val="009D29B2"/>
    <w:rsid w:val="009D3199"/>
    <w:rsid w:val="009D33D3"/>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1798B"/>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427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92D"/>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86C"/>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2FC"/>
    <w:rsid w:val="00AD4A29"/>
    <w:rsid w:val="00AD563F"/>
    <w:rsid w:val="00AD63F4"/>
    <w:rsid w:val="00AD6854"/>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1F4D"/>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029"/>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3C6"/>
    <w:rsid w:val="00B70DF9"/>
    <w:rsid w:val="00B7103F"/>
    <w:rsid w:val="00B7122B"/>
    <w:rsid w:val="00B71511"/>
    <w:rsid w:val="00B71596"/>
    <w:rsid w:val="00B7159B"/>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1F3"/>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83"/>
    <w:rsid w:val="00BB399C"/>
    <w:rsid w:val="00BB4094"/>
    <w:rsid w:val="00BB444B"/>
    <w:rsid w:val="00BB45AE"/>
    <w:rsid w:val="00BB53D8"/>
    <w:rsid w:val="00BB5408"/>
    <w:rsid w:val="00BB56A6"/>
    <w:rsid w:val="00BB5807"/>
    <w:rsid w:val="00BB67F5"/>
    <w:rsid w:val="00BB6C3D"/>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D2D"/>
    <w:rsid w:val="00BD4EF0"/>
    <w:rsid w:val="00BD52F1"/>
    <w:rsid w:val="00BD540F"/>
    <w:rsid w:val="00BD56B0"/>
    <w:rsid w:val="00BD6005"/>
    <w:rsid w:val="00BD6129"/>
    <w:rsid w:val="00BD62D3"/>
    <w:rsid w:val="00BD6E69"/>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4B96"/>
    <w:rsid w:val="00C04D08"/>
    <w:rsid w:val="00C04E6D"/>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4D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756"/>
    <w:rsid w:val="00C459F0"/>
    <w:rsid w:val="00C45FD6"/>
    <w:rsid w:val="00C46288"/>
    <w:rsid w:val="00C466B7"/>
    <w:rsid w:val="00C46D03"/>
    <w:rsid w:val="00C4782E"/>
    <w:rsid w:val="00C479B5"/>
    <w:rsid w:val="00C503EB"/>
    <w:rsid w:val="00C50AE3"/>
    <w:rsid w:val="00C51476"/>
    <w:rsid w:val="00C51C99"/>
    <w:rsid w:val="00C5220A"/>
    <w:rsid w:val="00C52827"/>
    <w:rsid w:val="00C52C47"/>
    <w:rsid w:val="00C52CE8"/>
    <w:rsid w:val="00C532A0"/>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6D7C"/>
    <w:rsid w:val="00C67147"/>
    <w:rsid w:val="00C67154"/>
    <w:rsid w:val="00C67242"/>
    <w:rsid w:val="00C6792C"/>
    <w:rsid w:val="00C7025D"/>
    <w:rsid w:val="00C70B58"/>
    <w:rsid w:val="00C71C33"/>
    <w:rsid w:val="00C720C4"/>
    <w:rsid w:val="00C72590"/>
    <w:rsid w:val="00C727E9"/>
    <w:rsid w:val="00C72818"/>
    <w:rsid w:val="00C72ECB"/>
    <w:rsid w:val="00C73591"/>
    <w:rsid w:val="00C738E9"/>
    <w:rsid w:val="00C7403B"/>
    <w:rsid w:val="00C759E3"/>
    <w:rsid w:val="00C759FE"/>
    <w:rsid w:val="00C75C65"/>
    <w:rsid w:val="00C75DF3"/>
    <w:rsid w:val="00C75EE9"/>
    <w:rsid w:val="00C769BE"/>
    <w:rsid w:val="00C76AE3"/>
    <w:rsid w:val="00C76DC4"/>
    <w:rsid w:val="00C76FDC"/>
    <w:rsid w:val="00C7755D"/>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3D0D"/>
    <w:rsid w:val="00CC4494"/>
    <w:rsid w:val="00CC496B"/>
    <w:rsid w:val="00CD015C"/>
    <w:rsid w:val="00CD1ABF"/>
    <w:rsid w:val="00CD2A22"/>
    <w:rsid w:val="00CD32FD"/>
    <w:rsid w:val="00CD55A1"/>
    <w:rsid w:val="00CD68D6"/>
    <w:rsid w:val="00CD6AD8"/>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52F"/>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1"/>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A92"/>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4CC0"/>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73B1"/>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6F46"/>
    <w:rsid w:val="00E47496"/>
    <w:rsid w:val="00E5060A"/>
    <w:rsid w:val="00E5166D"/>
    <w:rsid w:val="00E516D2"/>
    <w:rsid w:val="00E51BFE"/>
    <w:rsid w:val="00E5208B"/>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BFA"/>
    <w:rsid w:val="00EF1FB3"/>
    <w:rsid w:val="00EF207A"/>
    <w:rsid w:val="00EF2480"/>
    <w:rsid w:val="00EF2572"/>
    <w:rsid w:val="00EF2979"/>
    <w:rsid w:val="00EF3173"/>
    <w:rsid w:val="00EF4398"/>
    <w:rsid w:val="00EF4436"/>
    <w:rsid w:val="00EF4DC8"/>
    <w:rsid w:val="00EF65A8"/>
    <w:rsid w:val="00EF7CC9"/>
    <w:rsid w:val="00F00B6E"/>
    <w:rsid w:val="00F00CE2"/>
    <w:rsid w:val="00F01191"/>
    <w:rsid w:val="00F03E58"/>
    <w:rsid w:val="00F03F59"/>
    <w:rsid w:val="00F042C9"/>
    <w:rsid w:val="00F04917"/>
    <w:rsid w:val="00F04C97"/>
    <w:rsid w:val="00F051F7"/>
    <w:rsid w:val="00F0568A"/>
    <w:rsid w:val="00F057C1"/>
    <w:rsid w:val="00F119A0"/>
    <w:rsid w:val="00F11A36"/>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F3D"/>
    <w:rsid w:val="00F32660"/>
    <w:rsid w:val="00F32ADB"/>
    <w:rsid w:val="00F32EE0"/>
    <w:rsid w:val="00F3306B"/>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C8"/>
    <w:rsid w:val="00F854A2"/>
    <w:rsid w:val="00F85A13"/>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9B6"/>
    <w:rsid w:val="00FB5F25"/>
    <w:rsid w:val="00FB772E"/>
    <w:rsid w:val="00FB778F"/>
    <w:rsid w:val="00FB782D"/>
    <w:rsid w:val="00FB7C1C"/>
    <w:rsid w:val="00FC03D1"/>
    <w:rsid w:val="00FC08B7"/>
    <w:rsid w:val="00FC0BEB"/>
    <w:rsid w:val="00FC1800"/>
    <w:rsid w:val="00FC1A35"/>
    <w:rsid w:val="00FC1F25"/>
    <w:rsid w:val="00FC2D20"/>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764"/>
    <w:rsid w:val="00FD6AE5"/>
    <w:rsid w:val="00FD6B41"/>
    <w:rsid w:val="00FD6D86"/>
    <w:rsid w:val="00FD72E0"/>
    <w:rsid w:val="00FD7442"/>
    <w:rsid w:val="00FD7C78"/>
    <w:rsid w:val="00FE03A5"/>
    <w:rsid w:val="00FE057E"/>
    <w:rsid w:val="00FE0FC1"/>
    <w:rsid w:val="00FE17B5"/>
    <w:rsid w:val="00FE2844"/>
    <w:rsid w:val="00FE289B"/>
    <w:rsid w:val="00FE398C"/>
    <w:rsid w:val="00FE3A52"/>
    <w:rsid w:val="00FE40BD"/>
    <w:rsid w:val="00FE46F2"/>
    <w:rsid w:val="00FE4BCB"/>
    <w:rsid w:val="00FE5563"/>
    <w:rsid w:val="00FE6FF8"/>
    <w:rsid w:val="00FE7133"/>
    <w:rsid w:val="00FE78EE"/>
    <w:rsid w:val="00FE7D72"/>
    <w:rsid w:val="00FE7E78"/>
    <w:rsid w:val="00FF057E"/>
    <w:rsid w:val="00FF0BE2"/>
    <w:rsid w:val="00FF0FB0"/>
    <w:rsid w:val="00FF0FFD"/>
    <w:rsid w:val="00FF1035"/>
    <w:rsid w:val="00FF1807"/>
    <w:rsid w:val="00FF20B4"/>
    <w:rsid w:val="00FF302D"/>
    <w:rsid w:val="00FF4974"/>
    <w:rsid w:val="00FF4DD6"/>
    <w:rsid w:val="00FF55BF"/>
    <w:rsid w:val="00FF6477"/>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44"/>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7F16F6"/>
    <w:rPr>
      <w:sz w:val="24"/>
      <w:szCs w:val="24"/>
    </w:rPr>
  </w:style>
  <w:style w:type="paragraph" w:styleId="BodyTextIndent2">
    <w:name w:val="Body Text Indent 2"/>
    <w:basedOn w:val="Normal"/>
    <w:link w:val="BodyTextIndent2Char"/>
    <w:semiHidden/>
    <w:unhideWhenUsed/>
    <w:rsid w:val="0029423F"/>
    <w:pPr>
      <w:spacing w:after="120" w:line="480" w:lineRule="auto"/>
      <w:ind w:left="360"/>
    </w:pPr>
  </w:style>
  <w:style w:type="character" w:customStyle="1" w:styleId="BodyTextIndent2Char">
    <w:name w:val="Body Text Indent 2 Char"/>
    <w:basedOn w:val="DefaultParagraphFont"/>
    <w:link w:val="BodyTextIndent2"/>
    <w:semiHidden/>
    <w:rsid w:val="0029423F"/>
    <w:rPr>
      <w:sz w:val="24"/>
      <w:szCs w:val="24"/>
    </w:rPr>
  </w:style>
  <w:style w:type="character" w:styleId="Strong">
    <w:name w:val="Strong"/>
    <w:basedOn w:val="DefaultParagraphFont"/>
    <w:uiPriority w:val="22"/>
    <w:qFormat/>
    <w:rsid w:val="00444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099763760">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382485351">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0550814">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362B7119-8A70-4C36-AFBA-1F09F954521E}">
  <ds:schemaRefs>
    <ds:schemaRef ds:uri="http://purl.org/dc/elements/1.1/"/>
    <ds:schemaRef ds:uri="6849b4e8-fea9-4ce9-997c-f062d09aa32e"/>
    <ds:schemaRef ds:uri="http://schemas.microsoft.com/office/2006/documentManagement/types"/>
    <ds:schemaRef ds:uri="http://purl.org/dc/dcmitype/"/>
    <ds:schemaRef ds:uri="http://purl.org/dc/terms/"/>
    <ds:schemaRef ds:uri="http://schemas.openxmlformats.org/package/2006/metadata/core-properties"/>
    <ds:schemaRef ds:uri="http://schemas.microsoft.com/sharepoint/v3"/>
    <ds:schemaRef ds:uri="http://schemas.microsoft.com/office/infopath/2007/PartnerControls"/>
    <ds:schemaRef ds:uri="7d306aaf-e2b9-48a2-b5f4-ab3d9b331bc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2C430-BBA0-4531-B8C9-DAEBF27A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2169</Words>
  <Characters>11855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2020-05-29T17:05:00Z</dcterms:created>
  <dcterms:modified xsi:type="dcterms:W3CDTF">2020-05-29T17:05:00Z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