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4B1D" w:rsidR="00D64B1D" w:rsidP="00D64B1D" w:rsidRDefault="00D64B1D">
      <w:pPr>
        <w:contextualSpacing/>
        <w:rPr>
          <w:rFonts w:ascii="Times New Roman" w:hAnsi="Times New Roman" w:cs="Times New Roman"/>
          <w:color w:val="3366FF"/>
          <w:sz w:val="18"/>
          <w:szCs w:val="18"/>
        </w:rPr>
      </w:pPr>
      <w:r w:rsidRPr="00D64B1D">
        <w:rPr>
          <w:rFonts w:ascii="Times New Roman" w:hAnsi="Times New Roman" w:cs="Times New Roman"/>
          <w:b/>
          <w:noProof/>
          <w:color w:val="3366FF"/>
          <w:sz w:val="20"/>
          <w:szCs w:val="20"/>
        </w:rPr>
        <w:drawing>
          <wp:anchor distT="0" distB="0" distL="114300" distR="114300" simplePos="0" relativeHeight="251659264" behindDoc="0" locked="0" layoutInCell="1" allowOverlap="1" wp14:editId="5DD55FAF" wp14:anchorId="41045248">
            <wp:simplePos x="0" y="0"/>
            <wp:positionH relativeFrom="column">
              <wp:posOffset>5469944</wp:posOffset>
            </wp:positionH>
            <wp:positionV relativeFrom="paragraph">
              <wp:posOffset>-220444</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ular_logo"/>
                    <pic:cNvPicPr>
                      <a:picLocks noChangeAspect="1" noChangeArrowheads="1"/>
                    </pic:cNvPicPr>
                  </pic:nvPicPr>
                  <pic:blipFill>
                    <a:blip r:embed="rId8" cstate="print"/>
                    <a:srcRect/>
                    <a:stretch>
                      <a:fillRect/>
                    </a:stretch>
                  </pic:blipFill>
                  <pic:spPr bwMode="auto">
                    <a:xfrm>
                      <a:off x="0" y="0"/>
                      <a:ext cx="800100" cy="687705"/>
                    </a:xfrm>
                    <a:prstGeom prst="rect">
                      <a:avLst/>
                    </a:prstGeom>
                    <a:noFill/>
                    <a:ln w="9525">
                      <a:noFill/>
                      <a:miter lim="800000"/>
                      <a:headEnd/>
                      <a:tailEnd/>
                    </a:ln>
                  </pic:spPr>
                </pic:pic>
              </a:graphicData>
            </a:graphic>
          </wp:anchor>
        </w:drawing>
      </w:r>
      <w:r w:rsidRPr="00D64B1D">
        <w:rPr>
          <w:rFonts w:ascii="Times New Roman" w:hAnsi="Times New Roman" w:cs="Times New Roman"/>
          <w:b/>
          <w:color w:val="3366FF"/>
          <w:sz w:val="20"/>
          <w:szCs w:val="20"/>
        </w:rPr>
        <w:t xml:space="preserve">U.S. Department of Labor   </w:t>
      </w:r>
      <w:r w:rsidRPr="00D64B1D">
        <w:rPr>
          <w:rFonts w:ascii="Times New Roman" w:hAnsi="Times New Roman" w:cs="Times New Roman"/>
          <w:color w:val="3366FF"/>
          <w:sz w:val="20"/>
          <w:szCs w:val="20"/>
        </w:rPr>
        <w:t xml:space="preserve">  </w:t>
      </w:r>
      <w:r w:rsidRPr="00D64B1D">
        <w:rPr>
          <w:rFonts w:ascii="Times New Roman" w:hAnsi="Times New Roman" w:cs="Times New Roman"/>
          <w:color w:val="3366FF"/>
          <w:sz w:val="20"/>
          <w:szCs w:val="20"/>
        </w:rPr>
        <w:tab/>
      </w:r>
      <w:r w:rsidRPr="00D64B1D">
        <w:rPr>
          <w:rFonts w:ascii="Times New Roman" w:hAnsi="Times New Roman" w:cs="Times New Roman"/>
          <w:color w:val="3366FF"/>
          <w:sz w:val="20"/>
          <w:szCs w:val="20"/>
        </w:rPr>
        <w:tab/>
      </w:r>
      <w:r w:rsidRPr="00D64B1D">
        <w:rPr>
          <w:rFonts w:ascii="Times New Roman" w:hAnsi="Times New Roman" w:cs="Times New Roman"/>
          <w:color w:val="3366FF"/>
          <w:sz w:val="18"/>
          <w:szCs w:val="18"/>
        </w:rPr>
        <w:tab/>
        <w:t>Bureau of Labor Statistics</w:t>
      </w:r>
      <w:r w:rsidRPr="00D64B1D">
        <w:rPr>
          <w:rFonts w:ascii="Times New Roman" w:hAnsi="Times New Roman" w:cs="Times New Roman"/>
          <w:color w:val="3366FF"/>
          <w:sz w:val="18"/>
          <w:szCs w:val="18"/>
        </w:rPr>
        <w:tab/>
      </w:r>
      <w:r w:rsidRPr="00D64B1D">
        <w:rPr>
          <w:rFonts w:ascii="Times New Roman" w:hAnsi="Times New Roman" w:cs="Times New Roman"/>
          <w:color w:val="3366FF"/>
          <w:sz w:val="18"/>
          <w:szCs w:val="18"/>
        </w:rPr>
        <w:tab/>
      </w:r>
      <w:r w:rsidRPr="00D64B1D">
        <w:rPr>
          <w:rFonts w:ascii="Times New Roman" w:hAnsi="Times New Roman" w:cs="Times New Roman"/>
          <w:color w:val="3366FF"/>
          <w:sz w:val="18"/>
          <w:szCs w:val="18"/>
        </w:rPr>
        <w:tab/>
      </w:r>
    </w:p>
    <w:p w:rsidRPr="00D64B1D" w:rsidR="00D64B1D" w:rsidP="00D64B1D" w:rsidRDefault="00D64B1D">
      <w:pPr>
        <w:ind w:left="3240" w:firstLine="1080"/>
        <w:contextualSpacing/>
        <w:rPr>
          <w:rFonts w:ascii="Times New Roman" w:hAnsi="Times New Roman" w:cs="Times New Roman"/>
          <w:color w:val="3366FF"/>
          <w:sz w:val="18"/>
          <w:szCs w:val="18"/>
        </w:rPr>
      </w:pPr>
      <w:r w:rsidRPr="00D64B1D">
        <w:rPr>
          <w:rFonts w:ascii="Times New Roman" w:hAnsi="Times New Roman" w:cs="Times New Roman"/>
          <w:color w:val="3366FF"/>
          <w:sz w:val="18"/>
          <w:szCs w:val="18"/>
        </w:rPr>
        <w:t>2 Massachusetts Ave. N.E.</w:t>
      </w:r>
    </w:p>
    <w:p w:rsidRPr="00D64B1D" w:rsidR="00D64B1D" w:rsidP="00D64B1D" w:rsidRDefault="00D64B1D">
      <w:pPr>
        <w:ind w:left="3240" w:firstLine="1080"/>
        <w:contextualSpacing/>
        <w:rPr>
          <w:rFonts w:ascii="Times New Roman" w:hAnsi="Times New Roman" w:cs="Times New Roman"/>
          <w:color w:val="3366FF"/>
        </w:rPr>
      </w:pPr>
      <w:r w:rsidRPr="00D64B1D">
        <w:rPr>
          <w:rFonts w:ascii="Times New Roman" w:hAnsi="Times New Roman" w:cs="Times New Roman"/>
          <w:color w:val="3366FF"/>
          <w:sz w:val="18"/>
          <w:szCs w:val="18"/>
        </w:rPr>
        <w:t xml:space="preserve">Washington, </w:t>
      </w:r>
      <w:smartTag w:uri="urn:schemas-microsoft-com:office:smarttags" w:element="State">
        <w:smartTag w:uri="urn:schemas-microsoft-com:office:smarttags" w:element="PlaceName">
          <w:r w:rsidRPr="00D64B1D">
            <w:rPr>
              <w:rFonts w:ascii="Times New Roman" w:hAnsi="Times New Roman" w:cs="Times New Roman"/>
              <w:color w:val="3366FF"/>
              <w:sz w:val="18"/>
              <w:szCs w:val="18"/>
            </w:rPr>
            <w:t>D.C.</w:t>
          </w:r>
        </w:smartTag>
      </w:smartTag>
      <w:r w:rsidRPr="00D64B1D">
        <w:rPr>
          <w:rFonts w:ascii="Times New Roman" w:hAnsi="Times New Roman" w:cs="Times New Roman"/>
          <w:color w:val="3366FF"/>
          <w:sz w:val="18"/>
          <w:szCs w:val="18"/>
        </w:rPr>
        <w:t xml:space="preserve"> 20212</w:t>
      </w:r>
    </w:p>
    <w:p w:rsidRPr="00D64B1D" w:rsidR="00D64B1D" w:rsidP="00D64B1D" w:rsidRDefault="00D64B1D">
      <w:pPr>
        <w:contextualSpacing/>
        <w:rPr>
          <w:rFonts w:ascii="Times New Roman" w:hAnsi="Times New Roman" w:cs="Times New Roman"/>
          <w:sz w:val="20"/>
          <w:szCs w:val="20"/>
        </w:rPr>
      </w:pPr>
    </w:p>
    <w:p w:rsidR="009C545E" w:rsidP="00D64B1D" w:rsidRDefault="009C545E">
      <w:pPr>
        <w:spacing w:after="0" w:line="240" w:lineRule="auto"/>
        <w:contextualSpacing/>
        <w:mirrorIndents/>
        <w:rPr>
          <w:rFonts w:ascii="Times New Roman" w:hAnsi="Times New Roman" w:cs="Times New Roman"/>
        </w:rPr>
      </w:pPr>
    </w:p>
    <w:p w:rsidRPr="00D64B1D" w:rsidR="00BD703D" w:rsidP="00BD703D" w:rsidRDefault="004E69DF">
      <w:pPr>
        <w:spacing w:after="0" w:line="240" w:lineRule="auto"/>
        <w:contextualSpacing/>
        <w:mirrorIndents/>
        <w:rPr>
          <w:rFonts w:ascii="Times New Roman" w:hAnsi="Times New Roman" w:cs="Times New Roman"/>
        </w:rPr>
      </w:pPr>
      <w:r>
        <w:rPr>
          <w:rFonts w:ascii="Times New Roman" w:hAnsi="Times New Roman" w:cs="Times New Roman"/>
        </w:rPr>
        <w:t>May 25, 2018</w:t>
      </w:r>
    </w:p>
    <w:p w:rsidRPr="00D64B1D" w:rsidR="00D64B1D" w:rsidP="00D64B1D" w:rsidRDefault="00D64B1D">
      <w:pPr>
        <w:spacing w:after="0" w:line="240" w:lineRule="auto"/>
        <w:contextualSpacing/>
        <w:mirrorIndents/>
        <w:rPr>
          <w:rFonts w:ascii="Times New Roman" w:hAnsi="Times New Roman" w:cs="Times New Roman"/>
        </w:rPr>
      </w:pP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MEMORANDUM FOR:</w:t>
      </w:r>
      <w:r w:rsidRPr="00D64B1D">
        <w:rPr>
          <w:rFonts w:ascii="Times New Roman" w:hAnsi="Times New Roman" w:cs="Times New Roman"/>
        </w:rPr>
        <w:tab/>
        <w:t>David Swanson, Branch Chief</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Branch of Consumer Expenditure Survey</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Price Statistical Methods Division</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Office of Prices and Living Conditions</w:t>
      </w:r>
    </w:p>
    <w:p w:rsidRPr="00D64B1D" w:rsidR="00D64B1D" w:rsidP="00D64B1D" w:rsidRDefault="00D64B1D">
      <w:pPr>
        <w:spacing w:after="0" w:line="240" w:lineRule="auto"/>
        <w:contextualSpacing/>
        <w:mirrorIndents/>
        <w:rPr>
          <w:rFonts w:ascii="Times New Roman" w:hAnsi="Times New Roman" w:cs="Times New Roman"/>
        </w:rPr>
      </w:pP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MEMORANDUM FROM:</w:t>
      </w:r>
      <w:r w:rsidRPr="00D64B1D">
        <w:rPr>
          <w:rFonts w:ascii="Times New Roman" w:hAnsi="Times New Roman" w:cs="Times New Roman"/>
        </w:rPr>
        <w:tab/>
        <w:t xml:space="preserve">Brian Nix, Mathematical </w:t>
      </w:r>
      <w:r w:rsidRPr="00D64B1D" w:rsidR="00AE323D">
        <w:rPr>
          <w:rFonts w:ascii="Times New Roman" w:hAnsi="Times New Roman" w:cs="Times New Roman"/>
        </w:rPr>
        <w:t>Statistician</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Branch of Consumer Expenditure Survey</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Price Statistical Methods Division</w:t>
      </w: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Office of Prices and Living Conditions</w:t>
      </w:r>
    </w:p>
    <w:p w:rsidRPr="00D64B1D" w:rsidR="00D64B1D" w:rsidP="00D64B1D" w:rsidRDefault="00D64B1D">
      <w:pPr>
        <w:spacing w:after="0" w:line="240" w:lineRule="auto"/>
        <w:contextualSpacing/>
        <w:mirrorIndents/>
        <w:rPr>
          <w:rFonts w:ascii="Times New Roman" w:hAnsi="Times New Roman" w:cs="Times New Roman"/>
        </w:rPr>
      </w:pPr>
    </w:p>
    <w:p w:rsidRPr="00D64B1D" w:rsidR="00D64B1D" w:rsidP="00D64B1D" w:rsidRDefault="00D64B1D">
      <w:pPr>
        <w:spacing w:after="0" w:line="240" w:lineRule="auto"/>
        <w:contextualSpacing/>
        <w:mirrorIndents/>
        <w:rPr>
          <w:rFonts w:ascii="Times New Roman" w:hAnsi="Times New Roman" w:cs="Times New Roman"/>
        </w:rPr>
      </w:pPr>
      <w:r w:rsidRPr="00D64B1D">
        <w:rPr>
          <w:rFonts w:ascii="Times New Roman" w:hAnsi="Times New Roman" w:cs="Times New Roman"/>
        </w:rPr>
        <w:t>SUBJECT:</w:t>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Pr>
          <w:rFonts w:ascii="Times New Roman" w:hAnsi="Times New Roman" w:cs="Times New Roman"/>
        </w:rPr>
        <w:t>Differences in Response Rates in the Consumer Expenditure Survey</w:t>
      </w:r>
    </w:p>
    <w:p w:rsidR="00D64B1D" w:rsidP="00D64B1D" w:rsidRDefault="00D64B1D">
      <w:pPr>
        <w:spacing w:after="0" w:line="240" w:lineRule="auto"/>
        <w:contextualSpacing/>
        <w:mirrorIndents/>
        <w:rPr>
          <w:rFonts w:ascii="Times New Roman" w:hAnsi="Times New Roman" w:cs="Times New Roman"/>
        </w:rPr>
      </w:pPr>
    </w:p>
    <w:p w:rsidR="009C545E" w:rsidP="00D64B1D" w:rsidRDefault="009C545E">
      <w:pPr>
        <w:spacing w:after="0" w:line="240" w:lineRule="auto"/>
        <w:contextualSpacing/>
        <w:mirrorIndents/>
        <w:rPr>
          <w:rFonts w:ascii="Times New Roman" w:hAnsi="Times New Roman" w:cs="Times New Roman"/>
        </w:rPr>
      </w:pPr>
    </w:p>
    <w:p w:rsidR="00D64B1D" w:rsidP="00D64B1D" w:rsidRDefault="00D64B1D">
      <w:pPr>
        <w:spacing w:after="0" w:line="240" w:lineRule="auto"/>
        <w:contextualSpacing/>
        <w:mirrorIndents/>
        <w:jc w:val="both"/>
        <w:rPr>
          <w:rFonts w:ascii="Times New Roman" w:hAnsi="Times New Roman" w:cs="Times New Roman"/>
          <w:b/>
        </w:rPr>
      </w:pPr>
      <w:r w:rsidRPr="00D64B1D">
        <w:rPr>
          <w:rFonts w:ascii="Times New Roman" w:hAnsi="Times New Roman" w:cs="Times New Roman"/>
          <w:b/>
        </w:rPr>
        <w:t>1. Introduction</w:t>
      </w:r>
    </w:p>
    <w:p w:rsidR="009C545E" w:rsidP="00D64B1D" w:rsidRDefault="009C545E">
      <w:pPr>
        <w:tabs>
          <w:tab w:val="left" w:pos="720"/>
          <w:tab w:val="left" w:pos="1620"/>
        </w:tabs>
        <w:spacing w:after="0" w:line="240" w:lineRule="auto"/>
        <w:contextualSpacing/>
        <w:mirrorIndents/>
        <w:jc w:val="both"/>
        <w:rPr>
          <w:rFonts w:ascii="Times New Roman" w:hAnsi="Times New Roman" w:cs="Times New Roman"/>
        </w:rPr>
      </w:pPr>
    </w:p>
    <w:p w:rsidR="005827A9" w:rsidP="00D64B1D" w:rsidRDefault="005827A9">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This memo documents the codes and formulae used to calculate the response rates in the Consumer Expenditure Survey (CE). It updates a similar memo written by Sally Reyes-Morales in 2011 showing </w:t>
      </w:r>
      <w:r w:rsidR="00AA673C">
        <w:rPr>
          <w:rFonts w:ascii="Times New Roman" w:hAnsi="Times New Roman" w:cs="Times New Roman"/>
        </w:rPr>
        <w:t>more recent data</w:t>
      </w:r>
      <w:r>
        <w:rPr>
          <w:rFonts w:ascii="Times New Roman" w:hAnsi="Times New Roman" w:cs="Times New Roman"/>
        </w:rPr>
        <w:t xml:space="preserve"> as well as changes made in the processing of response rate codes in the intervening years.</w:t>
      </w:r>
    </w:p>
    <w:p w:rsidR="005827A9" w:rsidP="00D64B1D" w:rsidRDefault="005827A9">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The </w:t>
      </w:r>
      <w:r w:rsidR="005827A9">
        <w:rPr>
          <w:rFonts w:ascii="Times New Roman" w:hAnsi="Times New Roman" w:cs="Times New Roman"/>
        </w:rPr>
        <w:t>CE</w:t>
      </w:r>
      <w:r w:rsidRPr="006F7B3F">
        <w:rPr>
          <w:rFonts w:ascii="Times New Roman" w:hAnsi="Times New Roman" w:cs="Times New Roman"/>
        </w:rPr>
        <w:t xml:space="preserve"> consists of two separate </w:t>
      </w:r>
      <w:r w:rsidR="009A35A3">
        <w:rPr>
          <w:rFonts w:ascii="Times New Roman" w:hAnsi="Times New Roman" w:cs="Times New Roman"/>
        </w:rPr>
        <w:t>surveys</w:t>
      </w:r>
      <w:r w:rsidRPr="006F7B3F">
        <w:rPr>
          <w:rFonts w:ascii="Times New Roman" w:hAnsi="Times New Roman" w:cs="Times New Roman"/>
        </w:rPr>
        <w:t xml:space="preserve">, a quarterly Interview </w:t>
      </w:r>
      <w:r w:rsidR="00BF58D7">
        <w:rPr>
          <w:rFonts w:ascii="Times New Roman" w:hAnsi="Times New Roman" w:cs="Times New Roman"/>
        </w:rPr>
        <w:t>s</w:t>
      </w:r>
      <w:r w:rsidRPr="006F7B3F">
        <w:rPr>
          <w:rFonts w:ascii="Times New Roman" w:hAnsi="Times New Roman" w:cs="Times New Roman"/>
        </w:rPr>
        <w:t xml:space="preserve">urvey (CEQ) and a two-week Diary </w:t>
      </w:r>
      <w:r w:rsidR="00BF58D7">
        <w:rPr>
          <w:rFonts w:ascii="Times New Roman" w:hAnsi="Times New Roman" w:cs="Times New Roman"/>
        </w:rPr>
        <w:t>s</w:t>
      </w:r>
      <w:r w:rsidRPr="006F7B3F">
        <w:rPr>
          <w:rFonts w:ascii="Times New Roman" w:hAnsi="Times New Roman" w:cs="Times New Roman"/>
        </w:rPr>
        <w:t>urvey (CED).</w:t>
      </w:r>
      <w:r w:rsidR="00FF100A">
        <w:rPr>
          <w:rFonts w:ascii="Times New Roman" w:hAnsi="Times New Roman" w:cs="Times New Roman"/>
        </w:rPr>
        <w:t xml:space="preserve"> Response rates are computed separately for each survey, because e</w:t>
      </w:r>
      <w:r w:rsidRPr="006F7B3F">
        <w:rPr>
          <w:rFonts w:ascii="Times New Roman" w:hAnsi="Times New Roman" w:cs="Times New Roman"/>
        </w:rPr>
        <w:t xml:space="preserve">ach </w:t>
      </w:r>
      <w:r w:rsidR="00BF58D7">
        <w:rPr>
          <w:rFonts w:ascii="Times New Roman" w:hAnsi="Times New Roman" w:cs="Times New Roman"/>
        </w:rPr>
        <w:t>survey</w:t>
      </w:r>
      <w:r w:rsidRPr="006F7B3F">
        <w:rPr>
          <w:rFonts w:ascii="Times New Roman" w:hAnsi="Times New Roman" w:cs="Times New Roman"/>
        </w:rPr>
        <w:t xml:space="preserve"> has its own questionnaire and </w:t>
      </w:r>
      <w:r w:rsidR="00BF58D7">
        <w:rPr>
          <w:rFonts w:ascii="Times New Roman" w:hAnsi="Times New Roman" w:cs="Times New Roman"/>
        </w:rPr>
        <w:t>its own</w:t>
      </w:r>
      <w:r w:rsidRPr="006F7B3F">
        <w:rPr>
          <w:rFonts w:ascii="Times New Roman" w:hAnsi="Times New Roman" w:cs="Times New Roman"/>
        </w:rPr>
        <w:t xml:space="preserve"> sample of households</w:t>
      </w:r>
      <w:r w:rsidR="00FF100A">
        <w:rPr>
          <w:rFonts w:ascii="Times New Roman" w:hAnsi="Times New Roman" w:cs="Times New Roman"/>
        </w:rPr>
        <w:t>.</w:t>
      </w:r>
      <w:r w:rsidR="00BF58D7">
        <w:rPr>
          <w:rStyle w:val="FootnoteReference"/>
          <w:rFonts w:ascii="Times New Roman" w:hAnsi="Times New Roman" w:cs="Times New Roman"/>
        </w:rPr>
        <w:footnoteReference w:id="1"/>
      </w:r>
      <w:r w:rsidR="009667C5">
        <w:rPr>
          <w:rFonts w:ascii="Times New Roman" w:hAnsi="Times New Roman" w:cs="Times New Roman"/>
        </w:rPr>
        <w:t xml:space="preserve"> T</w:t>
      </w:r>
      <w:r w:rsidRPr="006F7B3F">
        <w:rPr>
          <w:rFonts w:ascii="Times New Roman" w:hAnsi="Times New Roman" w:cs="Times New Roman"/>
        </w:rPr>
        <w:t>he CEQ and CED are collected and processed separately</w:t>
      </w:r>
      <w:r w:rsidR="009667C5">
        <w:rPr>
          <w:rFonts w:ascii="Times New Roman" w:hAnsi="Times New Roman" w:cs="Times New Roman"/>
        </w:rPr>
        <w:t>, d</w:t>
      </w:r>
      <w:r w:rsidRPr="006F7B3F" w:rsidR="009667C5">
        <w:rPr>
          <w:rFonts w:ascii="Times New Roman" w:hAnsi="Times New Roman" w:cs="Times New Roman"/>
        </w:rPr>
        <w:t>ue to the differences in format and design</w:t>
      </w:r>
      <w:r w:rsidR="009667C5">
        <w:rPr>
          <w:rFonts w:ascii="Times New Roman" w:hAnsi="Times New Roman" w:cs="Times New Roman"/>
        </w:rPr>
        <w:t xml:space="preserve">. </w:t>
      </w:r>
      <w:r w:rsidRPr="006F7B3F">
        <w:rPr>
          <w:rFonts w:ascii="Times New Roman" w:hAnsi="Times New Roman" w:cs="Times New Roman"/>
        </w:rPr>
        <w:t>The United States Census Bureau (Census)</w:t>
      </w:r>
      <w:r w:rsidR="002D2AE0">
        <w:rPr>
          <w:rFonts w:ascii="Times New Roman" w:hAnsi="Times New Roman" w:cs="Times New Roman"/>
        </w:rPr>
        <w:t xml:space="preserve"> </w:t>
      </w:r>
      <w:r w:rsidRPr="006F7B3F">
        <w:rPr>
          <w:rFonts w:ascii="Times New Roman" w:hAnsi="Times New Roman" w:cs="Times New Roman"/>
        </w:rPr>
        <w:t>carries out data collection for both surveys</w:t>
      </w:r>
      <w:r w:rsidR="002D2AE0">
        <w:rPr>
          <w:rFonts w:ascii="Times New Roman" w:hAnsi="Times New Roman" w:cs="Times New Roman"/>
        </w:rPr>
        <w:t xml:space="preserve"> </w:t>
      </w:r>
      <w:r w:rsidRPr="006F7B3F" w:rsidR="002D2AE0">
        <w:rPr>
          <w:rFonts w:ascii="Times New Roman" w:hAnsi="Times New Roman" w:cs="Times New Roman"/>
        </w:rPr>
        <w:t>under contract with the Bureau of Labor Statistics (BLS)</w:t>
      </w:r>
      <w:r w:rsidRPr="006F7B3F">
        <w:rPr>
          <w:rFonts w:ascii="Times New Roman" w:hAnsi="Times New Roman" w:cs="Times New Roman"/>
        </w:rPr>
        <w:t>.</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0F5D94"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Response rates are calculated for both surveys at different stages of data processing by Census and </w:t>
      </w:r>
      <w:r w:rsidR="00C116B1">
        <w:rPr>
          <w:rFonts w:ascii="Times New Roman" w:hAnsi="Times New Roman" w:cs="Times New Roman"/>
        </w:rPr>
        <w:t>BLS</w:t>
      </w:r>
      <w:r w:rsidRPr="006F7B3F">
        <w:rPr>
          <w:rFonts w:ascii="Times New Roman" w:hAnsi="Times New Roman" w:cs="Times New Roman"/>
        </w:rPr>
        <w:t xml:space="preserve">. Differences between these response rates are the result of changes made during data processing at both agencies, and </w:t>
      </w:r>
      <w:r w:rsidR="000F5D94">
        <w:rPr>
          <w:rFonts w:ascii="Times New Roman" w:hAnsi="Times New Roman" w:cs="Times New Roman"/>
        </w:rPr>
        <w:t xml:space="preserve">also </w:t>
      </w:r>
      <w:r w:rsidRPr="006F7B3F">
        <w:rPr>
          <w:rFonts w:ascii="Times New Roman" w:hAnsi="Times New Roman" w:cs="Times New Roman"/>
        </w:rPr>
        <w:t xml:space="preserve">differences in the ways interviews and </w:t>
      </w:r>
      <w:r w:rsidR="002F2D56">
        <w:rPr>
          <w:rFonts w:ascii="Times New Roman" w:hAnsi="Times New Roman" w:cs="Times New Roman"/>
        </w:rPr>
        <w:t>noninterview</w:t>
      </w:r>
      <w:r w:rsidRPr="006F7B3F">
        <w:rPr>
          <w:rFonts w:ascii="Times New Roman" w:hAnsi="Times New Roman" w:cs="Times New Roman"/>
        </w:rPr>
        <w:t>s are defined</w:t>
      </w:r>
      <w:r w:rsidR="000F5D94">
        <w:rPr>
          <w:rFonts w:ascii="Times New Roman" w:hAnsi="Times New Roman" w:cs="Times New Roman"/>
        </w:rPr>
        <w:t xml:space="preserve"> at the two agencies. Response rates are calculated by two groups at Census (the Field Division, and the Demo</w:t>
      </w:r>
      <w:r w:rsidRPr="006F7B3F">
        <w:rPr>
          <w:rFonts w:ascii="Times New Roman" w:hAnsi="Times New Roman" w:cs="Times New Roman"/>
        </w:rPr>
        <w:t>graphic Statistical Methods Division</w:t>
      </w:r>
      <w:r w:rsidR="000F5D94">
        <w:rPr>
          <w:rFonts w:ascii="Times New Roman" w:hAnsi="Times New Roman" w:cs="Times New Roman"/>
        </w:rPr>
        <w:t xml:space="preserve">, or </w:t>
      </w:r>
      <w:r w:rsidRPr="006F7B3F">
        <w:rPr>
          <w:rFonts w:ascii="Times New Roman" w:hAnsi="Times New Roman" w:cs="Times New Roman"/>
        </w:rPr>
        <w:t>DSMD)</w:t>
      </w:r>
      <w:r w:rsidR="005D0A83">
        <w:rPr>
          <w:rStyle w:val="FootnoteReference"/>
          <w:rFonts w:ascii="Times New Roman" w:hAnsi="Times New Roman" w:cs="Times New Roman"/>
        </w:rPr>
        <w:footnoteReference w:id="2"/>
      </w:r>
      <w:r w:rsidR="000F5D94">
        <w:rPr>
          <w:rFonts w:ascii="Times New Roman" w:hAnsi="Times New Roman" w:cs="Times New Roman"/>
        </w:rPr>
        <w:t>,</w:t>
      </w:r>
      <w:r w:rsidRPr="006F7B3F">
        <w:rPr>
          <w:rFonts w:ascii="Times New Roman" w:hAnsi="Times New Roman" w:cs="Times New Roman"/>
        </w:rPr>
        <w:t xml:space="preserve"> a</w:t>
      </w:r>
      <w:r w:rsidR="000F5D94">
        <w:rPr>
          <w:rFonts w:ascii="Times New Roman" w:hAnsi="Times New Roman" w:cs="Times New Roman"/>
        </w:rPr>
        <w:t>nd by one group at</w:t>
      </w:r>
      <w:r w:rsidRPr="006F7B3F">
        <w:rPr>
          <w:rFonts w:ascii="Times New Roman" w:hAnsi="Times New Roman" w:cs="Times New Roman"/>
        </w:rPr>
        <w:t xml:space="preserve"> BLS</w:t>
      </w:r>
      <w:r w:rsidR="000F5D94">
        <w:rPr>
          <w:rFonts w:ascii="Times New Roman" w:hAnsi="Times New Roman" w:cs="Times New Roman"/>
        </w:rPr>
        <w:t xml:space="preserve"> (the Statistical Methods Division</w:t>
      </w:r>
      <w:r w:rsidR="00384E15">
        <w:rPr>
          <w:rFonts w:ascii="Times New Roman" w:hAnsi="Times New Roman" w:cs="Times New Roman"/>
        </w:rPr>
        <w:t>, or CESMD</w:t>
      </w:r>
      <w:r w:rsidR="000F5D94">
        <w:rPr>
          <w:rFonts w:ascii="Times New Roman" w:hAnsi="Times New Roman" w:cs="Times New Roman"/>
        </w:rPr>
        <w:t>), hence response rates are calculated by three groups for two surveys</w:t>
      </w:r>
      <w:r w:rsidRPr="006F7B3F">
        <w:rPr>
          <w:rFonts w:ascii="Times New Roman" w:hAnsi="Times New Roman" w:cs="Times New Roman"/>
        </w:rPr>
        <w:t>.</w:t>
      </w:r>
      <w:r w:rsidR="00BF58D7">
        <w:rPr>
          <w:rFonts w:ascii="Times New Roman" w:hAnsi="Times New Roman" w:cs="Times New Roman"/>
        </w:rPr>
        <w:t xml:space="preserve"> This makes six response rates – three response rates for the Interview survey, and three response rates for the Diary survey.</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BF58D7">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w:t>
      </w:r>
      <w:r w:rsidRPr="006F7B3F" w:rsidR="00D64B1D">
        <w:rPr>
          <w:rFonts w:ascii="Times New Roman" w:hAnsi="Times New Roman" w:cs="Times New Roman"/>
        </w:rPr>
        <w:t>he same formula is used</w:t>
      </w:r>
      <w:r>
        <w:rPr>
          <w:rFonts w:ascii="Times New Roman" w:hAnsi="Times New Roman" w:cs="Times New Roman"/>
        </w:rPr>
        <w:t xml:space="preserve"> for all six response rate computations</w:t>
      </w:r>
      <w:r w:rsidRPr="006F7B3F" w:rsidR="00D64B1D">
        <w:rPr>
          <w:rFonts w:ascii="Times New Roman" w:hAnsi="Times New Roman" w:cs="Times New Roman"/>
        </w:rPr>
        <w:t>:</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m:oMathPara>
        <m:oMath>
          <m:r>
            <w:rPr>
              <w:rFonts w:ascii="Cambria Math" w:hAnsi="Cambria Math" w:cs="Times New Roman"/>
            </w:rPr>
            <m:t>Response Rate=</m:t>
          </m:r>
          <m:f>
            <m:fPr>
              <m:ctrlPr>
                <w:rPr>
                  <w:rFonts w:ascii="Cambria Math" w:hAnsi="Cambria Math" w:cs="Times New Roman"/>
                  <w:i/>
                </w:rPr>
              </m:ctrlPr>
            </m:fPr>
            <m:num>
              <m:r>
                <w:rPr>
                  <w:rFonts w:ascii="Cambria Math" w:hAnsi="Cambria Math" w:cs="Times New Roman"/>
                </w:rPr>
                <m:t># Completed Interviews</m:t>
              </m:r>
            </m:num>
            <m:den>
              <m:r>
                <w:rPr>
                  <w:rFonts w:ascii="Cambria Math" w:hAnsi="Cambria Math" w:cs="Times New Roman"/>
                </w:rPr>
                <m:t># Eligible Cases</m:t>
              </m:r>
            </m:den>
          </m:f>
          <m:r>
            <w:rPr>
              <w:rFonts w:ascii="Cambria Math" w:hAnsi="Cambria Math" w:cs="Times New Roman"/>
            </w:rPr>
            <m:t>×100%</m:t>
          </m:r>
        </m:oMath>
      </m:oMathPara>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006B0171"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lastRenderedPageBreak/>
        <w:t xml:space="preserve">where </w:t>
      </w:r>
      <w:r w:rsidR="006B0171">
        <w:rPr>
          <w:rFonts w:ascii="Times New Roman" w:hAnsi="Times New Roman" w:cs="Times New Roman"/>
        </w:rPr>
        <w:t xml:space="preserve">the denominator is the number of “eligible” housing units in the sample, and the numerator is the number of eligible housing units that completed an interview. The basic concept is straightforward, but the three offices </w:t>
      </w:r>
      <w:r w:rsidR="009105A0">
        <w:rPr>
          <w:rFonts w:ascii="Times New Roman" w:hAnsi="Times New Roman" w:cs="Times New Roman"/>
        </w:rPr>
        <w:t>have different</w:t>
      </w:r>
      <w:r w:rsidR="006B0171">
        <w:rPr>
          <w:rFonts w:ascii="Times New Roman" w:hAnsi="Times New Roman" w:cs="Times New Roman"/>
        </w:rPr>
        <w:t xml:space="preserve"> definitions of “eligible” housing </w:t>
      </w:r>
      <w:r w:rsidR="00ED6275">
        <w:rPr>
          <w:rFonts w:ascii="Times New Roman" w:hAnsi="Times New Roman" w:cs="Times New Roman"/>
        </w:rPr>
        <w:t>units and “completed interviews,</w:t>
      </w:r>
      <w:r w:rsidR="006B0171">
        <w:rPr>
          <w:rFonts w:ascii="Times New Roman" w:hAnsi="Times New Roman" w:cs="Times New Roman"/>
        </w:rPr>
        <w:t>”</w:t>
      </w:r>
      <w:r w:rsidR="00ED6275">
        <w:rPr>
          <w:rFonts w:ascii="Times New Roman" w:hAnsi="Times New Roman" w:cs="Times New Roman"/>
        </w:rPr>
        <w:t xml:space="preserve"> which cause their response rates to be different.</w:t>
      </w:r>
      <w:r w:rsidR="006B0171">
        <w:rPr>
          <w:rStyle w:val="FootnoteReference"/>
          <w:rFonts w:ascii="Times New Roman" w:hAnsi="Times New Roman" w:cs="Times New Roman"/>
        </w:rPr>
        <w:footnoteReference w:id="3"/>
      </w:r>
    </w:p>
    <w:p w:rsidR="00E723C4" w:rsidP="00D16C88" w:rsidRDefault="00E723C4">
      <w:pPr>
        <w:tabs>
          <w:tab w:val="left" w:pos="720"/>
          <w:tab w:val="left" w:pos="1620"/>
        </w:tabs>
        <w:spacing w:after="0" w:line="240" w:lineRule="auto"/>
        <w:contextualSpacing/>
        <w:mirrorIndents/>
        <w:rPr>
          <w:rFonts w:ascii="Times New Roman" w:hAnsi="Times New Roman" w:cs="Times New Roman"/>
          <w:b/>
        </w:rPr>
      </w:pPr>
    </w:p>
    <w:p w:rsidR="00D16C88" w:rsidP="00D16C88" w:rsidRDefault="00D64B1D">
      <w:pPr>
        <w:tabs>
          <w:tab w:val="left" w:pos="720"/>
          <w:tab w:val="left" w:pos="1620"/>
        </w:tabs>
        <w:spacing w:after="0" w:line="240" w:lineRule="auto"/>
        <w:contextualSpacing/>
        <w:mirrorIndents/>
        <w:rPr>
          <w:rFonts w:ascii="Times New Roman" w:hAnsi="Times New Roman" w:cs="Times New Roman"/>
          <w:b/>
        </w:rPr>
      </w:pPr>
      <w:r w:rsidRPr="006F7B3F">
        <w:rPr>
          <w:rFonts w:ascii="Times New Roman" w:hAnsi="Times New Roman" w:cs="Times New Roman"/>
          <w:b/>
        </w:rPr>
        <w:t xml:space="preserve">2. </w:t>
      </w:r>
      <w:r w:rsidR="00921408">
        <w:rPr>
          <w:rFonts w:ascii="Times New Roman" w:hAnsi="Times New Roman" w:cs="Times New Roman"/>
          <w:b/>
        </w:rPr>
        <w:t>Basic Concepts</w:t>
      </w:r>
    </w:p>
    <w:p w:rsidR="009C545E" w:rsidP="00D16C88" w:rsidRDefault="009C545E">
      <w:pPr>
        <w:tabs>
          <w:tab w:val="left" w:pos="720"/>
          <w:tab w:val="left" w:pos="1620"/>
        </w:tabs>
        <w:spacing w:after="0" w:line="240" w:lineRule="auto"/>
        <w:contextualSpacing/>
        <w:mirrorIndents/>
        <w:rPr>
          <w:rFonts w:ascii="Times New Roman" w:hAnsi="Times New Roman" w:cs="Times New Roman"/>
        </w:rPr>
      </w:pPr>
    </w:p>
    <w:p w:rsidR="005A280B" w:rsidP="00D16C88" w:rsidRDefault="005A280B">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A few basic concepts need to be </w:t>
      </w:r>
      <w:r w:rsidR="00B04D1D">
        <w:rPr>
          <w:rFonts w:ascii="Times New Roman" w:hAnsi="Times New Roman" w:cs="Times New Roman"/>
        </w:rPr>
        <w:t>discussed</w:t>
      </w:r>
      <w:r>
        <w:rPr>
          <w:rFonts w:ascii="Times New Roman" w:hAnsi="Times New Roman" w:cs="Times New Roman"/>
        </w:rPr>
        <w:t xml:space="preserve"> at this point: eligible/ineligible, in-scope/out-of-scope, completed interviews, and Type A/B/C </w:t>
      </w:r>
      <w:r w:rsidR="002F2D56">
        <w:rPr>
          <w:rFonts w:ascii="Times New Roman" w:hAnsi="Times New Roman" w:cs="Times New Roman"/>
        </w:rPr>
        <w:t>noninterview</w:t>
      </w:r>
      <w:r>
        <w:rPr>
          <w:rFonts w:ascii="Times New Roman" w:hAnsi="Times New Roman" w:cs="Times New Roman"/>
        </w:rPr>
        <w:t>s. But before discussing these concepts, the more basic concept of a “case” needs to be defined.</w:t>
      </w:r>
    </w:p>
    <w:p w:rsidR="005A280B" w:rsidP="00D16C88" w:rsidRDefault="005A280B">
      <w:pPr>
        <w:tabs>
          <w:tab w:val="left" w:pos="720"/>
          <w:tab w:val="left" w:pos="1620"/>
        </w:tabs>
        <w:spacing w:after="0" w:line="240" w:lineRule="auto"/>
        <w:contextualSpacing/>
        <w:mirrorIndents/>
        <w:rPr>
          <w:rFonts w:ascii="Times New Roman" w:hAnsi="Times New Roman" w:cs="Times New Roman"/>
        </w:rPr>
      </w:pPr>
    </w:p>
    <w:p w:rsidR="00732715" w:rsidP="00D16C88" w:rsidRDefault="005A280B">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 is t</w:t>
      </w:r>
      <w:r w:rsidR="00732715">
        <w:rPr>
          <w:rFonts w:ascii="Times New Roman" w:hAnsi="Times New Roman" w:cs="Times New Roman"/>
        </w:rPr>
        <w:t xml:space="preserve">he most basic element of a field representative’s (FR’s) </w:t>
      </w:r>
      <w:r>
        <w:rPr>
          <w:rFonts w:ascii="Times New Roman" w:hAnsi="Times New Roman" w:cs="Times New Roman"/>
        </w:rPr>
        <w:t>workload</w:t>
      </w:r>
      <w:r w:rsidR="00AA673C">
        <w:rPr>
          <w:rFonts w:ascii="Times New Roman" w:hAnsi="Times New Roman" w:cs="Times New Roman"/>
        </w:rPr>
        <w:t>. Every month</w:t>
      </w:r>
      <w:r w:rsidR="00732715">
        <w:rPr>
          <w:rFonts w:ascii="Times New Roman" w:hAnsi="Times New Roman" w:cs="Times New Roman"/>
        </w:rPr>
        <w:t xml:space="preserve"> FRs are given a list of cases to contact, from which they are expected to get interviews. Their initial “caseloads” are a list of addresses, since that is the basic sample unit that Census draws from its sampling frame. However, after visiting the addresses, some turn out to be bad addresses – some turn out to be vacant housing units, nonexistent addresses, or nonresidential buildings, while others turn out to be housing units whose occupants are not in the CE’s target population, such as nursing homes, military barracks, or prisons. These addresses are removed from the FR’s caseloads upon </w:t>
      </w:r>
      <w:r w:rsidR="009C7540">
        <w:rPr>
          <w:rFonts w:ascii="Times New Roman" w:hAnsi="Times New Roman" w:cs="Times New Roman"/>
        </w:rPr>
        <w:t>their</w:t>
      </w:r>
      <w:r w:rsidR="00732715">
        <w:rPr>
          <w:rFonts w:ascii="Times New Roman" w:hAnsi="Times New Roman" w:cs="Times New Roman"/>
        </w:rPr>
        <w:t xml:space="preserve"> discovery. Furthermore, separate records are created for each consumer unit (CU) in a housing unit, so that ultimately each CU becomes a separate case. Thus, the FR’s initial caseloads are addresses, but in subsequent waves of the survey they become housing units, which then become consumer units. For the purpose of clarity, </w:t>
      </w:r>
      <w:r w:rsidR="00037947">
        <w:rPr>
          <w:rFonts w:ascii="Times New Roman" w:hAnsi="Times New Roman" w:cs="Times New Roman"/>
        </w:rPr>
        <w:t xml:space="preserve">this mixture of addresses, housing units, and consumer units are called </w:t>
      </w:r>
      <w:r w:rsidR="00D81418">
        <w:rPr>
          <w:rFonts w:ascii="Times New Roman" w:hAnsi="Times New Roman" w:cs="Times New Roman"/>
        </w:rPr>
        <w:t>“</w:t>
      </w:r>
      <w:r w:rsidR="00037947">
        <w:rPr>
          <w:rFonts w:ascii="Times New Roman" w:hAnsi="Times New Roman" w:cs="Times New Roman"/>
        </w:rPr>
        <w:t>cases</w:t>
      </w:r>
      <w:r w:rsidR="009C7540">
        <w:rPr>
          <w:rStyle w:val="FootnoteReference"/>
          <w:rFonts w:ascii="Times New Roman" w:hAnsi="Times New Roman" w:cs="Times New Roman"/>
        </w:rPr>
        <w:footnoteReference w:id="4"/>
      </w:r>
      <w:r w:rsidR="00037947">
        <w:rPr>
          <w:rFonts w:ascii="Times New Roman" w:hAnsi="Times New Roman" w:cs="Times New Roman"/>
        </w:rPr>
        <w:t>.</w:t>
      </w:r>
      <w:r w:rsidR="00D81418">
        <w:rPr>
          <w:rFonts w:ascii="Times New Roman" w:hAnsi="Times New Roman" w:cs="Times New Roman"/>
        </w:rPr>
        <w:t>”</w:t>
      </w:r>
    </w:p>
    <w:p w:rsidR="00732715" w:rsidP="00D16C88" w:rsidRDefault="00732715">
      <w:pPr>
        <w:tabs>
          <w:tab w:val="left" w:pos="720"/>
          <w:tab w:val="left" w:pos="1620"/>
        </w:tabs>
        <w:spacing w:after="0" w:line="240" w:lineRule="auto"/>
        <w:contextualSpacing/>
        <w:mirrorIndents/>
        <w:rPr>
          <w:rFonts w:ascii="Times New Roman" w:hAnsi="Times New Roman" w:cs="Times New Roman"/>
        </w:rPr>
      </w:pPr>
    </w:p>
    <w:p w:rsidR="00813FFF" w:rsidP="00D16C88" w:rsidRDefault="009D5878">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Now that cases are defined, the next basic concepts that needs to be discussed are the different ways that outcomes of the cases are categorized. </w:t>
      </w:r>
      <w:r w:rsidR="00813FFF">
        <w:rPr>
          <w:rFonts w:ascii="Times New Roman" w:hAnsi="Times New Roman" w:cs="Times New Roman"/>
        </w:rPr>
        <w:t xml:space="preserve">The different outcomes of a </w:t>
      </w:r>
      <w:r w:rsidR="00037947">
        <w:rPr>
          <w:rFonts w:ascii="Times New Roman" w:hAnsi="Times New Roman" w:cs="Times New Roman"/>
        </w:rPr>
        <w:t>case</w:t>
      </w:r>
      <w:r w:rsidR="00813FFF">
        <w:rPr>
          <w:rFonts w:ascii="Times New Roman" w:hAnsi="Times New Roman" w:cs="Times New Roman"/>
        </w:rPr>
        <w:t xml:space="preserve"> for either the </w:t>
      </w:r>
      <w:r>
        <w:rPr>
          <w:rFonts w:ascii="Times New Roman" w:hAnsi="Times New Roman" w:cs="Times New Roman"/>
        </w:rPr>
        <w:t>I</w:t>
      </w:r>
      <w:r w:rsidR="00813FFF">
        <w:rPr>
          <w:rFonts w:ascii="Times New Roman" w:hAnsi="Times New Roman" w:cs="Times New Roman"/>
        </w:rPr>
        <w:t xml:space="preserve">nterview or </w:t>
      </w:r>
      <w:r>
        <w:rPr>
          <w:rFonts w:ascii="Times New Roman" w:hAnsi="Times New Roman" w:cs="Times New Roman"/>
        </w:rPr>
        <w:t>D</w:t>
      </w:r>
      <w:r w:rsidR="00813FFF">
        <w:rPr>
          <w:rFonts w:ascii="Times New Roman" w:hAnsi="Times New Roman" w:cs="Times New Roman"/>
        </w:rPr>
        <w:t>iary survey</w:t>
      </w:r>
      <w:r w:rsidR="00037947">
        <w:rPr>
          <w:rFonts w:ascii="Times New Roman" w:hAnsi="Times New Roman" w:cs="Times New Roman"/>
        </w:rPr>
        <w:t xml:space="preserve"> </w:t>
      </w:r>
      <w:r w:rsidR="00813FFF">
        <w:rPr>
          <w:rFonts w:ascii="Times New Roman" w:hAnsi="Times New Roman" w:cs="Times New Roman"/>
        </w:rPr>
        <w:t xml:space="preserve">are categorized in three main ways: in-scope/out-of-scope, </w:t>
      </w:r>
      <w:r w:rsidR="00320997">
        <w:rPr>
          <w:rFonts w:ascii="Times New Roman" w:hAnsi="Times New Roman" w:cs="Times New Roman"/>
        </w:rPr>
        <w:t xml:space="preserve">eligible/ineligible, </w:t>
      </w:r>
      <w:r w:rsidR="00813FFF">
        <w:rPr>
          <w:rFonts w:ascii="Times New Roman" w:hAnsi="Times New Roman" w:cs="Times New Roman"/>
        </w:rPr>
        <w:t xml:space="preserve">and </w:t>
      </w:r>
      <w:r w:rsidR="003E40E4">
        <w:rPr>
          <w:rFonts w:ascii="Times New Roman" w:hAnsi="Times New Roman" w:cs="Times New Roman"/>
        </w:rPr>
        <w:t>by t</w:t>
      </w:r>
      <w:r w:rsidR="00813FFF">
        <w:rPr>
          <w:rFonts w:ascii="Times New Roman" w:hAnsi="Times New Roman" w:cs="Times New Roman"/>
        </w:rPr>
        <w:t xml:space="preserve">ype </w:t>
      </w:r>
      <w:r w:rsidR="003E40E4">
        <w:rPr>
          <w:rFonts w:ascii="Times New Roman" w:hAnsi="Times New Roman" w:cs="Times New Roman"/>
        </w:rPr>
        <w:t>(</w:t>
      </w:r>
      <w:r w:rsidR="000949FD">
        <w:rPr>
          <w:rFonts w:ascii="Times New Roman" w:hAnsi="Times New Roman" w:cs="Times New Roman"/>
        </w:rPr>
        <w:t xml:space="preserve">completed interview, or Type </w:t>
      </w:r>
      <w:r w:rsidR="00813FFF">
        <w:rPr>
          <w:rFonts w:ascii="Times New Roman" w:hAnsi="Times New Roman" w:cs="Times New Roman"/>
        </w:rPr>
        <w:t>A/B/C</w:t>
      </w:r>
      <w:r w:rsidR="000949FD">
        <w:rPr>
          <w:rFonts w:ascii="Times New Roman" w:hAnsi="Times New Roman" w:cs="Times New Roman"/>
        </w:rPr>
        <w:t xml:space="preserve"> </w:t>
      </w:r>
      <w:r w:rsidR="002F2D56">
        <w:rPr>
          <w:rFonts w:ascii="Times New Roman" w:hAnsi="Times New Roman" w:cs="Times New Roman"/>
        </w:rPr>
        <w:t>noninterview</w:t>
      </w:r>
      <w:r w:rsidR="003E40E4">
        <w:rPr>
          <w:rFonts w:ascii="Times New Roman" w:hAnsi="Times New Roman" w:cs="Times New Roman"/>
        </w:rPr>
        <w:t>)</w:t>
      </w:r>
      <w:r w:rsidR="00813FFF">
        <w:rPr>
          <w:rFonts w:ascii="Times New Roman" w:hAnsi="Times New Roman" w:cs="Times New Roman"/>
        </w:rPr>
        <w:t>.</w:t>
      </w:r>
    </w:p>
    <w:p w:rsidR="00813FFF" w:rsidP="00D16C88" w:rsidRDefault="00813FFF">
      <w:pPr>
        <w:tabs>
          <w:tab w:val="left" w:pos="720"/>
          <w:tab w:val="left" w:pos="1620"/>
        </w:tabs>
        <w:spacing w:after="0" w:line="240" w:lineRule="auto"/>
        <w:contextualSpacing/>
        <w:mirrorIndents/>
        <w:rPr>
          <w:rFonts w:ascii="Times New Roman" w:hAnsi="Times New Roman" w:cs="Times New Roman"/>
        </w:rPr>
      </w:pPr>
    </w:p>
    <w:p w:rsidR="00E51D05" w:rsidP="00E51D05" w:rsidRDefault="00037947">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w:t>
      </w:r>
      <w:r w:rsidR="00E51D05">
        <w:rPr>
          <w:rFonts w:ascii="Times New Roman" w:hAnsi="Times New Roman" w:cs="Times New Roman"/>
        </w:rPr>
        <w:t xml:space="preserve"> is considered </w:t>
      </w:r>
      <w:r w:rsidR="00251B0F">
        <w:rPr>
          <w:rFonts w:ascii="Times New Roman" w:hAnsi="Times New Roman" w:cs="Times New Roman"/>
        </w:rPr>
        <w:t>“</w:t>
      </w:r>
      <w:r w:rsidR="00310C92">
        <w:rPr>
          <w:rFonts w:ascii="Times New Roman" w:hAnsi="Times New Roman" w:cs="Times New Roman"/>
        </w:rPr>
        <w:t>in-scope</w:t>
      </w:r>
      <w:r w:rsidR="00251B0F">
        <w:rPr>
          <w:rFonts w:ascii="Times New Roman" w:hAnsi="Times New Roman" w:cs="Times New Roman"/>
        </w:rPr>
        <w:t>”</w:t>
      </w:r>
      <w:r w:rsidR="00E51D05">
        <w:rPr>
          <w:rFonts w:ascii="Times New Roman" w:hAnsi="Times New Roman" w:cs="Times New Roman"/>
        </w:rPr>
        <w:t xml:space="preserve"> for the survey if </w:t>
      </w:r>
      <w:r w:rsidR="00274DB8">
        <w:rPr>
          <w:rFonts w:ascii="Times New Roman" w:hAnsi="Times New Roman" w:cs="Times New Roman"/>
        </w:rPr>
        <w:t>it has a</w:t>
      </w:r>
      <w:r w:rsidR="00E51D05">
        <w:rPr>
          <w:rFonts w:ascii="Times New Roman" w:hAnsi="Times New Roman" w:cs="Times New Roman"/>
        </w:rPr>
        <w:t xml:space="preserve"> residential housing unit; otherwise it is</w:t>
      </w:r>
      <w:r w:rsidR="00274DB8">
        <w:rPr>
          <w:rFonts w:ascii="Times New Roman" w:hAnsi="Times New Roman" w:cs="Times New Roman"/>
        </w:rPr>
        <w:t xml:space="preserve"> considered</w:t>
      </w:r>
      <w:r w:rsidR="00E51D05">
        <w:rPr>
          <w:rFonts w:ascii="Times New Roman" w:hAnsi="Times New Roman" w:cs="Times New Roman"/>
        </w:rPr>
        <w:t xml:space="preserve"> </w:t>
      </w:r>
      <w:r w:rsidR="00251B0F">
        <w:rPr>
          <w:rFonts w:ascii="Times New Roman" w:hAnsi="Times New Roman" w:cs="Times New Roman"/>
        </w:rPr>
        <w:t>“</w:t>
      </w:r>
      <w:r w:rsidR="00E51D05">
        <w:rPr>
          <w:rFonts w:ascii="Times New Roman" w:hAnsi="Times New Roman" w:cs="Times New Roman"/>
        </w:rPr>
        <w:t>out</w:t>
      </w:r>
      <w:r w:rsidR="00251B0F">
        <w:rPr>
          <w:rFonts w:ascii="Times New Roman" w:hAnsi="Times New Roman" w:cs="Times New Roman"/>
        </w:rPr>
        <w:t>-</w:t>
      </w:r>
      <w:r w:rsidR="00E51D05">
        <w:rPr>
          <w:rFonts w:ascii="Times New Roman" w:hAnsi="Times New Roman" w:cs="Times New Roman"/>
        </w:rPr>
        <w:t>of</w:t>
      </w:r>
      <w:r w:rsidR="00251B0F">
        <w:rPr>
          <w:rFonts w:ascii="Times New Roman" w:hAnsi="Times New Roman" w:cs="Times New Roman"/>
        </w:rPr>
        <w:t>-</w:t>
      </w:r>
      <w:r w:rsidR="00E51D05">
        <w:rPr>
          <w:rFonts w:ascii="Times New Roman" w:hAnsi="Times New Roman" w:cs="Times New Roman"/>
        </w:rPr>
        <w:t>scope.</w:t>
      </w:r>
      <w:r w:rsidR="00251B0F">
        <w:rPr>
          <w:rFonts w:ascii="Times New Roman" w:hAnsi="Times New Roman" w:cs="Times New Roman"/>
        </w:rPr>
        <w:t>”</w:t>
      </w:r>
      <w:r w:rsidR="00E51D05">
        <w:rPr>
          <w:rFonts w:ascii="Times New Roman" w:hAnsi="Times New Roman" w:cs="Times New Roman"/>
        </w:rPr>
        <w:t xml:space="preserve"> </w:t>
      </w:r>
      <w:r w:rsidR="00DD31C6">
        <w:rPr>
          <w:rFonts w:ascii="Times New Roman" w:hAnsi="Times New Roman" w:cs="Times New Roman"/>
        </w:rPr>
        <w:t xml:space="preserve">Examples of in-scope cases include houses, condominiums, and apartment buildings. Examples of </w:t>
      </w:r>
      <w:r w:rsidR="00251B0F">
        <w:rPr>
          <w:rFonts w:ascii="Times New Roman" w:hAnsi="Times New Roman" w:cs="Times New Roman"/>
        </w:rPr>
        <w:t>out-of-scope cases</w:t>
      </w:r>
      <w:r w:rsidR="00DD31C6">
        <w:rPr>
          <w:rFonts w:ascii="Times New Roman" w:hAnsi="Times New Roman" w:cs="Times New Roman"/>
        </w:rPr>
        <w:t xml:space="preserve"> include </w:t>
      </w:r>
      <w:r w:rsidR="003548EC">
        <w:rPr>
          <w:rFonts w:ascii="Times New Roman" w:hAnsi="Times New Roman" w:cs="Times New Roman"/>
        </w:rPr>
        <w:t>addresses that could not be found or do not exist, addresses where the housing unit was demolished or converted to a nonresidential use, and addresses located on military bases.</w:t>
      </w:r>
    </w:p>
    <w:p w:rsidR="00DD31C6" w:rsidP="00E51D05" w:rsidRDefault="00DD31C6">
      <w:pPr>
        <w:tabs>
          <w:tab w:val="left" w:pos="720"/>
          <w:tab w:val="left" w:pos="1620"/>
        </w:tabs>
        <w:spacing w:after="0" w:line="240" w:lineRule="auto"/>
        <w:contextualSpacing/>
        <w:mirrorIndents/>
        <w:rPr>
          <w:rFonts w:ascii="Times New Roman" w:hAnsi="Times New Roman" w:cs="Times New Roman"/>
        </w:rPr>
      </w:pPr>
    </w:p>
    <w:p w:rsidR="00825140" w:rsidP="00825140" w:rsidRDefault="00825140">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 is considered “eligible” to participate in the survey if it has a residential housing unit that is occupied by its usual residents; otherwise it is “ineligible.” Examples of ineligible cases include housing units which are vacant or under construction, and those which are occupied by people whose usual residence is elsewhere.</w:t>
      </w:r>
    </w:p>
    <w:p w:rsidR="00825140" w:rsidP="00825140" w:rsidRDefault="00825140">
      <w:pPr>
        <w:tabs>
          <w:tab w:val="left" w:pos="720"/>
          <w:tab w:val="left" w:pos="1620"/>
        </w:tabs>
        <w:spacing w:after="0" w:line="240" w:lineRule="auto"/>
        <w:contextualSpacing/>
        <w:mirrorIndents/>
        <w:rPr>
          <w:rFonts w:ascii="Times New Roman" w:hAnsi="Times New Roman" w:cs="Times New Roman"/>
        </w:rPr>
      </w:pPr>
    </w:p>
    <w:p w:rsidR="00755A7A" w:rsidP="00E51D05" w:rsidRDefault="00755A7A">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Cases are also categorized into four other types of outcomes: completed interviews, Type A </w:t>
      </w:r>
      <w:r w:rsidR="002F2D56">
        <w:rPr>
          <w:rFonts w:ascii="Times New Roman" w:hAnsi="Times New Roman" w:cs="Times New Roman"/>
        </w:rPr>
        <w:t>noninterview</w:t>
      </w:r>
      <w:r>
        <w:rPr>
          <w:rFonts w:ascii="Times New Roman" w:hAnsi="Times New Roman" w:cs="Times New Roman"/>
        </w:rPr>
        <w:t xml:space="preserve">s, Type B </w:t>
      </w:r>
      <w:r w:rsidR="002F2D56">
        <w:rPr>
          <w:rFonts w:ascii="Times New Roman" w:hAnsi="Times New Roman" w:cs="Times New Roman"/>
        </w:rPr>
        <w:t>noninterview</w:t>
      </w:r>
      <w:r>
        <w:rPr>
          <w:rFonts w:ascii="Times New Roman" w:hAnsi="Times New Roman" w:cs="Times New Roman"/>
        </w:rPr>
        <w:t xml:space="preserve">s, and Type C </w:t>
      </w:r>
      <w:r w:rsidR="002F2D56">
        <w:rPr>
          <w:rFonts w:ascii="Times New Roman" w:hAnsi="Times New Roman" w:cs="Times New Roman"/>
        </w:rPr>
        <w:t>noninterview</w:t>
      </w:r>
      <w:r>
        <w:rPr>
          <w:rFonts w:ascii="Times New Roman" w:hAnsi="Times New Roman" w:cs="Times New Roman"/>
        </w:rPr>
        <w:t xml:space="preserve">s. A “completed interview” is where the sample address has an occupied housing unit whose members are in CE’s target population (the civilian noninstitutional population), and who have successfully completed an interview. A “Type A” </w:t>
      </w:r>
      <w:r w:rsidR="002F2D56">
        <w:rPr>
          <w:rFonts w:ascii="Times New Roman" w:hAnsi="Times New Roman" w:cs="Times New Roman"/>
        </w:rPr>
        <w:t>noninterview</w:t>
      </w:r>
      <w:r>
        <w:rPr>
          <w:rFonts w:ascii="Times New Roman" w:hAnsi="Times New Roman" w:cs="Times New Roman"/>
        </w:rPr>
        <w:t xml:space="preserve"> is where the sample address has an occupied housing unit whose members are in CE’s target population, but who did not complete an interview. A “Type B” </w:t>
      </w:r>
      <w:r w:rsidR="002F2D56">
        <w:rPr>
          <w:rFonts w:ascii="Times New Roman" w:hAnsi="Times New Roman" w:cs="Times New Roman"/>
        </w:rPr>
        <w:t>noninterview</w:t>
      </w:r>
      <w:r>
        <w:rPr>
          <w:rFonts w:ascii="Times New Roman" w:hAnsi="Times New Roman" w:cs="Times New Roman"/>
        </w:rPr>
        <w:t xml:space="preserve"> is where the sample address has an unoccupied housing unit, or an occupied unit whose occupants are not in CE’s target population. Finally, a “Type C” </w:t>
      </w:r>
      <w:r w:rsidR="002F2D56">
        <w:rPr>
          <w:rFonts w:ascii="Times New Roman" w:hAnsi="Times New Roman" w:cs="Times New Roman"/>
        </w:rPr>
        <w:t>noninterview</w:t>
      </w:r>
      <w:r>
        <w:rPr>
          <w:rFonts w:ascii="Times New Roman" w:hAnsi="Times New Roman" w:cs="Times New Roman"/>
        </w:rPr>
        <w:t xml:space="preserve"> is where the sample address does not have a housing unit.</w:t>
      </w:r>
    </w:p>
    <w:p w:rsidR="00755A7A" w:rsidP="00E51D05" w:rsidRDefault="00755A7A">
      <w:pPr>
        <w:tabs>
          <w:tab w:val="left" w:pos="720"/>
          <w:tab w:val="left" w:pos="1620"/>
        </w:tabs>
        <w:spacing w:after="0" w:line="240" w:lineRule="auto"/>
        <w:contextualSpacing/>
        <w:mirrorIndents/>
        <w:rPr>
          <w:rFonts w:ascii="Times New Roman" w:hAnsi="Times New Roman" w:cs="Times New Roman"/>
        </w:rPr>
      </w:pPr>
    </w:p>
    <w:p w:rsidR="00813FFF" w:rsidP="005213D5" w:rsidRDefault="003E40E4">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lastRenderedPageBreak/>
        <w:t>Both c</w:t>
      </w:r>
      <w:r w:rsidR="0061290C">
        <w:rPr>
          <w:rFonts w:ascii="Times New Roman" w:hAnsi="Times New Roman" w:cs="Times New Roman"/>
        </w:rPr>
        <w:t>ompleted interviews</w:t>
      </w:r>
      <w:r w:rsidR="00310C92">
        <w:rPr>
          <w:rFonts w:ascii="Times New Roman" w:hAnsi="Times New Roman" w:cs="Times New Roman"/>
        </w:rPr>
        <w:t xml:space="preserve"> </w:t>
      </w:r>
      <w:r w:rsidR="0061290C">
        <w:rPr>
          <w:rFonts w:ascii="Times New Roman" w:hAnsi="Times New Roman" w:cs="Times New Roman"/>
        </w:rPr>
        <w:t xml:space="preserve">and Type A </w:t>
      </w:r>
      <w:r w:rsidR="002F2D56">
        <w:rPr>
          <w:rFonts w:ascii="Times New Roman" w:hAnsi="Times New Roman" w:cs="Times New Roman"/>
        </w:rPr>
        <w:t>nonrespon</w:t>
      </w:r>
      <w:r w:rsidR="0061290C">
        <w:rPr>
          <w:rFonts w:ascii="Times New Roman" w:hAnsi="Times New Roman" w:cs="Times New Roman"/>
        </w:rPr>
        <w:t xml:space="preserve">dents are considered eligible. </w:t>
      </w:r>
      <w:r w:rsidR="005213D5">
        <w:rPr>
          <w:rFonts w:ascii="Times New Roman" w:hAnsi="Times New Roman" w:cs="Times New Roman"/>
        </w:rPr>
        <w:t xml:space="preserve">Type A cases </w:t>
      </w:r>
      <w:r w:rsidR="009E220E">
        <w:rPr>
          <w:rFonts w:ascii="Times New Roman" w:hAnsi="Times New Roman" w:cs="Times New Roman"/>
        </w:rPr>
        <w:t>are most often</w:t>
      </w:r>
      <w:r w:rsidR="005213D5">
        <w:rPr>
          <w:rFonts w:ascii="Times New Roman" w:hAnsi="Times New Roman" w:cs="Times New Roman"/>
        </w:rPr>
        <w:t xml:space="preserve"> </w:t>
      </w:r>
      <w:r w:rsidR="00F204D3">
        <w:rPr>
          <w:rFonts w:ascii="Times New Roman" w:hAnsi="Times New Roman" w:cs="Times New Roman"/>
        </w:rPr>
        <w:t>refusals</w:t>
      </w:r>
      <w:r w:rsidR="00F204D3">
        <w:rPr>
          <w:rStyle w:val="FootnoteReference"/>
          <w:rFonts w:ascii="Times New Roman" w:hAnsi="Times New Roman" w:cs="Times New Roman"/>
        </w:rPr>
        <w:footnoteReference w:id="5"/>
      </w:r>
      <w:r w:rsidR="005213D5">
        <w:rPr>
          <w:rFonts w:ascii="Times New Roman" w:hAnsi="Times New Roman" w:cs="Times New Roman"/>
        </w:rPr>
        <w:t xml:space="preserve">, as well as occupied households which cannot be contacted despite </w:t>
      </w:r>
      <w:r w:rsidR="00C95BB4">
        <w:rPr>
          <w:rFonts w:ascii="Times New Roman" w:hAnsi="Times New Roman" w:cs="Times New Roman"/>
        </w:rPr>
        <w:t>repeated contact</w:t>
      </w:r>
      <w:r w:rsidR="005213D5">
        <w:rPr>
          <w:rFonts w:ascii="Times New Roman" w:hAnsi="Times New Roman" w:cs="Times New Roman"/>
        </w:rPr>
        <w:t xml:space="preserve"> attempts.</w:t>
      </w:r>
    </w:p>
    <w:p w:rsidR="005213D5" w:rsidP="00D64B1D" w:rsidRDefault="005213D5">
      <w:pPr>
        <w:tabs>
          <w:tab w:val="left" w:pos="720"/>
          <w:tab w:val="left" w:pos="1620"/>
        </w:tabs>
        <w:spacing w:after="0" w:line="240" w:lineRule="auto"/>
        <w:contextualSpacing/>
        <w:mirrorIndents/>
        <w:jc w:val="both"/>
        <w:rPr>
          <w:rFonts w:ascii="Times New Roman" w:hAnsi="Times New Roman" w:cs="Times New Roman"/>
        </w:rPr>
      </w:pPr>
    </w:p>
    <w:p w:rsidR="003E026A" w:rsidP="00D64B1D" w:rsidRDefault="003E026A">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Thus, Type A </w:t>
      </w:r>
      <w:r w:rsidR="00037947">
        <w:rPr>
          <w:rFonts w:ascii="Times New Roman" w:hAnsi="Times New Roman" w:cs="Times New Roman"/>
        </w:rPr>
        <w:t>cases</w:t>
      </w:r>
      <w:r>
        <w:rPr>
          <w:rFonts w:ascii="Times New Roman" w:hAnsi="Times New Roman" w:cs="Times New Roman"/>
        </w:rPr>
        <w:t xml:space="preserve"> are eligible, and thus part of the denominator of the response rate, which is also used as a success rate for field representatives. Type B </w:t>
      </w:r>
      <w:r w:rsidR="00037947">
        <w:rPr>
          <w:rFonts w:ascii="Times New Roman" w:hAnsi="Times New Roman" w:cs="Times New Roman"/>
        </w:rPr>
        <w:t>cases</w:t>
      </w:r>
      <w:r>
        <w:rPr>
          <w:rFonts w:ascii="Times New Roman" w:hAnsi="Times New Roman" w:cs="Times New Roman"/>
        </w:rPr>
        <w:t xml:space="preserve"> are not eligible, but are part of the denominator of a calculated eligibility rate, out of all </w:t>
      </w:r>
      <w:r w:rsidR="00DC0A87">
        <w:rPr>
          <w:rFonts w:ascii="Times New Roman" w:hAnsi="Times New Roman" w:cs="Times New Roman"/>
        </w:rPr>
        <w:t>residential</w:t>
      </w:r>
      <w:r>
        <w:rPr>
          <w:rFonts w:ascii="Times New Roman" w:hAnsi="Times New Roman" w:cs="Times New Roman"/>
        </w:rPr>
        <w:t xml:space="preserve"> addresses. Type C </w:t>
      </w:r>
      <w:r w:rsidR="00037947">
        <w:rPr>
          <w:rFonts w:ascii="Times New Roman" w:hAnsi="Times New Roman" w:cs="Times New Roman"/>
        </w:rPr>
        <w:t>cases</w:t>
      </w:r>
      <w:r>
        <w:rPr>
          <w:rFonts w:ascii="Times New Roman" w:hAnsi="Times New Roman" w:cs="Times New Roman"/>
        </w:rPr>
        <w:t xml:space="preserve"> are considered </w:t>
      </w:r>
      <w:r w:rsidR="00310C92">
        <w:rPr>
          <w:rFonts w:ascii="Times New Roman" w:hAnsi="Times New Roman" w:cs="Times New Roman"/>
        </w:rPr>
        <w:t>out-of-scope</w:t>
      </w:r>
      <w:r>
        <w:rPr>
          <w:rFonts w:ascii="Times New Roman" w:hAnsi="Times New Roman" w:cs="Times New Roman"/>
        </w:rPr>
        <w:t>.</w:t>
      </w:r>
    </w:p>
    <w:p w:rsidR="00665D0B" w:rsidP="00D64B1D" w:rsidRDefault="00665D0B">
      <w:pPr>
        <w:tabs>
          <w:tab w:val="left" w:pos="720"/>
          <w:tab w:val="left" w:pos="1620"/>
        </w:tabs>
        <w:spacing w:after="0" w:line="240" w:lineRule="auto"/>
        <w:contextualSpacing/>
        <w:mirrorIndents/>
        <w:jc w:val="both"/>
        <w:rPr>
          <w:rFonts w:ascii="Times New Roman" w:hAnsi="Times New Roman" w:cs="Times New Roman"/>
        </w:rPr>
      </w:pPr>
    </w:p>
    <w:p w:rsidR="00665D0B" w:rsidP="00D64B1D" w:rsidRDefault="00665D0B">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Once a case is determined to be Ty</w:t>
      </w:r>
      <w:r w:rsidR="006B0B15">
        <w:rPr>
          <w:rFonts w:ascii="Times New Roman" w:hAnsi="Times New Roman" w:cs="Times New Roman"/>
        </w:rPr>
        <w:t>pe C, it is never visited again; it is presumed that a Type C case</w:t>
      </w:r>
      <w:r w:rsidR="007F4D8D">
        <w:rPr>
          <w:rFonts w:ascii="Times New Roman" w:hAnsi="Times New Roman" w:cs="Times New Roman"/>
        </w:rPr>
        <w:t xml:space="preserve"> by definition</w:t>
      </w:r>
      <w:r w:rsidR="006B0B15">
        <w:rPr>
          <w:rFonts w:ascii="Times New Roman" w:hAnsi="Times New Roman" w:cs="Times New Roman"/>
        </w:rPr>
        <w:t xml:space="preserve"> cannot “improve” to a good interview, or to a Type A or B </w:t>
      </w:r>
      <w:r w:rsidR="002F2D56">
        <w:rPr>
          <w:rFonts w:ascii="Times New Roman" w:hAnsi="Times New Roman" w:cs="Times New Roman"/>
        </w:rPr>
        <w:t>noninterview</w:t>
      </w:r>
      <w:r w:rsidR="006B0B15">
        <w:rPr>
          <w:rFonts w:ascii="Times New Roman" w:hAnsi="Times New Roman" w:cs="Times New Roman"/>
        </w:rPr>
        <w:t>. If the first interview attempt is classified as a Type C case, then the system a</w:t>
      </w:r>
      <w:r w:rsidR="002F0C94">
        <w:rPr>
          <w:rFonts w:ascii="Times New Roman" w:hAnsi="Times New Roman" w:cs="Times New Roman"/>
        </w:rPr>
        <w:t>t</w:t>
      </w:r>
      <w:r w:rsidR="006B0B15">
        <w:rPr>
          <w:rFonts w:ascii="Times New Roman" w:hAnsi="Times New Roman" w:cs="Times New Roman"/>
        </w:rPr>
        <w:t xml:space="preserve"> BLS will automatically generate a Type C case for the second and subsequent interview numbers, but </w:t>
      </w:r>
      <w:r w:rsidR="007F4D8D">
        <w:rPr>
          <w:rFonts w:ascii="Times New Roman" w:hAnsi="Times New Roman" w:cs="Times New Roman"/>
        </w:rPr>
        <w:t xml:space="preserve">these subsequent Type C cases are not included in the totals shown in our internal memos, because the purpose of BLS response rates is to measure the success </w:t>
      </w:r>
      <w:r w:rsidR="004346CF">
        <w:rPr>
          <w:rFonts w:ascii="Times New Roman" w:hAnsi="Times New Roman" w:cs="Times New Roman"/>
        </w:rPr>
        <w:t>o</w:t>
      </w:r>
      <w:r w:rsidR="007F4D8D">
        <w:rPr>
          <w:rFonts w:ascii="Times New Roman" w:hAnsi="Times New Roman" w:cs="Times New Roman"/>
        </w:rPr>
        <w:t>f the interview process</w:t>
      </w:r>
      <w:r w:rsidR="006D5A86">
        <w:rPr>
          <w:rFonts w:ascii="Times New Roman" w:hAnsi="Times New Roman" w:cs="Times New Roman"/>
        </w:rPr>
        <w:t>, and the address has not been revisited</w:t>
      </w:r>
      <w:r w:rsidR="007F4D8D">
        <w:rPr>
          <w:rFonts w:ascii="Times New Roman" w:hAnsi="Times New Roman" w:cs="Times New Roman"/>
        </w:rPr>
        <w:t xml:space="preserve">. </w:t>
      </w:r>
      <w:r w:rsidR="006B0B15">
        <w:rPr>
          <w:rFonts w:ascii="Times New Roman" w:hAnsi="Times New Roman" w:cs="Times New Roman"/>
        </w:rPr>
        <w:t xml:space="preserve"> However, the purpose of</w:t>
      </w:r>
      <w:r w:rsidR="006D5A86">
        <w:rPr>
          <w:rFonts w:ascii="Times New Roman" w:hAnsi="Times New Roman" w:cs="Times New Roman"/>
        </w:rPr>
        <w:t xml:space="preserve"> Type C totals in the</w:t>
      </w:r>
      <w:r w:rsidR="006B0B15">
        <w:rPr>
          <w:rFonts w:ascii="Times New Roman" w:hAnsi="Times New Roman" w:cs="Times New Roman"/>
        </w:rPr>
        <w:t xml:space="preserve"> Census response rates is to measure the quality of the sampling frame. Therefore, Census includes subsequent </w:t>
      </w:r>
      <w:r w:rsidR="002F2D56">
        <w:rPr>
          <w:rFonts w:ascii="Times New Roman" w:hAnsi="Times New Roman" w:cs="Times New Roman"/>
        </w:rPr>
        <w:t>noninterview</w:t>
      </w:r>
      <w:r w:rsidR="006B0B15">
        <w:rPr>
          <w:rFonts w:ascii="Times New Roman" w:hAnsi="Times New Roman" w:cs="Times New Roman"/>
        </w:rPr>
        <w:t>s of Type C cases in their totals, even though the address is not revisited, in order to keep the total number of addresses in the sampling frame consistent.</w:t>
      </w:r>
    </w:p>
    <w:p w:rsidR="001A3A5B" w:rsidP="001A3A5B" w:rsidRDefault="001A3A5B">
      <w:pPr>
        <w:tabs>
          <w:tab w:val="left" w:pos="720"/>
          <w:tab w:val="left" w:pos="1620"/>
        </w:tabs>
        <w:spacing w:after="0" w:line="240" w:lineRule="auto"/>
        <w:contextualSpacing/>
        <w:mirrorIndents/>
        <w:jc w:val="both"/>
        <w:rPr>
          <w:rFonts w:ascii="Times New Roman" w:hAnsi="Times New Roman" w:cs="Times New Roman"/>
        </w:rPr>
      </w:pPr>
    </w:p>
    <w:p w:rsidR="004A302F" w:rsidP="009A3AD6" w:rsidRDefault="009A3AD6">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 response rate (Good Interviews / Eligible Cases) is one of the three rates that can be determined from the </w:t>
      </w:r>
      <w:r w:rsidR="009E220E">
        <w:rPr>
          <w:rFonts w:ascii="Times New Roman" w:hAnsi="Times New Roman" w:cs="Times New Roman"/>
        </w:rPr>
        <w:t>total numbers</w:t>
      </w:r>
      <w:r>
        <w:rPr>
          <w:rFonts w:ascii="Times New Roman" w:hAnsi="Times New Roman" w:cs="Times New Roman"/>
        </w:rPr>
        <w:t xml:space="preserve"> </w:t>
      </w:r>
      <w:r w:rsidR="009E220E">
        <w:rPr>
          <w:rFonts w:ascii="Times New Roman" w:hAnsi="Times New Roman" w:cs="Times New Roman"/>
        </w:rPr>
        <w:t>in</w:t>
      </w:r>
      <w:r>
        <w:rPr>
          <w:rFonts w:ascii="Times New Roman" w:hAnsi="Times New Roman" w:cs="Times New Roman"/>
        </w:rPr>
        <w:t xml:space="preserve"> each </w:t>
      </w:r>
      <w:r w:rsidR="009E220E">
        <w:rPr>
          <w:rFonts w:ascii="Times New Roman" w:hAnsi="Times New Roman" w:cs="Times New Roman"/>
        </w:rPr>
        <w:t>category of c</w:t>
      </w:r>
      <w:r>
        <w:rPr>
          <w:rFonts w:ascii="Times New Roman" w:hAnsi="Times New Roman" w:cs="Times New Roman"/>
        </w:rPr>
        <w:t xml:space="preserve">ase. The other two are the eligibility rate (Eligible Cases / In-Scope Cases), useful for measuring the quality of the sample, and the in-scope rate (In-Scope Cases / All Cases), useful for measuring the quality of the sampling frame. </w:t>
      </w:r>
      <w:r w:rsidR="004A302F">
        <w:rPr>
          <w:rFonts w:ascii="Times New Roman" w:hAnsi="Times New Roman" w:cs="Times New Roman"/>
        </w:rPr>
        <w:t>The c</w:t>
      </w:r>
      <w:r w:rsidR="009E220E">
        <w:rPr>
          <w:rFonts w:ascii="Times New Roman" w:hAnsi="Times New Roman" w:cs="Times New Roman"/>
        </w:rPr>
        <w:t>ategories</w:t>
      </w:r>
      <w:r w:rsidR="004A302F">
        <w:rPr>
          <w:rFonts w:ascii="Times New Roman" w:hAnsi="Times New Roman" w:cs="Times New Roman"/>
        </w:rPr>
        <w:t xml:space="preserve"> of cases by Census and BLS can be seen in this diagram:</w:t>
      </w:r>
    </w:p>
    <w:p w:rsidR="00E43060" w:rsidP="003B3C2A" w:rsidRDefault="00E43060">
      <w:pPr>
        <w:tabs>
          <w:tab w:val="left" w:pos="720"/>
          <w:tab w:val="left" w:pos="1620"/>
        </w:tabs>
        <w:spacing w:after="0" w:line="240" w:lineRule="auto"/>
        <w:contextualSpacing/>
        <w:mirrorIndents/>
        <w:jc w:val="both"/>
        <w:rPr>
          <w:rFonts w:ascii="Times New Roman" w:hAnsi="Times New Roman" w:cs="Times New Roman"/>
        </w:rPr>
      </w:pPr>
    </w:p>
    <w:p w:rsidR="0090140E" w:rsidP="0090140E" w:rsidRDefault="0090140E">
      <w:pPr>
        <w:tabs>
          <w:tab w:val="left" w:pos="720"/>
          <w:tab w:val="left" w:pos="1620"/>
        </w:tabs>
        <w:spacing w:after="0" w:line="240" w:lineRule="auto"/>
        <w:contextualSpacing/>
        <w:mirrorIndents/>
        <w:jc w:val="center"/>
        <w:rPr>
          <w:rFonts w:ascii="Times New Roman" w:hAnsi="Times New Roman" w:cs="Times New Roman"/>
          <w:b/>
        </w:rPr>
      </w:pPr>
      <w:r>
        <w:rPr>
          <w:rFonts w:ascii="Times New Roman" w:hAnsi="Times New Roman" w:cs="Times New Roman"/>
          <w:b/>
        </w:rPr>
        <w:t>Categories of Cases Used by Census and BLS</w:t>
      </w:r>
    </w:p>
    <w:p w:rsidR="005E20E8" w:rsidP="00616DD8" w:rsidRDefault="005E20E8">
      <w:pPr>
        <w:tabs>
          <w:tab w:val="left" w:pos="720"/>
          <w:tab w:val="left" w:pos="1620"/>
        </w:tabs>
        <w:spacing w:after="0" w:line="240" w:lineRule="auto"/>
        <w:contextualSpacing/>
        <w:mirrorIndents/>
        <w:jc w:val="center"/>
        <w:rPr>
          <w:rFonts w:ascii="Times New Roman" w:hAnsi="Times New Roman" w:cs="Times New Roman"/>
          <w:b/>
        </w:rPr>
      </w:pPr>
      <w:r>
        <w:rPr>
          <w:rFonts w:ascii="Times New Roman" w:hAnsi="Times New Roman" w:cs="Times New Roman"/>
          <w:b/>
          <w:noProof/>
        </w:rPr>
        <w:drawing>
          <wp:inline distT="0" distB="0" distL="0" distR="0">
            <wp:extent cx="4507992" cy="21488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7992" cy="2148840"/>
                    </a:xfrm>
                    <a:prstGeom prst="rect">
                      <a:avLst/>
                    </a:prstGeom>
                    <a:noFill/>
                    <a:ln>
                      <a:noFill/>
                    </a:ln>
                  </pic:spPr>
                </pic:pic>
              </a:graphicData>
            </a:graphic>
          </wp:inline>
        </w:drawing>
      </w:r>
    </w:p>
    <w:p w:rsidR="005E20E8" w:rsidP="00921408" w:rsidRDefault="005E20E8">
      <w:pPr>
        <w:tabs>
          <w:tab w:val="left" w:pos="720"/>
          <w:tab w:val="left" w:pos="1620"/>
        </w:tabs>
        <w:spacing w:after="0" w:line="240" w:lineRule="auto"/>
        <w:contextualSpacing/>
        <w:mirrorIndents/>
        <w:rPr>
          <w:rFonts w:ascii="Times New Roman" w:hAnsi="Times New Roman" w:cs="Times New Roman"/>
          <w:b/>
        </w:rPr>
      </w:pPr>
    </w:p>
    <w:p w:rsidR="00921408" w:rsidP="00921408" w:rsidRDefault="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3</w:t>
      </w:r>
      <w:r w:rsidRPr="006F7B3F">
        <w:rPr>
          <w:rFonts w:ascii="Times New Roman" w:hAnsi="Times New Roman" w:cs="Times New Roman"/>
          <w:b/>
        </w:rPr>
        <w:t xml:space="preserve">. </w:t>
      </w:r>
      <w:r>
        <w:rPr>
          <w:rFonts w:ascii="Times New Roman" w:hAnsi="Times New Roman" w:cs="Times New Roman"/>
          <w:b/>
        </w:rPr>
        <w:t>Monthly Reports from Census</w:t>
      </w:r>
    </w:p>
    <w:p w:rsidR="009C545E" w:rsidP="00F00AA9" w:rsidRDefault="009C545E">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F00AA9"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Every month, Census sends </w:t>
      </w:r>
      <w:r w:rsidR="00C116B1">
        <w:rPr>
          <w:rFonts w:ascii="Times New Roman" w:hAnsi="Times New Roman" w:cs="Times New Roman"/>
        </w:rPr>
        <w:t>BLS</w:t>
      </w:r>
      <w:r w:rsidRPr="006F7B3F">
        <w:rPr>
          <w:rFonts w:ascii="Times New Roman" w:hAnsi="Times New Roman" w:cs="Times New Roman"/>
        </w:rPr>
        <w:t xml:space="preserve"> </w:t>
      </w:r>
      <w:r w:rsidR="00860284">
        <w:rPr>
          <w:rFonts w:ascii="Times New Roman" w:hAnsi="Times New Roman" w:cs="Times New Roman"/>
        </w:rPr>
        <w:t>two</w:t>
      </w:r>
      <w:r w:rsidRPr="006F7B3F">
        <w:rPr>
          <w:rFonts w:ascii="Times New Roman" w:hAnsi="Times New Roman" w:cs="Times New Roman"/>
        </w:rPr>
        <w:t xml:space="preserve"> progress re</w:t>
      </w:r>
      <w:r w:rsidR="005827A9">
        <w:rPr>
          <w:rFonts w:ascii="Times New Roman" w:hAnsi="Times New Roman" w:cs="Times New Roman"/>
        </w:rPr>
        <w:t xml:space="preserve">ports on the collection process, </w:t>
      </w:r>
      <w:r w:rsidR="00F00AA9">
        <w:rPr>
          <w:rFonts w:ascii="Times New Roman" w:hAnsi="Times New Roman" w:cs="Times New Roman"/>
        </w:rPr>
        <w:t xml:space="preserve">one </w:t>
      </w:r>
      <w:r w:rsidR="005827A9">
        <w:rPr>
          <w:rFonts w:ascii="Times New Roman" w:hAnsi="Times New Roman" w:cs="Times New Roman"/>
        </w:rPr>
        <w:t>showing response rates for CEQ and CED</w:t>
      </w:r>
      <w:r w:rsidR="00F00AA9">
        <w:rPr>
          <w:rFonts w:ascii="Times New Roman" w:hAnsi="Times New Roman" w:cs="Times New Roman"/>
        </w:rPr>
        <w:t xml:space="preserve"> calculated by the Field division, and another showing </w:t>
      </w:r>
      <w:r w:rsidR="008054C5">
        <w:rPr>
          <w:rFonts w:ascii="Times New Roman" w:hAnsi="Times New Roman" w:cs="Times New Roman"/>
        </w:rPr>
        <w:t xml:space="preserve">the “DSMD” </w:t>
      </w:r>
      <w:r w:rsidR="00F00AA9">
        <w:rPr>
          <w:rFonts w:ascii="Times New Roman" w:hAnsi="Times New Roman" w:cs="Times New Roman"/>
        </w:rPr>
        <w:t xml:space="preserve">response rates for CEQ and CED </w:t>
      </w:r>
      <w:r w:rsidR="008054C5">
        <w:rPr>
          <w:rFonts w:ascii="Times New Roman" w:hAnsi="Times New Roman" w:cs="Times New Roman"/>
        </w:rPr>
        <w:t>provided by ADDP</w:t>
      </w:r>
      <w:r w:rsidR="00F00AA9">
        <w:rPr>
          <w:rFonts w:ascii="Times New Roman" w:hAnsi="Times New Roman" w:cs="Times New Roman"/>
        </w:rPr>
        <w:t xml:space="preserve">. </w:t>
      </w:r>
      <w:r w:rsidRPr="006F7B3F">
        <w:rPr>
          <w:rFonts w:ascii="Times New Roman" w:hAnsi="Times New Roman" w:cs="Times New Roman"/>
        </w:rPr>
        <w:t xml:space="preserve">In this </w:t>
      </w:r>
      <w:r w:rsidR="00F00AA9">
        <w:rPr>
          <w:rFonts w:ascii="Times New Roman" w:hAnsi="Times New Roman" w:cs="Times New Roman"/>
        </w:rPr>
        <w:t>memo,</w:t>
      </w:r>
      <w:r w:rsidRPr="006F7B3F">
        <w:rPr>
          <w:rFonts w:ascii="Times New Roman" w:hAnsi="Times New Roman" w:cs="Times New Roman"/>
        </w:rPr>
        <w:t xml:space="preserve"> the response rates presented in these two reports are compared with the response rates calculated </w:t>
      </w:r>
      <w:r w:rsidR="00FA4ED8">
        <w:rPr>
          <w:rFonts w:ascii="Times New Roman" w:hAnsi="Times New Roman" w:cs="Times New Roman"/>
        </w:rPr>
        <w:t>by</w:t>
      </w:r>
      <w:r w:rsidRPr="006F7B3F">
        <w:rPr>
          <w:rFonts w:ascii="Times New Roman" w:hAnsi="Times New Roman" w:cs="Times New Roman"/>
        </w:rPr>
        <w:t xml:space="preserve"> </w:t>
      </w:r>
      <w:r w:rsidR="00384E15">
        <w:rPr>
          <w:rFonts w:ascii="Times New Roman" w:hAnsi="Times New Roman" w:cs="Times New Roman"/>
        </w:rPr>
        <w:t>CESMD</w:t>
      </w:r>
      <w:r w:rsidRPr="006F7B3F">
        <w:rPr>
          <w:rFonts w:ascii="Times New Roman" w:hAnsi="Times New Roman" w:cs="Times New Roman"/>
        </w:rPr>
        <w:t>.</w:t>
      </w:r>
    </w:p>
    <w:p w:rsidR="00860284" w:rsidP="00D64B1D" w:rsidRDefault="00860284">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The first progress report, “CE Comparison and Progress Final Report</w:t>
      </w:r>
      <w:r w:rsidR="00C90B9E">
        <w:rPr>
          <w:rFonts w:ascii="Times New Roman" w:hAnsi="Times New Roman" w:cs="Times New Roman"/>
        </w:rPr>
        <w:t>,”</w:t>
      </w:r>
      <w:r w:rsidRPr="006F7B3F">
        <w:rPr>
          <w:rFonts w:ascii="Times New Roman" w:hAnsi="Times New Roman" w:cs="Times New Roman"/>
        </w:rPr>
        <w:t xml:space="preserve"> includes response rates (</w:t>
      </w:r>
      <w:r w:rsidR="008054C5">
        <w:rPr>
          <w:rFonts w:ascii="Times New Roman" w:hAnsi="Times New Roman" w:cs="Times New Roman"/>
        </w:rPr>
        <w:t>“</w:t>
      </w:r>
      <w:r w:rsidRPr="006F7B3F">
        <w:rPr>
          <w:rFonts w:ascii="Times New Roman" w:hAnsi="Times New Roman" w:cs="Times New Roman"/>
        </w:rPr>
        <w:t>Field RR</w:t>
      </w:r>
      <w:r w:rsidR="008054C5">
        <w:rPr>
          <w:rFonts w:ascii="Times New Roman" w:hAnsi="Times New Roman" w:cs="Times New Roman"/>
        </w:rPr>
        <w:t>”</w:t>
      </w:r>
      <w:r w:rsidRPr="006F7B3F">
        <w:rPr>
          <w:rFonts w:ascii="Times New Roman" w:hAnsi="Times New Roman" w:cs="Times New Roman"/>
        </w:rPr>
        <w:t>) calculated using the outcome codes pulled directly from the Regional Office Survey Control Operation (ROSCO) system</w:t>
      </w:r>
      <w:r w:rsidR="005D1730">
        <w:rPr>
          <w:rFonts w:ascii="Times New Roman" w:hAnsi="Times New Roman" w:cs="Times New Roman"/>
        </w:rPr>
        <w:t>.</w:t>
      </w:r>
    </w:p>
    <w:p w:rsidRPr="006F7B3F" w:rsidR="005D1730" w:rsidP="00D64B1D" w:rsidRDefault="005D1730">
      <w:pPr>
        <w:tabs>
          <w:tab w:val="left" w:pos="720"/>
          <w:tab w:val="left" w:pos="1620"/>
        </w:tabs>
        <w:spacing w:after="0" w:line="240" w:lineRule="auto"/>
        <w:contextualSpacing/>
        <w:mirrorIndents/>
        <w:jc w:val="both"/>
        <w:rPr>
          <w:rFonts w:ascii="Times New Roman" w:hAnsi="Times New Roman" w:cs="Times New Roman"/>
        </w:rPr>
      </w:pPr>
    </w:p>
    <w:p w:rsidRPr="006F7B3F" w:rsidR="005D1730" w:rsidP="005D1730"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lastRenderedPageBreak/>
        <w:t xml:space="preserve">The second </w:t>
      </w:r>
      <w:r w:rsidR="00167006">
        <w:rPr>
          <w:rFonts w:ascii="Times New Roman" w:hAnsi="Times New Roman" w:cs="Times New Roman"/>
        </w:rPr>
        <w:t>progress report</w:t>
      </w:r>
      <w:r w:rsidRPr="006F7B3F">
        <w:rPr>
          <w:rFonts w:ascii="Times New Roman" w:hAnsi="Times New Roman" w:cs="Times New Roman"/>
        </w:rPr>
        <w:t>, “CE Diary Regional Office Monthly Rates</w:t>
      </w:r>
      <w:r w:rsidR="00167006">
        <w:rPr>
          <w:rFonts w:ascii="Times New Roman" w:hAnsi="Times New Roman" w:cs="Times New Roman"/>
        </w:rPr>
        <w:t xml:space="preserve"> </w:t>
      </w:r>
      <w:r w:rsidRPr="006F7B3F">
        <w:rPr>
          <w:rFonts w:ascii="Times New Roman" w:hAnsi="Times New Roman" w:cs="Times New Roman"/>
        </w:rPr>
        <w:t>and</w:t>
      </w:r>
      <w:r w:rsidR="00167006">
        <w:rPr>
          <w:rFonts w:ascii="Times New Roman" w:hAnsi="Times New Roman" w:cs="Times New Roman"/>
        </w:rPr>
        <w:t xml:space="preserve"> </w:t>
      </w:r>
      <w:r w:rsidRPr="006F7B3F">
        <w:rPr>
          <w:rFonts w:ascii="Times New Roman" w:hAnsi="Times New Roman" w:cs="Times New Roman"/>
        </w:rPr>
        <w:t>CE Quarterly Regional Office Monthly Rates</w:t>
      </w:r>
      <w:r w:rsidR="00C90B9E">
        <w:rPr>
          <w:rFonts w:ascii="Times New Roman" w:hAnsi="Times New Roman" w:cs="Times New Roman"/>
        </w:rPr>
        <w:t>,”</w:t>
      </w:r>
      <w:r w:rsidRPr="006F7B3F">
        <w:rPr>
          <w:rFonts w:ascii="Times New Roman" w:hAnsi="Times New Roman" w:cs="Times New Roman"/>
        </w:rPr>
        <w:t xml:space="preserve"> include</w:t>
      </w:r>
      <w:r w:rsidR="00167006">
        <w:rPr>
          <w:rFonts w:ascii="Times New Roman" w:hAnsi="Times New Roman" w:cs="Times New Roman"/>
        </w:rPr>
        <w:t>s</w:t>
      </w:r>
      <w:r w:rsidRPr="006F7B3F">
        <w:rPr>
          <w:rFonts w:ascii="Times New Roman" w:hAnsi="Times New Roman" w:cs="Times New Roman"/>
        </w:rPr>
        <w:t xml:space="preserve"> the response rates (</w:t>
      </w:r>
      <w:r w:rsidR="008054C5">
        <w:rPr>
          <w:rFonts w:ascii="Times New Roman" w:hAnsi="Times New Roman" w:cs="Times New Roman"/>
        </w:rPr>
        <w:t>“</w:t>
      </w:r>
      <w:r w:rsidRPr="006F7B3F">
        <w:rPr>
          <w:rFonts w:ascii="Times New Roman" w:hAnsi="Times New Roman" w:cs="Times New Roman"/>
        </w:rPr>
        <w:t>DSMD RR</w:t>
      </w:r>
      <w:r w:rsidR="008054C5">
        <w:rPr>
          <w:rFonts w:ascii="Times New Roman" w:hAnsi="Times New Roman" w:cs="Times New Roman"/>
        </w:rPr>
        <w:t>”</w:t>
      </w:r>
      <w:r w:rsidRPr="006F7B3F">
        <w:rPr>
          <w:rFonts w:ascii="Times New Roman" w:hAnsi="Times New Roman" w:cs="Times New Roman"/>
        </w:rPr>
        <w:t xml:space="preserve">) </w:t>
      </w:r>
      <w:r w:rsidR="00482BD0">
        <w:rPr>
          <w:rFonts w:ascii="Times New Roman" w:hAnsi="Times New Roman" w:cs="Times New Roman"/>
        </w:rPr>
        <w:t xml:space="preserve">formerly </w:t>
      </w:r>
      <w:r w:rsidRPr="006F7B3F">
        <w:rPr>
          <w:rFonts w:ascii="Times New Roman" w:hAnsi="Times New Roman" w:cs="Times New Roman"/>
        </w:rPr>
        <w:t>calculated by the Census DSMD office</w:t>
      </w:r>
      <w:r w:rsidR="00482BD0">
        <w:rPr>
          <w:rStyle w:val="FootnoteReference"/>
          <w:rFonts w:ascii="Times New Roman" w:hAnsi="Times New Roman" w:cs="Times New Roman"/>
        </w:rPr>
        <w:footnoteReference w:id="6"/>
      </w:r>
      <w:r w:rsidRPr="006F7B3F">
        <w:rPr>
          <w:rFonts w:ascii="Times New Roman" w:hAnsi="Times New Roman" w:cs="Times New Roman"/>
        </w:rPr>
        <w:t>, at both the national level and for each of the twelve regional offices. These response rates are calculated using the final Census outcome codes after data processing has finished</w:t>
      </w:r>
      <w:r w:rsidR="005D1730">
        <w:rPr>
          <w:rFonts w:ascii="Times New Roman" w:hAnsi="Times New Roman" w:cs="Times New Roman"/>
        </w:rPr>
        <w:t>, which is why the response rates in this progress report are slightly different from those in the first progress report.</w:t>
      </w:r>
    </w:p>
    <w:p w:rsidR="00273F4F" w:rsidP="00921408" w:rsidRDefault="00273F4F">
      <w:pPr>
        <w:tabs>
          <w:tab w:val="left" w:pos="720"/>
          <w:tab w:val="left" w:pos="1620"/>
        </w:tabs>
        <w:spacing w:after="0" w:line="240" w:lineRule="auto"/>
        <w:contextualSpacing/>
        <w:mirrorIndents/>
        <w:rPr>
          <w:rFonts w:ascii="Times New Roman" w:hAnsi="Times New Roman" w:cs="Times New Roman"/>
          <w:b/>
        </w:rPr>
      </w:pPr>
    </w:p>
    <w:p w:rsidR="00921408" w:rsidP="00921408" w:rsidRDefault="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4</w:t>
      </w:r>
      <w:r w:rsidRPr="006F7B3F">
        <w:rPr>
          <w:rFonts w:ascii="Times New Roman" w:hAnsi="Times New Roman" w:cs="Times New Roman"/>
          <w:b/>
        </w:rPr>
        <w:t xml:space="preserve">. </w:t>
      </w:r>
      <w:r>
        <w:rPr>
          <w:rFonts w:ascii="Times New Roman" w:hAnsi="Times New Roman" w:cs="Times New Roman"/>
          <w:b/>
        </w:rPr>
        <w:t>Data Processing at BLS</w:t>
      </w:r>
    </w:p>
    <w:p w:rsidR="009C545E" w:rsidP="00D64B1D" w:rsidRDefault="009C545E">
      <w:pPr>
        <w:tabs>
          <w:tab w:val="left" w:pos="720"/>
          <w:tab w:val="left" w:pos="1620"/>
        </w:tabs>
        <w:spacing w:after="0" w:line="240" w:lineRule="auto"/>
        <w:contextualSpacing/>
        <w:mirrorIndents/>
        <w:jc w:val="both"/>
        <w:rPr>
          <w:rFonts w:ascii="Times New Roman" w:hAnsi="Times New Roman" w:cs="Times New Roman"/>
        </w:rPr>
      </w:pPr>
    </w:p>
    <w:p w:rsidR="003C24C9"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Monthly data are received at BLS from the Census Bureau for both surveys and processed by the</w:t>
      </w:r>
      <w:r w:rsidR="00DC0A87">
        <w:rPr>
          <w:rFonts w:ascii="Times New Roman" w:hAnsi="Times New Roman" w:cs="Times New Roman"/>
        </w:rPr>
        <w:t xml:space="preserve"> Initial Edit System (IES), formerly known as the</w:t>
      </w:r>
      <w:r w:rsidRPr="006F7B3F">
        <w:rPr>
          <w:rFonts w:ascii="Times New Roman" w:hAnsi="Times New Roman" w:cs="Times New Roman"/>
        </w:rPr>
        <w:t xml:space="preserve"> Phase 2 system. </w:t>
      </w:r>
      <w:r w:rsidR="00633033">
        <w:rPr>
          <w:rFonts w:ascii="Times New Roman" w:hAnsi="Times New Roman" w:cs="Times New Roman"/>
        </w:rPr>
        <w:t xml:space="preserve">The IES has several screening processes in place to ensure data quality. One of these processes is the minimal expenditure edit, </w:t>
      </w:r>
      <w:r w:rsidR="009D56E3">
        <w:rPr>
          <w:rFonts w:ascii="Times New Roman" w:hAnsi="Times New Roman" w:cs="Times New Roman"/>
        </w:rPr>
        <w:t xml:space="preserve">a </w:t>
      </w:r>
      <w:r w:rsidR="009D1566">
        <w:rPr>
          <w:rFonts w:ascii="Times New Roman" w:hAnsi="Times New Roman" w:cs="Times New Roman"/>
        </w:rPr>
        <w:t xml:space="preserve">process </w:t>
      </w:r>
      <w:r w:rsidR="00633033">
        <w:rPr>
          <w:rFonts w:ascii="Times New Roman" w:hAnsi="Times New Roman" w:cs="Times New Roman"/>
        </w:rPr>
        <w:t>which screens out cases with</w:t>
      </w:r>
      <w:r w:rsidR="009D1566">
        <w:rPr>
          <w:rFonts w:ascii="Times New Roman" w:hAnsi="Times New Roman" w:cs="Times New Roman"/>
        </w:rPr>
        <w:t xml:space="preserve"> no entries or</w:t>
      </w:r>
      <w:r w:rsidR="00633033">
        <w:rPr>
          <w:rFonts w:ascii="Times New Roman" w:hAnsi="Times New Roman" w:cs="Times New Roman"/>
        </w:rPr>
        <w:t xml:space="preserve"> unusually low reported total expenditures</w:t>
      </w:r>
      <w:r w:rsidR="00F30AAB">
        <w:rPr>
          <w:rFonts w:ascii="Times New Roman" w:hAnsi="Times New Roman" w:cs="Times New Roman"/>
        </w:rPr>
        <w:t>,</w:t>
      </w:r>
      <w:r w:rsidR="00633033">
        <w:rPr>
          <w:rFonts w:ascii="Times New Roman" w:hAnsi="Times New Roman" w:cs="Times New Roman"/>
        </w:rPr>
        <w:t xml:space="preserve"> </w:t>
      </w:r>
      <w:r w:rsidR="009D1566">
        <w:rPr>
          <w:rFonts w:ascii="Times New Roman" w:hAnsi="Times New Roman" w:cs="Times New Roman"/>
        </w:rPr>
        <w:t xml:space="preserve">and </w:t>
      </w:r>
      <w:r w:rsidR="00F30AAB">
        <w:rPr>
          <w:rFonts w:ascii="Times New Roman" w:hAnsi="Times New Roman" w:cs="Times New Roman"/>
        </w:rPr>
        <w:t>reclassifies</w:t>
      </w:r>
      <w:r w:rsidR="009D1566">
        <w:rPr>
          <w:rFonts w:ascii="Times New Roman" w:hAnsi="Times New Roman" w:cs="Times New Roman"/>
        </w:rPr>
        <w:t xml:space="preserve"> their response status from interviews to </w:t>
      </w:r>
      <w:r w:rsidR="002F2D56">
        <w:rPr>
          <w:rFonts w:ascii="Times New Roman" w:hAnsi="Times New Roman" w:cs="Times New Roman"/>
        </w:rPr>
        <w:t>noninterview</w:t>
      </w:r>
      <w:r w:rsidR="00633033">
        <w:rPr>
          <w:rFonts w:ascii="Times New Roman" w:hAnsi="Times New Roman" w:cs="Times New Roman"/>
        </w:rPr>
        <w:t>s. The minimal expenditure edit has been in place in the Diary survey since 2002, and in the Interview survey since 2006.</w:t>
      </w:r>
    </w:p>
    <w:p w:rsidR="009D56E3" w:rsidP="00D64B1D" w:rsidRDefault="009D56E3">
      <w:pPr>
        <w:tabs>
          <w:tab w:val="left" w:pos="720"/>
          <w:tab w:val="left" w:pos="1620"/>
        </w:tabs>
        <w:spacing w:after="0" w:line="240" w:lineRule="auto"/>
        <w:contextualSpacing/>
        <w:mirrorIndents/>
        <w:jc w:val="both"/>
        <w:rPr>
          <w:rFonts w:ascii="Times New Roman" w:hAnsi="Times New Roman" w:cs="Times New Roman"/>
        </w:rPr>
      </w:pPr>
    </w:p>
    <w:p w:rsidR="003C24C9" w:rsidP="00D64B1D" w:rsidRDefault="00B775B2">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In</w:t>
      </w:r>
      <w:r w:rsidR="00A953EE">
        <w:rPr>
          <w:rFonts w:ascii="Times New Roman" w:hAnsi="Times New Roman" w:cs="Times New Roman"/>
        </w:rPr>
        <w:t xml:space="preserve"> the minimal expenditure edit in</w:t>
      </w:r>
      <w:r>
        <w:rPr>
          <w:rFonts w:ascii="Times New Roman" w:hAnsi="Times New Roman" w:cs="Times New Roman"/>
        </w:rPr>
        <w:t xml:space="preserve"> the Interview survey, households are selected by an automated process to be manually reviewed on an individual basis before being reclassified. However, i</w:t>
      </w:r>
      <w:r w:rsidR="009D56E3">
        <w:rPr>
          <w:rFonts w:ascii="Times New Roman" w:hAnsi="Times New Roman" w:cs="Times New Roman"/>
        </w:rPr>
        <w:t xml:space="preserve">n the Diary survey, the minimal expenditure edit is an entirely automated process, and none of the selected diaries are manually reviewed before being reclassified as </w:t>
      </w:r>
      <w:r w:rsidR="002F2D56">
        <w:rPr>
          <w:rFonts w:ascii="Times New Roman" w:hAnsi="Times New Roman" w:cs="Times New Roman"/>
        </w:rPr>
        <w:t>noninterview</w:t>
      </w:r>
      <w:r w:rsidR="00310DEC">
        <w:rPr>
          <w:rFonts w:ascii="Times New Roman" w:hAnsi="Times New Roman" w:cs="Times New Roman"/>
        </w:rPr>
        <w:t>s; these are what are called “reclassified cases.”</w:t>
      </w:r>
    </w:p>
    <w:p w:rsidR="00B775B2" w:rsidP="00D64B1D" w:rsidRDefault="00B775B2">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490C83">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 next stage of processing is the Edit and Estimation </w:t>
      </w:r>
      <w:r w:rsidR="00934C62">
        <w:rPr>
          <w:rFonts w:ascii="Times New Roman" w:hAnsi="Times New Roman" w:cs="Times New Roman"/>
        </w:rPr>
        <w:t>S</w:t>
      </w:r>
      <w:r>
        <w:rPr>
          <w:rFonts w:ascii="Times New Roman" w:hAnsi="Times New Roman" w:cs="Times New Roman"/>
        </w:rPr>
        <w:t xml:space="preserve">ystem (EES), formerly known as Phase 3. </w:t>
      </w:r>
      <w:r w:rsidRPr="006F7B3F" w:rsidR="00D64B1D">
        <w:rPr>
          <w:rFonts w:ascii="Times New Roman" w:hAnsi="Times New Roman" w:cs="Times New Roman"/>
        </w:rPr>
        <w:t xml:space="preserve">After </w:t>
      </w:r>
      <w:r w:rsidR="00FB08C7">
        <w:rPr>
          <w:rFonts w:ascii="Times New Roman" w:hAnsi="Times New Roman" w:cs="Times New Roman"/>
        </w:rPr>
        <w:t xml:space="preserve">the </w:t>
      </w:r>
      <w:r>
        <w:rPr>
          <w:rFonts w:ascii="Times New Roman" w:hAnsi="Times New Roman" w:cs="Times New Roman"/>
        </w:rPr>
        <w:t>E</w:t>
      </w:r>
      <w:r w:rsidR="00FB08C7">
        <w:rPr>
          <w:rFonts w:ascii="Times New Roman" w:hAnsi="Times New Roman" w:cs="Times New Roman"/>
        </w:rPr>
        <w:t>ES</w:t>
      </w:r>
      <w:r w:rsidRPr="006F7B3F" w:rsidR="00D64B1D">
        <w:rPr>
          <w:rFonts w:ascii="Times New Roman" w:hAnsi="Times New Roman" w:cs="Times New Roman"/>
        </w:rPr>
        <w:t xml:space="preserve"> is completed, the official response rates are calculated by CESMD, using the variable OUTCOME for the CEQ and the</w:t>
      </w:r>
      <w:r w:rsidR="00897FF8">
        <w:rPr>
          <w:rFonts w:ascii="Times New Roman" w:hAnsi="Times New Roman" w:cs="Times New Roman"/>
        </w:rPr>
        <w:t xml:space="preserve"> variable PICKCODE for the CED.</w:t>
      </w: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7F0969" w:rsidR="00D64B1D" w:rsidP="00897FF8" w:rsidRDefault="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These outcome codes are generated at Census, but not all codes </w:t>
      </w:r>
      <w:r w:rsidR="00164261">
        <w:rPr>
          <w:rFonts w:ascii="Times New Roman" w:hAnsi="Times New Roman" w:cs="Times New Roman"/>
        </w:rPr>
        <w:t>generated</w:t>
      </w:r>
      <w:r>
        <w:rPr>
          <w:rFonts w:ascii="Times New Roman" w:hAnsi="Times New Roman" w:cs="Times New Roman"/>
        </w:rPr>
        <w:t xml:space="preserve"> by Census are </w:t>
      </w:r>
      <w:r w:rsidR="002105FF">
        <w:rPr>
          <w:rFonts w:ascii="Times New Roman" w:hAnsi="Times New Roman" w:cs="Times New Roman"/>
        </w:rPr>
        <w:t>applicable</w:t>
      </w:r>
      <w:r>
        <w:rPr>
          <w:rFonts w:ascii="Times New Roman" w:hAnsi="Times New Roman" w:cs="Times New Roman"/>
        </w:rPr>
        <w:t xml:space="preserve"> at BLS. For example, Census treats the two weeks of the Diary Survey as one </w:t>
      </w:r>
      <w:r w:rsidR="00B12166">
        <w:rPr>
          <w:rFonts w:ascii="Times New Roman" w:hAnsi="Times New Roman" w:cs="Times New Roman"/>
        </w:rPr>
        <w:t>case</w:t>
      </w:r>
      <w:r>
        <w:rPr>
          <w:rFonts w:ascii="Times New Roman" w:hAnsi="Times New Roman" w:cs="Times New Roman"/>
        </w:rPr>
        <w:t xml:space="preserve">, but BLS treats the two weeks as separate </w:t>
      </w:r>
      <w:r w:rsidR="00B12166">
        <w:rPr>
          <w:rFonts w:ascii="Times New Roman" w:hAnsi="Times New Roman" w:cs="Times New Roman"/>
        </w:rPr>
        <w:t>cases</w:t>
      </w:r>
      <w:r>
        <w:rPr>
          <w:rFonts w:ascii="Times New Roman" w:hAnsi="Times New Roman" w:cs="Times New Roman"/>
        </w:rPr>
        <w:t>, each with their own outcome code</w:t>
      </w:r>
      <w:r w:rsidR="00897FF8">
        <w:rPr>
          <w:rStyle w:val="FootnoteReference"/>
          <w:rFonts w:ascii="Times New Roman" w:hAnsi="Times New Roman" w:cs="Times New Roman"/>
        </w:rPr>
        <w:footnoteReference w:id="7"/>
      </w:r>
      <w:r w:rsidR="00897FF8">
        <w:rPr>
          <w:rFonts w:ascii="Times New Roman" w:hAnsi="Times New Roman" w:cs="Times New Roman"/>
        </w:rPr>
        <w:t xml:space="preserve">. </w:t>
      </w:r>
      <w:r w:rsidR="009E2D55">
        <w:rPr>
          <w:rFonts w:ascii="Times New Roman" w:hAnsi="Times New Roman" w:cs="Times New Roman"/>
        </w:rPr>
        <w:t>Some outcome codes used by Census such as 206</w:t>
      </w:r>
      <w:r w:rsidR="00C83DA0">
        <w:rPr>
          <w:rFonts w:ascii="Times New Roman" w:hAnsi="Times New Roman" w:cs="Times New Roman"/>
        </w:rPr>
        <w:t xml:space="preserve"> </w:t>
      </w:r>
      <w:r w:rsidR="00897FF8">
        <w:rPr>
          <w:rFonts w:ascii="Times New Roman" w:hAnsi="Times New Roman" w:cs="Times New Roman"/>
        </w:rPr>
        <w:t xml:space="preserve">(“Week 1 Type A, Week 2 interview”) </w:t>
      </w:r>
      <w:r w:rsidR="009E2D55">
        <w:rPr>
          <w:rFonts w:ascii="Times New Roman" w:hAnsi="Times New Roman" w:cs="Times New Roman"/>
        </w:rPr>
        <w:t>are</w:t>
      </w:r>
      <w:r w:rsidR="007D70F8">
        <w:rPr>
          <w:rFonts w:ascii="Times New Roman" w:hAnsi="Times New Roman" w:cs="Times New Roman"/>
        </w:rPr>
        <w:t xml:space="preserve"> not used at BLS; instead the two weeks are</w:t>
      </w:r>
      <w:r w:rsidR="009E2D55">
        <w:rPr>
          <w:rFonts w:ascii="Times New Roman" w:hAnsi="Times New Roman" w:cs="Times New Roman"/>
        </w:rPr>
        <w:t xml:space="preserve"> given two separate outcome codes, in this </w:t>
      </w:r>
      <w:r w:rsidR="006B4B32">
        <w:rPr>
          <w:rFonts w:ascii="Times New Roman" w:hAnsi="Times New Roman" w:cs="Times New Roman"/>
        </w:rPr>
        <w:t>example</w:t>
      </w:r>
      <w:r w:rsidR="007D70F8">
        <w:rPr>
          <w:rFonts w:ascii="Times New Roman" w:hAnsi="Times New Roman" w:cs="Times New Roman"/>
        </w:rPr>
        <w:t xml:space="preserve"> given a Type A</w:t>
      </w:r>
      <w:r w:rsidR="00897FF8">
        <w:rPr>
          <w:rFonts w:ascii="Times New Roman" w:hAnsi="Times New Roman" w:cs="Times New Roman"/>
        </w:rPr>
        <w:t xml:space="preserve"> code</w:t>
      </w:r>
      <w:r w:rsidR="007D70F8">
        <w:rPr>
          <w:rFonts w:ascii="Times New Roman" w:hAnsi="Times New Roman" w:cs="Times New Roman"/>
        </w:rPr>
        <w:t xml:space="preserve"> and a completed interview response code</w:t>
      </w:r>
      <w:r w:rsidR="00945BFC">
        <w:rPr>
          <w:rFonts w:ascii="Times New Roman" w:hAnsi="Times New Roman" w:cs="Times New Roman"/>
        </w:rPr>
        <w:t xml:space="preserve"> respectively</w:t>
      </w:r>
      <w:r w:rsidR="007D70F8">
        <w:rPr>
          <w:rFonts w:ascii="Times New Roman" w:hAnsi="Times New Roman" w:cs="Times New Roman"/>
        </w:rPr>
        <w:t>.</w:t>
      </w: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(For complete OUTCOME and PICKCODE definitions, see </w:t>
      </w:r>
      <w:r w:rsidRPr="006F7B3F">
        <w:rPr>
          <w:rFonts w:ascii="Times New Roman" w:hAnsi="Times New Roman" w:cs="Times New Roman"/>
          <w:b/>
        </w:rPr>
        <w:t>Attachment A</w:t>
      </w:r>
      <w:r w:rsidRPr="006F7B3F">
        <w:rPr>
          <w:rFonts w:ascii="Times New Roman" w:hAnsi="Times New Roman" w:cs="Times New Roman"/>
        </w:rPr>
        <w:t>.)</w:t>
      </w: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5</w:t>
      </w:r>
      <w:r w:rsidRPr="006F7B3F" w:rsidR="00D64B1D">
        <w:rPr>
          <w:rFonts w:ascii="Times New Roman" w:hAnsi="Times New Roman" w:cs="Times New Roman"/>
          <w:b/>
        </w:rPr>
        <w:t>. CEQ Response Rates</w:t>
      </w:r>
    </w:p>
    <w:p w:rsidR="009C545E" w:rsidP="00D64B1D" w:rsidRDefault="009C545E">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Here is the formula used for all three response rate calculations (BLS,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and </w:t>
      </w:r>
      <w:r w:rsidR="008054C5">
        <w:rPr>
          <w:rFonts w:ascii="Times New Roman" w:hAnsi="Times New Roman" w:cs="Times New Roman"/>
        </w:rPr>
        <w:t>“</w:t>
      </w:r>
      <w:r w:rsidRPr="006F7B3F">
        <w:rPr>
          <w:rFonts w:ascii="Times New Roman" w:hAnsi="Times New Roman" w:cs="Times New Roman"/>
        </w:rPr>
        <w:t>Field</w:t>
      </w:r>
      <w:r w:rsidR="008054C5">
        <w:rPr>
          <w:rFonts w:ascii="Times New Roman" w:hAnsi="Times New Roman" w:cs="Times New Roman"/>
        </w:rPr>
        <w:t>”</w:t>
      </w:r>
      <w:r w:rsidRPr="006F7B3F">
        <w:rPr>
          <w:rFonts w:ascii="Times New Roman" w:hAnsi="Times New Roman" w:cs="Times New Roman"/>
        </w:rPr>
        <w:t>) for CEQ:</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CE4D74" w:rsidR="00CE4D74" w:rsidP="00CE4D74" w:rsidRDefault="00CE4D74">
      <w:pPr>
        <w:tabs>
          <w:tab w:val="left" w:pos="720"/>
          <w:tab w:val="left" w:pos="1620"/>
        </w:tabs>
        <w:spacing w:after="0" w:line="480" w:lineRule="auto"/>
        <w:contextualSpacing/>
        <w:mirrorIndents/>
        <w:jc w:val="both"/>
        <w:rPr>
          <w:rFonts w:ascii="Times New Roman" w:hAnsi="Times New Roman" w:cs="Times New Roman" w:eastAsiaTheme="minorEastAsia"/>
        </w:rPr>
      </w:pPr>
      <m:oMathPara>
        <m:oMath>
          <m:r>
            <w:rPr>
              <w:rFonts w:ascii="Cambria Math" w:hAnsi="Cambria Math" w:cs="Times New Roman" w:eastAsiaTheme="minorEastAsia"/>
            </w:rPr>
            <m:t>CEQ Response Rate</m:t>
          </m:r>
          <m:r>
            <m:rPr>
              <m:aln/>
            </m:rPr>
            <w:rPr>
              <w:rFonts w:ascii="Cambria Math" w:hAnsi="Cambria Math" w:cs="Times New Roman" w:eastAsiaTheme="minorEastAsia"/>
            </w:rPr>
            <m:t xml:space="preserve">= </m:t>
          </m:r>
          <m:f>
            <m:fPr>
              <m:ctrlPr>
                <w:rPr>
                  <w:rFonts w:ascii="Cambria Math" w:hAnsi="Cambria Math" w:cs="Times New Roman" w:eastAsiaTheme="minorEastAsia"/>
                  <w:i/>
                </w:rPr>
              </m:ctrlPr>
            </m:fPr>
            <m:num>
              <m:r>
                <w:rPr>
                  <w:rFonts w:ascii="Cambria Math" w:hAnsi="Cambria Math" w:cs="Times New Roman" w:eastAsiaTheme="minorEastAsia"/>
                </w:rPr>
                <m:t>Completed Interviews</m:t>
              </m:r>
            </m:num>
            <m:den>
              <m:r>
                <w:rPr>
                  <w:rFonts w:ascii="Cambria Math" w:hAnsi="Cambria Math" w:cs="Times New Roman" w:eastAsiaTheme="minorEastAsia"/>
                </w:rPr>
                <m:t>Eligible Cases</m:t>
              </m:r>
            </m:den>
          </m:f>
          <m:r>
            <w:rPr>
              <w:rFonts w:ascii="Cambria Math" w:hAnsi="Cambria Math" w:cs="Times New Roman" w:eastAsiaTheme="minorEastAsia"/>
            </w:rPr>
            <m:t>×100%</m:t>
          </m:r>
          <m:r>
            <m:rPr>
              <m:sty m:val="p"/>
            </m:rPr>
            <w:rPr>
              <w:rFonts w:ascii="Times New Roman" w:hAnsi="Times New Roman" w:cs="Times New Roman" w:eastAsiaTheme="minorEastAsia"/>
            </w:rPr>
            <w:br/>
          </m:r>
        </m:oMath>
        <m:oMath>
          <m:r>
            <m:rPr>
              <m:aln/>
            </m:rPr>
            <w:rPr>
              <w:rFonts w:ascii="Cambria Math" w:hAnsi="Cambria Math" w:cs="Times New Roman" w:eastAsiaTheme="minorEastAsia"/>
            </w:rPr>
            <m:t>=</m:t>
          </m:r>
          <m:f>
            <m:fPr>
              <m:ctrlPr>
                <w:rPr>
                  <w:rFonts w:ascii="Cambria Math" w:hAnsi="Cambria Math" w:cs="Times New Roman" w:eastAsiaTheme="minorEastAsia"/>
                  <w:i/>
                </w:rPr>
              </m:ctrlPr>
            </m:fPr>
            <m:num>
              <m:r>
                <w:rPr>
                  <w:rFonts w:ascii="Cambria Math" w:hAnsi="Cambria Math" w:cs="Times New Roman" w:eastAsiaTheme="minorEastAsia"/>
                </w:rPr>
                <m:t>Completed Interviews</m:t>
              </m:r>
            </m:num>
            <m:den>
              <m:r>
                <w:rPr>
                  <w:rFonts w:ascii="Cambria Math" w:hAnsi="Cambria Math" w:cs="Times New Roman" w:eastAsiaTheme="minorEastAsia"/>
                </w:rPr>
                <m:t>Completed Interviews+Type A Cases</m:t>
              </m:r>
            </m:den>
          </m:f>
          <m:r>
            <w:rPr>
              <w:rFonts w:ascii="Cambria Math" w:hAnsi="Cambria Math" w:cs="Times New Roman" w:eastAsiaTheme="minorEastAsia"/>
            </w:rPr>
            <m:t>×100%</m:t>
          </m:r>
          <m:r>
            <m:rPr>
              <m:sty m:val="p"/>
            </m:rPr>
            <w:rPr>
              <w:rFonts w:ascii="Times New Roman" w:hAnsi="Times New Roman" w:cs="Times New Roman" w:eastAsiaTheme="minorEastAsia"/>
            </w:rPr>
            <w:br/>
          </m:r>
        </m:oMath>
        <m:oMath>
          <m:r>
            <m:rPr>
              <m:aln/>
            </m:rPr>
            <w:rPr>
              <w:rFonts w:ascii="Cambria Math" w:hAnsi="Cambria Math" w:cs="Times New Roman" w:eastAsiaTheme="minorEastAsia"/>
            </w:rPr>
            <m:t>=</m:t>
          </m:r>
          <m:f>
            <m:fPr>
              <m:ctrlPr>
                <w:rPr>
                  <w:rFonts w:ascii="Cambria Math" w:hAnsi="Cambria Math" w:cs="Times New Roman" w:eastAsiaTheme="minorEastAsia"/>
                  <w:i/>
                </w:rPr>
              </m:ctrlPr>
            </m:fPr>
            <m:num>
              <m:d>
                <m:dPr>
                  <m:ctrlPr>
                    <w:rPr>
                      <w:rFonts w:ascii="Cambria Math" w:hAnsi="Cambria Math" w:cs="Times New Roman" w:eastAsiaTheme="minorEastAsia"/>
                      <w:i/>
                    </w:rPr>
                  </m:ctrlPr>
                </m:dPr>
                <m:e>
                  <m:r>
                    <w:rPr>
                      <w:rFonts w:ascii="Cambria Math" w:hAnsi="Cambria Math" w:cs="Times New Roman" w:eastAsiaTheme="minorEastAsia"/>
                    </w:rPr>
                    <m:t>201+203</m:t>
                  </m:r>
                </m:e>
              </m:d>
            </m:num>
            <m:den>
              <m:d>
                <m:dPr>
                  <m:ctrlPr>
                    <w:rPr>
                      <w:rFonts w:ascii="Cambria Math" w:hAnsi="Cambria Math" w:cs="Times New Roman" w:eastAsiaTheme="minorEastAsia"/>
                      <w:i/>
                    </w:rPr>
                  </m:ctrlPr>
                </m:dPr>
                <m:e>
                  <m:r>
                    <w:rPr>
                      <w:rFonts w:ascii="Cambria Math" w:hAnsi="Cambria Math" w:cs="Times New Roman" w:eastAsiaTheme="minorEastAsia"/>
                    </w:rPr>
                    <m:t>201+203</m:t>
                  </m:r>
                </m:e>
              </m:d>
              <m:r>
                <w:rPr>
                  <w:rFonts w:ascii="Cambria Math" w:hAnsi="Cambria Math" w:cs="Times New Roman" w:eastAsiaTheme="minorEastAsia"/>
                </w:rPr>
                <m:t>+</m:t>
              </m:r>
              <m:d>
                <m:dPr>
                  <m:ctrlPr>
                    <w:rPr>
                      <w:rFonts w:ascii="Cambria Math" w:hAnsi="Cambria Math" w:cs="Times New Roman" w:eastAsiaTheme="minorEastAsia"/>
                      <w:i/>
                    </w:rPr>
                  </m:ctrlPr>
                </m:dPr>
                <m:e>
                  <m:r>
                    <w:rPr>
                      <w:rFonts w:ascii="Cambria Math" w:hAnsi="Cambria Math" w:cs="Times New Roman" w:eastAsiaTheme="minorEastAsia"/>
                    </w:rPr>
                    <m:t>215+216+219+321+322+323+324</m:t>
                  </m:r>
                </m:e>
              </m:d>
            </m:den>
          </m:f>
          <m:r>
            <w:rPr>
              <w:rFonts w:ascii="Cambria Math" w:hAnsi="Cambria Math" w:cs="Times New Roman" w:eastAsiaTheme="minorEastAsia"/>
            </w:rPr>
            <m:t>×100%</m:t>
          </m:r>
        </m:oMath>
      </m:oMathPara>
    </w:p>
    <w:p w:rsidR="00BA7E1F" w:rsidP="00D64B1D" w:rsidRDefault="00C023C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Since all three offices use the same formula it is natural to think all three response rates would be the same.</w:t>
      </w:r>
      <w:r w:rsidR="00BA7E1F">
        <w:rPr>
          <w:rFonts w:ascii="Times New Roman" w:hAnsi="Times New Roman" w:cs="Times New Roman"/>
        </w:rPr>
        <w:t xml:space="preserve"> However, relatively small differences exist in spite of using the same formula.</w:t>
      </w:r>
    </w:p>
    <w:p w:rsidR="00BA7E1F" w:rsidP="00D64B1D" w:rsidRDefault="00BA7E1F">
      <w:pPr>
        <w:tabs>
          <w:tab w:val="left" w:pos="720"/>
          <w:tab w:val="left" w:pos="1620"/>
        </w:tabs>
        <w:spacing w:after="0" w:line="240" w:lineRule="auto"/>
        <w:contextualSpacing/>
        <w:mirrorIndents/>
        <w:jc w:val="both"/>
        <w:rPr>
          <w:rFonts w:ascii="Times New Roman" w:hAnsi="Times New Roman" w:cs="Times New Roman"/>
        </w:rPr>
      </w:pPr>
    </w:p>
    <w:p w:rsidR="002322AC" w:rsidP="00D64B1D" w:rsidRDefault="00B359C3">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lastRenderedPageBreak/>
        <w:t xml:space="preserve">There are several reasons Field,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and CESMD have different response rates in spite of using the same formula. The first reason is that, p</w:t>
      </w:r>
      <w:r w:rsidRPr="006F7B3F" w:rsidR="00C023CD">
        <w:rPr>
          <w:rFonts w:ascii="Times New Roman" w:hAnsi="Times New Roman" w:cs="Times New Roman"/>
        </w:rPr>
        <w:t>rior to the 2010-Census based revision of the CE Survey, which took effect in 2015, the CEQ consisted of five interviews</w:t>
      </w:r>
      <w:r w:rsidR="00BA7E1F">
        <w:rPr>
          <w:rFonts w:ascii="Times New Roman" w:hAnsi="Times New Roman" w:cs="Times New Roman"/>
        </w:rPr>
        <w:t>; Census used all five interviews in its response rate calculations, but BLS used only the last four interviews. The first interview was a “bounding interview,” which provided baseline data and was designed to remove out-of-scope expenditures that respondents tended to report through a flawed cognitive process called “telescoping.”</w:t>
      </w:r>
      <w:r w:rsidR="000440F9">
        <w:rPr>
          <w:rStyle w:val="FootnoteReference"/>
          <w:rFonts w:ascii="Times New Roman" w:hAnsi="Times New Roman" w:cs="Times New Roman"/>
        </w:rPr>
        <w:footnoteReference w:id="8"/>
      </w:r>
      <w:r w:rsidR="00BA7E1F">
        <w:rPr>
          <w:rFonts w:ascii="Times New Roman" w:hAnsi="Times New Roman" w:cs="Times New Roman"/>
        </w:rPr>
        <w:t xml:space="preserve"> Expenditure data was collected in that interview, but it was not used in CE’s final published expenditure estimates. Census included the bounding interview in its response rate calculations, because it was collected. BLS did not include the bounding interview in its response rate calculations, because it was not used in the published expenditure estimates.</w:t>
      </w:r>
      <w:r w:rsidR="002322AC">
        <w:rPr>
          <w:rFonts w:ascii="Times New Roman" w:hAnsi="Times New Roman" w:cs="Times New Roman"/>
        </w:rPr>
        <w:t xml:space="preserve"> </w:t>
      </w:r>
      <w:r w:rsidR="00BA7E1F">
        <w:rPr>
          <w:rFonts w:ascii="Times New Roman" w:hAnsi="Times New Roman" w:cs="Times New Roman"/>
        </w:rPr>
        <w:t xml:space="preserve">However, the bounding interview no longer </w:t>
      </w:r>
      <w:r w:rsidR="008F548D">
        <w:rPr>
          <w:rFonts w:ascii="Times New Roman" w:hAnsi="Times New Roman" w:cs="Times New Roman"/>
        </w:rPr>
        <w:t>exists</w:t>
      </w:r>
      <w:r w:rsidR="00BA7E1F">
        <w:rPr>
          <w:rFonts w:ascii="Times New Roman" w:hAnsi="Times New Roman" w:cs="Times New Roman"/>
        </w:rPr>
        <w:t>, so the discrepancy no longer exists.</w:t>
      </w:r>
    </w:p>
    <w:p w:rsidR="00C023CD" w:rsidP="00D64B1D" w:rsidRDefault="002322AC">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 </w:t>
      </w:r>
    </w:p>
    <w:p w:rsidR="00D64B1D" w:rsidP="002322AC" w:rsidRDefault="002322AC">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This illustrates </w:t>
      </w:r>
      <w:r w:rsidR="00D2710B">
        <w:rPr>
          <w:rFonts w:ascii="Times New Roman" w:hAnsi="Times New Roman" w:cs="Times New Roman"/>
        </w:rPr>
        <w:t>a</w:t>
      </w:r>
      <w:r>
        <w:rPr>
          <w:rFonts w:ascii="Times New Roman" w:hAnsi="Times New Roman" w:cs="Times New Roman"/>
        </w:rPr>
        <w:t xml:space="preserve"> second reason for different response rates between agencies, which is that Census and BLS are </w:t>
      </w:r>
      <w:r w:rsidR="00523948">
        <w:rPr>
          <w:rFonts w:ascii="Times New Roman" w:hAnsi="Times New Roman" w:cs="Times New Roman"/>
        </w:rPr>
        <w:t xml:space="preserve">really </w:t>
      </w:r>
      <w:r>
        <w:rPr>
          <w:rFonts w:ascii="Times New Roman" w:hAnsi="Times New Roman" w:cs="Times New Roman"/>
        </w:rPr>
        <w:t>measuring different concepts. Census is measuring the performance of its field representatives over all their assigned cases, while BLS is measuring the field representatives’ ability to collect usable data for the final expenditure estimates.</w:t>
      </w:r>
      <w:r w:rsidR="006F6FBB">
        <w:rPr>
          <w:rFonts w:ascii="Times New Roman" w:hAnsi="Times New Roman" w:cs="Times New Roman"/>
        </w:rPr>
        <w:t xml:space="preserve"> Despite the end of the bounding interview, there are still small differences in the numbers used in the response rate formulae, such as whether incomplete (partial) interviews should be counted as “good” interviews.</w:t>
      </w:r>
      <w:r>
        <w:rPr>
          <w:rFonts w:ascii="Times New Roman" w:hAnsi="Times New Roman" w:cs="Times New Roman"/>
        </w:rPr>
        <w:t xml:space="preserve"> </w:t>
      </w:r>
      <w:r w:rsidRPr="006F7B3F" w:rsidR="00D64B1D">
        <w:rPr>
          <w:rFonts w:ascii="Times New Roman" w:hAnsi="Times New Roman" w:cs="Times New Roman"/>
        </w:rPr>
        <w:t xml:space="preserve">The differences of these estimates can be observed in </w:t>
      </w:r>
      <w:r w:rsidRPr="00C238EE" w:rsidR="00D64B1D">
        <w:rPr>
          <w:rFonts w:ascii="Times New Roman" w:hAnsi="Times New Roman" w:cs="Times New Roman"/>
          <w:b/>
        </w:rPr>
        <w:t>Graph 1</w:t>
      </w:r>
      <w:r w:rsidRPr="006F7B3F" w:rsidR="00D64B1D">
        <w:rPr>
          <w:rFonts w:ascii="Times New Roman" w:hAnsi="Times New Roman" w:cs="Times New Roman"/>
        </w:rPr>
        <w:t xml:space="preserve"> and </w:t>
      </w:r>
      <w:r w:rsidRPr="00C238EE" w:rsidR="00C238EE">
        <w:rPr>
          <w:rFonts w:ascii="Times New Roman" w:hAnsi="Times New Roman" w:cs="Times New Roman"/>
          <w:b/>
        </w:rPr>
        <w:t xml:space="preserve">Graph </w:t>
      </w:r>
      <w:r w:rsidRPr="00C238EE" w:rsidR="00D64B1D">
        <w:rPr>
          <w:rFonts w:ascii="Times New Roman" w:hAnsi="Times New Roman" w:cs="Times New Roman"/>
          <w:b/>
        </w:rPr>
        <w:t>2</w:t>
      </w:r>
      <w:r w:rsidRPr="006F7B3F" w:rsidR="00D64B1D">
        <w:rPr>
          <w:rFonts w:ascii="Times New Roman" w:hAnsi="Times New Roman" w:cs="Times New Roman"/>
        </w:rPr>
        <w:t xml:space="preserve"> below. The monthly response rates from Census have historically been slightly higher than those from </w:t>
      </w:r>
      <w:r w:rsidR="00C116B1">
        <w:rPr>
          <w:rFonts w:ascii="Times New Roman" w:hAnsi="Times New Roman" w:cs="Times New Roman"/>
        </w:rPr>
        <w:t>BLS</w:t>
      </w:r>
      <w:r w:rsidRPr="006F7B3F" w:rsidR="00D64B1D">
        <w:rPr>
          <w:rFonts w:ascii="Times New Roman" w:hAnsi="Times New Roman" w:cs="Times New Roman"/>
        </w:rPr>
        <w:t xml:space="preserve">, but this difference has </w:t>
      </w:r>
      <w:r w:rsidR="00921121">
        <w:rPr>
          <w:rFonts w:ascii="Times New Roman" w:hAnsi="Times New Roman" w:cs="Times New Roman"/>
        </w:rPr>
        <w:t>decreased</w:t>
      </w:r>
      <w:r w:rsidRPr="006F7B3F" w:rsidR="00D64B1D">
        <w:rPr>
          <w:rFonts w:ascii="Times New Roman" w:hAnsi="Times New Roman" w:cs="Times New Roman"/>
        </w:rPr>
        <w:t xml:space="preserve"> in the past two years, with a difference between </w:t>
      </w:r>
      <w:r w:rsidR="008054C5">
        <w:rPr>
          <w:rFonts w:ascii="Times New Roman" w:hAnsi="Times New Roman" w:cs="Times New Roman"/>
        </w:rPr>
        <w:t>“</w:t>
      </w:r>
      <w:r w:rsidRPr="006F7B3F" w:rsidR="00D64B1D">
        <w:rPr>
          <w:rFonts w:ascii="Times New Roman" w:hAnsi="Times New Roman" w:cs="Times New Roman"/>
        </w:rPr>
        <w:t>DSMD</w:t>
      </w:r>
      <w:r w:rsidR="008054C5">
        <w:rPr>
          <w:rFonts w:ascii="Times New Roman" w:hAnsi="Times New Roman" w:cs="Times New Roman"/>
        </w:rPr>
        <w:t>”</w:t>
      </w:r>
      <w:r w:rsidRPr="006F7B3F" w:rsidR="00D64B1D">
        <w:rPr>
          <w:rFonts w:ascii="Times New Roman" w:hAnsi="Times New Roman" w:cs="Times New Roman"/>
        </w:rPr>
        <w:t xml:space="preserve"> and BLS of 0.045 percent in 2015 and 0.022 percent in 2016. (See complete list in </w:t>
      </w:r>
      <w:r w:rsidRPr="006F7B3F" w:rsidR="00D64B1D">
        <w:rPr>
          <w:rFonts w:ascii="Times New Roman" w:hAnsi="Times New Roman" w:cs="Times New Roman"/>
          <w:b/>
        </w:rPr>
        <w:t>Attachment B</w:t>
      </w:r>
      <w:r w:rsidRPr="006F7B3F" w:rsidR="00D64B1D">
        <w:rPr>
          <w:rFonts w:ascii="Times New Roman" w:hAnsi="Times New Roman" w:cs="Times New Roman"/>
        </w:rPr>
        <w:t xml:space="preserve">.) Notice on the graphs that the Field and </w:t>
      </w:r>
      <w:r w:rsidR="008054C5">
        <w:rPr>
          <w:rFonts w:ascii="Times New Roman" w:hAnsi="Times New Roman" w:cs="Times New Roman"/>
        </w:rPr>
        <w:t>“</w:t>
      </w:r>
      <w:r w:rsidRPr="006F7B3F" w:rsidR="00D64B1D">
        <w:rPr>
          <w:rFonts w:ascii="Times New Roman" w:hAnsi="Times New Roman" w:cs="Times New Roman"/>
        </w:rPr>
        <w:t>DSMD</w:t>
      </w:r>
      <w:r w:rsidR="008054C5">
        <w:rPr>
          <w:rFonts w:ascii="Times New Roman" w:hAnsi="Times New Roman" w:cs="Times New Roman"/>
        </w:rPr>
        <w:t>”</w:t>
      </w:r>
      <w:r w:rsidRPr="006F7B3F" w:rsidR="00D64B1D">
        <w:rPr>
          <w:rFonts w:ascii="Times New Roman" w:hAnsi="Times New Roman" w:cs="Times New Roman"/>
        </w:rPr>
        <w:t xml:space="preserve"> data points are mostly the same, and the BLS data points are as well for 2015 and 2016. (Also visible on the graphs is the result in lost productivity from the October 2013 federal government shutdown.)</w:t>
      </w:r>
    </w:p>
    <w:p w:rsidR="00BA7E1F" w:rsidP="00D64B1D" w:rsidRDefault="00BA7E1F">
      <w:pPr>
        <w:tabs>
          <w:tab w:val="left" w:pos="720"/>
          <w:tab w:val="left" w:pos="1620"/>
        </w:tabs>
        <w:spacing w:after="0" w:line="240" w:lineRule="auto"/>
        <w:contextualSpacing/>
        <w:mirrorIndents/>
        <w:jc w:val="both"/>
        <w:rPr>
          <w:rFonts w:ascii="Times New Roman" w:hAnsi="Times New Roman" w:cs="Times New Roman"/>
        </w:rPr>
      </w:pPr>
    </w:p>
    <w:p w:rsidRPr="006F7B3F" w:rsidR="00BA7E1F" w:rsidP="00BA7E1F" w:rsidRDefault="00BA7E1F">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While BLS response rates are different from Census response rates, m</w:t>
      </w:r>
      <w:r w:rsidRPr="006F7B3F">
        <w:rPr>
          <w:rFonts w:ascii="Times New Roman" w:hAnsi="Times New Roman" w:cs="Times New Roman"/>
        </w:rPr>
        <w:t xml:space="preserve">onthly and annual response rates calculated at Census </w:t>
      </w:r>
      <w:r>
        <w:rPr>
          <w:rFonts w:ascii="Times New Roman" w:hAnsi="Times New Roman" w:cs="Times New Roman"/>
        </w:rPr>
        <w:t xml:space="preserve">by </w:t>
      </w:r>
      <w:r w:rsidRPr="006F7B3F">
        <w:rPr>
          <w:rFonts w:ascii="Times New Roman" w:hAnsi="Times New Roman" w:cs="Times New Roman"/>
        </w:rPr>
        <w:t xml:space="preserve">Field and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differ very little</w:t>
      </w:r>
      <w:r>
        <w:rPr>
          <w:rFonts w:ascii="Times New Roman" w:hAnsi="Times New Roman" w:cs="Times New Roman"/>
        </w:rPr>
        <w:t>. T</w:t>
      </w:r>
      <w:r w:rsidRPr="006F7B3F">
        <w:rPr>
          <w:rFonts w:ascii="Times New Roman" w:hAnsi="Times New Roman" w:cs="Times New Roman"/>
        </w:rPr>
        <w:t>he differences of the reported monthly response rates between the two sources has been consistently less than one percentage point since 2005, and the rates have been identical for the majority of the months over that time</w:t>
      </w:r>
      <w:r>
        <w:rPr>
          <w:rFonts w:ascii="Times New Roman" w:hAnsi="Times New Roman" w:cs="Times New Roman"/>
        </w:rPr>
        <w:t>. T</w:t>
      </w:r>
      <w:r w:rsidRPr="006F7B3F">
        <w:rPr>
          <w:rFonts w:ascii="Times New Roman" w:hAnsi="Times New Roman" w:cs="Times New Roman"/>
        </w:rPr>
        <w:t xml:space="preserve">he largest difference between the two was 0.63 in September 2016. (See complete list in </w:t>
      </w:r>
      <w:r w:rsidRPr="006F7B3F">
        <w:rPr>
          <w:rFonts w:ascii="Times New Roman" w:hAnsi="Times New Roman" w:cs="Times New Roman"/>
          <w:b/>
        </w:rPr>
        <w:t>Attachment B</w:t>
      </w:r>
      <w:r w:rsidRPr="006F7B3F">
        <w:rPr>
          <w:rFonts w:ascii="Times New Roman" w:hAnsi="Times New Roman" w:cs="Times New Roman"/>
        </w:rPr>
        <w:t>.)</w:t>
      </w:r>
    </w:p>
    <w:p w:rsidRPr="006F7B3F" w:rsidR="00BA7E1F" w:rsidP="00BA7E1F" w:rsidRDefault="00BA7E1F">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6</w:t>
      </w:r>
      <w:r w:rsidRPr="006F7B3F" w:rsidR="00D64B1D">
        <w:rPr>
          <w:rFonts w:ascii="Times New Roman" w:hAnsi="Times New Roman" w:cs="Times New Roman"/>
          <w:b/>
        </w:rPr>
        <w:t>. CED Response Rates</w:t>
      </w:r>
    </w:p>
    <w:p w:rsidR="009C545E" w:rsidP="00D64B1D" w:rsidRDefault="009C545E">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Although the </w:t>
      </w:r>
      <w:r w:rsidR="00167006">
        <w:rPr>
          <w:rFonts w:ascii="Times New Roman" w:hAnsi="Times New Roman" w:cs="Times New Roman"/>
        </w:rPr>
        <w:t>response rate</w:t>
      </w:r>
      <w:r w:rsidRPr="006F7B3F">
        <w:rPr>
          <w:rFonts w:ascii="Times New Roman" w:hAnsi="Times New Roman" w:cs="Times New Roman"/>
        </w:rPr>
        <w:t xml:space="preserve"> formula</w:t>
      </w:r>
      <w:r w:rsidR="00167006">
        <w:rPr>
          <w:rFonts w:ascii="Times New Roman" w:hAnsi="Times New Roman" w:cs="Times New Roman"/>
        </w:rPr>
        <w:t xml:space="preserve"> shown </w:t>
      </w:r>
      <w:r w:rsidR="003F1568">
        <w:rPr>
          <w:rFonts w:ascii="Times New Roman" w:hAnsi="Times New Roman" w:cs="Times New Roman"/>
        </w:rPr>
        <w:t>in the introduction</w:t>
      </w:r>
      <w:r w:rsidRPr="006F7B3F">
        <w:rPr>
          <w:rFonts w:ascii="Times New Roman" w:hAnsi="Times New Roman" w:cs="Times New Roman"/>
        </w:rPr>
        <w:t xml:space="preserve"> is used to calculate </w:t>
      </w:r>
      <w:r w:rsidR="00167006">
        <w:rPr>
          <w:rFonts w:ascii="Times New Roman" w:hAnsi="Times New Roman" w:cs="Times New Roman"/>
        </w:rPr>
        <w:t>all the</w:t>
      </w:r>
      <w:r w:rsidRPr="006F7B3F">
        <w:rPr>
          <w:rFonts w:ascii="Times New Roman" w:hAnsi="Times New Roman" w:cs="Times New Roman"/>
        </w:rPr>
        <w:t xml:space="preserve"> response rates discussed in this study, differences in the definition of a good interview and the eligibility of a </w:t>
      </w:r>
      <w:r w:rsidR="002F2D56">
        <w:rPr>
          <w:rFonts w:ascii="Times New Roman" w:hAnsi="Times New Roman" w:cs="Times New Roman"/>
        </w:rPr>
        <w:t>noninterview</w:t>
      </w:r>
      <w:r w:rsidRPr="006F7B3F">
        <w:rPr>
          <w:rFonts w:ascii="Times New Roman" w:hAnsi="Times New Roman" w:cs="Times New Roman"/>
        </w:rPr>
        <w:t xml:space="preserve"> </w:t>
      </w:r>
      <w:r w:rsidR="008F548D">
        <w:rPr>
          <w:rFonts w:ascii="Times New Roman" w:hAnsi="Times New Roman" w:cs="Times New Roman"/>
        </w:rPr>
        <w:t xml:space="preserve">can </w:t>
      </w:r>
      <w:r w:rsidRPr="006F7B3F">
        <w:rPr>
          <w:rFonts w:ascii="Times New Roman" w:hAnsi="Times New Roman" w:cs="Times New Roman"/>
        </w:rPr>
        <w:t>result in big differences among them.</w:t>
      </w:r>
      <w:r w:rsidR="003F1568">
        <w:rPr>
          <w:rFonts w:ascii="Times New Roman" w:hAnsi="Times New Roman" w:cs="Times New Roman"/>
        </w:rPr>
        <w:t xml:space="preserve"> The classification variable used in the CED is called PICKCODE.</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Based on the classification of </w:t>
      </w:r>
      <w:r w:rsidR="003F1568">
        <w:rPr>
          <w:rFonts w:ascii="Times New Roman" w:hAnsi="Times New Roman" w:cs="Times New Roman"/>
        </w:rPr>
        <w:t>PICKCODE values</w:t>
      </w:r>
      <w:r w:rsidRPr="006F7B3F">
        <w:rPr>
          <w:rFonts w:ascii="Times New Roman" w:hAnsi="Times New Roman" w:cs="Times New Roman"/>
        </w:rPr>
        <w:t xml:space="preserve">, here are the current </w:t>
      </w:r>
      <w:r w:rsidR="00B6585A">
        <w:rPr>
          <w:rFonts w:ascii="Times New Roman" w:hAnsi="Times New Roman" w:cs="Times New Roman"/>
        </w:rPr>
        <w:t xml:space="preserve">CED </w:t>
      </w:r>
      <w:r w:rsidRPr="006F7B3F">
        <w:rPr>
          <w:rFonts w:ascii="Times New Roman" w:hAnsi="Times New Roman" w:cs="Times New Roman"/>
        </w:rPr>
        <w:t>response rate formulae:</w:t>
      </w:r>
    </w:p>
    <w:p w:rsidRPr="006F7B3F" w:rsidR="00310DEC" w:rsidP="00D64B1D" w:rsidRDefault="00310DEC">
      <w:pPr>
        <w:tabs>
          <w:tab w:val="left" w:pos="720"/>
          <w:tab w:val="left" w:pos="1620"/>
        </w:tabs>
        <w:spacing w:after="0" w:line="240" w:lineRule="auto"/>
        <w:contextualSpacing/>
        <w:mirrorIndents/>
        <w:jc w:val="both"/>
        <w:rPr>
          <w:rFonts w:ascii="Times New Roman" w:hAnsi="Times New Roman" w:cs="Times New Roman"/>
        </w:rPr>
      </w:pPr>
    </w:p>
    <w:p w:rsidR="009667C5" w:rsidP="009667C5" w:rsidRDefault="009667C5">
      <w:pPr>
        <w:tabs>
          <w:tab w:val="left" w:pos="720"/>
          <w:tab w:val="left" w:pos="1620"/>
        </w:tabs>
        <w:spacing w:after="0" w:line="480" w:lineRule="auto"/>
        <w:contextualSpacing/>
        <w:mirrorIndents/>
        <w:jc w:val="both"/>
        <w:rPr>
          <w:rFonts w:ascii="Times New Roman" w:hAnsi="Times New Roman" w:cs="Times New Roman"/>
        </w:rPr>
      </w:pPr>
      <m:oMathPara>
        <m:oMath>
          <m:r>
            <w:rPr>
              <w:rFonts w:ascii="Cambria Math" w:hAnsi="Cambria Math" w:cs="Times New Roman" w:eastAsiaTheme="minorEastAsia"/>
            </w:rPr>
            <m:t>CED Response Rate</m:t>
          </m:r>
          <m:r>
            <m:rPr>
              <m:aln/>
            </m:rPr>
            <w:rPr>
              <w:rFonts w:ascii="Cambria Math" w:hAnsi="Cambria Math" w:cs="Times New Roman" w:eastAsiaTheme="minorEastAsia"/>
            </w:rPr>
            <m:t xml:space="preserve">= </m:t>
          </m:r>
          <m:f>
            <m:fPr>
              <m:ctrlPr>
                <w:rPr>
                  <w:rFonts w:ascii="Cambria Math" w:hAnsi="Cambria Math" w:cs="Times New Roman" w:eastAsiaTheme="minorEastAsia"/>
                  <w:i/>
                </w:rPr>
              </m:ctrlPr>
            </m:fPr>
            <m:num>
              <m:r>
                <w:rPr>
                  <w:rFonts w:ascii="Cambria Math" w:hAnsi="Cambria Math" w:cs="Times New Roman" w:eastAsiaTheme="minorEastAsia"/>
                </w:rPr>
                <m:t>Completed Interviews</m:t>
              </m:r>
            </m:num>
            <m:den>
              <m:r>
                <w:rPr>
                  <w:rFonts w:ascii="Cambria Math" w:hAnsi="Cambria Math" w:cs="Times New Roman" w:eastAsiaTheme="minorEastAsia"/>
                </w:rPr>
                <m:t>Eligible Cases</m:t>
              </m:r>
            </m:den>
          </m:f>
          <m:r>
            <w:rPr>
              <w:rFonts w:ascii="Cambria Math" w:hAnsi="Cambria Math" w:cs="Times New Roman" w:eastAsiaTheme="minorEastAsia"/>
            </w:rPr>
            <m:t>×100%</m:t>
          </m:r>
          <m:r>
            <m:rPr>
              <m:sty m:val="p"/>
            </m:rPr>
            <w:rPr>
              <w:rFonts w:ascii="Times New Roman" w:hAnsi="Times New Roman" w:cs="Times New Roman" w:eastAsiaTheme="minorEastAsia"/>
            </w:rPr>
            <w:br/>
          </m:r>
        </m:oMath>
        <m:oMath>
          <m:r>
            <m:rPr>
              <m:aln/>
            </m:rPr>
            <w:rPr>
              <w:rFonts w:ascii="Cambria Math" w:hAnsi="Cambria Math" w:cs="Times New Roman" w:eastAsiaTheme="minorEastAsia"/>
            </w:rPr>
            <m:t>=</m:t>
          </m:r>
          <m:f>
            <m:fPr>
              <m:ctrlPr>
                <w:rPr>
                  <w:rFonts w:ascii="Cambria Math" w:hAnsi="Cambria Math" w:cs="Times New Roman" w:eastAsiaTheme="minorEastAsia"/>
                  <w:i/>
                </w:rPr>
              </m:ctrlPr>
            </m:fPr>
            <m:num>
              <m:r>
                <w:rPr>
                  <w:rFonts w:ascii="Cambria Math" w:hAnsi="Cambria Math" w:cs="Times New Roman" w:eastAsiaTheme="minorEastAsia"/>
                </w:rPr>
                <m:t>Completed Interviews</m:t>
              </m:r>
            </m:num>
            <m:den>
              <m:r>
                <w:rPr>
                  <w:rFonts w:ascii="Cambria Math" w:hAnsi="Cambria Math" w:cs="Times New Roman" w:eastAsiaTheme="minorEastAsia"/>
                </w:rPr>
                <m:t>Completed Cases+Type A Cases</m:t>
              </m:r>
            </m:den>
          </m:f>
          <m:r>
            <w:rPr>
              <w:rFonts w:ascii="Cambria Math" w:hAnsi="Cambria Math" w:cs="Times New Roman" w:eastAsiaTheme="minorEastAsia"/>
            </w:rPr>
            <m:t>×100%</m:t>
          </m:r>
        </m:oMath>
      </m:oMathPara>
    </w:p>
    <w:p w:rsidR="00972790" w:rsidP="00972790" w:rsidRDefault="009667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BLS versio</w:t>
      </w:r>
      <w:r w:rsidR="00972790">
        <w:rPr>
          <w:rFonts w:ascii="Times New Roman" w:hAnsi="Times New Roman" w:cs="Times New Roman"/>
        </w:rPr>
        <w:t>n of the formula is as follows:</w:t>
      </w:r>
    </w:p>
    <w:p w:rsidRPr="00972790" w:rsidR="009667C5" w:rsidP="00972790" w:rsidRDefault="009667C5">
      <w:pPr>
        <w:tabs>
          <w:tab w:val="left" w:pos="720"/>
          <w:tab w:val="left" w:pos="1620"/>
        </w:tabs>
        <w:spacing w:after="0" w:line="240" w:lineRule="auto"/>
        <w:contextualSpacing/>
        <w:mirrorIndents/>
        <w:jc w:val="both"/>
        <w:rPr>
          <w:rFonts w:ascii="Times New Roman" w:hAnsi="Times New Roman" w:cs="Times New Roman"/>
        </w:rPr>
      </w:pPr>
      <m:oMathPara>
        <m:oMath>
          <m:r>
            <w:rPr>
              <w:rFonts w:ascii="Cambria Math" w:hAnsi="Cambria Math" w:cs="Times New Roman" w:eastAsiaTheme="minorEastAsia"/>
              <w:sz w:val="20"/>
              <w:szCs w:val="20"/>
            </w:rPr>
            <m:t xml:space="preserve">RR </m:t>
          </m:r>
          <m:r>
            <m:rPr>
              <m:aln/>
            </m:rPr>
            <w:rPr>
              <w:rFonts w:ascii="Cambria Math" w:hAnsi="Cambria Math" w:cs="Times New Roman" w:eastAsiaTheme="minorEastAsia"/>
              <w:sz w:val="20"/>
              <w:szCs w:val="20"/>
            </w:rPr>
            <m:t>=</m:t>
          </m:r>
          <m:f>
            <m:fPr>
              <m:ctrlPr>
                <w:rPr>
                  <w:rFonts w:ascii="Cambria Math" w:hAnsi="Cambria Math" w:cs="Times New Roman" w:eastAsiaTheme="minorEastAsia"/>
                  <w:i/>
                  <w:sz w:val="20"/>
                  <w:szCs w:val="20"/>
                </w:rPr>
              </m:ctrlPr>
            </m:fPr>
            <m:num>
              <m:d>
                <m:dPr>
                  <m:ctrlPr>
                    <w:rPr>
                      <w:rFonts w:ascii="Cambria Math" w:hAnsi="Cambria Math" w:cs="Times New Roman" w:eastAsiaTheme="minorEastAsia"/>
                      <w:i/>
                      <w:sz w:val="20"/>
                      <w:szCs w:val="20"/>
                    </w:rPr>
                  </m:ctrlPr>
                </m:dPr>
                <m:e>
                  <m:r>
                    <w:rPr>
                      <w:rFonts w:ascii="Cambria Math" w:hAnsi="Cambria Math" w:cs="Times New Roman" w:eastAsiaTheme="minorEastAsia"/>
                      <w:sz w:val="20"/>
                      <w:szCs w:val="20"/>
                    </w:rPr>
                    <m:t>201+217</m:t>
                  </m:r>
                </m:e>
              </m:d>
            </m:num>
            <m:den>
              <m:d>
                <m:dPr>
                  <m:ctrlPr>
                    <w:rPr>
                      <w:rFonts w:ascii="Cambria Math" w:hAnsi="Cambria Math" w:cs="Times New Roman" w:eastAsiaTheme="minorEastAsia"/>
                      <w:i/>
                      <w:sz w:val="20"/>
                      <w:szCs w:val="20"/>
                    </w:rPr>
                  </m:ctrlPr>
                </m:dPr>
                <m:e>
                  <m:r>
                    <w:rPr>
                      <w:rFonts w:ascii="Cambria Math" w:hAnsi="Cambria Math" w:cs="Times New Roman" w:eastAsiaTheme="minorEastAsia"/>
                      <w:sz w:val="20"/>
                      <w:szCs w:val="20"/>
                    </w:rPr>
                    <m:t>201+217</m:t>
                  </m:r>
                </m:e>
              </m:d>
              <m:r>
                <w:rPr>
                  <w:rFonts w:ascii="Cambria Math" w:hAnsi="Cambria Math" w:cs="Times New Roman" w:eastAsiaTheme="minorEastAsia"/>
                  <w:sz w:val="20"/>
                  <w:szCs w:val="20"/>
                </w:rPr>
                <m:t>+(216+219+320+321+322+323+324+325+326+reclassified cases)</m:t>
              </m:r>
            </m:den>
          </m:f>
          <m:r>
            <w:rPr>
              <w:rFonts w:ascii="Cambria Math" w:hAnsi="Cambria Math" w:cs="Times New Roman" w:eastAsiaTheme="minorEastAsia"/>
              <w:sz w:val="20"/>
              <w:szCs w:val="20"/>
            </w:rPr>
            <m:t>×100%</m:t>
          </m:r>
        </m:oMath>
      </m:oMathPara>
    </w:p>
    <w:p w:rsidR="00310DEC" w:rsidP="00D64B1D" w:rsidRDefault="00310DEC">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3F1568">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two Census response rates (</w:t>
      </w:r>
      <w:r w:rsidR="008054C5">
        <w:rPr>
          <w:rFonts w:ascii="Times New Roman" w:hAnsi="Times New Roman" w:cs="Times New Roman"/>
        </w:rPr>
        <w:t>“</w:t>
      </w:r>
      <w:r>
        <w:rPr>
          <w:rFonts w:ascii="Times New Roman" w:hAnsi="Times New Roman" w:cs="Times New Roman"/>
        </w:rPr>
        <w:t>Field</w:t>
      </w:r>
      <w:r w:rsidR="008054C5">
        <w:rPr>
          <w:rFonts w:ascii="Times New Roman" w:hAnsi="Times New Roman" w:cs="Times New Roman"/>
        </w:rPr>
        <w:t>”</w:t>
      </w:r>
      <w:r>
        <w:rPr>
          <w:rFonts w:ascii="Times New Roman" w:hAnsi="Times New Roman" w:cs="Times New Roman"/>
        </w:rPr>
        <w:t xml:space="preserve"> and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are now calculated the same as each other:</w:t>
      </w:r>
    </w:p>
    <w:p w:rsidR="00564897" w:rsidP="00D64B1D" w:rsidRDefault="00564897">
      <w:pPr>
        <w:tabs>
          <w:tab w:val="left" w:pos="720"/>
          <w:tab w:val="left" w:pos="1620"/>
        </w:tabs>
        <w:spacing w:after="0" w:line="240" w:lineRule="auto"/>
        <w:contextualSpacing/>
        <w:mirrorIndents/>
        <w:jc w:val="both"/>
        <w:rPr>
          <w:rFonts w:ascii="Times New Roman" w:hAnsi="Times New Roman" w:cs="Times New Roman"/>
        </w:rPr>
      </w:pPr>
    </w:p>
    <w:p w:rsidRPr="0029236E" w:rsidR="00567E19" w:rsidP="008138D8" w:rsidRDefault="0029236E">
      <w:pPr>
        <w:tabs>
          <w:tab w:val="left" w:pos="720"/>
          <w:tab w:val="left" w:pos="1620"/>
        </w:tabs>
        <w:spacing w:after="0" w:line="480" w:lineRule="auto"/>
        <w:contextualSpacing/>
        <w:mirrorIndents/>
        <w:jc w:val="right"/>
        <w:rPr>
          <w:rFonts w:ascii="Times New Roman" w:hAnsi="Times New Roman" w:cs="Times New Roman" w:eastAsiaTheme="minorEastAsia"/>
          <w:sz w:val="24"/>
          <w:szCs w:val="24"/>
        </w:rPr>
      </w:pPr>
      <w:r>
        <w:rPr>
          <w:rFonts w:ascii="Times New Roman" w:hAnsi="Times New Roman" w:cs="Times New Roman" w:eastAsiaTheme="minorEastAsia"/>
          <w:sz w:val="20"/>
          <w:szCs w:val="20"/>
        </w:rPr>
        <w:tab/>
      </w:r>
      <m:oMath>
        <m:r>
          <w:rPr>
            <w:rFonts w:ascii="Cambria Math" w:hAnsi="Cambria Math" w:cs="Times New Roman" w:eastAsiaTheme="minorEastAsia"/>
            <w:sz w:val="24"/>
            <w:szCs w:val="24"/>
          </w:rPr>
          <m:t xml:space="preserve">RR </m:t>
        </m:r>
        <m:r>
          <m:rPr>
            <m:aln/>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201+203+206+reclassified cases</m:t>
                </m:r>
              </m:e>
            </m:d>
          </m:num>
          <m:den>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201+203+206+reclassified cases</m:t>
                </m:r>
              </m:e>
            </m:d>
            <m:r>
              <w:rPr>
                <w:rFonts w:ascii="Cambria Math" w:hAnsi="Cambria Math" w:cs="Times New Roman" w:eastAsiaTheme="minorEastAsia"/>
                <w:sz w:val="24"/>
                <w:szCs w:val="24"/>
              </w:rPr>
              <m:t>+(216+217+219+320+321+322+323+324+325+326)</m:t>
            </m:r>
          </m:den>
        </m:f>
        <m:r>
          <w:rPr>
            <w:rFonts w:ascii="Cambria Math" w:hAnsi="Cambria Math" w:cs="Times New Roman" w:eastAsiaTheme="minorEastAsia"/>
            <w:sz w:val="24"/>
            <w:szCs w:val="24"/>
          </w:rPr>
          <m:t xml:space="preserve">×100%  </m:t>
        </m:r>
      </m:oMath>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However, prior to 201</w:t>
      </w:r>
      <w:r w:rsidR="005C700A">
        <w:rPr>
          <w:rFonts w:ascii="Times New Roman" w:hAnsi="Times New Roman" w:cs="Times New Roman"/>
        </w:rPr>
        <w:t>7</w:t>
      </w:r>
      <w:r w:rsidRPr="006F7B3F">
        <w:rPr>
          <w:rFonts w:ascii="Times New Roman" w:hAnsi="Times New Roman" w:cs="Times New Roman"/>
        </w:rPr>
        <w:t>, the Census response rates used these formulae:</w:t>
      </w:r>
    </w:p>
    <w:p w:rsidR="002E5AC0" w:rsidP="00D64B1D" w:rsidRDefault="002E5AC0">
      <w:pPr>
        <w:tabs>
          <w:tab w:val="left" w:pos="720"/>
          <w:tab w:val="left" w:pos="1620"/>
        </w:tabs>
        <w:spacing w:after="0" w:line="240" w:lineRule="auto"/>
        <w:contextualSpacing/>
        <w:mirrorIndents/>
        <w:jc w:val="both"/>
        <w:rPr>
          <w:rFonts w:ascii="Times New Roman" w:hAnsi="Times New Roman" w:cs="Times New Roman"/>
          <w:i/>
        </w:rPr>
      </w:pPr>
    </w:p>
    <w:p w:rsidRPr="00192CBB" w:rsidR="00192CBB" w:rsidP="00D64B1D" w:rsidRDefault="00192CBB">
      <w:pPr>
        <w:tabs>
          <w:tab w:val="left" w:pos="720"/>
          <w:tab w:val="left" w:pos="1620"/>
        </w:tabs>
        <w:spacing w:after="0" w:line="240" w:lineRule="auto"/>
        <w:contextualSpacing/>
        <w:mirrorIndents/>
        <w:jc w:val="both"/>
        <w:rPr>
          <w:rFonts w:ascii="Times New Roman" w:hAnsi="Times New Roman" w:cs="Times New Roman"/>
          <w:i/>
        </w:rPr>
      </w:pPr>
      <w:proofErr w:type="gramStart"/>
      <w:r w:rsidRPr="00192CBB">
        <w:rPr>
          <w:rFonts w:ascii="Times New Roman" w:hAnsi="Times New Roman" w:cs="Times New Roman"/>
          <w:i/>
        </w:rPr>
        <w:t>old</w:t>
      </w:r>
      <w:proofErr w:type="gramEnd"/>
      <w:r w:rsidRPr="00192CBB">
        <w:rPr>
          <w:rFonts w:ascii="Times New Roman" w:hAnsi="Times New Roman" w:cs="Times New Roman"/>
          <w:i/>
        </w:rPr>
        <w:t xml:space="preserve"> </w:t>
      </w:r>
      <w:r>
        <w:rPr>
          <w:rFonts w:ascii="Times New Roman" w:hAnsi="Times New Roman" w:cs="Times New Roman"/>
          <w:i/>
        </w:rPr>
        <w:t>Field CED Response Rate:</w:t>
      </w:r>
    </w:p>
    <w:p w:rsidR="008138D8" w:rsidP="008138D8" w:rsidRDefault="0029236E">
      <w:pPr>
        <w:tabs>
          <w:tab w:val="left" w:pos="720"/>
          <w:tab w:val="left" w:pos="1620"/>
        </w:tabs>
        <w:spacing w:after="0" w:line="480" w:lineRule="auto"/>
        <w:contextualSpacing/>
        <w:mirrorIndents/>
        <w:jc w:val="right"/>
        <w:rPr>
          <w:rFonts w:ascii="Times New Roman" w:hAnsi="Times New Roman" w:cs="Times New Roman" w:eastAsiaTheme="minorEastAsia"/>
          <w:i/>
        </w:rPr>
      </w:pPr>
      <w:r>
        <w:rPr>
          <w:rFonts w:ascii="Times New Roman" w:hAnsi="Times New Roman" w:cs="Times New Roman" w:eastAsiaTheme="minorEastAsia"/>
          <w:i/>
        </w:rPr>
        <w:tab/>
      </w:r>
      <m:oMath>
        <m:r>
          <w:rPr>
            <w:rFonts w:ascii="Cambria Math" w:hAnsi="Cambria Math" w:cs="Times New Roman" w:eastAsiaTheme="minorEastAsia"/>
            <w:sz w:val="24"/>
            <w:szCs w:val="24"/>
          </w:rPr>
          <m:t>RR =</m:t>
        </m:r>
        <m:f>
          <m:fPr>
            <m:ctrlPr>
              <w:rPr>
                <w:rFonts w:ascii="Cambria Math" w:hAnsi="Cambria Math" w:cs="Times New Roman" w:eastAsiaTheme="minorEastAsia"/>
                <w:i/>
                <w:sz w:val="24"/>
                <w:szCs w:val="24"/>
              </w:rPr>
            </m:ctrlPr>
          </m:fPr>
          <m:num>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201+203+204+206+207+reclassified cases</m:t>
                </m:r>
              </m:e>
            </m:d>
          </m:num>
          <m:den>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201+203+204+206+207+reclassified cases</m:t>
                </m:r>
              </m:e>
            </m:d>
            <m:r>
              <w:rPr>
                <w:rFonts w:ascii="Cambria Math" w:hAnsi="Cambria Math" w:cs="Times New Roman" w:eastAsiaTheme="minorEastAsia"/>
                <w:sz w:val="24"/>
                <w:szCs w:val="24"/>
              </w:rPr>
              <m:t>+</m:t>
            </m:r>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210+216+219+321+322+323+324+325</m:t>
                </m:r>
              </m:e>
            </m:d>
          </m:den>
        </m:f>
        <m:r>
          <w:rPr>
            <w:rFonts w:ascii="Cambria Math" w:hAnsi="Cambria Math" w:cs="Times New Roman" w:eastAsiaTheme="minorEastAsia"/>
            <w:sz w:val="24"/>
            <w:szCs w:val="24"/>
          </w:rPr>
          <m:t xml:space="preserve">×100%  </m:t>
        </m:r>
      </m:oMath>
    </w:p>
    <w:p w:rsidR="0029236E" w:rsidP="008138D8" w:rsidRDefault="00192CBB">
      <w:pPr>
        <w:tabs>
          <w:tab w:val="left" w:pos="720"/>
          <w:tab w:val="left" w:pos="1620"/>
        </w:tabs>
        <w:spacing w:after="0" w:line="480" w:lineRule="auto"/>
        <w:contextualSpacing/>
        <w:mirrorIndents/>
        <w:jc w:val="both"/>
        <w:rPr>
          <w:rFonts w:ascii="Times New Roman" w:hAnsi="Times New Roman" w:cs="Times New Roman" w:eastAsiaTheme="minorEastAsia"/>
          <w:i/>
        </w:rPr>
      </w:pPr>
      <w:r>
        <w:rPr>
          <w:rFonts w:ascii="Times New Roman" w:hAnsi="Times New Roman" w:cs="Times New Roman" w:eastAsiaTheme="minorEastAsia"/>
          <w:i/>
        </w:rPr>
        <w:t xml:space="preserve">old </w:t>
      </w:r>
      <w:r w:rsidR="008054C5">
        <w:rPr>
          <w:rFonts w:ascii="Times New Roman" w:hAnsi="Times New Roman" w:cs="Times New Roman" w:eastAsiaTheme="minorEastAsia"/>
          <w:i/>
        </w:rPr>
        <w:t>“</w:t>
      </w:r>
      <w:r>
        <w:rPr>
          <w:rFonts w:ascii="Times New Roman" w:hAnsi="Times New Roman" w:cs="Times New Roman" w:eastAsiaTheme="minorEastAsia"/>
          <w:i/>
        </w:rPr>
        <w:t>DSMD</w:t>
      </w:r>
      <w:r w:rsidR="008054C5">
        <w:rPr>
          <w:rFonts w:ascii="Times New Roman" w:hAnsi="Times New Roman" w:cs="Times New Roman" w:eastAsiaTheme="minorEastAsia"/>
          <w:i/>
        </w:rPr>
        <w:t>”</w:t>
      </w:r>
      <w:r>
        <w:rPr>
          <w:rFonts w:ascii="Times New Roman" w:hAnsi="Times New Roman" w:cs="Times New Roman" w:eastAsiaTheme="minorEastAsia"/>
          <w:i/>
        </w:rPr>
        <w:t xml:space="preserve"> CED Response Rate:</w:t>
      </w:r>
    </w:p>
    <w:p w:rsidRPr="008138D8" w:rsidR="00567E19" w:rsidP="008138D8" w:rsidRDefault="008138D8">
      <w:pPr>
        <w:tabs>
          <w:tab w:val="left" w:pos="720"/>
          <w:tab w:val="left" w:pos="1620"/>
        </w:tabs>
        <w:spacing w:after="0" w:line="480" w:lineRule="auto"/>
        <w:contextualSpacing/>
        <w:mirrorIndents/>
        <w:jc w:val="right"/>
        <w:rPr>
          <w:rFonts w:ascii="Times New Roman" w:hAnsi="Times New Roman" w:cs="Times New Roman" w:eastAsiaTheme="minorEastAsia"/>
          <w:i/>
          <w:sz w:val="24"/>
          <w:szCs w:val="24"/>
        </w:rPr>
      </w:pPr>
      <m:oMath>
        <m:r>
          <w:rPr>
            <w:rFonts w:ascii="Cambria Math" w:hAnsi="Cambria Math" w:cs="Times New Roman" w:eastAsiaTheme="minorEastAsia"/>
            <w:sz w:val="24"/>
            <w:szCs w:val="24"/>
          </w:rPr>
          <m:t>RR =</m:t>
        </m:r>
        <m:f>
          <m:fPr>
            <m:ctrlPr>
              <w:rPr>
                <w:rFonts w:ascii="Cambria Math" w:hAnsi="Cambria Math" w:cs="Times New Roman" w:eastAsiaTheme="minorEastAsia"/>
                <w:i/>
                <w:sz w:val="24"/>
                <w:szCs w:val="24"/>
              </w:rPr>
            </m:ctrlPr>
          </m:fPr>
          <m:num>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201+203+204+206+207+reclassified cases</m:t>
                </m:r>
              </m:e>
            </m:d>
          </m:num>
          <m:den>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201+203+204+206+207+reclassified cases</m:t>
                </m:r>
              </m:e>
            </m:d>
            <m:r>
              <w:rPr>
                <w:rFonts w:ascii="Cambria Math" w:hAnsi="Cambria Math" w:cs="Times New Roman" w:eastAsiaTheme="minorEastAsia"/>
                <w:sz w:val="24"/>
                <w:szCs w:val="24"/>
              </w:rPr>
              <m:t>+</m:t>
            </m:r>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210+216+217+219+321+322+323+324+325</m:t>
                </m:r>
              </m:e>
            </m:d>
          </m:den>
        </m:f>
        <m:r>
          <w:rPr>
            <w:rFonts w:ascii="Cambria Math" w:hAnsi="Cambria Math" w:cs="Times New Roman" w:eastAsiaTheme="minorEastAsia"/>
            <w:sz w:val="24"/>
            <w:szCs w:val="24"/>
          </w:rPr>
          <m:t>×100%</m:t>
        </m:r>
      </m:oMath>
      <w:r w:rsidR="0029236E">
        <w:rPr>
          <w:rFonts w:ascii="Times New Roman" w:hAnsi="Times New Roman" w:cs="Times New Roman" w:eastAsiaTheme="minorEastAsia"/>
          <w:i/>
        </w:rPr>
        <w:tab/>
      </w:r>
    </w:p>
    <w:p w:rsidR="00E01F99" w:rsidP="00D64B1D" w:rsidRDefault="00E01F99">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Because Census considers the two weeks of the Diary Survey to be a single record, there are several outcome codes for Diary which are non-applicable for us at BLS.</w:t>
      </w:r>
      <w:r>
        <w:rPr>
          <w:rStyle w:val="FootnoteReference"/>
          <w:rFonts w:ascii="Times New Roman" w:hAnsi="Times New Roman" w:cs="Times New Roman"/>
        </w:rPr>
        <w:footnoteReference w:id="9"/>
      </w:r>
      <w:r w:rsidR="00972790">
        <w:rPr>
          <w:rFonts w:ascii="Times New Roman" w:hAnsi="Times New Roman" w:cs="Times New Roman"/>
        </w:rPr>
        <w:t xml:space="preserve"> For example, the codes 203 and 206 consist of, from the BLS point of view, a good interview one week and a Type A non-interview the other week. However, Census considers these codes to be good interviews for the two weeks combined, thus partially explaining the higher response rates reported by Census. </w:t>
      </w:r>
    </w:p>
    <w:p w:rsidR="00E01F99" w:rsidP="00D64B1D" w:rsidRDefault="00E01F99">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8054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Monthly and annual Field and “DSMD” response rates </w:t>
      </w:r>
      <w:r w:rsidRPr="006F7B3F" w:rsidR="00D64B1D">
        <w:rPr>
          <w:rFonts w:ascii="Times New Roman" w:hAnsi="Times New Roman" w:cs="Times New Roman"/>
        </w:rPr>
        <w:t xml:space="preserve">calculated at Census differed prior to 2016 largely because the cases coded as PICKCODE = 217 (“Temporarily Absent”) were classified as Type A </w:t>
      </w:r>
      <w:r w:rsidR="002F2D56">
        <w:rPr>
          <w:rFonts w:ascii="Times New Roman" w:hAnsi="Times New Roman" w:cs="Times New Roman"/>
        </w:rPr>
        <w:t>noninterview</w:t>
      </w:r>
      <w:r w:rsidRPr="006F7B3F" w:rsidR="00D64B1D">
        <w:rPr>
          <w:rFonts w:ascii="Times New Roman" w:hAnsi="Times New Roman" w:cs="Times New Roman"/>
        </w:rPr>
        <w:t xml:space="preserve">s for the DSMD response rate calculations, but Type B </w:t>
      </w:r>
      <w:r w:rsidR="002F2D56">
        <w:rPr>
          <w:rFonts w:ascii="Times New Roman" w:hAnsi="Times New Roman" w:cs="Times New Roman"/>
        </w:rPr>
        <w:t>noninterview</w:t>
      </w:r>
      <w:r w:rsidRPr="006F7B3F" w:rsidR="00D64B1D">
        <w:rPr>
          <w:rFonts w:ascii="Times New Roman" w:hAnsi="Times New Roman" w:cs="Times New Roman"/>
        </w:rPr>
        <w:t>s for the Field response rate calculations. However, in 2016, Field began classifying Temporarily Absent cases as Type A’s as well.</w:t>
      </w:r>
    </w:p>
    <w:p w:rsidRPr="006F7B3F" w:rsidR="00D64B1D" w:rsidP="00D64B1D" w:rsidRDefault="00A93BAC">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Temporarily Absent cases are those where the CU is not at home during the interview period due to a vacation or business trip for less than six months. Therefore, they have no expenditures at home during that week, and as such, </w:t>
      </w:r>
      <w:r w:rsidR="00C116B1">
        <w:rPr>
          <w:rFonts w:ascii="Times New Roman" w:hAnsi="Times New Roman" w:cs="Times New Roman"/>
        </w:rPr>
        <w:t>BLS</w:t>
      </w:r>
      <w:r w:rsidRPr="006F7B3F">
        <w:rPr>
          <w:rFonts w:ascii="Times New Roman" w:hAnsi="Times New Roman" w:cs="Times New Roman"/>
        </w:rPr>
        <w:t xml:space="preserve"> considers them complete diaries with a valid total expenditure of $0, although this has recently been of some concern at BLS.</w:t>
      </w:r>
    </w:p>
    <w:p w:rsidR="00310DEC" w:rsidP="00D64B1D" w:rsidRDefault="00310DEC">
      <w:pPr>
        <w:tabs>
          <w:tab w:val="left" w:pos="720"/>
          <w:tab w:val="left" w:pos="1620"/>
        </w:tabs>
        <w:spacing w:after="0" w:line="240" w:lineRule="auto"/>
        <w:contextualSpacing/>
        <w:mirrorIndents/>
        <w:jc w:val="both"/>
        <w:rPr>
          <w:rFonts w:ascii="Times New Roman" w:hAnsi="Times New Roman" w:cs="Times New Roman"/>
        </w:rPr>
      </w:pPr>
    </w:p>
    <w:p w:rsidR="007201F3" w:rsidP="007201F3" w:rsidRDefault="00310DEC">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formulae above show the “reclassified cases</w:t>
      </w:r>
      <w:r w:rsidR="008054C5">
        <w:rPr>
          <w:rFonts w:ascii="Times New Roman" w:hAnsi="Times New Roman" w:cs="Times New Roman"/>
        </w:rPr>
        <w:t>,”</w:t>
      </w:r>
      <w:r>
        <w:rPr>
          <w:rFonts w:ascii="Times New Roman" w:hAnsi="Times New Roman" w:cs="Times New Roman"/>
        </w:rPr>
        <w:t xml:space="preserve"> which are considered complete interviews by Census, but as Type A noninterviews by BLS</w:t>
      </w:r>
      <w:r w:rsidR="007201F3">
        <w:rPr>
          <w:rFonts w:ascii="Times New Roman" w:hAnsi="Times New Roman" w:cs="Times New Roman"/>
        </w:rPr>
        <w:t>. As discussed above, “reclassified cases” are those interviews automatically selected by the minimal expenditure edit to be considered Type A cases.</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The only other change in PICKCODE values, as shown</w:t>
      </w:r>
      <w:r w:rsidR="003F1568">
        <w:rPr>
          <w:rFonts w:ascii="Times New Roman" w:hAnsi="Times New Roman" w:cs="Times New Roman"/>
        </w:rPr>
        <w:t xml:space="preserve"> in the formulae above</w:t>
      </w:r>
      <w:r w:rsidRPr="006F7B3F">
        <w:rPr>
          <w:rFonts w:ascii="Times New Roman" w:hAnsi="Times New Roman" w:cs="Times New Roman"/>
        </w:rPr>
        <w:t xml:space="preserve">, occurred in the last year at Census. Prior to 2017, an outcome of 326 was classified as a Type B </w:t>
      </w:r>
      <w:r w:rsidR="002F2D56">
        <w:rPr>
          <w:rFonts w:ascii="Times New Roman" w:hAnsi="Times New Roman" w:cs="Times New Roman"/>
        </w:rPr>
        <w:t>noninterview</w:t>
      </w:r>
      <w:r w:rsidRPr="006F7B3F">
        <w:rPr>
          <w:rFonts w:ascii="Times New Roman" w:hAnsi="Times New Roman" w:cs="Times New Roman"/>
        </w:rPr>
        <w:t xml:space="preserve"> for both Field and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but in 2017 BLS directed Census to change the classification of the 326 outcome code to a Type A. Consequently, all three response rate calculations are now made using 326 as a Type A, but this was another difference in the past between Census and BLS response rates for CED.</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As shown above, the list of PICKCODE values classified as Type C </w:t>
      </w:r>
      <w:r w:rsidR="002F2D56">
        <w:rPr>
          <w:rFonts w:ascii="Times New Roman" w:hAnsi="Times New Roman" w:cs="Times New Roman"/>
        </w:rPr>
        <w:t>noninterview</w:t>
      </w:r>
      <w:r w:rsidRPr="006F7B3F">
        <w:rPr>
          <w:rFonts w:ascii="Times New Roman" w:hAnsi="Times New Roman" w:cs="Times New Roman"/>
        </w:rPr>
        <w:t>s has always been constant across Census and BLS.</w:t>
      </w:r>
    </w:p>
    <w:p w:rsidR="0029236E" w:rsidP="00D64B1D" w:rsidRDefault="0029236E">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While the differences among the three types of response rates are very small for the CEQ survey, the differences for the CED survey can be quite big. These differences are the result of a combination of factors that include changes made during data processing at Census, changes made during the </w:t>
      </w:r>
      <w:r w:rsidR="00120933">
        <w:rPr>
          <w:rFonts w:ascii="Times New Roman" w:hAnsi="Times New Roman" w:cs="Times New Roman"/>
        </w:rPr>
        <w:t>IES</w:t>
      </w:r>
      <w:r w:rsidRPr="006F7B3F">
        <w:rPr>
          <w:rFonts w:ascii="Times New Roman" w:hAnsi="Times New Roman" w:cs="Times New Roman"/>
        </w:rPr>
        <w:t xml:space="preserve"> reclassification process at </w:t>
      </w:r>
      <w:r w:rsidR="00C116B1">
        <w:rPr>
          <w:rFonts w:ascii="Times New Roman" w:hAnsi="Times New Roman" w:cs="Times New Roman"/>
        </w:rPr>
        <w:t>BLS</w:t>
      </w:r>
      <w:r w:rsidRPr="006F7B3F">
        <w:rPr>
          <w:rFonts w:ascii="Times New Roman" w:hAnsi="Times New Roman" w:cs="Times New Roman"/>
        </w:rPr>
        <w:t xml:space="preserve">, and differences in the classification of interviews and </w:t>
      </w:r>
      <w:r w:rsidR="002F2D56">
        <w:rPr>
          <w:rFonts w:ascii="Times New Roman" w:hAnsi="Times New Roman" w:cs="Times New Roman"/>
        </w:rPr>
        <w:t>noninterview</w:t>
      </w:r>
      <w:r w:rsidRPr="006F7B3F">
        <w:rPr>
          <w:rFonts w:ascii="Times New Roman" w:hAnsi="Times New Roman" w:cs="Times New Roman"/>
        </w:rPr>
        <w:t xml:space="preserve"> cases between Field,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and BLS (especially prior to the changes made in the past two years.)</w:t>
      </w:r>
    </w:p>
    <w:p w:rsidRPr="006F7B3F"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D64B1D" w:rsidP="00972685" w:rsidRDefault="00D64B1D">
      <w:pPr>
        <w:tabs>
          <w:tab w:val="left" w:pos="720"/>
          <w:tab w:val="left" w:pos="1620"/>
        </w:tabs>
        <w:spacing w:after="0" w:line="240" w:lineRule="auto"/>
        <w:contextualSpacing/>
        <w:mirrorIndents/>
        <w:jc w:val="both"/>
        <w:rPr>
          <w:rFonts w:ascii="Times New Roman" w:hAnsi="Times New Roman" w:cs="Times New Roman"/>
        </w:rPr>
      </w:pPr>
      <w:r w:rsidRPr="00C73DBA">
        <w:rPr>
          <w:rFonts w:ascii="Times New Roman" w:hAnsi="Times New Roman" w:cs="Times New Roman"/>
          <w:b/>
        </w:rPr>
        <w:lastRenderedPageBreak/>
        <w:t>Graph 3</w:t>
      </w:r>
      <w:r w:rsidRPr="006F7B3F">
        <w:rPr>
          <w:rFonts w:ascii="Times New Roman" w:hAnsi="Times New Roman" w:cs="Times New Roman"/>
        </w:rPr>
        <w:t xml:space="preserve"> and</w:t>
      </w:r>
      <w:r w:rsidR="00C73DBA">
        <w:rPr>
          <w:rFonts w:ascii="Times New Roman" w:hAnsi="Times New Roman" w:cs="Times New Roman"/>
        </w:rPr>
        <w:t xml:space="preserve"> </w:t>
      </w:r>
      <w:r w:rsidRPr="00C73DBA" w:rsidR="00C73DBA">
        <w:rPr>
          <w:rFonts w:ascii="Times New Roman" w:hAnsi="Times New Roman" w:cs="Times New Roman"/>
          <w:b/>
        </w:rPr>
        <w:t>Graph</w:t>
      </w:r>
      <w:r w:rsidRPr="00C73DBA">
        <w:rPr>
          <w:rFonts w:ascii="Times New Roman" w:hAnsi="Times New Roman" w:cs="Times New Roman"/>
          <w:b/>
        </w:rPr>
        <w:t xml:space="preserve"> 4</w:t>
      </w:r>
      <w:r w:rsidRPr="006F7B3F">
        <w:rPr>
          <w:rFonts w:ascii="Times New Roman" w:hAnsi="Times New Roman" w:cs="Times New Roman"/>
        </w:rPr>
        <w:t xml:space="preserve"> show the differences between the response rates, and the complete list of response rates is shown in </w:t>
      </w:r>
      <w:r w:rsidRPr="006F7B3F">
        <w:rPr>
          <w:rFonts w:ascii="Times New Roman" w:hAnsi="Times New Roman" w:cs="Times New Roman"/>
          <w:b/>
        </w:rPr>
        <w:t>Attachment C</w:t>
      </w:r>
      <w:r w:rsidRPr="006F7B3F">
        <w:rPr>
          <w:rFonts w:ascii="Times New Roman" w:hAnsi="Times New Roman" w:cs="Times New Roman"/>
        </w:rPr>
        <w:t>. (Visible in the graph is the sharp drop in productivity caused by the October 2013 federal government shutdown, which affected the weekly CED survey much more than the quarterly CEQ survey.)</w:t>
      </w:r>
    </w:p>
    <w:p w:rsidRPr="006F7B3F" w:rsidR="00D64B1D" w:rsidP="00972685" w:rsidRDefault="00D64B1D">
      <w:pPr>
        <w:tabs>
          <w:tab w:val="left" w:pos="720"/>
          <w:tab w:val="left" w:pos="1620"/>
        </w:tabs>
        <w:spacing w:after="0" w:line="240" w:lineRule="auto"/>
        <w:contextualSpacing/>
        <w:mirrorIndents/>
        <w:jc w:val="both"/>
        <w:rPr>
          <w:rFonts w:ascii="Times New Roman" w:hAnsi="Times New Roman" w:cs="Times New Roman"/>
        </w:rPr>
      </w:pPr>
    </w:p>
    <w:p w:rsidRPr="00312520" w:rsidR="00D64B1D" w:rsidP="00312520" w:rsidRDefault="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For reference, I have </w:t>
      </w:r>
      <w:r w:rsidRPr="00312520">
        <w:rPr>
          <w:rFonts w:ascii="Times New Roman" w:hAnsi="Times New Roman" w:cs="Times New Roman"/>
        </w:rPr>
        <w:t>appended the e-mails I received from Census. (</w:t>
      </w:r>
      <w:r w:rsidRPr="00312520">
        <w:rPr>
          <w:rFonts w:ascii="Times New Roman" w:hAnsi="Times New Roman" w:cs="Times New Roman"/>
          <w:b/>
        </w:rPr>
        <w:t>Attachment D</w:t>
      </w:r>
      <w:r w:rsidRPr="00312520">
        <w:rPr>
          <w:rFonts w:ascii="Times New Roman" w:hAnsi="Times New Roman" w:cs="Times New Roman"/>
        </w:rPr>
        <w:t>).</w:t>
      </w:r>
    </w:p>
    <w:p w:rsidRPr="00312520" w:rsidR="00D64B1D" w:rsidP="00312520" w:rsidRDefault="00D64B1D">
      <w:pPr>
        <w:tabs>
          <w:tab w:val="left" w:pos="720"/>
          <w:tab w:val="left" w:pos="1620"/>
        </w:tabs>
        <w:spacing w:after="0" w:line="240" w:lineRule="auto"/>
        <w:contextualSpacing/>
        <w:mirrorIndents/>
        <w:jc w:val="both"/>
        <w:rPr>
          <w:rFonts w:ascii="Times New Roman" w:hAnsi="Times New Roman" w:cs="Times New Roman"/>
        </w:rPr>
      </w:pPr>
    </w:p>
    <w:p w:rsidR="00A93BAC" w:rsidP="00312520" w:rsidRDefault="00A93BAC">
      <w:pPr>
        <w:tabs>
          <w:tab w:val="left" w:pos="720"/>
          <w:tab w:val="left" w:pos="1620"/>
        </w:tabs>
        <w:spacing w:after="0" w:line="240" w:lineRule="auto"/>
        <w:contextualSpacing/>
        <w:mirrorIndents/>
        <w:jc w:val="both"/>
        <w:rPr>
          <w:rFonts w:ascii="Times New Roman" w:hAnsi="Times New Roman" w:cs="Times New Roman"/>
          <w:b/>
        </w:rPr>
      </w:pPr>
      <w:r w:rsidRPr="00312520">
        <w:rPr>
          <w:rFonts w:ascii="Times New Roman" w:hAnsi="Times New Roman" w:cs="Times New Roman"/>
          <w:b/>
        </w:rPr>
        <w:t>7. Further Reading</w:t>
      </w:r>
    </w:p>
    <w:p w:rsidR="009C545E" w:rsidP="00312520" w:rsidRDefault="009C545E">
      <w:pPr>
        <w:tabs>
          <w:tab w:val="left" w:pos="720"/>
          <w:tab w:val="left" w:pos="1620"/>
        </w:tabs>
        <w:spacing w:after="0" w:line="240" w:lineRule="auto"/>
        <w:contextualSpacing/>
        <w:mirrorIndents/>
        <w:jc w:val="both"/>
        <w:rPr>
          <w:rFonts w:ascii="Times New Roman" w:hAnsi="Times New Roman" w:cs="Times New Roman"/>
        </w:rPr>
      </w:pPr>
    </w:p>
    <w:p w:rsidRPr="00312520" w:rsidR="00A93BAC" w:rsidP="00312520" w:rsidRDefault="00A93BAC">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Bass, S. (2008). “Reclassifying Low-Expenditure Consumer Units in the Consumer Expenditure Interview Survey.” Consumer Expenditure Survey Anthology, 2008. (</w:t>
      </w:r>
      <w:hyperlink w:history="1" r:id="rId10">
        <w:r w:rsidRPr="00312520">
          <w:rPr>
            <w:rStyle w:val="Hyperlink"/>
            <w:rFonts w:ascii="Times New Roman" w:hAnsi="Times New Roman" w:cs="Times New Roman"/>
          </w:rPr>
          <w:t>https://www.bls.gov/cex/anthology08/csxanth6.pdf</w:t>
        </w:r>
      </w:hyperlink>
      <w:r w:rsidRPr="00312520">
        <w:rPr>
          <w:rFonts w:ascii="Times New Roman" w:hAnsi="Times New Roman" w:cs="Times New Roman"/>
        </w:rPr>
        <w:t>)</w:t>
      </w:r>
    </w:p>
    <w:p w:rsidRPr="00312520" w:rsidR="00A93BAC" w:rsidP="00312520" w:rsidRDefault="00A93BAC">
      <w:pPr>
        <w:tabs>
          <w:tab w:val="left" w:pos="720"/>
          <w:tab w:val="left" w:pos="1620"/>
        </w:tabs>
        <w:spacing w:after="0" w:line="240" w:lineRule="auto"/>
        <w:contextualSpacing/>
        <w:mirrorIndents/>
        <w:jc w:val="both"/>
        <w:rPr>
          <w:rFonts w:ascii="Times New Roman" w:hAnsi="Times New Roman" w:cs="Times New Roman"/>
        </w:rPr>
      </w:pP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Elkin, I. (2013). “Recommendation Regarding the Use of a CE Bounding Interview.” BLS research paper.</w:t>
      </w:r>
      <w:r w:rsidRPr="00312520" w:rsidR="00E87E9F">
        <w:rPr>
          <w:rFonts w:ascii="Times New Roman" w:hAnsi="Times New Roman" w:cs="Times New Roman"/>
        </w:rPr>
        <w:t xml:space="preserve"> (</w:t>
      </w:r>
      <w:hyperlink w:history="1" r:id="rId11">
        <w:r w:rsidRPr="00312520" w:rsidR="00E87E9F">
          <w:rPr>
            <w:rStyle w:val="Hyperlink"/>
            <w:rFonts w:ascii="Times New Roman" w:hAnsi="Times New Roman" w:cs="Times New Roman"/>
          </w:rPr>
          <w:t>https://www.bls.gov/cex/research_papers/pdf/Recommendation-Regarding-the-Use-of-a-CE-Bounding-Interview.pdf</w:t>
        </w:r>
      </w:hyperlink>
      <w:r w:rsidRPr="00312520" w:rsidR="00E87E9F">
        <w:rPr>
          <w:rFonts w:ascii="Times New Roman" w:hAnsi="Times New Roman" w:cs="Times New Roman"/>
        </w:rPr>
        <w:t>)</w:t>
      </w: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 xml:space="preserve">Hackett, C. (2011). </w:t>
      </w:r>
      <w:r w:rsidR="00F61651">
        <w:rPr>
          <w:rFonts w:ascii="Times New Roman" w:hAnsi="Times New Roman" w:cs="Times New Roman"/>
        </w:rPr>
        <w:t>“</w:t>
      </w:r>
      <w:r w:rsidRPr="00312520">
        <w:rPr>
          <w:rFonts w:ascii="Times New Roman" w:hAnsi="Times New Roman" w:cs="Times New Roman"/>
        </w:rPr>
        <w:t>Consumer Expenditure Quarterly Interview Survey: Effectiveness of the Bounding Interview.</w:t>
      </w:r>
      <w:r w:rsidR="00F61651">
        <w:rPr>
          <w:rFonts w:ascii="Times New Roman" w:hAnsi="Times New Roman" w:cs="Times New Roman"/>
        </w:rPr>
        <w:t>”</w:t>
      </w:r>
      <w:r w:rsidRPr="00312520">
        <w:rPr>
          <w:rFonts w:ascii="Times New Roman" w:hAnsi="Times New Roman" w:cs="Times New Roman"/>
        </w:rPr>
        <w:t xml:space="preserve"> BLS</w:t>
      </w:r>
      <w:r w:rsidR="009043E2">
        <w:rPr>
          <w:rFonts w:ascii="Times New Roman" w:hAnsi="Times New Roman" w:cs="Times New Roman"/>
        </w:rPr>
        <w:t xml:space="preserve"> internal report.</w:t>
      </w: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p>
    <w:p w:rsidRPr="00312520" w:rsidR="00A93BAC" w:rsidP="00312520" w:rsidRDefault="002141C5">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Neter, J. and Waksberg, J.</w:t>
      </w:r>
      <w:r w:rsidRPr="00312520" w:rsidR="00A93BAC">
        <w:rPr>
          <w:rFonts w:ascii="Times New Roman" w:hAnsi="Times New Roman" w:cs="Times New Roman"/>
        </w:rPr>
        <w:t xml:space="preserve"> (1964). “A study of response errors in expenditure data from household interviews.” Journal of the American Statistical Association, 59, 18-55.</w:t>
      </w:r>
    </w:p>
    <w:p w:rsidRPr="00312520" w:rsidR="00A93BAC" w:rsidP="00312520" w:rsidRDefault="00A93BAC">
      <w:pPr>
        <w:tabs>
          <w:tab w:val="left" w:pos="720"/>
          <w:tab w:val="left" w:pos="1620"/>
        </w:tabs>
        <w:spacing w:after="0" w:line="240" w:lineRule="auto"/>
        <w:contextualSpacing/>
        <w:mirrorIndents/>
        <w:jc w:val="both"/>
        <w:rPr>
          <w:rFonts w:ascii="Times New Roman" w:hAnsi="Times New Roman" w:cs="Times New Roman"/>
        </w:rPr>
      </w:pPr>
    </w:p>
    <w:p w:rsidRPr="00312520" w:rsidR="00312520" w:rsidP="00312520" w:rsidRDefault="00312520">
      <w:pPr>
        <w:contextualSpacing/>
        <w:mirrorIndents/>
        <w:jc w:val="both"/>
        <w:rPr>
          <w:rFonts w:ascii="Times New Roman" w:hAnsi="Times New Roman" w:cs="Times New Roman"/>
        </w:rPr>
      </w:pPr>
      <w:r w:rsidRPr="00312520">
        <w:rPr>
          <w:rFonts w:ascii="Times New Roman" w:hAnsi="Times New Roman" w:cs="Times New Roman"/>
        </w:rPr>
        <w:t xml:space="preserve">Reyes-Morales, S. (2011). “Consumer Expenditure Survey: Differences in Response Rates.” BLS internal </w:t>
      </w:r>
      <w:r w:rsidR="009043E2">
        <w:rPr>
          <w:rFonts w:ascii="Times New Roman" w:hAnsi="Times New Roman" w:cs="Times New Roman"/>
        </w:rPr>
        <w:t>report</w:t>
      </w:r>
      <w:r w:rsidRPr="00312520">
        <w:rPr>
          <w:rFonts w:ascii="Times New Roman" w:hAnsi="Times New Roman" w:cs="Times New Roman"/>
        </w:rPr>
        <w:t>.</w:t>
      </w:r>
    </w:p>
    <w:p w:rsidRPr="00312520" w:rsidR="00312520" w:rsidP="00312520" w:rsidRDefault="00312520">
      <w:pPr>
        <w:tabs>
          <w:tab w:val="left" w:pos="720"/>
          <w:tab w:val="left" w:pos="1620"/>
        </w:tabs>
        <w:spacing w:after="0" w:line="240" w:lineRule="auto"/>
        <w:contextualSpacing/>
        <w:mirrorIndents/>
        <w:jc w:val="both"/>
        <w:rPr>
          <w:rFonts w:ascii="Times New Roman" w:hAnsi="Times New Roman" w:cs="Times New Roman"/>
        </w:rPr>
      </w:pP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 xml:space="preserve">Tseng, N., and Tan, L. (2009). </w:t>
      </w:r>
      <w:r w:rsidR="00F61651">
        <w:rPr>
          <w:rFonts w:ascii="Times New Roman" w:hAnsi="Times New Roman" w:cs="Times New Roman"/>
        </w:rPr>
        <w:t>“</w:t>
      </w:r>
      <w:r w:rsidRPr="00312520">
        <w:rPr>
          <w:rFonts w:ascii="Times New Roman" w:hAnsi="Times New Roman" w:cs="Times New Roman"/>
        </w:rPr>
        <w:t>An exploration of the effectiveness of the Bounding Interview in the Consumer Expenditure Interview Survey.</w:t>
      </w:r>
      <w:r w:rsidR="00F61651">
        <w:rPr>
          <w:rFonts w:ascii="Times New Roman" w:hAnsi="Times New Roman" w:cs="Times New Roman"/>
        </w:rPr>
        <w:t>”</w:t>
      </w:r>
      <w:r w:rsidRPr="00312520">
        <w:rPr>
          <w:rFonts w:ascii="Times New Roman" w:hAnsi="Times New Roman" w:cs="Times New Roman"/>
        </w:rPr>
        <w:t xml:space="preserve"> BLS</w:t>
      </w:r>
      <w:r w:rsidR="009043E2">
        <w:rPr>
          <w:rFonts w:ascii="Times New Roman" w:hAnsi="Times New Roman" w:cs="Times New Roman"/>
        </w:rPr>
        <w:t xml:space="preserve"> </w:t>
      </w:r>
      <w:r w:rsidRPr="00312520">
        <w:rPr>
          <w:rFonts w:ascii="Times New Roman" w:hAnsi="Times New Roman" w:cs="Times New Roman"/>
        </w:rPr>
        <w:t>internal report.</w:t>
      </w:r>
    </w:p>
    <w:p w:rsidR="002E5AC0" w:rsidP="00312520" w:rsidRDefault="002E5AC0">
      <w:pPr>
        <w:tabs>
          <w:tab w:val="left" w:pos="720"/>
          <w:tab w:val="left" w:pos="1620"/>
        </w:tabs>
        <w:spacing w:after="0" w:line="240" w:lineRule="auto"/>
        <w:contextualSpacing/>
        <w:mirrorIndents/>
        <w:jc w:val="both"/>
        <w:rPr>
          <w:rFonts w:ascii="Times New Roman" w:hAnsi="Times New Roman" w:cs="Times New Roman"/>
        </w:rPr>
      </w:pPr>
    </w:p>
    <w:p w:rsidR="00273F4F" w:rsidP="00312520" w:rsidRDefault="00273F4F">
      <w:pPr>
        <w:tabs>
          <w:tab w:val="left" w:pos="720"/>
          <w:tab w:val="left" w:pos="1620"/>
        </w:tabs>
        <w:spacing w:after="0" w:line="240" w:lineRule="auto"/>
        <w:contextualSpacing/>
        <w:mirrorIndents/>
        <w:jc w:val="both"/>
        <w:rPr>
          <w:rFonts w:ascii="Times New Roman" w:hAnsi="Times New Roman" w:cs="Times New Roman"/>
        </w:rPr>
      </w:pPr>
    </w:p>
    <w:p w:rsidR="00E723C4" w:rsidP="00312520" w:rsidRDefault="00E723C4">
      <w:pPr>
        <w:tabs>
          <w:tab w:val="left" w:pos="720"/>
          <w:tab w:val="left" w:pos="1620"/>
        </w:tabs>
        <w:spacing w:after="0" w:line="240" w:lineRule="auto"/>
        <w:contextualSpacing/>
        <w:mirrorIndents/>
        <w:jc w:val="both"/>
        <w:rPr>
          <w:rFonts w:ascii="Times New Roman" w:hAnsi="Times New Roman" w:cs="Times New Roman"/>
        </w:rPr>
      </w:pPr>
    </w:p>
    <w:p w:rsidR="00273F4F" w:rsidP="00312520" w:rsidRDefault="00273F4F">
      <w:pPr>
        <w:tabs>
          <w:tab w:val="left" w:pos="720"/>
          <w:tab w:val="left" w:pos="1620"/>
        </w:tabs>
        <w:spacing w:after="0" w:line="240" w:lineRule="auto"/>
        <w:contextualSpacing/>
        <w:mirrorIndents/>
        <w:jc w:val="both"/>
        <w:rPr>
          <w:rFonts w:ascii="Times New Roman" w:hAnsi="Times New Roman" w:cs="Times New Roman"/>
        </w:rPr>
      </w:pPr>
    </w:p>
    <w:p w:rsidRPr="00312520" w:rsidR="002141C5" w:rsidP="00312520" w:rsidRDefault="002141C5">
      <w:pPr>
        <w:tabs>
          <w:tab w:val="left" w:pos="720"/>
          <w:tab w:val="left" w:pos="1620"/>
        </w:tabs>
        <w:spacing w:after="0" w:line="240" w:lineRule="auto"/>
        <w:contextualSpacing/>
        <w:mirrorIndents/>
        <w:jc w:val="both"/>
        <w:rPr>
          <w:rFonts w:ascii="Times New Roman" w:hAnsi="Times New Roman" w:cs="Times New Roman"/>
        </w:rPr>
      </w:pPr>
      <w:bookmarkStart w:name="_GoBack" w:id="0"/>
      <w:bookmarkEnd w:id="0"/>
      <w:r w:rsidRPr="00312520">
        <w:rPr>
          <w:rFonts w:ascii="Times New Roman" w:hAnsi="Times New Roman" w:cs="Times New Roman"/>
        </w:rPr>
        <w:t>OPLC/SMD/Nix/0</w:t>
      </w:r>
      <w:r w:rsidR="00372360">
        <w:rPr>
          <w:rFonts w:ascii="Times New Roman" w:hAnsi="Times New Roman" w:cs="Times New Roman"/>
        </w:rPr>
        <w:t>525</w:t>
      </w:r>
      <w:r w:rsidR="00E723C4">
        <w:rPr>
          <w:rFonts w:ascii="Times New Roman" w:hAnsi="Times New Roman" w:cs="Times New Roman"/>
        </w:rPr>
        <w:t>2018</w:t>
      </w:r>
      <w:r w:rsidRPr="00312520">
        <w:rPr>
          <w:rFonts w:ascii="Times New Roman" w:hAnsi="Times New Roman" w:cs="Times New Roman"/>
        </w:rPr>
        <w:t>/A1</w:t>
      </w:r>
      <w:r w:rsidR="00E723C4">
        <w:rPr>
          <w:rFonts w:ascii="Times New Roman" w:hAnsi="Times New Roman" w:cs="Times New Roman"/>
        </w:rPr>
        <w:t>80</w:t>
      </w:r>
      <w:r w:rsidR="00372360">
        <w:rPr>
          <w:rFonts w:ascii="Times New Roman" w:hAnsi="Times New Roman" w:cs="Times New Roman"/>
        </w:rPr>
        <w:t>1</w:t>
      </w:r>
      <w:r w:rsidRPr="00312520">
        <w:rPr>
          <w:rFonts w:ascii="Times New Roman" w:hAnsi="Times New Roman" w:cs="Times New Roman"/>
        </w:rPr>
        <w:t>.</w:t>
      </w:r>
      <w:r w:rsidR="00372360">
        <w:rPr>
          <w:rFonts w:ascii="Times New Roman" w:hAnsi="Times New Roman" w:cs="Times New Roman"/>
        </w:rPr>
        <w:t>5</w:t>
      </w:r>
    </w:p>
    <w:p w:rsidR="002141C5" w:rsidP="00972685" w:rsidRDefault="002141C5">
      <w:pPr>
        <w:tabs>
          <w:tab w:val="left" w:pos="720"/>
          <w:tab w:val="left" w:pos="1620"/>
        </w:tabs>
        <w:spacing w:after="0" w:line="240" w:lineRule="auto"/>
        <w:contextualSpacing/>
        <w:mirrorIndents/>
        <w:jc w:val="both"/>
        <w:rPr>
          <w:rFonts w:ascii="Times New Roman" w:hAnsi="Times New Roman" w:cs="Times New Roman"/>
        </w:rPr>
      </w:pPr>
    </w:p>
    <w:p w:rsidR="002141C5" w:rsidP="00972685" w:rsidRDefault="002141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D. Swanson</w:t>
      </w:r>
    </w:p>
    <w:p w:rsidR="002141C5" w:rsidP="00972685" w:rsidRDefault="002141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King</w:t>
      </w:r>
    </w:p>
    <w:p w:rsidR="002141C5" w:rsidP="00972685" w:rsidRDefault="002141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Krieger</w:t>
      </w:r>
    </w:p>
    <w:p w:rsidR="002141C5" w:rsidP="00972685" w:rsidRDefault="002141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Reyes-Morales</w:t>
      </w:r>
    </w:p>
    <w:p w:rsidR="00A953EE" w:rsidP="00A953EE" w:rsidRDefault="002141C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B. Steinberg</w:t>
      </w:r>
    </w:p>
    <w:p w:rsidR="00273F4F" w:rsidP="00A953EE" w:rsidRDefault="00273F4F">
      <w:pPr>
        <w:tabs>
          <w:tab w:val="left" w:pos="720"/>
          <w:tab w:val="left" w:pos="1620"/>
        </w:tabs>
        <w:spacing w:after="0" w:line="240" w:lineRule="auto"/>
        <w:contextualSpacing/>
        <w:mirrorIndents/>
        <w:jc w:val="both"/>
        <w:rPr>
          <w:rFonts w:ascii="Times New Roman" w:hAnsi="Times New Roman" w:cs="Times New Roman"/>
        </w:rPr>
      </w:pPr>
    </w:p>
    <w:p w:rsidR="00273F4F" w:rsidP="00A953EE" w:rsidRDefault="00273F4F">
      <w:pPr>
        <w:tabs>
          <w:tab w:val="left" w:pos="720"/>
          <w:tab w:val="left" w:pos="1620"/>
        </w:tabs>
        <w:spacing w:after="0" w:line="240" w:lineRule="auto"/>
        <w:contextualSpacing/>
        <w:mirrorIndents/>
        <w:jc w:val="both"/>
        <w:rPr>
          <w:rFonts w:ascii="Times New Roman" w:hAnsi="Times New Roman" w:cs="Times New Roman"/>
        </w:rPr>
      </w:pPr>
    </w:p>
    <w:p w:rsidRPr="00A953EE" w:rsidR="003C4AD6" w:rsidP="00A953EE" w:rsidRDefault="003C4AD6">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b/>
        </w:rPr>
        <w:br w:type="page"/>
      </w:r>
    </w:p>
    <w:p w:rsidR="00D64B1D" w:rsidP="00D64B1D" w:rsidRDefault="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lastRenderedPageBreak/>
        <w:t>Graph 1: CEQ Monthly Response Rates (2010-201</w:t>
      </w:r>
      <w:r w:rsidR="00492D98">
        <w:rPr>
          <w:rFonts w:ascii="Times New Roman" w:hAnsi="Times New Roman" w:cs="Times New Roman"/>
          <w:b/>
        </w:rPr>
        <w:t>7</w:t>
      </w:r>
      <w:r w:rsidRPr="006F7B3F">
        <w:rPr>
          <w:rFonts w:ascii="Times New Roman" w:hAnsi="Times New Roman" w:cs="Times New Roman"/>
          <w:b/>
        </w:rPr>
        <w:t>)</w:t>
      </w:r>
    </w:p>
    <w:p w:rsidRPr="006F7B3F" w:rsidR="00492D98" w:rsidP="00D64B1D" w:rsidRDefault="00492D98">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1C644B82" wp14:editId="13473333">
            <wp:extent cx="6309360" cy="366141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6F7B3F" w:rsidR="00710287" w:rsidP="00D64B1D" w:rsidRDefault="00710287">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D64B1D">
      <w:pPr>
        <w:tabs>
          <w:tab w:val="left" w:pos="720"/>
          <w:tab w:val="left" w:pos="1620"/>
        </w:tabs>
        <w:spacing w:after="0" w:line="240" w:lineRule="auto"/>
        <w:contextualSpacing/>
        <w:mirrorIndents/>
        <w:jc w:val="both"/>
        <w:rPr>
          <w:rFonts w:ascii="Times New Roman" w:hAnsi="Times New Roman" w:cs="Times New Roman"/>
        </w:rPr>
      </w:pPr>
    </w:p>
    <w:p w:rsidRPr="006F7B3F" w:rsidR="00710287" w:rsidP="00D64B1D" w:rsidRDefault="00710287">
      <w:pPr>
        <w:tabs>
          <w:tab w:val="left" w:pos="720"/>
          <w:tab w:val="left" w:pos="1620"/>
        </w:tabs>
        <w:spacing w:after="0" w:line="240" w:lineRule="auto"/>
        <w:contextualSpacing/>
        <w:mirrorIndents/>
        <w:jc w:val="both"/>
        <w:rPr>
          <w:rFonts w:ascii="Times New Roman" w:hAnsi="Times New Roman" w:cs="Times New Roman"/>
        </w:rPr>
      </w:pPr>
    </w:p>
    <w:p w:rsidR="00D64B1D" w:rsidP="00D64B1D" w:rsidRDefault="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2: CEQ Annual Response Rates (2005-201</w:t>
      </w:r>
      <w:r w:rsidR="00492D98">
        <w:rPr>
          <w:rFonts w:ascii="Times New Roman" w:hAnsi="Times New Roman" w:cs="Times New Roman"/>
          <w:b/>
        </w:rPr>
        <w:t>7</w:t>
      </w:r>
      <w:r w:rsidRPr="006F7B3F">
        <w:rPr>
          <w:rFonts w:ascii="Times New Roman" w:hAnsi="Times New Roman" w:cs="Times New Roman"/>
          <w:b/>
        </w:rPr>
        <w:t>)</w:t>
      </w:r>
    </w:p>
    <w:p w:rsidR="00492D98" w:rsidP="00D64B1D" w:rsidRDefault="00492D98">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0606E04D" wp14:editId="650697C4">
            <wp:extent cx="5833464" cy="3850104"/>
            <wp:effectExtent l="0" t="0" r="1524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0287" w:rsidRDefault="00710287">
      <w:pPr>
        <w:rPr>
          <w:rFonts w:ascii="Times New Roman" w:hAnsi="Times New Roman" w:cs="Times New Roman"/>
          <w:b/>
        </w:rPr>
      </w:pPr>
    </w:p>
    <w:p w:rsidR="00D64B1D" w:rsidP="00D64B1D" w:rsidRDefault="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lastRenderedPageBreak/>
        <w:t>Graph 3: CED Monthly Response Rates (2010-201</w:t>
      </w:r>
      <w:r w:rsidR="00710287">
        <w:rPr>
          <w:rFonts w:ascii="Times New Roman" w:hAnsi="Times New Roman" w:cs="Times New Roman"/>
          <w:b/>
        </w:rPr>
        <w:t>7</w:t>
      </w:r>
      <w:r w:rsidRPr="006F7B3F">
        <w:rPr>
          <w:rFonts w:ascii="Times New Roman" w:hAnsi="Times New Roman" w:cs="Times New Roman"/>
          <w:b/>
        </w:rPr>
        <w:t>)</w:t>
      </w:r>
    </w:p>
    <w:p w:rsidRPr="006F7B3F" w:rsidR="00710287" w:rsidP="00D64B1D" w:rsidRDefault="00710287">
      <w:pPr>
        <w:tabs>
          <w:tab w:val="left" w:pos="720"/>
          <w:tab w:val="left" w:pos="1620"/>
        </w:tabs>
        <w:spacing w:after="0" w:line="240" w:lineRule="auto"/>
        <w:contextualSpacing/>
        <w:mirrorIndents/>
        <w:jc w:val="center"/>
        <w:rPr>
          <w:rFonts w:ascii="Times New Roman" w:hAnsi="Times New Roman" w:cs="Times New Roman"/>
        </w:rPr>
      </w:pPr>
      <w:r>
        <w:rPr>
          <w:noProof/>
        </w:rPr>
        <w:drawing>
          <wp:inline distT="0" distB="0" distL="0" distR="0" wp14:anchorId="2C466ED1" wp14:editId="58BBD498">
            <wp:extent cx="6309360" cy="3660775"/>
            <wp:effectExtent l="0" t="0" r="15240"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4B1D" w:rsidP="00D64B1D" w:rsidRDefault="00D64B1D">
      <w:pPr>
        <w:tabs>
          <w:tab w:val="left" w:pos="720"/>
          <w:tab w:val="left" w:pos="1620"/>
        </w:tabs>
        <w:spacing w:after="0" w:line="240" w:lineRule="auto"/>
        <w:contextualSpacing/>
        <w:mirrorIndents/>
        <w:jc w:val="center"/>
        <w:rPr>
          <w:rFonts w:ascii="Times New Roman" w:hAnsi="Times New Roman" w:cs="Times New Roman"/>
        </w:rPr>
      </w:pPr>
    </w:p>
    <w:p w:rsidRPr="006F7B3F" w:rsidR="00710287" w:rsidP="00D64B1D" w:rsidRDefault="00710287">
      <w:pPr>
        <w:tabs>
          <w:tab w:val="left" w:pos="720"/>
          <w:tab w:val="left" w:pos="1620"/>
        </w:tabs>
        <w:spacing w:after="0" w:line="240" w:lineRule="auto"/>
        <w:contextualSpacing/>
        <w:mirrorIndents/>
        <w:jc w:val="center"/>
        <w:rPr>
          <w:rFonts w:ascii="Times New Roman" w:hAnsi="Times New Roman" w:cs="Times New Roman"/>
        </w:rPr>
      </w:pPr>
    </w:p>
    <w:p w:rsidRPr="006F7B3F" w:rsidR="00D64B1D" w:rsidP="00D64B1D" w:rsidRDefault="00D64B1D">
      <w:pPr>
        <w:tabs>
          <w:tab w:val="left" w:pos="720"/>
          <w:tab w:val="left" w:pos="1620"/>
        </w:tabs>
        <w:spacing w:after="0" w:line="240" w:lineRule="auto"/>
        <w:contextualSpacing/>
        <w:mirrorIndents/>
        <w:rPr>
          <w:rFonts w:ascii="Times New Roman" w:hAnsi="Times New Roman" w:cs="Times New Roman"/>
        </w:rPr>
      </w:pPr>
    </w:p>
    <w:p w:rsidR="00D64B1D" w:rsidP="00D64B1D" w:rsidRDefault="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4: CED Annual Response Rates (2004-201</w:t>
      </w:r>
      <w:r w:rsidR="00710287">
        <w:rPr>
          <w:rFonts w:ascii="Times New Roman" w:hAnsi="Times New Roman" w:cs="Times New Roman"/>
          <w:b/>
        </w:rPr>
        <w:t>7</w:t>
      </w:r>
      <w:r w:rsidRPr="006F7B3F">
        <w:rPr>
          <w:rFonts w:ascii="Times New Roman" w:hAnsi="Times New Roman" w:cs="Times New Roman"/>
          <w:b/>
        </w:rPr>
        <w:t>)</w:t>
      </w:r>
    </w:p>
    <w:p w:rsidR="00D64B1D" w:rsidP="00710287" w:rsidRDefault="00710287">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19089586" wp14:editId="35B59750">
            <wp:extent cx="5834565" cy="3850105"/>
            <wp:effectExtent l="0" t="0" r="13970"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0287" w:rsidRDefault="00710287">
      <w:pPr>
        <w:rPr>
          <w:rFonts w:ascii="Times New Roman" w:hAnsi="Times New Roman" w:cs="Times New Roman"/>
          <w:b/>
        </w:rPr>
      </w:pPr>
      <w:r>
        <w:rPr>
          <w:rFonts w:ascii="Times New Roman" w:hAnsi="Times New Roman" w:cs="Times New Roman"/>
          <w:b/>
        </w:rPr>
        <w:br w:type="page"/>
      </w:r>
    </w:p>
    <w:p w:rsidR="00C04E96" w:rsidP="004F4D1F" w:rsidRDefault="00D64B1D">
      <w:pPr>
        <w:tabs>
          <w:tab w:val="left" w:pos="0"/>
        </w:tabs>
        <w:contextualSpacing/>
        <w:rPr>
          <w:rFonts w:ascii="Times New Roman" w:hAnsi="Times New Roman" w:cs="Times New Roman"/>
        </w:rPr>
      </w:pPr>
      <w:r w:rsidRPr="00D64B1D">
        <w:rPr>
          <w:rFonts w:ascii="Times New Roman" w:hAnsi="Times New Roman" w:cs="Times New Roman"/>
          <w:b/>
        </w:rPr>
        <w:lastRenderedPageBreak/>
        <w:t>ATTACHMENT A</w:t>
      </w:r>
      <w:r w:rsidRPr="006F7B3F">
        <w:rPr>
          <w:rFonts w:ascii="Times New Roman" w:hAnsi="Times New Roman" w:cs="Times New Roman"/>
        </w:rPr>
        <w:t xml:space="preserve">: </w:t>
      </w:r>
      <w:r w:rsidR="00506C2D">
        <w:rPr>
          <w:rFonts w:ascii="Times New Roman" w:hAnsi="Times New Roman" w:cs="Times New Roman"/>
        </w:rPr>
        <w:t xml:space="preserve">Complete (Current) </w:t>
      </w:r>
      <w:r w:rsidRPr="006F7B3F">
        <w:rPr>
          <w:rFonts w:ascii="Times New Roman" w:hAnsi="Times New Roman" w:cs="Times New Roman"/>
        </w:rPr>
        <w:t>Response Code Classifications</w:t>
      </w:r>
      <w:r w:rsidR="00BA54D5">
        <w:rPr>
          <w:rFonts w:ascii="Times New Roman" w:hAnsi="Times New Roman" w:cs="Times New Roman"/>
        </w:rPr>
        <w:t xml:space="preserve"> </w:t>
      </w:r>
    </w:p>
    <w:p w:rsidR="00C04E96" w:rsidP="004F4D1F" w:rsidRDefault="00C04E96">
      <w:pPr>
        <w:tabs>
          <w:tab w:val="left" w:pos="0"/>
        </w:tabs>
        <w:contextualSpacing/>
        <w:rPr>
          <w:rFonts w:ascii="Times New Roman" w:hAnsi="Times New Roman" w:cs="Times New Roman"/>
        </w:rPr>
      </w:pPr>
    </w:p>
    <w:p w:rsidR="00C04E96" w:rsidP="004F4D1F" w:rsidRDefault="00C04E96">
      <w:pPr>
        <w:tabs>
          <w:tab w:val="left" w:pos="0"/>
        </w:tabs>
        <w:contextualSpacing/>
        <w:rPr>
          <w:rFonts w:ascii="Times New Roman" w:hAnsi="Times New Roman" w:cs="Times New Roman"/>
        </w:rPr>
      </w:pPr>
      <w:r>
        <w:rPr>
          <w:rFonts w:ascii="Times New Roman" w:hAnsi="Times New Roman" w:cs="Times New Roman"/>
        </w:rPr>
        <w:t>Selected variable is OUTCOME for CEQ, PICKCODE for CED.</w:t>
      </w:r>
    </w:p>
    <w:p w:rsidR="00D64B1D" w:rsidP="004F4D1F" w:rsidRDefault="00BA54D5">
      <w:pPr>
        <w:tabs>
          <w:tab w:val="left" w:pos="0"/>
        </w:tabs>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sym w:font="Wingdings" w:char="F0FC"/>
      </w:r>
      <w:r w:rsidR="002F015F">
        <w:rPr>
          <w:rFonts w:ascii="Times New Roman" w:hAnsi="Times New Roman" w:cs="Times New Roman"/>
        </w:rPr>
        <w:t xml:space="preserve"> </w:t>
      </w:r>
      <w:r>
        <w:rPr>
          <w:rFonts w:ascii="Times New Roman" w:hAnsi="Times New Roman" w:cs="Times New Roman"/>
        </w:rPr>
        <w:t>=</w:t>
      </w:r>
      <w:r w:rsidR="002F015F">
        <w:rPr>
          <w:rFonts w:ascii="Times New Roman" w:hAnsi="Times New Roman" w:cs="Times New Roman"/>
        </w:rPr>
        <w:t xml:space="preserve"> </w:t>
      </w:r>
      <w:r>
        <w:rPr>
          <w:rFonts w:ascii="Times New Roman" w:hAnsi="Times New Roman" w:cs="Times New Roman"/>
        </w:rPr>
        <w:t>Good Interview, A</w:t>
      </w:r>
      <w:r w:rsidR="002F015F">
        <w:rPr>
          <w:rFonts w:ascii="Times New Roman" w:hAnsi="Times New Roman" w:cs="Times New Roman"/>
        </w:rPr>
        <w:t xml:space="preserve"> </w:t>
      </w:r>
      <w:r>
        <w:rPr>
          <w:rFonts w:ascii="Times New Roman" w:hAnsi="Times New Roman" w:cs="Times New Roman"/>
        </w:rPr>
        <w:t>=</w:t>
      </w:r>
      <w:r w:rsidR="002F015F">
        <w:rPr>
          <w:rFonts w:ascii="Times New Roman" w:hAnsi="Times New Roman" w:cs="Times New Roman"/>
        </w:rPr>
        <w:t xml:space="preserve"> </w:t>
      </w:r>
      <w:r>
        <w:rPr>
          <w:rFonts w:ascii="Times New Roman" w:hAnsi="Times New Roman" w:cs="Times New Roman"/>
        </w:rPr>
        <w:t xml:space="preserve">Type A </w:t>
      </w:r>
      <w:r w:rsidR="002F2D56">
        <w:rPr>
          <w:rFonts w:ascii="Times New Roman" w:hAnsi="Times New Roman" w:cs="Times New Roman"/>
        </w:rPr>
        <w:t>Noninterview</w:t>
      </w:r>
      <w:r>
        <w:rPr>
          <w:rFonts w:ascii="Times New Roman" w:hAnsi="Times New Roman" w:cs="Times New Roman"/>
        </w:rPr>
        <w:t xml:space="preserve">, </w:t>
      </w:r>
      <w:r w:rsidR="0027282B">
        <w:rPr>
          <w:rFonts w:ascii="Times New Roman" w:hAnsi="Times New Roman" w:cs="Times New Roman"/>
        </w:rPr>
        <w:t xml:space="preserve">B = Type B </w:t>
      </w:r>
      <w:r w:rsidR="002F2D56">
        <w:rPr>
          <w:rFonts w:ascii="Times New Roman" w:hAnsi="Times New Roman" w:cs="Times New Roman"/>
        </w:rPr>
        <w:t>Noninterview</w:t>
      </w:r>
      <w:r w:rsidR="0027282B">
        <w:rPr>
          <w:rFonts w:ascii="Times New Roman" w:hAnsi="Times New Roman" w:cs="Times New Roman"/>
        </w:rPr>
        <w:t xml:space="preserve">, C = Type C </w:t>
      </w:r>
      <w:r w:rsidR="002F2D56">
        <w:rPr>
          <w:rFonts w:ascii="Times New Roman" w:hAnsi="Times New Roman" w:cs="Times New Roman"/>
        </w:rPr>
        <w:t>Noninterview</w:t>
      </w:r>
      <w:r>
        <w:rPr>
          <w:rFonts w:ascii="Times New Roman" w:hAnsi="Times New Roman" w:cs="Times New Roman"/>
        </w:rPr>
        <w:t>)</w:t>
      </w:r>
    </w:p>
    <w:p w:rsidR="00482BD0" w:rsidP="004F4D1F" w:rsidRDefault="00482BD0">
      <w:pPr>
        <w:tabs>
          <w:tab w:val="left" w:pos="0"/>
        </w:tabs>
        <w:contextualSpacing/>
        <w:rPr>
          <w:rFonts w:ascii="Times New Roman" w:hAnsi="Times New Roman" w:cs="Times New Roman"/>
        </w:rPr>
      </w:pPr>
    </w:p>
    <w:tbl>
      <w:tblPr>
        <w:tblStyle w:val="TableGrid"/>
        <w:tblW w:w="10345" w:type="dxa"/>
        <w:tblBorders>
          <w:insideH w:val="none" w:color="auto" w:sz="0" w:space="0"/>
          <w:insideV w:val="none" w:color="auto" w:sz="0" w:space="0"/>
        </w:tblBorders>
        <w:tblLook w:val="04A0" w:firstRow="1" w:lastRow="0" w:firstColumn="1" w:lastColumn="0" w:noHBand="0" w:noVBand="1"/>
      </w:tblPr>
      <w:tblGrid>
        <w:gridCol w:w="792"/>
        <w:gridCol w:w="832"/>
        <w:gridCol w:w="869"/>
        <w:gridCol w:w="3982"/>
        <w:gridCol w:w="3870"/>
      </w:tblGrid>
      <w:tr w:rsidR="00987E96" w:rsidTr="00482BD0">
        <w:trPr>
          <w:trHeight w:val="239"/>
        </w:trPr>
        <w:tc>
          <w:tcPr>
            <w:tcW w:w="792" w:type="dxa"/>
            <w:tcBorders>
              <w:top w:val="single" w:color="auto" w:sz="4" w:space="0"/>
              <w:bottom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CEQ</w:t>
            </w:r>
          </w:p>
        </w:tc>
        <w:tc>
          <w:tcPr>
            <w:tcW w:w="832" w:type="dxa"/>
            <w:tcBorders>
              <w:top w:val="single" w:color="auto" w:sz="4" w:space="0"/>
              <w:bottom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CED</w:t>
            </w:r>
          </w:p>
        </w:tc>
        <w:tc>
          <w:tcPr>
            <w:tcW w:w="869" w:type="dxa"/>
            <w:tcBorders>
              <w:top w:val="single" w:color="auto" w:sz="4" w:space="0"/>
              <w:bottom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Code</w:t>
            </w:r>
          </w:p>
        </w:tc>
        <w:tc>
          <w:tcPr>
            <w:tcW w:w="3982" w:type="dxa"/>
            <w:tcBorders>
              <w:top w:val="single" w:color="auto" w:sz="4" w:space="0"/>
              <w:bottom w:val="single" w:color="auto" w:sz="4" w:space="0"/>
            </w:tcBorders>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Description in Data Dictionary</w:t>
            </w:r>
          </w:p>
        </w:tc>
        <w:tc>
          <w:tcPr>
            <w:tcW w:w="3870" w:type="dxa"/>
            <w:tcBorders>
              <w:top w:val="single" w:color="auto" w:sz="4" w:space="0"/>
              <w:bottom w:val="single" w:color="auto" w:sz="4" w:space="0"/>
            </w:tcBorders>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Notes</w:t>
            </w:r>
          </w:p>
        </w:tc>
      </w:tr>
      <w:tr w:rsidR="00987E96" w:rsidTr="00482BD0">
        <w:trPr>
          <w:trHeight w:val="225"/>
        </w:trPr>
        <w:tc>
          <w:tcPr>
            <w:tcW w:w="792" w:type="dxa"/>
            <w:tcBorders>
              <w:top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32" w:type="dxa"/>
            <w:tcBorders>
              <w:top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69" w:type="dxa"/>
            <w:tcBorders>
              <w:top w:val="single" w:color="auto" w:sz="4" w:space="0"/>
            </w:tcBorders>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201</w:t>
            </w:r>
          </w:p>
        </w:tc>
        <w:tc>
          <w:tcPr>
            <w:tcW w:w="3982" w:type="dxa"/>
            <w:tcBorders>
              <w:top w:val="single" w:color="auto" w:sz="4" w:space="0"/>
            </w:tcBorders>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Completed Interview</w:t>
            </w:r>
          </w:p>
        </w:tc>
        <w:tc>
          <w:tcPr>
            <w:tcW w:w="3870" w:type="dxa"/>
            <w:tcBorders>
              <w:top w:val="single" w:color="auto" w:sz="4" w:space="0"/>
            </w:tcBorders>
          </w:tcPr>
          <w:p w:rsidR="00987E96" w:rsidP="004F4D1F" w:rsidRDefault="00987E96">
            <w:pPr>
              <w:tabs>
                <w:tab w:val="left" w:pos="0"/>
              </w:tabs>
              <w:contextualSpacing/>
              <w:rPr>
                <w:rFonts w:ascii="Times New Roman" w:hAnsi="Times New Roman" w:cs="Times New Roman"/>
              </w:rPr>
            </w:pPr>
          </w:p>
        </w:tc>
      </w:tr>
      <w:tr w:rsidR="00987E96" w:rsidTr="00482BD0">
        <w:trPr>
          <w:trHeight w:val="478"/>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32" w:type="dxa"/>
          </w:tcPr>
          <w:p w:rsidR="00987E96" w:rsidP="004F4D1F" w:rsidRDefault="00987E96">
            <w:pPr>
              <w:tabs>
                <w:tab w:val="left" w:pos="0"/>
              </w:tabs>
              <w:contextualSpacing/>
              <w:jc w:val="center"/>
              <w:rPr>
                <w:rFonts w:ascii="Times New Roman" w:hAnsi="Times New Roman" w:cs="Times New Roman"/>
              </w:rPr>
            </w:pP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203</w:t>
            </w:r>
          </w:p>
        </w:tc>
        <w:tc>
          <w:tcPr>
            <w:tcW w:w="3982" w:type="dxa"/>
          </w:tcPr>
          <w:p w:rsidR="00482BD0" w:rsidP="00482BD0" w:rsidRDefault="00482BD0">
            <w:pPr>
              <w:tabs>
                <w:tab w:val="left" w:pos="0"/>
              </w:tabs>
              <w:contextualSpacing/>
              <w:rPr>
                <w:rFonts w:ascii="Times New Roman" w:hAnsi="Times New Roman" w:cs="Times New Roman"/>
              </w:rPr>
            </w:pPr>
            <w:r>
              <w:rPr>
                <w:rFonts w:ascii="Times New Roman" w:hAnsi="Times New Roman" w:cs="Times New Roman"/>
              </w:rPr>
              <w:t xml:space="preserve">CEQ: </w:t>
            </w:r>
            <w:r w:rsidR="00987E96">
              <w:rPr>
                <w:rFonts w:ascii="Times New Roman" w:hAnsi="Times New Roman" w:cs="Times New Roman"/>
              </w:rPr>
              <w:t>Tran</w:t>
            </w:r>
            <w:r>
              <w:rPr>
                <w:rFonts w:ascii="Times New Roman" w:hAnsi="Times New Roman" w:cs="Times New Roman"/>
              </w:rPr>
              <w:t xml:space="preserve">smit, no more follow-up possible </w:t>
            </w:r>
            <w:r w:rsidR="00987E96">
              <w:rPr>
                <w:rFonts w:ascii="Times New Roman" w:hAnsi="Times New Roman" w:cs="Times New Roman"/>
              </w:rPr>
              <w:t>(Through Section 20 complete)</w:t>
            </w:r>
          </w:p>
          <w:p w:rsidR="00482BD0" w:rsidP="00482BD0" w:rsidRDefault="00482BD0">
            <w:pPr>
              <w:tabs>
                <w:tab w:val="left" w:pos="0"/>
              </w:tabs>
              <w:contextualSpacing/>
              <w:rPr>
                <w:rFonts w:ascii="Times New Roman" w:hAnsi="Times New Roman" w:cs="Times New Roman"/>
              </w:rPr>
            </w:pPr>
            <w:r>
              <w:rPr>
                <w:rFonts w:ascii="Times New Roman" w:hAnsi="Times New Roman" w:cs="Times New Roman"/>
              </w:rPr>
              <w:t>CED: Week 1 Interview, Week 2 Type A</w:t>
            </w:r>
          </w:p>
        </w:tc>
        <w:tc>
          <w:tcPr>
            <w:tcW w:w="3870" w:type="dxa"/>
          </w:tcPr>
          <w:p w:rsidR="00482BD0" w:rsidP="0097711D" w:rsidRDefault="00482BD0">
            <w:pPr>
              <w:tabs>
                <w:tab w:val="left" w:pos="0"/>
              </w:tabs>
              <w:contextualSpacing/>
              <w:rPr>
                <w:rFonts w:ascii="Times New Roman" w:hAnsi="Times New Roman" w:cs="Times New Roman"/>
              </w:rPr>
            </w:pPr>
            <w:r>
              <w:rPr>
                <w:rFonts w:ascii="Times New Roman" w:hAnsi="Times New Roman" w:cs="Times New Roman"/>
              </w:rPr>
              <w:t xml:space="preserve">CED: </w:t>
            </w:r>
            <w:r w:rsidR="0097711D">
              <w:rPr>
                <w:rFonts w:ascii="Times New Roman" w:hAnsi="Times New Roman" w:cs="Times New Roman"/>
              </w:rPr>
              <w:t>Two-week code not used by BLS; Census considers complete interview.</w:t>
            </w:r>
          </w:p>
        </w:tc>
      </w:tr>
      <w:tr w:rsidR="00482BD0" w:rsidTr="00482BD0">
        <w:trPr>
          <w:trHeight w:val="239"/>
        </w:trPr>
        <w:tc>
          <w:tcPr>
            <w:tcW w:w="792" w:type="dxa"/>
          </w:tcPr>
          <w:p w:rsidR="00482BD0" w:rsidP="004F4D1F" w:rsidRDefault="00482BD0">
            <w:pPr>
              <w:tabs>
                <w:tab w:val="left" w:pos="0"/>
              </w:tabs>
              <w:contextualSpacing/>
              <w:jc w:val="center"/>
              <w:rPr>
                <w:rFonts w:ascii="Times New Roman" w:hAnsi="Times New Roman" w:cs="Times New Roman"/>
              </w:rPr>
            </w:pPr>
          </w:p>
        </w:tc>
        <w:tc>
          <w:tcPr>
            <w:tcW w:w="832" w:type="dxa"/>
          </w:tcPr>
          <w:p w:rsidR="00482BD0" w:rsidP="004F4D1F" w:rsidRDefault="00482BD0">
            <w:pPr>
              <w:tabs>
                <w:tab w:val="left" w:pos="0"/>
              </w:tabs>
              <w:contextualSpacing/>
              <w:jc w:val="center"/>
              <w:rPr>
                <w:rFonts w:ascii="Times New Roman" w:hAnsi="Times New Roman" w:cs="Times New Roman"/>
              </w:rPr>
            </w:pPr>
          </w:p>
        </w:tc>
        <w:tc>
          <w:tcPr>
            <w:tcW w:w="869" w:type="dxa"/>
          </w:tcPr>
          <w:p w:rsidR="00482BD0" w:rsidP="004F4D1F" w:rsidRDefault="00482BD0">
            <w:pPr>
              <w:tabs>
                <w:tab w:val="left" w:pos="0"/>
              </w:tabs>
              <w:contextualSpacing/>
              <w:jc w:val="center"/>
              <w:rPr>
                <w:rFonts w:ascii="Times New Roman" w:hAnsi="Times New Roman" w:cs="Times New Roman"/>
              </w:rPr>
            </w:pPr>
            <w:r>
              <w:rPr>
                <w:rFonts w:ascii="Times New Roman" w:hAnsi="Times New Roman" w:cs="Times New Roman"/>
              </w:rPr>
              <w:t>204</w:t>
            </w:r>
          </w:p>
        </w:tc>
        <w:tc>
          <w:tcPr>
            <w:tcW w:w="3982"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Week 1 Interview, Week 2 Type B/C</w:t>
            </w:r>
          </w:p>
        </w:tc>
        <w:tc>
          <w:tcPr>
            <w:tcW w:w="3870"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 Not used after 2016.</w:t>
            </w:r>
          </w:p>
        </w:tc>
      </w:tr>
      <w:tr w:rsidR="00482BD0" w:rsidTr="00482BD0">
        <w:trPr>
          <w:trHeight w:val="239"/>
        </w:trPr>
        <w:tc>
          <w:tcPr>
            <w:tcW w:w="792" w:type="dxa"/>
          </w:tcPr>
          <w:p w:rsidR="00482BD0" w:rsidP="004F4D1F" w:rsidRDefault="00482BD0">
            <w:pPr>
              <w:tabs>
                <w:tab w:val="left" w:pos="0"/>
              </w:tabs>
              <w:contextualSpacing/>
              <w:jc w:val="center"/>
              <w:rPr>
                <w:rFonts w:ascii="Times New Roman" w:hAnsi="Times New Roman" w:cs="Times New Roman"/>
              </w:rPr>
            </w:pPr>
          </w:p>
        </w:tc>
        <w:tc>
          <w:tcPr>
            <w:tcW w:w="832" w:type="dxa"/>
          </w:tcPr>
          <w:p w:rsidR="00482BD0" w:rsidP="004F4D1F" w:rsidRDefault="00482BD0">
            <w:pPr>
              <w:tabs>
                <w:tab w:val="left" w:pos="0"/>
              </w:tabs>
              <w:contextualSpacing/>
              <w:jc w:val="center"/>
              <w:rPr>
                <w:rFonts w:ascii="Times New Roman" w:hAnsi="Times New Roman" w:cs="Times New Roman"/>
              </w:rPr>
            </w:pPr>
          </w:p>
        </w:tc>
        <w:tc>
          <w:tcPr>
            <w:tcW w:w="869" w:type="dxa"/>
          </w:tcPr>
          <w:p w:rsidR="00482BD0" w:rsidP="004F4D1F" w:rsidRDefault="00482BD0">
            <w:pPr>
              <w:tabs>
                <w:tab w:val="left" w:pos="0"/>
              </w:tabs>
              <w:contextualSpacing/>
              <w:jc w:val="center"/>
              <w:rPr>
                <w:rFonts w:ascii="Times New Roman" w:hAnsi="Times New Roman" w:cs="Times New Roman"/>
              </w:rPr>
            </w:pPr>
            <w:r>
              <w:rPr>
                <w:rFonts w:ascii="Times New Roman" w:hAnsi="Times New Roman" w:cs="Times New Roman"/>
              </w:rPr>
              <w:t>206</w:t>
            </w:r>
          </w:p>
        </w:tc>
        <w:tc>
          <w:tcPr>
            <w:tcW w:w="3982"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Week 1 Type A, Week 2 Interview</w:t>
            </w:r>
          </w:p>
        </w:tc>
        <w:tc>
          <w:tcPr>
            <w:tcW w:w="3870"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w:t>
            </w:r>
          </w:p>
        </w:tc>
      </w:tr>
      <w:tr w:rsidR="00482BD0" w:rsidTr="00482BD0">
        <w:trPr>
          <w:trHeight w:val="239"/>
        </w:trPr>
        <w:tc>
          <w:tcPr>
            <w:tcW w:w="792" w:type="dxa"/>
          </w:tcPr>
          <w:p w:rsidR="00482BD0" w:rsidP="004F4D1F" w:rsidRDefault="00482BD0">
            <w:pPr>
              <w:tabs>
                <w:tab w:val="left" w:pos="0"/>
              </w:tabs>
              <w:contextualSpacing/>
              <w:jc w:val="center"/>
              <w:rPr>
                <w:rFonts w:ascii="Times New Roman" w:hAnsi="Times New Roman" w:cs="Times New Roman"/>
              </w:rPr>
            </w:pPr>
          </w:p>
        </w:tc>
        <w:tc>
          <w:tcPr>
            <w:tcW w:w="832" w:type="dxa"/>
          </w:tcPr>
          <w:p w:rsidR="00482BD0" w:rsidP="004F4D1F" w:rsidRDefault="00482BD0">
            <w:pPr>
              <w:tabs>
                <w:tab w:val="left" w:pos="0"/>
              </w:tabs>
              <w:contextualSpacing/>
              <w:jc w:val="center"/>
              <w:rPr>
                <w:rFonts w:ascii="Times New Roman" w:hAnsi="Times New Roman" w:cs="Times New Roman"/>
              </w:rPr>
            </w:pPr>
          </w:p>
        </w:tc>
        <w:tc>
          <w:tcPr>
            <w:tcW w:w="869" w:type="dxa"/>
          </w:tcPr>
          <w:p w:rsidR="00482BD0" w:rsidP="004F4D1F" w:rsidRDefault="00482BD0">
            <w:pPr>
              <w:tabs>
                <w:tab w:val="left" w:pos="0"/>
              </w:tabs>
              <w:contextualSpacing/>
              <w:jc w:val="center"/>
              <w:rPr>
                <w:rFonts w:ascii="Times New Roman" w:hAnsi="Times New Roman" w:cs="Times New Roman"/>
              </w:rPr>
            </w:pPr>
            <w:r>
              <w:rPr>
                <w:rFonts w:ascii="Times New Roman" w:hAnsi="Times New Roman" w:cs="Times New Roman"/>
              </w:rPr>
              <w:t>207</w:t>
            </w:r>
          </w:p>
        </w:tc>
        <w:tc>
          <w:tcPr>
            <w:tcW w:w="3982"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Week 1 Type B/C, Week 2 Interview</w:t>
            </w:r>
          </w:p>
        </w:tc>
        <w:tc>
          <w:tcPr>
            <w:tcW w:w="3870" w:type="dxa"/>
          </w:tcPr>
          <w:p w:rsidR="00482BD0" w:rsidP="004F4D1F" w:rsidRDefault="00482BD0">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w:t>
            </w:r>
          </w:p>
          <w:p w:rsidR="0097711D" w:rsidP="004F4D1F" w:rsidRDefault="0097711D">
            <w:pPr>
              <w:tabs>
                <w:tab w:val="left" w:pos="0"/>
              </w:tabs>
              <w:contextualSpacing/>
              <w:rPr>
                <w:rFonts w:ascii="Times New Roman" w:hAnsi="Times New Roman" w:cs="Times New Roman"/>
              </w:rPr>
            </w:pPr>
            <w:r>
              <w:rPr>
                <w:rFonts w:ascii="Times New Roman" w:hAnsi="Times New Roman" w:cs="Times New Roman"/>
              </w:rPr>
              <w:t>Not used after 2016.</w:t>
            </w:r>
          </w:p>
        </w:tc>
      </w:tr>
      <w:tr w:rsidR="00482BD0" w:rsidTr="00482BD0">
        <w:trPr>
          <w:trHeight w:val="239"/>
        </w:trPr>
        <w:tc>
          <w:tcPr>
            <w:tcW w:w="792" w:type="dxa"/>
          </w:tcPr>
          <w:p w:rsidR="00482BD0" w:rsidP="004F4D1F" w:rsidRDefault="00482BD0">
            <w:pPr>
              <w:tabs>
                <w:tab w:val="left" w:pos="0"/>
              </w:tabs>
              <w:contextualSpacing/>
              <w:jc w:val="center"/>
              <w:rPr>
                <w:rFonts w:ascii="Times New Roman" w:hAnsi="Times New Roman" w:cs="Times New Roman"/>
              </w:rPr>
            </w:pPr>
          </w:p>
        </w:tc>
        <w:tc>
          <w:tcPr>
            <w:tcW w:w="832" w:type="dxa"/>
          </w:tcPr>
          <w:p w:rsidR="00482BD0" w:rsidP="004F4D1F" w:rsidRDefault="00482BD0">
            <w:pPr>
              <w:tabs>
                <w:tab w:val="left" w:pos="0"/>
              </w:tabs>
              <w:contextualSpacing/>
              <w:jc w:val="center"/>
              <w:rPr>
                <w:rFonts w:ascii="Times New Roman" w:hAnsi="Times New Roman" w:cs="Times New Roman"/>
              </w:rPr>
            </w:pPr>
          </w:p>
        </w:tc>
        <w:tc>
          <w:tcPr>
            <w:tcW w:w="869" w:type="dxa"/>
          </w:tcPr>
          <w:p w:rsidR="00482BD0" w:rsidP="004F4D1F" w:rsidRDefault="003E766D">
            <w:pPr>
              <w:tabs>
                <w:tab w:val="left" w:pos="0"/>
              </w:tabs>
              <w:contextualSpacing/>
              <w:jc w:val="center"/>
              <w:rPr>
                <w:rFonts w:ascii="Times New Roman" w:hAnsi="Times New Roman" w:cs="Times New Roman"/>
              </w:rPr>
            </w:pPr>
            <w:r>
              <w:rPr>
                <w:rFonts w:ascii="Times New Roman" w:hAnsi="Times New Roman" w:cs="Times New Roman"/>
              </w:rPr>
              <w:t>210</w:t>
            </w:r>
          </w:p>
        </w:tc>
        <w:tc>
          <w:tcPr>
            <w:tcW w:w="3982" w:type="dxa"/>
          </w:tcPr>
          <w:p w:rsidR="00482BD0" w:rsidP="004F4D1F" w:rsidRDefault="003E766D">
            <w:pPr>
              <w:tabs>
                <w:tab w:val="left" w:pos="0"/>
              </w:tabs>
              <w:contextualSpacing/>
              <w:rPr>
                <w:rFonts w:ascii="Times New Roman" w:hAnsi="Times New Roman" w:cs="Times New Roman"/>
              </w:rPr>
            </w:pPr>
            <w:r>
              <w:rPr>
                <w:rFonts w:ascii="Times New Roman" w:hAnsi="Times New Roman" w:cs="Times New Roman"/>
              </w:rPr>
              <w:t>Type A one week, Type B/C the other week</w:t>
            </w:r>
          </w:p>
        </w:tc>
        <w:tc>
          <w:tcPr>
            <w:tcW w:w="3870" w:type="dxa"/>
          </w:tcPr>
          <w:p w:rsidR="003E766D" w:rsidP="004F4D1F" w:rsidRDefault="003E766D">
            <w:pPr>
              <w:tabs>
                <w:tab w:val="left" w:pos="0"/>
              </w:tabs>
              <w:contextualSpacing/>
              <w:rPr>
                <w:rFonts w:ascii="Times New Roman" w:hAnsi="Times New Roman" w:cs="Times New Roman"/>
              </w:rPr>
            </w:pPr>
            <w:r>
              <w:rPr>
                <w:rFonts w:ascii="Times New Roman" w:hAnsi="Times New Roman" w:cs="Times New Roman"/>
              </w:rPr>
              <w:t>CED: Two-week code not used by BLS; Census considered to be Type A.</w:t>
            </w:r>
          </w:p>
          <w:p w:rsidR="00482BD0" w:rsidP="004F4D1F" w:rsidRDefault="003E766D">
            <w:pPr>
              <w:tabs>
                <w:tab w:val="left" w:pos="0"/>
              </w:tabs>
              <w:contextualSpacing/>
              <w:rPr>
                <w:rFonts w:ascii="Times New Roman" w:hAnsi="Times New Roman" w:cs="Times New Roman"/>
              </w:rPr>
            </w:pPr>
            <w:r>
              <w:rPr>
                <w:rFonts w:ascii="Times New Roman" w:hAnsi="Times New Roman" w:cs="Times New Roman"/>
              </w:rPr>
              <w:t>Not used after 2016.</w:t>
            </w: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217</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Temporarily Absent</w:t>
            </w:r>
          </w:p>
        </w:tc>
        <w:tc>
          <w:tcPr>
            <w:tcW w:w="3870" w:type="dxa"/>
          </w:tcPr>
          <w:p w:rsidR="007932A0" w:rsidP="004F4D1F" w:rsidRDefault="00987E96">
            <w:pPr>
              <w:tabs>
                <w:tab w:val="left" w:pos="0"/>
              </w:tabs>
              <w:contextualSpacing/>
              <w:rPr>
                <w:rFonts w:ascii="Times New Roman" w:hAnsi="Times New Roman" w:cs="Times New Roman"/>
              </w:rPr>
            </w:pPr>
            <w:r>
              <w:rPr>
                <w:rFonts w:ascii="Times New Roman" w:hAnsi="Times New Roman" w:cs="Times New Roman"/>
              </w:rPr>
              <w:t>CED: Type A for Census</w:t>
            </w: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2578FB">
            <w:pPr>
              <w:tabs>
                <w:tab w:val="left" w:pos="0"/>
              </w:tabs>
              <w:contextualSpacing/>
              <w:jc w:val="center"/>
              <w:rPr>
                <w:rFonts w:ascii="Times New Roman" w:hAnsi="Times New Roman" w:cs="Times New Roman"/>
              </w:rPr>
            </w:pPr>
            <w:r>
              <w:rPr>
                <w:rFonts w:ascii="Times New Roman" w:hAnsi="Times New Roman" w:cs="Times New Roman"/>
              </w:rPr>
              <w:t>-</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215</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Insufficient Partial</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25"/>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216</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No one home, unable to contact</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B511E2" w:rsidP="00BF3858"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B511E2" w:rsidP="00BF3858"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B511E2" w:rsidP="00BF3858" w:rsidRDefault="00987E96">
            <w:pPr>
              <w:tabs>
                <w:tab w:val="left" w:pos="0"/>
              </w:tabs>
              <w:contextualSpacing/>
              <w:jc w:val="center"/>
              <w:rPr>
                <w:rFonts w:ascii="Times New Roman" w:hAnsi="Times New Roman" w:cs="Times New Roman"/>
              </w:rPr>
            </w:pPr>
            <w:r>
              <w:rPr>
                <w:rFonts w:ascii="Times New Roman" w:hAnsi="Times New Roman" w:cs="Times New Roman"/>
              </w:rPr>
              <w:t>219</w:t>
            </w:r>
          </w:p>
        </w:tc>
        <w:tc>
          <w:tcPr>
            <w:tcW w:w="3982" w:type="dxa"/>
          </w:tcPr>
          <w:p w:rsidR="00B511E2" w:rsidP="004F4D1F" w:rsidRDefault="00987E96">
            <w:pPr>
              <w:tabs>
                <w:tab w:val="left" w:pos="0"/>
              </w:tabs>
              <w:contextualSpacing/>
              <w:rPr>
                <w:rFonts w:ascii="Times New Roman" w:hAnsi="Times New Roman" w:cs="Times New Roman"/>
              </w:rPr>
            </w:pPr>
            <w:r>
              <w:rPr>
                <w:rFonts w:ascii="Times New Roman" w:hAnsi="Times New Roman" w:cs="Times New Roman"/>
              </w:rPr>
              <w:t>Other Type A – Specify</w:t>
            </w:r>
          </w:p>
        </w:tc>
        <w:tc>
          <w:tcPr>
            <w:tcW w:w="3870" w:type="dxa"/>
          </w:tcPr>
          <w:p w:rsidR="00BF3858" w:rsidP="00F20F49" w:rsidRDefault="00BF3858">
            <w:pPr>
              <w:tabs>
                <w:tab w:val="left" w:pos="0"/>
              </w:tabs>
              <w:contextualSpacing/>
              <w:rPr>
                <w:rFonts w:ascii="Times New Roman" w:hAnsi="Times New Roman" w:cs="Times New Roman"/>
              </w:rPr>
            </w:pPr>
            <w:r>
              <w:rPr>
                <w:rFonts w:ascii="Times New Roman" w:hAnsi="Times New Roman" w:cs="Times New Roman"/>
              </w:rPr>
              <w:t xml:space="preserve">CED: Includes </w:t>
            </w:r>
            <w:r w:rsidR="00F20F49">
              <w:rPr>
                <w:rFonts w:ascii="Times New Roman" w:hAnsi="Times New Roman" w:cs="Times New Roman"/>
              </w:rPr>
              <w:t>reclassified</w:t>
            </w:r>
            <w:r>
              <w:rPr>
                <w:rFonts w:ascii="Times New Roman" w:hAnsi="Times New Roman" w:cs="Times New Roman"/>
              </w:rPr>
              <w:t xml:space="preserve"> diaries </w:t>
            </w:r>
            <w:r w:rsidR="00F20F49">
              <w:rPr>
                <w:rFonts w:ascii="Times New Roman" w:hAnsi="Times New Roman" w:cs="Times New Roman"/>
              </w:rPr>
              <w:t>(</w:t>
            </w:r>
            <w:r>
              <w:rPr>
                <w:rFonts w:ascii="Times New Roman" w:hAnsi="Times New Roman" w:cs="Times New Roman"/>
              </w:rPr>
              <w:t xml:space="preserve">reclassified from </w:t>
            </w:r>
            <w:r w:rsidR="00F20F49">
              <w:rPr>
                <w:rFonts w:ascii="Times New Roman" w:hAnsi="Times New Roman" w:cs="Times New Roman"/>
              </w:rPr>
              <w:t xml:space="preserve">code </w:t>
            </w:r>
            <w:r>
              <w:rPr>
                <w:rFonts w:ascii="Times New Roman" w:hAnsi="Times New Roman" w:cs="Times New Roman"/>
              </w:rPr>
              <w:t>201</w:t>
            </w:r>
            <w:r w:rsidR="00F20F49">
              <w:rPr>
                <w:rFonts w:ascii="Times New Roman" w:hAnsi="Times New Roman" w:cs="Times New Roman"/>
              </w:rPr>
              <w:t>)</w:t>
            </w:r>
          </w:p>
        </w:tc>
      </w:tr>
      <w:tr w:rsidR="00BF3858" w:rsidTr="00482BD0">
        <w:trPr>
          <w:trHeight w:val="239"/>
        </w:trPr>
        <w:tc>
          <w:tcPr>
            <w:tcW w:w="792" w:type="dxa"/>
          </w:tcPr>
          <w:p w:rsidR="00BF3858" w:rsidP="004F4D1F" w:rsidRDefault="00BF3858">
            <w:pPr>
              <w:tabs>
                <w:tab w:val="left" w:pos="0"/>
              </w:tabs>
              <w:contextualSpacing/>
              <w:jc w:val="center"/>
              <w:rPr>
                <w:rFonts w:ascii="Times New Roman" w:hAnsi="Times New Roman" w:cs="Times New Roman"/>
              </w:rPr>
            </w:pPr>
          </w:p>
        </w:tc>
        <w:tc>
          <w:tcPr>
            <w:tcW w:w="832" w:type="dxa"/>
          </w:tcPr>
          <w:p w:rsidR="00BF3858" w:rsidP="004F4D1F" w:rsidRDefault="00BF3858">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BF3858" w:rsidP="004F4D1F" w:rsidRDefault="00BF3858">
            <w:pPr>
              <w:tabs>
                <w:tab w:val="left" w:pos="0"/>
              </w:tabs>
              <w:contextualSpacing/>
              <w:jc w:val="center"/>
              <w:rPr>
                <w:rFonts w:ascii="Times New Roman" w:hAnsi="Times New Roman" w:cs="Times New Roman"/>
              </w:rPr>
            </w:pPr>
            <w:r>
              <w:rPr>
                <w:rFonts w:ascii="Times New Roman" w:hAnsi="Times New Roman" w:cs="Times New Roman"/>
              </w:rPr>
              <w:t>320</w:t>
            </w:r>
          </w:p>
        </w:tc>
        <w:tc>
          <w:tcPr>
            <w:tcW w:w="3982" w:type="dxa"/>
          </w:tcPr>
          <w:p w:rsidR="00BF3858" w:rsidP="004F4D1F" w:rsidRDefault="00BF3858">
            <w:pPr>
              <w:tabs>
                <w:tab w:val="left" w:pos="0"/>
              </w:tabs>
              <w:contextualSpacing/>
              <w:rPr>
                <w:rFonts w:ascii="Times New Roman" w:hAnsi="Times New Roman" w:cs="Times New Roman"/>
              </w:rPr>
            </w:pPr>
            <w:r>
              <w:rPr>
                <w:rFonts w:ascii="Times New Roman" w:hAnsi="Times New Roman" w:cs="Times New Roman"/>
              </w:rPr>
              <w:t>Week 2 Diary Picked Up Too Early</w:t>
            </w:r>
          </w:p>
        </w:tc>
        <w:tc>
          <w:tcPr>
            <w:tcW w:w="3870" w:type="dxa"/>
          </w:tcPr>
          <w:p w:rsidR="00BF3858" w:rsidP="004F4D1F" w:rsidRDefault="00BF3858">
            <w:pPr>
              <w:tabs>
                <w:tab w:val="left" w:pos="0"/>
              </w:tabs>
              <w:contextualSpacing/>
              <w:rPr>
                <w:rFonts w:ascii="Times New Roman" w:hAnsi="Times New Roman" w:cs="Times New Roman"/>
              </w:rPr>
            </w:pPr>
            <w:r>
              <w:rPr>
                <w:rFonts w:ascii="Times New Roman" w:hAnsi="Times New Roman" w:cs="Times New Roman"/>
              </w:rPr>
              <w:t>CED: Not used before 2017. Not a final outcome code for Census.</w:t>
            </w: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321</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Refused, Hostile respondent</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322</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Refused, Time-related excuses</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323</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Refused, Language problems</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324</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Refused, Other – Specify</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987E96" w:rsidP="004F4D1F" w:rsidRDefault="002578FB">
            <w:pPr>
              <w:tabs>
                <w:tab w:val="left" w:pos="0"/>
              </w:tabs>
              <w:contextualSpacing/>
              <w:jc w:val="center"/>
              <w:rPr>
                <w:rFonts w:ascii="Times New Roman" w:hAnsi="Times New Roman" w:cs="Times New Roman"/>
              </w:rPr>
            </w:pPr>
            <w:r>
              <w:rPr>
                <w:rFonts w:ascii="Times New Roman" w:hAnsi="Times New Roman" w:cs="Times New Roman"/>
              </w:rPr>
              <w:t>-</w:t>
            </w:r>
          </w:p>
        </w:tc>
        <w:tc>
          <w:tcPr>
            <w:tcW w:w="832"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987E96">
            <w:pPr>
              <w:tabs>
                <w:tab w:val="left" w:pos="0"/>
              </w:tabs>
              <w:contextualSpacing/>
              <w:jc w:val="center"/>
              <w:rPr>
                <w:rFonts w:ascii="Times New Roman" w:hAnsi="Times New Roman" w:cs="Times New Roman"/>
              </w:rPr>
            </w:pPr>
            <w:r>
              <w:rPr>
                <w:rFonts w:ascii="Times New Roman" w:hAnsi="Times New Roman" w:cs="Times New Roman"/>
              </w:rPr>
              <w:t>325</w:t>
            </w:r>
          </w:p>
        </w:tc>
        <w:tc>
          <w:tcPr>
            <w:tcW w:w="3982" w:type="dxa"/>
          </w:tcPr>
          <w:p w:rsidR="00987E96" w:rsidP="004F4D1F" w:rsidRDefault="00987E96">
            <w:pPr>
              <w:tabs>
                <w:tab w:val="left" w:pos="0"/>
              </w:tabs>
              <w:contextualSpacing/>
              <w:rPr>
                <w:rFonts w:ascii="Times New Roman" w:hAnsi="Times New Roman" w:cs="Times New Roman"/>
              </w:rPr>
            </w:pPr>
            <w:r>
              <w:rPr>
                <w:rFonts w:ascii="Times New Roman" w:hAnsi="Times New Roman" w:cs="Times New Roman"/>
              </w:rPr>
              <w:t>Diary placed Too Late</w:t>
            </w:r>
          </w:p>
        </w:tc>
        <w:tc>
          <w:tcPr>
            <w:tcW w:w="3870" w:type="dxa"/>
          </w:tcPr>
          <w:p w:rsidR="00987E96" w:rsidP="004F4D1F" w:rsidRDefault="00987E96">
            <w:pPr>
              <w:tabs>
                <w:tab w:val="left" w:pos="0"/>
              </w:tabs>
              <w:contextualSpacing/>
              <w:rPr>
                <w:rFonts w:ascii="Times New Roman" w:hAnsi="Times New Roman" w:cs="Times New Roman"/>
              </w:rPr>
            </w:pPr>
          </w:p>
        </w:tc>
      </w:tr>
      <w:tr w:rsidR="00987E96" w:rsidTr="00482BD0">
        <w:trPr>
          <w:trHeight w:val="239"/>
        </w:trPr>
        <w:tc>
          <w:tcPr>
            <w:tcW w:w="792" w:type="dxa"/>
          </w:tcPr>
          <w:p w:rsidR="00987E96" w:rsidP="004F4D1F" w:rsidRDefault="002578FB">
            <w:pPr>
              <w:tabs>
                <w:tab w:val="left" w:pos="0"/>
              </w:tabs>
              <w:contextualSpacing/>
              <w:jc w:val="center"/>
              <w:rPr>
                <w:rFonts w:ascii="Times New Roman" w:hAnsi="Times New Roman" w:cs="Times New Roman"/>
              </w:rPr>
            </w:pPr>
            <w:r>
              <w:rPr>
                <w:rFonts w:ascii="Times New Roman" w:hAnsi="Times New Roman" w:cs="Times New Roman"/>
              </w:rPr>
              <w:t>-</w:t>
            </w:r>
          </w:p>
        </w:tc>
        <w:tc>
          <w:tcPr>
            <w:tcW w:w="832" w:type="dxa"/>
          </w:tcPr>
          <w:p w:rsidR="00987E96"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326</w:t>
            </w:r>
          </w:p>
        </w:tc>
        <w:tc>
          <w:tcPr>
            <w:tcW w:w="3982" w:type="dxa"/>
          </w:tcPr>
          <w:p w:rsidR="00987E96" w:rsidP="004F4D1F" w:rsidRDefault="003702CB">
            <w:pPr>
              <w:tabs>
                <w:tab w:val="left" w:pos="0"/>
              </w:tabs>
              <w:contextualSpacing/>
              <w:rPr>
                <w:rFonts w:ascii="Times New Roman" w:hAnsi="Times New Roman" w:cs="Times New Roman"/>
              </w:rPr>
            </w:pPr>
            <w:r>
              <w:rPr>
                <w:rFonts w:ascii="Times New Roman" w:hAnsi="Times New Roman" w:cs="Times New Roman"/>
              </w:rPr>
              <w:t>Blank Diary, majority of items recalled without receipts</w:t>
            </w:r>
          </w:p>
        </w:tc>
        <w:tc>
          <w:tcPr>
            <w:tcW w:w="3870" w:type="dxa"/>
          </w:tcPr>
          <w:p w:rsidR="00987E96" w:rsidP="004F4D1F" w:rsidRDefault="0097711D">
            <w:pPr>
              <w:tabs>
                <w:tab w:val="left" w:pos="0"/>
              </w:tabs>
              <w:contextualSpacing/>
              <w:rPr>
                <w:rFonts w:ascii="Times New Roman" w:hAnsi="Times New Roman" w:cs="Times New Roman"/>
              </w:rPr>
            </w:pPr>
            <w:r>
              <w:rPr>
                <w:rFonts w:ascii="Times New Roman" w:hAnsi="Times New Roman" w:cs="Times New Roman"/>
              </w:rPr>
              <w:t>CED: Type B at Census before 2017.</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224</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All persons under 16</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225</w:t>
            </w:r>
          </w:p>
        </w:tc>
        <w:tc>
          <w:tcPr>
            <w:tcW w:w="3982" w:type="dxa"/>
          </w:tcPr>
          <w:p w:rsidR="003702CB" w:rsidP="00CB09A6" w:rsidRDefault="003702CB">
            <w:pPr>
              <w:tabs>
                <w:tab w:val="left" w:pos="0"/>
              </w:tabs>
              <w:contextualSpacing/>
              <w:rPr>
                <w:rFonts w:ascii="Times New Roman" w:hAnsi="Times New Roman" w:cs="Times New Roman"/>
              </w:rPr>
            </w:pPr>
            <w:r>
              <w:rPr>
                <w:rFonts w:ascii="Times New Roman" w:hAnsi="Times New Roman" w:cs="Times New Roman"/>
              </w:rPr>
              <w:t xml:space="preserve">Occupied by persons with </w:t>
            </w:r>
            <w:r w:rsidR="00CB09A6">
              <w:rPr>
                <w:rFonts w:ascii="Times New Roman" w:hAnsi="Times New Roman" w:cs="Times New Roman"/>
              </w:rPr>
              <w:t>usual residence elsewhere</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226</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Vacant for rent</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228</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Unfit, to be demolished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229</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Under construction</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231</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Unoccupied tent/trailer site</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232</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Permit granted, construction not started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233</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Other Type B – Specify</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331</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Vacant for sale</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332</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Vacant other – Specify</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240</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Demolished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241</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House or trailer moved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243</w:t>
            </w:r>
          </w:p>
        </w:tc>
        <w:tc>
          <w:tcPr>
            <w:tcW w:w="3982" w:type="dxa"/>
          </w:tcPr>
          <w:p w:rsidR="003702CB" w:rsidP="004F4D1F" w:rsidRDefault="002F2D56">
            <w:pPr>
              <w:tabs>
                <w:tab w:val="left" w:pos="0"/>
              </w:tabs>
              <w:contextualSpacing/>
              <w:rPr>
                <w:rFonts w:ascii="Times New Roman" w:hAnsi="Times New Roman" w:cs="Times New Roman"/>
              </w:rPr>
            </w:pPr>
            <w:r>
              <w:rPr>
                <w:rFonts w:ascii="Times New Roman" w:hAnsi="Times New Roman" w:cs="Times New Roman"/>
              </w:rPr>
              <w:t>Converted to permanent non</w:t>
            </w:r>
            <w:r w:rsidR="003702CB">
              <w:rPr>
                <w:rFonts w:ascii="Times New Roman" w:hAnsi="Times New Roman" w:cs="Times New Roman"/>
              </w:rPr>
              <w:t>residential use</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244</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Merged units within the same structure</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245</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Condemned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lastRenderedPageBreak/>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246</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Built after April 1, 1990</w:t>
            </w:r>
          </w:p>
        </w:tc>
        <w:tc>
          <w:tcPr>
            <w:tcW w:w="3870"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247</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Unused serial number on listing sheet</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248</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Other Type C – Specify</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252</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Located on military base or post</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256</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Removed during subsampling</w:t>
            </w:r>
          </w:p>
        </w:tc>
        <w:tc>
          <w:tcPr>
            <w:tcW w:w="3870"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257</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Unit already had a chance of selection</w:t>
            </w:r>
          </w:p>
        </w:tc>
        <w:tc>
          <w:tcPr>
            <w:tcW w:w="3870"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258</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Unlocated sample address</w:t>
            </w:r>
          </w:p>
        </w:tc>
        <w:tc>
          <w:tcPr>
            <w:tcW w:w="3870"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Not used before 2015</w:t>
            </w:r>
            <w:r w:rsidR="0097711D">
              <w:rPr>
                <w:rFonts w:ascii="Times New Roman" w:hAnsi="Times New Roman" w:cs="Times New Roman"/>
              </w:rPr>
              <w:t>.</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259</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 xml:space="preserve">Unit does not exist or is </w:t>
            </w:r>
            <w:r w:rsidR="00310C92">
              <w:rPr>
                <w:rFonts w:ascii="Times New Roman" w:hAnsi="Times New Roman" w:cs="Times New Roman"/>
              </w:rPr>
              <w:t>out-of-scope</w:t>
            </w:r>
          </w:p>
        </w:tc>
        <w:tc>
          <w:tcPr>
            <w:tcW w:w="3870"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Not used before 2015</w:t>
            </w:r>
            <w:r w:rsidR="0097711D">
              <w:rPr>
                <w:rFonts w:ascii="Times New Roman" w:hAnsi="Times New Roman" w:cs="Times New Roman"/>
              </w:rPr>
              <w:t>.</w:t>
            </w: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2578FB">
            <w:pPr>
              <w:tabs>
                <w:tab w:val="left" w:pos="0"/>
              </w:tabs>
              <w:contextualSpacing/>
              <w:jc w:val="center"/>
              <w:rPr>
                <w:rFonts w:ascii="Times New Roman" w:hAnsi="Times New Roman" w:cs="Times New Roman"/>
              </w:rPr>
            </w:pPr>
            <w:r>
              <w:rPr>
                <w:rFonts w:ascii="Times New Roman" w:hAnsi="Times New Roman" w:cs="Times New Roman"/>
              </w:rPr>
              <w:t>-</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290</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Spawned in error</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341</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Household replaced</w:t>
            </w:r>
          </w:p>
        </w:tc>
        <w:tc>
          <w:tcPr>
            <w:tcW w:w="3870" w:type="dxa"/>
          </w:tcPr>
          <w:p w:rsidR="003702CB" w:rsidP="004F4D1F" w:rsidRDefault="003702CB">
            <w:pPr>
              <w:tabs>
                <w:tab w:val="left" w:pos="0"/>
              </w:tabs>
              <w:contextualSpacing/>
              <w:rPr>
                <w:rFonts w:ascii="Times New Roman" w:hAnsi="Times New Roman" w:cs="Times New Roman"/>
              </w:rPr>
            </w:pPr>
          </w:p>
        </w:tc>
      </w:tr>
      <w:tr w:rsidR="003702CB" w:rsidTr="00482BD0">
        <w:trPr>
          <w:trHeight w:val="239"/>
        </w:trPr>
        <w:tc>
          <w:tcPr>
            <w:tcW w:w="79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P="004F4D1F" w:rsidRDefault="003702CB">
            <w:pPr>
              <w:tabs>
                <w:tab w:val="left" w:pos="0"/>
              </w:tabs>
              <w:contextualSpacing/>
              <w:jc w:val="center"/>
              <w:rPr>
                <w:rFonts w:ascii="Times New Roman" w:hAnsi="Times New Roman" w:cs="Times New Roman"/>
              </w:rPr>
            </w:pPr>
            <w:r>
              <w:rPr>
                <w:rFonts w:ascii="Times New Roman" w:hAnsi="Times New Roman" w:cs="Times New Roman"/>
              </w:rPr>
              <w:t>342</w:t>
            </w:r>
          </w:p>
        </w:tc>
        <w:tc>
          <w:tcPr>
            <w:tcW w:w="3982" w:type="dxa"/>
          </w:tcPr>
          <w:p w:rsidR="003702CB" w:rsidP="004F4D1F" w:rsidRDefault="003702CB">
            <w:pPr>
              <w:tabs>
                <w:tab w:val="left" w:pos="0"/>
              </w:tabs>
              <w:contextualSpacing/>
              <w:rPr>
                <w:rFonts w:ascii="Times New Roman" w:hAnsi="Times New Roman" w:cs="Times New Roman"/>
              </w:rPr>
            </w:pPr>
            <w:r>
              <w:rPr>
                <w:rFonts w:ascii="Times New Roman" w:hAnsi="Times New Roman" w:cs="Times New Roman"/>
              </w:rPr>
              <w:t>CU merged with other CE CU within same address</w:t>
            </w:r>
          </w:p>
        </w:tc>
        <w:tc>
          <w:tcPr>
            <w:tcW w:w="3870" w:type="dxa"/>
          </w:tcPr>
          <w:p w:rsidR="003702CB" w:rsidP="004F4D1F" w:rsidRDefault="003702CB">
            <w:pPr>
              <w:tabs>
                <w:tab w:val="left" w:pos="0"/>
              </w:tabs>
              <w:contextualSpacing/>
              <w:rPr>
                <w:rFonts w:ascii="Times New Roman" w:hAnsi="Times New Roman" w:cs="Times New Roman"/>
              </w:rPr>
            </w:pPr>
          </w:p>
        </w:tc>
      </w:tr>
    </w:tbl>
    <w:p w:rsidR="00B511E2" w:rsidP="004F4D1F" w:rsidRDefault="00B511E2">
      <w:pPr>
        <w:tabs>
          <w:tab w:val="left" w:pos="0"/>
        </w:tabs>
        <w:contextualSpacing/>
        <w:rPr>
          <w:rFonts w:ascii="Times New Roman" w:hAnsi="Times New Roman" w:cs="Times New Roman"/>
        </w:rPr>
      </w:pPr>
    </w:p>
    <w:p w:rsidR="00B5527D" w:rsidP="004F4D1F" w:rsidRDefault="008A11E7">
      <w:pPr>
        <w:tabs>
          <w:tab w:val="left" w:pos="0"/>
        </w:tabs>
        <w:contextualSpacing/>
        <w:rPr>
          <w:rFonts w:ascii="Times New Roman" w:hAnsi="Times New Roman" w:cs="Times New Roman"/>
        </w:rPr>
      </w:pPr>
      <w:r>
        <w:rPr>
          <w:rFonts w:ascii="Times New Roman" w:hAnsi="Times New Roman" w:cs="Times New Roman"/>
        </w:rPr>
        <w:tab/>
      </w:r>
      <w:r w:rsidR="007932A0">
        <w:rPr>
          <w:rFonts w:ascii="Times New Roman" w:hAnsi="Times New Roman" w:cs="Times New Roman"/>
        </w:rPr>
        <w:t xml:space="preserve">As mentioned in the main text, there have been two changes in the classification of response codes, both affecting only Diary (CED) </w:t>
      </w:r>
      <w:r w:rsidR="003B5F19">
        <w:rPr>
          <w:rFonts w:ascii="Times New Roman" w:hAnsi="Times New Roman" w:cs="Times New Roman"/>
        </w:rPr>
        <w:t>at</w:t>
      </w:r>
      <w:r w:rsidR="007932A0">
        <w:rPr>
          <w:rFonts w:ascii="Times New Roman" w:hAnsi="Times New Roman" w:cs="Times New Roman"/>
        </w:rPr>
        <w:t xml:space="preserve"> Censu</w:t>
      </w:r>
      <w:r w:rsidR="00B5527D">
        <w:rPr>
          <w:rFonts w:ascii="Times New Roman" w:hAnsi="Times New Roman" w:cs="Times New Roman"/>
        </w:rPr>
        <w:t>s:</w:t>
      </w:r>
    </w:p>
    <w:p w:rsidR="008A51AE" w:rsidP="009558A0" w:rsidRDefault="00B5527D">
      <w:pPr>
        <w:tabs>
          <w:tab w:val="left" w:pos="0"/>
        </w:tabs>
        <w:contextualSpacing/>
        <w:rPr>
          <w:rFonts w:ascii="Times New Roman" w:hAnsi="Times New Roman" w:cs="Times New Roman"/>
        </w:rPr>
      </w:pPr>
      <w:r>
        <w:rPr>
          <w:rFonts w:ascii="Times New Roman" w:hAnsi="Times New Roman" w:cs="Times New Roman"/>
        </w:rPr>
        <w:tab/>
        <w:t>217 (“Temporarily Absent”) changed for Field in 2016 from Type B to Type A</w:t>
      </w:r>
      <w:r w:rsidR="009558A0">
        <w:rPr>
          <w:rFonts w:ascii="Times New Roman" w:hAnsi="Times New Roman" w:cs="Times New Roman"/>
        </w:rPr>
        <w:t xml:space="preserve">, but was always Type A </w:t>
      </w:r>
      <w:r>
        <w:rPr>
          <w:rFonts w:ascii="Times New Roman" w:hAnsi="Times New Roman" w:cs="Times New Roman"/>
        </w:rPr>
        <w:t xml:space="preserve">for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w:t>
      </w:r>
    </w:p>
    <w:p w:rsidR="00646915" w:rsidP="009558A0" w:rsidRDefault="00B5527D">
      <w:pPr>
        <w:tabs>
          <w:tab w:val="left" w:pos="0"/>
        </w:tabs>
        <w:contextualSpacing/>
        <w:rPr>
          <w:rFonts w:ascii="Times New Roman" w:hAnsi="Times New Roman" w:cs="Times New Roman"/>
        </w:rPr>
      </w:pPr>
      <w:r>
        <w:rPr>
          <w:rFonts w:ascii="Times New Roman" w:hAnsi="Times New Roman" w:cs="Times New Roman"/>
        </w:rPr>
        <w:tab/>
        <w:t xml:space="preserve">326 (“Blank Diary, majority of items recalled without receipts”) changed for Census (both Field and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w:t>
      </w:r>
      <w:r w:rsidR="00956FDC">
        <w:rPr>
          <w:rFonts w:ascii="Times New Roman" w:hAnsi="Times New Roman" w:cs="Times New Roman"/>
        </w:rPr>
        <w:t xml:space="preserve">from Type B </w:t>
      </w:r>
      <w:r>
        <w:rPr>
          <w:rFonts w:ascii="Times New Roman" w:hAnsi="Times New Roman" w:cs="Times New Roman"/>
        </w:rPr>
        <w:t>to Type A (</w:t>
      </w:r>
      <w:r w:rsidR="00906FB4">
        <w:rPr>
          <w:rFonts w:ascii="Times New Roman" w:hAnsi="Times New Roman" w:cs="Times New Roman"/>
        </w:rPr>
        <w:t xml:space="preserve">now </w:t>
      </w:r>
      <w:r>
        <w:rPr>
          <w:rFonts w:ascii="Times New Roman" w:hAnsi="Times New Roman" w:cs="Times New Roman"/>
        </w:rPr>
        <w:t>matching BLS) in 2017.</w:t>
      </w:r>
    </w:p>
    <w:p w:rsidRPr="009558A0" w:rsidR="009558A0" w:rsidP="009558A0" w:rsidRDefault="009558A0">
      <w:pPr>
        <w:tabs>
          <w:tab w:val="left" w:pos="0"/>
        </w:tabs>
        <w:contextualSpacing/>
        <w:rPr>
          <w:rFonts w:ascii="Times New Roman" w:hAnsi="Times New Roman" w:cs="Times New Roman"/>
        </w:rPr>
      </w:pPr>
      <w:r>
        <w:rPr>
          <w:rFonts w:ascii="Times New Roman" w:hAnsi="Times New Roman" w:cs="Times New Roman"/>
          <w:b/>
        </w:rPr>
        <w:br w:type="page"/>
      </w:r>
    </w:p>
    <w:p w:rsidR="00D64B1D" w:rsidP="00D64B1D" w:rsidRDefault="00D64B1D">
      <w:pPr>
        <w:tabs>
          <w:tab w:val="left" w:pos="360"/>
          <w:tab w:val="left" w:pos="1440"/>
          <w:tab w:val="left" w:pos="2880"/>
          <w:tab w:val="left" w:pos="3600"/>
          <w:tab w:val="left" w:pos="5760"/>
          <w:tab w:val="left" w:pos="8280"/>
        </w:tabs>
        <w:contextualSpacing/>
        <w:rPr>
          <w:rFonts w:ascii="Times New Roman" w:hAnsi="Times New Roman" w:cs="Times New Roman"/>
        </w:rPr>
      </w:pPr>
      <w:r w:rsidRPr="00D64B1D">
        <w:rPr>
          <w:rFonts w:ascii="Times New Roman" w:hAnsi="Times New Roman" w:cs="Times New Roman"/>
          <w:b/>
        </w:rPr>
        <w:lastRenderedPageBreak/>
        <w:t>ATTACHMENT B</w:t>
      </w:r>
      <w:r w:rsidRPr="006F7B3F">
        <w:rPr>
          <w:rFonts w:ascii="Times New Roman" w:hAnsi="Times New Roman" w:cs="Times New Roman"/>
        </w:rPr>
        <w:t>: Consumer Expenditure Survey Response Rates: Quarterly Interview Survey (CEQ)</w:t>
      </w:r>
    </w:p>
    <w:p w:rsidR="00731B54" w:rsidP="00D64B1D" w:rsidRDefault="00731B54">
      <w:pPr>
        <w:tabs>
          <w:tab w:val="left" w:pos="360"/>
          <w:tab w:val="left" w:pos="1440"/>
          <w:tab w:val="left" w:pos="2880"/>
          <w:tab w:val="left" w:pos="3600"/>
          <w:tab w:val="left" w:pos="5760"/>
          <w:tab w:val="left" w:pos="8280"/>
        </w:tabs>
        <w:contextualSpacing/>
        <w:rPr>
          <w:rFonts w:ascii="Times New Roman" w:hAnsi="Times New Roman" w:cs="Times New Roman"/>
        </w:rPr>
      </w:pPr>
    </w:p>
    <w:tbl>
      <w:tblPr>
        <w:tblW w:w="8040"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40"/>
        <w:gridCol w:w="1340"/>
        <w:gridCol w:w="1340"/>
        <w:gridCol w:w="1340"/>
        <w:gridCol w:w="1340"/>
        <w:gridCol w:w="1340"/>
      </w:tblGrid>
      <w:tr w:rsidRPr="0064504E" w:rsidR="0064504E" w:rsidTr="0064504E">
        <w:trPr>
          <w:trHeight w:val="222"/>
          <w:jc w:val="center"/>
        </w:trPr>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24"/>
                <w:szCs w:val="24"/>
              </w:rPr>
            </w:pPr>
          </w:p>
        </w:tc>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FIELD</w:t>
            </w:r>
          </w:p>
        </w:tc>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DSMD</w:t>
            </w:r>
          </w:p>
        </w:tc>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 xml:space="preserve">Field - </w:t>
            </w:r>
          </w:p>
        </w:tc>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BLS</w:t>
            </w:r>
          </w:p>
        </w:tc>
        <w:tc>
          <w:tcPr>
            <w:tcW w:w="1340" w:type="dxa"/>
            <w:tcBorders>
              <w:top w:val="single" w:color="auto" w:sz="4" w:space="0"/>
              <w:bottom w:val="nil"/>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 xml:space="preserve">DSMD - </w:t>
            </w:r>
          </w:p>
        </w:tc>
      </w:tr>
      <w:tr w:rsidRPr="0064504E" w:rsidR="0064504E" w:rsidTr="0064504E">
        <w:trPr>
          <w:trHeight w:val="222"/>
          <w:jc w:val="center"/>
        </w:trPr>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Month</w:t>
            </w:r>
          </w:p>
        </w:tc>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DSMD</w:t>
            </w:r>
          </w:p>
        </w:tc>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BLS</w:t>
            </w:r>
          </w:p>
        </w:tc>
      </w:tr>
      <w:tr w:rsidRPr="0064504E" w:rsidR="0064504E" w:rsidTr="0064504E">
        <w:trPr>
          <w:trHeight w:val="222"/>
          <w:jc w:val="center"/>
        </w:trPr>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201001</w:t>
            </w:r>
          </w:p>
        </w:tc>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75.55</w:t>
            </w:r>
          </w:p>
        </w:tc>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75.55</w:t>
            </w:r>
          </w:p>
        </w:tc>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75.26</w:t>
            </w:r>
          </w:p>
        </w:tc>
        <w:tc>
          <w:tcPr>
            <w:tcW w:w="1340" w:type="dxa"/>
            <w:tcBorders>
              <w:top w:val="single" w:color="auto" w:sz="4" w:space="0"/>
            </w:tcBorders>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73.84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75.50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75.49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0.75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74.85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74.85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74.72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73.48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73.48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72.54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72.54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1.10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74.14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74.14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73.87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74.09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71.99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0.65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73.15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73.15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72.87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201012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70.81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0.48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71.75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71.75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71.31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0.43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71.70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71.70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70.49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1.21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1.65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0.71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72.22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72.22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70.96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70.96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1.56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69.32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1.43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72.02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70.82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1.20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70.89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70.89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1.48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71.82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71.82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1.31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71.52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71.52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70.64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0.89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201112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70.68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70.68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70.19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0.48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70.45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0.84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71.83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71.83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71.45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69.98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0.57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71.44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71.44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0.40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68.62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68.62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0.72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69.20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69.20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69.28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70.23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70.23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69.84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67.67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71.30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71.30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0.73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70.72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69.57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1.15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201212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0.55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0.43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69.77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69.77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67.60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67.60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66.94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0.66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70.52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70.03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0.50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67.31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0.61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69.43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68.20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1.24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68.53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68.53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67.57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0.96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0.37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56.36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56.36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56.27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201312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0.98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66.97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66.97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0.97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66.83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0.51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68.16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68.16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1.10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68.93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68.93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0.83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67.18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67.18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1.17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68.24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68.24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1.12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68.64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68.64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67.55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lastRenderedPageBreak/>
              <w:t>201409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66.45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66.45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0.72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68.76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68.76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0.85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66.36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66.36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66.15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201412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63.28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63.28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62.71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0.57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63.80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63.80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67.91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67.88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65.14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65.14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65.91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65.73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65.64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62.99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62.95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63.15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63.15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201512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61.78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61.78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61.78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63.75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0.04</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63.95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63.89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63.83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0.06</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61.86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61.90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62.60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62.60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62.62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63.26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63.26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63.26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64.19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64.19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62.48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62.98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62.37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62.37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63.04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201612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61.58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61.58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61.52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0.05</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61.40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61.40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61.37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60.68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60.68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60.69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64.28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62.97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1.31</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61.63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61.43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61.42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61.42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61.14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0.28</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61.53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61.53</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61.34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62.58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62.58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62.36</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0.22</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201709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59.88</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0.17</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201710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60.39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60.39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60.19</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0.20</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201711</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60.24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60.24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60.05</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0.19</w:t>
            </w:r>
          </w:p>
        </w:tc>
      </w:tr>
      <w:tr w:rsidRPr="0064504E" w:rsidR="0064504E" w:rsidTr="0064504E">
        <w:trPr>
          <w:trHeight w:val="222"/>
          <w:jc w:val="center"/>
        </w:trPr>
        <w:tc>
          <w:tcPr>
            <w:tcW w:w="1340" w:type="dxa"/>
            <w:shd w:val="clear" w:color="auto" w:fill="auto"/>
            <w:noWrap/>
            <w:vAlign w:val="bottom"/>
            <w:hideMark/>
          </w:tcPr>
          <w:p w:rsidRPr="0064504E" w:rsidR="0064504E" w:rsidP="0064504E" w:rsidRDefault="0064504E">
            <w:pPr>
              <w:spacing w:after="0" w:line="240" w:lineRule="auto"/>
              <w:rPr>
                <w:rFonts w:ascii="Times New Roman" w:hAnsi="Times New Roman" w:eastAsia="Times New Roman" w:cs="Times New Roman"/>
                <w:sz w:val="14"/>
                <w:szCs w:val="14"/>
              </w:rPr>
            </w:pPr>
            <w:r w:rsidRPr="0064504E">
              <w:rPr>
                <w:rFonts w:ascii="Times New Roman" w:hAnsi="Times New Roman" w:eastAsia="Times New Roman" w:cs="Times New Roman"/>
                <w:sz w:val="14"/>
                <w:szCs w:val="14"/>
              </w:rPr>
              <w:t>201712</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57.47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57.47</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0.00</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57.44</w:t>
            </w:r>
          </w:p>
        </w:tc>
        <w:tc>
          <w:tcPr>
            <w:tcW w:w="1340" w:type="dxa"/>
            <w:shd w:val="clear" w:color="auto" w:fill="auto"/>
            <w:noWrap/>
            <w:vAlign w:val="bottom"/>
            <w:hideMark/>
          </w:tcPr>
          <w:p w:rsidRPr="0064504E" w:rsidR="0064504E" w:rsidP="0064504E" w:rsidRDefault="0064504E">
            <w:pPr>
              <w:spacing w:after="0" w:line="240" w:lineRule="auto"/>
              <w:jc w:val="right"/>
              <w:rPr>
                <w:rFonts w:ascii="Times New Roman" w:hAnsi="Times New Roman" w:eastAsia="Times New Roman" w:cs="Times New Roman"/>
                <w:color w:val="000000"/>
                <w:sz w:val="14"/>
                <w:szCs w:val="14"/>
              </w:rPr>
            </w:pPr>
            <w:r w:rsidRPr="0064504E">
              <w:rPr>
                <w:rFonts w:ascii="Times New Roman" w:hAnsi="Times New Roman" w:eastAsia="Times New Roman" w:cs="Times New Roman"/>
                <w:color w:val="000000"/>
                <w:sz w:val="14"/>
                <w:szCs w:val="14"/>
              </w:rPr>
              <w:t>0.03</w:t>
            </w:r>
          </w:p>
        </w:tc>
      </w:tr>
    </w:tbl>
    <w:p w:rsidR="0064504E" w:rsidP="00D64B1D" w:rsidRDefault="0064504E">
      <w:pPr>
        <w:tabs>
          <w:tab w:val="left" w:pos="360"/>
          <w:tab w:val="left" w:pos="1440"/>
          <w:tab w:val="left" w:pos="2880"/>
          <w:tab w:val="left" w:pos="3600"/>
          <w:tab w:val="left" w:pos="5760"/>
          <w:tab w:val="left" w:pos="8280"/>
        </w:tabs>
        <w:contextualSpacing/>
        <w:rPr>
          <w:rFonts w:ascii="Times New Roman" w:hAnsi="Times New Roman" w:cs="Times New Roman"/>
        </w:rPr>
      </w:pPr>
    </w:p>
    <w:p w:rsidR="00775E8F" w:rsidP="00D64B1D" w:rsidRDefault="00775E8F">
      <w:pPr>
        <w:tabs>
          <w:tab w:val="left" w:pos="360"/>
          <w:tab w:val="left" w:pos="1440"/>
          <w:tab w:val="left" w:pos="2880"/>
          <w:tab w:val="left" w:pos="3600"/>
          <w:tab w:val="left" w:pos="5760"/>
          <w:tab w:val="left" w:pos="8280"/>
        </w:tabs>
        <w:contextualSpacing/>
        <w:rPr>
          <w:rFonts w:ascii="Times New Roman" w:hAnsi="Times New Roman" w:cs="Times New Roman"/>
        </w:rPr>
      </w:pPr>
    </w:p>
    <w:tbl>
      <w:tblPr>
        <w:tblW w:w="8040"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40"/>
        <w:gridCol w:w="1340"/>
        <w:gridCol w:w="1340"/>
        <w:gridCol w:w="1340"/>
        <w:gridCol w:w="1340"/>
        <w:gridCol w:w="1340"/>
      </w:tblGrid>
      <w:tr w:rsidRPr="00775E8F" w:rsidR="00775E8F" w:rsidTr="00775E8F">
        <w:trPr>
          <w:trHeight w:val="240"/>
          <w:jc w:val="center"/>
        </w:trPr>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sz w:val="16"/>
                <w:szCs w:val="16"/>
              </w:rPr>
            </w:pPr>
          </w:p>
        </w:tc>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FIELD</w:t>
            </w:r>
          </w:p>
        </w:tc>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DSMD</w:t>
            </w:r>
          </w:p>
        </w:tc>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 xml:space="preserve">Field - </w:t>
            </w:r>
          </w:p>
        </w:tc>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BLS</w:t>
            </w:r>
          </w:p>
        </w:tc>
        <w:tc>
          <w:tcPr>
            <w:tcW w:w="1340" w:type="dxa"/>
            <w:tcBorders>
              <w:top w:val="single" w:color="auto" w:sz="4" w:space="0"/>
              <w:bottom w:val="nil"/>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 xml:space="preserve">DSMD - </w:t>
            </w:r>
          </w:p>
        </w:tc>
      </w:tr>
      <w:tr w:rsidRPr="00775E8F" w:rsidR="00775E8F" w:rsidTr="00775E8F">
        <w:trPr>
          <w:trHeight w:val="240"/>
          <w:jc w:val="center"/>
        </w:trPr>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Year</w:t>
            </w:r>
          </w:p>
        </w:tc>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DSMD</w:t>
            </w:r>
          </w:p>
        </w:tc>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BLS</w:t>
            </w:r>
          </w:p>
        </w:tc>
      </w:tr>
      <w:tr w:rsidRPr="00775E8F" w:rsidR="00775E8F" w:rsidTr="00775E8F">
        <w:trPr>
          <w:trHeight w:val="240"/>
          <w:jc w:val="center"/>
        </w:trPr>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2005</w:t>
            </w:r>
          </w:p>
        </w:tc>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75.60</w:t>
            </w:r>
          </w:p>
        </w:tc>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75.56</w:t>
            </w:r>
          </w:p>
        </w:tc>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0.04</w:t>
            </w:r>
          </w:p>
        </w:tc>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74.53</w:t>
            </w:r>
          </w:p>
        </w:tc>
        <w:tc>
          <w:tcPr>
            <w:tcW w:w="1340" w:type="dxa"/>
            <w:tcBorders>
              <w:top w:val="single" w:color="auto" w:sz="4" w:space="0"/>
            </w:tcBorders>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1.03</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2006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77.02</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77.02</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76.55</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0.47</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2007</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74.22</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74.22</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73.86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0.36</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2008</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74.34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74.34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73.84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0.50</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2009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75.06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75.06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74.50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0.56</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73.83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73.83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73.43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0.40</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2011</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71.49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71.49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70.38</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1.11</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2012</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70.03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70.03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69.51</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0.52</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67.09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67.09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66.70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0.39</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67.27</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67.27</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66.43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0.85</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2015</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64.46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64.45</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0.01</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64.40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0.04</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2016</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62.99</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63.03</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63.01</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0.02</w:t>
            </w:r>
          </w:p>
        </w:tc>
      </w:tr>
      <w:tr w:rsidRPr="00775E8F" w:rsidR="00775E8F" w:rsidTr="00775E8F">
        <w:trPr>
          <w:trHeight w:val="240"/>
          <w:jc w:val="center"/>
        </w:trPr>
        <w:tc>
          <w:tcPr>
            <w:tcW w:w="1340" w:type="dxa"/>
            <w:shd w:val="clear" w:color="auto" w:fill="auto"/>
            <w:noWrap/>
            <w:vAlign w:val="bottom"/>
            <w:hideMark/>
          </w:tcPr>
          <w:p w:rsidRPr="00775E8F" w:rsidR="00775E8F" w:rsidP="00775E8F" w:rsidRDefault="00775E8F">
            <w:pPr>
              <w:spacing w:after="0" w:line="240" w:lineRule="auto"/>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2017</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61.14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61.14</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0.00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60.90</w:t>
            </w:r>
          </w:p>
        </w:tc>
        <w:tc>
          <w:tcPr>
            <w:tcW w:w="1340" w:type="dxa"/>
            <w:shd w:val="clear" w:color="auto" w:fill="auto"/>
            <w:noWrap/>
            <w:vAlign w:val="bottom"/>
            <w:hideMark/>
          </w:tcPr>
          <w:p w:rsidRPr="00775E8F" w:rsidR="00775E8F" w:rsidP="00775E8F" w:rsidRDefault="00775E8F">
            <w:pPr>
              <w:spacing w:after="0" w:line="240" w:lineRule="auto"/>
              <w:jc w:val="right"/>
              <w:rPr>
                <w:rFonts w:ascii="Times New Roman" w:hAnsi="Times New Roman" w:eastAsia="Times New Roman" w:cs="Times New Roman"/>
                <w:color w:val="000000"/>
                <w:sz w:val="16"/>
                <w:szCs w:val="16"/>
              </w:rPr>
            </w:pPr>
            <w:r w:rsidRPr="00775E8F">
              <w:rPr>
                <w:rFonts w:ascii="Times New Roman" w:hAnsi="Times New Roman" w:eastAsia="Times New Roman" w:cs="Times New Roman"/>
                <w:color w:val="000000"/>
                <w:sz w:val="16"/>
                <w:szCs w:val="16"/>
              </w:rPr>
              <w:t>0.24</w:t>
            </w:r>
          </w:p>
        </w:tc>
      </w:tr>
    </w:tbl>
    <w:p w:rsidR="00366E5E" w:rsidRDefault="00366E5E">
      <w:pPr>
        <w:rPr>
          <w:rFonts w:ascii="Times New Roman" w:hAnsi="Times New Roman" w:cs="Times New Roman"/>
          <w:b/>
        </w:rPr>
      </w:pPr>
      <w:r>
        <w:rPr>
          <w:rFonts w:ascii="Times New Roman" w:hAnsi="Times New Roman" w:cs="Times New Roman"/>
          <w:b/>
        </w:rPr>
        <w:br w:type="page"/>
      </w:r>
    </w:p>
    <w:p w:rsidRPr="006F7B3F" w:rsidR="00D64B1D" w:rsidP="00D64B1D" w:rsidRDefault="00D64B1D">
      <w:pPr>
        <w:tabs>
          <w:tab w:val="left" w:pos="360"/>
          <w:tab w:val="left" w:pos="1440"/>
          <w:tab w:val="left" w:pos="2880"/>
          <w:tab w:val="left" w:pos="3600"/>
          <w:tab w:val="left" w:pos="5760"/>
          <w:tab w:val="left" w:pos="8280"/>
        </w:tabs>
        <w:contextualSpacing/>
        <w:rPr>
          <w:rFonts w:ascii="Times New Roman" w:hAnsi="Times New Roman" w:cs="Times New Roman"/>
        </w:rPr>
      </w:pPr>
      <w:r w:rsidRPr="00D64B1D">
        <w:rPr>
          <w:rFonts w:ascii="Times New Roman" w:hAnsi="Times New Roman" w:cs="Times New Roman"/>
          <w:b/>
        </w:rPr>
        <w:lastRenderedPageBreak/>
        <w:t>ATTACHMENT C</w:t>
      </w:r>
      <w:r w:rsidRPr="006F7B3F">
        <w:rPr>
          <w:rFonts w:ascii="Times New Roman" w:hAnsi="Times New Roman" w:cs="Times New Roman"/>
        </w:rPr>
        <w:t>: Consumer Expenditure Survey Response Rates: Diary Survey (CED)</w:t>
      </w:r>
    </w:p>
    <w:p w:rsidR="00D64B1D" w:rsidP="00D64B1D" w:rsidRDefault="00D64B1D">
      <w:pPr>
        <w:tabs>
          <w:tab w:val="left" w:pos="720"/>
          <w:tab w:val="left" w:pos="1620"/>
        </w:tabs>
        <w:spacing w:after="0" w:line="240" w:lineRule="auto"/>
        <w:contextualSpacing/>
        <w:mirrorIndents/>
        <w:rPr>
          <w:rFonts w:ascii="Times New Roman" w:hAnsi="Times New Roman" w:cs="Times New Roman"/>
        </w:rPr>
      </w:pPr>
    </w:p>
    <w:tbl>
      <w:tblPr>
        <w:tblW w:w="8040"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40"/>
        <w:gridCol w:w="1340"/>
        <w:gridCol w:w="1340"/>
        <w:gridCol w:w="1340"/>
        <w:gridCol w:w="1340"/>
        <w:gridCol w:w="1340"/>
      </w:tblGrid>
      <w:tr w:rsidRPr="00A4207D" w:rsidR="00A4207D" w:rsidTr="00A4207D">
        <w:trPr>
          <w:trHeight w:val="222"/>
          <w:jc w:val="center"/>
        </w:trPr>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p>
        </w:tc>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FIELD</w:t>
            </w:r>
          </w:p>
        </w:tc>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DSMD</w:t>
            </w:r>
          </w:p>
        </w:tc>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 xml:space="preserve">Field - </w:t>
            </w:r>
          </w:p>
        </w:tc>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BLS</w:t>
            </w:r>
          </w:p>
        </w:tc>
        <w:tc>
          <w:tcPr>
            <w:tcW w:w="1340" w:type="dxa"/>
            <w:tcBorders>
              <w:top w:val="single" w:color="auto" w:sz="4" w:space="0"/>
              <w:bottom w:val="nil"/>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 xml:space="preserve">DSMD - </w:t>
            </w:r>
          </w:p>
        </w:tc>
      </w:tr>
      <w:tr w:rsidRPr="00A4207D" w:rsidR="00A4207D" w:rsidTr="00A4207D">
        <w:trPr>
          <w:trHeight w:val="222"/>
          <w:jc w:val="center"/>
        </w:trPr>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Month</w:t>
            </w:r>
          </w:p>
        </w:tc>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DSMD</w:t>
            </w:r>
          </w:p>
        </w:tc>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RR</w:t>
            </w:r>
          </w:p>
        </w:tc>
        <w:tc>
          <w:tcPr>
            <w:tcW w:w="1340" w:type="dxa"/>
            <w:tcBorders>
              <w:top w:val="nil"/>
              <w:bottom w:val="single" w:color="auto" w:sz="4" w:space="0"/>
            </w:tcBorders>
            <w:shd w:val="clear" w:color="auto" w:fill="auto"/>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BLS</w:t>
            </w:r>
          </w:p>
        </w:tc>
      </w:tr>
      <w:tr w:rsidRPr="00A4207D" w:rsidR="00A4207D" w:rsidTr="00A4207D">
        <w:trPr>
          <w:trHeight w:val="222"/>
          <w:jc w:val="center"/>
        </w:trPr>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201001</w:t>
            </w:r>
          </w:p>
        </w:tc>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79.17</w:t>
            </w:r>
          </w:p>
        </w:tc>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74.62</w:t>
            </w:r>
          </w:p>
        </w:tc>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4.55</w:t>
            </w:r>
          </w:p>
        </w:tc>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73.93</w:t>
            </w:r>
          </w:p>
        </w:tc>
        <w:tc>
          <w:tcPr>
            <w:tcW w:w="1340" w:type="dxa"/>
            <w:tcBorders>
              <w:top w:val="single" w:color="auto" w:sz="4" w:space="0"/>
            </w:tcBorders>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0.69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76.91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4.88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73.70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-1.66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80.02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75.77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4.26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73.66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78.07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2.87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73.59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1.61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4.29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74.37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69.45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69.29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70.58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4.95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75.84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69.76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77.42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73.87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71.43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2.44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77.63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73.70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2.79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76.60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72.66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3.94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71.33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1.33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201012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4.72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67.15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76.63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72.80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3.83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0.80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73.40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72.51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0.89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76.51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4.31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1.18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77.85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72.29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-1.38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77.53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2.91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71.78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4.90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69.95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1.83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77.19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70.96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76.89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70.63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69.85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70.38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-0.53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66.56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0.72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201112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72.18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66.86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5.33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68.14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-1.28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74.73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70.26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4.47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70.40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69.31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68.87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0.43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74.78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75.23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73.25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66.96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0.72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74.97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70.66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4.31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71.86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68.75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-1.94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66.27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0.15</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67.64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65.86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1.78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70.16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66.55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68.58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65.59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1.90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201212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64.24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4.79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64.23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69.80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1.47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66.52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1.43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63.65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4.35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63.78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65.84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1.48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67.75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3.25</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71.23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73.16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69.22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3.94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69.49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71.76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66.65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1.36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49.97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48.71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1.26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46.88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1.82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37.64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36.82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0.83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35.73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1.09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61.29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3.40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60.77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0.52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201312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65.76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61.72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61.78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68.13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67.45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65.25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-1.42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74.54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70.83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69.19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1.64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68.56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3.87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64.89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70.47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66.18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4.29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65.80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71.37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67.48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3.89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66.33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1.14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68.33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1.97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lastRenderedPageBreak/>
              <w:t>201409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70.05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67.72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2.52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71.86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68.80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66.14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2.66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62.90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1.84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3.36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201412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63.63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59.82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3.81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-1.18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58.71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57.39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1.32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57.73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65.92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2.72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60.98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63.66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2.64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59.57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1.45</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58.77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2.43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56.44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64.18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61.25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60.16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1.10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61.27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3.35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57.63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63.54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60.00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0.53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59.66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2.43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57.52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61.45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59.32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56.32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53.45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2.87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53.07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201512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58.98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55.70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1.88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64.90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62.14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2.76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61.67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0.47</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1.85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55.91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0.45</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62.31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58.80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1.25</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2.39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54.94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1.59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62.76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59.53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3.24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63.97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60.36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-0.74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62.17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1.98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58.47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1.72</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56.92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55.17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1.75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54.18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1.00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53.21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1.98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50.68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2.53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61.56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2.48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56.60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2.49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sz w:val="14"/>
                <w:szCs w:val="14"/>
              </w:rPr>
            </w:pPr>
            <w:r w:rsidRPr="00A4207D">
              <w:rPr>
                <w:rFonts w:ascii="Times New Roman" w:hAnsi="Times New Roman" w:eastAsia="Times New Roman" w:cs="Times New Roman"/>
                <w:sz w:val="14"/>
                <w:szCs w:val="14"/>
              </w:rPr>
              <w:t>201612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57.21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53.47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51.18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2.29</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60.50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59.57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0.93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3.53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59.43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59.55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57.38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2.16</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61.68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61.43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0.25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57.99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3.44</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63.50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62.89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60.61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2.28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63.20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63.35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-0.15</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57.82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5.53</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63.28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62.91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0.37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59.91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3.00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201707</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62.03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5.60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66.10</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66.13</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-0.04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3.71</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201709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63.12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62.69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0.42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58.42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4.28</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201710</w:t>
            </w:r>
          </w:p>
        </w:tc>
        <w:tc>
          <w:tcPr>
            <w:tcW w:w="1340" w:type="dxa"/>
            <w:shd w:val="clear" w:color="auto" w:fill="auto"/>
            <w:noWrap/>
            <w:vAlign w:val="bottom"/>
            <w:hideMark/>
          </w:tcPr>
          <w:p w:rsidRPr="00A4207D" w:rsidR="00A4207D" w:rsidP="003D0C09"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w:t>
            </w:r>
            <w:r w:rsidR="003D0C09">
              <w:rPr>
                <w:rFonts w:ascii="Times New Roman" w:hAnsi="Times New Roman" w:eastAsia="Times New Roman" w:cs="Times New Roman"/>
                <w:color w:val="000000"/>
                <w:sz w:val="14"/>
                <w:szCs w:val="14"/>
              </w:rPr>
              <w:t>1.64</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61.71</w:t>
            </w:r>
          </w:p>
        </w:tc>
        <w:tc>
          <w:tcPr>
            <w:tcW w:w="1340" w:type="dxa"/>
            <w:shd w:val="clear" w:color="auto" w:fill="auto"/>
            <w:noWrap/>
            <w:vAlign w:val="bottom"/>
            <w:hideMark/>
          </w:tcPr>
          <w:p w:rsidRPr="00A4207D" w:rsidR="00A4207D" w:rsidP="003D0C09"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w:t>
            </w:r>
            <w:r w:rsidR="003D0C09">
              <w:rPr>
                <w:rFonts w:ascii="Times New Roman" w:hAnsi="Times New Roman" w:eastAsia="Times New Roman" w:cs="Times New Roman"/>
                <w:color w:val="000000"/>
                <w:sz w:val="14"/>
                <w:szCs w:val="14"/>
              </w:rPr>
              <w:t>0.06</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57.71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4.00</w:t>
            </w:r>
          </w:p>
        </w:tc>
      </w:tr>
      <w:tr w:rsidRPr="00A4207D" w:rsidR="00A4207D" w:rsidTr="00A4207D">
        <w:trPr>
          <w:trHeight w:val="222"/>
          <w:jc w:val="center"/>
        </w:trPr>
        <w:tc>
          <w:tcPr>
            <w:tcW w:w="1340" w:type="dxa"/>
            <w:shd w:val="clear" w:color="auto" w:fill="auto"/>
            <w:noWrap/>
            <w:vAlign w:val="bottom"/>
            <w:hideMark/>
          </w:tcPr>
          <w:p w:rsidRPr="00A4207D" w:rsidR="00A4207D" w:rsidP="00A4207D" w:rsidRDefault="00A4207D">
            <w:pPr>
              <w:spacing w:after="0" w:line="240" w:lineRule="auto"/>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201711</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60.12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61.19</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-1.08</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58.02</w:t>
            </w:r>
          </w:p>
        </w:tc>
        <w:tc>
          <w:tcPr>
            <w:tcW w:w="1340" w:type="dxa"/>
            <w:shd w:val="clear" w:color="auto" w:fill="auto"/>
            <w:noWrap/>
            <w:vAlign w:val="bottom"/>
            <w:hideMark/>
          </w:tcPr>
          <w:p w:rsidRPr="00A4207D" w:rsidR="00A4207D" w:rsidP="00A4207D" w:rsidRDefault="00A4207D">
            <w:pPr>
              <w:spacing w:after="0" w:line="240" w:lineRule="auto"/>
              <w:jc w:val="right"/>
              <w:rPr>
                <w:rFonts w:ascii="Times New Roman" w:hAnsi="Times New Roman" w:eastAsia="Times New Roman" w:cs="Times New Roman"/>
                <w:color w:val="000000"/>
                <w:sz w:val="14"/>
                <w:szCs w:val="14"/>
              </w:rPr>
            </w:pPr>
            <w:r w:rsidRPr="00A4207D">
              <w:rPr>
                <w:rFonts w:ascii="Times New Roman" w:hAnsi="Times New Roman" w:eastAsia="Times New Roman" w:cs="Times New Roman"/>
                <w:color w:val="000000"/>
                <w:sz w:val="14"/>
                <w:szCs w:val="14"/>
              </w:rPr>
              <w:t>3.17</w:t>
            </w:r>
          </w:p>
        </w:tc>
      </w:tr>
      <w:tr w:rsidRPr="00A4207D" w:rsidR="003D0C09" w:rsidTr="00A4207D">
        <w:trPr>
          <w:trHeight w:val="222"/>
          <w:jc w:val="center"/>
        </w:trPr>
        <w:tc>
          <w:tcPr>
            <w:tcW w:w="1340" w:type="dxa"/>
            <w:shd w:val="clear" w:color="auto" w:fill="auto"/>
            <w:noWrap/>
            <w:vAlign w:val="bottom"/>
          </w:tcPr>
          <w:p w:rsidRPr="00A4207D" w:rsidR="003D0C09" w:rsidP="00A4207D" w:rsidRDefault="003D0C09">
            <w:pPr>
              <w:spacing w:after="0" w:line="240" w:lineRule="auto"/>
              <w:rPr>
                <w:rFonts w:ascii="Times New Roman" w:hAnsi="Times New Roman" w:eastAsia="Times New Roman" w:cs="Times New Roman"/>
                <w:color w:val="000000"/>
                <w:sz w:val="14"/>
                <w:szCs w:val="14"/>
              </w:rPr>
            </w:pPr>
            <w:r>
              <w:rPr>
                <w:rFonts w:ascii="Times New Roman" w:hAnsi="Times New Roman" w:eastAsia="Times New Roman" w:cs="Times New Roman"/>
                <w:color w:val="000000"/>
                <w:sz w:val="14"/>
                <w:szCs w:val="14"/>
              </w:rPr>
              <w:t>201712</w:t>
            </w:r>
          </w:p>
        </w:tc>
        <w:tc>
          <w:tcPr>
            <w:tcW w:w="1340" w:type="dxa"/>
            <w:shd w:val="clear" w:color="auto" w:fill="auto"/>
            <w:noWrap/>
            <w:vAlign w:val="bottom"/>
          </w:tcPr>
          <w:p w:rsidRPr="00A4207D" w:rsidR="003D0C09" w:rsidP="00A4207D" w:rsidRDefault="003D0C09">
            <w:pPr>
              <w:spacing w:after="0" w:line="240" w:lineRule="auto"/>
              <w:jc w:val="right"/>
              <w:rPr>
                <w:rFonts w:ascii="Times New Roman" w:hAnsi="Times New Roman" w:eastAsia="Times New Roman" w:cs="Times New Roman"/>
                <w:color w:val="000000"/>
                <w:sz w:val="14"/>
                <w:szCs w:val="14"/>
              </w:rPr>
            </w:pPr>
            <w:r>
              <w:rPr>
                <w:rFonts w:ascii="Times New Roman" w:hAnsi="Times New Roman" w:eastAsia="Times New Roman" w:cs="Times New Roman"/>
                <w:color w:val="000000"/>
                <w:sz w:val="14"/>
                <w:szCs w:val="14"/>
              </w:rPr>
              <w:t>55.40</w:t>
            </w:r>
          </w:p>
        </w:tc>
        <w:tc>
          <w:tcPr>
            <w:tcW w:w="1340" w:type="dxa"/>
            <w:shd w:val="clear" w:color="auto" w:fill="auto"/>
            <w:noWrap/>
            <w:vAlign w:val="bottom"/>
          </w:tcPr>
          <w:p w:rsidRPr="00A4207D" w:rsidR="003D0C09" w:rsidP="00A4207D" w:rsidRDefault="003D0C09">
            <w:pPr>
              <w:spacing w:after="0" w:line="240" w:lineRule="auto"/>
              <w:jc w:val="right"/>
              <w:rPr>
                <w:rFonts w:ascii="Times New Roman" w:hAnsi="Times New Roman" w:eastAsia="Times New Roman" w:cs="Times New Roman"/>
                <w:color w:val="000000"/>
                <w:sz w:val="14"/>
                <w:szCs w:val="14"/>
              </w:rPr>
            </w:pPr>
            <w:r>
              <w:rPr>
                <w:rFonts w:ascii="Times New Roman" w:hAnsi="Times New Roman" w:eastAsia="Times New Roman" w:cs="Times New Roman"/>
                <w:color w:val="000000"/>
                <w:sz w:val="14"/>
                <w:szCs w:val="14"/>
              </w:rPr>
              <w:t>55.92</w:t>
            </w:r>
          </w:p>
        </w:tc>
        <w:tc>
          <w:tcPr>
            <w:tcW w:w="1340" w:type="dxa"/>
            <w:shd w:val="clear" w:color="auto" w:fill="auto"/>
            <w:noWrap/>
            <w:vAlign w:val="bottom"/>
          </w:tcPr>
          <w:p w:rsidRPr="00A4207D" w:rsidR="003D0C09" w:rsidP="00A4207D" w:rsidRDefault="003D0C09">
            <w:pPr>
              <w:spacing w:after="0" w:line="240" w:lineRule="auto"/>
              <w:jc w:val="right"/>
              <w:rPr>
                <w:rFonts w:ascii="Times New Roman" w:hAnsi="Times New Roman" w:eastAsia="Times New Roman" w:cs="Times New Roman"/>
                <w:color w:val="000000"/>
                <w:sz w:val="14"/>
                <w:szCs w:val="14"/>
              </w:rPr>
            </w:pPr>
            <w:r>
              <w:rPr>
                <w:rFonts w:ascii="Times New Roman" w:hAnsi="Times New Roman" w:eastAsia="Times New Roman" w:cs="Times New Roman"/>
                <w:color w:val="000000"/>
                <w:sz w:val="14"/>
                <w:szCs w:val="14"/>
              </w:rPr>
              <w:t>-0.51</w:t>
            </w:r>
          </w:p>
        </w:tc>
        <w:tc>
          <w:tcPr>
            <w:tcW w:w="1340" w:type="dxa"/>
            <w:shd w:val="clear" w:color="auto" w:fill="auto"/>
            <w:noWrap/>
            <w:vAlign w:val="bottom"/>
          </w:tcPr>
          <w:p w:rsidRPr="00A4207D" w:rsidR="003D0C09" w:rsidP="00A4207D" w:rsidRDefault="003D0C09">
            <w:pPr>
              <w:spacing w:after="0" w:line="240" w:lineRule="auto"/>
              <w:jc w:val="right"/>
              <w:rPr>
                <w:rFonts w:ascii="Times New Roman" w:hAnsi="Times New Roman" w:eastAsia="Times New Roman" w:cs="Times New Roman"/>
                <w:color w:val="000000"/>
                <w:sz w:val="14"/>
                <w:szCs w:val="14"/>
              </w:rPr>
            </w:pPr>
            <w:r w:rsidRPr="003D0C09">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4"/>
                <w:szCs w:val="14"/>
              </w:rPr>
              <w:t xml:space="preserve"> 53.24</w:t>
            </w:r>
          </w:p>
        </w:tc>
        <w:tc>
          <w:tcPr>
            <w:tcW w:w="1340" w:type="dxa"/>
            <w:shd w:val="clear" w:color="auto" w:fill="auto"/>
            <w:noWrap/>
            <w:vAlign w:val="bottom"/>
          </w:tcPr>
          <w:p w:rsidRPr="00A4207D" w:rsidR="003D0C09" w:rsidP="00A4207D" w:rsidRDefault="003D0C09">
            <w:pPr>
              <w:spacing w:after="0" w:line="240" w:lineRule="auto"/>
              <w:jc w:val="right"/>
              <w:rPr>
                <w:rFonts w:ascii="Times New Roman" w:hAnsi="Times New Roman" w:eastAsia="Times New Roman" w:cs="Times New Roman"/>
                <w:color w:val="000000"/>
                <w:sz w:val="14"/>
                <w:szCs w:val="14"/>
              </w:rPr>
            </w:pPr>
            <w:r>
              <w:rPr>
                <w:rFonts w:ascii="Times New Roman" w:hAnsi="Times New Roman" w:eastAsia="Times New Roman" w:cs="Times New Roman"/>
                <w:color w:val="000000"/>
                <w:sz w:val="14"/>
                <w:szCs w:val="14"/>
              </w:rPr>
              <w:t>2.67</w:t>
            </w:r>
          </w:p>
        </w:tc>
      </w:tr>
    </w:tbl>
    <w:p w:rsidRPr="003D0C09" w:rsidR="003D0C09" w:rsidP="003D0C09" w:rsidRDefault="003D0C09">
      <w:pPr>
        <w:tabs>
          <w:tab w:val="left" w:pos="720"/>
          <w:tab w:val="left" w:pos="1620"/>
        </w:tabs>
        <w:spacing w:after="0" w:line="240" w:lineRule="auto"/>
        <w:contextualSpacing/>
        <w:mirrorIndents/>
        <w:rPr>
          <w:rFonts w:ascii="Times New Roman" w:hAnsi="Times New Roman" w:cs="Times New Roman"/>
          <w:sz w:val="16"/>
          <w:szCs w:val="16"/>
        </w:rPr>
      </w:pPr>
      <w:r w:rsidRPr="003D0C09">
        <w:rPr>
          <w:rFonts w:ascii="Times New Roman" w:hAnsi="Times New Roman" w:cs="Times New Roman"/>
          <w:sz w:val="16"/>
          <w:szCs w:val="16"/>
        </w:rPr>
        <w:t>* -</w:t>
      </w:r>
      <w:r>
        <w:rPr>
          <w:rFonts w:ascii="Times New Roman" w:hAnsi="Times New Roman" w:cs="Times New Roman"/>
          <w:sz w:val="16"/>
          <w:szCs w:val="16"/>
        </w:rPr>
        <w:t xml:space="preserve"> BLS</w:t>
      </w:r>
      <w:r w:rsidR="006A72FB">
        <w:rPr>
          <w:rFonts w:ascii="Times New Roman" w:hAnsi="Times New Roman" w:cs="Times New Roman"/>
          <w:sz w:val="16"/>
          <w:szCs w:val="16"/>
        </w:rPr>
        <w:t xml:space="preserve"> Diary </w:t>
      </w:r>
      <w:r>
        <w:rPr>
          <w:rFonts w:ascii="Times New Roman" w:hAnsi="Times New Roman" w:cs="Times New Roman"/>
          <w:sz w:val="16"/>
          <w:szCs w:val="16"/>
        </w:rPr>
        <w:t>response rates for December 2017 are preliminary</w:t>
      </w:r>
    </w:p>
    <w:p w:rsidR="00EA335B" w:rsidP="00D64B1D" w:rsidRDefault="00EA335B">
      <w:pPr>
        <w:tabs>
          <w:tab w:val="left" w:pos="720"/>
          <w:tab w:val="left" w:pos="1620"/>
        </w:tabs>
        <w:spacing w:after="0" w:line="240" w:lineRule="auto"/>
        <w:contextualSpacing/>
        <w:mirrorIndents/>
        <w:rPr>
          <w:rFonts w:ascii="Times New Roman" w:hAnsi="Times New Roman" w:cs="Times New Roman"/>
        </w:rPr>
      </w:pPr>
    </w:p>
    <w:tbl>
      <w:tblPr>
        <w:tblW w:w="8040"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40"/>
        <w:gridCol w:w="1340"/>
        <w:gridCol w:w="1340"/>
        <w:gridCol w:w="1340"/>
        <w:gridCol w:w="1340"/>
        <w:gridCol w:w="1340"/>
      </w:tblGrid>
      <w:tr w:rsidRPr="00EA335B" w:rsidR="00EA335B" w:rsidTr="00EA335B">
        <w:trPr>
          <w:trHeight w:val="240"/>
          <w:jc w:val="center"/>
        </w:trPr>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sz w:val="16"/>
                <w:szCs w:val="16"/>
              </w:rPr>
            </w:pPr>
          </w:p>
        </w:tc>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FIELD</w:t>
            </w:r>
          </w:p>
        </w:tc>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DSMD</w:t>
            </w:r>
          </w:p>
        </w:tc>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 xml:space="preserve">Field - </w:t>
            </w:r>
          </w:p>
        </w:tc>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BLS</w:t>
            </w:r>
          </w:p>
        </w:tc>
        <w:tc>
          <w:tcPr>
            <w:tcW w:w="1340" w:type="dxa"/>
            <w:tcBorders>
              <w:top w:val="single" w:color="auto" w:sz="4" w:space="0"/>
              <w:bottom w:val="nil"/>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 xml:space="preserve">DSMD - </w:t>
            </w:r>
          </w:p>
        </w:tc>
      </w:tr>
      <w:tr w:rsidRPr="00EA335B" w:rsidR="00EA335B" w:rsidTr="00EA335B">
        <w:trPr>
          <w:trHeight w:val="240"/>
          <w:jc w:val="center"/>
        </w:trPr>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Year</w:t>
            </w:r>
          </w:p>
        </w:tc>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DSMD</w:t>
            </w:r>
          </w:p>
        </w:tc>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RR</w:t>
            </w:r>
          </w:p>
        </w:tc>
        <w:tc>
          <w:tcPr>
            <w:tcW w:w="1340" w:type="dxa"/>
            <w:tcBorders>
              <w:top w:val="nil"/>
              <w:bottom w:val="single" w:color="auto" w:sz="4" w:space="0"/>
            </w:tcBorders>
            <w:shd w:val="clear" w:color="auto" w:fill="auto"/>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BLS</w:t>
            </w:r>
          </w:p>
        </w:tc>
      </w:tr>
      <w:tr w:rsidRPr="00EA335B" w:rsidR="00EA335B" w:rsidTr="00EA335B">
        <w:trPr>
          <w:trHeight w:val="240"/>
          <w:jc w:val="center"/>
        </w:trPr>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2004</w:t>
            </w:r>
          </w:p>
        </w:tc>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72.55</w:t>
            </w:r>
          </w:p>
        </w:tc>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70.01</w:t>
            </w:r>
          </w:p>
        </w:tc>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2.54</w:t>
            </w:r>
          </w:p>
        </w:tc>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68.94</w:t>
            </w:r>
          </w:p>
        </w:tc>
        <w:tc>
          <w:tcPr>
            <w:tcW w:w="1340" w:type="dxa"/>
            <w:tcBorders>
              <w:top w:val="single" w:color="auto" w:sz="4" w:space="0"/>
            </w:tcBorders>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1.08</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74.79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71.28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3.52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70.98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0.29</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77.54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73.90</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3.64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74.22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-0.32</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2007</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74.67</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70.98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3.69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70.16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0.82</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75.99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72.18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3.81</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71.94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0.24</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2009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76.78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72.45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4.32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73.03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-0.58</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2010</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76.55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72.13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4.42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71.52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0.61</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2011</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75.45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70.69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4.76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70.25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0.44</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72.23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68.07</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4.16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67.79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0.28</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64.99</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61.75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3.24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60.78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0.97</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69.62</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66.28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3.33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64.98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1.30</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2015</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61.70</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58.93</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2.77</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57.71</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1.21</w:t>
            </w:r>
          </w:p>
        </w:tc>
      </w:tr>
      <w:tr w:rsidRPr="00EA335B" w:rsidR="00EA335B" w:rsidTr="00EA335B">
        <w:trPr>
          <w:trHeight w:val="240"/>
          <w:jc w:val="center"/>
        </w:trPr>
        <w:tc>
          <w:tcPr>
            <w:tcW w:w="1340" w:type="dxa"/>
            <w:shd w:val="clear" w:color="auto" w:fill="auto"/>
            <w:noWrap/>
            <w:vAlign w:val="bottom"/>
            <w:hideMark/>
          </w:tcPr>
          <w:p w:rsidRPr="00EA335B" w:rsidR="00EA335B" w:rsidP="00EA335B" w:rsidRDefault="00EA335B">
            <w:pPr>
              <w:spacing w:after="0" w:line="240" w:lineRule="auto"/>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2016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60.58</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57.94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2.64</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56.66</w:t>
            </w:r>
          </w:p>
        </w:tc>
        <w:tc>
          <w:tcPr>
            <w:tcW w:w="1340" w:type="dxa"/>
            <w:shd w:val="clear" w:color="auto" w:fill="auto"/>
            <w:noWrap/>
            <w:vAlign w:val="bottom"/>
            <w:hideMark/>
          </w:tcPr>
          <w:p w:rsidRPr="00EA335B" w:rsidR="00EA335B" w:rsidP="00EA335B" w:rsidRDefault="00EA335B">
            <w:pPr>
              <w:spacing w:after="0" w:line="240" w:lineRule="auto"/>
              <w:jc w:val="right"/>
              <w:rPr>
                <w:rFonts w:ascii="Times New Roman" w:hAnsi="Times New Roman" w:eastAsia="Times New Roman" w:cs="Times New Roman"/>
                <w:color w:val="000000"/>
                <w:sz w:val="16"/>
                <w:szCs w:val="16"/>
              </w:rPr>
            </w:pPr>
            <w:r w:rsidRPr="00EA335B">
              <w:rPr>
                <w:rFonts w:ascii="Times New Roman" w:hAnsi="Times New Roman" w:eastAsia="Times New Roman" w:cs="Times New Roman"/>
                <w:color w:val="000000"/>
                <w:sz w:val="16"/>
                <w:szCs w:val="16"/>
              </w:rPr>
              <w:t>1.28</w:t>
            </w:r>
          </w:p>
        </w:tc>
      </w:tr>
      <w:tr w:rsidRPr="00EA335B" w:rsidR="003D0C09" w:rsidTr="00EA335B">
        <w:trPr>
          <w:trHeight w:val="240"/>
          <w:jc w:val="center"/>
        </w:trPr>
        <w:tc>
          <w:tcPr>
            <w:tcW w:w="1340" w:type="dxa"/>
            <w:shd w:val="clear" w:color="auto" w:fill="auto"/>
            <w:noWrap/>
            <w:vAlign w:val="bottom"/>
          </w:tcPr>
          <w:p w:rsidRPr="00EA335B" w:rsidR="003D0C09" w:rsidP="00EA335B" w:rsidRDefault="003D0C09">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2017</w:t>
            </w:r>
          </w:p>
        </w:tc>
        <w:tc>
          <w:tcPr>
            <w:tcW w:w="1340" w:type="dxa"/>
            <w:shd w:val="clear" w:color="auto" w:fill="auto"/>
            <w:noWrap/>
            <w:vAlign w:val="bottom"/>
          </w:tcPr>
          <w:p w:rsidRPr="00EA335B" w:rsidR="003D0C09" w:rsidP="00EA335B" w:rsidRDefault="003D0C09">
            <w:pPr>
              <w:spacing w:after="0" w:line="240" w:lineRule="auto"/>
              <w:jc w:val="right"/>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61.52</w:t>
            </w:r>
          </w:p>
        </w:tc>
        <w:tc>
          <w:tcPr>
            <w:tcW w:w="1340" w:type="dxa"/>
            <w:shd w:val="clear" w:color="auto" w:fill="auto"/>
            <w:noWrap/>
            <w:vAlign w:val="bottom"/>
          </w:tcPr>
          <w:p w:rsidRPr="00EA335B" w:rsidR="003D0C09" w:rsidP="00EA335B" w:rsidRDefault="003D0C09">
            <w:pPr>
              <w:spacing w:after="0" w:line="240" w:lineRule="auto"/>
              <w:jc w:val="right"/>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61.59</w:t>
            </w:r>
          </w:p>
        </w:tc>
        <w:tc>
          <w:tcPr>
            <w:tcW w:w="1340" w:type="dxa"/>
            <w:shd w:val="clear" w:color="auto" w:fill="auto"/>
            <w:noWrap/>
            <w:vAlign w:val="bottom"/>
          </w:tcPr>
          <w:p w:rsidRPr="00EA335B" w:rsidR="003D0C09" w:rsidP="00EA335B" w:rsidRDefault="003D0C09">
            <w:pPr>
              <w:spacing w:after="0" w:line="240" w:lineRule="auto"/>
              <w:jc w:val="right"/>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-0.07</w:t>
            </w:r>
          </w:p>
        </w:tc>
        <w:tc>
          <w:tcPr>
            <w:tcW w:w="1340" w:type="dxa"/>
            <w:shd w:val="clear" w:color="auto" w:fill="auto"/>
            <w:noWrap/>
            <w:vAlign w:val="bottom"/>
          </w:tcPr>
          <w:p w:rsidRPr="00EA335B" w:rsidR="003D0C09" w:rsidP="00EA335B" w:rsidRDefault="003D0C09">
            <w:pPr>
              <w:spacing w:after="0" w:line="240" w:lineRule="auto"/>
              <w:jc w:val="right"/>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57.97</w:t>
            </w:r>
          </w:p>
        </w:tc>
        <w:tc>
          <w:tcPr>
            <w:tcW w:w="1340" w:type="dxa"/>
            <w:shd w:val="clear" w:color="auto" w:fill="auto"/>
            <w:noWrap/>
            <w:vAlign w:val="bottom"/>
          </w:tcPr>
          <w:p w:rsidRPr="00EA335B" w:rsidR="003D0C09" w:rsidP="00EA335B" w:rsidRDefault="003D0C09">
            <w:pPr>
              <w:spacing w:after="0" w:line="240" w:lineRule="auto"/>
              <w:jc w:val="right"/>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3.63</w:t>
            </w:r>
          </w:p>
        </w:tc>
      </w:tr>
    </w:tbl>
    <w:p w:rsidRPr="003D0C09" w:rsidR="00012106" w:rsidP="003D0C09" w:rsidRDefault="003D0C09">
      <w:pPr>
        <w:tabs>
          <w:tab w:val="left" w:pos="720"/>
          <w:tab w:val="left" w:pos="1620"/>
        </w:tabs>
        <w:spacing w:after="0" w:line="240" w:lineRule="auto"/>
        <w:contextualSpacing/>
        <w:mirrorIndents/>
        <w:rPr>
          <w:rFonts w:ascii="Times New Roman" w:hAnsi="Times New Roman" w:cs="Times New Roman"/>
          <w:sz w:val="16"/>
          <w:szCs w:val="16"/>
        </w:rPr>
      </w:pPr>
      <w:r w:rsidRPr="003D0C09">
        <w:rPr>
          <w:rFonts w:ascii="Times New Roman" w:hAnsi="Times New Roman" w:cs="Times New Roman"/>
          <w:sz w:val="16"/>
          <w:szCs w:val="16"/>
        </w:rPr>
        <w:t>* -</w:t>
      </w:r>
      <w:r>
        <w:rPr>
          <w:rFonts w:ascii="Times New Roman" w:hAnsi="Times New Roman" w:cs="Times New Roman"/>
          <w:sz w:val="16"/>
          <w:szCs w:val="16"/>
        </w:rPr>
        <w:t xml:space="preserve"> BLS </w:t>
      </w:r>
      <w:r w:rsidR="006A72FB">
        <w:rPr>
          <w:rFonts w:ascii="Times New Roman" w:hAnsi="Times New Roman" w:cs="Times New Roman"/>
          <w:sz w:val="16"/>
          <w:szCs w:val="16"/>
        </w:rPr>
        <w:t xml:space="preserve">Diary </w:t>
      </w:r>
      <w:r>
        <w:rPr>
          <w:rFonts w:ascii="Times New Roman" w:hAnsi="Times New Roman" w:cs="Times New Roman"/>
          <w:sz w:val="16"/>
          <w:szCs w:val="16"/>
        </w:rPr>
        <w:t>response rates for 2017 are preliminary</w:t>
      </w:r>
      <w:r w:rsidR="00012106">
        <w:rPr>
          <w:rFonts w:ascii="Times New Roman" w:hAnsi="Times New Roman" w:cs="Times New Roman"/>
          <w:b/>
        </w:rPr>
        <w:br w:type="page"/>
      </w:r>
    </w:p>
    <w:p w:rsidRPr="00D64B1D" w:rsidR="00D64B1D" w:rsidP="00D64B1D" w:rsidRDefault="00D64B1D">
      <w:pPr>
        <w:tabs>
          <w:tab w:val="left" w:pos="720"/>
          <w:tab w:val="left" w:pos="1620"/>
        </w:tabs>
        <w:spacing w:after="0" w:line="240" w:lineRule="auto"/>
        <w:contextualSpacing/>
        <w:mirrorIndents/>
        <w:rPr>
          <w:rFonts w:ascii="Times New Roman" w:hAnsi="Times New Roman" w:cs="Times New Roman"/>
        </w:rPr>
      </w:pPr>
      <w:r w:rsidRPr="00D64B1D">
        <w:rPr>
          <w:rFonts w:ascii="Times New Roman" w:hAnsi="Times New Roman" w:cs="Times New Roman"/>
          <w:b/>
        </w:rPr>
        <w:lastRenderedPageBreak/>
        <w:t>ATTACHMENT D</w:t>
      </w:r>
      <w:r w:rsidRPr="00D64B1D">
        <w:rPr>
          <w:rFonts w:ascii="Times New Roman" w:hAnsi="Times New Roman" w:cs="Times New Roman"/>
        </w:rPr>
        <w:t>: E-mails from Census</w:t>
      </w:r>
    </w:p>
    <w:p w:rsidRPr="00D64B1D" w:rsidR="00D64B1D" w:rsidP="00D64B1D" w:rsidRDefault="00D64B1D">
      <w:pPr>
        <w:tabs>
          <w:tab w:val="left" w:pos="720"/>
          <w:tab w:val="left" w:pos="1620"/>
        </w:tabs>
        <w:spacing w:after="0" w:line="240" w:lineRule="auto"/>
        <w:contextualSpacing/>
        <w:mirrorIndents/>
        <w:rPr>
          <w:rFonts w:ascii="Times New Roman" w:hAnsi="Times New Roman" w:cs="Times New Roman"/>
        </w:rPr>
      </w:pPr>
    </w:p>
    <w:p w:rsidRPr="00D64B1D" w:rsidR="00D64B1D" w:rsidP="00D64B1D" w:rsidRDefault="00372360">
      <w:pPr>
        <w:contextualSpacing/>
        <w:jc w:val="center"/>
        <w:rPr>
          <w:rFonts w:ascii="Times New Roman" w:hAnsi="Times New Roman" w:eastAsia="Times New Roman" w:cs="Times New Roman"/>
        </w:rPr>
      </w:pPr>
      <w:bookmarkStart w:name="_MailOriginal" w:id="1"/>
      <w:r>
        <w:rPr>
          <w:rFonts w:ascii="Times New Roman" w:hAnsi="Times New Roman" w:eastAsia="Times New Roman" w:cs="Times New Roman"/>
        </w:rPr>
        <w:pict>
          <v:rect id="_x0000_i1025" style="width:458.65pt;height:1.5pt" o:hr="t" o:hrstd="t" o:hrpct="980" o:hralign="center" fillcolor="gray" stroked="f"/>
        </w:pict>
      </w:r>
    </w:p>
    <w:p w:rsidRPr="00D64B1D" w:rsidR="00D64B1D" w:rsidP="00D64B1D" w:rsidRDefault="00D64B1D">
      <w:pPr>
        <w:contextualSpacing/>
        <w:rPr>
          <w:rFonts w:ascii="Times New Roman" w:hAnsi="Times New Roman" w:eastAsia="Times New Roman" w:cs="Times New Roman"/>
          <w:sz w:val="20"/>
          <w:szCs w:val="20"/>
        </w:rPr>
      </w:pPr>
      <w:r w:rsidRPr="00D64B1D">
        <w:rPr>
          <w:rFonts w:ascii="Times New Roman" w:hAnsi="Times New Roman" w:eastAsia="Times New Roman" w:cs="Times New Roman"/>
          <w:b/>
          <w:bCs/>
          <w:sz w:val="20"/>
          <w:szCs w:val="20"/>
        </w:rPr>
        <w:t>From:</w:t>
      </w:r>
      <w:r w:rsidRPr="00D64B1D">
        <w:rPr>
          <w:rFonts w:ascii="Times New Roman" w:hAnsi="Times New Roman" w:eastAsia="Times New Roman" w:cs="Times New Roman"/>
          <w:sz w:val="20"/>
          <w:szCs w:val="20"/>
        </w:rPr>
        <w:t xml:space="preserve"> Michael Bagley (CENSUS/ADDP FED) [mailto:Michael.Bagley@census.gov] </w:t>
      </w:r>
      <w:r w:rsidRPr="00D64B1D">
        <w:rPr>
          <w:rFonts w:ascii="Times New Roman" w:hAnsi="Times New Roman" w:eastAsia="Times New Roman" w:cs="Times New Roman"/>
          <w:sz w:val="20"/>
          <w:szCs w:val="20"/>
        </w:rPr>
        <w:br/>
      </w:r>
      <w:r w:rsidRPr="00D64B1D">
        <w:rPr>
          <w:rFonts w:ascii="Times New Roman" w:hAnsi="Times New Roman" w:eastAsia="Times New Roman" w:cs="Times New Roman"/>
          <w:b/>
          <w:bCs/>
          <w:sz w:val="20"/>
          <w:szCs w:val="20"/>
        </w:rPr>
        <w:t>Sent:</w:t>
      </w:r>
      <w:r w:rsidRPr="00D64B1D">
        <w:rPr>
          <w:rFonts w:ascii="Times New Roman" w:hAnsi="Times New Roman" w:eastAsia="Times New Roman" w:cs="Times New Roman"/>
          <w:sz w:val="20"/>
          <w:szCs w:val="20"/>
        </w:rPr>
        <w:t xml:space="preserve"> Friday, August 25, 2017 10:55 AM</w:t>
      </w:r>
      <w:r w:rsidRPr="00D64B1D">
        <w:rPr>
          <w:rFonts w:ascii="Times New Roman" w:hAnsi="Times New Roman" w:eastAsia="Times New Roman" w:cs="Times New Roman"/>
          <w:sz w:val="20"/>
          <w:szCs w:val="20"/>
        </w:rPr>
        <w:br/>
      </w:r>
      <w:r w:rsidRPr="00D64B1D">
        <w:rPr>
          <w:rFonts w:ascii="Times New Roman" w:hAnsi="Times New Roman" w:eastAsia="Times New Roman" w:cs="Times New Roman"/>
          <w:b/>
          <w:bCs/>
          <w:sz w:val="20"/>
          <w:szCs w:val="20"/>
        </w:rPr>
        <w:t>To:</w:t>
      </w:r>
      <w:r w:rsidRPr="00D64B1D">
        <w:rPr>
          <w:rFonts w:ascii="Times New Roman" w:hAnsi="Times New Roman" w:eastAsia="Times New Roman" w:cs="Times New Roman"/>
          <w:sz w:val="20"/>
          <w:szCs w:val="20"/>
        </w:rPr>
        <w:t xml:space="preserve"> Galemore, Adam J. &lt;Adam.J.Galemore@census.gov&gt;; Nix, Brian T. - BLS &lt;Nix.Brian@bls.gov&gt;</w:t>
      </w:r>
      <w:r w:rsidRPr="00D64B1D">
        <w:rPr>
          <w:rFonts w:ascii="Times New Roman" w:hAnsi="Times New Roman" w:eastAsia="Times New Roman" w:cs="Times New Roman"/>
          <w:sz w:val="20"/>
          <w:szCs w:val="20"/>
        </w:rPr>
        <w:br/>
      </w:r>
      <w:r w:rsidRPr="00D64B1D">
        <w:rPr>
          <w:rFonts w:ascii="Times New Roman" w:hAnsi="Times New Roman" w:eastAsia="Times New Roman" w:cs="Times New Roman"/>
          <w:b/>
          <w:bCs/>
          <w:sz w:val="20"/>
          <w:szCs w:val="20"/>
        </w:rPr>
        <w:t>Subject:</w:t>
      </w:r>
      <w:r w:rsidRPr="00D64B1D">
        <w:rPr>
          <w:rFonts w:ascii="Times New Roman" w:hAnsi="Times New Roman" w:eastAsia="Times New Roman" w:cs="Times New Roman"/>
          <w:sz w:val="20"/>
          <w:szCs w:val="20"/>
        </w:rPr>
        <w:t xml:space="preserve"> Re: BLS/Census response rate definitions</w:t>
      </w:r>
    </w:p>
    <w:p w:rsidRPr="00D64B1D" w:rsidR="00D64B1D" w:rsidP="00D64B1D" w:rsidRDefault="00D64B1D">
      <w:pPr>
        <w:pStyle w:val="NormalWeb"/>
        <w:contextualSpacing/>
        <w:rPr>
          <w:color w:val="000000"/>
          <w:sz w:val="22"/>
          <w:szCs w:val="22"/>
        </w:rPr>
      </w:pPr>
      <w:r w:rsidRPr="00D64B1D">
        <w:rPr>
          <w:color w:val="000000"/>
          <w:sz w:val="22"/>
          <w:szCs w:val="22"/>
        </w:rPr>
        <w:t>Prior to 2017, an outcome of 326 was classified as a Type B (with an action code of 31 in ROSCO).  In 2017, BLS directed us to change the classification of the 326 outcome code to a Type A.  This outcome code occurs pretty infrequently.  Of course, these classifications are internal to Census.  I can't speak to how BLS interprets/translates these codes.</w:t>
      </w:r>
    </w:p>
    <w:p w:rsidRPr="00D64B1D" w:rsidR="00D64B1D" w:rsidP="00D64B1D" w:rsidRDefault="00D64B1D">
      <w:pPr>
        <w:pStyle w:val="NormalWeb"/>
        <w:shd w:val="clear" w:color="auto" w:fill="FFFFFF"/>
        <w:contextualSpacing/>
        <w:rPr>
          <w:color w:val="000000"/>
          <w:sz w:val="22"/>
          <w:szCs w:val="22"/>
        </w:rPr>
      </w:pPr>
      <w:r w:rsidRPr="00D64B1D">
        <w:rPr>
          <w:color w:val="000000"/>
          <w:sz w:val="22"/>
          <w:szCs w:val="22"/>
        </w:rPr>
        <w:t>____________________________________</w:t>
      </w:r>
    </w:p>
    <w:p w:rsidRPr="00D64B1D" w:rsidR="00D64B1D" w:rsidP="00D64B1D" w:rsidRDefault="00D64B1D">
      <w:pPr>
        <w:pStyle w:val="NormalWeb"/>
        <w:keepNext/>
        <w:shd w:val="clear" w:color="auto" w:fill="FFFFFF"/>
        <w:contextualSpacing/>
        <w:rPr>
          <w:color w:val="000000"/>
          <w:sz w:val="20"/>
          <w:szCs w:val="20"/>
        </w:rPr>
      </w:pPr>
      <w:r w:rsidRPr="00D64B1D">
        <w:rPr>
          <w:rStyle w:val="Strong"/>
          <w:color w:val="000000"/>
          <w:sz w:val="20"/>
          <w:szCs w:val="20"/>
        </w:rPr>
        <w:t>Michael Bagley</w:t>
      </w:r>
      <w:r w:rsidRPr="00D64B1D">
        <w:rPr>
          <w:color w:val="000000"/>
          <w:sz w:val="20"/>
          <w:szCs w:val="20"/>
        </w:rPr>
        <w:br/>
        <w:t>Survey Statistician</w:t>
      </w:r>
      <w:r w:rsidRPr="00D64B1D">
        <w:rPr>
          <w:color w:val="000000"/>
          <w:sz w:val="20"/>
          <w:szCs w:val="20"/>
        </w:rPr>
        <w:br/>
        <w:t>Consumer Expenditure Surveys</w:t>
      </w:r>
      <w:r w:rsidRPr="00D64B1D">
        <w:rPr>
          <w:color w:val="000000"/>
          <w:sz w:val="20"/>
          <w:szCs w:val="20"/>
        </w:rPr>
        <w:br/>
        <w:t>Associate Directorate for Demographic Programs</w:t>
      </w:r>
      <w:r w:rsidRPr="00D64B1D">
        <w:rPr>
          <w:color w:val="000000"/>
          <w:sz w:val="20"/>
          <w:szCs w:val="20"/>
        </w:rPr>
        <w:br/>
        <w:t>U.S. Census Bureau</w:t>
      </w:r>
    </w:p>
    <w:p w:rsidRPr="00D64B1D" w:rsidR="00D64B1D" w:rsidP="00D64B1D" w:rsidRDefault="00D64B1D">
      <w:pPr>
        <w:pStyle w:val="NormalWeb"/>
        <w:keepNext/>
        <w:shd w:val="clear" w:color="auto" w:fill="FFFFFF"/>
        <w:contextualSpacing/>
        <w:rPr>
          <w:color w:val="000000"/>
          <w:sz w:val="20"/>
          <w:szCs w:val="20"/>
        </w:rPr>
      </w:pPr>
    </w:p>
    <w:p w:rsidRPr="00D64B1D" w:rsidR="00D64B1D" w:rsidP="00D64B1D" w:rsidRDefault="00D64B1D">
      <w:pPr>
        <w:pStyle w:val="NormalWeb"/>
        <w:keepNext/>
        <w:shd w:val="clear" w:color="auto" w:fill="FFFFFF"/>
        <w:contextualSpacing/>
        <w:rPr>
          <w:color w:val="000000"/>
          <w:sz w:val="20"/>
          <w:szCs w:val="20"/>
        </w:rPr>
      </w:pPr>
      <w:r w:rsidRPr="00D64B1D">
        <w:rPr>
          <w:color w:val="000000"/>
          <w:sz w:val="20"/>
          <w:szCs w:val="20"/>
        </w:rPr>
        <w:t>Office 301.763.9470</w:t>
      </w:r>
      <w:r w:rsidRPr="00D64B1D">
        <w:rPr>
          <w:color w:val="000000"/>
          <w:sz w:val="20"/>
          <w:szCs w:val="20"/>
        </w:rPr>
        <w:br/>
      </w:r>
      <w:hyperlink w:history="1" r:id="rId16">
        <w:r w:rsidRPr="00D64B1D">
          <w:rPr>
            <w:rStyle w:val="Hyperlink"/>
            <w:sz w:val="20"/>
            <w:szCs w:val="20"/>
          </w:rPr>
          <w:t>michael.bagley@census.gov</w:t>
        </w:r>
      </w:hyperlink>
    </w:p>
    <w:p w:rsidRPr="00D64B1D" w:rsidR="00D64B1D" w:rsidP="00D64B1D" w:rsidRDefault="00D64B1D">
      <w:pPr>
        <w:pStyle w:val="NormalWeb"/>
        <w:keepNext/>
        <w:shd w:val="clear" w:color="auto" w:fill="FFFFFF"/>
        <w:contextualSpacing/>
        <w:rPr>
          <w:color w:val="000000"/>
          <w:sz w:val="22"/>
          <w:szCs w:val="22"/>
        </w:rPr>
      </w:pPr>
      <w:r w:rsidRPr="00D64B1D">
        <w:rPr>
          <w:color w:val="000000"/>
          <w:sz w:val="22"/>
          <w:szCs w:val="22"/>
        </w:rPr>
        <w:t> </w:t>
      </w:r>
    </w:p>
    <w:p w:rsidRPr="00D64B1D" w:rsidR="00D64B1D" w:rsidP="00D64B1D" w:rsidRDefault="00372360">
      <w:pPr>
        <w:contextualSpacing/>
        <w:jc w:val="center"/>
        <w:rPr>
          <w:rFonts w:ascii="Times New Roman" w:hAnsi="Times New Roman" w:eastAsia="Times New Roman" w:cs="Times New Roman"/>
        </w:rPr>
      </w:pPr>
      <w:r>
        <w:rPr>
          <w:rFonts w:ascii="Times New Roman" w:hAnsi="Times New Roman" w:eastAsia="Times New Roman" w:cs="Times New Roman"/>
        </w:rPr>
        <w:pict>
          <v:rect id="_x0000_i1026" style="width:458.65pt;height:1.5pt" o:hr="t" o:hrstd="t" o:hrpct="980" o:hralign="center" fillcolor="gray" stroked="f"/>
        </w:pict>
      </w:r>
    </w:p>
    <w:p w:rsidRPr="00D64B1D" w:rsidR="00D64B1D" w:rsidP="00D64B1D" w:rsidRDefault="00D64B1D">
      <w:pPr>
        <w:contextualSpacing/>
        <w:outlineLvl w:val="0"/>
        <w:rPr>
          <w:rFonts w:ascii="Times New Roman" w:hAnsi="Times New Roman" w:eastAsia="Times New Roman" w:cs="Times New Roman"/>
          <w:sz w:val="20"/>
          <w:szCs w:val="20"/>
        </w:rPr>
      </w:pPr>
      <w:r w:rsidRPr="00D64B1D">
        <w:rPr>
          <w:rFonts w:ascii="Times New Roman" w:hAnsi="Times New Roman" w:eastAsia="Times New Roman" w:cs="Times New Roman"/>
          <w:b/>
          <w:bCs/>
          <w:color w:val="000000"/>
          <w:sz w:val="20"/>
          <w:szCs w:val="20"/>
        </w:rPr>
        <w:t>From:</w:t>
      </w:r>
      <w:r w:rsidRPr="00D64B1D">
        <w:rPr>
          <w:rFonts w:ascii="Times New Roman" w:hAnsi="Times New Roman" w:eastAsia="Times New Roman" w:cs="Times New Roman"/>
          <w:color w:val="000000"/>
          <w:sz w:val="20"/>
          <w:szCs w:val="20"/>
        </w:rPr>
        <w:t xml:space="preserve"> Adam J Galemore (CENSUS/ADDP FED)</w:t>
      </w:r>
      <w:r w:rsidRPr="00D64B1D">
        <w:rPr>
          <w:rFonts w:ascii="Times New Roman" w:hAnsi="Times New Roman" w:eastAsia="Times New Roman" w:cs="Times New Roman"/>
          <w:color w:val="000000"/>
          <w:sz w:val="20"/>
          <w:szCs w:val="20"/>
        </w:rPr>
        <w:br/>
      </w:r>
      <w:r w:rsidRPr="00D64B1D">
        <w:rPr>
          <w:rFonts w:ascii="Times New Roman" w:hAnsi="Times New Roman" w:eastAsia="Times New Roman" w:cs="Times New Roman"/>
          <w:b/>
          <w:bCs/>
          <w:color w:val="000000"/>
          <w:sz w:val="20"/>
          <w:szCs w:val="20"/>
        </w:rPr>
        <w:t>Sent:</w:t>
      </w:r>
      <w:r w:rsidRPr="00D64B1D">
        <w:rPr>
          <w:rFonts w:ascii="Times New Roman" w:hAnsi="Times New Roman" w:eastAsia="Times New Roman" w:cs="Times New Roman"/>
          <w:color w:val="000000"/>
          <w:sz w:val="20"/>
          <w:szCs w:val="20"/>
        </w:rPr>
        <w:t xml:space="preserve"> Friday, August 25, 2017 10:29:24 AM</w:t>
      </w:r>
      <w:r w:rsidRPr="00D64B1D">
        <w:rPr>
          <w:rFonts w:ascii="Times New Roman" w:hAnsi="Times New Roman" w:eastAsia="Times New Roman" w:cs="Times New Roman"/>
          <w:color w:val="000000"/>
          <w:sz w:val="20"/>
          <w:szCs w:val="20"/>
        </w:rPr>
        <w:br/>
      </w:r>
      <w:r w:rsidRPr="00D64B1D">
        <w:rPr>
          <w:rFonts w:ascii="Times New Roman" w:hAnsi="Times New Roman" w:eastAsia="Times New Roman" w:cs="Times New Roman"/>
          <w:b/>
          <w:bCs/>
          <w:color w:val="000000"/>
          <w:sz w:val="20"/>
          <w:szCs w:val="20"/>
        </w:rPr>
        <w:t>To:</w:t>
      </w:r>
      <w:r w:rsidRPr="00D64B1D">
        <w:rPr>
          <w:rFonts w:ascii="Times New Roman" w:hAnsi="Times New Roman" w:eastAsia="Times New Roman" w:cs="Times New Roman"/>
          <w:color w:val="000000"/>
          <w:sz w:val="20"/>
          <w:szCs w:val="20"/>
        </w:rPr>
        <w:t xml:space="preserve"> Nix, Brian T. - BLS</w:t>
      </w:r>
      <w:r w:rsidRPr="00D64B1D">
        <w:rPr>
          <w:rFonts w:ascii="Times New Roman" w:hAnsi="Times New Roman" w:eastAsia="Times New Roman" w:cs="Times New Roman"/>
          <w:color w:val="000000"/>
          <w:sz w:val="20"/>
          <w:szCs w:val="20"/>
        </w:rPr>
        <w:br/>
      </w:r>
      <w:r w:rsidRPr="00D64B1D">
        <w:rPr>
          <w:rFonts w:ascii="Times New Roman" w:hAnsi="Times New Roman" w:eastAsia="Times New Roman" w:cs="Times New Roman"/>
          <w:b/>
          <w:bCs/>
          <w:color w:val="000000"/>
          <w:sz w:val="20"/>
          <w:szCs w:val="20"/>
        </w:rPr>
        <w:t>Cc:</w:t>
      </w:r>
      <w:r w:rsidRPr="00D64B1D">
        <w:rPr>
          <w:rFonts w:ascii="Times New Roman" w:hAnsi="Times New Roman" w:eastAsia="Times New Roman" w:cs="Times New Roman"/>
          <w:color w:val="000000"/>
          <w:sz w:val="20"/>
          <w:szCs w:val="20"/>
        </w:rPr>
        <w:t xml:space="preserve"> Michael Bagley (CENSUS/ADDP FED)</w:t>
      </w:r>
      <w:r w:rsidRPr="00D64B1D">
        <w:rPr>
          <w:rFonts w:ascii="Times New Roman" w:hAnsi="Times New Roman" w:eastAsia="Times New Roman" w:cs="Times New Roman"/>
          <w:color w:val="000000"/>
          <w:sz w:val="20"/>
          <w:szCs w:val="20"/>
        </w:rPr>
        <w:br/>
      </w:r>
      <w:r w:rsidRPr="00D64B1D">
        <w:rPr>
          <w:rFonts w:ascii="Times New Roman" w:hAnsi="Times New Roman" w:eastAsia="Times New Roman" w:cs="Times New Roman"/>
          <w:b/>
          <w:bCs/>
          <w:color w:val="000000"/>
          <w:sz w:val="20"/>
          <w:szCs w:val="20"/>
        </w:rPr>
        <w:t>Subject:</w:t>
      </w:r>
      <w:r w:rsidRPr="00D64B1D">
        <w:rPr>
          <w:rFonts w:ascii="Times New Roman" w:hAnsi="Times New Roman" w:eastAsia="Times New Roman" w:cs="Times New Roman"/>
          <w:color w:val="000000"/>
          <w:sz w:val="20"/>
          <w:szCs w:val="20"/>
        </w:rPr>
        <w:t xml:space="preserve"> Re: BLS/Census response rate definitions</w:t>
      </w:r>
      <w:r w:rsidRPr="00D64B1D">
        <w:rPr>
          <w:rFonts w:ascii="Times New Roman" w:hAnsi="Times New Roman" w:eastAsia="Times New Roman" w:cs="Times New Roman"/>
          <w:sz w:val="20"/>
          <w:szCs w:val="20"/>
        </w:rPr>
        <w:t xml:space="preserve"> </w:t>
      </w:r>
    </w:p>
    <w:p w:rsidRPr="00D64B1D" w:rsidR="00D64B1D" w:rsidP="00D64B1D" w:rsidRDefault="00D64B1D">
      <w:pPr>
        <w:pStyle w:val="NormalWeb"/>
        <w:contextualSpacing/>
        <w:rPr>
          <w:color w:val="000000"/>
          <w:sz w:val="22"/>
          <w:szCs w:val="22"/>
        </w:rPr>
      </w:pPr>
      <w:r w:rsidRPr="00D64B1D">
        <w:rPr>
          <w:color w:val="000000"/>
          <w:sz w:val="22"/>
          <w:szCs w:val="22"/>
        </w:rPr>
        <w:t>Hey Brian,</w:t>
      </w:r>
    </w:p>
    <w:p w:rsidRPr="00D64B1D" w:rsidR="00D64B1D" w:rsidP="00D64B1D" w:rsidRDefault="00D64B1D">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Code 326 is a type A; however, (Mike correct me if I'm wrong) I think the code is used to describe the case as a whole since that is how FLD calculates response rates.  DSMD on the other hand calculates the rate based off each diary.</w:t>
      </w:r>
    </w:p>
    <w:p w:rsidRPr="00D64B1D" w:rsidR="00D64B1D" w:rsidP="00D64B1D" w:rsidRDefault="00D64B1D">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In response to your other email, code 320 is a Type A as well.</w:t>
      </w:r>
    </w:p>
    <w:p w:rsidRPr="00D64B1D" w:rsidR="00D64B1D" w:rsidP="00D64B1D" w:rsidRDefault="00D64B1D">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Mike Bagley would be able to answer CED specific questions better than me though so you might want to forward them to him in the future.</w:t>
      </w:r>
    </w:p>
    <w:p w:rsidRPr="00D64B1D" w:rsidR="00D64B1D" w:rsidP="00D64B1D" w:rsidRDefault="00D64B1D">
      <w:pPr>
        <w:pStyle w:val="NormalWeb"/>
        <w:contextualSpacing/>
        <w:rPr>
          <w:color w:val="000000"/>
          <w:sz w:val="22"/>
          <w:szCs w:val="22"/>
        </w:rPr>
      </w:pPr>
    </w:p>
    <w:p w:rsidRPr="00D64B1D" w:rsidR="00D64B1D" w:rsidP="00D64B1D" w:rsidRDefault="00372360">
      <w:pPr>
        <w:contextualSpacing/>
        <w:jc w:val="center"/>
        <w:rPr>
          <w:rFonts w:ascii="Times New Roman" w:hAnsi="Times New Roman" w:eastAsia="Times New Roman" w:cs="Times New Roman"/>
        </w:rPr>
      </w:pPr>
      <w:r>
        <w:rPr>
          <w:rFonts w:ascii="Times New Roman" w:hAnsi="Times New Roman" w:eastAsia="Times New Roman" w:cs="Times New Roman"/>
        </w:rPr>
        <w:pict>
          <v:rect id="_x0000_i1027" style="width:458.65pt;height:1.5pt" o:hr="t" o:hrstd="t" o:hrpct="980" o:hralign="center" fillcolor="gray" stroked="f"/>
        </w:pict>
      </w:r>
    </w:p>
    <w:p w:rsidRPr="00D64B1D" w:rsidR="00D64B1D" w:rsidP="00D64B1D" w:rsidRDefault="00D64B1D">
      <w:pPr>
        <w:pStyle w:val="NormalWeb"/>
        <w:contextualSpacing/>
        <w:outlineLvl w:val="0"/>
        <w:rPr>
          <w:color w:val="000000"/>
          <w:sz w:val="20"/>
          <w:szCs w:val="20"/>
        </w:rPr>
      </w:pPr>
      <w:r w:rsidRPr="00D64B1D">
        <w:rPr>
          <w:b/>
          <w:bCs/>
          <w:color w:val="000000"/>
          <w:sz w:val="20"/>
          <w:szCs w:val="20"/>
        </w:rPr>
        <w:t>From:</w:t>
      </w:r>
      <w:r w:rsidRPr="00D64B1D">
        <w:rPr>
          <w:color w:val="000000"/>
          <w:sz w:val="20"/>
          <w:szCs w:val="20"/>
        </w:rPr>
        <w:t xml:space="preserve"> Adam J Galemore (CENSUS/ADDP FED) [</w:t>
      </w:r>
      <w:hyperlink w:history="1" r:id="rId17">
        <w:r w:rsidRPr="00D64B1D">
          <w:rPr>
            <w:rStyle w:val="Hyperlink"/>
            <w:sz w:val="20"/>
            <w:szCs w:val="20"/>
          </w:rPr>
          <w:t>mailto:Adam.J.Galemore@census.gov</w:t>
        </w:r>
      </w:hyperlink>
      <w:r w:rsidRPr="00D64B1D">
        <w:rPr>
          <w:color w:val="000000"/>
          <w:sz w:val="20"/>
          <w:szCs w:val="20"/>
        </w:rPr>
        <w:t xml:space="preserve">] </w:t>
      </w:r>
      <w:r w:rsidRPr="00D64B1D">
        <w:rPr>
          <w:color w:val="000000"/>
          <w:sz w:val="20"/>
          <w:szCs w:val="20"/>
        </w:rPr>
        <w:br/>
      </w:r>
      <w:r w:rsidRPr="00D64B1D">
        <w:rPr>
          <w:b/>
          <w:bCs/>
          <w:color w:val="000000"/>
          <w:sz w:val="20"/>
          <w:szCs w:val="20"/>
        </w:rPr>
        <w:t>Sent:</w:t>
      </w:r>
      <w:r w:rsidRPr="00D64B1D">
        <w:rPr>
          <w:color w:val="000000"/>
          <w:sz w:val="20"/>
          <w:szCs w:val="20"/>
        </w:rPr>
        <w:t xml:space="preserve"> Wednesday, July 19, 2017 9:20 AM</w:t>
      </w:r>
      <w:r w:rsidRPr="00D64B1D">
        <w:rPr>
          <w:color w:val="000000"/>
          <w:sz w:val="20"/>
          <w:szCs w:val="20"/>
        </w:rPr>
        <w:br/>
      </w:r>
      <w:r w:rsidRPr="00D64B1D">
        <w:rPr>
          <w:b/>
          <w:bCs/>
          <w:color w:val="000000"/>
          <w:sz w:val="20"/>
          <w:szCs w:val="20"/>
        </w:rPr>
        <w:t>To:</w:t>
      </w:r>
      <w:r w:rsidRPr="00D64B1D">
        <w:rPr>
          <w:color w:val="000000"/>
          <w:sz w:val="20"/>
          <w:szCs w:val="20"/>
        </w:rPr>
        <w:t xml:space="preserve"> Nix, Brian T. - BLS &lt;</w:t>
      </w:r>
      <w:hyperlink w:history="1" r:id="rId18">
        <w:r w:rsidRPr="00D64B1D">
          <w:rPr>
            <w:rStyle w:val="Hyperlink"/>
            <w:sz w:val="20"/>
            <w:szCs w:val="20"/>
          </w:rPr>
          <w:t>Nix.Brian@bls.gov</w:t>
        </w:r>
      </w:hyperlink>
      <w:r w:rsidRPr="00D64B1D">
        <w:rPr>
          <w:color w:val="000000"/>
          <w:sz w:val="20"/>
          <w:szCs w:val="20"/>
        </w:rPr>
        <w:t>&gt;</w:t>
      </w:r>
      <w:r w:rsidRPr="00D64B1D">
        <w:rPr>
          <w:color w:val="000000"/>
          <w:sz w:val="20"/>
          <w:szCs w:val="20"/>
        </w:rPr>
        <w:br/>
      </w:r>
      <w:r w:rsidRPr="00D64B1D">
        <w:rPr>
          <w:b/>
          <w:bCs/>
          <w:color w:val="000000"/>
          <w:sz w:val="20"/>
          <w:szCs w:val="20"/>
        </w:rPr>
        <w:t>Cc:</w:t>
      </w:r>
      <w:r w:rsidRPr="00D64B1D">
        <w:rPr>
          <w:color w:val="000000"/>
          <w:sz w:val="20"/>
          <w:szCs w:val="20"/>
        </w:rPr>
        <w:t xml:space="preserve"> Patricia M. Holley &lt;</w:t>
      </w:r>
      <w:hyperlink w:history="1" r:id="rId19">
        <w:r w:rsidRPr="00D64B1D">
          <w:rPr>
            <w:rStyle w:val="Hyperlink"/>
            <w:sz w:val="20"/>
            <w:szCs w:val="20"/>
          </w:rPr>
          <w:t>Patricia.M.Holley@census.gov</w:t>
        </w:r>
      </w:hyperlink>
      <w:r w:rsidRPr="00D64B1D">
        <w:rPr>
          <w:color w:val="000000"/>
          <w:sz w:val="20"/>
          <w:szCs w:val="20"/>
        </w:rPr>
        <w:t>&gt;</w:t>
      </w:r>
      <w:r w:rsidRPr="00D64B1D">
        <w:rPr>
          <w:color w:val="000000"/>
          <w:sz w:val="20"/>
          <w:szCs w:val="20"/>
        </w:rPr>
        <w:br/>
      </w:r>
      <w:r w:rsidRPr="00D64B1D">
        <w:rPr>
          <w:b/>
          <w:bCs/>
          <w:color w:val="000000"/>
          <w:sz w:val="20"/>
          <w:szCs w:val="20"/>
        </w:rPr>
        <w:t>Subject:</w:t>
      </w:r>
      <w:r w:rsidRPr="00D64B1D">
        <w:rPr>
          <w:color w:val="000000"/>
          <w:sz w:val="20"/>
          <w:szCs w:val="20"/>
        </w:rPr>
        <w:t xml:space="preserve"> Re: BLS/Census response rate definitions </w:t>
      </w:r>
    </w:p>
    <w:p w:rsidRPr="00D64B1D" w:rsidR="00D64B1D" w:rsidP="00D64B1D" w:rsidRDefault="00D64B1D">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Hey Brian,</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Yes we don't have a 215 in CEQ, it would have to be coded as a Type A.</w:t>
      </w:r>
    </w:p>
    <w:p w:rsidR="00366E5E" w:rsidP="00D64B1D" w:rsidRDefault="00366E5E">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For CED, I've attached 2 documents, 1 with the current outcome codes and the other with the codes from a few years ago.  If you have any other questions, you might be better asking Tricia Holley (she's cc'd) since she's more familiar with CED.</w:t>
      </w:r>
    </w:p>
    <w:p w:rsidRPr="00D64B1D" w:rsidR="00D64B1D" w:rsidP="00D64B1D" w:rsidRDefault="00D64B1D">
      <w:pPr>
        <w:pStyle w:val="NormalWeb"/>
        <w:contextualSpacing/>
        <w:rPr>
          <w:color w:val="000000"/>
          <w:sz w:val="22"/>
          <w:szCs w:val="22"/>
        </w:rPr>
      </w:pPr>
      <w:r w:rsidRPr="00D64B1D">
        <w:rPr>
          <w:color w:val="000000"/>
          <w:sz w:val="22"/>
          <w:szCs w:val="22"/>
        </w:rPr>
        <w:lastRenderedPageBreak/>
        <w:t> </w:t>
      </w:r>
    </w:p>
    <w:p w:rsidRPr="00D64B1D" w:rsidR="00D64B1D" w:rsidP="00D64B1D" w:rsidRDefault="00D64B1D">
      <w:pPr>
        <w:pStyle w:val="NormalWeb"/>
        <w:contextualSpacing/>
        <w:rPr>
          <w:color w:val="000000"/>
          <w:sz w:val="22"/>
          <w:szCs w:val="22"/>
        </w:rPr>
      </w:pPr>
      <w:r w:rsidRPr="00D64B1D">
        <w:rPr>
          <w:color w:val="000000"/>
          <w:sz w:val="22"/>
          <w:szCs w:val="22"/>
        </w:rPr>
        <w:t>As far as the response rate calculations, below are the calculations for ROSCO (FLD) and DSMD.</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ROSCO - FLD calculates CED response rates based on the final outcome code for the case.  The formula used to calculate the rr is:</w:t>
      </w:r>
    </w:p>
    <w:p w:rsidRPr="00D64B1D" w:rsidR="00D64B1D" w:rsidP="00D64B1D" w:rsidRDefault="00D64B1D">
      <w:pPr>
        <w:pStyle w:val="NormalWeb"/>
        <w:contextualSpacing/>
        <w:rPr>
          <w:color w:val="000000"/>
          <w:sz w:val="22"/>
          <w:szCs w:val="22"/>
        </w:rPr>
      </w:pPr>
      <w:r w:rsidRPr="00D64B1D">
        <w:rPr>
          <w:color w:val="000000"/>
          <w:sz w:val="22"/>
          <w:szCs w:val="22"/>
        </w:rPr>
        <w:t>(201s+203s+206s+207s+209s) / (201s+203s+206s+207s+209s+216s+217s+219s+321s+322s+323s+324s+325s+320s+326s)</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DSMD - calculates the CED response rate based on the individual diary using the PICK_UP1 and PICK_UP2 variables so the workload ends up being double.  The formula they use is:</w:t>
      </w:r>
    </w:p>
    <w:p w:rsidRPr="00D64B1D" w:rsidR="00D64B1D" w:rsidP="00D64B1D" w:rsidRDefault="00D64B1D">
      <w:pPr>
        <w:pStyle w:val="NormalWeb"/>
        <w:contextualSpacing/>
        <w:rPr>
          <w:color w:val="000000"/>
          <w:sz w:val="22"/>
          <w:szCs w:val="22"/>
        </w:rPr>
      </w:pPr>
      <w:r w:rsidRPr="00D64B1D">
        <w:rPr>
          <w:color w:val="000000"/>
          <w:sz w:val="22"/>
          <w:szCs w:val="22"/>
        </w:rPr>
        <w:t>201s / (201s+216s+217s+321s+322s+323s+324s+219s+325s)</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Lastly, the only code I know that has changed types is the 217 Temporarily Absent.  For CEQ this has always been a Type A; however, for CED this used to be considered a Type B, but last year changed to a Type A.</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Hopefully this email helps in understanding the differences in the way CED rates are calculated.  If you need further clarification please don't hesitate to give me a call at 301-763-1290.  I'm teleworking today but leave me a message and I can call you back.  Also, as I mentioned, if you have further questions with CED rates feel free to reach out to Tricia as well.</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Thanks</w:t>
      </w:r>
    </w:p>
    <w:p w:rsidRPr="00D64B1D" w:rsidR="00D64B1D" w:rsidP="00D64B1D" w:rsidRDefault="00D64B1D">
      <w:pPr>
        <w:pStyle w:val="NormalWeb"/>
        <w:contextualSpacing/>
        <w:rPr>
          <w:color w:val="000000"/>
          <w:sz w:val="22"/>
          <w:szCs w:val="22"/>
        </w:rPr>
      </w:pPr>
    </w:p>
    <w:p w:rsidRPr="00D64B1D" w:rsidR="00D64B1D" w:rsidP="00D64B1D" w:rsidRDefault="00372360">
      <w:pPr>
        <w:contextualSpacing/>
        <w:jc w:val="center"/>
        <w:rPr>
          <w:rFonts w:ascii="Times New Roman" w:hAnsi="Times New Roman" w:eastAsia="Times New Roman" w:cs="Times New Roman"/>
        </w:rPr>
      </w:pPr>
      <w:r>
        <w:rPr>
          <w:rFonts w:ascii="Times New Roman" w:hAnsi="Times New Roman" w:eastAsia="Times New Roman" w:cs="Times New Roman"/>
        </w:rPr>
        <w:pict>
          <v:rect id="_x0000_i1028" style="width:458.65pt;height:1.5pt" o:hr="t" o:hrstd="t" o:hrpct="980" o:hralign="center" fillcolor="gray" stroked="f"/>
        </w:pict>
      </w:r>
    </w:p>
    <w:p w:rsidRPr="00D64B1D" w:rsidR="00D64B1D" w:rsidP="00D64B1D" w:rsidRDefault="00D64B1D">
      <w:pPr>
        <w:pStyle w:val="NormalWeb"/>
        <w:contextualSpacing/>
        <w:outlineLvl w:val="0"/>
        <w:rPr>
          <w:color w:val="000000"/>
          <w:sz w:val="20"/>
          <w:szCs w:val="20"/>
        </w:rPr>
      </w:pPr>
      <w:r w:rsidRPr="00D64B1D">
        <w:rPr>
          <w:b/>
          <w:bCs/>
          <w:color w:val="000000"/>
          <w:sz w:val="20"/>
          <w:szCs w:val="20"/>
        </w:rPr>
        <w:t>From:</w:t>
      </w:r>
      <w:r w:rsidRPr="00D64B1D">
        <w:rPr>
          <w:color w:val="000000"/>
          <w:sz w:val="20"/>
          <w:szCs w:val="20"/>
        </w:rPr>
        <w:t xml:space="preserve"> Adam J Galemore (CENSUS/ADDP FED) [</w:t>
      </w:r>
      <w:hyperlink w:history="1" r:id="rId20">
        <w:r w:rsidRPr="00D64B1D">
          <w:rPr>
            <w:rStyle w:val="Hyperlink"/>
            <w:sz w:val="20"/>
            <w:szCs w:val="20"/>
          </w:rPr>
          <w:t>mailto:Adam.J.Galemore@census.gov</w:t>
        </w:r>
      </w:hyperlink>
      <w:r w:rsidRPr="00D64B1D">
        <w:rPr>
          <w:color w:val="000000"/>
          <w:sz w:val="20"/>
          <w:szCs w:val="20"/>
        </w:rPr>
        <w:t xml:space="preserve">] </w:t>
      </w:r>
      <w:r w:rsidRPr="00D64B1D">
        <w:rPr>
          <w:color w:val="000000"/>
          <w:sz w:val="20"/>
          <w:szCs w:val="20"/>
        </w:rPr>
        <w:br/>
      </w:r>
      <w:r w:rsidRPr="00D64B1D">
        <w:rPr>
          <w:b/>
          <w:bCs/>
          <w:color w:val="000000"/>
          <w:sz w:val="20"/>
          <w:szCs w:val="20"/>
        </w:rPr>
        <w:t>Sent:</w:t>
      </w:r>
      <w:r w:rsidRPr="00D64B1D">
        <w:rPr>
          <w:color w:val="000000"/>
          <w:sz w:val="20"/>
          <w:szCs w:val="20"/>
        </w:rPr>
        <w:t xml:space="preserve"> Monday, July 10, 2017 9:02 AM</w:t>
      </w:r>
      <w:r w:rsidRPr="00D64B1D">
        <w:rPr>
          <w:color w:val="000000"/>
          <w:sz w:val="20"/>
          <w:szCs w:val="20"/>
        </w:rPr>
        <w:br/>
      </w:r>
      <w:r w:rsidRPr="00D64B1D">
        <w:rPr>
          <w:b/>
          <w:bCs/>
          <w:color w:val="000000"/>
          <w:sz w:val="20"/>
          <w:szCs w:val="20"/>
        </w:rPr>
        <w:t>To:</w:t>
      </w:r>
      <w:r w:rsidRPr="00D64B1D">
        <w:rPr>
          <w:color w:val="000000"/>
          <w:sz w:val="20"/>
          <w:szCs w:val="20"/>
        </w:rPr>
        <w:t xml:space="preserve"> Nix, Brian T. - BLS &lt;</w:t>
      </w:r>
      <w:hyperlink w:history="1" r:id="rId21">
        <w:r w:rsidRPr="00D64B1D">
          <w:rPr>
            <w:rStyle w:val="Hyperlink"/>
            <w:sz w:val="20"/>
            <w:szCs w:val="20"/>
          </w:rPr>
          <w:t>Nix.Brian@bls.gov</w:t>
        </w:r>
      </w:hyperlink>
      <w:r w:rsidRPr="00D64B1D">
        <w:rPr>
          <w:color w:val="000000"/>
          <w:sz w:val="20"/>
          <w:szCs w:val="20"/>
        </w:rPr>
        <w:t>&gt;</w:t>
      </w:r>
      <w:r w:rsidRPr="00D64B1D">
        <w:rPr>
          <w:color w:val="000000"/>
          <w:sz w:val="20"/>
          <w:szCs w:val="20"/>
        </w:rPr>
        <w:br/>
      </w:r>
      <w:r w:rsidRPr="00D64B1D">
        <w:rPr>
          <w:b/>
          <w:bCs/>
          <w:color w:val="000000"/>
          <w:sz w:val="20"/>
          <w:szCs w:val="20"/>
        </w:rPr>
        <w:t>Subject:</w:t>
      </w:r>
      <w:r w:rsidRPr="00D64B1D">
        <w:rPr>
          <w:color w:val="000000"/>
          <w:sz w:val="20"/>
          <w:szCs w:val="20"/>
        </w:rPr>
        <w:t xml:space="preserve"> Re: BLS/Census response rate definitions</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Hey Brian,</w:t>
      </w:r>
    </w:p>
    <w:p w:rsidRPr="00D64B1D" w:rsidR="00D64B1D" w:rsidP="00D64B1D" w:rsidRDefault="00D64B1D">
      <w:pPr>
        <w:pStyle w:val="NormalWeb"/>
        <w:contextualSpacing/>
        <w:rPr>
          <w:color w:val="000000"/>
          <w:sz w:val="22"/>
          <w:szCs w:val="22"/>
        </w:rPr>
      </w:pPr>
      <w:r w:rsidRPr="00D64B1D">
        <w:rPr>
          <w:color w:val="000000"/>
          <w:sz w:val="22"/>
          <w:szCs w:val="22"/>
        </w:rPr>
        <w:t> </w:t>
      </w:r>
    </w:p>
    <w:p w:rsidRPr="00D64B1D" w:rsidR="00D64B1D" w:rsidP="00D64B1D" w:rsidRDefault="00D64B1D">
      <w:pPr>
        <w:pStyle w:val="NormalWeb"/>
        <w:contextualSpacing/>
        <w:rPr>
          <w:color w:val="000000"/>
          <w:sz w:val="22"/>
          <w:szCs w:val="22"/>
        </w:rPr>
      </w:pPr>
      <w:r w:rsidRPr="00D64B1D">
        <w:rPr>
          <w:color w:val="000000"/>
          <w:sz w:val="22"/>
          <w:szCs w:val="22"/>
        </w:rPr>
        <w:t>I'm still waiting to hear back from FLD for how they calculate the CED response rates, I'll let you know as soon as I do.  However, DSMD and FLD calculate the CEQ rates the same way and it hasn't changed much since 6 years ago.  The only changes should be adding and removing a few Type C codes.</w:t>
      </w:r>
    </w:p>
    <w:p w:rsidRPr="00D64B1D" w:rsidR="00D64B1D" w:rsidP="00D64B1D" w:rsidRDefault="00D64B1D">
      <w:pPr>
        <w:pStyle w:val="NormalWeb"/>
        <w:contextualSpacing/>
        <w:rPr>
          <w:color w:val="000000"/>
          <w:sz w:val="22"/>
          <w:szCs w:val="22"/>
        </w:rPr>
      </w:pPr>
      <w:r w:rsidRPr="00D64B1D">
        <w:rPr>
          <w:color w:val="000000"/>
          <w:sz w:val="22"/>
          <w:szCs w:val="22"/>
        </w:rPr>
        <w:t> </w:t>
      </w:r>
    </w:p>
    <w:p w:rsidR="00C20546" w:rsidP="00D64B1D" w:rsidRDefault="00D64B1D">
      <w:pPr>
        <w:pStyle w:val="NormalWeb"/>
        <w:contextualSpacing/>
        <w:rPr>
          <w:color w:val="000000"/>
          <w:sz w:val="22"/>
          <w:szCs w:val="22"/>
        </w:rPr>
      </w:pPr>
      <w:r w:rsidRPr="00D64B1D">
        <w:rPr>
          <w:color w:val="000000"/>
          <w:sz w:val="22"/>
          <w:szCs w:val="22"/>
        </w:rPr>
        <w:t>Here's a list of the final outcome codes that we use for CEQ:</w:t>
      </w:r>
    </w:p>
    <w:p w:rsidR="00C20546" w:rsidP="00D64B1D" w:rsidRDefault="00C20546">
      <w:pPr>
        <w:pStyle w:val="NormalWeb"/>
        <w:contextualSpacing/>
        <w:rPr>
          <w:color w:val="000000"/>
          <w:sz w:val="22"/>
          <w:szCs w:val="22"/>
        </w:rPr>
      </w:pPr>
    </w:p>
    <w:p w:rsidR="00C20546" w:rsidP="00D64B1D" w:rsidRDefault="00D64B1D">
      <w:pPr>
        <w:pStyle w:val="NormalWeb"/>
        <w:contextualSpacing/>
        <w:rPr>
          <w:color w:val="000000"/>
          <w:sz w:val="22"/>
          <w:szCs w:val="22"/>
        </w:rPr>
      </w:pPr>
      <w:r w:rsidRPr="00D64B1D">
        <w:rPr>
          <w:color w:val="000000"/>
          <w:sz w:val="22"/>
          <w:szCs w:val="22"/>
        </w:rPr>
        <w:t>201 - Completed inter</w:t>
      </w:r>
      <w:r w:rsidR="00C20546">
        <w:rPr>
          <w:color w:val="000000"/>
          <w:sz w:val="22"/>
          <w:szCs w:val="22"/>
        </w:rPr>
        <w:t>view</w:t>
      </w:r>
      <w:r w:rsidR="00C20546">
        <w:rPr>
          <w:color w:val="000000"/>
          <w:sz w:val="22"/>
          <w:szCs w:val="22"/>
        </w:rPr>
        <w:br/>
        <w:t>203 - Sufficient Partial</w:t>
      </w:r>
    </w:p>
    <w:p w:rsidR="00C20546" w:rsidP="00D64B1D" w:rsidRDefault="00C20546">
      <w:pPr>
        <w:pStyle w:val="NormalWeb"/>
        <w:contextualSpacing/>
        <w:rPr>
          <w:color w:val="000000"/>
          <w:sz w:val="22"/>
          <w:szCs w:val="22"/>
        </w:rPr>
      </w:pPr>
    </w:p>
    <w:p w:rsidR="00C20546" w:rsidP="00D64B1D" w:rsidRDefault="00D64B1D">
      <w:pPr>
        <w:pStyle w:val="NormalWeb"/>
        <w:contextualSpacing/>
        <w:rPr>
          <w:color w:val="000000"/>
          <w:sz w:val="22"/>
          <w:szCs w:val="22"/>
        </w:rPr>
      </w:pPr>
      <w:r w:rsidRPr="00D64B1D">
        <w:rPr>
          <w:color w:val="000000"/>
          <w:sz w:val="22"/>
          <w:szCs w:val="22"/>
        </w:rPr>
        <w:t>216 Type A - No one home (unable to contact)</w:t>
      </w:r>
      <w:r w:rsidRPr="00D64B1D">
        <w:rPr>
          <w:color w:val="000000"/>
          <w:sz w:val="22"/>
          <w:szCs w:val="22"/>
        </w:rPr>
        <w:br/>
        <w:t>217 Type A - Temporarily absent</w:t>
      </w:r>
      <w:r w:rsidRPr="00D64B1D">
        <w:rPr>
          <w:color w:val="000000"/>
          <w:sz w:val="22"/>
          <w:szCs w:val="22"/>
        </w:rPr>
        <w:br/>
        <w:t xml:space="preserve">219 Type A - Other - specify </w:t>
      </w:r>
      <w:r w:rsidRPr="00D64B1D">
        <w:rPr>
          <w:color w:val="000000"/>
          <w:sz w:val="22"/>
          <w:szCs w:val="22"/>
        </w:rPr>
        <w:br/>
        <w:t>321 Type A - Refused, Hostile respondent</w:t>
      </w:r>
      <w:r w:rsidRPr="00D64B1D">
        <w:rPr>
          <w:color w:val="000000"/>
          <w:sz w:val="22"/>
          <w:szCs w:val="22"/>
        </w:rPr>
        <w:br/>
        <w:t xml:space="preserve">322 Type A - Refused, Time related excuses </w:t>
      </w:r>
      <w:r w:rsidRPr="00D64B1D">
        <w:rPr>
          <w:color w:val="000000"/>
          <w:sz w:val="22"/>
          <w:szCs w:val="22"/>
        </w:rPr>
        <w:br/>
        <w:t>323 Type A - Refused, Language problems</w:t>
      </w:r>
      <w:r w:rsidRPr="00D64B1D">
        <w:rPr>
          <w:color w:val="000000"/>
          <w:sz w:val="22"/>
          <w:szCs w:val="22"/>
        </w:rPr>
        <w:br/>
        <w:t>324 Ty</w:t>
      </w:r>
      <w:r w:rsidR="00C20546">
        <w:rPr>
          <w:color w:val="000000"/>
          <w:sz w:val="22"/>
          <w:szCs w:val="22"/>
        </w:rPr>
        <w:t>pe A - Refused, Other – specify</w:t>
      </w:r>
    </w:p>
    <w:p w:rsidR="00C20546" w:rsidP="00D64B1D" w:rsidRDefault="00C20546">
      <w:pPr>
        <w:pStyle w:val="NormalWeb"/>
        <w:contextualSpacing/>
        <w:rPr>
          <w:color w:val="000000"/>
          <w:sz w:val="22"/>
          <w:szCs w:val="22"/>
        </w:rPr>
      </w:pPr>
    </w:p>
    <w:p w:rsidR="00C20546" w:rsidP="00D64B1D" w:rsidRDefault="00D64B1D">
      <w:pPr>
        <w:pStyle w:val="NormalWeb"/>
        <w:contextualSpacing/>
        <w:rPr>
          <w:color w:val="000000"/>
          <w:sz w:val="22"/>
          <w:szCs w:val="22"/>
        </w:rPr>
      </w:pPr>
      <w:r w:rsidRPr="00D64B1D">
        <w:rPr>
          <w:color w:val="000000"/>
          <w:sz w:val="22"/>
          <w:szCs w:val="22"/>
        </w:rPr>
        <w:t xml:space="preserve">224 Type B - All persons under 16 </w:t>
      </w:r>
      <w:r w:rsidRPr="00D64B1D">
        <w:rPr>
          <w:color w:val="000000"/>
          <w:sz w:val="22"/>
          <w:szCs w:val="22"/>
        </w:rPr>
        <w:br/>
        <w:t>225 Type B - Occupied by persons with URE</w:t>
      </w:r>
      <w:r w:rsidRPr="00D64B1D">
        <w:rPr>
          <w:color w:val="000000"/>
          <w:sz w:val="22"/>
          <w:szCs w:val="22"/>
        </w:rPr>
        <w:br/>
        <w:t>226 Type B - Vacant for rent</w:t>
      </w:r>
      <w:r w:rsidRPr="00D64B1D">
        <w:rPr>
          <w:color w:val="000000"/>
          <w:sz w:val="22"/>
          <w:szCs w:val="22"/>
        </w:rPr>
        <w:br/>
        <w:t>331 Type B - Vacant for sale</w:t>
      </w:r>
      <w:r w:rsidRPr="00D64B1D">
        <w:rPr>
          <w:color w:val="000000"/>
          <w:sz w:val="22"/>
          <w:szCs w:val="22"/>
        </w:rPr>
        <w:br/>
        <w:t>332 T</w:t>
      </w:r>
      <w:r w:rsidR="00C20546">
        <w:rPr>
          <w:color w:val="000000"/>
          <w:sz w:val="22"/>
          <w:szCs w:val="22"/>
        </w:rPr>
        <w:t>ype B - Vacant other – specify</w:t>
      </w:r>
    </w:p>
    <w:p w:rsidR="00C20546" w:rsidP="00D64B1D" w:rsidRDefault="00C20546">
      <w:pPr>
        <w:pStyle w:val="NormalWeb"/>
        <w:contextualSpacing/>
        <w:rPr>
          <w:color w:val="000000"/>
          <w:sz w:val="22"/>
          <w:szCs w:val="22"/>
        </w:rPr>
      </w:pPr>
    </w:p>
    <w:p w:rsidR="00C20546" w:rsidP="00D64B1D" w:rsidRDefault="00D64B1D">
      <w:pPr>
        <w:pStyle w:val="NormalWeb"/>
        <w:contextualSpacing/>
        <w:rPr>
          <w:color w:val="000000"/>
          <w:sz w:val="22"/>
          <w:szCs w:val="22"/>
        </w:rPr>
      </w:pPr>
      <w:r w:rsidRPr="00D64B1D">
        <w:rPr>
          <w:color w:val="000000"/>
          <w:sz w:val="22"/>
          <w:szCs w:val="22"/>
        </w:rPr>
        <w:lastRenderedPageBreak/>
        <w:t>228 Type B - Unfit, to be demolished</w:t>
      </w:r>
      <w:r w:rsidRPr="00D64B1D">
        <w:rPr>
          <w:color w:val="000000"/>
          <w:sz w:val="22"/>
          <w:szCs w:val="22"/>
        </w:rPr>
        <w:br/>
        <w:t>229 Type B - Under construction, not ready</w:t>
      </w:r>
      <w:r w:rsidRPr="00D64B1D">
        <w:rPr>
          <w:color w:val="000000"/>
          <w:sz w:val="22"/>
          <w:szCs w:val="22"/>
        </w:rPr>
        <w:br/>
        <w:t>231 Type B - Unoccupied tent/trailer site</w:t>
      </w:r>
      <w:r w:rsidRPr="00D64B1D">
        <w:rPr>
          <w:color w:val="000000"/>
          <w:sz w:val="22"/>
          <w:szCs w:val="22"/>
        </w:rPr>
        <w:br/>
        <w:t>232 Type B - Permit granted, construction not starte</w:t>
      </w:r>
      <w:r w:rsidR="00C20546">
        <w:rPr>
          <w:color w:val="000000"/>
          <w:sz w:val="22"/>
          <w:szCs w:val="22"/>
        </w:rPr>
        <w:t>d</w:t>
      </w:r>
      <w:r w:rsidR="00C20546">
        <w:rPr>
          <w:color w:val="000000"/>
          <w:sz w:val="22"/>
          <w:szCs w:val="22"/>
        </w:rPr>
        <w:br/>
        <w:t>233 Type B - Other – specify</w:t>
      </w:r>
    </w:p>
    <w:p w:rsidR="00C20546" w:rsidP="00D64B1D" w:rsidRDefault="00C20546">
      <w:pPr>
        <w:pStyle w:val="NormalWeb"/>
        <w:contextualSpacing/>
        <w:rPr>
          <w:color w:val="000000"/>
          <w:sz w:val="22"/>
          <w:szCs w:val="22"/>
        </w:rPr>
      </w:pPr>
    </w:p>
    <w:p w:rsidRPr="00D64B1D" w:rsidR="00D64B1D" w:rsidP="00D64B1D" w:rsidRDefault="00D64B1D">
      <w:pPr>
        <w:pStyle w:val="NormalWeb"/>
        <w:contextualSpacing/>
        <w:rPr>
          <w:color w:val="000000"/>
          <w:sz w:val="22"/>
          <w:szCs w:val="22"/>
        </w:rPr>
      </w:pPr>
      <w:r w:rsidRPr="00D64B1D">
        <w:rPr>
          <w:color w:val="000000"/>
          <w:sz w:val="22"/>
          <w:szCs w:val="22"/>
        </w:rPr>
        <w:t>240 Type C - Demolished</w:t>
      </w:r>
      <w:r w:rsidRPr="00D64B1D">
        <w:rPr>
          <w:color w:val="000000"/>
          <w:sz w:val="22"/>
          <w:szCs w:val="22"/>
        </w:rPr>
        <w:br/>
        <w:t>241 Type C - House or trailer moved</w:t>
      </w:r>
      <w:r w:rsidRPr="00D64B1D">
        <w:rPr>
          <w:color w:val="000000"/>
          <w:sz w:val="22"/>
          <w:szCs w:val="22"/>
        </w:rPr>
        <w:br/>
        <w:t>243 Type C - Converted to permanent nonresidential use</w:t>
      </w:r>
      <w:r w:rsidRPr="00D64B1D">
        <w:rPr>
          <w:color w:val="000000"/>
          <w:sz w:val="22"/>
          <w:szCs w:val="22"/>
        </w:rPr>
        <w:br/>
        <w:t>244 Type C - Merged units within same structure</w:t>
      </w:r>
      <w:r w:rsidRPr="00D64B1D">
        <w:rPr>
          <w:color w:val="000000"/>
          <w:sz w:val="22"/>
          <w:szCs w:val="22"/>
        </w:rPr>
        <w:br/>
        <w:t>245 Type C - Condemned</w:t>
      </w:r>
      <w:r w:rsidRPr="00D64B1D">
        <w:rPr>
          <w:color w:val="000000"/>
          <w:sz w:val="22"/>
          <w:szCs w:val="22"/>
        </w:rPr>
        <w:br/>
        <w:t>247 Type C - Unused serial # or listing sheet</w:t>
      </w:r>
      <w:r w:rsidRPr="00D64B1D">
        <w:rPr>
          <w:color w:val="000000"/>
          <w:sz w:val="22"/>
          <w:szCs w:val="22"/>
        </w:rPr>
        <w:br/>
        <w:t>248 Type C - Other - specify</w:t>
      </w:r>
      <w:r w:rsidRPr="00D64B1D">
        <w:rPr>
          <w:color w:val="000000"/>
          <w:sz w:val="22"/>
          <w:szCs w:val="22"/>
        </w:rPr>
        <w:br/>
        <w:t>252 Type C - Located on military base or post</w:t>
      </w:r>
      <w:r w:rsidRPr="00D64B1D">
        <w:rPr>
          <w:color w:val="000000"/>
          <w:sz w:val="22"/>
          <w:szCs w:val="22"/>
        </w:rPr>
        <w:br/>
        <w:t>258 Type C - Unlocatable sample address</w:t>
      </w:r>
      <w:r w:rsidRPr="00D64B1D">
        <w:rPr>
          <w:color w:val="000000"/>
          <w:sz w:val="22"/>
          <w:szCs w:val="22"/>
        </w:rPr>
        <w:br/>
        <w:t xml:space="preserve">259 Type C - Unit does not exist or unit is </w:t>
      </w:r>
      <w:r w:rsidR="00310C92">
        <w:rPr>
          <w:color w:val="000000"/>
          <w:sz w:val="22"/>
          <w:szCs w:val="22"/>
        </w:rPr>
        <w:t>out-of-scope</w:t>
      </w:r>
      <w:r w:rsidRPr="00D64B1D">
        <w:rPr>
          <w:color w:val="000000"/>
          <w:sz w:val="22"/>
          <w:szCs w:val="22"/>
        </w:rPr>
        <w:br/>
        <w:t>290 Type C - Spawned in error</w:t>
      </w:r>
      <w:r w:rsidRPr="00D64B1D">
        <w:rPr>
          <w:color w:val="000000"/>
          <w:sz w:val="22"/>
          <w:szCs w:val="22"/>
        </w:rPr>
        <w:br/>
        <w:t>341 Type C - CU moved</w:t>
      </w:r>
      <w:r w:rsidRPr="00D64B1D">
        <w:rPr>
          <w:color w:val="000000"/>
          <w:sz w:val="22"/>
          <w:szCs w:val="22"/>
        </w:rPr>
        <w:br/>
        <w:t>342 Type C - CU merged with another CE CU within same address</w:t>
      </w:r>
      <w:bookmarkEnd w:id="1"/>
    </w:p>
    <w:p w:rsidRPr="00D64B1D" w:rsidR="00D64B1D" w:rsidRDefault="00D64B1D">
      <w:pPr>
        <w:rPr>
          <w:rFonts w:ascii="Times New Roman" w:hAnsi="Times New Roman" w:cs="Times New Roman"/>
        </w:rPr>
      </w:pPr>
    </w:p>
    <w:sectPr w:rsidRPr="00D64B1D" w:rsidR="00D64B1D" w:rsidSect="008A51A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E6" w:rsidRDefault="00355CE6" w:rsidP="00D64B1D">
      <w:pPr>
        <w:spacing w:after="0" w:line="240" w:lineRule="auto"/>
      </w:pPr>
      <w:r>
        <w:separator/>
      </w:r>
    </w:p>
  </w:endnote>
  <w:endnote w:type="continuationSeparator" w:id="0">
    <w:p w:rsidR="00355CE6" w:rsidRDefault="00355CE6" w:rsidP="00D6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E6" w:rsidRDefault="00355CE6" w:rsidP="00D64B1D">
      <w:pPr>
        <w:spacing w:after="0" w:line="240" w:lineRule="auto"/>
      </w:pPr>
      <w:r>
        <w:separator/>
      </w:r>
    </w:p>
  </w:footnote>
  <w:footnote w:type="continuationSeparator" w:id="0">
    <w:p w:rsidR="00355CE6" w:rsidRDefault="00355CE6" w:rsidP="00D64B1D">
      <w:pPr>
        <w:spacing w:after="0" w:line="240" w:lineRule="auto"/>
      </w:pPr>
      <w:r>
        <w:continuationSeparator/>
      </w:r>
    </w:p>
  </w:footnote>
  <w:footnote w:id="1">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The two surveys have independent samples of households in the sense that each year a systematic sample of 12,000 addresses is drawn from the Census Bureau’s sampling frame for the Interview survey, and another systematic sample of 12,000 addresses is independently drawn for from the sampling frame for the Diary survey. Prior to 2015, a single sample of 240,000 addresses (= 12,000 addresses per year x 10 years x 2 surveys) was drawn for the entire decade for both surveys, with addresses alternatingly assigned to the Interview survey and the Diary survey. Thus prior to 2015 the two samples were not independent of each other, but starting in 2015 the two samples are independent of each other.</w:t>
      </w:r>
    </w:p>
  </w:footnote>
  <w:footnote w:id="2">
    <w:p w:rsidR="00355CE6" w:rsidRPr="005D0A83" w:rsidRDefault="00355CE6">
      <w:pPr>
        <w:pStyle w:val="FootnoteText"/>
        <w:rPr>
          <w:rFonts w:ascii="Times New Roman" w:hAnsi="Times New Roman" w:cs="Times New Roman"/>
          <w:sz w:val="16"/>
          <w:szCs w:val="16"/>
        </w:rPr>
      </w:pPr>
      <w:r w:rsidRPr="005D0A83">
        <w:rPr>
          <w:rStyle w:val="FootnoteReference"/>
          <w:rFonts w:ascii="Times New Roman" w:hAnsi="Times New Roman" w:cs="Times New Roman"/>
          <w:sz w:val="16"/>
          <w:szCs w:val="16"/>
        </w:rPr>
        <w:footnoteRef/>
      </w:r>
      <w:r w:rsidRPr="005D0A83">
        <w:rPr>
          <w:rFonts w:ascii="Times New Roman" w:hAnsi="Times New Roman" w:cs="Times New Roman"/>
          <w:sz w:val="16"/>
          <w:szCs w:val="16"/>
        </w:rPr>
        <w:t xml:space="preserve"> </w:t>
      </w:r>
      <w:r>
        <w:rPr>
          <w:rFonts w:ascii="Times New Roman" w:hAnsi="Times New Roman" w:cs="Times New Roman"/>
          <w:sz w:val="16"/>
          <w:szCs w:val="16"/>
        </w:rPr>
        <w:t xml:space="preserve">DSMD no longer calculates what we, for historical reasons, continue to call the DSMD response rates; however, </w:t>
      </w:r>
      <w:r w:rsidR="0037473D">
        <w:rPr>
          <w:rFonts w:ascii="Times New Roman" w:hAnsi="Times New Roman" w:cs="Times New Roman"/>
          <w:sz w:val="16"/>
          <w:szCs w:val="16"/>
        </w:rPr>
        <w:t>BLS</w:t>
      </w:r>
      <w:r>
        <w:rPr>
          <w:rFonts w:ascii="Times New Roman" w:hAnsi="Times New Roman" w:cs="Times New Roman"/>
          <w:sz w:val="16"/>
          <w:szCs w:val="16"/>
        </w:rPr>
        <w:t xml:space="preserve"> still receive</w:t>
      </w:r>
      <w:r w:rsidR="0037473D">
        <w:rPr>
          <w:rFonts w:ascii="Times New Roman" w:hAnsi="Times New Roman" w:cs="Times New Roman"/>
          <w:sz w:val="16"/>
          <w:szCs w:val="16"/>
        </w:rPr>
        <w:t>s them</w:t>
      </w:r>
      <w:r>
        <w:rPr>
          <w:rFonts w:ascii="Times New Roman" w:hAnsi="Times New Roman" w:cs="Times New Roman"/>
          <w:sz w:val="16"/>
          <w:szCs w:val="16"/>
        </w:rPr>
        <w:t xml:space="preserve"> monthly from the Demographic Surveys Division (DSD) and Associate Directorate for Demographic Programs (ADDP) at Census. Since 2016, DSMD has begun calculating a weighted response rate for </w:t>
      </w:r>
      <w:r w:rsidR="00D46CBE">
        <w:rPr>
          <w:rFonts w:ascii="Times New Roman" w:hAnsi="Times New Roman" w:cs="Times New Roman"/>
          <w:sz w:val="16"/>
          <w:szCs w:val="16"/>
        </w:rPr>
        <w:t>the Quarterly Interview</w:t>
      </w:r>
      <w:r>
        <w:rPr>
          <w:rFonts w:ascii="Times New Roman" w:hAnsi="Times New Roman" w:cs="Times New Roman"/>
          <w:sz w:val="16"/>
          <w:szCs w:val="16"/>
        </w:rPr>
        <w:t xml:space="preserve"> </w:t>
      </w:r>
      <w:r w:rsidR="00D46CBE">
        <w:rPr>
          <w:rFonts w:ascii="Times New Roman" w:hAnsi="Times New Roman" w:cs="Times New Roman"/>
          <w:sz w:val="16"/>
          <w:szCs w:val="16"/>
        </w:rPr>
        <w:t>S</w:t>
      </w:r>
      <w:r>
        <w:rPr>
          <w:rFonts w:ascii="Times New Roman" w:hAnsi="Times New Roman" w:cs="Times New Roman"/>
          <w:sz w:val="16"/>
          <w:szCs w:val="16"/>
        </w:rPr>
        <w:t>urvey</w:t>
      </w:r>
      <w:r w:rsidR="00D46CBE">
        <w:rPr>
          <w:rFonts w:ascii="Times New Roman" w:hAnsi="Times New Roman" w:cs="Times New Roman"/>
          <w:sz w:val="16"/>
          <w:szCs w:val="16"/>
        </w:rPr>
        <w:t>, in response to an internal program review</w:t>
      </w:r>
      <w:r>
        <w:rPr>
          <w:rFonts w:ascii="Times New Roman" w:hAnsi="Times New Roman" w:cs="Times New Roman"/>
          <w:sz w:val="16"/>
          <w:szCs w:val="16"/>
        </w:rPr>
        <w:t xml:space="preserve">, </w:t>
      </w:r>
      <w:r w:rsidR="00D46CBE">
        <w:rPr>
          <w:rFonts w:ascii="Times New Roman" w:hAnsi="Times New Roman" w:cs="Times New Roman"/>
          <w:sz w:val="16"/>
          <w:szCs w:val="16"/>
        </w:rPr>
        <w:t xml:space="preserve">and began calculating a weighted response rate for the Diary Survey in 2017. However, we </w:t>
      </w:r>
      <w:r>
        <w:rPr>
          <w:rFonts w:ascii="Times New Roman" w:hAnsi="Times New Roman" w:cs="Times New Roman"/>
          <w:sz w:val="16"/>
          <w:szCs w:val="16"/>
        </w:rPr>
        <w:t>do not use</w:t>
      </w:r>
      <w:r w:rsidR="00D46CBE">
        <w:rPr>
          <w:rFonts w:ascii="Times New Roman" w:hAnsi="Times New Roman" w:cs="Times New Roman"/>
          <w:sz w:val="16"/>
          <w:szCs w:val="16"/>
        </w:rPr>
        <w:t xml:space="preserve"> these weighted response rates</w:t>
      </w:r>
      <w:r>
        <w:rPr>
          <w:rFonts w:ascii="Times New Roman" w:hAnsi="Times New Roman" w:cs="Times New Roman"/>
          <w:sz w:val="16"/>
          <w:szCs w:val="16"/>
        </w:rPr>
        <w:t xml:space="preserve"> at this time at BLS.</w:t>
      </w:r>
    </w:p>
  </w:footnote>
  <w:footnote w:id="3">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Should a housing unit whose residents are away from home for six months be included in the denominator? Should an interview that was only partially completed be included in the numerator? Issues such as these are the reason the three offices have different response rates.</w:t>
      </w:r>
    </w:p>
  </w:footnote>
  <w:footnote w:id="4">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It should be noted that for the Diary survey Census and BLS use the term “case” differently. Census considers the entire two-week period to be a single case, whereas BLS considers each week to be a separate case. As a result, it is important to know which audience is being addressed when using the word “case.” To avoid confusion, it is a good habit to routinely refer to the Census concept as “bi-weekly cases” and the BLS concept as “weekly cases.”</w:t>
      </w:r>
    </w:p>
  </w:footnote>
  <w:footnote w:id="5">
    <w:p w:rsidR="00355CE6" w:rsidRPr="00E01F99" w:rsidRDefault="00355CE6" w:rsidP="00F204D3">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Refusals are usually clarified further in the system, such as “Refused, Hostile Respondent” or “Refused, Time-Related Excuses.” One specific type of refusal is a Congressional Refusal, which occurs when a Congressional Office contacts the regional office or Census headquarters on behalf of a survey respondent or nonrespondent who wishes to be permanently removed from the sample. If the Congressional office instructs Census to cease all contact efforts, then Census will assign a Type A Refusal outcome code for the current interview, but the household is then removed from the sample address file so that no more contacts will be attempted in the future. This happens rarely enough that it is not given its own outcome code, however – there was only one reported instance of a Congressional Refusal in 2017.</w:t>
      </w:r>
    </w:p>
  </w:footnote>
  <w:footnote w:id="6">
    <w:p w:rsidR="00355CE6" w:rsidRPr="00482BD0" w:rsidRDefault="00355CE6">
      <w:pPr>
        <w:pStyle w:val="FootnoteText"/>
        <w:rPr>
          <w:rFonts w:ascii="Times New Roman" w:hAnsi="Times New Roman" w:cs="Times New Roman"/>
          <w:sz w:val="16"/>
          <w:szCs w:val="16"/>
        </w:rPr>
      </w:pPr>
      <w:r>
        <w:rPr>
          <w:rFonts w:ascii="Times New Roman" w:hAnsi="Times New Roman" w:cs="Times New Roman"/>
          <w:sz w:val="16"/>
          <w:szCs w:val="16"/>
        </w:rPr>
        <w:t xml:space="preserve"> </w:t>
      </w:r>
      <w:r w:rsidRPr="00482BD0">
        <w:rPr>
          <w:rStyle w:val="FootnoteReference"/>
          <w:rFonts w:ascii="Times New Roman" w:hAnsi="Times New Roman" w:cs="Times New Roman"/>
          <w:sz w:val="16"/>
          <w:szCs w:val="16"/>
        </w:rPr>
        <w:footnoteRef/>
      </w:r>
      <w:r w:rsidRPr="00482BD0">
        <w:rPr>
          <w:rFonts w:ascii="Times New Roman" w:hAnsi="Times New Roman" w:cs="Times New Roman"/>
          <w:sz w:val="16"/>
          <w:szCs w:val="16"/>
        </w:rPr>
        <w:t xml:space="preserve"> </w:t>
      </w:r>
      <w:r>
        <w:rPr>
          <w:rFonts w:ascii="Times New Roman" w:hAnsi="Times New Roman" w:cs="Times New Roman"/>
          <w:sz w:val="16"/>
          <w:szCs w:val="16"/>
        </w:rPr>
        <w:t>DSMD began producing weighted response rates in 2016. We are not currently using these in our comparisons, but instead continue to use the Census-supplied response rates, formerly produced by DSMD, which we still refer to as “DSMD Response Rates” for the sake of continuity.</w:t>
      </w:r>
    </w:p>
  </w:footnote>
  <w:footnote w:id="7">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Census sends BLS three outcome codes for each biweekly case – one outcome code for week 1, one outcome code for week 2, and a third outcome code for both weeks combined, which we do not use.</w:t>
      </w:r>
    </w:p>
  </w:footnote>
  <w:footnote w:id="8">
    <w:p w:rsidR="00355CE6" w:rsidRPr="00E01F99" w:rsidRDefault="00355CE6" w:rsidP="00916975">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Telescoping is the flawed cognitive process in which a respondent incorrectly recalls expenditures made outside the recall period to have been made inside the recall period. In 1964, John Neter and Joseph Waksberg found that telescoping was a significant problem in expenditure surveys, and they developed the concept of the bounding interview to reduce its effect. However, research in the past decade by various people in the CE program (Ian Elkin, Catherine Hackett, Neil Tseng, et. al.) found that it was no longer a significant problem in our survey, paving the way for the removal of the bounding interview from the CE survey in 2015.</w:t>
      </w:r>
    </w:p>
  </w:footnote>
  <w:footnote w:id="9">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These include the codes 203 (“</w:t>
      </w:r>
      <w:r w:rsidRPr="00E01F99">
        <w:rPr>
          <w:rFonts w:ascii="Times New Roman" w:hAnsi="Times New Roman" w:cs="Times New Roman"/>
          <w:color w:val="000000"/>
          <w:sz w:val="16"/>
          <w:szCs w:val="16"/>
        </w:rPr>
        <w:t>Week 1 interview, Week 2 Type A</w:t>
      </w:r>
      <w:r w:rsidR="008054C5">
        <w:rPr>
          <w:rFonts w:ascii="Times New Roman" w:hAnsi="Times New Roman" w:cs="Times New Roman"/>
          <w:color w:val="000000"/>
          <w:sz w:val="16"/>
          <w:szCs w:val="16"/>
        </w:rPr>
        <w:t>,”</w:t>
      </w:r>
      <w:r w:rsidRPr="00E01F99">
        <w:rPr>
          <w:rFonts w:ascii="Times New Roman" w:hAnsi="Times New Roman" w:cs="Times New Roman"/>
          <w:color w:val="000000"/>
          <w:sz w:val="16"/>
          <w:szCs w:val="16"/>
        </w:rPr>
        <w:t xml:space="preserve"> 204 (“Week 1 interview, Week 2 Type B/C”), 206 (“Week 1 Type A, Week 2 interview”), 207 (“Week 1 Type B/C, Week 2 interview”), and 210 (“Type A one week, Type B/C the other week”). </w:t>
      </w:r>
      <w:r>
        <w:rPr>
          <w:rFonts w:ascii="Times New Roman" w:hAnsi="Times New Roman" w:cs="Times New Roman"/>
          <w:color w:val="000000"/>
          <w:sz w:val="16"/>
          <w:szCs w:val="16"/>
        </w:rPr>
        <w:t xml:space="preserve">(Codes 204, 207, and 210 were removed from the system with changes made at Census in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C3274"/>
    <w:multiLevelType w:val="hybridMultilevel"/>
    <w:tmpl w:val="2DD82958"/>
    <w:lvl w:ilvl="0" w:tplc="7C4CF58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90095B"/>
    <w:multiLevelType w:val="hybridMultilevel"/>
    <w:tmpl w:val="E20A22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1D"/>
    <w:rsid w:val="00012106"/>
    <w:rsid w:val="00037947"/>
    <w:rsid w:val="000425BB"/>
    <w:rsid w:val="000440F9"/>
    <w:rsid w:val="00050164"/>
    <w:rsid w:val="000530B8"/>
    <w:rsid w:val="00061948"/>
    <w:rsid w:val="00062036"/>
    <w:rsid w:val="0006663B"/>
    <w:rsid w:val="00081740"/>
    <w:rsid w:val="000949FD"/>
    <w:rsid w:val="000D4CE6"/>
    <w:rsid w:val="000F5D94"/>
    <w:rsid w:val="00102198"/>
    <w:rsid w:val="00110AAC"/>
    <w:rsid w:val="00120933"/>
    <w:rsid w:val="0012618C"/>
    <w:rsid w:val="001539BA"/>
    <w:rsid w:val="00155D2A"/>
    <w:rsid w:val="00164261"/>
    <w:rsid w:val="00167006"/>
    <w:rsid w:val="00173705"/>
    <w:rsid w:val="0017791D"/>
    <w:rsid w:val="00185548"/>
    <w:rsid w:val="00192CBB"/>
    <w:rsid w:val="001A3A5B"/>
    <w:rsid w:val="001D5010"/>
    <w:rsid w:val="002105FF"/>
    <w:rsid w:val="002141C5"/>
    <w:rsid w:val="00226B75"/>
    <w:rsid w:val="002322AC"/>
    <w:rsid w:val="00251B0F"/>
    <w:rsid w:val="002578FB"/>
    <w:rsid w:val="0027282B"/>
    <w:rsid w:val="00273F4F"/>
    <w:rsid w:val="00274DB8"/>
    <w:rsid w:val="00286A95"/>
    <w:rsid w:val="0029236E"/>
    <w:rsid w:val="002D2AE0"/>
    <w:rsid w:val="002E5AC0"/>
    <w:rsid w:val="002E7CA1"/>
    <w:rsid w:val="002F015F"/>
    <w:rsid w:val="002F0C94"/>
    <w:rsid w:val="002F2D56"/>
    <w:rsid w:val="00310C92"/>
    <w:rsid w:val="00310DEC"/>
    <w:rsid w:val="00312520"/>
    <w:rsid w:val="00320997"/>
    <w:rsid w:val="00334B85"/>
    <w:rsid w:val="0034026D"/>
    <w:rsid w:val="00341896"/>
    <w:rsid w:val="003548EC"/>
    <w:rsid w:val="00355CE6"/>
    <w:rsid w:val="00366E5E"/>
    <w:rsid w:val="003702CB"/>
    <w:rsid w:val="00372360"/>
    <w:rsid w:val="0037473D"/>
    <w:rsid w:val="00384E15"/>
    <w:rsid w:val="003B3C2A"/>
    <w:rsid w:val="003B5F19"/>
    <w:rsid w:val="003C1EC2"/>
    <w:rsid w:val="003C24C9"/>
    <w:rsid w:val="003C4AD6"/>
    <w:rsid w:val="003D0C09"/>
    <w:rsid w:val="003E026A"/>
    <w:rsid w:val="003E40E4"/>
    <w:rsid w:val="003E621C"/>
    <w:rsid w:val="003E766D"/>
    <w:rsid w:val="003F1526"/>
    <w:rsid w:val="003F1568"/>
    <w:rsid w:val="00413CB3"/>
    <w:rsid w:val="004346CF"/>
    <w:rsid w:val="00434CAB"/>
    <w:rsid w:val="00435BAF"/>
    <w:rsid w:val="0044423F"/>
    <w:rsid w:val="00461613"/>
    <w:rsid w:val="00464B38"/>
    <w:rsid w:val="00480096"/>
    <w:rsid w:val="00482BD0"/>
    <w:rsid w:val="00490C83"/>
    <w:rsid w:val="00492D98"/>
    <w:rsid w:val="004A302F"/>
    <w:rsid w:val="004B2707"/>
    <w:rsid w:val="004B52CD"/>
    <w:rsid w:val="004D08B3"/>
    <w:rsid w:val="004E20AD"/>
    <w:rsid w:val="004E69DF"/>
    <w:rsid w:val="004F4D1F"/>
    <w:rsid w:val="004F5779"/>
    <w:rsid w:val="004F7082"/>
    <w:rsid w:val="00506C2D"/>
    <w:rsid w:val="005200EC"/>
    <w:rsid w:val="005213D5"/>
    <w:rsid w:val="00523948"/>
    <w:rsid w:val="00564897"/>
    <w:rsid w:val="00565CFA"/>
    <w:rsid w:val="00567E19"/>
    <w:rsid w:val="005827A9"/>
    <w:rsid w:val="005864AA"/>
    <w:rsid w:val="00597E63"/>
    <w:rsid w:val="005A280B"/>
    <w:rsid w:val="005B6817"/>
    <w:rsid w:val="005C641B"/>
    <w:rsid w:val="005C700A"/>
    <w:rsid w:val="005D0A83"/>
    <w:rsid w:val="005D1730"/>
    <w:rsid w:val="005D2BAE"/>
    <w:rsid w:val="005E20E8"/>
    <w:rsid w:val="005E2FFB"/>
    <w:rsid w:val="00602375"/>
    <w:rsid w:val="0061290C"/>
    <w:rsid w:val="00616DD8"/>
    <w:rsid w:val="00633033"/>
    <w:rsid w:val="00642186"/>
    <w:rsid w:val="0064504E"/>
    <w:rsid w:val="006462E9"/>
    <w:rsid w:val="00646915"/>
    <w:rsid w:val="0065710F"/>
    <w:rsid w:val="00665D0B"/>
    <w:rsid w:val="006825A2"/>
    <w:rsid w:val="006A72FB"/>
    <w:rsid w:val="006B0171"/>
    <w:rsid w:val="006B0B15"/>
    <w:rsid w:val="006B4B32"/>
    <w:rsid w:val="006C02C2"/>
    <w:rsid w:val="006D5A86"/>
    <w:rsid w:val="006E0307"/>
    <w:rsid w:val="006F6FBB"/>
    <w:rsid w:val="007008BB"/>
    <w:rsid w:val="00710287"/>
    <w:rsid w:val="00710A20"/>
    <w:rsid w:val="007201F3"/>
    <w:rsid w:val="00731B54"/>
    <w:rsid w:val="00732715"/>
    <w:rsid w:val="007441A6"/>
    <w:rsid w:val="00754815"/>
    <w:rsid w:val="00755A7A"/>
    <w:rsid w:val="00775E8F"/>
    <w:rsid w:val="00782E0B"/>
    <w:rsid w:val="007932A0"/>
    <w:rsid w:val="007A1F81"/>
    <w:rsid w:val="007B6659"/>
    <w:rsid w:val="007C4996"/>
    <w:rsid w:val="007C6017"/>
    <w:rsid w:val="007D70F8"/>
    <w:rsid w:val="007E1960"/>
    <w:rsid w:val="007F4D8D"/>
    <w:rsid w:val="00803DB3"/>
    <w:rsid w:val="00804956"/>
    <w:rsid w:val="008054C5"/>
    <w:rsid w:val="008138D8"/>
    <w:rsid w:val="00813FFF"/>
    <w:rsid w:val="00825140"/>
    <w:rsid w:val="00844291"/>
    <w:rsid w:val="008562FA"/>
    <w:rsid w:val="00860284"/>
    <w:rsid w:val="00866F5D"/>
    <w:rsid w:val="008863E9"/>
    <w:rsid w:val="00891983"/>
    <w:rsid w:val="00897FF8"/>
    <w:rsid w:val="008A11E7"/>
    <w:rsid w:val="008A51AE"/>
    <w:rsid w:val="008D2283"/>
    <w:rsid w:val="008F548D"/>
    <w:rsid w:val="0090140E"/>
    <w:rsid w:val="009043E2"/>
    <w:rsid w:val="00906FB4"/>
    <w:rsid w:val="009105A0"/>
    <w:rsid w:val="00916975"/>
    <w:rsid w:val="00921121"/>
    <w:rsid w:val="00921408"/>
    <w:rsid w:val="00934C62"/>
    <w:rsid w:val="00937BB9"/>
    <w:rsid w:val="00943552"/>
    <w:rsid w:val="00945BFC"/>
    <w:rsid w:val="009558A0"/>
    <w:rsid w:val="00956FDC"/>
    <w:rsid w:val="009639A9"/>
    <w:rsid w:val="009667C5"/>
    <w:rsid w:val="00971CA8"/>
    <w:rsid w:val="00972685"/>
    <w:rsid w:val="00972790"/>
    <w:rsid w:val="0097711D"/>
    <w:rsid w:val="00987E96"/>
    <w:rsid w:val="009A35A3"/>
    <w:rsid w:val="009A3AD6"/>
    <w:rsid w:val="009C545E"/>
    <w:rsid w:val="009C7540"/>
    <w:rsid w:val="009D0865"/>
    <w:rsid w:val="009D1566"/>
    <w:rsid w:val="009D56E3"/>
    <w:rsid w:val="009D5878"/>
    <w:rsid w:val="009E220E"/>
    <w:rsid w:val="009E2D55"/>
    <w:rsid w:val="00A01161"/>
    <w:rsid w:val="00A11AD7"/>
    <w:rsid w:val="00A4207D"/>
    <w:rsid w:val="00A46E19"/>
    <w:rsid w:val="00A47383"/>
    <w:rsid w:val="00A7665A"/>
    <w:rsid w:val="00A93BAC"/>
    <w:rsid w:val="00A953EE"/>
    <w:rsid w:val="00AA45E9"/>
    <w:rsid w:val="00AA673C"/>
    <w:rsid w:val="00AB65E9"/>
    <w:rsid w:val="00AC2AEA"/>
    <w:rsid w:val="00AD74BC"/>
    <w:rsid w:val="00AE323D"/>
    <w:rsid w:val="00AE3493"/>
    <w:rsid w:val="00B04D1D"/>
    <w:rsid w:val="00B10E1C"/>
    <w:rsid w:val="00B12166"/>
    <w:rsid w:val="00B359C3"/>
    <w:rsid w:val="00B377A0"/>
    <w:rsid w:val="00B47846"/>
    <w:rsid w:val="00B511E2"/>
    <w:rsid w:val="00B5527D"/>
    <w:rsid w:val="00B6585A"/>
    <w:rsid w:val="00B775B2"/>
    <w:rsid w:val="00BA54D5"/>
    <w:rsid w:val="00BA794F"/>
    <w:rsid w:val="00BA7E1F"/>
    <w:rsid w:val="00BC0DF1"/>
    <w:rsid w:val="00BD703D"/>
    <w:rsid w:val="00BF3858"/>
    <w:rsid w:val="00BF58D7"/>
    <w:rsid w:val="00C023CD"/>
    <w:rsid w:val="00C04E96"/>
    <w:rsid w:val="00C116B1"/>
    <w:rsid w:val="00C20546"/>
    <w:rsid w:val="00C238EE"/>
    <w:rsid w:val="00C33AE3"/>
    <w:rsid w:val="00C457D6"/>
    <w:rsid w:val="00C5733C"/>
    <w:rsid w:val="00C57AFD"/>
    <w:rsid w:val="00C73DBA"/>
    <w:rsid w:val="00C83DA0"/>
    <w:rsid w:val="00C90B9E"/>
    <w:rsid w:val="00C95879"/>
    <w:rsid w:val="00C95BB4"/>
    <w:rsid w:val="00CB09A6"/>
    <w:rsid w:val="00CB3D63"/>
    <w:rsid w:val="00CE0B5E"/>
    <w:rsid w:val="00CE4D74"/>
    <w:rsid w:val="00D10FC6"/>
    <w:rsid w:val="00D16C88"/>
    <w:rsid w:val="00D170A2"/>
    <w:rsid w:val="00D215BE"/>
    <w:rsid w:val="00D2710B"/>
    <w:rsid w:val="00D30781"/>
    <w:rsid w:val="00D46CBE"/>
    <w:rsid w:val="00D64B1D"/>
    <w:rsid w:val="00D81418"/>
    <w:rsid w:val="00D864B7"/>
    <w:rsid w:val="00DC0A87"/>
    <w:rsid w:val="00DC510B"/>
    <w:rsid w:val="00DD0BC3"/>
    <w:rsid w:val="00DD13A8"/>
    <w:rsid w:val="00DD2D1B"/>
    <w:rsid w:val="00DD31C6"/>
    <w:rsid w:val="00DF451C"/>
    <w:rsid w:val="00E01F99"/>
    <w:rsid w:val="00E24FD5"/>
    <w:rsid w:val="00E420A1"/>
    <w:rsid w:val="00E43060"/>
    <w:rsid w:val="00E51D05"/>
    <w:rsid w:val="00E723C4"/>
    <w:rsid w:val="00E87E9F"/>
    <w:rsid w:val="00E92595"/>
    <w:rsid w:val="00EA335B"/>
    <w:rsid w:val="00EB1DCF"/>
    <w:rsid w:val="00EC1217"/>
    <w:rsid w:val="00ED1F6A"/>
    <w:rsid w:val="00ED2E21"/>
    <w:rsid w:val="00ED3721"/>
    <w:rsid w:val="00ED6275"/>
    <w:rsid w:val="00EE13B9"/>
    <w:rsid w:val="00EE6D7C"/>
    <w:rsid w:val="00EF1FF1"/>
    <w:rsid w:val="00EF2BFE"/>
    <w:rsid w:val="00F00AA9"/>
    <w:rsid w:val="00F204D3"/>
    <w:rsid w:val="00F20F49"/>
    <w:rsid w:val="00F27F4B"/>
    <w:rsid w:val="00F30AAB"/>
    <w:rsid w:val="00F45FB3"/>
    <w:rsid w:val="00F4759D"/>
    <w:rsid w:val="00F53668"/>
    <w:rsid w:val="00F61651"/>
    <w:rsid w:val="00F71D4F"/>
    <w:rsid w:val="00F95D81"/>
    <w:rsid w:val="00FA0F6A"/>
    <w:rsid w:val="00FA4ED8"/>
    <w:rsid w:val="00FB08C7"/>
    <w:rsid w:val="00FE1D2F"/>
    <w:rsid w:val="00FF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hapeDefaults>
    <o:shapedefaults v:ext="edit" spidmax="1030"/>
    <o:shapelayout v:ext="edit">
      <o:idmap v:ext="edit" data="1"/>
    </o:shapelayout>
  </w:shapeDefaults>
  <w:decimalSymbol w:val="."/>
  <w:listSeparator w:val=","/>
  <w15:chartTrackingRefBased/>
  <w15:docId w15:val="{7D5A324C-B68C-4EFE-AB00-AAB3CBB0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A20"/>
    <w:pPr>
      <w:keepLine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4B1D"/>
    <w:pPr>
      <w:spacing w:after="0" w:line="240" w:lineRule="auto"/>
    </w:pPr>
    <w:rPr>
      <w:sz w:val="20"/>
      <w:szCs w:val="20"/>
    </w:rPr>
  </w:style>
  <w:style w:type="character" w:customStyle="1" w:styleId="FootnoteTextChar">
    <w:name w:val="Footnote Text Char"/>
    <w:basedOn w:val="DefaultParagraphFont"/>
    <w:link w:val="FootnoteText"/>
    <w:uiPriority w:val="99"/>
    <w:rsid w:val="00D64B1D"/>
    <w:rPr>
      <w:sz w:val="20"/>
      <w:szCs w:val="20"/>
    </w:rPr>
  </w:style>
  <w:style w:type="character" w:styleId="FootnoteReference">
    <w:name w:val="footnote reference"/>
    <w:basedOn w:val="DefaultParagraphFont"/>
    <w:uiPriority w:val="99"/>
    <w:semiHidden/>
    <w:unhideWhenUsed/>
    <w:rsid w:val="00D64B1D"/>
    <w:rPr>
      <w:vertAlign w:val="superscript"/>
    </w:rPr>
  </w:style>
  <w:style w:type="paragraph" w:styleId="ListParagraph">
    <w:name w:val="List Paragraph"/>
    <w:basedOn w:val="Normal"/>
    <w:uiPriority w:val="34"/>
    <w:qFormat/>
    <w:rsid w:val="00D64B1D"/>
    <w:pPr>
      <w:ind w:left="720"/>
      <w:contextualSpacing/>
    </w:pPr>
  </w:style>
  <w:style w:type="paragraph" w:styleId="BalloonText">
    <w:name w:val="Balloon Text"/>
    <w:basedOn w:val="Normal"/>
    <w:link w:val="BalloonTextChar"/>
    <w:uiPriority w:val="99"/>
    <w:semiHidden/>
    <w:unhideWhenUsed/>
    <w:rsid w:val="00D6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1D"/>
    <w:rPr>
      <w:rFonts w:ascii="Segoe UI" w:hAnsi="Segoe UI" w:cs="Segoe UI"/>
      <w:sz w:val="18"/>
      <w:szCs w:val="18"/>
    </w:rPr>
  </w:style>
  <w:style w:type="paragraph" w:styleId="Header">
    <w:name w:val="header"/>
    <w:basedOn w:val="Normal"/>
    <w:link w:val="HeaderChar"/>
    <w:uiPriority w:val="99"/>
    <w:unhideWhenUsed/>
    <w:rsid w:val="00D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1D"/>
  </w:style>
  <w:style w:type="character" w:styleId="Hyperlink">
    <w:name w:val="Hyperlink"/>
    <w:basedOn w:val="DefaultParagraphFont"/>
    <w:uiPriority w:val="99"/>
    <w:unhideWhenUsed/>
    <w:rsid w:val="00D64B1D"/>
    <w:rPr>
      <w:color w:val="0563C1" w:themeColor="hyperlink"/>
      <w:u w:val="single"/>
    </w:rPr>
  </w:style>
  <w:style w:type="character" w:styleId="FollowedHyperlink">
    <w:name w:val="FollowedHyperlink"/>
    <w:basedOn w:val="DefaultParagraphFont"/>
    <w:uiPriority w:val="99"/>
    <w:semiHidden/>
    <w:unhideWhenUsed/>
    <w:rsid w:val="00D64B1D"/>
    <w:rPr>
      <w:color w:val="954F72" w:themeColor="followedHyperlink"/>
      <w:u w:val="single"/>
    </w:rPr>
  </w:style>
  <w:style w:type="character" w:styleId="PlaceholderText">
    <w:name w:val="Placeholder Text"/>
    <w:basedOn w:val="DefaultParagraphFont"/>
    <w:uiPriority w:val="99"/>
    <w:semiHidden/>
    <w:rsid w:val="00D64B1D"/>
    <w:rPr>
      <w:color w:val="808080"/>
    </w:rPr>
  </w:style>
  <w:style w:type="paragraph" w:styleId="NormalWeb">
    <w:name w:val="Normal (Web)"/>
    <w:basedOn w:val="Normal"/>
    <w:uiPriority w:val="99"/>
    <w:unhideWhenUsed/>
    <w:rsid w:val="00D64B1D"/>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D64B1D"/>
    <w:rPr>
      <w:b/>
      <w:bCs/>
    </w:rPr>
  </w:style>
  <w:style w:type="paragraph" w:styleId="EndnoteText">
    <w:name w:val="endnote text"/>
    <w:basedOn w:val="Normal"/>
    <w:link w:val="EndnoteTextChar"/>
    <w:uiPriority w:val="99"/>
    <w:semiHidden/>
    <w:unhideWhenUsed/>
    <w:rsid w:val="006B01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171"/>
    <w:rPr>
      <w:sz w:val="20"/>
      <w:szCs w:val="20"/>
    </w:rPr>
  </w:style>
  <w:style w:type="character" w:styleId="EndnoteReference">
    <w:name w:val="endnote reference"/>
    <w:basedOn w:val="DefaultParagraphFont"/>
    <w:uiPriority w:val="99"/>
    <w:semiHidden/>
    <w:unhideWhenUsed/>
    <w:rsid w:val="006B0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0986">
      <w:bodyDiv w:val="1"/>
      <w:marLeft w:val="0"/>
      <w:marRight w:val="0"/>
      <w:marTop w:val="0"/>
      <w:marBottom w:val="0"/>
      <w:divBdr>
        <w:top w:val="none" w:sz="0" w:space="0" w:color="auto"/>
        <w:left w:val="none" w:sz="0" w:space="0" w:color="auto"/>
        <w:bottom w:val="none" w:sz="0" w:space="0" w:color="auto"/>
        <w:right w:val="none" w:sz="0" w:space="0" w:color="auto"/>
      </w:divBdr>
    </w:div>
    <w:div w:id="428241572">
      <w:bodyDiv w:val="1"/>
      <w:marLeft w:val="0"/>
      <w:marRight w:val="0"/>
      <w:marTop w:val="0"/>
      <w:marBottom w:val="0"/>
      <w:divBdr>
        <w:top w:val="none" w:sz="0" w:space="0" w:color="auto"/>
        <w:left w:val="none" w:sz="0" w:space="0" w:color="auto"/>
        <w:bottom w:val="none" w:sz="0" w:space="0" w:color="auto"/>
        <w:right w:val="none" w:sz="0" w:space="0" w:color="auto"/>
      </w:divBdr>
    </w:div>
    <w:div w:id="435254629">
      <w:bodyDiv w:val="1"/>
      <w:marLeft w:val="0"/>
      <w:marRight w:val="0"/>
      <w:marTop w:val="0"/>
      <w:marBottom w:val="0"/>
      <w:divBdr>
        <w:top w:val="none" w:sz="0" w:space="0" w:color="auto"/>
        <w:left w:val="none" w:sz="0" w:space="0" w:color="auto"/>
        <w:bottom w:val="none" w:sz="0" w:space="0" w:color="auto"/>
        <w:right w:val="none" w:sz="0" w:space="0" w:color="auto"/>
      </w:divBdr>
    </w:div>
    <w:div w:id="464810778">
      <w:bodyDiv w:val="1"/>
      <w:marLeft w:val="0"/>
      <w:marRight w:val="0"/>
      <w:marTop w:val="0"/>
      <w:marBottom w:val="0"/>
      <w:divBdr>
        <w:top w:val="none" w:sz="0" w:space="0" w:color="auto"/>
        <w:left w:val="none" w:sz="0" w:space="0" w:color="auto"/>
        <w:bottom w:val="none" w:sz="0" w:space="0" w:color="auto"/>
        <w:right w:val="none" w:sz="0" w:space="0" w:color="auto"/>
      </w:divBdr>
    </w:div>
    <w:div w:id="494878156">
      <w:bodyDiv w:val="1"/>
      <w:marLeft w:val="0"/>
      <w:marRight w:val="0"/>
      <w:marTop w:val="0"/>
      <w:marBottom w:val="0"/>
      <w:divBdr>
        <w:top w:val="none" w:sz="0" w:space="0" w:color="auto"/>
        <w:left w:val="none" w:sz="0" w:space="0" w:color="auto"/>
        <w:bottom w:val="none" w:sz="0" w:space="0" w:color="auto"/>
        <w:right w:val="none" w:sz="0" w:space="0" w:color="auto"/>
      </w:divBdr>
    </w:div>
    <w:div w:id="723987630">
      <w:bodyDiv w:val="1"/>
      <w:marLeft w:val="0"/>
      <w:marRight w:val="0"/>
      <w:marTop w:val="0"/>
      <w:marBottom w:val="0"/>
      <w:divBdr>
        <w:top w:val="none" w:sz="0" w:space="0" w:color="auto"/>
        <w:left w:val="none" w:sz="0" w:space="0" w:color="auto"/>
        <w:bottom w:val="none" w:sz="0" w:space="0" w:color="auto"/>
        <w:right w:val="none" w:sz="0" w:space="0" w:color="auto"/>
      </w:divBdr>
    </w:div>
    <w:div w:id="1004210574">
      <w:bodyDiv w:val="1"/>
      <w:marLeft w:val="0"/>
      <w:marRight w:val="0"/>
      <w:marTop w:val="0"/>
      <w:marBottom w:val="0"/>
      <w:divBdr>
        <w:top w:val="none" w:sz="0" w:space="0" w:color="auto"/>
        <w:left w:val="none" w:sz="0" w:space="0" w:color="auto"/>
        <w:bottom w:val="none" w:sz="0" w:space="0" w:color="auto"/>
        <w:right w:val="none" w:sz="0" w:space="0" w:color="auto"/>
      </w:divBdr>
    </w:div>
    <w:div w:id="1348941122">
      <w:bodyDiv w:val="1"/>
      <w:marLeft w:val="0"/>
      <w:marRight w:val="0"/>
      <w:marTop w:val="0"/>
      <w:marBottom w:val="0"/>
      <w:divBdr>
        <w:top w:val="none" w:sz="0" w:space="0" w:color="auto"/>
        <w:left w:val="none" w:sz="0" w:space="0" w:color="auto"/>
        <w:bottom w:val="none" w:sz="0" w:space="0" w:color="auto"/>
        <w:right w:val="none" w:sz="0" w:space="0" w:color="auto"/>
      </w:divBdr>
    </w:div>
    <w:div w:id="1798641626">
      <w:bodyDiv w:val="1"/>
      <w:marLeft w:val="0"/>
      <w:marRight w:val="0"/>
      <w:marTop w:val="0"/>
      <w:marBottom w:val="0"/>
      <w:divBdr>
        <w:top w:val="none" w:sz="0" w:space="0" w:color="auto"/>
        <w:left w:val="none" w:sz="0" w:space="0" w:color="auto"/>
        <w:bottom w:val="none" w:sz="0" w:space="0" w:color="auto"/>
        <w:right w:val="none" w:sz="0" w:space="0" w:color="auto"/>
      </w:divBdr>
    </w:div>
    <w:div w:id="1876847063">
      <w:bodyDiv w:val="1"/>
      <w:marLeft w:val="0"/>
      <w:marRight w:val="0"/>
      <w:marTop w:val="0"/>
      <w:marBottom w:val="0"/>
      <w:divBdr>
        <w:top w:val="none" w:sz="0" w:space="0" w:color="auto"/>
        <w:left w:val="none" w:sz="0" w:space="0" w:color="auto"/>
        <w:bottom w:val="none" w:sz="0" w:space="0" w:color="auto"/>
        <w:right w:val="none" w:sz="0" w:space="0" w:color="auto"/>
      </w:divBdr>
    </w:div>
    <w:div w:id="19731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mailto:Nix.Brian@bls.gov" TargetMode="External"/><Relationship Id="rId3" Type="http://schemas.openxmlformats.org/officeDocument/2006/relationships/styles" Target="styles.xml"/><Relationship Id="rId21" Type="http://schemas.openxmlformats.org/officeDocument/2006/relationships/hyperlink" Target="mailto:Nix.Brian@bls.gov"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mailto:Adam.J.Galemore@census.gov" TargetMode="External"/><Relationship Id="rId2" Type="http://schemas.openxmlformats.org/officeDocument/2006/relationships/numbering" Target="numbering.xml"/><Relationship Id="rId16" Type="http://schemas.openxmlformats.org/officeDocument/2006/relationships/hyperlink" Target="mailto:michael.bagley@census.gov" TargetMode="External"/><Relationship Id="rId20" Type="http://schemas.openxmlformats.org/officeDocument/2006/relationships/hyperlink" Target="mailto:Adam.J.Galemore@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cex/research_papers/pdf/Recommendation-Regarding-the-Use-of-a-CE-Bounding-Interview.pdf"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s://www.bls.gov/cex/anthology08/csxanth6.pdf" TargetMode="External"/><Relationship Id="rId19" Type="http://schemas.openxmlformats.org/officeDocument/2006/relationships/hyperlink" Target="mailto:Patricia.M.Holley@censu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r5\cifs.homedir\Documents\Comparing%20Response%20Ra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r5\cifs.homedir\Documents\Comparing%20Response%20Rates%20(Annual%20Summa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r5\cifs.homedir\Documents\Comparing%20Response%20Rat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r5\cifs.homedir\Documents\Comparing%20Response%20Rates%20(Annual%20Summar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CEQ Monthly Response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'CEQ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Charts'!$B$2:$B$97</c:f>
              <c:numCache>
                <c:formatCode>0.00</c:formatCode>
                <c:ptCount val="96"/>
                <c:pt idx="0">
                  <c:v>75.554450000000003</c:v>
                </c:pt>
                <c:pt idx="1">
                  <c:v>74.092370000000003</c:v>
                </c:pt>
                <c:pt idx="2">
                  <c:v>75.497020000000006</c:v>
                </c:pt>
                <c:pt idx="3">
                  <c:v>74.852069999999998</c:v>
                </c:pt>
                <c:pt idx="4">
                  <c:v>73.476519999999994</c:v>
                </c:pt>
                <c:pt idx="5">
                  <c:v>74.742400000000004</c:v>
                </c:pt>
                <c:pt idx="6">
                  <c:v>72.53716</c:v>
                </c:pt>
                <c:pt idx="7">
                  <c:v>74.136200000000002</c:v>
                </c:pt>
                <c:pt idx="8">
                  <c:v>74.001999999999995</c:v>
                </c:pt>
                <c:pt idx="9">
                  <c:v>72.633899999999997</c:v>
                </c:pt>
                <c:pt idx="10">
                  <c:v>73.152889999999999</c:v>
                </c:pt>
                <c:pt idx="11">
                  <c:v>71.29128</c:v>
                </c:pt>
                <c:pt idx="12">
                  <c:v>71.746189999999999</c:v>
                </c:pt>
                <c:pt idx="13">
                  <c:v>71.70044</c:v>
                </c:pt>
                <c:pt idx="14">
                  <c:v>72.338849999999994</c:v>
                </c:pt>
                <c:pt idx="15">
                  <c:v>71.258669999999995</c:v>
                </c:pt>
                <c:pt idx="16">
                  <c:v>72.220830000000007</c:v>
                </c:pt>
                <c:pt idx="17">
                  <c:v>70.961200000000005</c:v>
                </c:pt>
                <c:pt idx="18">
                  <c:v>70.741579999999999</c:v>
                </c:pt>
                <c:pt idx="19">
                  <c:v>72.021249999999995</c:v>
                </c:pt>
                <c:pt idx="20">
                  <c:v>70.888319999999993</c:v>
                </c:pt>
                <c:pt idx="21">
                  <c:v>71.816389999999998</c:v>
                </c:pt>
                <c:pt idx="22">
                  <c:v>71.524500000000003</c:v>
                </c:pt>
                <c:pt idx="23">
                  <c:v>70.674999999999997</c:v>
                </c:pt>
                <c:pt idx="24">
                  <c:v>71.293999999999997</c:v>
                </c:pt>
                <c:pt idx="25">
                  <c:v>71.829599999999999</c:v>
                </c:pt>
                <c:pt idx="26">
                  <c:v>70.552909999999997</c:v>
                </c:pt>
                <c:pt idx="27">
                  <c:v>71.435569999999998</c:v>
                </c:pt>
                <c:pt idx="28">
                  <c:v>70.784310000000005</c:v>
                </c:pt>
                <c:pt idx="29">
                  <c:v>68.624459999999999</c:v>
                </c:pt>
                <c:pt idx="30">
                  <c:v>69.200100000000006</c:v>
                </c:pt>
                <c:pt idx="31">
                  <c:v>70.231859999999998</c:v>
                </c:pt>
                <c:pt idx="32">
                  <c:v>68.012799999999999</c:v>
                </c:pt>
                <c:pt idx="33">
                  <c:v>71.303290000000004</c:v>
                </c:pt>
                <c:pt idx="34">
                  <c:v>70.718639999999994</c:v>
                </c:pt>
                <c:pt idx="35">
                  <c:v>66.341229999999996</c:v>
                </c:pt>
                <c:pt idx="36">
                  <c:v>69.863349999999997</c:v>
                </c:pt>
                <c:pt idx="37">
                  <c:v>69.768010000000004</c:v>
                </c:pt>
                <c:pt idx="38">
                  <c:v>67.596410000000006</c:v>
                </c:pt>
                <c:pt idx="39">
                  <c:v>69.460639999999998</c:v>
                </c:pt>
                <c:pt idx="40">
                  <c:v>70.524770000000004</c:v>
                </c:pt>
                <c:pt idx="41">
                  <c:v>67.922659999999993</c:v>
                </c:pt>
                <c:pt idx="42">
                  <c:v>69.434719999999999</c:v>
                </c:pt>
                <c:pt idx="43">
                  <c:v>68.528679999999994</c:v>
                </c:pt>
                <c:pt idx="44">
                  <c:v>66.093789999999998</c:v>
                </c:pt>
                <c:pt idx="45">
                  <c:v>56.362749999999998</c:v>
                </c:pt>
                <c:pt idx="46">
                  <c:v>65.664709999999999</c:v>
                </c:pt>
                <c:pt idx="47">
                  <c:v>64.008780000000002</c:v>
                </c:pt>
                <c:pt idx="48">
                  <c:v>66.995069999999998</c:v>
                </c:pt>
                <c:pt idx="49">
                  <c:v>66.967770000000002</c:v>
                </c:pt>
                <c:pt idx="50">
                  <c:v>67.343440000000001</c:v>
                </c:pt>
                <c:pt idx="51">
                  <c:v>68.157250000000005</c:v>
                </c:pt>
                <c:pt idx="52">
                  <c:v>68.934179999999998</c:v>
                </c:pt>
                <c:pt idx="53">
                  <c:v>67.175380000000004</c:v>
                </c:pt>
                <c:pt idx="54">
                  <c:v>68.24324</c:v>
                </c:pt>
                <c:pt idx="55">
                  <c:v>68.635689999999997</c:v>
                </c:pt>
                <c:pt idx="56">
                  <c:v>66.453360000000004</c:v>
                </c:pt>
                <c:pt idx="57">
                  <c:v>68.757630000000006</c:v>
                </c:pt>
                <c:pt idx="58">
                  <c:v>66.361890000000002</c:v>
                </c:pt>
                <c:pt idx="59">
                  <c:v>63.278770000000002</c:v>
                </c:pt>
                <c:pt idx="60">
                  <c:v>65.628780000000006</c:v>
                </c:pt>
                <c:pt idx="61">
                  <c:v>63.802320000000002</c:v>
                </c:pt>
                <c:pt idx="62">
                  <c:v>64.293729999999996</c:v>
                </c:pt>
                <c:pt idx="63">
                  <c:v>67.926209999999998</c:v>
                </c:pt>
                <c:pt idx="64">
                  <c:v>65.144729999999996</c:v>
                </c:pt>
                <c:pt idx="65">
                  <c:v>63.692689999999999</c:v>
                </c:pt>
                <c:pt idx="66">
                  <c:v>65.911119999999997</c:v>
                </c:pt>
                <c:pt idx="67">
                  <c:v>65.73321</c:v>
                </c:pt>
                <c:pt idx="68">
                  <c:v>62.988570000000003</c:v>
                </c:pt>
                <c:pt idx="69">
                  <c:v>63.147060000000003</c:v>
                </c:pt>
                <c:pt idx="70">
                  <c:v>63.75779</c:v>
                </c:pt>
                <c:pt idx="71">
                  <c:v>61.776060000000001</c:v>
                </c:pt>
                <c:pt idx="72">
                  <c:v>63.737879999999997</c:v>
                </c:pt>
                <c:pt idx="73">
                  <c:v>63.752980000000001</c:v>
                </c:pt>
                <c:pt idx="74">
                  <c:v>63.082859999999997</c:v>
                </c:pt>
                <c:pt idx="75">
                  <c:v>63.952800000000003</c:v>
                </c:pt>
                <c:pt idx="76">
                  <c:v>61.86365</c:v>
                </c:pt>
                <c:pt idx="77">
                  <c:v>62.604289999999999</c:v>
                </c:pt>
                <c:pt idx="78">
                  <c:v>63.259259999999998</c:v>
                </c:pt>
                <c:pt idx="79">
                  <c:v>64.185910000000007</c:v>
                </c:pt>
                <c:pt idx="80">
                  <c:v>62.477559999999997</c:v>
                </c:pt>
                <c:pt idx="81">
                  <c:v>62.371290000000002</c:v>
                </c:pt>
                <c:pt idx="82">
                  <c:v>63.044130000000003</c:v>
                </c:pt>
                <c:pt idx="83">
                  <c:v>61.577080000000002</c:v>
                </c:pt>
                <c:pt idx="84">
                  <c:v>61.395760000000003</c:v>
                </c:pt>
                <c:pt idx="85">
                  <c:v>60.675840000000001</c:v>
                </c:pt>
                <c:pt idx="86">
                  <c:v>62.092469999999999</c:v>
                </c:pt>
                <c:pt idx="87">
                  <c:v>64.279420000000002</c:v>
                </c:pt>
                <c:pt idx="88">
                  <c:v>61.626162616261624</c:v>
                </c:pt>
                <c:pt idx="89">
                  <c:v>61.42344497607656</c:v>
                </c:pt>
                <c:pt idx="90">
                  <c:v>61.529162889090358</c:v>
                </c:pt>
                <c:pt idx="91">
                  <c:v>62.579860054761184</c:v>
                </c:pt>
                <c:pt idx="92">
                  <c:v>60.05353955978584</c:v>
                </c:pt>
                <c:pt idx="93">
                  <c:v>60.394265232974909</c:v>
                </c:pt>
                <c:pt idx="94">
                  <c:v>60.24131842260153</c:v>
                </c:pt>
                <c:pt idx="95">
                  <c:v>57.466863033873338</c:v>
                </c:pt>
              </c:numCache>
            </c:numRef>
          </c:val>
          <c:smooth val="0"/>
        </c:ser>
        <c:ser>
          <c:idx val="1"/>
          <c:order val="1"/>
          <c:tx>
            <c:strRef>
              <c:f>'CEQ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Charts'!$C$2:$C$97</c:f>
              <c:numCache>
                <c:formatCode>0.00</c:formatCode>
                <c:ptCount val="96"/>
                <c:pt idx="0">
                  <c:v>75.554450000000003</c:v>
                </c:pt>
                <c:pt idx="1">
                  <c:v>74.092370000000003</c:v>
                </c:pt>
                <c:pt idx="2">
                  <c:v>75.490930000000006</c:v>
                </c:pt>
                <c:pt idx="3">
                  <c:v>74.852069999999998</c:v>
                </c:pt>
                <c:pt idx="4">
                  <c:v>73.476519999999994</c:v>
                </c:pt>
                <c:pt idx="5">
                  <c:v>74.742400000000004</c:v>
                </c:pt>
                <c:pt idx="6">
                  <c:v>72.53716</c:v>
                </c:pt>
                <c:pt idx="7">
                  <c:v>74.136200000000002</c:v>
                </c:pt>
                <c:pt idx="8">
                  <c:v>74.001999999999995</c:v>
                </c:pt>
                <c:pt idx="9">
                  <c:v>72.633899999999997</c:v>
                </c:pt>
                <c:pt idx="10">
                  <c:v>73.152889999999999</c:v>
                </c:pt>
                <c:pt idx="11">
                  <c:v>71.29128</c:v>
                </c:pt>
                <c:pt idx="12">
                  <c:v>71.746189999999999</c:v>
                </c:pt>
                <c:pt idx="13">
                  <c:v>71.70044</c:v>
                </c:pt>
                <c:pt idx="14">
                  <c:v>72.338849999999994</c:v>
                </c:pt>
                <c:pt idx="15">
                  <c:v>71.258669999999995</c:v>
                </c:pt>
                <c:pt idx="16">
                  <c:v>72.220830000000007</c:v>
                </c:pt>
                <c:pt idx="17">
                  <c:v>70.961200000000005</c:v>
                </c:pt>
                <c:pt idx="18">
                  <c:v>70.741579999999999</c:v>
                </c:pt>
                <c:pt idx="19">
                  <c:v>72.021249999999995</c:v>
                </c:pt>
                <c:pt idx="20">
                  <c:v>70.888319999999993</c:v>
                </c:pt>
                <c:pt idx="21">
                  <c:v>71.816389999999998</c:v>
                </c:pt>
                <c:pt idx="22">
                  <c:v>71.524500000000003</c:v>
                </c:pt>
                <c:pt idx="23">
                  <c:v>70.674999999999997</c:v>
                </c:pt>
                <c:pt idx="24">
                  <c:v>71.293999999999997</c:v>
                </c:pt>
                <c:pt idx="25">
                  <c:v>71.829599999999999</c:v>
                </c:pt>
                <c:pt idx="26">
                  <c:v>70.552909999999997</c:v>
                </c:pt>
                <c:pt idx="27">
                  <c:v>71.435569999999998</c:v>
                </c:pt>
                <c:pt idx="28">
                  <c:v>70.784310000000005</c:v>
                </c:pt>
                <c:pt idx="29">
                  <c:v>68.624459999999999</c:v>
                </c:pt>
                <c:pt idx="30">
                  <c:v>69.200100000000006</c:v>
                </c:pt>
                <c:pt idx="31">
                  <c:v>70.231859999999998</c:v>
                </c:pt>
                <c:pt idx="32">
                  <c:v>68.012799999999999</c:v>
                </c:pt>
                <c:pt idx="33">
                  <c:v>71.303290000000004</c:v>
                </c:pt>
                <c:pt idx="34">
                  <c:v>70.718639999999994</c:v>
                </c:pt>
                <c:pt idx="35">
                  <c:v>66.341229999999996</c:v>
                </c:pt>
                <c:pt idx="36">
                  <c:v>69.863349999999997</c:v>
                </c:pt>
                <c:pt idx="37">
                  <c:v>69.768010000000004</c:v>
                </c:pt>
                <c:pt idx="38">
                  <c:v>67.596410000000006</c:v>
                </c:pt>
                <c:pt idx="39">
                  <c:v>69.460639999999998</c:v>
                </c:pt>
                <c:pt idx="40">
                  <c:v>70.524770000000004</c:v>
                </c:pt>
                <c:pt idx="41">
                  <c:v>67.922659999999993</c:v>
                </c:pt>
                <c:pt idx="42">
                  <c:v>69.434719999999999</c:v>
                </c:pt>
                <c:pt idx="43">
                  <c:v>68.528679999999994</c:v>
                </c:pt>
                <c:pt idx="44">
                  <c:v>66.093789999999998</c:v>
                </c:pt>
                <c:pt idx="45">
                  <c:v>56.362749999999998</c:v>
                </c:pt>
                <c:pt idx="46">
                  <c:v>65.664709999999999</c:v>
                </c:pt>
                <c:pt idx="47">
                  <c:v>64.008780000000002</c:v>
                </c:pt>
                <c:pt idx="48">
                  <c:v>66.995069999999998</c:v>
                </c:pt>
                <c:pt idx="49">
                  <c:v>66.967770000000002</c:v>
                </c:pt>
                <c:pt idx="50">
                  <c:v>67.343440000000001</c:v>
                </c:pt>
                <c:pt idx="51">
                  <c:v>68.157250000000005</c:v>
                </c:pt>
                <c:pt idx="52">
                  <c:v>68.934179999999998</c:v>
                </c:pt>
                <c:pt idx="53">
                  <c:v>67.175380000000004</c:v>
                </c:pt>
                <c:pt idx="54">
                  <c:v>68.24324</c:v>
                </c:pt>
                <c:pt idx="55">
                  <c:v>68.635689999999997</c:v>
                </c:pt>
                <c:pt idx="56">
                  <c:v>66.453360000000004</c:v>
                </c:pt>
                <c:pt idx="57">
                  <c:v>68.757630000000006</c:v>
                </c:pt>
                <c:pt idx="58">
                  <c:v>66.361890000000002</c:v>
                </c:pt>
                <c:pt idx="59">
                  <c:v>63.278770000000002</c:v>
                </c:pt>
                <c:pt idx="60">
                  <c:v>65.628780000000006</c:v>
                </c:pt>
                <c:pt idx="61">
                  <c:v>63.802320000000002</c:v>
                </c:pt>
                <c:pt idx="62">
                  <c:v>64.293729999999996</c:v>
                </c:pt>
                <c:pt idx="63">
                  <c:v>67.906009999999995</c:v>
                </c:pt>
                <c:pt idx="64">
                  <c:v>65.144729999999996</c:v>
                </c:pt>
                <c:pt idx="65">
                  <c:v>63.692689999999999</c:v>
                </c:pt>
                <c:pt idx="66">
                  <c:v>65.754239999999996</c:v>
                </c:pt>
                <c:pt idx="67">
                  <c:v>65.73321</c:v>
                </c:pt>
                <c:pt idx="68">
                  <c:v>63.00752</c:v>
                </c:pt>
                <c:pt idx="69">
                  <c:v>63.147060000000003</c:v>
                </c:pt>
                <c:pt idx="70">
                  <c:v>63.75779</c:v>
                </c:pt>
                <c:pt idx="71">
                  <c:v>61.776060000000001</c:v>
                </c:pt>
                <c:pt idx="72">
                  <c:v>63.737879999999997</c:v>
                </c:pt>
                <c:pt idx="73">
                  <c:v>63.752980000000001</c:v>
                </c:pt>
                <c:pt idx="74">
                  <c:v>63.042189999999998</c:v>
                </c:pt>
                <c:pt idx="75">
                  <c:v>63.88561</c:v>
                </c:pt>
                <c:pt idx="76">
                  <c:v>61.86365</c:v>
                </c:pt>
                <c:pt idx="77">
                  <c:v>62.604289999999999</c:v>
                </c:pt>
                <c:pt idx="78">
                  <c:v>63.259259999999998</c:v>
                </c:pt>
                <c:pt idx="79">
                  <c:v>64.185910000000007</c:v>
                </c:pt>
                <c:pt idx="80">
                  <c:v>63.111109999999996</c:v>
                </c:pt>
                <c:pt idx="81">
                  <c:v>62.371290000000002</c:v>
                </c:pt>
                <c:pt idx="82">
                  <c:v>63.044130000000003</c:v>
                </c:pt>
                <c:pt idx="83">
                  <c:v>61.577080000000002</c:v>
                </c:pt>
                <c:pt idx="84">
                  <c:v>61.395760000000003</c:v>
                </c:pt>
                <c:pt idx="85">
                  <c:v>60.675840000000001</c:v>
                </c:pt>
                <c:pt idx="86">
                  <c:v>62.092469999999999</c:v>
                </c:pt>
                <c:pt idx="87">
                  <c:v>64.279420000000002</c:v>
                </c:pt>
                <c:pt idx="88">
                  <c:v>61.626159999999999</c:v>
                </c:pt>
                <c:pt idx="89">
                  <c:v>61.423445000000001</c:v>
                </c:pt>
                <c:pt idx="90">
                  <c:v>61.529162900000003</c:v>
                </c:pt>
                <c:pt idx="91">
                  <c:v>62.579860050000001</c:v>
                </c:pt>
                <c:pt idx="92">
                  <c:v>60.053539560000004</c:v>
                </c:pt>
                <c:pt idx="93">
                  <c:v>60.394265230000002</c:v>
                </c:pt>
                <c:pt idx="94">
                  <c:v>60.241318419999999</c:v>
                </c:pt>
                <c:pt idx="95">
                  <c:v>57.466863030000006</c:v>
                </c:pt>
              </c:numCache>
            </c:numRef>
          </c:val>
          <c:smooth val="0"/>
        </c:ser>
        <c:ser>
          <c:idx val="2"/>
          <c:order val="2"/>
          <c:tx>
            <c:strRef>
              <c:f>'CEQ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Charts'!$D$2:$D$97</c:f>
              <c:numCache>
                <c:formatCode>0.00</c:formatCode>
                <c:ptCount val="96"/>
                <c:pt idx="0">
                  <c:v>75.257090000000005</c:v>
                </c:pt>
                <c:pt idx="1">
                  <c:v>73.84281</c:v>
                </c:pt>
                <c:pt idx="2">
                  <c:v>74.743709999999993</c:v>
                </c:pt>
                <c:pt idx="3">
                  <c:v>74.715819999999994</c:v>
                </c:pt>
                <c:pt idx="4">
                  <c:v>73.096130000000002</c:v>
                </c:pt>
                <c:pt idx="5">
                  <c:v>74.43253</c:v>
                </c:pt>
                <c:pt idx="6">
                  <c:v>71.433059999999998</c:v>
                </c:pt>
                <c:pt idx="7">
                  <c:v>73.871070000000003</c:v>
                </c:pt>
                <c:pt idx="8">
                  <c:v>74.094539999999995</c:v>
                </c:pt>
                <c:pt idx="9">
                  <c:v>71.987769999999998</c:v>
                </c:pt>
                <c:pt idx="10">
                  <c:v>72.871049999999997</c:v>
                </c:pt>
                <c:pt idx="11">
                  <c:v>70.813990000000004</c:v>
                </c:pt>
                <c:pt idx="12">
                  <c:v>71.312749999999994</c:v>
                </c:pt>
                <c:pt idx="13">
                  <c:v>70.492310000000003</c:v>
                </c:pt>
                <c:pt idx="14">
                  <c:v>70.688059999999993</c:v>
                </c:pt>
                <c:pt idx="15">
                  <c:v>70.551569999999998</c:v>
                </c:pt>
                <c:pt idx="16">
                  <c:v>71.222570000000005</c:v>
                </c:pt>
                <c:pt idx="17">
                  <c:v>69.39873</c:v>
                </c:pt>
                <c:pt idx="18">
                  <c:v>69.316019999999995</c:v>
                </c:pt>
                <c:pt idx="19">
                  <c:v>70.82405</c:v>
                </c:pt>
                <c:pt idx="20">
                  <c:v>69.405820000000006</c:v>
                </c:pt>
                <c:pt idx="21">
                  <c:v>70.502480000000006</c:v>
                </c:pt>
                <c:pt idx="22">
                  <c:v>70.637900000000002</c:v>
                </c:pt>
                <c:pt idx="23">
                  <c:v>70.193510000000003</c:v>
                </c:pt>
                <c:pt idx="24">
                  <c:v>70.45384</c:v>
                </c:pt>
                <c:pt idx="25">
                  <c:v>71.446119999999993</c:v>
                </c:pt>
                <c:pt idx="26">
                  <c:v>69.984300000000005</c:v>
                </c:pt>
                <c:pt idx="27">
                  <c:v>71.031499999999994</c:v>
                </c:pt>
                <c:pt idx="28">
                  <c:v>70.510459999999995</c:v>
                </c:pt>
                <c:pt idx="29">
                  <c:v>67.903999999999996</c:v>
                </c:pt>
                <c:pt idx="30">
                  <c:v>69.27861</c:v>
                </c:pt>
                <c:pt idx="31">
                  <c:v>69.838809999999995</c:v>
                </c:pt>
                <c:pt idx="32">
                  <c:v>67.667789999999997</c:v>
                </c:pt>
                <c:pt idx="33">
                  <c:v>70.573939999999993</c:v>
                </c:pt>
                <c:pt idx="34">
                  <c:v>69.569199999999995</c:v>
                </c:pt>
                <c:pt idx="35">
                  <c:v>65.789469999999994</c:v>
                </c:pt>
                <c:pt idx="36">
                  <c:v>69.432580000000002</c:v>
                </c:pt>
                <c:pt idx="37">
                  <c:v>69.8626</c:v>
                </c:pt>
                <c:pt idx="38">
                  <c:v>66.939890000000005</c:v>
                </c:pt>
                <c:pt idx="39">
                  <c:v>69.633669999999995</c:v>
                </c:pt>
                <c:pt idx="40">
                  <c:v>70.027500000000003</c:v>
                </c:pt>
                <c:pt idx="41">
                  <c:v>67.307689999999994</c:v>
                </c:pt>
                <c:pt idx="42">
                  <c:v>68.198989999999995</c:v>
                </c:pt>
                <c:pt idx="43">
                  <c:v>67.567570000000003</c:v>
                </c:pt>
                <c:pt idx="44">
                  <c:v>65.722980000000007</c:v>
                </c:pt>
                <c:pt idx="45">
                  <c:v>56.270879999999998</c:v>
                </c:pt>
                <c:pt idx="46">
                  <c:v>65.681749999999994</c:v>
                </c:pt>
                <c:pt idx="47">
                  <c:v>63.855789999999999</c:v>
                </c:pt>
                <c:pt idx="48">
                  <c:v>66.011060000000001</c:v>
                </c:pt>
                <c:pt idx="49">
                  <c:v>66.001840000000001</c:v>
                </c:pt>
                <c:pt idx="50">
                  <c:v>66.82987</c:v>
                </c:pt>
                <c:pt idx="51">
                  <c:v>67.057370000000006</c:v>
                </c:pt>
                <c:pt idx="52">
                  <c:v>68.102119999999999</c:v>
                </c:pt>
                <c:pt idx="53">
                  <c:v>66.006910000000005</c:v>
                </c:pt>
                <c:pt idx="54">
                  <c:v>67.124139999999997</c:v>
                </c:pt>
                <c:pt idx="55">
                  <c:v>67.546580000000006</c:v>
                </c:pt>
                <c:pt idx="56">
                  <c:v>65.734480000000005</c:v>
                </c:pt>
                <c:pt idx="57">
                  <c:v>67.906549999999996</c:v>
                </c:pt>
                <c:pt idx="58">
                  <c:v>66.145049999999998</c:v>
                </c:pt>
                <c:pt idx="59">
                  <c:v>62.705170000000003</c:v>
                </c:pt>
                <c:pt idx="60">
                  <c:v>65.598550000000003</c:v>
                </c:pt>
                <c:pt idx="61">
                  <c:v>63.75779</c:v>
                </c:pt>
                <c:pt idx="62">
                  <c:v>64.248819999999995</c:v>
                </c:pt>
                <c:pt idx="63">
                  <c:v>67.876260000000002</c:v>
                </c:pt>
                <c:pt idx="64">
                  <c:v>65.055210000000002</c:v>
                </c:pt>
                <c:pt idx="65">
                  <c:v>63.692689999999999</c:v>
                </c:pt>
                <c:pt idx="66">
                  <c:v>65.694730000000007</c:v>
                </c:pt>
                <c:pt idx="67">
                  <c:v>65.642880000000005</c:v>
                </c:pt>
                <c:pt idx="68">
                  <c:v>62.947369999999999</c:v>
                </c:pt>
                <c:pt idx="69">
                  <c:v>63.117649999999998</c:v>
                </c:pt>
                <c:pt idx="70">
                  <c:v>63.698430000000002</c:v>
                </c:pt>
                <c:pt idx="71">
                  <c:v>61.776060000000001</c:v>
                </c:pt>
                <c:pt idx="72">
                  <c:v>63.737879999999997</c:v>
                </c:pt>
                <c:pt idx="73">
                  <c:v>63.69332</c:v>
                </c:pt>
                <c:pt idx="74">
                  <c:v>63.004750000000001</c:v>
                </c:pt>
                <c:pt idx="75">
                  <c:v>63.826650000000001</c:v>
                </c:pt>
                <c:pt idx="76">
                  <c:v>61.896239999999999</c:v>
                </c:pt>
                <c:pt idx="77">
                  <c:v>62.622950000000003</c:v>
                </c:pt>
                <c:pt idx="78">
                  <c:v>63.259259999999998</c:v>
                </c:pt>
                <c:pt idx="79">
                  <c:v>64.233580000000003</c:v>
                </c:pt>
                <c:pt idx="80">
                  <c:v>62.981619999999999</c:v>
                </c:pt>
                <c:pt idx="81">
                  <c:v>62.34187</c:v>
                </c:pt>
                <c:pt idx="82">
                  <c:v>63.044130891624135</c:v>
                </c:pt>
                <c:pt idx="83">
                  <c:v>61.524822695035461</c:v>
                </c:pt>
                <c:pt idx="84">
                  <c:v>61.36631330977621</c:v>
                </c:pt>
                <c:pt idx="85">
                  <c:v>60.693987436434341</c:v>
                </c:pt>
                <c:pt idx="86">
                  <c:v>62.092471843509188</c:v>
                </c:pt>
                <c:pt idx="87">
                  <c:v>62.97191180912111</c:v>
                </c:pt>
                <c:pt idx="88">
                  <c:v>61.427714457108578</c:v>
                </c:pt>
                <c:pt idx="89">
                  <c:v>61.142686209991027</c:v>
                </c:pt>
                <c:pt idx="90">
                  <c:v>61.336154776299878</c:v>
                </c:pt>
                <c:pt idx="91">
                  <c:v>62.355447352404141</c:v>
                </c:pt>
                <c:pt idx="92">
                  <c:v>59.88095238095238</c:v>
                </c:pt>
                <c:pt idx="93">
                  <c:v>60.191273161984462</c:v>
                </c:pt>
                <c:pt idx="94">
                  <c:v>60.052987930526939</c:v>
                </c:pt>
                <c:pt idx="95">
                  <c:v>57.437407952871872</c:v>
                </c:pt>
              </c:numCache>
            </c:numRef>
          </c:val>
          <c:smooth val="0"/>
        </c:ser>
        <c:dLbls>
          <c:showLegendKey val="0"/>
          <c:showVal val="0"/>
          <c:showCatName val="0"/>
          <c:showSerName val="0"/>
          <c:showPercent val="0"/>
          <c:showBubbleSize val="0"/>
        </c:dLbls>
        <c:marker val="1"/>
        <c:smooth val="0"/>
        <c:axId val="225283136"/>
        <c:axId val="225283696"/>
      </c:lineChart>
      <c:dateAx>
        <c:axId val="225283136"/>
        <c:scaling>
          <c:orientation val="minMax"/>
        </c:scaling>
        <c:delete val="0"/>
        <c:axPos val="b"/>
        <c:numFmt formatCode="yyyy\ mm"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83696"/>
        <c:crosses val="autoZero"/>
        <c:auto val="1"/>
        <c:lblOffset val="100"/>
        <c:baseTimeUnit val="months"/>
      </c:dateAx>
      <c:valAx>
        <c:axId val="225283696"/>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83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CEQ Annual Response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'CEQ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Charts'!$B$2:$B$14</c:f>
              <c:numCache>
                <c:formatCode>0.00</c:formatCode>
                <c:ptCount val="13"/>
                <c:pt idx="0">
                  <c:v>75.600099999999998</c:v>
                </c:pt>
                <c:pt idx="1">
                  <c:v>77.024450000000002</c:v>
                </c:pt>
                <c:pt idx="2">
                  <c:v>74.219949999999997</c:v>
                </c:pt>
                <c:pt idx="3">
                  <c:v>74.338629999999995</c:v>
                </c:pt>
                <c:pt idx="4">
                  <c:v>75.062399999999997</c:v>
                </c:pt>
                <c:pt idx="5">
                  <c:v>73.827160000000006</c:v>
                </c:pt>
                <c:pt idx="6">
                  <c:v>71.493780000000001</c:v>
                </c:pt>
                <c:pt idx="7">
                  <c:v>70.030259999999998</c:v>
                </c:pt>
                <c:pt idx="8">
                  <c:v>67.093209999999999</c:v>
                </c:pt>
                <c:pt idx="9">
                  <c:v>67.270753982880777</c:v>
                </c:pt>
                <c:pt idx="10">
                  <c:v>64.459354107113327</c:v>
                </c:pt>
                <c:pt idx="11">
                  <c:v>62.990681998413955</c:v>
                </c:pt>
                <c:pt idx="12">
                  <c:v>61.143509442390254</c:v>
                </c:pt>
              </c:numCache>
            </c:numRef>
          </c:val>
          <c:smooth val="0"/>
        </c:ser>
        <c:ser>
          <c:idx val="1"/>
          <c:order val="1"/>
          <c:tx>
            <c:strRef>
              <c:f>'CEQ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Charts'!$C$2:$C$14</c:f>
              <c:numCache>
                <c:formatCode>0.00</c:formatCode>
                <c:ptCount val="13"/>
                <c:pt idx="0">
                  <c:v>75.560869999999994</c:v>
                </c:pt>
                <c:pt idx="1">
                  <c:v>77.024450000000002</c:v>
                </c:pt>
                <c:pt idx="2">
                  <c:v>74.219949999999997</c:v>
                </c:pt>
                <c:pt idx="3">
                  <c:v>74.339179999999999</c:v>
                </c:pt>
                <c:pt idx="4">
                  <c:v>75.063980000000001</c:v>
                </c:pt>
                <c:pt idx="5">
                  <c:v>73.826610000000002</c:v>
                </c:pt>
                <c:pt idx="6">
                  <c:v>71.493780000000001</c:v>
                </c:pt>
                <c:pt idx="7">
                  <c:v>70.030259999999998</c:v>
                </c:pt>
                <c:pt idx="8">
                  <c:v>67.093209999999999</c:v>
                </c:pt>
                <c:pt idx="9">
                  <c:v>67.270753982880777</c:v>
                </c:pt>
                <c:pt idx="10">
                  <c:v>64.447173866830425</c:v>
                </c:pt>
                <c:pt idx="11">
                  <c:v>63.034219779131384</c:v>
                </c:pt>
                <c:pt idx="12">
                  <c:v>61.143509442390254</c:v>
                </c:pt>
              </c:numCache>
            </c:numRef>
          </c:val>
          <c:smooth val="0"/>
        </c:ser>
        <c:ser>
          <c:idx val="2"/>
          <c:order val="2"/>
          <c:tx>
            <c:strRef>
              <c:f>'CEQ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Charts'!$D$2:$D$14</c:f>
              <c:numCache>
                <c:formatCode>0.00</c:formatCode>
                <c:ptCount val="13"/>
                <c:pt idx="0">
                  <c:v>74.532399999999996</c:v>
                </c:pt>
                <c:pt idx="1">
                  <c:v>76.552000000000007</c:v>
                </c:pt>
                <c:pt idx="2">
                  <c:v>73.855800000000002</c:v>
                </c:pt>
                <c:pt idx="3">
                  <c:v>73.843199999999996</c:v>
                </c:pt>
                <c:pt idx="4">
                  <c:v>74.499600000000001</c:v>
                </c:pt>
                <c:pt idx="5">
                  <c:v>73.428399999999996</c:v>
                </c:pt>
                <c:pt idx="6">
                  <c:v>70.381799999999998</c:v>
                </c:pt>
                <c:pt idx="7">
                  <c:v>69.506900000000002</c:v>
                </c:pt>
                <c:pt idx="8">
                  <c:v>66.700699999999998</c:v>
                </c:pt>
                <c:pt idx="9">
                  <c:v>66.425659564648868</c:v>
                </c:pt>
                <c:pt idx="10">
                  <c:v>64.402295864137756</c:v>
                </c:pt>
                <c:pt idx="11">
                  <c:v>63.011764705882356</c:v>
                </c:pt>
                <c:pt idx="12">
                  <c:v>60.903639937302515</c:v>
                </c:pt>
              </c:numCache>
            </c:numRef>
          </c:val>
          <c:smooth val="0"/>
        </c:ser>
        <c:dLbls>
          <c:showLegendKey val="0"/>
          <c:showVal val="0"/>
          <c:showCatName val="0"/>
          <c:showSerName val="0"/>
          <c:showPercent val="0"/>
          <c:showBubbleSize val="0"/>
        </c:dLbls>
        <c:marker val="1"/>
        <c:smooth val="0"/>
        <c:axId val="225288176"/>
        <c:axId val="225288736"/>
      </c:lineChart>
      <c:catAx>
        <c:axId val="225288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88736"/>
        <c:crosses val="autoZero"/>
        <c:auto val="1"/>
        <c:lblAlgn val="ctr"/>
        <c:lblOffset val="100"/>
        <c:noMultiLvlLbl val="0"/>
      </c:catAx>
      <c:valAx>
        <c:axId val="225288736"/>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88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CED Monthly Response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'CED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Charts'!$B$2:$B$97</c:f>
              <c:numCache>
                <c:formatCode>0.00</c:formatCode>
                <c:ptCount val="96"/>
                <c:pt idx="0">
                  <c:v>79.166669999999996</c:v>
                </c:pt>
                <c:pt idx="1">
                  <c:v>76.907759999999996</c:v>
                </c:pt>
                <c:pt idx="2">
                  <c:v>80.024429999999995</c:v>
                </c:pt>
                <c:pt idx="3">
                  <c:v>78.070179999999993</c:v>
                </c:pt>
                <c:pt idx="4">
                  <c:v>75.213679999999997</c:v>
                </c:pt>
                <c:pt idx="5">
                  <c:v>74.37218</c:v>
                </c:pt>
                <c:pt idx="6">
                  <c:v>75.534760000000006</c:v>
                </c:pt>
                <c:pt idx="7">
                  <c:v>75.841579999999993</c:v>
                </c:pt>
                <c:pt idx="8">
                  <c:v>77.417339999999996</c:v>
                </c:pt>
                <c:pt idx="9">
                  <c:v>77.633290000000002</c:v>
                </c:pt>
                <c:pt idx="10">
                  <c:v>76.595740000000006</c:v>
                </c:pt>
                <c:pt idx="11">
                  <c:v>71.529560000000004</c:v>
                </c:pt>
                <c:pt idx="12">
                  <c:v>76.629069999999999</c:v>
                </c:pt>
                <c:pt idx="13">
                  <c:v>76.987449999999995</c:v>
                </c:pt>
                <c:pt idx="14">
                  <c:v>76.507940000000005</c:v>
                </c:pt>
                <c:pt idx="15">
                  <c:v>77.848910000000004</c:v>
                </c:pt>
                <c:pt idx="16">
                  <c:v>77.527370000000005</c:v>
                </c:pt>
                <c:pt idx="17">
                  <c:v>76.684640000000002</c:v>
                </c:pt>
                <c:pt idx="18">
                  <c:v>77.192980000000006</c:v>
                </c:pt>
                <c:pt idx="19">
                  <c:v>76.893699999999995</c:v>
                </c:pt>
                <c:pt idx="20">
                  <c:v>72.191190000000006</c:v>
                </c:pt>
                <c:pt idx="21">
                  <c:v>73.926770000000005</c:v>
                </c:pt>
                <c:pt idx="22">
                  <c:v>71.270359999999997</c:v>
                </c:pt>
                <c:pt idx="23">
                  <c:v>72.184190000000001</c:v>
                </c:pt>
                <c:pt idx="24">
                  <c:v>74.732200000000006</c:v>
                </c:pt>
                <c:pt idx="25">
                  <c:v>73.016949999999994</c:v>
                </c:pt>
                <c:pt idx="26">
                  <c:v>74.775310000000005</c:v>
                </c:pt>
                <c:pt idx="27">
                  <c:v>75.22757</c:v>
                </c:pt>
                <c:pt idx="28">
                  <c:v>73.251300000000001</c:v>
                </c:pt>
                <c:pt idx="29">
                  <c:v>74.967740000000006</c:v>
                </c:pt>
                <c:pt idx="30">
                  <c:v>71.856290000000001</c:v>
                </c:pt>
                <c:pt idx="31">
                  <c:v>70.527590000000004</c:v>
                </c:pt>
                <c:pt idx="32">
                  <c:v>71.209209999999999</c:v>
                </c:pt>
                <c:pt idx="33">
                  <c:v>70.157380000000003</c:v>
                </c:pt>
                <c:pt idx="34">
                  <c:v>68.581909999999993</c:v>
                </c:pt>
                <c:pt idx="35">
                  <c:v>69.034930000000003</c:v>
                </c:pt>
                <c:pt idx="36">
                  <c:v>69.796170000000004</c:v>
                </c:pt>
                <c:pt idx="37">
                  <c:v>69.807689999999994</c:v>
                </c:pt>
                <c:pt idx="38">
                  <c:v>67.99494</c:v>
                </c:pt>
                <c:pt idx="39">
                  <c:v>69.108279999999993</c:v>
                </c:pt>
                <c:pt idx="40">
                  <c:v>74.037869999999998</c:v>
                </c:pt>
                <c:pt idx="41">
                  <c:v>71.232879999999994</c:v>
                </c:pt>
                <c:pt idx="42">
                  <c:v>73.159300000000002</c:v>
                </c:pt>
                <c:pt idx="43">
                  <c:v>71.758099999999999</c:v>
                </c:pt>
                <c:pt idx="44">
                  <c:v>49.969819999999999</c:v>
                </c:pt>
                <c:pt idx="45">
                  <c:v>37.643839999999997</c:v>
                </c:pt>
                <c:pt idx="46">
                  <c:v>64.691050000000004</c:v>
                </c:pt>
                <c:pt idx="47">
                  <c:v>65.762929999999997</c:v>
                </c:pt>
                <c:pt idx="48">
                  <c:v>68.128649999999993</c:v>
                </c:pt>
                <c:pt idx="49">
                  <c:v>71.034949999999995</c:v>
                </c:pt>
                <c:pt idx="50">
                  <c:v>71.69435</c:v>
                </c:pt>
                <c:pt idx="51">
                  <c:v>74.544349999999994</c:v>
                </c:pt>
                <c:pt idx="52">
                  <c:v>68.558949999999996</c:v>
                </c:pt>
                <c:pt idx="53">
                  <c:v>70.470659999999995</c:v>
                </c:pt>
                <c:pt idx="54">
                  <c:v>71.36591</c:v>
                </c:pt>
                <c:pt idx="55">
                  <c:v>71.926609999999997</c:v>
                </c:pt>
                <c:pt idx="56">
                  <c:v>70.049199999999999</c:v>
                </c:pt>
                <c:pt idx="57">
                  <c:v>71.860190000000003</c:v>
                </c:pt>
                <c:pt idx="58">
                  <c:v>62.895659999999999</c:v>
                </c:pt>
                <c:pt idx="59">
                  <c:v>63.630949999999999</c:v>
                </c:pt>
                <c:pt idx="60">
                  <c:v>60.921599999999998</c:v>
                </c:pt>
                <c:pt idx="61">
                  <c:v>60.995289999999997</c:v>
                </c:pt>
                <c:pt idx="62">
                  <c:v>65.918490000000006</c:v>
                </c:pt>
                <c:pt idx="63">
                  <c:v>63.658540000000002</c:v>
                </c:pt>
                <c:pt idx="64">
                  <c:v>61.197600000000001</c:v>
                </c:pt>
                <c:pt idx="65">
                  <c:v>64.181010000000001</c:v>
                </c:pt>
                <c:pt idx="66">
                  <c:v>61.271680000000003</c:v>
                </c:pt>
                <c:pt idx="67">
                  <c:v>63.540370000000003</c:v>
                </c:pt>
                <c:pt idx="68">
                  <c:v>62.086509999999997</c:v>
                </c:pt>
                <c:pt idx="69">
                  <c:v>61.450839999999999</c:v>
                </c:pt>
                <c:pt idx="70">
                  <c:v>56.32047</c:v>
                </c:pt>
                <c:pt idx="71">
                  <c:v>58.97898</c:v>
                </c:pt>
                <c:pt idx="72">
                  <c:v>62.104619999999997</c:v>
                </c:pt>
                <c:pt idx="73">
                  <c:v>64.900660000000002</c:v>
                </c:pt>
                <c:pt idx="74">
                  <c:v>58.206330000000001</c:v>
                </c:pt>
                <c:pt idx="75">
                  <c:v>62.308160000000001</c:v>
                </c:pt>
                <c:pt idx="76">
                  <c:v>58.917949999999998</c:v>
                </c:pt>
                <c:pt idx="77">
                  <c:v>62.763919999999999</c:v>
                </c:pt>
                <c:pt idx="78">
                  <c:v>63.971989999999998</c:v>
                </c:pt>
                <c:pt idx="79">
                  <c:v>62.16545</c:v>
                </c:pt>
                <c:pt idx="80">
                  <c:v>56.924950000000003</c:v>
                </c:pt>
                <c:pt idx="81">
                  <c:v>55.188679999999998</c:v>
                </c:pt>
                <c:pt idx="82">
                  <c:v>61.56</c:v>
                </c:pt>
                <c:pt idx="83">
                  <c:v>57.21</c:v>
                </c:pt>
                <c:pt idx="84">
                  <c:v>60.504201680672267</c:v>
                </c:pt>
                <c:pt idx="85">
                  <c:v>59.431524547803619</c:v>
                </c:pt>
                <c:pt idx="86">
                  <c:v>61.680092059838898</c:v>
                </c:pt>
                <c:pt idx="87">
                  <c:v>63.495838287752669</c:v>
                </c:pt>
                <c:pt idx="88">
                  <c:v>63.2</c:v>
                </c:pt>
                <c:pt idx="89">
                  <c:v>63.280293757649943</c:v>
                </c:pt>
                <c:pt idx="90">
                  <c:v>62.064825930372145</c:v>
                </c:pt>
                <c:pt idx="91">
                  <c:v>66.095471236230111</c:v>
                </c:pt>
                <c:pt idx="92">
                  <c:v>63.118811881188122</c:v>
                </c:pt>
                <c:pt idx="93">
                  <c:v>61.643835616438359</c:v>
                </c:pt>
                <c:pt idx="94">
                  <c:v>60.119760479041915</c:v>
                </c:pt>
                <c:pt idx="95">
                  <c:v>55.403868031854373</c:v>
                </c:pt>
              </c:numCache>
            </c:numRef>
          </c:val>
          <c:smooth val="0"/>
        </c:ser>
        <c:ser>
          <c:idx val="1"/>
          <c:order val="1"/>
          <c:tx>
            <c:strRef>
              <c:f>'CED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Charts'!$C$2:$C$97</c:f>
              <c:numCache>
                <c:formatCode>0.00</c:formatCode>
                <c:ptCount val="96"/>
                <c:pt idx="0">
                  <c:v>74.618989999999997</c:v>
                </c:pt>
                <c:pt idx="1">
                  <c:v>72.032319999999999</c:v>
                </c:pt>
                <c:pt idx="2">
                  <c:v>75.76634</c:v>
                </c:pt>
                <c:pt idx="3">
                  <c:v>75.19614</c:v>
                </c:pt>
                <c:pt idx="4">
                  <c:v>70.92689</c:v>
                </c:pt>
                <c:pt idx="5">
                  <c:v>69.452799999999996</c:v>
                </c:pt>
                <c:pt idx="6">
                  <c:v>70.580889999999997</c:v>
                </c:pt>
                <c:pt idx="7">
                  <c:v>69.763210000000001</c:v>
                </c:pt>
                <c:pt idx="8">
                  <c:v>73.869050000000001</c:v>
                </c:pt>
                <c:pt idx="9">
                  <c:v>73.703699999999998</c:v>
                </c:pt>
                <c:pt idx="10">
                  <c:v>72.660550000000001</c:v>
                </c:pt>
                <c:pt idx="11">
                  <c:v>66.806719999999999</c:v>
                </c:pt>
                <c:pt idx="12">
                  <c:v>72.797619999999995</c:v>
                </c:pt>
                <c:pt idx="13">
                  <c:v>73.404259999999994</c:v>
                </c:pt>
                <c:pt idx="14">
                  <c:v>72.198920000000001</c:v>
                </c:pt>
                <c:pt idx="15">
                  <c:v>72.294889999999995</c:v>
                </c:pt>
                <c:pt idx="16">
                  <c:v>72.997569999999996</c:v>
                </c:pt>
                <c:pt idx="17">
                  <c:v>71.780299999999997</c:v>
                </c:pt>
                <c:pt idx="18">
                  <c:v>71.197410000000005</c:v>
                </c:pt>
                <c:pt idx="19">
                  <c:v>70.93365</c:v>
                </c:pt>
                <c:pt idx="20">
                  <c:v>67.186599999999999</c:v>
                </c:pt>
                <c:pt idx="21">
                  <c:v>69.850750000000005</c:v>
                </c:pt>
                <c:pt idx="22">
                  <c:v>67.281670000000005</c:v>
                </c:pt>
                <c:pt idx="23">
                  <c:v>66.858789999999999</c:v>
                </c:pt>
                <c:pt idx="24">
                  <c:v>70.260660000000001</c:v>
                </c:pt>
                <c:pt idx="25">
                  <c:v>69.305019999999999</c:v>
                </c:pt>
                <c:pt idx="26">
                  <c:v>71.030169999999998</c:v>
                </c:pt>
                <c:pt idx="27">
                  <c:v>71.2</c:v>
                </c:pt>
                <c:pt idx="28">
                  <c:v>67.68038</c:v>
                </c:pt>
                <c:pt idx="29">
                  <c:v>70.659409999999994</c:v>
                </c:pt>
                <c:pt idx="30">
                  <c:v>66.809550000000002</c:v>
                </c:pt>
                <c:pt idx="31">
                  <c:v>66.420029999999997</c:v>
                </c:pt>
                <c:pt idx="32">
                  <c:v>67.639899999999997</c:v>
                </c:pt>
                <c:pt idx="33">
                  <c:v>66.552120000000002</c:v>
                </c:pt>
                <c:pt idx="34">
                  <c:v>65.593909999999994</c:v>
                </c:pt>
                <c:pt idx="35">
                  <c:v>64.242419999999996</c:v>
                </c:pt>
                <c:pt idx="36">
                  <c:v>66.081869999999995</c:v>
                </c:pt>
                <c:pt idx="37">
                  <c:v>66.52413</c:v>
                </c:pt>
                <c:pt idx="38">
                  <c:v>63.647129999999997</c:v>
                </c:pt>
                <c:pt idx="39">
                  <c:v>65.838890000000006</c:v>
                </c:pt>
                <c:pt idx="40">
                  <c:v>71.001760000000004</c:v>
                </c:pt>
                <c:pt idx="41">
                  <c:v>66.809550000000002</c:v>
                </c:pt>
                <c:pt idx="42">
                  <c:v>69.221029999999999</c:v>
                </c:pt>
                <c:pt idx="43">
                  <c:v>66.647369999999995</c:v>
                </c:pt>
                <c:pt idx="44">
                  <c:v>48.705880000000001</c:v>
                </c:pt>
                <c:pt idx="45">
                  <c:v>36.816719999999997</c:v>
                </c:pt>
                <c:pt idx="46">
                  <c:v>61.290320000000001</c:v>
                </c:pt>
                <c:pt idx="47">
                  <c:v>61.715980000000002</c:v>
                </c:pt>
                <c:pt idx="48">
                  <c:v>66.005669999999995</c:v>
                </c:pt>
                <c:pt idx="49">
                  <c:v>67.453729999999993</c:v>
                </c:pt>
                <c:pt idx="50">
                  <c:v>67.606520000000003</c:v>
                </c:pt>
                <c:pt idx="51">
                  <c:v>70.82611</c:v>
                </c:pt>
                <c:pt idx="52">
                  <c:v>64.685109999999995</c:v>
                </c:pt>
                <c:pt idx="53">
                  <c:v>66.181820000000002</c:v>
                </c:pt>
                <c:pt idx="54">
                  <c:v>67.476299999999995</c:v>
                </c:pt>
                <c:pt idx="55">
                  <c:v>68.332359999999994</c:v>
                </c:pt>
                <c:pt idx="56">
                  <c:v>67.716999999999999</c:v>
                </c:pt>
                <c:pt idx="57">
                  <c:v>68.803179999999998</c:v>
                </c:pt>
                <c:pt idx="58">
                  <c:v>61.051439999999999</c:v>
                </c:pt>
                <c:pt idx="59">
                  <c:v>59.820929999999997</c:v>
                </c:pt>
                <c:pt idx="60">
                  <c:v>58.708190000000002</c:v>
                </c:pt>
                <c:pt idx="61">
                  <c:v>57.733930000000001</c:v>
                </c:pt>
                <c:pt idx="62">
                  <c:v>63.193660000000001</c:v>
                </c:pt>
                <c:pt idx="63">
                  <c:v>61.016950000000001</c:v>
                </c:pt>
                <c:pt idx="64">
                  <c:v>58.769410000000001</c:v>
                </c:pt>
                <c:pt idx="65">
                  <c:v>61.253039999999999</c:v>
                </c:pt>
                <c:pt idx="66">
                  <c:v>57.923499999999997</c:v>
                </c:pt>
                <c:pt idx="67">
                  <c:v>60.532539999999997</c:v>
                </c:pt>
                <c:pt idx="68">
                  <c:v>59.657699999999998</c:v>
                </c:pt>
                <c:pt idx="69">
                  <c:v>59.319099999999999</c:v>
                </c:pt>
                <c:pt idx="70">
                  <c:v>53.454129999999999</c:v>
                </c:pt>
                <c:pt idx="71">
                  <c:v>55.700510000000001</c:v>
                </c:pt>
                <c:pt idx="72">
                  <c:v>59.988250000000001</c:v>
                </c:pt>
                <c:pt idx="73">
                  <c:v>62.14331</c:v>
                </c:pt>
                <c:pt idx="74">
                  <c:v>56.356409999999997</c:v>
                </c:pt>
                <c:pt idx="75">
                  <c:v>60.047420000000002</c:v>
                </c:pt>
                <c:pt idx="76">
                  <c:v>56.531660000000002</c:v>
                </c:pt>
                <c:pt idx="77">
                  <c:v>59.526699999999998</c:v>
                </c:pt>
                <c:pt idx="78">
                  <c:v>60.36036</c:v>
                </c:pt>
                <c:pt idx="79">
                  <c:v>60.188459999999999</c:v>
                </c:pt>
                <c:pt idx="80">
                  <c:v>55.17445</c:v>
                </c:pt>
                <c:pt idx="81">
                  <c:v>53.208399999999997</c:v>
                </c:pt>
                <c:pt idx="82">
                  <c:v>59.09</c:v>
                </c:pt>
                <c:pt idx="83">
                  <c:v>53.47</c:v>
                </c:pt>
                <c:pt idx="84">
                  <c:v>59.573206879999994</c:v>
                </c:pt>
                <c:pt idx="85">
                  <c:v>59.545454550000002</c:v>
                </c:pt>
                <c:pt idx="86">
                  <c:v>61.427748989999998</c:v>
                </c:pt>
                <c:pt idx="87">
                  <c:v>62.889688300000003</c:v>
                </c:pt>
                <c:pt idx="88">
                  <c:v>63.350485999999997</c:v>
                </c:pt>
                <c:pt idx="89">
                  <c:v>62.913096700000004</c:v>
                </c:pt>
                <c:pt idx="90">
                  <c:v>62.025316500000002</c:v>
                </c:pt>
                <c:pt idx="91">
                  <c:v>66.134969299999995</c:v>
                </c:pt>
                <c:pt idx="92">
                  <c:v>62.693978900000005</c:v>
                </c:pt>
                <c:pt idx="93">
                  <c:v>61.705781340000001</c:v>
                </c:pt>
                <c:pt idx="94">
                  <c:v>61.194930599999999</c:v>
                </c:pt>
                <c:pt idx="95">
                  <c:v>55.915813420000006</c:v>
                </c:pt>
              </c:numCache>
            </c:numRef>
          </c:val>
          <c:smooth val="0"/>
        </c:ser>
        <c:ser>
          <c:idx val="2"/>
          <c:order val="2"/>
          <c:tx>
            <c:strRef>
              <c:f>'CED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Charts'!$D$2:$D$97</c:f>
              <c:numCache>
                <c:formatCode>0.00</c:formatCode>
                <c:ptCount val="96"/>
                <c:pt idx="0">
                  <c:v>73.930869999999999</c:v>
                </c:pt>
                <c:pt idx="1">
                  <c:v>73.697270000000003</c:v>
                </c:pt>
                <c:pt idx="2">
                  <c:v>73.656850000000006</c:v>
                </c:pt>
                <c:pt idx="3">
                  <c:v>73.586039999999997</c:v>
                </c:pt>
                <c:pt idx="4">
                  <c:v>70.919539999999998</c:v>
                </c:pt>
                <c:pt idx="5">
                  <c:v>69.290400000000005</c:v>
                </c:pt>
                <c:pt idx="6">
                  <c:v>70.206119999999999</c:v>
                </c:pt>
                <c:pt idx="7">
                  <c:v>72.070430000000002</c:v>
                </c:pt>
                <c:pt idx="8">
                  <c:v>71.428569999999993</c:v>
                </c:pt>
                <c:pt idx="9">
                  <c:v>70.918049999999994</c:v>
                </c:pt>
                <c:pt idx="10">
                  <c:v>71.332930000000005</c:v>
                </c:pt>
                <c:pt idx="11">
                  <c:v>67.147149999999996</c:v>
                </c:pt>
                <c:pt idx="12">
                  <c:v>71.995260000000002</c:v>
                </c:pt>
                <c:pt idx="13">
                  <c:v>72.509960000000007</c:v>
                </c:pt>
                <c:pt idx="14">
                  <c:v>71.017960000000002</c:v>
                </c:pt>
                <c:pt idx="15">
                  <c:v>73.677959999999999</c:v>
                </c:pt>
                <c:pt idx="16">
                  <c:v>70.090630000000004</c:v>
                </c:pt>
                <c:pt idx="17">
                  <c:v>69.949489999999997</c:v>
                </c:pt>
                <c:pt idx="18">
                  <c:v>70.957310000000007</c:v>
                </c:pt>
                <c:pt idx="19">
                  <c:v>70.63306</c:v>
                </c:pt>
                <c:pt idx="20">
                  <c:v>67.359909999999999</c:v>
                </c:pt>
                <c:pt idx="21">
                  <c:v>70.381410000000002</c:v>
                </c:pt>
                <c:pt idx="22">
                  <c:v>66.564790000000002</c:v>
                </c:pt>
                <c:pt idx="23">
                  <c:v>68.142610000000005</c:v>
                </c:pt>
                <c:pt idx="24">
                  <c:v>70.396680000000003</c:v>
                </c:pt>
                <c:pt idx="25">
                  <c:v>68.874600000000001</c:v>
                </c:pt>
                <c:pt idx="26">
                  <c:v>70.814480000000003</c:v>
                </c:pt>
                <c:pt idx="27">
                  <c:v>71.279849999999996</c:v>
                </c:pt>
                <c:pt idx="28">
                  <c:v>66.962699999999998</c:v>
                </c:pt>
                <c:pt idx="29">
                  <c:v>70.677149999999997</c:v>
                </c:pt>
                <c:pt idx="30">
                  <c:v>68.753839999999997</c:v>
                </c:pt>
                <c:pt idx="31">
                  <c:v>66.267809999999997</c:v>
                </c:pt>
                <c:pt idx="32">
                  <c:v>65.858099999999993</c:v>
                </c:pt>
                <c:pt idx="33">
                  <c:v>66.284400000000005</c:v>
                </c:pt>
                <c:pt idx="34">
                  <c:v>63.689430000000002</c:v>
                </c:pt>
                <c:pt idx="35">
                  <c:v>64.230770000000007</c:v>
                </c:pt>
                <c:pt idx="36">
                  <c:v>64.610010000000003</c:v>
                </c:pt>
                <c:pt idx="37">
                  <c:v>65.097800000000007</c:v>
                </c:pt>
                <c:pt idx="38">
                  <c:v>63.781860000000002</c:v>
                </c:pt>
                <c:pt idx="39">
                  <c:v>64.363640000000004</c:v>
                </c:pt>
                <c:pt idx="40">
                  <c:v>67.751310000000004</c:v>
                </c:pt>
                <c:pt idx="41">
                  <c:v>67.115740000000002</c:v>
                </c:pt>
                <c:pt idx="42">
                  <c:v>69.491529999999997</c:v>
                </c:pt>
                <c:pt idx="43">
                  <c:v>65.282579999999996</c:v>
                </c:pt>
                <c:pt idx="44">
                  <c:v>46.882350000000002</c:v>
                </c:pt>
                <c:pt idx="45">
                  <c:v>35.725760000000001</c:v>
                </c:pt>
                <c:pt idx="46">
                  <c:v>60.767850000000003</c:v>
                </c:pt>
                <c:pt idx="47">
                  <c:v>61.775149999999996</c:v>
                </c:pt>
                <c:pt idx="48">
                  <c:v>63.677379999999999</c:v>
                </c:pt>
                <c:pt idx="49">
                  <c:v>65.250479999999996</c:v>
                </c:pt>
                <c:pt idx="50">
                  <c:v>69.023780000000002</c:v>
                </c:pt>
                <c:pt idx="51">
                  <c:v>69.190749999999994</c:v>
                </c:pt>
                <c:pt idx="52">
                  <c:v>64.888630000000006</c:v>
                </c:pt>
                <c:pt idx="53">
                  <c:v>65.800600000000003</c:v>
                </c:pt>
                <c:pt idx="54">
                  <c:v>66.331959999999995</c:v>
                </c:pt>
                <c:pt idx="55">
                  <c:v>66.357849999999999</c:v>
                </c:pt>
                <c:pt idx="56">
                  <c:v>65.196659999999994</c:v>
                </c:pt>
                <c:pt idx="57">
                  <c:v>66.139060000000001</c:v>
                </c:pt>
                <c:pt idx="58">
                  <c:v>57.69014</c:v>
                </c:pt>
                <c:pt idx="59">
                  <c:v>61.002789999999997</c:v>
                </c:pt>
                <c:pt idx="60">
                  <c:v>57.38832</c:v>
                </c:pt>
                <c:pt idx="61">
                  <c:v>57.361379999999997</c:v>
                </c:pt>
                <c:pt idx="62">
                  <c:v>60.979730000000004</c:v>
                </c:pt>
                <c:pt idx="63">
                  <c:v>59.569519999999997</c:v>
                </c:pt>
                <c:pt idx="64">
                  <c:v>56.442419999999998</c:v>
                </c:pt>
                <c:pt idx="65">
                  <c:v>60.15719</c:v>
                </c:pt>
                <c:pt idx="66">
                  <c:v>57.627119999999998</c:v>
                </c:pt>
                <c:pt idx="67">
                  <c:v>60</c:v>
                </c:pt>
                <c:pt idx="68">
                  <c:v>57.524270000000001</c:v>
                </c:pt>
                <c:pt idx="69">
                  <c:v>56.987400000000001</c:v>
                </c:pt>
                <c:pt idx="70">
                  <c:v>53.066969999999998</c:v>
                </c:pt>
                <c:pt idx="71">
                  <c:v>55.68694</c:v>
                </c:pt>
                <c:pt idx="72">
                  <c:v>58.104149999999997</c:v>
                </c:pt>
                <c:pt idx="73">
                  <c:v>61.669829999999997</c:v>
                </c:pt>
                <c:pt idx="74">
                  <c:v>55.909089999999999</c:v>
                </c:pt>
                <c:pt idx="75">
                  <c:v>58.795749999999998</c:v>
                </c:pt>
                <c:pt idx="76">
                  <c:v>54.943179999999998</c:v>
                </c:pt>
                <c:pt idx="77">
                  <c:v>59.189839999999997</c:v>
                </c:pt>
                <c:pt idx="78">
                  <c:v>61.097850000000001</c:v>
                </c:pt>
                <c:pt idx="79">
                  <c:v>58.470590000000001</c:v>
                </c:pt>
                <c:pt idx="80">
                  <c:v>54.176470000000002</c:v>
                </c:pt>
                <c:pt idx="81">
                  <c:v>50.677970000000002</c:v>
                </c:pt>
                <c:pt idx="82">
                  <c:v>56.6</c:v>
                </c:pt>
                <c:pt idx="83">
                  <c:v>51.18</c:v>
                </c:pt>
                <c:pt idx="84">
                  <c:v>56.042654028436019</c:v>
                </c:pt>
                <c:pt idx="85">
                  <c:v>57.383419689119172</c:v>
                </c:pt>
                <c:pt idx="86">
                  <c:v>57.988505747126439</c:v>
                </c:pt>
                <c:pt idx="87">
                  <c:v>60.611510791366904</c:v>
                </c:pt>
                <c:pt idx="88">
                  <c:v>57.81963470319635</c:v>
                </c:pt>
                <c:pt idx="89">
                  <c:v>59.914320685434518</c:v>
                </c:pt>
                <c:pt idx="90">
                  <c:v>56.422569027611047</c:v>
                </c:pt>
                <c:pt idx="91">
                  <c:v>62.423500611995102</c:v>
                </c:pt>
                <c:pt idx="92">
                  <c:v>58.415841584158414</c:v>
                </c:pt>
                <c:pt idx="93">
                  <c:v>57.705479452054796</c:v>
                </c:pt>
                <c:pt idx="94">
                  <c:v>58.021712907117006</c:v>
                </c:pt>
                <c:pt idx="95">
                  <c:v>53.242320819112628</c:v>
                </c:pt>
              </c:numCache>
            </c:numRef>
          </c:val>
          <c:smooth val="0"/>
        </c:ser>
        <c:dLbls>
          <c:showLegendKey val="0"/>
          <c:showVal val="0"/>
          <c:showCatName val="0"/>
          <c:showSerName val="0"/>
          <c:showPercent val="0"/>
          <c:showBubbleSize val="0"/>
        </c:dLbls>
        <c:marker val="1"/>
        <c:smooth val="0"/>
        <c:axId val="226179648"/>
        <c:axId val="226180208"/>
      </c:lineChart>
      <c:dateAx>
        <c:axId val="226179648"/>
        <c:scaling>
          <c:orientation val="minMax"/>
        </c:scaling>
        <c:delete val="0"/>
        <c:axPos val="b"/>
        <c:numFmt formatCode="yyyy\ mm"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180208"/>
        <c:crosses val="autoZero"/>
        <c:auto val="1"/>
        <c:lblOffset val="100"/>
        <c:baseTimeUnit val="months"/>
      </c:dateAx>
      <c:valAx>
        <c:axId val="226180208"/>
        <c:scaling>
          <c:orientation val="minMax"/>
          <c:min val="3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179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CED Annual Response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'CED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Charts'!$B$2:$B$15</c:f>
              <c:numCache>
                <c:formatCode>0.00</c:formatCode>
                <c:ptCount val="14"/>
                <c:pt idx="0">
                  <c:v>72.551839999999999</c:v>
                </c:pt>
                <c:pt idx="1">
                  <c:v>74.792609999999996</c:v>
                </c:pt>
                <c:pt idx="2">
                  <c:v>77.544560000000004</c:v>
                </c:pt>
                <c:pt idx="3">
                  <c:v>74.665450000000007</c:v>
                </c:pt>
                <c:pt idx="4">
                  <c:v>75.988020000000006</c:v>
                </c:pt>
                <c:pt idx="5">
                  <c:v>76.775970000000001</c:v>
                </c:pt>
                <c:pt idx="6">
                  <c:v>76.550700000000006</c:v>
                </c:pt>
                <c:pt idx="7">
                  <c:v>75.449100000000001</c:v>
                </c:pt>
                <c:pt idx="8">
                  <c:v>72.233009999999993</c:v>
                </c:pt>
                <c:pt idx="9">
                  <c:v>64.985460000000003</c:v>
                </c:pt>
                <c:pt idx="10">
                  <c:v>69.615107543480505</c:v>
                </c:pt>
                <c:pt idx="11">
                  <c:v>61.697541951044286</c:v>
                </c:pt>
                <c:pt idx="12">
                  <c:v>60.576563084986894</c:v>
                </c:pt>
                <c:pt idx="13">
                  <c:v>61.522346368715084</c:v>
                </c:pt>
              </c:numCache>
            </c:numRef>
          </c:val>
          <c:smooth val="0"/>
        </c:ser>
        <c:ser>
          <c:idx val="1"/>
          <c:order val="1"/>
          <c:tx>
            <c:strRef>
              <c:f>'CED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Charts'!$C$2:$C$15</c:f>
              <c:numCache>
                <c:formatCode>0.00</c:formatCode>
                <c:ptCount val="14"/>
                <c:pt idx="0">
                  <c:v>70.011600000000001</c:v>
                </c:pt>
                <c:pt idx="1">
                  <c:v>71.277299999999997</c:v>
                </c:pt>
                <c:pt idx="2">
                  <c:v>73.901179999999997</c:v>
                </c:pt>
                <c:pt idx="3">
                  <c:v>70.980429999999998</c:v>
                </c:pt>
                <c:pt idx="4">
                  <c:v>72.18186</c:v>
                </c:pt>
                <c:pt idx="5">
                  <c:v>72.45138</c:v>
                </c:pt>
                <c:pt idx="6">
                  <c:v>72.130330000000001</c:v>
                </c:pt>
                <c:pt idx="7">
                  <c:v>70.685469999999995</c:v>
                </c:pt>
                <c:pt idx="8">
                  <c:v>68.071870000000004</c:v>
                </c:pt>
                <c:pt idx="9">
                  <c:v>61.748010000000001</c:v>
                </c:pt>
                <c:pt idx="10">
                  <c:v>66.284650798315212</c:v>
                </c:pt>
                <c:pt idx="11">
                  <c:v>58.926470588235297</c:v>
                </c:pt>
                <c:pt idx="12">
                  <c:v>57.941118550610476</c:v>
                </c:pt>
                <c:pt idx="13">
                  <c:v>61.59286746027793</c:v>
                </c:pt>
              </c:numCache>
            </c:numRef>
          </c:val>
          <c:smooth val="0"/>
        </c:ser>
        <c:ser>
          <c:idx val="2"/>
          <c:order val="2"/>
          <c:tx>
            <c:strRef>
              <c:f>'CED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Charts'!$D$2:$D$15</c:f>
              <c:numCache>
                <c:formatCode>0.00</c:formatCode>
                <c:ptCount val="14"/>
                <c:pt idx="0">
                  <c:v>68.935699999999997</c:v>
                </c:pt>
                <c:pt idx="1">
                  <c:v>70.984099999999998</c:v>
                </c:pt>
                <c:pt idx="2">
                  <c:v>74.2196</c:v>
                </c:pt>
                <c:pt idx="3">
                  <c:v>70.161699999999996</c:v>
                </c:pt>
                <c:pt idx="4">
                  <c:v>71.938100000000006</c:v>
                </c:pt>
                <c:pt idx="5">
                  <c:v>73.032399999999996</c:v>
                </c:pt>
                <c:pt idx="6">
                  <c:v>71.522900000000007</c:v>
                </c:pt>
                <c:pt idx="7">
                  <c:v>70.246700000000004</c:v>
                </c:pt>
                <c:pt idx="8">
                  <c:v>67.794899999999998</c:v>
                </c:pt>
                <c:pt idx="9">
                  <c:v>60.775500000000001</c:v>
                </c:pt>
                <c:pt idx="10">
                  <c:v>64.983395194373898</c:v>
                </c:pt>
                <c:pt idx="11">
                  <c:v>57.713115952624655</c:v>
                </c:pt>
                <c:pt idx="12">
                  <c:v>56.657348830366338</c:v>
                </c:pt>
                <c:pt idx="13">
                  <c:v>57.966185977125811</c:v>
                </c:pt>
              </c:numCache>
            </c:numRef>
          </c:val>
          <c:smooth val="0"/>
        </c:ser>
        <c:dLbls>
          <c:showLegendKey val="0"/>
          <c:showVal val="0"/>
          <c:showCatName val="0"/>
          <c:showSerName val="0"/>
          <c:showPercent val="0"/>
          <c:showBubbleSize val="0"/>
        </c:dLbls>
        <c:marker val="1"/>
        <c:smooth val="0"/>
        <c:axId val="226183568"/>
        <c:axId val="226184128"/>
      </c:lineChart>
      <c:catAx>
        <c:axId val="22618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184128"/>
        <c:crosses val="autoZero"/>
        <c:auto val="1"/>
        <c:lblAlgn val="ctr"/>
        <c:lblOffset val="100"/>
        <c:noMultiLvlLbl val="0"/>
      </c:catAx>
      <c:valAx>
        <c:axId val="226184128"/>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183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04E0-03D9-4BCE-8161-7CBB5B7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 Brian T. - BLS</dc:creator>
  <cp:keywords/>
  <dc:description/>
  <cp:lastModifiedBy>Nix, Brian T. - BLS</cp:lastModifiedBy>
  <cp:revision>31</cp:revision>
  <cp:lastPrinted>2018-05-25T15:08:00Z</cp:lastPrinted>
  <dcterms:created xsi:type="dcterms:W3CDTF">2018-03-28T14:03:00Z</dcterms:created>
  <dcterms:modified xsi:type="dcterms:W3CDTF">2018-05-25T15:14:00Z</dcterms:modified>
</cp:coreProperties>
</file>