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C3" w:rsidP="00A96D53" w:rsidRDefault="00F80DC3" w14:paraId="58469B89" w14:textId="0989A7CB">
      <w:pPr>
        <w:pStyle w:val="Title"/>
        <w:jc w:val="left"/>
      </w:pPr>
    </w:p>
    <w:p w:rsidR="00673B1B" w:rsidP="00673B1B" w:rsidRDefault="00673B1B" w14:paraId="27C9B0FC" w14:textId="77777777">
      <w:pPr>
        <w:pStyle w:val="Title"/>
      </w:pPr>
      <w:r>
        <w:t>Supporting Statement</w:t>
      </w:r>
    </w:p>
    <w:p w:rsidR="00673B1B" w:rsidP="00673B1B" w:rsidRDefault="00673B1B" w14:paraId="7F9781B2" w14:textId="77777777">
      <w:pPr>
        <w:tabs>
          <w:tab w:val="left" w:pos="1176"/>
          <w:tab w:val="left" w:pos="1656"/>
          <w:tab w:val="left" w:pos="6696"/>
          <w:tab w:val="left" w:pos="8256"/>
        </w:tabs>
      </w:pPr>
    </w:p>
    <w:p w:rsidR="0060704D" w:rsidP="00673B1B" w:rsidRDefault="00673B1B" w14:paraId="23FECADB" w14:textId="27305536">
      <w:pPr>
        <w:pStyle w:val="Subtitle"/>
      </w:pPr>
      <w:r>
        <w:t>A.  Justification</w:t>
      </w:r>
    </w:p>
    <w:p w:rsidR="0060704D" w:rsidP="00673B1B" w:rsidRDefault="0060704D" w14:paraId="00B8EC0F" w14:textId="77777777">
      <w:pPr>
        <w:pStyle w:val="Subtitle"/>
      </w:pPr>
    </w:p>
    <w:p w:rsidR="0060704D" w:rsidP="00D17A87" w:rsidRDefault="005043DC" w14:paraId="5144AD47" w14:textId="6B14311B">
      <w:pPr>
        <w:pStyle w:val="Subtitle"/>
      </w:pPr>
      <w:r w:rsidRPr="005043DC">
        <w:t>1.</w:t>
      </w:r>
      <w:r w:rsidR="0060704D">
        <w:t xml:space="preserve">     </w:t>
      </w:r>
      <w:r w:rsidRPr="00FC378F" w:rsidR="00732CAB">
        <w:rPr>
          <w:b/>
        </w:rPr>
        <w:t>Necessity of the Consumer Expenditure Surveys</w:t>
      </w:r>
    </w:p>
    <w:p w:rsidR="0060704D" w:rsidP="00D17A87" w:rsidRDefault="0060704D" w14:paraId="03ACCFD4" w14:textId="77777777">
      <w:pPr>
        <w:pStyle w:val="Subtitle"/>
        <w:rPr>
          <w:b/>
        </w:rPr>
      </w:pPr>
    </w:p>
    <w:p w:rsidR="00B51EFD" w:rsidP="005716EA" w:rsidRDefault="00673B1B" w14:paraId="1C91AD88" w14:textId="7CE60BFE">
      <w:pPr>
        <w:tabs>
          <w:tab w:val="left" w:pos="1176"/>
          <w:tab w:val="left" w:pos="1656"/>
          <w:tab w:val="left" w:pos="6696"/>
          <w:tab w:val="left" w:pos="8256"/>
        </w:tabs>
        <w:ind w:left="480"/>
      </w:pPr>
      <w:r>
        <w:t>The purpose of this request is to obtain clearance for the two Consumer Expenditure (CE)</w:t>
      </w:r>
      <w:r w:rsidR="0060704D">
        <w:t xml:space="preserve"> </w:t>
      </w:r>
      <w:r>
        <w:t>Surveys: the</w:t>
      </w:r>
      <w:r w:rsidR="0060704D">
        <w:t xml:space="preserve"> </w:t>
      </w:r>
      <w:r>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B51EFD">
        <w:t xml:space="preserve">Additionally, as part of an ongoing effort to improve </w:t>
      </w:r>
      <w:r w:rsidRPr="006C5093" w:rsidR="00B51EFD">
        <w:t>data quality</w:t>
      </w:r>
      <w:r w:rsidR="00B51EFD">
        <w:t>, maintain or increase response rates, and reduce data collection costs, CE is seeking clearance to make the changes outlined below.</w:t>
      </w:r>
    </w:p>
    <w:p w:rsidR="00925CC7" w:rsidP="00A74207" w:rsidRDefault="00925CC7" w14:paraId="289BA79A" w14:textId="77777777">
      <w:pPr>
        <w:tabs>
          <w:tab w:val="left" w:pos="1176"/>
          <w:tab w:val="left" w:pos="1656"/>
          <w:tab w:val="left" w:pos="6696"/>
          <w:tab w:val="left" w:pos="8256"/>
        </w:tabs>
        <w:ind w:left="480"/>
      </w:pPr>
    </w:p>
    <w:p w:rsidR="007162C7" w:rsidP="007162C7" w:rsidRDefault="007162C7" w14:paraId="6C83B6DF" w14:textId="2E1434AB">
      <w:pPr>
        <w:tabs>
          <w:tab w:val="left" w:pos="1176"/>
          <w:tab w:val="left" w:pos="1656"/>
          <w:tab w:val="left" w:pos="6696"/>
          <w:tab w:val="left" w:pos="8256"/>
        </w:tabs>
        <w:ind w:left="480"/>
      </w:pPr>
      <w:r>
        <w:t xml:space="preserve">The Bureau of the Census conducts the CE Surveys for the Bureau of Labor Statistics (BLS) in support of the Consumer Price Index (CPI) program.  The continuing CE Surveys provide a constant measurement of changes in consumer expenditure patterns for economic analysis, and obtain data for future CPI revisions.  The CE also collects point of purchase </w:t>
      </w:r>
      <w:r w:rsidR="00F812EA">
        <w:t xml:space="preserve">information </w:t>
      </w:r>
      <w:r>
        <w:t>in support of the CPI program.</w:t>
      </w:r>
    </w:p>
    <w:p w:rsidR="007162C7" w:rsidP="00A74207" w:rsidRDefault="007162C7" w14:paraId="1011022A" w14:textId="77777777">
      <w:pPr>
        <w:tabs>
          <w:tab w:val="left" w:pos="1176"/>
          <w:tab w:val="left" w:pos="1656"/>
          <w:tab w:val="left" w:pos="6696"/>
          <w:tab w:val="left" w:pos="8256"/>
        </w:tabs>
        <w:ind w:left="480"/>
      </w:pPr>
    </w:p>
    <w:p w:rsidR="007162C7" w:rsidP="007162C7" w:rsidRDefault="00A46266" w14:paraId="28B118F0" w14:textId="7DDA84AE">
      <w:pPr>
        <w:tabs>
          <w:tab w:val="left" w:pos="1176"/>
          <w:tab w:val="left" w:pos="1656"/>
          <w:tab w:val="left" w:pos="6696"/>
          <w:tab w:val="left" w:pos="8256"/>
        </w:tabs>
        <w:ind w:left="480"/>
      </w:pPr>
      <w:r>
        <w:t xml:space="preserve">The Census Bureau field offices conduct four quarterly interviews with the sample unit over consecutive quarters.  </w:t>
      </w:r>
      <w:r w:rsidRPr="007D7DF6" w:rsidR="007162C7">
        <w:t xml:space="preserve">All four waves have a three month reference period and data from all waves </w:t>
      </w:r>
      <w:r w:rsidR="007162C7">
        <w:t>are</w:t>
      </w:r>
      <w:r w:rsidRPr="007D7DF6" w:rsidR="007162C7">
        <w:t xml:space="preserve"> used in the final, published data.  </w:t>
      </w:r>
    </w:p>
    <w:p w:rsidR="007162C7" w:rsidP="007162C7" w:rsidRDefault="007162C7" w14:paraId="4FF6385E" w14:textId="77777777">
      <w:pPr>
        <w:tabs>
          <w:tab w:val="left" w:pos="1176"/>
          <w:tab w:val="left" w:pos="1656"/>
          <w:tab w:val="left" w:pos="6696"/>
          <w:tab w:val="left" w:pos="8256"/>
        </w:tabs>
        <w:ind w:left="480"/>
      </w:pPr>
    </w:p>
    <w:p w:rsidR="00E5304B" w:rsidP="005A095E" w:rsidRDefault="001B2AF0" w14:paraId="53D41F54" w14:textId="2661C0CC">
      <w:pPr>
        <w:tabs>
          <w:tab w:val="left" w:pos="1176"/>
          <w:tab w:val="left" w:pos="1656"/>
          <w:tab w:val="left" w:pos="6696"/>
          <w:tab w:val="left" w:pos="8256"/>
        </w:tabs>
        <w:ind w:left="480"/>
      </w:pPr>
      <w:r>
        <w:t>In the CEQ</w:t>
      </w:r>
      <w:r w:rsidR="00B51EFD">
        <w:t xml:space="preserve">, CE is seeking clearance </w:t>
      </w:r>
      <w:r w:rsidR="0077258C">
        <w:t xml:space="preserve">to make changes to the CE Quarterly Interview Computer Assisted Personal Interview (CAPI) instrument. </w:t>
      </w:r>
      <w:r w:rsidR="00A46266">
        <w:t xml:space="preserve"> </w:t>
      </w:r>
      <w:r w:rsidR="0077258C">
        <w:t xml:space="preserve">The CEQ </w:t>
      </w:r>
      <w:r w:rsidR="00150C5F">
        <w:t xml:space="preserve">CAPI </w:t>
      </w:r>
      <w:r w:rsidR="0077258C">
        <w:t>instrument is the major collection tool used for the CEQ and collects the characteristics of the household, consumer unit (CU), and information on the CU’s expenditures</w:t>
      </w:r>
      <w:r w:rsidR="00BE65E8">
        <w:t xml:space="preserve"> through a series of four personal interview</w:t>
      </w:r>
      <w:r w:rsidR="003D1C7E">
        <w:t>s</w:t>
      </w:r>
      <w:r w:rsidR="0077258C">
        <w:t xml:space="preserve">.  </w:t>
      </w:r>
      <w:r w:rsidR="005A095E">
        <w:t xml:space="preserve">In the CEQ instrument, a question will be added on the number of members covered by Tricare; </w:t>
      </w:r>
      <w:r w:rsidR="00065DDC">
        <w:t xml:space="preserve"> the term Keoghs will be removed from the question on retirement accounts and replaced with more commonly used terms; </w:t>
      </w:r>
      <w:r w:rsidR="005A095E">
        <w:t>e-scooters will be added as an example to bike-share; audio and video expenditure item codes will be consolidated; school books will be separated from school supplies and equipment item codes; several detailed clothing items will be converted to global questions and the remaining clothing i</w:t>
      </w:r>
      <w:r w:rsidR="00065DDC">
        <w:t xml:space="preserve">tem codes will be reorganized.  </w:t>
      </w:r>
      <w:r w:rsidR="00A46266">
        <w:t>(</w:t>
      </w:r>
      <w:r w:rsidRPr="00C32C22" w:rsidR="0077258C">
        <w:t xml:space="preserve">See Attachment </w:t>
      </w:r>
      <w:r w:rsidR="0077258C">
        <w:t xml:space="preserve">A </w:t>
      </w:r>
      <w:r w:rsidRPr="00C32C22" w:rsidR="0077258C">
        <w:t xml:space="preserve">for </w:t>
      </w:r>
      <w:r w:rsidR="0077258C">
        <w:t>the CEQ CAPI instrument specifications</w:t>
      </w:r>
      <w:r w:rsidRPr="00C32C22" w:rsidR="0077258C">
        <w:t>.)</w:t>
      </w:r>
    </w:p>
    <w:p w:rsidR="0077258C" w:rsidP="0077258C" w:rsidRDefault="0077258C" w14:paraId="1118058F" w14:textId="77777777">
      <w:pPr>
        <w:tabs>
          <w:tab w:val="left" w:pos="1176"/>
          <w:tab w:val="left" w:pos="1656"/>
          <w:tab w:val="left" w:pos="6696"/>
          <w:tab w:val="left" w:pos="8256"/>
        </w:tabs>
        <w:ind w:left="480"/>
      </w:pPr>
    </w:p>
    <w:p w:rsidR="007E1A45" w:rsidP="0077258C" w:rsidRDefault="007E1A45" w14:paraId="044476B5" w14:textId="157B044D">
      <w:pPr>
        <w:tabs>
          <w:tab w:val="left" w:pos="1176"/>
          <w:tab w:val="left" w:pos="1656"/>
          <w:tab w:val="left" w:pos="6696"/>
          <w:tab w:val="left" w:pos="8256"/>
        </w:tabs>
        <w:ind w:left="480"/>
      </w:pPr>
      <w:r>
        <w:t>The CEQ added questions regarding stimulus payments paid by the Federal government under OMB clearance number 1220-0196 as an emergency clearance request.  This expiration on this clearance expires 11/30/2020.  CE plans to continue asking these questions through December of 2020</w:t>
      </w:r>
      <w:r w:rsidR="004F4A17">
        <w:t>,</w:t>
      </w:r>
      <w:r>
        <w:t xml:space="preserve"> and seeks clearance with this request to retain until this date.  If it is determined the questions are needed beyond December</w:t>
      </w:r>
      <w:r w:rsidR="004F4A17">
        <w:t>,</w:t>
      </w:r>
      <w:r>
        <w:t xml:space="preserve"> a </w:t>
      </w:r>
      <w:proofErr w:type="spellStart"/>
      <w:r>
        <w:t>nonsubstantive</w:t>
      </w:r>
      <w:proofErr w:type="spellEnd"/>
      <w:r>
        <w:t xml:space="preserve"> change request will be submitted to retain them for a longer period.</w:t>
      </w:r>
    </w:p>
    <w:p w:rsidR="007E1A45" w:rsidP="0077258C" w:rsidRDefault="007E1A45" w14:paraId="518A9DF9" w14:textId="77777777">
      <w:pPr>
        <w:tabs>
          <w:tab w:val="left" w:pos="1176"/>
          <w:tab w:val="left" w:pos="1656"/>
          <w:tab w:val="left" w:pos="6696"/>
          <w:tab w:val="left" w:pos="8256"/>
        </w:tabs>
        <w:ind w:left="480"/>
      </w:pPr>
    </w:p>
    <w:p w:rsidR="00C86B9F" w:rsidP="00A74207" w:rsidRDefault="00B3346C" w14:paraId="2B2CBD9B" w14:textId="0DED1E78">
      <w:pPr>
        <w:tabs>
          <w:tab w:val="left" w:pos="1176"/>
          <w:tab w:val="left" w:pos="1656"/>
          <w:tab w:val="left" w:pos="6696"/>
          <w:tab w:val="left" w:pos="8256"/>
        </w:tabs>
        <w:ind w:left="480"/>
      </w:pPr>
      <w:r w:rsidRPr="0064258D">
        <w:t xml:space="preserve">The CED uses both a CAPI instrument (see Attachment </w:t>
      </w:r>
      <w:r w:rsidR="00A46266">
        <w:t>B</w:t>
      </w:r>
      <w:r w:rsidRPr="0064258D">
        <w:t xml:space="preserve"> for the 20</w:t>
      </w:r>
      <w:r>
        <w:t>2</w:t>
      </w:r>
      <w:r w:rsidR="00A46266">
        <w:t>1</w:t>
      </w:r>
      <w:r w:rsidRPr="0064258D">
        <w:t xml:space="preserve"> Diary Instrument specifications), and the paper </w:t>
      </w:r>
      <w:r w:rsidR="00BE65E8">
        <w:t xml:space="preserve">diary </w:t>
      </w:r>
      <w:r w:rsidRPr="0064258D">
        <w:t>CE-801, Record of Your Daily Expenses (</w:t>
      </w:r>
      <w:r w:rsidR="00CF736E">
        <w:t xml:space="preserve">see </w:t>
      </w:r>
      <w:r w:rsidRPr="0064258D">
        <w:t xml:space="preserve">Attachment </w:t>
      </w:r>
      <w:r w:rsidR="00A46266">
        <w:t>C</w:t>
      </w:r>
      <w:r w:rsidRPr="0064258D">
        <w:t>).  The Diary CAPI instrument collects information about household and CU</w:t>
      </w:r>
      <w:r>
        <w:t xml:space="preserve"> demographic and income characteristics</w:t>
      </w:r>
      <w:r w:rsidRPr="0064258D">
        <w:t>.</w:t>
      </w:r>
      <w:r w:rsidRPr="00496C3B">
        <w:t xml:space="preserve">  </w:t>
      </w:r>
      <w:r w:rsidR="00A74207">
        <w:t>In both the CEQ and CED</w:t>
      </w:r>
      <w:r>
        <w:t xml:space="preserve"> CAPI instruments</w:t>
      </w:r>
      <w:r w:rsidR="00A74207">
        <w:t>, the term Keoghs will be removed from the question on retirement accounts and replaced with more commonly used terms</w:t>
      </w:r>
      <w:r w:rsidR="008E7E4A">
        <w:t>.</w:t>
      </w:r>
    </w:p>
    <w:p w:rsidR="00B3346C" w:rsidP="00A74207" w:rsidRDefault="00B3346C" w14:paraId="169D417B" w14:textId="77777777">
      <w:pPr>
        <w:tabs>
          <w:tab w:val="left" w:pos="1176"/>
          <w:tab w:val="left" w:pos="1656"/>
          <w:tab w:val="left" w:pos="6696"/>
          <w:tab w:val="left" w:pos="8256"/>
        </w:tabs>
        <w:ind w:left="480"/>
      </w:pPr>
    </w:p>
    <w:p w:rsidR="00BE65E8" w:rsidP="00BE65E8" w:rsidRDefault="00B3346C" w14:paraId="1BEA2A5C" w14:textId="5CB69930">
      <w:pPr>
        <w:tabs>
          <w:tab w:val="left" w:pos="1176"/>
          <w:tab w:val="left" w:pos="1656"/>
          <w:tab w:val="left" w:pos="6696"/>
          <w:tab w:val="left" w:pos="8256"/>
        </w:tabs>
        <w:ind w:left="480"/>
      </w:pPr>
      <w:r>
        <w:t xml:space="preserve">The CED </w:t>
      </w:r>
      <w:r w:rsidR="00BE65E8">
        <w:t>Diary</w:t>
      </w:r>
      <w:r>
        <w:t xml:space="preserve"> collects information on </w:t>
      </w:r>
      <w:r w:rsidR="006607DD">
        <w:t>CU expenditures</w:t>
      </w:r>
      <w:r>
        <w:t xml:space="preserve"> by asking each selected sample unit to keep two one-week diaries of </w:t>
      </w:r>
      <w:r w:rsidR="00BE65E8">
        <w:t xml:space="preserve">all </w:t>
      </w:r>
      <w:r>
        <w:t xml:space="preserve">expenditures.  </w:t>
      </w:r>
      <w:r w:rsidR="006607DD">
        <w:t xml:space="preserve">The </w:t>
      </w:r>
      <w:r w:rsidR="00BE65E8">
        <w:t>D</w:t>
      </w:r>
      <w:r w:rsidR="006607DD">
        <w:t xml:space="preserve">iary is necessary to collect expenditures that respondents may not be able to recall in a retrospective interview. </w:t>
      </w:r>
      <w:r w:rsidR="00BE65E8">
        <w:t xml:space="preserve"> In the Diary,</w:t>
      </w:r>
      <w:r w:rsidRPr="002E2480" w:rsidR="00BE65E8">
        <w:t xml:space="preserve"> </w:t>
      </w:r>
      <w:r w:rsidR="00BE65E8">
        <w:t xml:space="preserve">in order to accommodate CPI’s need for point of purchase collection, a column will be added to the clothing section to collect the store name or website where the item was purchased.  </w:t>
      </w:r>
    </w:p>
    <w:p w:rsidR="00B3346C" w:rsidP="00A74207" w:rsidRDefault="00B3346C" w14:paraId="29E5D69D" w14:textId="346C1883">
      <w:pPr>
        <w:tabs>
          <w:tab w:val="left" w:pos="1176"/>
          <w:tab w:val="left" w:pos="1656"/>
          <w:tab w:val="left" w:pos="6696"/>
          <w:tab w:val="left" w:pos="8256"/>
        </w:tabs>
        <w:ind w:left="480"/>
      </w:pPr>
    </w:p>
    <w:p w:rsidR="00925CC7" w:rsidP="00A74207" w:rsidRDefault="00BE65E8" w14:paraId="1CD4D1DA" w14:textId="6C1C165B">
      <w:pPr>
        <w:tabs>
          <w:tab w:val="left" w:pos="1176"/>
          <w:tab w:val="left" w:pos="1656"/>
          <w:tab w:val="left" w:pos="6696"/>
          <w:tab w:val="left" w:pos="8256"/>
        </w:tabs>
        <w:ind w:left="480"/>
      </w:pPr>
      <w:r>
        <w:t>A</w:t>
      </w:r>
      <w:r w:rsidR="002E2480">
        <w:t>dditionally</w:t>
      </w:r>
      <w:r w:rsidR="00131EF2">
        <w:t xml:space="preserve">, in order to avoid anticipated data collection issues, </w:t>
      </w:r>
      <w:r w:rsidRPr="005716EA" w:rsidR="00131EF2">
        <w:t xml:space="preserve">the </w:t>
      </w:r>
      <w:r w:rsidR="006E09C2">
        <w:t>primary sampling unit (</w:t>
      </w:r>
      <w:r w:rsidRPr="005716EA" w:rsidR="00131EF2">
        <w:t>PSU</w:t>
      </w:r>
      <w:r w:rsidR="006E09C2">
        <w:t>)</w:t>
      </w:r>
      <w:r w:rsidRPr="005716EA" w:rsidR="00131EF2">
        <w:t xml:space="preserve"> that was randomly chosen to represent stratum “N24F” will change from Wahpeton, ND to Brookings, SD.  </w:t>
      </w:r>
      <w:r w:rsidR="00131EF2">
        <w:t>(See Supporting Statement Part B for additional information on sample design.)</w:t>
      </w:r>
      <w:r w:rsidR="002E2480">
        <w:t xml:space="preserve">  </w:t>
      </w:r>
    </w:p>
    <w:p w:rsidR="00D6213F" w:rsidP="00A74207" w:rsidRDefault="00D6213F" w14:paraId="58FBF817" w14:textId="77777777">
      <w:pPr>
        <w:tabs>
          <w:tab w:val="left" w:pos="1176"/>
          <w:tab w:val="left" w:pos="1656"/>
          <w:tab w:val="left" w:pos="6696"/>
          <w:tab w:val="left" w:pos="8256"/>
        </w:tabs>
        <w:ind w:left="480"/>
      </w:pPr>
    </w:p>
    <w:p w:rsidR="00A46266" w:rsidP="003B1A6E" w:rsidRDefault="002E2480" w14:paraId="6E38794E" w14:textId="7767BA95">
      <w:pPr>
        <w:tabs>
          <w:tab w:val="left" w:pos="1176"/>
          <w:tab w:val="left" w:pos="1656"/>
          <w:tab w:val="left" w:pos="6696"/>
          <w:tab w:val="left" w:pos="8256"/>
        </w:tabs>
        <w:ind w:left="480"/>
        <w:rPr>
          <w:rFonts w:eastAsiaTheme="minorHAnsi"/>
        </w:rPr>
      </w:pPr>
      <w:bookmarkStart w:name="_GoBack" w:id="0"/>
      <w:bookmarkEnd w:id="0"/>
      <w:r w:rsidRPr="002A17A6">
        <w:t xml:space="preserve">Lastly, </w:t>
      </w:r>
      <w:r w:rsidRPr="002A17A6">
        <w:rPr>
          <w:rFonts w:eastAsiaTheme="minorHAnsi"/>
        </w:rPr>
        <w:t>to limit exposure of staff and respondents in response to the coronavirus pandemic, procedures for the</w:t>
      </w:r>
      <w:r w:rsidRPr="002A17A6" w:rsidR="00C86B9F">
        <w:rPr>
          <w:rFonts w:eastAsiaTheme="minorHAnsi"/>
        </w:rPr>
        <w:t xml:space="preserve"> CEQ and</w:t>
      </w:r>
      <w:r w:rsidRPr="002A17A6">
        <w:rPr>
          <w:rFonts w:eastAsiaTheme="minorHAnsi"/>
        </w:rPr>
        <w:t xml:space="preserve"> CED will be modified on an as needed basis.  </w:t>
      </w:r>
      <w:r w:rsidRPr="005716EA" w:rsidR="003B1A6E">
        <w:rPr>
          <w:rFonts w:eastAsiaTheme="minorHAnsi"/>
        </w:rPr>
        <w:t>In CED, t</w:t>
      </w:r>
      <w:r w:rsidRPr="002A17A6">
        <w:rPr>
          <w:rFonts w:eastAsiaTheme="minorHAnsi"/>
        </w:rPr>
        <w:t>hese modifications will include</w:t>
      </w:r>
      <w:r w:rsidRPr="002A17A6" w:rsidR="00925CC7">
        <w:rPr>
          <w:rFonts w:eastAsiaTheme="minorHAnsi"/>
        </w:rPr>
        <w:t xml:space="preserve"> emailing a link to a Diary form, </w:t>
      </w:r>
      <w:r w:rsidRPr="002A17A6">
        <w:rPr>
          <w:rFonts w:eastAsiaTheme="minorHAnsi"/>
        </w:rPr>
        <w:t>telephone transcription of expenditures from the Diary</w:t>
      </w:r>
      <w:r w:rsidRPr="002A17A6" w:rsidR="00925CC7">
        <w:rPr>
          <w:rFonts w:eastAsiaTheme="minorHAnsi"/>
        </w:rPr>
        <w:t>,</w:t>
      </w:r>
      <w:r w:rsidRPr="002A17A6">
        <w:rPr>
          <w:rFonts w:eastAsiaTheme="minorHAnsi"/>
        </w:rPr>
        <w:t xml:space="preserve"> and the availability of an online Diary</w:t>
      </w:r>
      <w:r w:rsidRPr="005716EA" w:rsidR="003B1A6E">
        <w:rPr>
          <w:rFonts w:eastAsiaTheme="minorHAnsi"/>
        </w:rPr>
        <w:t xml:space="preserve">.  In CEQ, these modifications will include </w:t>
      </w:r>
      <w:r w:rsidRPr="002A17A6" w:rsidR="00C86B9F">
        <w:rPr>
          <w:rFonts w:eastAsiaTheme="minorHAnsi"/>
        </w:rPr>
        <w:t xml:space="preserve">telephone </w:t>
      </w:r>
      <w:proofErr w:type="spellStart"/>
      <w:r w:rsidRPr="002A17A6" w:rsidR="00C86B9F">
        <w:rPr>
          <w:rFonts w:eastAsiaTheme="minorHAnsi"/>
        </w:rPr>
        <w:t>interiews</w:t>
      </w:r>
      <w:proofErr w:type="spellEnd"/>
      <w:r w:rsidRPr="002A17A6" w:rsidR="00C86B9F">
        <w:rPr>
          <w:rFonts w:eastAsiaTheme="minorHAnsi"/>
        </w:rPr>
        <w:t xml:space="preserve"> in lieu of in-person interviews</w:t>
      </w:r>
      <w:r w:rsidRPr="002A17A6">
        <w:rPr>
          <w:rFonts w:eastAsiaTheme="minorHAnsi"/>
        </w:rPr>
        <w:t>.</w:t>
      </w:r>
      <w:r w:rsidRPr="002A17A6" w:rsidR="00A74207">
        <w:rPr>
          <w:rFonts w:eastAsiaTheme="minorHAnsi"/>
        </w:rPr>
        <w:t xml:space="preserve">  </w:t>
      </w:r>
      <w:r w:rsidR="00CE465E">
        <w:t>(See</w:t>
      </w:r>
      <w:r w:rsidRPr="00657D3F" w:rsidR="00CE465E">
        <w:t xml:space="preserve"> </w:t>
      </w:r>
      <w:r w:rsidR="00CE465E">
        <w:rPr>
          <w:rFonts w:eastAsiaTheme="minorHAnsi"/>
        </w:rPr>
        <w:t>Attachment D for a detailed description of CED procedural changes resulting from the coronavirus pandemic</w:t>
      </w:r>
      <w:r w:rsidR="00D85526">
        <w:rPr>
          <w:rFonts w:eastAsiaTheme="minorHAnsi"/>
        </w:rPr>
        <w:t>,</w:t>
      </w:r>
      <w:r w:rsidR="00CE465E">
        <w:rPr>
          <w:rFonts w:eastAsiaTheme="minorHAnsi"/>
        </w:rPr>
        <w:t xml:space="preserve"> including an email template for sending the Diary electronically.)</w:t>
      </w:r>
    </w:p>
    <w:p w:rsidR="00A46266" w:rsidP="003B1A6E" w:rsidRDefault="00A46266" w14:paraId="1D1C90F4" w14:textId="77777777">
      <w:pPr>
        <w:tabs>
          <w:tab w:val="left" w:pos="1176"/>
          <w:tab w:val="left" w:pos="1656"/>
          <w:tab w:val="left" w:pos="6696"/>
          <w:tab w:val="left" w:pos="8256"/>
        </w:tabs>
        <w:ind w:left="480"/>
        <w:rPr>
          <w:rFonts w:eastAsiaTheme="minorHAnsi"/>
        </w:rPr>
      </w:pPr>
    </w:p>
    <w:p w:rsidR="00A46266" w:rsidP="00A46266" w:rsidRDefault="00A46266" w14:paraId="343162CE" w14:textId="361D9AD0">
      <w:pPr>
        <w:tabs>
          <w:tab w:val="left" w:pos="1176"/>
          <w:tab w:val="left" w:pos="1656"/>
          <w:tab w:val="left" w:pos="6696"/>
          <w:tab w:val="left" w:pos="8256"/>
        </w:tabs>
        <w:ind w:left="480"/>
      </w:pPr>
      <w:r w:rsidRPr="001E7B52">
        <w:t>Before the interviewer’s visit, each CEQ and CED sample household receives an Advance Letter, the CE</w:t>
      </w:r>
      <w:r w:rsidRPr="001E7B52">
        <w:noBreakHyphen/>
        <w:t>303L1, 2</w:t>
      </w:r>
      <w:r>
        <w:t>,</w:t>
      </w:r>
      <w:r w:rsidRPr="001E7B52">
        <w:t xml:space="preserve"> 3, or 4 (Attachment </w:t>
      </w:r>
      <w:r w:rsidR="00CE465E">
        <w:t>E</w:t>
      </w:r>
      <w:r w:rsidRPr="001E7B52">
        <w:t>(a-d)</w:t>
      </w:r>
      <w:r>
        <w:t xml:space="preserve"> </w:t>
      </w:r>
      <w:r w:rsidRPr="001E7B52">
        <w:t xml:space="preserve">or CE-803(L) (Attachment </w:t>
      </w:r>
      <w:r w:rsidR="00CE465E">
        <w:t>E</w:t>
      </w:r>
      <w:r w:rsidRPr="001E7B52">
        <w:t xml:space="preserve">(e)).  These letters explain the nature of the information the BLS wants to collect and the uses of the CEQ or the CED data, as appropriate; inform the respondents of the confidential treatment of all identifying information they provide; request the respondents’ participation in the survey; describe the survey’s compliance with the relevant provisions of the Privacy Act and the Office of Management and Budget (OMB) disclosure requirements; and provide a link to the address of the respondent’s informational webpage.  </w:t>
      </w:r>
      <w:r>
        <w:t>T</w:t>
      </w:r>
      <w:r w:rsidRPr="001E7B52">
        <w:t xml:space="preserve">he advance letters for the CEQ </w:t>
      </w:r>
      <w:r>
        <w:t>will be</w:t>
      </w:r>
      <w:r w:rsidRPr="001E7B52">
        <w:t xml:space="preserve"> updated to re</w:t>
      </w:r>
      <w:r>
        <w:t>f</w:t>
      </w:r>
      <w:r w:rsidRPr="001E7B52">
        <w:t>lect changes in the estimated time to complete the interview</w:t>
      </w:r>
      <w:r>
        <w:t xml:space="preserve"> with the removal of the clothing section</w:t>
      </w:r>
      <w:r w:rsidRPr="001E7B52">
        <w:t xml:space="preserve">.  Each of the advance letters and several of the brochures in the portfolio are available in the following languages: </w:t>
      </w:r>
      <w:r w:rsidR="006763F9">
        <w:t xml:space="preserve">English, </w:t>
      </w:r>
      <w:r w:rsidRPr="001E7B52">
        <w:t>Arabic, Chinese, Korean, Spanish, Russian, Vietnamese, and Polish.</w:t>
      </w:r>
      <w:r>
        <w:t xml:space="preserve"> </w:t>
      </w:r>
    </w:p>
    <w:p w:rsidR="00A46266" w:rsidP="003B1A6E" w:rsidRDefault="00A46266" w14:paraId="6BF1B336" w14:textId="77777777">
      <w:pPr>
        <w:tabs>
          <w:tab w:val="left" w:pos="1176"/>
          <w:tab w:val="left" w:pos="1656"/>
          <w:tab w:val="left" w:pos="6696"/>
          <w:tab w:val="left" w:pos="8256"/>
        </w:tabs>
        <w:ind w:left="480"/>
        <w:rPr>
          <w:rFonts w:eastAsiaTheme="minorHAnsi"/>
        </w:rPr>
      </w:pPr>
    </w:p>
    <w:p w:rsidR="001B2AF0" w:rsidP="003B1A6E" w:rsidRDefault="003B1A6E" w14:paraId="535A5E64" w14:textId="5BCB33C8">
      <w:pPr>
        <w:tabs>
          <w:tab w:val="left" w:pos="1176"/>
          <w:tab w:val="left" w:pos="1656"/>
          <w:tab w:val="left" w:pos="6696"/>
          <w:tab w:val="left" w:pos="8256"/>
        </w:tabs>
        <w:ind w:left="480"/>
      </w:pPr>
      <w:r w:rsidRPr="002A17A6">
        <w:rPr>
          <w:rFonts w:eastAsiaTheme="minorHAnsi"/>
        </w:rPr>
        <w:t xml:space="preserve">For </w:t>
      </w:r>
      <w:r w:rsidRPr="005716EA">
        <w:t xml:space="preserve">both CEQ and CED, additional wording will be added </w:t>
      </w:r>
      <w:r w:rsidR="00A46266">
        <w:t xml:space="preserve">to the CAPI instruments </w:t>
      </w:r>
      <w:r w:rsidRPr="005716EA">
        <w:t xml:space="preserve">regarding </w:t>
      </w:r>
      <w:proofErr w:type="gramStart"/>
      <w:r w:rsidRPr="005716EA">
        <w:t>receipt</w:t>
      </w:r>
      <w:proofErr w:type="gramEnd"/>
      <w:r w:rsidRPr="005716EA">
        <w:t xml:space="preserve"> of the advance letter in order to ensure communication of the confidentiality and Paperwork Reduction Act statements to respondents who may not have received the advanced letter due to disruptions related to the coronavirus pandemic.  (See Attachment </w:t>
      </w:r>
      <w:r w:rsidR="00CE465E">
        <w:t xml:space="preserve">F </w:t>
      </w:r>
      <w:r w:rsidRPr="005716EA">
        <w:t>- Respondent Contact Procedures and Email Template for additional information on the additional wording and email for advance letters</w:t>
      </w:r>
      <w:r w:rsidR="00A74207">
        <w:rPr>
          <w:rFonts w:eastAsiaTheme="minorHAnsi"/>
        </w:rPr>
        <w:t>.)</w:t>
      </w:r>
    </w:p>
    <w:p w:rsidR="001B2AF0" w:rsidP="00A3315A" w:rsidRDefault="001B2AF0" w14:paraId="4CE40635" w14:textId="77777777">
      <w:pPr>
        <w:tabs>
          <w:tab w:val="left" w:pos="1176"/>
          <w:tab w:val="left" w:pos="1656"/>
          <w:tab w:val="left" w:pos="6696"/>
          <w:tab w:val="left" w:pos="8256"/>
        </w:tabs>
        <w:ind w:left="480"/>
      </w:pPr>
    </w:p>
    <w:p w:rsidRPr="0064258D" w:rsidR="00CE642F" w:rsidP="00A3315A" w:rsidRDefault="00CE642F" w14:paraId="61F97AB9" w14:textId="3F6B1178">
      <w:pPr>
        <w:tabs>
          <w:tab w:val="left" w:pos="1176"/>
          <w:tab w:val="left" w:pos="1656"/>
          <w:tab w:val="left" w:pos="6696"/>
          <w:tab w:val="left" w:pos="8256"/>
        </w:tabs>
        <w:ind w:left="480"/>
      </w:pPr>
      <w:r w:rsidRPr="0064258D">
        <w:t>For a full list of all questions in the 20</w:t>
      </w:r>
      <w:r>
        <w:t>2</w:t>
      </w:r>
      <w:r w:rsidR="00A74207">
        <w:t>1</w:t>
      </w:r>
      <w:r>
        <w:t xml:space="preserve"> </w:t>
      </w:r>
      <w:r w:rsidRPr="0064258D">
        <w:t xml:space="preserve">CEQ Interview Instrument, please see the Interview Instrument Specifications – Attachment </w:t>
      </w:r>
      <w:r w:rsidR="00A46266">
        <w:t>A</w:t>
      </w:r>
      <w:r w:rsidRPr="0064258D">
        <w:t>.  For a full list of all questions in the 20</w:t>
      </w:r>
      <w:r>
        <w:t>2</w:t>
      </w:r>
      <w:r w:rsidR="00A74207">
        <w:t>1</w:t>
      </w:r>
      <w:r w:rsidRPr="0064258D">
        <w:t xml:space="preserve"> CED Interview Instrument, please see the Diary Instrument Specifications – Attachment </w:t>
      </w:r>
      <w:r w:rsidR="00A46266">
        <w:t>B</w:t>
      </w:r>
      <w:r w:rsidRPr="0064258D">
        <w:t xml:space="preserve">.  For an updated Diary Survey form, please see Diary Form - Attachment </w:t>
      </w:r>
      <w:r w:rsidR="00A46266">
        <w:t>C</w:t>
      </w:r>
      <w:r w:rsidRPr="0064258D">
        <w:t>.</w:t>
      </w:r>
    </w:p>
    <w:p w:rsidR="00CE642F" w:rsidP="002A6280" w:rsidRDefault="00CE642F" w14:paraId="1C08B0AA" w14:textId="77777777">
      <w:pPr>
        <w:tabs>
          <w:tab w:val="left" w:pos="1176"/>
          <w:tab w:val="left" w:pos="1656"/>
          <w:tab w:val="left" w:pos="6696"/>
          <w:tab w:val="left" w:pos="8256"/>
        </w:tabs>
        <w:ind w:left="480"/>
      </w:pPr>
    </w:p>
    <w:p w:rsidR="002A6280" w:rsidP="002A6280" w:rsidRDefault="002A6280" w14:paraId="61471F75" w14:textId="77777777">
      <w:pPr>
        <w:tabs>
          <w:tab w:val="left" w:pos="1176"/>
          <w:tab w:val="left" w:pos="1656"/>
          <w:tab w:val="left" w:pos="6696"/>
          <w:tab w:val="left" w:pos="8256"/>
        </w:tabs>
        <w:ind w:left="480"/>
      </w:pPr>
    </w:p>
    <w:p w:rsidR="0097569B" w:rsidP="0097569B" w:rsidRDefault="00AE0BAD" w14:paraId="008EBDA0" w14:textId="6516A811">
      <w:pPr>
        <w:tabs>
          <w:tab w:val="left" w:pos="1176"/>
          <w:tab w:val="left" w:pos="1656"/>
          <w:tab w:val="left" w:pos="6696"/>
          <w:tab w:val="left" w:pos="8256"/>
        </w:tabs>
        <w:ind w:left="480"/>
      </w:pPr>
      <w:r w:rsidRPr="00A8191E">
        <w:lastRenderedPageBreak/>
        <w:t xml:space="preserve">A subsample of approximately </w:t>
      </w:r>
      <w:r>
        <w:t>1</w:t>
      </w:r>
      <w:r w:rsidR="005054E4">
        <w:t>2</w:t>
      </w:r>
      <w:r w:rsidRPr="00A8191E">
        <w:t xml:space="preserve"> percent of households in the </w:t>
      </w:r>
      <w:r w:rsidR="006763F9">
        <w:t>CEQ</w:t>
      </w:r>
      <w:r>
        <w:t xml:space="preserve"> </w:t>
      </w:r>
      <w:r w:rsidRPr="00A8191E">
        <w:t xml:space="preserve">and </w:t>
      </w:r>
      <w:r w:rsidR="005054E4">
        <w:t>10</w:t>
      </w:r>
      <w:r>
        <w:t xml:space="preserve"> percent in the </w:t>
      </w:r>
      <w:r w:rsidR="006763F9">
        <w:t>CED</w:t>
      </w:r>
      <w:r>
        <w:t xml:space="preserve"> will participate in an additional </w:t>
      </w:r>
      <w:r w:rsidR="0097569B">
        <w:t xml:space="preserve">CAPI </w:t>
      </w:r>
      <w:r>
        <w:t xml:space="preserve">interview, referred to as </w:t>
      </w:r>
      <w:proofErr w:type="spellStart"/>
      <w:r w:rsidRPr="00D36270">
        <w:t>reinterview</w:t>
      </w:r>
      <w:proofErr w:type="spellEnd"/>
      <w:r w:rsidRPr="00D36270">
        <w:t xml:space="preserve">, for the purpose of instituting quality control over the performance of the interviewing staff.  </w:t>
      </w:r>
      <w:r w:rsidRPr="00D36270" w:rsidR="0097569B">
        <w:t>T</w:t>
      </w:r>
      <w:r w:rsidRPr="00D36270">
        <w:t>he</w:t>
      </w:r>
      <w:r w:rsidR="00C94327">
        <w:t>re are no changes to the</w:t>
      </w:r>
      <w:r w:rsidRPr="00D36270">
        <w:t xml:space="preserve"> </w:t>
      </w:r>
      <w:r w:rsidRPr="00D36270" w:rsidR="00CE642F">
        <w:t>20</w:t>
      </w:r>
      <w:r w:rsidR="00CE642F">
        <w:t>2</w:t>
      </w:r>
      <w:r w:rsidR="00A55C6F">
        <w:t>1</w:t>
      </w:r>
      <w:r w:rsidRPr="00D36270" w:rsidR="00CE642F">
        <w:t xml:space="preserve"> </w:t>
      </w:r>
      <w:r w:rsidRPr="00D36270">
        <w:t xml:space="preserve">Interview CAPI </w:t>
      </w:r>
      <w:proofErr w:type="spellStart"/>
      <w:r w:rsidRPr="00D36270">
        <w:t>Reinterview</w:t>
      </w:r>
      <w:proofErr w:type="spellEnd"/>
      <w:r w:rsidRPr="00D36270" w:rsidR="0097569B">
        <w:t xml:space="preserve"> instrument (See Attachment </w:t>
      </w:r>
      <w:r w:rsidR="00CE465E">
        <w:t>G</w:t>
      </w:r>
      <w:r w:rsidRPr="00D36270" w:rsidR="00CE465E">
        <w:t xml:space="preserve"> </w:t>
      </w:r>
      <w:r w:rsidRPr="00D36270" w:rsidR="00C32C22">
        <w:t>-</w:t>
      </w:r>
      <w:r w:rsidR="00AE3967">
        <w:t xml:space="preserve"> </w:t>
      </w:r>
      <w:r w:rsidRPr="00D36270" w:rsidR="0097569B">
        <w:t>Final CEQ RI Instrument Specs)</w:t>
      </w:r>
      <w:r w:rsidR="00821F4F">
        <w:t>.</w:t>
      </w:r>
      <w:r w:rsidRPr="00D36270" w:rsidR="0097569B">
        <w:t xml:space="preserve"> </w:t>
      </w:r>
      <w:r w:rsidR="00411F2A">
        <w:t xml:space="preserve"> </w:t>
      </w:r>
      <w:r w:rsidRPr="00D36270" w:rsidR="0097569B">
        <w:t>T</w:t>
      </w:r>
      <w:r w:rsidRPr="00D36270">
        <w:t xml:space="preserve">he Diary </w:t>
      </w:r>
      <w:proofErr w:type="spellStart"/>
      <w:r w:rsidRPr="00D36270">
        <w:t>Reinterview</w:t>
      </w:r>
      <w:proofErr w:type="spellEnd"/>
      <w:r w:rsidRPr="00D36270">
        <w:t xml:space="preserve"> Instrument for 20</w:t>
      </w:r>
      <w:r w:rsidR="00CE642F">
        <w:t xml:space="preserve">20 </w:t>
      </w:r>
      <w:r w:rsidRPr="00D36270" w:rsidR="0097569B">
        <w:t>will not change</w:t>
      </w:r>
      <w:r w:rsidRPr="00D36270" w:rsidR="00321E79">
        <w:t>, n</w:t>
      </w:r>
      <w:r w:rsidRPr="00D36270" w:rsidR="0097569B">
        <w:t>or have changes been mad</w:t>
      </w:r>
      <w:r w:rsidRPr="00D36270" w:rsidR="00FD48B0">
        <w:t xml:space="preserve">e since 2004.  (See Attachment </w:t>
      </w:r>
      <w:r w:rsidR="00CE465E">
        <w:t>H</w:t>
      </w:r>
      <w:r w:rsidRPr="00D36270" w:rsidR="00CE465E">
        <w:t xml:space="preserve"> </w:t>
      </w:r>
      <w:r w:rsidRPr="00D36270" w:rsidR="00C32C22">
        <w:t>-</w:t>
      </w:r>
      <w:r w:rsidRPr="00D36270" w:rsidR="0097569B">
        <w:t xml:space="preserve"> CED RI Instrument Specs and Attachments).</w:t>
      </w:r>
      <w:r w:rsidR="0097569B">
        <w:t xml:space="preserve">  </w:t>
      </w:r>
    </w:p>
    <w:p w:rsidR="00474884" w:rsidP="00673B1B" w:rsidRDefault="00474884" w14:paraId="42B67237" w14:textId="77777777">
      <w:pPr>
        <w:tabs>
          <w:tab w:val="left" w:pos="1176"/>
          <w:tab w:val="left" w:pos="1656"/>
          <w:tab w:val="left" w:pos="6696"/>
          <w:tab w:val="left" w:pos="8256"/>
        </w:tabs>
        <w:ind w:left="480"/>
      </w:pPr>
    </w:p>
    <w:p w:rsidR="00AE3967" w:rsidP="00AE3967" w:rsidRDefault="00673B1B" w14:paraId="65B281CE" w14:textId="003FC515">
      <w:pPr>
        <w:tabs>
          <w:tab w:val="left" w:pos="1176"/>
          <w:tab w:val="left" w:pos="1656"/>
          <w:tab w:val="left" w:pos="6696"/>
          <w:tab w:val="left" w:pos="8256"/>
        </w:tabs>
        <w:ind w:left="480"/>
      </w:pPr>
      <w:r w:rsidRPr="005E378C">
        <w:t xml:space="preserve">A separate Information Booklet is used for each survey.  </w:t>
      </w:r>
      <w:r w:rsidR="00A55C6F">
        <w:t>C</w:t>
      </w:r>
      <w:r w:rsidRPr="005E378C" w:rsidR="00AE3967">
        <w:t xml:space="preserve">hanges have been made to </w:t>
      </w:r>
      <w:r w:rsidR="00A55C6F">
        <w:t>both</w:t>
      </w:r>
      <w:r w:rsidRPr="005E378C" w:rsidR="00D125E0">
        <w:t xml:space="preserve"> </w:t>
      </w:r>
      <w:r w:rsidRPr="005E378C" w:rsidR="00AE3967">
        <w:t xml:space="preserve">the </w:t>
      </w:r>
      <w:r w:rsidR="006763F9">
        <w:t>CEQ</w:t>
      </w:r>
      <w:r w:rsidRPr="005E378C" w:rsidR="00930FE6">
        <w:t xml:space="preserve"> Information Booklet CE</w:t>
      </w:r>
      <w:r w:rsidRPr="005E378C" w:rsidR="00930FE6">
        <w:noBreakHyphen/>
        <w:t>305 (</w:t>
      </w:r>
      <w:r w:rsidRPr="005E378C" w:rsidR="00B07981">
        <w:t>A</w:t>
      </w:r>
      <w:r w:rsidRPr="005E378C" w:rsidR="00930FE6">
        <w:t xml:space="preserve">ttachment </w:t>
      </w:r>
      <w:r w:rsidR="00960B06">
        <w:t>I</w:t>
      </w:r>
      <w:r w:rsidRPr="005E378C" w:rsidR="00930FE6">
        <w:t>)</w:t>
      </w:r>
      <w:r w:rsidRPr="005E378C" w:rsidR="00321E79">
        <w:t xml:space="preserve"> </w:t>
      </w:r>
      <w:r w:rsidR="00A55C6F">
        <w:t>and</w:t>
      </w:r>
      <w:r w:rsidR="00D125E0">
        <w:t xml:space="preserve"> to </w:t>
      </w:r>
      <w:r w:rsidRPr="005E378C" w:rsidR="00AE3967">
        <w:t>t</w:t>
      </w:r>
      <w:r w:rsidRPr="005E378C" w:rsidR="00035F53">
        <w:t xml:space="preserve">he </w:t>
      </w:r>
      <w:r w:rsidR="006763F9">
        <w:t>CED</w:t>
      </w:r>
      <w:r w:rsidRPr="005E378C" w:rsidR="00AE3967">
        <w:t xml:space="preserve"> Information Booklet CE-805 (</w:t>
      </w:r>
      <w:r w:rsidRPr="005E378C" w:rsidR="00FD48B0">
        <w:t xml:space="preserve">Attachment </w:t>
      </w:r>
      <w:r w:rsidR="00960B06">
        <w:t>J</w:t>
      </w:r>
      <w:r w:rsidR="00CE642F">
        <w:t>)</w:t>
      </w:r>
      <w:r w:rsidR="008429A4">
        <w:t>,</w:t>
      </w:r>
      <w:r w:rsidR="00A55C6F">
        <w:t xml:space="preserve"> to support the </w:t>
      </w:r>
      <w:r w:rsidR="00E426FA">
        <w:t xml:space="preserve">previously stated </w:t>
      </w:r>
      <w:r w:rsidR="00A55C6F">
        <w:t>changes to the CEQ and CED</w:t>
      </w:r>
      <w:r w:rsidRPr="005E378C" w:rsidR="00AE3967">
        <w:t>.</w:t>
      </w:r>
    </w:p>
    <w:p w:rsidR="00AE3967" w:rsidP="00AE3967" w:rsidRDefault="00AE3967" w14:paraId="5DD8C4AD" w14:textId="77777777">
      <w:pPr>
        <w:tabs>
          <w:tab w:val="left" w:pos="1176"/>
          <w:tab w:val="left" w:pos="1656"/>
          <w:tab w:val="left" w:pos="6696"/>
          <w:tab w:val="left" w:pos="8256"/>
        </w:tabs>
        <w:ind w:left="480"/>
      </w:pPr>
    </w:p>
    <w:p w:rsidR="001A1BBB" w:rsidP="00AE3967" w:rsidRDefault="00673B1B" w14:paraId="609EC3A7" w14:textId="29786C6E">
      <w:pPr>
        <w:tabs>
          <w:tab w:val="left" w:pos="1176"/>
          <w:tab w:val="left" w:pos="1656"/>
          <w:tab w:val="left" w:pos="6696"/>
          <w:tab w:val="left" w:pos="8256"/>
        </w:tabs>
        <w:ind w:left="480"/>
      </w:pPr>
      <w:r w:rsidRPr="000E1156">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w:t>
      </w:r>
      <w:r w:rsidR="008429A4">
        <w:t>,</w:t>
      </w:r>
      <w:r w:rsidR="00F7557A">
        <w:t xml:space="preserve"> and the Census Bureau</w:t>
      </w:r>
      <w:r w:rsidRPr="000E1156">
        <w:t xml:space="preserve"> (</w:t>
      </w:r>
      <w:r w:rsidR="00B07981">
        <w:t>A</w:t>
      </w:r>
      <w:r w:rsidRPr="000E1156" w:rsidR="00811B8A">
        <w:t xml:space="preserve">ttachment </w:t>
      </w:r>
      <w:r w:rsidR="00960B06">
        <w:t>K</w:t>
      </w:r>
      <w:r w:rsidRPr="000E1156" w:rsidR="007A662F">
        <w:t xml:space="preserve">).  </w:t>
      </w:r>
      <w:r w:rsidR="004E1442">
        <w:t xml:space="preserve">Also available to respondents is </w:t>
      </w:r>
      <w:r w:rsidR="00DF159B">
        <w:t>the</w:t>
      </w:r>
      <w:r w:rsidR="004E1442">
        <w:t xml:space="preserve"> respondent </w:t>
      </w:r>
      <w:r w:rsidR="008429A4">
        <w:t>w</w:t>
      </w:r>
      <w:r w:rsidR="004E1442">
        <w:t>eb page</w:t>
      </w:r>
      <w:r w:rsidR="00A3372C">
        <w:t xml:space="preserve">, various respondent handouts (Attachment </w:t>
      </w:r>
      <w:r w:rsidR="00960B06">
        <w:t>L</w:t>
      </w:r>
      <w:r w:rsidR="00A3372C">
        <w:t xml:space="preserve">), and an endorsement from the Federal Reserve Board of Governors (Attachment </w:t>
      </w:r>
      <w:r w:rsidR="00960B06">
        <w:t>M</w:t>
      </w:r>
      <w:r w:rsidR="00A3372C">
        <w:t>)</w:t>
      </w:r>
      <w:r w:rsidR="004E1442">
        <w:t xml:space="preserve">.  </w:t>
      </w:r>
      <w:r w:rsidR="00A3372C">
        <w:t>The respondent web</w:t>
      </w:r>
      <w:r w:rsidR="00914394">
        <w:t xml:space="preserve"> </w:t>
      </w:r>
      <w:r w:rsidR="004E1442">
        <w:t>page contains information about the CE surveys, frequently asked questions, and links to the most recent CE data</w:t>
      </w:r>
      <w:r w:rsidR="00436B9C">
        <w:t xml:space="preserve">. </w:t>
      </w:r>
      <w:r w:rsidR="004E1442">
        <w:t xml:space="preserve"> </w:t>
      </w:r>
      <w:r w:rsidR="00A3372C">
        <w:t xml:space="preserve">The respondent handouts contain spending summaries for various demographic characteristics and expenditures on pets.  </w:t>
      </w:r>
      <w:r w:rsidR="00237C5D">
        <w:t xml:space="preserve">Additional respondent handouts containing spending summaries may be made available.  A non-substantive change request will be made if this occurs.  </w:t>
      </w:r>
      <w:r w:rsidR="001A1BBB">
        <w:t xml:space="preserve">Respondents who participate in the Interview Survey are also provided with a </w:t>
      </w:r>
      <w:r w:rsidRPr="00E3685C" w:rsidR="001A1BBB">
        <w:t>“</w:t>
      </w:r>
      <w:r w:rsidR="001A1BBB">
        <w:t xml:space="preserve">Home File” in which to save their bills and receipts for use at the next </w:t>
      </w:r>
      <w:r w:rsidR="00705047">
        <w:t xml:space="preserve">CEQ </w:t>
      </w:r>
      <w:r w:rsidR="00B94036">
        <w:t>interview.</w:t>
      </w:r>
    </w:p>
    <w:p w:rsidR="001A1BBB" w:rsidP="00673B1B" w:rsidRDefault="001A1BBB" w14:paraId="45C4C2D2" w14:textId="77777777">
      <w:pPr>
        <w:tabs>
          <w:tab w:val="left" w:pos="1176"/>
          <w:tab w:val="left" w:pos="1656"/>
          <w:tab w:val="left" w:pos="6696"/>
          <w:tab w:val="left" w:pos="8256"/>
        </w:tabs>
        <w:ind w:left="480"/>
      </w:pPr>
    </w:p>
    <w:p w:rsidR="00E1165B" w:rsidP="00673B1B" w:rsidRDefault="00673B1B" w14:paraId="2E1A0173" w14:textId="3FE610B4">
      <w:pPr>
        <w:tabs>
          <w:tab w:val="left" w:pos="1176"/>
          <w:tab w:val="left" w:pos="1656"/>
          <w:tab w:val="left" w:pos="6696"/>
          <w:tab w:val="left" w:pos="8256"/>
        </w:tabs>
        <w:ind w:left="480"/>
        <w:rPr>
          <w:highlight w:val="yellow"/>
        </w:rPr>
      </w:pPr>
      <w:r w:rsidRPr="00E32F8A">
        <w:t xml:space="preserve">After each interview for the </w:t>
      </w:r>
      <w:r w:rsidRPr="00E32F8A" w:rsidR="00035F53">
        <w:t>CEQ</w:t>
      </w:r>
      <w:r w:rsidRPr="00E32F8A" w:rsidR="008D1E4F">
        <w:t xml:space="preserve"> or after completion of the week 2 Diary</w:t>
      </w:r>
      <w:r w:rsidRPr="00E32F8A">
        <w:t xml:space="preserve">, each participating household receives a Thank You </w:t>
      </w:r>
      <w:r w:rsidRPr="00E32F8A" w:rsidR="00AE36B8">
        <w:t>letter, CE</w:t>
      </w:r>
      <w:r w:rsidRPr="00E32F8A" w:rsidR="00AE36B8">
        <w:noBreakHyphen/>
        <w:t>303(L)6</w:t>
      </w:r>
      <w:r w:rsidRPr="00E32F8A" w:rsidR="008D1E4F">
        <w:t xml:space="preserve"> or CE-803(L)6</w:t>
      </w:r>
      <w:r w:rsidRPr="00E32F8A" w:rsidR="00AE36B8">
        <w:t xml:space="preserve"> (</w:t>
      </w:r>
      <w:r w:rsidRPr="00E32F8A" w:rsidR="00B07981">
        <w:t>A</w:t>
      </w:r>
      <w:r w:rsidRPr="00E32F8A" w:rsidR="00AE36B8">
        <w:t xml:space="preserve">ttachment </w:t>
      </w:r>
      <w:r w:rsidR="00960B06">
        <w:t>N</w:t>
      </w:r>
      <w:r w:rsidR="00A46266">
        <w:t xml:space="preserve"> </w:t>
      </w:r>
      <w:r w:rsidR="009729D9">
        <w:t>(a-b)</w:t>
      </w:r>
      <w:r w:rsidRPr="00E32F8A" w:rsidR="00AE36B8">
        <w:t>) as well as a certificate</w:t>
      </w:r>
      <w:r w:rsidRPr="00E32F8A" w:rsidR="00811B8A">
        <w:t xml:space="preserve"> of appreciation</w:t>
      </w:r>
      <w:r w:rsidRPr="00E32F8A" w:rsidR="003E2CF1">
        <w:t>, CE-900</w:t>
      </w:r>
      <w:r w:rsidRPr="00E32F8A" w:rsidR="00811B8A">
        <w:t xml:space="preserve"> (</w:t>
      </w:r>
      <w:r w:rsidRPr="00E32F8A" w:rsidR="00B07981">
        <w:t>A</w:t>
      </w:r>
      <w:r w:rsidRPr="00E32F8A" w:rsidR="00811B8A">
        <w:t xml:space="preserve">ttachment </w:t>
      </w:r>
      <w:r w:rsidR="00960B06">
        <w:t>O</w:t>
      </w:r>
      <w:r w:rsidRPr="00E32F8A">
        <w:t>).</w:t>
      </w:r>
      <w:r w:rsidRPr="00E32F8A" w:rsidR="00F7557A">
        <w:t xml:space="preserve">  </w:t>
      </w:r>
    </w:p>
    <w:p w:rsidR="00E1165B" w:rsidP="00673B1B" w:rsidRDefault="00E1165B" w14:paraId="0DC8868F" w14:textId="77777777">
      <w:pPr>
        <w:tabs>
          <w:tab w:val="left" w:pos="1176"/>
          <w:tab w:val="left" w:pos="1656"/>
          <w:tab w:val="left" w:pos="6696"/>
          <w:tab w:val="left" w:pos="8256"/>
        </w:tabs>
        <w:ind w:left="480"/>
        <w:rPr>
          <w:highlight w:val="yellow"/>
        </w:rPr>
      </w:pPr>
    </w:p>
    <w:p w:rsidR="001930A9" w:rsidP="00673B1B" w:rsidRDefault="003E2CF1" w14:paraId="2872D45F" w14:textId="34DF2410">
      <w:pPr>
        <w:tabs>
          <w:tab w:val="left" w:pos="1176"/>
          <w:tab w:val="left" w:pos="1656"/>
          <w:tab w:val="left" w:pos="6696"/>
          <w:tab w:val="left" w:pos="8256"/>
        </w:tabs>
        <w:ind w:left="480"/>
      </w:pPr>
      <w:r w:rsidRPr="00E32F8A">
        <w:t>As appropriate, Census Field representatives may also provide supplemental flyers on the Quarterly Interview or the Diary Survey (Attachments</w:t>
      </w:r>
      <w:r w:rsidR="00CE642F">
        <w:t xml:space="preserve"> </w:t>
      </w:r>
      <w:r w:rsidR="00960B06">
        <w:t>P</w:t>
      </w:r>
      <w:r w:rsidRPr="00E32F8A" w:rsidR="007A62B8">
        <w:t xml:space="preserve"> </w:t>
      </w:r>
      <w:r w:rsidRPr="00E32F8A">
        <w:t xml:space="preserve">and </w:t>
      </w:r>
      <w:r w:rsidR="00960B06">
        <w:t>Q</w:t>
      </w:r>
      <w:r w:rsidRPr="00E32F8A">
        <w:t>).</w:t>
      </w:r>
    </w:p>
    <w:p w:rsidR="00474884" w:rsidP="00474884" w:rsidRDefault="00474884" w14:paraId="58E9EB43" w14:textId="77777777">
      <w:pPr>
        <w:tabs>
          <w:tab w:val="left" w:pos="1176"/>
          <w:tab w:val="left" w:pos="1656"/>
          <w:tab w:val="left" w:pos="6696"/>
          <w:tab w:val="left" w:pos="8256"/>
        </w:tabs>
        <w:ind w:left="480"/>
      </w:pPr>
    </w:p>
    <w:p w:rsidR="00673B1B" w:rsidP="00673B1B" w:rsidRDefault="00673B1B" w14:paraId="20F35876" w14:textId="77777777">
      <w:pPr>
        <w:tabs>
          <w:tab w:val="left" w:pos="1176"/>
          <w:tab w:val="left" w:pos="1656"/>
          <w:tab w:val="left" w:pos="6696"/>
          <w:tab w:val="left" w:pos="8256"/>
        </w:tabs>
        <w:ind w:left="480"/>
      </w:pPr>
      <w:r>
        <w:t xml:space="preserve">The BLS conducts the CE Surveys under the authority of Title 29, Section 2 of the United States Code.  The Census Bureau collects information in the CE Surveys under the authority of Title 13, United States Code, </w:t>
      </w:r>
      <w:proofErr w:type="gramStart"/>
      <w:r>
        <w:t>Section</w:t>
      </w:r>
      <w:proofErr w:type="gramEnd"/>
      <w:r>
        <w:t xml:space="preserve"> 8b, that allows the Census Bureau to undertake surveys for other agencies.</w:t>
      </w:r>
    </w:p>
    <w:p w:rsidR="00673B1B" w:rsidP="00673B1B" w:rsidRDefault="00673B1B" w14:paraId="2C9D2805" w14:textId="77777777">
      <w:pPr>
        <w:tabs>
          <w:tab w:val="left" w:pos="1176"/>
          <w:tab w:val="left" w:pos="1656"/>
          <w:tab w:val="left" w:pos="6696"/>
          <w:tab w:val="left" w:pos="8256"/>
        </w:tabs>
      </w:pPr>
    </w:p>
    <w:p w:rsidRPr="006A6F11" w:rsidR="00ED38BB" w:rsidP="00ED38BB" w:rsidRDefault="00673B1B" w14:paraId="2415239B" w14:textId="66BA4508">
      <w:pPr>
        <w:tabs>
          <w:tab w:val="left" w:pos="540"/>
          <w:tab w:val="left" w:pos="1656"/>
          <w:tab w:val="left" w:pos="6696"/>
          <w:tab w:val="left" w:pos="8256"/>
        </w:tabs>
        <w:ind w:left="432" w:hanging="576"/>
      </w:pPr>
      <w:r>
        <w:t>2.</w:t>
      </w:r>
      <w:r w:rsidR="00ED38BB">
        <w:tab/>
      </w:r>
      <w:r w:rsidRPr="00732CAB" w:rsidR="00732CAB">
        <w:rPr>
          <w:b/>
        </w:rPr>
        <w:t>Uses of the Data</w:t>
      </w:r>
      <w:r w:rsidRPr="00732CAB" w:rsidR="00732CAB">
        <w:rPr>
          <w:b/>
        </w:rPr>
        <w:br/>
      </w:r>
      <w:r w:rsidR="00732CAB">
        <w:br/>
      </w:r>
      <w:r w:rsidRPr="004A5140" w:rsidR="00ED38BB">
        <w:t xml:space="preserve">The Census </w:t>
      </w:r>
      <w:r w:rsidRPr="004A5140" w:rsidR="00411F2A">
        <w:t xml:space="preserve">Bureau </w:t>
      </w:r>
      <w:r w:rsidRPr="004A5140" w:rsidR="00ED38BB">
        <w:t xml:space="preserve">conducts the CE Surveys for the BLS </w:t>
      </w:r>
      <w:r w:rsidRPr="004A5140" w:rsidR="005241DA">
        <w:t>in</w:t>
      </w:r>
      <w:r w:rsidRPr="006A6F11" w:rsidR="0093617F">
        <w:t xml:space="preserve"> support</w:t>
      </w:r>
      <w:r w:rsidRPr="006A6F11" w:rsidR="00ED38BB">
        <w:t xml:space="preserve"> of the CPI program.  The continuing CE Surveys provide a constant measurement of changes in consumer expenditure patterns for economic analysis, and obtain data for future CPI revisions.</w:t>
      </w:r>
      <w:r w:rsidRPr="006A6F11" w:rsidR="00ED38BB">
        <w:br/>
      </w:r>
    </w:p>
    <w:p w:rsidR="00673B1B" w:rsidP="00ED38BB" w:rsidRDefault="00673B1B" w14:paraId="5A03B857" w14:textId="1DA21BEA">
      <w:pPr>
        <w:tabs>
          <w:tab w:val="left" w:pos="1176"/>
          <w:tab w:val="left" w:pos="1656"/>
          <w:tab w:val="left" w:pos="6696"/>
          <w:tab w:val="left" w:pos="8256"/>
        </w:tabs>
        <w:ind w:left="480"/>
      </w:pPr>
      <w:r w:rsidRPr="006A6F11">
        <w:t>The BLS will use data collected in the CE Surveys to</w:t>
      </w:r>
      <w:r w:rsidR="00EB61D9">
        <w:t>:</w:t>
      </w:r>
      <w:r w:rsidRPr="006A6F11">
        <w:t xml:space="preserve"> 1) provide data required for </w:t>
      </w:r>
      <w:r w:rsidRPr="006A6F11" w:rsidR="004253BD">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Pr="006A6F11" w:rsidR="004253BD">
        <w:lastRenderedPageBreak/>
        <w:t>Data</w:t>
      </w:r>
      <w:r w:rsidRPr="006A6F11">
        <w:t xml:space="preserve"> users and policymakers widely accept the need to </w:t>
      </w:r>
      <w:r w:rsidRPr="006A6F11" w:rsidR="004253BD">
        <w:t>regularly update the weights used in the CPI</w:t>
      </w:r>
      <w:r w:rsidRPr="006A6F11">
        <w:t>.</w:t>
      </w:r>
    </w:p>
    <w:p w:rsidR="00673B1B" w:rsidP="00673B1B" w:rsidRDefault="00673B1B" w14:paraId="5BC3C2F0" w14:textId="77777777">
      <w:pPr>
        <w:tabs>
          <w:tab w:val="left" w:pos="1176"/>
          <w:tab w:val="left" w:pos="1656"/>
          <w:tab w:val="left" w:pos="6696"/>
          <w:tab w:val="left" w:pos="8256"/>
        </w:tabs>
      </w:pPr>
    </w:p>
    <w:p w:rsidRPr="00C32C22" w:rsidR="00673B1B" w:rsidP="00673B1B" w:rsidRDefault="00732CAB" w14:paraId="001A4928" w14:textId="6F773E38">
      <w:pPr>
        <w:numPr>
          <w:ilvl w:val="0"/>
          <w:numId w:val="11"/>
        </w:numPr>
        <w:tabs>
          <w:tab w:val="clear" w:pos="360"/>
          <w:tab w:val="num" w:pos="450"/>
        </w:tabs>
        <w:ind w:left="450"/>
      </w:pPr>
      <w:r w:rsidRPr="00732CAB">
        <w:rPr>
          <w:b/>
        </w:rPr>
        <w:t>Collection Methods</w:t>
      </w:r>
      <w:r w:rsidRPr="00732CAB">
        <w:rPr>
          <w:b/>
        </w:rPr>
        <w:br/>
      </w:r>
      <w:r>
        <w:br/>
      </w:r>
      <w:proofErr w:type="gramStart"/>
      <w:r w:rsidRPr="00C32C22" w:rsidR="001930A9">
        <w:t>Since</w:t>
      </w:r>
      <w:proofErr w:type="gramEnd"/>
      <w:r w:rsidRPr="00C32C22" w:rsidR="001930A9">
        <w:t xml:space="preserve"> </w:t>
      </w:r>
      <w:r w:rsidRPr="00C32C22" w:rsidR="00673B1B">
        <w:t xml:space="preserve">April 2003, the </w:t>
      </w:r>
      <w:r w:rsidR="003D2701">
        <w:t>CEQ</w:t>
      </w:r>
      <w:r w:rsidRPr="00C32C22" w:rsidR="00673B1B">
        <w:t xml:space="preserve"> </w:t>
      </w:r>
      <w:r w:rsidRPr="00C32C22" w:rsidR="001930A9">
        <w:t>is</w:t>
      </w:r>
      <w:r w:rsidRPr="00C32C22" w:rsidR="00673B1B">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C32C22" w:rsidR="00903D14">
        <w:t>the administration of more detailed questions to each respondent</w:t>
      </w:r>
      <w:r w:rsidRPr="00C32C22" w:rsidR="00673B1B">
        <w:t>.  CAPI implementation for the Diary Household Characteristics Survey occurred in January 2004.</w:t>
      </w:r>
      <w:r w:rsidRPr="00C32C22" w:rsidR="00AB1521">
        <w:t xml:space="preserve">  Edit checks alert the Field Representative to irreconcilable data during the interview so that the correct data can be obtained</w:t>
      </w:r>
      <w:r w:rsidRPr="00C32C22" w:rsidR="00F721B6">
        <w:t xml:space="preserve"> </w:t>
      </w:r>
      <w:r w:rsidRPr="00C32C22" w:rsidR="00593419">
        <w:t xml:space="preserve">and verified by </w:t>
      </w:r>
      <w:r w:rsidRPr="00C32C22" w:rsidR="00F721B6">
        <w:t>the respondent</w:t>
      </w:r>
      <w:r w:rsidRPr="00C32C22" w:rsidR="00AB1521">
        <w:t>.</w:t>
      </w:r>
    </w:p>
    <w:p w:rsidR="00673B1B" w:rsidP="00673B1B" w:rsidRDefault="00673B1B" w14:paraId="0B754074" w14:textId="77777777"/>
    <w:p w:rsidR="00673B1B" w:rsidP="00673B1B" w:rsidRDefault="00673B1B" w14:paraId="2C36491B" w14:textId="77777777">
      <w:pPr>
        <w:tabs>
          <w:tab w:val="left" w:pos="1176"/>
          <w:tab w:val="left" w:pos="1656"/>
          <w:tab w:val="left" w:pos="6696"/>
          <w:tab w:val="left" w:pos="8256"/>
        </w:tabs>
        <w:ind w:left="480" w:hanging="480"/>
      </w:pPr>
      <w:r>
        <w:t>4.</w:t>
      </w:r>
      <w:r>
        <w:tab/>
      </w:r>
      <w:r w:rsidRPr="00732CAB" w:rsidR="00732CAB">
        <w:rPr>
          <w:b/>
        </w:rPr>
        <w:t>Efforts to Identify Duplication</w:t>
      </w:r>
      <w:r w:rsidR="00732CAB">
        <w:br/>
      </w:r>
      <w:r w:rsidR="00732CAB">
        <w:br/>
      </w:r>
      <w:r>
        <w:t>To our knowledge, no other Federal agency is collecting this information.</w:t>
      </w:r>
    </w:p>
    <w:p w:rsidR="00673B1B" w:rsidP="00673B1B" w:rsidRDefault="00673B1B" w14:paraId="399F640C" w14:textId="77777777">
      <w:pPr>
        <w:tabs>
          <w:tab w:val="left" w:pos="1176"/>
          <w:tab w:val="left" w:pos="1656"/>
          <w:tab w:val="left" w:pos="6696"/>
          <w:tab w:val="left" w:pos="8256"/>
        </w:tabs>
      </w:pPr>
    </w:p>
    <w:p w:rsidR="00673B1B" w:rsidP="00673B1B" w:rsidRDefault="00673B1B" w14:paraId="32CDE362" w14:textId="435E2639">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rsidRDefault="00673B1B" w14:paraId="1F98FF9E" w14:textId="77777777">
      <w:pPr>
        <w:tabs>
          <w:tab w:val="left" w:pos="1176"/>
          <w:tab w:val="left" w:pos="1656"/>
          <w:tab w:val="left" w:pos="6696"/>
          <w:tab w:val="left" w:pos="8256"/>
        </w:tabs>
      </w:pPr>
    </w:p>
    <w:p w:rsidR="00673B1B" w:rsidP="00673B1B" w:rsidRDefault="00673B1B" w14:paraId="4B932225" w14:textId="59183906">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rsidRDefault="00673B1B" w14:paraId="6691C5CC" w14:textId="77777777">
      <w:pPr>
        <w:tabs>
          <w:tab w:val="left" w:pos="1176"/>
          <w:tab w:val="left" w:pos="1656"/>
          <w:tab w:val="left" w:pos="6696"/>
          <w:tab w:val="left" w:pos="8256"/>
        </w:tabs>
      </w:pPr>
    </w:p>
    <w:p w:rsidR="00673B1B" w:rsidP="00673B1B" w:rsidRDefault="00673B1B" w14:paraId="015E1395" w14:textId="115083DC">
      <w:pPr>
        <w:tabs>
          <w:tab w:val="left" w:pos="1176"/>
          <w:tab w:val="left" w:pos="1656"/>
          <w:tab w:val="left" w:pos="6696"/>
          <w:tab w:val="left" w:pos="8256"/>
        </w:tabs>
        <w:ind w:left="480" w:hanging="480"/>
      </w:pPr>
      <w:r>
        <w:t>5.</w:t>
      </w:r>
      <w:r>
        <w:tab/>
      </w:r>
      <w:r w:rsidRPr="00732CAB" w:rsid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rsidR="00673B1B" w:rsidP="00673B1B" w:rsidRDefault="00673B1B" w14:paraId="1121E0E5" w14:textId="77777777">
      <w:pPr>
        <w:tabs>
          <w:tab w:val="left" w:pos="1176"/>
          <w:tab w:val="left" w:pos="1656"/>
          <w:tab w:val="left" w:pos="6696"/>
          <w:tab w:val="left" w:pos="8256"/>
        </w:tabs>
      </w:pPr>
    </w:p>
    <w:p w:rsidR="00673B1B" w:rsidP="00673B1B" w:rsidRDefault="00673B1B" w14:paraId="5BBD79A6" w14:textId="12F72085">
      <w:pPr>
        <w:tabs>
          <w:tab w:val="left" w:pos="1176"/>
          <w:tab w:val="left" w:pos="1656"/>
          <w:tab w:val="left" w:pos="6696"/>
          <w:tab w:val="left" w:pos="8256"/>
        </w:tabs>
        <w:ind w:left="480" w:hanging="480"/>
      </w:pPr>
      <w:r>
        <w:t>6.</w:t>
      </w:r>
      <w:r>
        <w:tab/>
      </w:r>
      <w:r w:rsidRPr="00732CAB" w:rsidR="00732CAB">
        <w:rPr>
          <w:b/>
        </w:rPr>
        <w:t>Consequences of not collecting the data</w:t>
      </w:r>
      <w:r w:rsidR="00732CAB">
        <w:br/>
      </w:r>
      <w:r w:rsidR="00732CAB">
        <w:br/>
      </w:r>
      <w:r>
        <w:t>Before 1979, the BLS collected consumer income and expenditure data every 10 to 15 years as a major component of large</w:t>
      </w:r>
      <w:r>
        <w:noBreakHyphen/>
        <w:t xml:space="preserve">scale periodic projects to update and revise the CPI.  By conducting the </w:t>
      </w:r>
      <w:r w:rsidR="00B25352">
        <w:t>CE</w:t>
      </w:r>
      <w:r>
        <w:t xml:space="preserv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w:t>
      </w:r>
      <w:r>
        <w:lastRenderedPageBreak/>
        <w:t>continuing demand</w:t>
      </w:r>
      <w:r>
        <w:noBreakHyphen/>
        <w:t>from the public and private sectors</w:t>
      </w:r>
      <w:r>
        <w:noBreakHyphen/>
        <w:t>for current information on consumer spending and income.</w:t>
      </w:r>
    </w:p>
    <w:p w:rsidR="00673B1B" w:rsidP="00673B1B" w:rsidRDefault="00673B1B" w14:paraId="0EF0AD16" w14:textId="77777777">
      <w:pPr>
        <w:tabs>
          <w:tab w:val="left" w:pos="1176"/>
          <w:tab w:val="left" w:pos="1656"/>
          <w:tab w:val="left" w:pos="6696"/>
          <w:tab w:val="left" w:pos="8256"/>
        </w:tabs>
        <w:ind w:left="480"/>
      </w:pPr>
    </w:p>
    <w:p w:rsidR="00673B1B" w:rsidP="00673B1B" w:rsidRDefault="00673B1B" w14:paraId="422CE3A2" w14:textId="77777777">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P="00673B1B" w:rsidRDefault="00673B1B" w14:paraId="4F2591FF" w14:textId="77777777">
      <w:pPr>
        <w:tabs>
          <w:tab w:val="left" w:pos="1176"/>
          <w:tab w:val="left" w:pos="1656"/>
          <w:tab w:val="left" w:pos="6696"/>
          <w:tab w:val="left" w:pos="8256"/>
        </w:tabs>
        <w:ind w:left="480"/>
      </w:pPr>
    </w:p>
    <w:p w:rsidR="00673B1B" w:rsidP="00673B1B" w:rsidRDefault="003537F4" w14:paraId="6F5EBCCC" w14:textId="77777777">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P="00F721B6" w:rsidRDefault="006F4286" w14:paraId="207DE429" w14:textId="77777777">
      <w:pPr>
        <w:tabs>
          <w:tab w:val="left" w:pos="1176"/>
          <w:tab w:val="left" w:pos="1656"/>
          <w:tab w:val="left" w:pos="6696"/>
          <w:tab w:val="left" w:pos="8256"/>
        </w:tabs>
      </w:pPr>
    </w:p>
    <w:p w:rsidRPr="00D76BA4" w:rsidR="00673B1B" w:rsidP="00F721B6" w:rsidRDefault="00E80008" w14:paraId="18A6AAB9" w14:textId="4C9AE454">
      <w:pPr>
        <w:tabs>
          <w:tab w:val="left" w:pos="1176"/>
          <w:tab w:val="left" w:pos="1656"/>
          <w:tab w:val="left" w:pos="6696"/>
          <w:tab w:val="left" w:pos="8256"/>
        </w:tabs>
        <w:ind w:left="432" w:hanging="432"/>
      </w:pPr>
      <w:r>
        <w:t>7.</w:t>
      </w:r>
      <w:r>
        <w:tab/>
      </w:r>
      <w:r w:rsidRPr="00732CAB" w:rsid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P="00673B1B" w:rsidRDefault="00673B1B" w14:paraId="4CF04D07" w14:textId="77777777">
      <w:pPr>
        <w:tabs>
          <w:tab w:val="left" w:pos="1176"/>
          <w:tab w:val="left" w:pos="1656"/>
          <w:tab w:val="left" w:pos="6696"/>
          <w:tab w:val="left" w:pos="8256"/>
        </w:tabs>
      </w:pPr>
    </w:p>
    <w:p w:rsidR="00E83CE9" w:rsidP="00E83CE9" w:rsidRDefault="00E83CE9" w14:paraId="39C7ECDF" w14:textId="77777777">
      <w:pPr>
        <w:tabs>
          <w:tab w:val="left" w:pos="1176"/>
          <w:tab w:val="left" w:pos="1656"/>
          <w:tab w:val="left" w:pos="6696"/>
          <w:tab w:val="left" w:pos="8256"/>
        </w:tabs>
        <w:ind w:left="2253"/>
      </w:pPr>
    </w:p>
    <w:p w:rsidR="002305EC" w:rsidP="002305EC" w:rsidRDefault="00E83CE9" w14:paraId="24D75339" w14:textId="77777777">
      <w:pPr>
        <w:autoSpaceDE w:val="0"/>
        <w:autoSpaceDN w:val="0"/>
        <w:adjustRightInd w:val="0"/>
        <w:ind w:left="450" w:hanging="450"/>
      </w:pPr>
      <w:r>
        <w:t>8.</w:t>
      </w:r>
      <w:r w:rsidR="00222B10">
        <w:tab/>
      </w:r>
      <w:r w:rsidRPr="001C0822">
        <w:rPr>
          <w:b/>
          <w:color w:val="000000"/>
        </w:rPr>
        <w:t>Consultations</w:t>
      </w:r>
      <w:r w:rsidRPr="00090CF5">
        <w:br/>
      </w:r>
    </w:p>
    <w:p w:rsidRPr="0041220B" w:rsidR="00B401D0" w:rsidP="002305EC" w:rsidRDefault="002443BF" w14:paraId="01CA7D0D" w14:textId="13946E5F">
      <w:pPr>
        <w:autoSpaceDE w:val="0"/>
        <w:autoSpaceDN w:val="0"/>
        <w:adjustRightInd w:val="0"/>
        <w:ind w:left="450"/>
      </w:pPr>
      <w:r>
        <w:t>One comment from the Bureau of Economic Analysis supporting the continued collection of Consumer Expenditure data was received on the Federal Register Notice published</w:t>
      </w:r>
      <w:r w:rsidR="006E5D99">
        <w:t xml:space="preserve"> in </w:t>
      </w:r>
      <w:r w:rsidR="00EE1013">
        <w:t>85</w:t>
      </w:r>
      <w:r w:rsidR="006E5D99">
        <w:t xml:space="preserve"> FR </w:t>
      </w:r>
      <w:r w:rsidR="00EE1013">
        <w:t>35665</w:t>
      </w:r>
      <w:r w:rsidR="006E5D99">
        <w:t xml:space="preserve"> on June </w:t>
      </w:r>
      <w:r w:rsidR="00EE1013">
        <w:t>11</w:t>
      </w:r>
      <w:r w:rsidR="006E5D99">
        <w:t xml:space="preserve">, 2020.  </w:t>
      </w:r>
    </w:p>
    <w:p w:rsidR="00AF6676" w:rsidP="00222B10" w:rsidRDefault="00AF6676" w14:paraId="45D6ECFF" w14:textId="58DF38E1">
      <w:pPr>
        <w:autoSpaceDE w:val="0"/>
        <w:autoSpaceDN w:val="0"/>
        <w:adjustRightInd w:val="0"/>
        <w:ind w:left="450" w:hanging="450"/>
      </w:pPr>
    </w:p>
    <w:p w:rsidR="00673B1B" w:rsidP="00A52EC2" w:rsidRDefault="003708C7" w14:paraId="2DB98A20" w14:textId="2847BB31">
      <w:pPr>
        <w:autoSpaceDE w:val="0"/>
        <w:autoSpaceDN w:val="0"/>
        <w:adjustRightInd w:val="0"/>
        <w:ind w:left="450" w:hanging="450"/>
      </w:pPr>
      <w:r>
        <w:tab/>
      </w:r>
      <w:r w:rsidR="00673B1B">
        <w:t>In the past year, the BLS has consulted with the following persons by correspondence and telephone conversations:</w:t>
      </w:r>
    </w:p>
    <w:p w:rsidR="00673B1B" w:rsidP="00673B1B" w:rsidRDefault="00673B1B" w14:paraId="41F4C5E4" w14:textId="77777777">
      <w:pPr>
        <w:tabs>
          <w:tab w:val="left" w:pos="1176"/>
          <w:tab w:val="left" w:pos="1656"/>
          <w:tab w:val="left" w:pos="6696"/>
          <w:tab w:val="left" w:pos="8256"/>
        </w:tabs>
      </w:pPr>
    </w:p>
    <w:p w:rsidRPr="00B44EF2" w:rsidR="00B44EF2" w:rsidP="00B44EF2" w:rsidRDefault="00B44EF2" w14:paraId="2E7BDB48" w14:textId="77777777">
      <w:pPr>
        <w:shd w:val="clear" w:color="auto" w:fill="FFFFFF"/>
        <w:ind w:left="720"/>
        <w:rPr>
          <w:rFonts w:eastAsia="Calibri"/>
        </w:rPr>
      </w:pPr>
      <w:r w:rsidRPr="00B44EF2">
        <w:rPr>
          <w:rFonts w:eastAsia="Calibri"/>
        </w:rPr>
        <w:t>Jennifer Epps</w:t>
      </w:r>
    </w:p>
    <w:p w:rsidRPr="00B44EF2" w:rsidR="00B44EF2" w:rsidP="00B44EF2" w:rsidRDefault="00B44EF2" w14:paraId="6098310C" w14:textId="77777777">
      <w:pPr>
        <w:shd w:val="clear" w:color="auto" w:fill="FFFFFF"/>
        <w:ind w:left="720"/>
        <w:rPr>
          <w:rFonts w:eastAsia="Calibri"/>
        </w:rPr>
      </w:pPr>
      <w:r w:rsidRPr="00B44EF2">
        <w:rPr>
          <w:rFonts w:eastAsia="Calibri"/>
        </w:rPr>
        <w:t>Associate Director for Demographic Programs – Survey Operations</w:t>
      </w:r>
    </w:p>
    <w:p w:rsidRPr="00B44EF2" w:rsidR="00B44EF2" w:rsidP="00B44EF2" w:rsidRDefault="00411F2A" w14:paraId="499E75AC" w14:textId="38A09EF0">
      <w:pPr>
        <w:shd w:val="clear" w:color="auto" w:fill="FFFFFF"/>
        <w:ind w:left="720"/>
        <w:rPr>
          <w:rFonts w:eastAsia="Calibri"/>
        </w:rPr>
      </w:pPr>
      <w:r>
        <w:rPr>
          <w:rFonts w:eastAsia="Calibri"/>
        </w:rPr>
        <w:t>Census Bureau</w:t>
      </w:r>
    </w:p>
    <w:p w:rsidRPr="00B44EF2" w:rsidR="00B44EF2" w:rsidP="00B44EF2" w:rsidRDefault="00B44EF2" w14:paraId="5F1518EE" w14:textId="77777777">
      <w:pPr>
        <w:shd w:val="clear" w:color="auto" w:fill="FFFFFF"/>
        <w:ind w:left="720"/>
        <w:rPr>
          <w:rFonts w:eastAsia="Calibri"/>
        </w:rPr>
      </w:pPr>
    </w:p>
    <w:p w:rsidRPr="00B44EF2" w:rsidR="00B44EF2" w:rsidP="00B44EF2" w:rsidRDefault="00B44EF2" w14:paraId="476A4D4F" w14:textId="77777777">
      <w:pPr>
        <w:shd w:val="clear" w:color="auto" w:fill="FFFFFF"/>
        <w:ind w:left="720"/>
        <w:rPr>
          <w:rFonts w:eastAsia="Calibri"/>
        </w:rPr>
      </w:pPr>
      <w:r w:rsidRPr="00B44EF2">
        <w:rPr>
          <w:rFonts w:eastAsia="Calibri"/>
        </w:rPr>
        <w:t>John Gloster</w:t>
      </w:r>
    </w:p>
    <w:p w:rsidRPr="00B44EF2" w:rsidR="00B44EF2" w:rsidP="00B44EF2" w:rsidRDefault="00B44EF2" w14:paraId="5424AA49"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669868E6" w14:textId="77777777">
      <w:pPr>
        <w:shd w:val="clear" w:color="auto" w:fill="FFFFFF"/>
        <w:ind w:left="720"/>
        <w:rPr>
          <w:rFonts w:eastAsia="Calibri"/>
        </w:rPr>
      </w:pPr>
      <w:r>
        <w:rPr>
          <w:rFonts w:eastAsia="Calibri"/>
        </w:rPr>
        <w:t>Census Bureau</w:t>
      </w:r>
    </w:p>
    <w:p w:rsidRPr="00B44EF2" w:rsidR="00B44EF2" w:rsidP="00B44EF2" w:rsidRDefault="00B44EF2" w14:paraId="767EAF21" w14:textId="77777777">
      <w:pPr>
        <w:shd w:val="clear" w:color="auto" w:fill="FFFFFF"/>
        <w:ind w:left="720"/>
        <w:rPr>
          <w:rFonts w:eastAsia="Calibri"/>
        </w:rPr>
      </w:pPr>
    </w:p>
    <w:p w:rsidRPr="00B44EF2" w:rsidR="00B44EF2" w:rsidP="00B44EF2" w:rsidRDefault="00B44EF2" w14:paraId="75117D52" w14:textId="77777777">
      <w:pPr>
        <w:shd w:val="clear" w:color="auto" w:fill="FFFFFF"/>
        <w:ind w:left="720"/>
        <w:rPr>
          <w:rFonts w:eastAsia="Calibri"/>
        </w:rPr>
      </w:pPr>
      <w:r w:rsidRPr="00B44EF2">
        <w:rPr>
          <w:rFonts w:eastAsia="Calibri"/>
        </w:rPr>
        <w:t>Richard Schwartz</w:t>
      </w:r>
    </w:p>
    <w:p w:rsidRPr="00B44EF2" w:rsidR="00B44EF2" w:rsidP="00B44EF2" w:rsidRDefault="00B44EF2" w14:paraId="3B01A834"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27BA1069" w14:textId="77777777">
      <w:pPr>
        <w:shd w:val="clear" w:color="auto" w:fill="FFFFFF"/>
        <w:ind w:left="720"/>
        <w:rPr>
          <w:rFonts w:eastAsia="Calibri"/>
        </w:rPr>
      </w:pPr>
      <w:r>
        <w:rPr>
          <w:rFonts w:eastAsia="Calibri"/>
        </w:rPr>
        <w:t>Census Bureau</w:t>
      </w:r>
    </w:p>
    <w:p w:rsidRPr="00B44EF2" w:rsidR="00B44EF2" w:rsidP="00B44EF2" w:rsidRDefault="00B44EF2" w14:paraId="6538EBEB" w14:textId="77777777">
      <w:pPr>
        <w:shd w:val="clear" w:color="auto" w:fill="FFFFFF"/>
        <w:ind w:left="720"/>
        <w:rPr>
          <w:rFonts w:eastAsia="Calibri"/>
        </w:rPr>
      </w:pPr>
    </w:p>
    <w:p w:rsidRPr="00B44EF2" w:rsidR="00B44EF2" w:rsidP="00B44EF2" w:rsidRDefault="00B44EF2" w14:paraId="53BF7741" w14:textId="77777777">
      <w:pPr>
        <w:shd w:val="clear" w:color="auto" w:fill="FFFFFF"/>
        <w:ind w:left="720"/>
        <w:rPr>
          <w:rFonts w:eastAsia="Calibri"/>
        </w:rPr>
      </w:pPr>
      <w:r w:rsidRPr="00B44EF2">
        <w:rPr>
          <w:rFonts w:eastAsia="Calibri"/>
        </w:rPr>
        <w:t>Stephen Ash</w:t>
      </w:r>
    </w:p>
    <w:p w:rsidRPr="00B44EF2" w:rsidR="00B44EF2" w:rsidP="00B44EF2" w:rsidRDefault="00B44EF2" w14:paraId="734ECD21"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299079C5" w14:textId="77777777">
      <w:pPr>
        <w:shd w:val="clear" w:color="auto" w:fill="FFFFFF"/>
        <w:ind w:left="720"/>
        <w:rPr>
          <w:rFonts w:eastAsia="Calibri"/>
        </w:rPr>
      </w:pPr>
      <w:r>
        <w:rPr>
          <w:rFonts w:eastAsia="Calibri"/>
        </w:rPr>
        <w:t>Census Bureau</w:t>
      </w:r>
    </w:p>
    <w:p w:rsidRPr="00B44EF2" w:rsidR="00B44EF2" w:rsidP="00B44EF2" w:rsidRDefault="00B44EF2" w14:paraId="431C0FCA" w14:textId="77777777">
      <w:pPr>
        <w:shd w:val="clear" w:color="auto" w:fill="FFFFFF"/>
        <w:ind w:left="720"/>
        <w:rPr>
          <w:rFonts w:eastAsia="Calibri"/>
        </w:rPr>
      </w:pPr>
    </w:p>
    <w:p w:rsidRPr="00B44EF2" w:rsidR="00B44EF2" w:rsidP="00B44EF2" w:rsidRDefault="00B44EF2" w14:paraId="26969958" w14:textId="77777777">
      <w:pPr>
        <w:shd w:val="clear" w:color="auto" w:fill="FFFFFF"/>
        <w:ind w:left="720"/>
        <w:rPr>
          <w:rFonts w:eastAsia="Calibri"/>
        </w:rPr>
      </w:pPr>
      <w:r w:rsidRPr="00B44EF2">
        <w:rPr>
          <w:rFonts w:eastAsia="Calibri"/>
        </w:rPr>
        <w:t xml:space="preserve">Susan </w:t>
      </w:r>
      <w:proofErr w:type="spellStart"/>
      <w:r w:rsidRPr="00B44EF2">
        <w:rPr>
          <w:rFonts w:eastAsia="Calibri"/>
        </w:rPr>
        <w:t>Hostetter</w:t>
      </w:r>
      <w:proofErr w:type="spellEnd"/>
    </w:p>
    <w:p w:rsidRPr="00B44EF2" w:rsidR="00B44EF2" w:rsidP="00B44EF2" w:rsidRDefault="00B44EF2" w14:paraId="7A857A17"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6360DBB6" w14:textId="77777777">
      <w:pPr>
        <w:shd w:val="clear" w:color="auto" w:fill="FFFFFF"/>
        <w:ind w:left="720"/>
        <w:rPr>
          <w:rFonts w:eastAsia="Calibri"/>
        </w:rPr>
      </w:pPr>
      <w:r>
        <w:rPr>
          <w:rFonts w:eastAsia="Calibri"/>
        </w:rPr>
        <w:t>Census Bureau</w:t>
      </w:r>
    </w:p>
    <w:p w:rsidR="00071349" w:rsidP="005716EA" w:rsidRDefault="00071349" w14:paraId="153002AC" w14:textId="77777777">
      <w:pPr>
        <w:tabs>
          <w:tab w:val="left" w:pos="1176"/>
          <w:tab w:val="left" w:pos="1656"/>
          <w:tab w:val="left" w:pos="5580"/>
          <w:tab w:val="left" w:pos="8256"/>
        </w:tabs>
      </w:pPr>
    </w:p>
    <w:p w:rsidRPr="0029423F" w:rsidR="006C31B9" w:rsidP="006C31B9" w:rsidRDefault="006C31B9" w14:paraId="66BE9129" w14:textId="77777777">
      <w:pPr>
        <w:shd w:val="clear" w:color="auto" w:fill="FFFFFF"/>
        <w:ind w:left="720"/>
        <w:rPr>
          <w:rFonts w:eastAsia="Calibri"/>
        </w:rPr>
      </w:pPr>
      <w:r w:rsidRPr="0029423F">
        <w:rPr>
          <w:rFonts w:eastAsia="Calibri"/>
        </w:rPr>
        <w:t>David S. Johnson</w:t>
      </w:r>
    </w:p>
    <w:p w:rsidRPr="0029423F" w:rsidR="006C31B9" w:rsidP="006C31B9" w:rsidRDefault="006C31B9" w14:paraId="37D3AD16" w14:textId="77777777">
      <w:pPr>
        <w:shd w:val="clear" w:color="auto" w:fill="FFFFFF"/>
        <w:ind w:left="720"/>
        <w:rPr>
          <w:rFonts w:eastAsia="Calibri"/>
        </w:rPr>
      </w:pPr>
      <w:r w:rsidRPr="0029423F">
        <w:rPr>
          <w:rFonts w:eastAsia="Calibri"/>
        </w:rPr>
        <w:t>Population Studies Center</w:t>
      </w:r>
    </w:p>
    <w:p w:rsidR="006C31B9" w:rsidP="006C31B9" w:rsidRDefault="006C31B9" w14:paraId="4EA3F1A5" w14:textId="77777777">
      <w:pPr>
        <w:shd w:val="clear" w:color="auto" w:fill="FFFFFF"/>
        <w:ind w:left="720"/>
        <w:rPr>
          <w:rFonts w:eastAsia="Calibri"/>
        </w:rPr>
      </w:pPr>
      <w:r w:rsidRPr="0029423F">
        <w:rPr>
          <w:rFonts w:eastAsia="Calibri"/>
        </w:rPr>
        <w:t>University of Michigan</w:t>
      </w:r>
    </w:p>
    <w:p w:rsidR="006C31B9" w:rsidP="005716EA" w:rsidRDefault="006C31B9" w14:paraId="0336C209" w14:textId="77777777">
      <w:pPr>
        <w:tabs>
          <w:tab w:val="left" w:pos="1176"/>
          <w:tab w:val="left" w:pos="1656"/>
          <w:tab w:val="left" w:pos="5580"/>
          <w:tab w:val="left" w:pos="8256"/>
        </w:tabs>
      </w:pPr>
    </w:p>
    <w:p w:rsidR="00673B1B" w:rsidP="00673B1B" w:rsidRDefault="00673B1B" w14:paraId="6DE34843" w14:textId="77777777">
      <w:pPr>
        <w:tabs>
          <w:tab w:val="left" w:pos="1176"/>
          <w:tab w:val="left" w:pos="1656"/>
          <w:tab w:val="left" w:pos="6696"/>
          <w:tab w:val="left" w:pos="8256"/>
        </w:tabs>
      </w:pPr>
    </w:p>
    <w:p w:rsidR="00673B1B" w:rsidP="00673B1B" w:rsidRDefault="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rsidRDefault="00673B1B" w14:paraId="29A90F78" w14:textId="77777777">
      <w:pPr>
        <w:tabs>
          <w:tab w:val="left" w:pos="1176"/>
          <w:tab w:val="left" w:pos="1656"/>
          <w:tab w:val="left" w:pos="6696"/>
          <w:tab w:val="left" w:pos="8256"/>
        </w:tabs>
        <w:ind w:left="1656"/>
      </w:pPr>
    </w:p>
    <w:p w:rsidRPr="00A20DB2" w:rsidR="00AE3967" w:rsidP="002D486C" w:rsidRDefault="00CB340C" w14:paraId="330AE85C" w14:textId="0E99A4DC">
      <w:pPr>
        <w:ind w:left="480" w:hanging="480"/>
      </w:pPr>
      <w:r w:rsidRPr="002D486C">
        <w:t>9</w:t>
      </w:r>
      <w:r w:rsidRPr="002D486C" w:rsidR="00673B1B">
        <w:t>.</w:t>
      </w:r>
      <w:r w:rsidR="002D486C">
        <w:rPr>
          <w:b/>
        </w:rPr>
        <w:tab/>
      </w:r>
      <w:r w:rsidRPr="002D486C" w:rsidR="00732CAB">
        <w:rPr>
          <w:b/>
        </w:rPr>
        <w:t>Payment to Respondents</w:t>
      </w:r>
      <w:r w:rsidR="00732CAB">
        <w:br/>
      </w:r>
      <w:r w:rsidR="00732CAB">
        <w:br/>
      </w:r>
      <w:r w:rsidR="00CC0626">
        <w:t>No</w:t>
      </w:r>
      <w:r w:rsidRPr="00F12244" w:rsidR="004A1543">
        <w:t xml:space="preserve"> payment </w:t>
      </w:r>
      <w:r w:rsidRPr="00F12244" w:rsidR="00F46F32">
        <w:t xml:space="preserve">or gift </w:t>
      </w:r>
      <w:r w:rsidRPr="00F12244" w:rsidR="004A1543">
        <w:t>will be provided to respondent</w:t>
      </w:r>
      <w:r w:rsidRPr="00F12244" w:rsidR="00F46F32">
        <w:t>s</w:t>
      </w:r>
      <w:r w:rsidRPr="00F12244" w:rsidR="004A1543">
        <w:t>.</w:t>
      </w:r>
    </w:p>
    <w:p w:rsidR="00673B1B" w:rsidP="00175F43" w:rsidRDefault="00673B1B" w14:paraId="619CDB98" w14:textId="77777777">
      <w:pPr>
        <w:tabs>
          <w:tab w:val="left" w:pos="1176"/>
          <w:tab w:val="left" w:pos="1656"/>
          <w:tab w:val="left" w:pos="6696"/>
          <w:tab w:val="left" w:pos="8256"/>
        </w:tabs>
        <w:ind w:left="480" w:hanging="480"/>
      </w:pPr>
    </w:p>
    <w:p w:rsidR="00673B1B" w:rsidP="00673B1B" w:rsidRDefault="00CB340C" w14:paraId="59A13C7F" w14:textId="49E50D48">
      <w:pPr>
        <w:tabs>
          <w:tab w:val="left" w:pos="1176"/>
          <w:tab w:val="left" w:pos="1656"/>
          <w:tab w:val="left" w:pos="6696"/>
          <w:tab w:val="left" w:pos="8256"/>
        </w:tabs>
        <w:ind w:left="480" w:hanging="480"/>
      </w:pPr>
      <w:r>
        <w:t>10</w:t>
      </w:r>
      <w:r w:rsidR="00673B1B">
        <w:t>.</w:t>
      </w:r>
      <w:r w:rsidR="00673B1B">
        <w:tab/>
      </w:r>
      <w:r w:rsidRPr="00732CAB" w:rsidR="00732CAB">
        <w:rPr>
          <w:b/>
        </w:rPr>
        <w:t>Assurance of Confidentiality</w:t>
      </w:r>
      <w:r w:rsidR="00732CAB">
        <w:br/>
      </w:r>
      <w:r w:rsidR="00732CAB">
        <w:br/>
      </w:r>
      <w:r w:rsidRPr="004A5140" w:rsidR="00673B1B">
        <w:t xml:space="preserve">The </w:t>
      </w:r>
      <w:bookmarkStart w:name="OLE_LINK1" w:id="1"/>
      <w:bookmarkStart w:name="OLE_LINK2" w:id="2"/>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1"/>
      <w:bookmarkEnd w:id="2"/>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 may be fined up to $</w:t>
      </w:r>
      <w:r w:rsidRPr="006A6F11" w:rsidR="008A2D20">
        <w:t>2</w:t>
      </w:r>
      <w:r w:rsidRPr="006A6F11" w:rsidR="00673B1B">
        <w:t>5</w:t>
      </w:r>
      <w:r w:rsidRPr="006A6F11" w:rsidR="008A2D20">
        <w:t>0</w:t>
      </w:r>
      <w:r w:rsidRPr="006A6F11" w:rsidR="00673B1B">
        <w:t xml:space="preserve">,000 and/or imprisoned up to 5 years.  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rsidR="00673B1B">
        <w:t xml:space="preserve"> from disclosing information identifying any individual(s) in the CE Surveys to anyone other than sworn Census </w:t>
      </w:r>
      <w:r w:rsidRPr="006A6F11" w:rsidR="00194FE3">
        <w:t xml:space="preserve">or BLS </w:t>
      </w:r>
      <w:r w:rsidRPr="006A6F11" w:rsidR="00673B1B">
        <w:t xml:space="preserve">employees. </w:t>
      </w:r>
      <w:r w:rsidR="00B25352">
        <w:t xml:space="preserve"> </w:t>
      </w:r>
      <w:r w:rsidRPr="006A6F11" w:rsidR="00673B1B">
        <w:t>Before the interviewer</w:t>
      </w:r>
      <w:r w:rsidRPr="006A6F11" w:rsidR="000556E5">
        <w:t>’</w:t>
      </w:r>
      <w:r w:rsidRPr="006A6F11" w:rsidR="00673B1B">
        <w:t xml:space="preserve">s visit, </w:t>
      </w:r>
      <w:r w:rsidRPr="006A6F11" w:rsidR="003D2701">
        <w:t>CEQ</w:t>
      </w:r>
      <w:r w:rsidRPr="006A6F11" w:rsidR="00673B1B">
        <w:t xml:space="preserve"> or </w:t>
      </w:r>
      <w:r w:rsidRPr="006A6F11" w:rsidR="003D2701">
        <w:t>CED</w:t>
      </w:r>
      <w:r w:rsidRPr="006A6F11" w:rsidR="00673B1B">
        <w:t xml:space="preserve"> respondents will receive the CE-303(L) or CE-803(L) Advance Letters respectively,</w:t>
      </w:r>
      <w:bookmarkStart w:name="STET" w:id="3"/>
      <w:bookmarkEnd w:id="3"/>
      <w:r w:rsidRPr="006A6F11" w:rsidR="00673B1B">
        <w:t xml:space="preserve"> signed by the Director of the Census Bureau and informing them of the confidentiality of the survey data.</w:t>
      </w:r>
    </w:p>
    <w:p w:rsidR="00673B1B" w:rsidP="00673B1B" w:rsidRDefault="00673B1B" w14:paraId="199AABA8" w14:textId="77777777">
      <w:pPr>
        <w:tabs>
          <w:tab w:val="left" w:pos="1176"/>
          <w:tab w:val="left" w:pos="1656"/>
          <w:tab w:val="left" w:pos="6696"/>
          <w:tab w:val="left" w:pos="8256"/>
        </w:tabs>
      </w:pPr>
    </w:p>
    <w:p w:rsidR="00673B1B" w:rsidP="00673B1B" w:rsidRDefault="00673B1B" w14:paraId="5DB80580" w14:textId="77777777">
      <w:pPr>
        <w:tabs>
          <w:tab w:val="left" w:pos="1176"/>
          <w:tab w:val="left" w:pos="1656"/>
          <w:tab w:val="left" w:pos="6696"/>
          <w:tab w:val="left" w:pos="8256"/>
        </w:tabs>
        <w:ind w:left="480" w:hanging="480"/>
      </w:pPr>
      <w:r>
        <w:t>11.</w:t>
      </w:r>
      <w:r>
        <w:tab/>
      </w:r>
      <w:r w:rsidRPr="00732CAB" w:rsidR="00732CAB">
        <w:rPr>
          <w:b/>
        </w:rPr>
        <w:t>Justification for the collection of sensitive data</w:t>
      </w:r>
      <w:r w:rsidR="00732CAB">
        <w:br/>
      </w:r>
      <w:r w:rsidR="00732CAB">
        <w:br/>
      </w:r>
      <w:r>
        <w:t>The CE Surveys do not include any questions of a sensitive nature.</w:t>
      </w:r>
    </w:p>
    <w:p w:rsidR="00673B1B" w:rsidP="00673B1B" w:rsidRDefault="00673B1B" w14:paraId="77B7E58D" w14:textId="77777777">
      <w:pPr>
        <w:tabs>
          <w:tab w:val="left" w:pos="1176"/>
          <w:tab w:val="left" w:pos="1656"/>
          <w:tab w:val="left" w:pos="6696"/>
          <w:tab w:val="left" w:pos="8256"/>
        </w:tabs>
      </w:pPr>
    </w:p>
    <w:p w:rsidR="003F7588" w:rsidP="003F7588" w:rsidRDefault="003F7588" w14:paraId="64EE3B32" w14:textId="77777777">
      <w:pPr>
        <w:tabs>
          <w:tab w:val="left" w:pos="1176"/>
          <w:tab w:val="left" w:pos="1656"/>
          <w:tab w:val="left" w:pos="6696"/>
          <w:tab w:val="left" w:pos="8256"/>
        </w:tabs>
        <w:rPr>
          <w:b/>
        </w:rPr>
      </w:pPr>
      <w:r>
        <w:t xml:space="preserve">12.  </w:t>
      </w:r>
      <w:r w:rsidRPr="00585E44">
        <w:rPr>
          <w:b/>
        </w:rPr>
        <w:t>Burden Estimate</w:t>
      </w:r>
    </w:p>
    <w:p w:rsidRPr="00585E44" w:rsidR="005D106D" w:rsidP="003F7588" w:rsidRDefault="005D106D" w14:paraId="4C07648C" w14:textId="77777777">
      <w:pPr>
        <w:tabs>
          <w:tab w:val="left" w:pos="1176"/>
          <w:tab w:val="left" w:pos="1656"/>
          <w:tab w:val="left" w:pos="6696"/>
          <w:tab w:val="left" w:pos="8256"/>
        </w:tabs>
        <w:rPr>
          <w:b/>
        </w:rPr>
      </w:pPr>
    </w:p>
    <w:p w:rsidRPr="005C0E61" w:rsidR="00230C54" w:rsidP="00230C54" w:rsidRDefault="00230C54" w14:paraId="0196B7AE" w14:textId="2392E79D">
      <w:pPr>
        <w:ind w:left="480"/>
      </w:pPr>
      <w:r w:rsidRPr="005C0E61">
        <w:t xml:space="preserve">As a result of the </w:t>
      </w:r>
      <w:r w:rsidRPr="005C0E61" w:rsidR="00293590">
        <w:t>addition of questions detailed above</w:t>
      </w:r>
      <w:r w:rsidRPr="005C0E61">
        <w:t xml:space="preserve">, CE </w:t>
      </w:r>
      <w:r w:rsidRPr="005C0E61" w:rsidR="00293590">
        <w:t xml:space="preserve">expects the </w:t>
      </w:r>
      <w:r w:rsidRPr="005C0E61">
        <w:t xml:space="preserve">average length of the CEQ interview </w:t>
      </w:r>
      <w:r w:rsidRPr="005C0E61" w:rsidR="00293590">
        <w:t xml:space="preserve">to </w:t>
      </w:r>
      <w:r w:rsidRPr="005C0E61">
        <w:t xml:space="preserve">increase </w:t>
      </w:r>
      <w:r w:rsidRPr="005C0E61" w:rsidR="00293590">
        <w:t xml:space="preserve">by </w:t>
      </w:r>
      <w:r w:rsidRPr="005C0E61" w:rsidR="00923447">
        <w:t>three</w:t>
      </w:r>
      <w:r w:rsidRPr="005C0E61" w:rsidR="00293590">
        <w:t xml:space="preserve"> minutes</w:t>
      </w:r>
      <w:r w:rsidRPr="005C0E61" w:rsidR="00411F2A">
        <w:t xml:space="preserve">, bringing the average length of the CEQ interview </w:t>
      </w:r>
      <w:r w:rsidRPr="005C0E61">
        <w:t xml:space="preserve">to approximately </w:t>
      </w:r>
      <w:r w:rsidR="00E16D26">
        <w:t>67</w:t>
      </w:r>
      <w:r w:rsidRPr="005C0E61" w:rsidR="00E16D26">
        <w:t xml:space="preserve"> </w:t>
      </w:r>
      <w:r w:rsidRPr="005C0E61">
        <w:t>minutes.</w:t>
      </w:r>
      <w:r w:rsidRPr="005C0E61" w:rsidR="00881066">
        <w:t xml:space="preserve"> </w:t>
      </w:r>
    </w:p>
    <w:p w:rsidRPr="005C0E61" w:rsidR="00230C54" w:rsidP="00230C54" w:rsidRDefault="00230C54" w14:paraId="0E113F4B" w14:textId="77777777">
      <w:pPr>
        <w:ind w:left="480"/>
      </w:pPr>
      <w:r w:rsidRPr="005E378C">
        <w:rPr>
          <w:highlight w:val="yellow"/>
        </w:rPr>
        <w:t xml:space="preserve"> </w:t>
      </w:r>
    </w:p>
    <w:p w:rsidR="00230C54" w:rsidP="00230C54" w:rsidRDefault="00230C54" w14:paraId="46B5D2C0" w14:textId="2BF57825">
      <w:pPr>
        <w:ind w:left="480"/>
      </w:pPr>
      <w:r w:rsidRPr="005C0E61">
        <w:t xml:space="preserve">BLS will conduct the CEQ at approximately </w:t>
      </w:r>
      <w:r w:rsidR="00C47133">
        <w:t>52,700</w:t>
      </w:r>
      <w:r w:rsidRPr="005C0E61">
        <w:t xml:space="preserve"> designated addresses, which</w:t>
      </w:r>
      <w:r w:rsidRPr="005C0E61" w:rsidR="00F12244">
        <w:t xml:space="preserve"> will result in </w:t>
      </w:r>
      <w:r w:rsidR="00C34E7F">
        <w:t>an estimated</w:t>
      </w:r>
      <w:r w:rsidRPr="005C0E61" w:rsidR="00F12244">
        <w:t xml:space="preserve"> </w:t>
      </w:r>
      <w:r w:rsidR="000E5E37">
        <w:t>24,</w:t>
      </w:r>
      <w:r w:rsidR="00C47133">
        <w:t>0</w:t>
      </w:r>
      <w:r w:rsidR="00E16D26">
        <w:t>60</w:t>
      </w:r>
      <w:r w:rsidR="000E5E37">
        <w:t xml:space="preserve"> </w:t>
      </w:r>
      <w:r w:rsidRPr="005C0E61">
        <w:t xml:space="preserve">completed interviews.  </w:t>
      </w:r>
      <w:proofErr w:type="spellStart"/>
      <w:r w:rsidRPr="005C0E61">
        <w:t>Reinterviews</w:t>
      </w:r>
      <w:proofErr w:type="spellEnd"/>
      <w:r w:rsidRPr="005C0E61">
        <w:t xml:space="preserve"> will be conducted on approximately 1</w:t>
      </w:r>
      <w:r w:rsidRPr="005C0E61" w:rsidR="005054E4">
        <w:t>2</w:t>
      </w:r>
      <w:r w:rsidRPr="005C0E61">
        <w:t xml:space="preserve"> percent of the completed </w:t>
      </w:r>
      <w:r w:rsidRPr="005C0E61" w:rsidR="005C0E61">
        <w:t>interviews, for a total of 2</w:t>
      </w:r>
      <w:r w:rsidR="000E5E37">
        <w:t>,</w:t>
      </w:r>
      <w:r w:rsidR="00C47133">
        <w:t>887</w:t>
      </w:r>
      <w:r w:rsidRPr="005C0E61">
        <w:t xml:space="preserve"> completed </w:t>
      </w:r>
      <w:proofErr w:type="spellStart"/>
      <w:r w:rsidRPr="005C0E61">
        <w:t>reinterviews</w:t>
      </w:r>
      <w:proofErr w:type="spellEnd"/>
      <w:r w:rsidRPr="005C0E61">
        <w:t xml:space="preserve"> yearly.  The average time to complete the survey is </w:t>
      </w:r>
      <w:r w:rsidR="00C47133">
        <w:t>67</w:t>
      </w:r>
      <w:r w:rsidRPr="005C0E61" w:rsidR="00C47133">
        <w:t xml:space="preserve"> </w:t>
      </w:r>
      <w:r w:rsidRPr="005C0E61">
        <w:t xml:space="preserve">minutes for the regular interview, and 10 minutes for the </w:t>
      </w:r>
      <w:proofErr w:type="spellStart"/>
      <w:r w:rsidRPr="005C0E61">
        <w:t>reinterview</w:t>
      </w:r>
      <w:proofErr w:type="spellEnd"/>
      <w:r w:rsidRPr="005C0E61">
        <w:t>.  This results in an annual response burden</w:t>
      </w:r>
      <w:r w:rsidR="001D18BA">
        <w:t xml:space="preserve"> (in terms of interview length)</w:t>
      </w:r>
      <w:r w:rsidRPr="005C0E61">
        <w:t xml:space="preserve"> of </w:t>
      </w:r>
      <w:r w:rsidR="00C47133">
        <w:t>27,348</w:t>
      </w:r>
      <w:r w:rsidRPr="005C0E61">
        <w:t xml:space="preserve"> hours yearly.</w:t>
      </w:r>
    </w:p>
    <w:p w:rsidR="00C47133" w:rsidP="00230C54" w:rsidRDefault="00C47133" w14:paraId="3C99A692" w14:textId="77777777">
      <w:pPr>
        <w:ind w:left="480"/>
      </w:pPr>
    </w:p>
    <w:tbl>
      <w:tblPr>
        <w:tblW w:w="7683" w:type="dxa"/>
        <w:jc w:val="center"/>
        <w:tblLook w:val="04A0" w:firstRow="1" w:lastRow="0" w:firstColumn="1" w:lastColumn="0" w:noHBand="0" w:noVBand="1"/>
      </w:tblPr>
      <w:tblGrid>
        <w:gridCol w:w="1469"/>
        <w:gridCol w:w="1443"/>
        <w:gridCol w:w="1229"/>
        <w:gridCol w:w="1230"/>
        <w:gridCol w:w="1136"/>
        <w:gridCol w:w="1176"/>
      </w:tblGrid>
      <w:tr w:rsidR="00C47133" w:rsidTr="002443BF" w14:paraId="203CA1CB" w14:textId="77777777">
        <w:trPr>
          <w:trHeight w:val="324"/>
          <w:jc w:val="center"/>
        </w:trPr>
        <w:tc>
          <w:tcPr>
            <w:tcW w:w="7683"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00C47133" w:rsidRDefault="00C47133" w14:paraId="0CFEA640" w14:textId="77777777">
            <w:pPr>
              <w:jc w:val="center"/>
              <w:rPr>
                <w:color w:val="000000"/>
              </w:rPr>
            </w:pPr>
            <w:r>
              <w:rPr>
                <w:color w:val="000000"/>
              </w:rPr>
              <w:t>Response Burden for the Interview Survey</w:t>
            </w:r>
          </w:p>
        </w:tc>
      </w:tr>
      <w:tr w:rsidR="007916D1" w:rsidTr="00BC763B" w14:paraId="5372D682" w14:textId="77777777">
        <w:trPr>
          <w:trHeight w:val="624"/>
          <w:jc w:val="center"/>
        </w:trPr>
        <w:tc>
          <w:tcPr>
            <w:tcW w:w="1469" w:type="dxa"/>
            <w:tcBorders>
              <w:top w:val="nil"/>
              <w:left w:val="single" w:color="auto" w:sz="8" w:space="0"/>
              <w:bottom w:val="nil"/>
              <w:right w:val="single" w:color="auto" w:sz="8" w:space="0"/>
            </w:tcBorders>
            <w:shd w:val="clear" w:color="auto" w:fill="auto"/>
            <w:vAlign w:val="center"/>
            <w:hideMark/>
          </w:tcPr>
          <w:p w:rsidR="00C47133" w:rsidRDefault="00C47133" w14:paraId="5117B998" w14:textId="77777777">
            <w:pPr>
              <w:jc w:val="center"/>
              <w:rPr>
                <w:color w:val="000000"/>
              </w:rPr>
            </w:pPr>
            <w:r>
              <w:rPr>
                <w:color w:val="000000"/>
              </w:rPr>
              <w:t> </w:t>
            </w:r>
          </w:p>
        </w:tc>
        <w:tc>
          <w:tcPr>
            <w:tcW w:w="1443" w:type="dxa"/>
            <w:vMerge w:val="restart"/>
            <w:tcBorders>
              <w:top w:val="nil"/>
              <w:left w:val="single" w:color="auto" w:sz="8" w:space="0"/>
              <w:bottom w:val="single" w:color="000000" w:sz="8" w:space="0"/>
              <w:right w:val="single" w:color="auto" w:sz="8" w:space="0"/>
            </w:tcBorders>
            <w:shd w:val="clear" w:color="auto" w:fill="auto"/>
            <w:vAlign w:val="center"/>
            <w:hideMark/>
          </w:tcPr>
          <w:p w:rsidR="00C47133" w:rsidRDefault="00C47133" w14:paraId="1637D5B0" w14:textId="77777777">
            <w:pPr>
              <w:jc w:val="center"/>
              <w:rPr>
                <w:color w:val="000000"/>
              </w:rPr>
            </w:pPr>
            <w:r>
              <w:rPr>
                <w:color w:val="000000"/>
              </w:rPr>
              <w:t>Total Respondents</w:t>
            </w:r>
          </w:p>
        </w:tc>
        <w:tc>
          <w:tcPr>
            <w:tcW w:w="1229" w:type="dxa"/>
            <w:vMerge w:val="restart"/>
            <w:tcBorders>
              <w:top w:val="nil"/>
              <w:left w:val="single" w:color="auto" w:sz="8" w:space="0"/>
              <w:bottom w:val="single" w:color="000000" w:sz="8" w:space="0"/>
              <w:right w:val="single" w:color="auto" w:sz="8" w:space="0"/>
            </w:tcBorders>
            <w:shd w:val="clear" w:color="auto" w:fill="auto"/>
            <w:vAlign w:val="center"/>
            <w:hideMark/>
          </w:tcPr>
          <w:p w:rsidR="00C47133" w:rsidRDefault="00C47133" w14:paraId="770D6FC4" w14:textId="77777777">
            <w:pPr>
              <w:jc w:val="center"/>
              <w:rPr>
                <w:color w:val="000000"/>
              </w:rPr>
            </w:pPr>
            <w:r>
              <w:rPr>
                <w:color w:val="000000"/>
              </w:rPr>
              <w:t>Frequency</w:t>
            </w:r>
          </w:p>
        </w:tc>
        <w:tc>
          <w:tcPr>
            <w:tcW w:w="1230" w:type="dxa"/>
            <w:vMerge w:val="restart"/>
            <w:tcBorders>
              <w:top w:val="nil"/>
              <w:left w:val="single" w:color="auto" w:sz="8" w:space="0"/>
              <w:bottom w:val="single" w:color="000000" w:sz="8" w:space="0"/>
              <w:right w:val="single" w:color="auto" w:sz="8" w:space="0"/>
            </w:tcBorders>
            <w:shd w:val="clear" w:color="auto" w:fill="auto"/>
            <w:vAlign w:val="center"/>
            <w:hideMark/>
          </w:tcPr>
          <w:p w:rsidR="00C47133" w:rsidRDefault="00C47133" w14:paraId="5985A032" w14:textId="77777777">
            <w:pPr>
              <w:jc w:val="center"/>
              <w:rPr>
                <w:color w:val="000000"/>
              </w:rPr>
            </w:pPr>
            <w:r>
              <w:rPr>
                <w:color w:val="000000"/>
              </w:rPr>
              <w:t>Total Responses</w:t>
            </w:r>
          </w:p>
        </w:tc>
        <w:tc>
          <w:tcPr>
            <w:tcW w:w="1136" w:type="dxa"/>
            <w:tcBorders>
              <w:top w:val="nil"/>
              <w:left w:val="nil"/>
              <w:bottom w:val="nil"/>
              <w:right w:val="single" w:color="auto" w:sz="8" w:space="0"/>
            </w:tcBorders>
            <w:shd w:val="clear" w:color="auto" w:fill="auto"/>
            <w:vAlign w:val="center"/>
            <w:hideMark/>
          </w:tcPr>
          <w:p w:rsidR="00C47133" w:rsidRDefault="00C47133" w14:paraId="765F90E0" w14:textId="5679871C">
            <w:pPr>
              <w:jc w:val="center"/>
              <w:rPr>
                <w:color w:val="000000"/>
              </w:rPr>
            </w:pPr>
          </w:p>
        </w:tc>
        <w:tc>
          <w:tcPr>
            <w:tcW w:w="1176" w:type="dxa"/>
            <w:tcBorders>
              <w:top w:val="nil"/>
              <w:left w:val="nil"/>
              <w:bottom w:val="nil"/>
              <w:right w:val="single" w:color="auto" w:sz="8" w:space="0"/>
            </w:tcBorders>
            <w:shd w:val="clear" w:color="auto" w:fill="auto"/>
            <w:vAlign w:val="center"/>
            <w:hideMark/>
          </w:tcPr>
          <w:p w:rsidR="00C47133" w:rsidRDefault="00C47133" w14:paraId="4B45E519" w14:textId="256435B5">
            <w:pPr>
              <w:jc w:val="center"/>
              <w:rPr>
                <w:color w:val="000000"/>
              </w:rPr>
            </w:pPr>
          </w:p>
        </w:tc>
      </w:tr>
      <w:tr w:rsidR="007916D1" w:rsidTr="00BC763B" w14:paraId="2994E438" w14:textId="77777777">
        <w:trPr>
          <w:trHeight w:val="1248"/>
          <w:jc w:val="center"/>
        </w:trPr>
        <w:tc>
          <w:tcPr>
            <w:tcW w:w="1469" w:type="dxa"/>
            <w:tcBorders>
              <w:top w:val="nil"/>
              <w:left w:val="single" w:color="auto" w:sz="8" w:space="0"/>
              <w:bottom w:val="single" w:color="auto" w:sz="4" w:space="0"/>
              <w:right w:val="single" w:color="auto" w:sz="8" w:space="0"/>
            </w:tcBorders>
            <w:shd w:val="clear" w:color="auto" w:fill="auto"/>
            <w:vAlign w:val="center"/>
            <w:hideMark/>
          </w:tcPr>
          <w:p w:rsidR="00C47133" w:rsidRDefault="00C47133" w14:paraId="779C1EAD" w14:textId="77777777">
            <w:pPr>
              <w:jc w:val="center"/>
              <w:rPr>
                <w:color w:val="000000"/>
              </w:rPr>
            </w:pPr>
            <w:r>
              <w:rPr>
                <w:color w:val="000000"/>
              </w:rPr>
              <w:t>Form</w:t>
            </w:r>
          </w:p>
        </w:tc>
        <w:tc>
          <w:tcPr>
            <w:tcW w:w="1443" w:type="dxa"/>
            <w:vMerge/>
            <w:tcBorders>
              <w:top w:val="nil"/>
              <w:left w:val="single" w:color="auto" w:sz="8" w:space="0"/>
              <w:bottom w:val="single" w:color="auto" w:sz="4" w:space="0"/>
              <w:right w:val="single" w:color="auto" w:sz="8" w:space="0"/>
            </w:tcBorders>
            <w:vAlign w:val="center"/>
            <w:hideMark/>
          </w:tcPr>
          <w:p w:rsidR="00C47133" w:rsidRDefault="00C47133" w14:paraId="3B51D0CD" w14:textId="77777777">
            <w:pPr>
              <w:rPr>
                <w:color w:val="000000"/>
              </w:rPr>
            </w:pPr>
          </w:p>
        </w:tc>
        <w:tc>
          <w:tcPr>
            <w:tcW w:w="1229" w:type="dxa"/>
            <w:vMerge/>
            <w:tcBorders>
              <w:top w:val="nil"/>
              <w:left w:val="single" w:color="auto" w:sz="8" w:space="0"/>
              <w:bottom w:val="single" w:color="auto" w:sz="4" w:space="0"/>
              <w:right w:val="single" w:color="auto" w:sz="8" w:space="0"/>
            </w:tcBorders>
            <w:vAlign w:val="center"/>
            <w:hideMark/>
          </w:tcPr>
          <w:p w:rsidR="00C47133" w:rsidRDefault="00C47133" w14:paraId="4CC42F59" w14:textId="77777777">
            <w:pPr>
              <w:rPr>
                <w:color w:val="000000"/>
              </w:rPr>
            </w:pPr>
          </w:p>
        </w:tc>
        <w:tc>
          <w:tcPr>
            <w:tcW w:w="1230" w:type="dxa"/>
            <w:vMerge/>
            <w:tcBorders>
              <w:top w:val="nil"/>
              <w:left w:val="single" w:color="auto" w:sz="8" w:space="0"/>
              <w:bottom w:val="single" w:color="auto" w:sz="4" w:space="0"/>
              <w:right w:val="single" w:color="auto" w:sz="8" w:space="0"/>
            </w:tcBorders>
            <w:vAlign w:val="center"/>
            <w:hideMark/>
          </w:tcPr>
          <w:p w:rsidR="00C47133" w:rsidRDefault="00C47133" w14:paraId="1D59523C" w14:textId="77777777">
            <w:pPr>
              <w:rPr>
                <w:color w:val="000000"/>
              </w:rPr>
            </w:pPr>
          </w:p>
        </w:tc>
        <w:tc>
          <w:tcPr>
            <w:tcW w:w="1136" w:type="dxa"/>
            <w:tcBorders>
              <w:top w:val="nil"/>
              <w:left w:val="nil"/>
              <w:bottom w:val="single" w:color="auto" w:sz="4" w:space="0"/>
              <w:right w:val="single" w:color="auto" w:sz="8" w:space="0"/>
            </w:tcBorders>
            <w:shd w:val="clear" w:color="auto" w:fill="auto"/>
            <w:vAlign w:val="center"/>
            <w:hideMark/>
          </w:tcPr>
          <w:p w:rsidR="00C47133" w:rsidRDefault="005C5961" w14:paraId="32A79A13" w14:textId="77777777">
            <w:pPr>
              <w:jc w:val="center"/>
              <w:rPr>
                <w:color w:val="000000"/>
              </w:rPr>
            </w:pPr>
            <w:r>
              <w:rPr>
                <w:color w:val="000000"/>
              </w:rPr>
              <w:t xml:space="preserve">Average </w:t>
            </w:r>
            <w:r w:rsidR="00C47133">
              <w:rPr>
                <w:color w:val="000000"/>
              </w:rPr>
              <w:t>Time per Response</w:t>
            </w:r>
          </w:p>
          <w:p w:rsidR="00D35FA6" w:rsidRDefault="00D35FA6" w14:paraId="06B486AA" w14:textId="62CE92E8">
            <w:pPr>
              <w:jc w:val="center"/>
              <w:rPr>
                <w:color w:val="000000"/>
              </w:rPr>
            </w:pPr>
            <w:r>
              <w:rPr>
                <w:color w:val="000000"/>
              </w:rPr>
              <w:t>(minutes)</w:t>
            </w:r>
          </w:p>
        </w:tc>
        <w:tc>
          <w:tcPr>
            <w:tcW w:w="1176" w:type="dxa"/>
            <w:tcBorders>
              <w:top w:val="nil"/>
              <w:left w:val="nil"/>
              <w:bottom w:val="single" w:color="auto" w:sz="4" w:space="0"/>
              <w:right w:val="single" w:color="auto" w:sz="8" w:space="0"/>
            </w:tcBorders>
            <w:shd w:val="clear" w:color="auto" w:fill="auto"/>
            <w:vAlign w:val="center"/>
            <w:hideMark/>
          </w:tcPr>
          <w:p w:rsidR="00C47133" w:rsidRDefault="005C5961" w14:paraId="7619058A" w14:textId="77777777">
            <w:pPr>
              <w:jc w:val="center"/>
              <w:rPr>
                <w:color w:val="000000"/>
              </w:rPr>
            </w:pPr>
            <w:r>
              <w:rPr>
                <w:color w:val="000000"/>
              </w:rPr>
              <w:t xml:space="preserve">Estimated </w:t>
            </w:r>
            <w:r w:rsidR="00C47133">
              <w:rPr>
                <w:color w:val="000000"/>
              </w:rPr>
              <w:t>Total</w:t>
            </w:r>
          </w:p>
          <w:p w:rsidR="005C5961" w:rsidRDefault="005C5961" w14:paraId="29E6BD7A" w14:textId="77777777">
            <w:pPr>
              <w:jc w:val="center"/>
              <w:rPr>
                <w:color w:val="000000"/>
              </w:rPr>
            </w:pPr>
            <w:r>
              <w:rPr>
                <w:color w:val="000000"/>
              </w:rPr>
              <w:t>Burden</w:t>
            </w:r>
          </w:p>
          <w:p w:rsidR="00D35FA6" w:rsidRDefault="00D35FA6" w14:paraId="569EEA71" w14:textId="13FFBA14">
            <w:pPr>
              <w:jc w:val="center"/>
              <w:rPr>
                <w:color w:val="000000"/>
              </w:rPr>
            </w:pPr>
            <w:r>
              <w:rPr>
                <w:color w:val="000000"/>
              </w:rPr>
              <w:t>(hours)</w:t>
            </w:r>
          </w:p>
        </w:tc>
      </w:tr>
      <w:tr w:rsidR="007916D1" w:rsidTr="00BC763B" w14:paraId="47F96D64" w14:textId="77777777">
        <w:trPr>
          <w:trHeight w:val="636"/>
          <w:jc w:val="center"/>
        </w:trPr>
        <w:tc>
          <w:tcPr>
            <w:tcW w:w="1469" w:type="dxa"/>
            <w:tcBorders>
              <w:top w:val="single" w:color="auto" w:sz="4" w:space="0"/>
              <w:left w:val="single" w:color="auto" w:sz="8" w:space="0"/>
              <w:bottom w:val="single" w:color="auto" w:sz="8" w:space="0"/>
              <w:right w:val="single" w:color="auto" w:sz="8" w:space="0"/>
            </w:tcBorders>
            <w:shd w:val="clear" w:color="auto" w:fill="auto"/>
            <w:vAlign w:val="center"/>
            <w:hideMark/>
          </w:tcPr>
          <w:p w:rsidR="00C47133" w:rsidRDefault="00C47133" w14:paraId="6FBA3C7B" w14:textId="77777777">
            <w:pPr>
              <w:jc w:val="center"/>
              <w:rPr>
                <w:color w:val="000000"/>
              </w:rPr>
            </w:pPr>
            <w:r>
              <w:rPr>
                <w:color w:val="000000"/>
              </w:rPr>
              <w:t>Interview</w:t>
            </w:r>
          </w:p>
        </w:tc>
        <w:tc>
          <w:tcPr>
            <w:tcW w:w="1443" w:type="dxa"/>
            <w:tcBorders>
              <w:top w:val="single" w:color="auto" w:sz="4" w:space="0"/>
              <w:left w:val="nil"/>
              <w:bottom w:val="single" w:color="auto" w:sz="8" w:space="0"/>
              <w:right w:val="single" w:color="auto" w:sz="8" w:space="0"/>
            </w:tcBorders>
            <w:shd w:val="clear" w:color="auto" w:fill="auto"/>
            <w:vAlign w:val="center"/>
            <w:hideMark/>
          </w:tcPr>
          <w:p w:rsidR="00C47133" w:rsidRDefault="00C47133" w14:paraId="56AF36FD" w14:textId="042CEC29">
            <w:pPr>
              <w:jc w:val="center"/>
              <w:rPr>
                <w:color w:val="000000"/>
              </w:rPr>
            </w:pPr>
            <w:r>
              <w:rPr>
                <w:color w:val="000000"/>
              </w:rPr>
              <w:t>6</w:t>
            </w:r>
            <w:r w:rsidR="0036096F">
              <w:rPr>
                <w:color w:val="000000"/>
              </w:rPr>
              <w:t>,</w:t>
            </w:r>
            <w:r>
              <w:rPr>
                <w:color w:val="000000"/>
              </w:rPr>
              <w:t>015</w:t>
            </w:r>
          </w:p>
        </w:tc>
        <w:tc>
          <w:tcPr>
            <w:tcW w:w="1229" w:type="dxa"/>
            <w:tcBorders>
              <w:top w:val="single" w:color="auto" w:sz="4" w:space="0"/>
              <w:left w:val="nil"/>
              <w:bottom w:val="single" w:color="auto" w:sz="8" w:space="0"/>
              <w:right w:val="single" w:color="auto" w:sz="8" w:space="0"/>
            </w:tcBorders>
            <w:shd w:val="clear" w:color="auto" w:fill="auto"/>
            <w:vAlign w:val="center"/>
            <w:hideMark/>
          </w:tcPr>
          <w:p w:rsidR="00C47133" w:rsidRDefault="00C47133" w14:paraId="1ADD6EF0" w14:textId="77777777">
            <w:pPr>
              <w:jc w:val="center"/>
              <w:rPr>
                <w:color w:val="000000"/>
              </w:rPr>
            </w:pPr>
            <w:r>
              <w:rPr>
                <w:color w:val="000000"/>
              </w:rPr>
              <w:t>4</w:t>
            </w:r>
          </w:p>
        </w:tc>
        <w:tc>
          <w:tcPr>
            <w:tcW w:w="1230" w:type="dxa"/>
            <w:tcBorders>
              <w:top w:val="single" w:color="auto" w:sz="4" w:space="0"/>
              <w:left w:val="nil"/>
              <w:bottom w:val="single" w:color="auto" w:sz="8" w:space="0"/>
              <w:right w:val="single" w:color="auto" w:sz="8" w:space="0"/>
            </w:tcBorders>
            <w:shd w:val="clear" w:color="auto" w:fill="auto"/>
            <w:vAlign w:val="center"/>
            <w:hideMark/>
          </w:tcPr>
          <w:p w:rsidR="00C47133" w:rsidP="00DB13E9" w:rsidRDefault="00DB13E9" w14:paraId="3BF5BDA9" w14:textId="2B0A6170">
            <w:pPr>
              <w:jc w:val="center"/>
              <w:rPr>
                <w:color w:val="000000"/>
              </w:rPr>
            </w:pPr>
            <w:r>
              <w:rPr>
                <w:color w:val="000000"/>
              </w:rPr>
              <w:t>24</w:t>
            </w:r>
            <w:r w:rsidR="0036096F">
              <w:rPr>
                <w:color w:val="000000"/>
              </w:rPr>
              <w:t>,</w:t>
            </w:r>
            <w:r>
              <w:rPr>
                <w:color w:val="000000"/>
              </w:rPr>
              <w:t>060</w:t>
            </w:r>
          </w:p>
        </w:tc>
        <w:tc>
          <w:tcPr>
            <w:tcW w:w="1136" w:type="dxa"/>
            <w:tcBorders>
              <w:top w:val="single" w:color="auto" w:sz="4" w:space="0"/>
              <w:left w:val="nil"/>
              <w:bottom w:val="single" w:color="auto" w:sz="8" w:space="0"/>
              <w:right w:val="single" w:color="auto" w:sz="8" w:space="0"/>
            </w:tcBorders>
            <w:shd w:val="clear" w:color="auto" w:fill="auto"/>
            <w:vAlign w:val="center"/>
            <w:hideMark/>
          </w:tcPr>
          <w:p w:rsidR="00C47133" w:rsidRDefault="00C47133" w14:paraId="5D79D961" w14:textId="77777777">
            <w:pPr>
              <w:jc w:val="center"/>
              <w:rPr>
                <w:color w:val="000000"/>
              </w:rPr>
            </w:pPr>
            <w:r>
              <w:rPr>
                <w:color w:val="000000"/>
              </w:rPr>
              <w:t>67</w:t>
            </w:r>
          </w:p>
        </w:tc>
        <w:tc>
          <w:tcPr>
            <w:tcW w:w="1176" w:type="dxa"/>
            <w:tcBorders>
              <w:top w:val="single" w:color="auto" w:sz="4" w:space="0"/>
              <w:left w:val="nil"/>
              <w:bottom w:val="single" w:color="auto" w:sz="8" w:space="0"/>
              <w:right w:val="single" w:color="auto" w:sz="8" w:space="0"/>
            </w:tcBorders>
            <w:shd w:val="clear" w:color="auto" w:fill="auto"/>
            <w:vAlign w:val="center"/>
            <w:hideMark/>
          </w:tcPr>
          <w:p w:rsidR="00C47133" w:rsidRDefault="00C47133" w14:paraId="2695480A" w14:textId="40ECA48C">
            <w:pPr>
              <w:jc w:val="center"/>
              <w:rPr>
                <w:color w:val="000000"/>
              </w:rPr>
            </w:pPr>
            <w:r>
              <w:rPr>
                <w:color w:val="000000"/>
              </w:rPr>
              <w:t>26</w:t>
            </w:r>
            <w:r w:rsidR="0036096F">
              <w:rPr>
                <w:color w:val="000000"/>
              </w:rPr>
              <w:t>,</w:t>
            </w:r>
            <w:r>
              <w:rPr>
                <w:color w:val="000000"/>
              </w:rPr>
              <w:t>867</w:t>
            </w:r>
          </w:p>
        </w:tc>
      </w:tr>
      <w:tr w:rsidR="007916D1" w:rsidTr="00BC763B" w14:paraId="49731BF1" w14:textId="77777777">
        <w:trPr>
          <w:trHeight w:val="696"/>
          <w:jc w:val="center"/>
        </w:trPr>
        <w:tc>
          <w:tcPr>
            <w:tcW w:w="1469" w:type="dxa"/>
            <w:tcBorders>
              <w:top w:val="nil"/>
              <w:left w:val="single" w:color="auto" w:sz="8" w:space="0"/>
              <w:bottom w:val="single" w:color="auto" w:sz="8" w:space="0"/>
              <w:right w:val="single" w:color="auto" w:sz="8" w:space="0"/>
            </w:tcBorders>
            <w:shd w:val="clear" w:color="auto" w:fill="auto"/>
            <w:vAlign w:val="center"/>
            <w:hideMark/>
          </w:tcPr>
          <w:p w:rsidR="00C47133" w:rsidRDefault="00C47133" w14:paraId="46E6734A" w14:textId="77777777">
            <w:pPr>
              <w:jc w:val="center"/>
              <w:rPr>
                <w:color w:val="000000"/>
              </w:rPr>
            </w:pPr>
            <w:r>
              <w:rPr>
                <w:color w:val="000000"/>
              </w:rPr>
              <w:t>Reinterview</w:t>
            </w:r>
            <w:r>
              <w:rPr>
                <w:color w:val="000000"/>
                <w:vertAlign w:val="superscript"/>
              </w:rPr>
              <w:t>1</w:t>
            </w:r>
          </w:p>
        </w:tc>
        <w:tc>
          <w:tcPr>
            <w:tcW w:w="1443" w:type="dxa"/>
            <w:tcBorders>
              <w:top w:val="nil"/>
              <w:left w:val="nil"/>
              <w:bottom w:val="single" w:color="auto" w:sz="8" w:space="0"/>
              <w:right w:val="single" w:color="auto" w:sz="8" w:space="0"/>
            </w:tcBorders>
            <w:shd w:val="clear" w:color="auto" w:fill="auto"/>
            <w:vAlign w:val="center"/>
            <w:hideMark/>
          </w:tcPr>
          <w:p w:rsidR="00C47133" w:rsidRDefault="00C47133" w14:paraId="11E1AF2F" w14:textId="4FAFF83D">
            <w:pPr>
              <w:jc w:val="center"/>
              <w:rPr>
                <w:color w:val="000000"/>
              </w:rPr>
            </w:pPr>
            <w:r>
              <w:rPr>
                <w:color w:val="000000"/>
              </w:rPr>
              <w:t>2</w:t>
            </w:r>
            <w:r w:rsidR="0036096F">
              <w:rPr>
                <w:color w:val="000000"/>
              </w:rPr>
              <w:t>,</w:t>
            </w:r>
            <w:r>
              <w:rPr>
                <w:color w:val="000000"/>
              </w:rPr>
              <w:t>887</w:t>
            </w:r>
          </w:p>
        </w:tc>
        <w:tc>
          <w:tcPr>
            <w:tcW w:w="1229" w:type="dxa"/>
            <w:tcBorders>
              <w:top w:val="nil"/>
              <w:left w:val="nil"/>
              <w:bottom w:val="single" w:color="auto" w:sz="8" w:space="0"/>
              <w:right w:val="single" w:color="auto" w:sz="8" w:space="0"/>
            </w:tcBorders>
            <w:shd w:val="clear" w:color="auto" w:fill="auto"/>
            <w:vAlign w:val="center"/>
            <w:hideMark/>
          </w:tcPr>
          <w:p w:rsidR="00C47133" w:rsidRDefault="00C47133" w14:paraId="1A0A54A0" w14:textId="77777777">
            <w:pPr>
              <w:jc w:val="center"/>
              <w:rPr>
                <w:color w:val="000000"/>
              </w:rPr>
            </w:pPr>
            <w:r>
              <w:rPr>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00C47133" w:rsidRDefault="00C47133" w14:paraId="195D3A98" w14:textId="08D432DD">
            <w:pPr>
              <w:jc w:val="center"/>
              <w:rPr>
                <w:color w:val="000000"/>
              </w:rPr>
            </w:pPr>
            <w:r>
              <w:rPr>
                <w:color w:val="000000"/>
              </w:rPr>
              <w:t>2</w:t>
            </w:r>
            <w:r w:rsidR="0036096F">
              <w:rPr>
                <w:color w:val="000000"/>
              </w:rPr>
              <w:t>,</w:t>
            </w:r>
            <w:r>
              <w:rPr>
                <w:color w:val="000000"/>
              </w:rPr>
              <w:t>887</w:t>
            </w:r>
          </w:p>
        </w:tc>
        <w:tc>
          <w:tcPr>
            <w:tcW w:w="1136" w:type="dxa"/>
            <w:tcBorders>
              <w:top w:val="nil"/>
              <w:left w:val="nil"/>
              <w:bottom w:val="single" w:color="auto" w:sz="8" w:space="0"/>
              <w:right w:val="single" w:color="auto" w:sz="8" w:space="0"/>
            </w:tcBorders>
            <w:shd w:val="clear" w:color="auto" w:fill="auto"/>
            <w:vAlign w:val="center"/>
            <w:hideMark/>
          </w:tcPr>
          <w:p w:rsidR="00C47133" w:rsidRDefault="00C47133" w14:paraId="289DA31A" w14:textId="77777777">
            <w:pPr>
              <w:jc w:val="center"/>
              <w:rPr>
                <w:color w:val="000000"/>
              </w:rPr>
            </w:pPr>
            <w:r>
              <w:rPr>
                <w:color w:val="000000"/>
              </w:rPr>
              <w:t>10</w:t>
            </w:r>
          </w:p>
        </w:tc>
        <w:tc>
          <w:tcPr>
            <w:tcW w:w="1176" w:type="dxa"/>
            <w:tcBorders>
              <w:top w:val="nil"/>
              <w:left w:val="nil"/>
              <w:bottom w:val="single" w:color="auto" w:sz="8" w:space="0"/>
              <w:right w:val="single" w:color="auto" w:sz="8" w:space="0"/>
            </w:tcBorders>
            <w:shd w:val="clear" w:color="auto" w:fill="auto"/>
            <w:vAlign w:val="center"/>
            <w:hideMark/>
          </w:tcPr>
          <w:p w:rsidR="00C47133" w:rsidRDefault="00C47133" w14:paraId="4286D3AB" w14:textId="77777777">
            <w:pPr>
              <w:jc w:val="center"/>
              <w:rPr>
                <w:color w:val="000000"/>
              </w:rPr>
            </w:pPr>
            <w:r>
              <w:rPr>
                <w:color w:val="000000"/>
              </w:rPr>
              <w:t>481</w:t>
            </w:r>
          </w:p>
        </w:tc>
      </w:tr>
      <w:tr w:rsidR="007916D1" w:rsidTr="00BC763B" w14:paraId="237389BD" w14:textId="77777777">
        <w:trPr>
          <w:trHeight w:val="636"/>
          <w:jc w:val="center"/>
        </w:trPr>
        <w:tc>
          <w:tcPr>
            <w:tcW w:w="1469" w:type="dxa"/>
            <w:tcBorders>
              <w:top w:val="nil"/>
              <w:left w:val="single" w:color="auto" w:sz="8" w:space="0"/>
              <w:bottom w:val="single" w:color="auto" w:sz="8" w:space="0"/>
              <w:right w:val="single" w:color="auto" w:sz="8" w:space="0"/>
            </w:tcBorders>
            <w:shd w:val="clear" w:color="auto" w:fill="auto"/>
            <w:vAlign w:val="center"/>
            <w:hideMark/>
          </w:tcPr>
          <w:p w:rsidR="00C47133" w:rsidRDefault="00C47133" w14:paraId="6003B7B4" w14:textId="77777777">
            <w:pPr>
              <w:jc w:val="center"/>
              <w:rPr>
                <w:color w:val="000000"/>
              </w:rPr>
            </w:pPr>
            <w:r>
              <w:rPr>
                <w:color w:val="000000"/>
              </w:rPr>
              <w:t>TOTALS</w:t>
            </w:r>
          </w:p>
        </w:tc>
        <w:tc>
          <w:tcPr>
            <w:tcW w:w="1443" w:type="dxa"/>
            <w:tcBorders>
              <w:top w:val="nil"/>
              <w:left w:val="nil"/>
              <w:bottom w:val="single" w:color="auto" w:sz="8" w:space="0"/>
              <w:right w:val="single" w:color="auto" w:sz="8" w:space="0"/>
            </w:tcBorders>
            <w:shd w:val="clear" w:color="auto" w:fill="auto"/>
            <w:vAlign w:val="center"/>
            <w:hideMark/>
          </w:tcPr>
          <w:p w:rsidR="00C47133" w:rsidRDefault="00E16D26" w14:paraId="09AB555A" w14:textId="4848C873">
            <w:pPr>
              <w:jc w:val="center"/>
              <w:rPr>
                <w:color w:val="000000"/>
              </w:rPr>
            </w:pPr>
            <w:r>
              <w:rPr>
                <w:color w:val="000000"/>
              </w:rPr>
              <w:t>6</w:t>
            </w:r>
            <w:r w:rsidR="0036096F">
              <w:rPr>
                <w:color w:val="000000"/>
              </w:rPr>
              <w:t>,</w:t>
            </w:r>
            <w:r>
              <w:rPr>
                <w:color w:val="000000"/>
              </w:rPr>
              <w:t>015</w:t>
            </w:r>
          </w:p>
        </w:tc>
        <w:tc>
          <w:tcPr>
            <w:tcW w:w="1229" w:type="dxa"/>
            <w:tcBorders>
              <w:top w:val="nil"/>
              <w:left w:val="nil"/>
              <w:bottom w:val="single" w:color="auto" w:sz="8" w:space="0"/>
              <w:right w:val="single" w:color="auto" w:sz="8" w:space="0"/>
            </w:tcBorders>
            <w:shd w:val="clear" w:color="auto" w:fill="auto"/>
            <w:vAlign w:val="center"/>
            <w:hideMark/>
          </w:tcPr>
          <w:p w:rsidR="00C47133" w:rsidRDefault="00C47133" w14:paraId="0CF612D3" w14:textId="77777777">
            <w:pPr>
              <w:jc w:val="center"/>
              <w:rPr>
                <w:color w:val="000000"/>
              </w:rPr>
            </w:pPr>
            <w:r>
              <w:rPr>
                <w:color w:val="000000"/>
              </w:rPr>
              <w:t>/////////</w:t>
            </w:r>
          </w:p>
        </w:tc>
        <w:tc>
          <w:tcPr>
            <w:tcW w:w="1230" w:type="dxa"/>
            <w:tcBorders>
              <w:top w:val="nil"/>
              <w:left w:val="nil"/>
              <w:bottom w:val="single" w:color="auto" w:sz="8" w:space="0"/>
              <w:right w:val="single" w:color="auto" w:sz="8" w:space="0"/>
            </w:tcBorders>
            <w:shd w:val="clear" w:color="auto" w:fill="auto"/>
            <w:vAlign w:val="center"/>
            <w:hideMark/>
          </w:tcPr>
          <w:p w:rsidR="00C47133" w:rsidP="00D741C4" w:rsidRDefault="00D741C4" w14:paraId="573CD3CF" w14:textId="7D5A4F70">
            <w:pPr>
              <w:jc w:val="center"/>
              <w:rPr>
                <w:color w:val="000000"/>
              </w:rPr>
            </w:pPr>
            <w:r>
              <w:rPr>
                <w:color w:val="000000"/>
              </w:rPr>
              <w:t>26,947</w:t>
            </w:r>
          </w:p>
        </w:tc>
        <w:tc>
          <w:tcPr>
            <w:tcW w:w="1136" w:type="dxa"/>
            <w:tcBorders>
              <w:top w:val="nil"/>
              <w:left w:val="nil"/>
              <w:bottom w:val="single" w:color="auto" w:sz="8" w:space="0"/>
              <w:right w:val="single" w:color="auto" w:sz="8" w:space="0"/>
            </w:tcBorders>
            <w:shd w:val="clear" w:color="auto" w:fill="auto"/>
            <w:vAlign w:val="center"/>
            <w:hideMark/>
          </w:tcPr>
          <w:p w:rsidR="00C47133" w:rsidRDefault="00C47133" w14:paraId="53969E04" w14:textId="77777777">
            <w:pPr>
              <w:jc w:val="center"/>
              <w:rPr>
                <w:color w:val="000000"/>
              </w:rPr>
            </w:pPr>
            <w:r>
              <w:rPr>
                <w:color w:val="000000"/>
              </w:rPr>
              <w:t>////////</w:t>
            </w:r>
          </w:p>
        </w:tc>
        <w:tc>
          <w:tcPr>
            <w:tcW w:w="1176" w:type="dxa"/>
            <w:tcBorders>
              <w:top w:val="nil"/>
              <w:left w:val="nil"/>
              <w:bottom w:val="single" w:color="auto" w:sz="8" w:space="0"/>
              <w:right w:val="single" w:color="auto" w:sz="8" w:space="0"/>
            </w:tcBorders>
            <w:shd w:val="clear" w:color="auto" w:fill="auto"/>
            <w:vAlign w:val="center"/>
            <w:hideMark/>
          </w:tcPr>
          <w:p w:rsidR="00C47133" w:rsidRDefault="00C47133" w14:paraId="5438D5EB" w14:textId="517171FD">
            <w:pPr>
              <w:jc w:val="center"/>
              <w:rPr>
                <w:color w:val="000000"/>
              </w:rPr>
            </w:pPr>
            <w:r>
              <w:rPr>
                <w:color w:val="000000"/>
              </w:rPr>
              <w:t>27</w:t>
            </w:r>
            <w:r w:rsidR="0036096F">
              <w:rPr>
                <w:color w:val="000000"/>
              </w:rPr>
              <w:t>,</w:t>
            </w:r>
            <w:r>
              <w:rPr>
                <w:color w:val="000000"/>
              </w:rPr>
              <w:t>348</w:t>
            </w:r>
          </w:p>
        </w:tc>
      </w:tr>
      <w:tr w:rsidR="00C47133" w:rsidTr="002443BF" w14:paraId="6D72F8F0" w14:textId="77777777">
        <w:trPr>
          <w:trHeight w:val="372"/>
          <w:jc w:val="center"/>
        </w:trPr>
        <w:tc>
          <w:tcPr>
            <w:tcW w:w="7683" w:type="dxa"/>
            <w:gridSpan w:val="6"/>
            <w:tcBorders>
              <w:top w:val="single" w:color="auto" w:sz="8" w:space="0"/>
              <w:left w:val="single" w:color="auto" w:sz="8" w:space="0"/>
              <w:right w:val="single" w:color="000000" w:sz="8" w:space="0"/>
            </w:tcBorders>
            <w:shd w:val="clear" w:color="auto" w:fill="auto"/>
            <w:vAlign w:val="center"/>
            <w:hideMark/>
          </w:tcPr>
          <w:p w:rsidR="00C47133" w:rsidRDefault="00C47133" w14:paraId="2277EAAF" w14:textId="77777777">
            <w:pPr>
              <w:rPr>
                <w:color w:val="000000"/>
              </w:rPr>
            </w:pPr>
            <w:r>
              <w:rPr>
                <w:color w:val="000000"/>
                <w:vertAlign w:val="superscript"/>
              </w:rPr>
              <w:t> </w:t>
            </w:r>
          </w:p>
        </w:tc>
      </w:tr>
      <w:tr w:rsidR="00C47133" w:rsidTr="002443BF" w14:paraId="179070CD" w14:textId="77777777">
        <w:trPr>
          <w:trHeight w:val="684"/>
          <w:jc w:val="center"/>
        </w:trPr>
        <w:tc>
          <w:tcPr>
            <w:tcW w:w="7683" w:type="dxa"/>
            <w:gridSpan w:val="6"/>
            <w:tcBorders>
              <w:top w:val="nil"/>
              <w:left w:val="single" w:color="auto" w:sz="8" w:space="0"/>
              <w:bottom w:val="single" w:color="auto" w:sz="4" w:space="0"/>
              <w:right w:val="single" w:color="000000" w:sz="8" w:space="0"/>
            </w:tcBorders>
            <w:shd w:val="clear" w:color="auto" w:fill="auto"/>
            <w:vAlign w:val="center"/>
            <w:hideMark/>
          </w:tcPr>
          <w:p w:rsidR="00C47133" w:rsidRDefault="00C47133" w14:paraId="6EC50652" w14:textId="77777777">
            <w:pPr>
              <w:rPr>
                <w:color w:val="000000"/>
              </w:rPr>
            </w:pPr>
            <w:r>
              <w:rPr>
                <w:color w:val="000000"/>
                <w:vertAlign w:val="superscript"/>
              </w:rPr>
              <w:t>1</w:t>
            </w:r>
            <w:r>
              <w:rPr>
                <w:color w:val="000000"/>
              </w:rPr>
              <w:t>Reinterviews are done on a subset of the original respondents</w:t>
            </w:r>
          </w:p>
        </w:tc>
      </w:tr>
    </w:tbl>
    <w:p w:rsidRPr="00DB2764" w:rsidR="00C87310" w:rsidP="00230C54" w:rsidRDefault="00C87310" w14:paraId="07BF3306" w14:textId="77777777">
      <w:pPr>
        <w:ind w:left="480"/>
      </w:pPr>
    </w:p>
    <w:p w:rsidR="00BC763B" w:rsidP="008A4450" w:rsidRDefault="00BC763B" w14:paraId="22D3BF85" w14:textId="77777777"/>
    <w:p w:rsidR="008A4450" w:rsidP="008A4450" w:rsidRDefault="00230C54" w14:paraId="0B45F5DD" w14:textId="1A20272C">
      <w:pPr>
        <w:rPr>
          <w:rFonts w:ascii="Calibri" w:hAnsi="Calibri" w:cs="Calibri" w:eastAsiaTheme="minorHAnsi"/>
          <w:sz w:val="22"/>
          <w:szCs w:val="22"/>
        </w:rPr>
      </w:pPr>
      <w:r w:rsidRPr="00DB2764">
        <w:t xml:space="preserve">The BLS will conduct the CED at approximately </w:t>
      </w:r>
      <w:r w:rsidR="005716EA">
        <w:t>17,800</w:t>
      </w:r>
      <w:r w:rsidRPr="00DB2764">
        <w:t xml:space="preserve"> designated addresses per year, </w:t>
      </w:r>
      <w:r w:rsidR="00C34E7F">
        <w:t xml:space="preserve">resulting in an estimated </w:t>
      </w:r>
      <w:r w:rsidR="00E5304B">
        <w:t>7,535</w:t>
      </w:r>
      <w:r w:rsidRPr="00DB2764">
        <w:t xml:space="preserve"> completed interviews and diaries.  Respondents complete 2 weekly diaries, resulting in </w:t>
      </w:r>
      <w:r w:rsidR="00E5304B">
        <w:t>15,070</w:t>
      </w:r>
      <w:r w:rsidRPr="00DB2764">
        <w:t xml:space="preserve"> weekly diaries being completed per year.  </w:t>
      </w:r>
      <w:proofErr w:type="spellStart"/>
      <w:r w:rsidRPr="00DB2764">
        <w:t>Reinterviews</w:t>
      </w:r>
      <w:proofErr w:type="spellEnd"/>
      <w:r w:rsidRPr="00DB2764">
        <w:t xml:space="preserve"> will be conducted on approximately 10 percent of the weekly diaries for a total of 1,</w:t>
      </w:r>
      <w:r w:rsidR="00E5304B">
        <w:t>507</w:t>
      </w:r>
      <w:r w:rsidRPr="00DB2764" w:rsidR="00223CC5">
        <w:t xml:space="preserve"> </w:t>
      </w:r>
      <w:proofErr w:type="spellStart"/>
      <w:r w:rsidRPr="00DB2764">
        <w:t>reinterviews</w:t>
      </w:r>
      <w:proofErr w:type="spellEnd"/>
      <w:r w:rsidRPr="00DB2764">
        <w:t xml:space="preserve">.  Respondents spend approximately </w:t>
      </w:r>
      <w:r w:rsidRPr="00DB2764" w:rsidR="00DB2764">
        <w:t>70</w:t>
      </w:r>
      <w:r w:rsidRPr="00DB2764">
        <w:t xml:space="preserve"> minutes completing each weekly diary, for a total of </w:t>
      </w:r>
      <w:r w:rsidR="00E5304B">
        <w:t>17,582</w:t>
      </w:r>
      <w:r w:rsidRPr="00DB2764">
        <w:t xml:space="preserve"> hours of record-keeping.  In addition to record-keeping, it takes </w:t>
      </w:r>
      <w:r w:rsidR="00E5304B">
        <w:t xml:space="preserve">an average of 19 </w:t>
      </w:r>
      <w:r w:rsidRPr="00DB2764">
        <w:t xml:space="preserve">minutes to complete each of the </w:t>
      </w:r>
      <w:r w:rsidR="00E5304B">
        <w:t xml:space="preserve">average 2.3 interviews.  </w:t>
      </w:r>
      <w:r w:rsidR="00986F20">
        <w:t xml:space="preserve">This average is calculated based on the number of expected respondents to complete the regular two 20 minute interviews (90%) and those expected to complete both the two regular interviews and 3 additional 5 minutes interviews as a result of the coronavirus (10%). </w:t>
      </w:r>
      <w:r w:rsidR="00E5304B">
        <w:t xml:space="preserve"> It takes an additional </w:t>
      </w:r>
      <w:r w:rsidRPr="00DB2764">
        <w:t xml:space="preserve">10 minutes to complete the </w:t>
      </w:r>
      <w:proofErr w:type="spellStart"/>
      <w:r w:rsidRPr="00DB2764">
        <w:t>reinterview</w:t>
      </w:r>
      <w:proofErr w:type="spellEnd"/>
      <w:r w:rsidRPr="00DB2764">
        <w:t xml:space="preserve">, for a total of </w:t>
      </w:r>
      <w:r w:rsidR="00E5304B">
        <w:t>5,488</w:t>
      </w:r>
      <w:r w:rsidRPr="00DB2764">
        <w:rPr>
          <w:color w:val="000000"/>
        </w:rPr>
        <w:t xml:space="preserve"> </w:t>
      </w:r>
      <w:r w:rsidRPr="00DB2764">
        <w:t xml:space="preserve">hours of interviewing, and </w:t>
      </w:r>
      <w:r w:rsidR="00223CC5">
        <w:t>2</w:t>
      </w:r>
      <w:r w:rsidR="00E5304B">
        <w:t>51</w:t>
      </w:r>
      <w:r w:rsidRPr="00DB2764" w:rsidR="00B626BD">
        <w:rPr>
          <w:color w:val="000000"/>
        </w:rPr>
        <w:t xml:space="preserve"> </w:t>
      </w:r>
      <w:r w:rsidRPr="00DB2764">
        <w:t xml:space="preserve">hours of </w:t>
      </w:r>
      <w:proofErr w:type="spellStart"/>
      <w:r w:rsidRPr="00DB2764">
        <w:t>reinterviewing</w:t>
      </w:r>
      <w:proofErr w:type="spellEnd"/>
      <w:r w:rsidRPr="00DB2764">
        <w:t xml:space="preserve">.  Total burden hours for the Diary Survey </w:t>
      </w:r>
      <w:r w:rsidR="00223CC5">
        <w:t xml:space="preserve">is </w:t>
      </w:r>
      <w:r w:rsidR="00C47133">
        <w:t xml:space="preserve">approximately 23,321 </w:t>
      </w:r>
      <w:r w:rsidRPr="00DB2764">
        <w:t>per year.</w:t>
      </w:r>
    </w:p>
    <w:p w:rsidRPr="005E378C" w:rsidR="0006130E" w:rsidP="00230C54" w:rsidRDefault="0006130E" w14:paraId="64C77898" w14:textId="77777777">
      <w:pPr>
        <w:ind w:left="480"/>
        <w:rPr>
          <w:highlight w:val="yellow"/>
        </w:rPr>
      </w:pPr>
    </w:p>
    <w:p w:rsidR="00BC763B" w:rsidP="002443BF" w:rsidRDefault="00BC763B" w14:paraId="0DA49914" w14:textId="272EFAC5">
      <w:pPr>
        <w:rPr>
          <w:color w:val="000000"/>
          <w:highlight w:val="yellow"/>
        </w:rPr>
      </w:pPr>
      <w:r>
        <w:rPr>
          <w:color w:val="000000"/>
          <w:highlight w:val="yellow"/>
        </w:rPr>
        <w:br w:type="page"/>
      </w:r>
    </w:p>
    <w:tbl>
      <w:tblPr>
        <w:tblW w:w="7999" w:type="dxa"/>
        <w:jc w:val="center"/>
        <w:tblCellMar>
          <w:left w:w="0" w:type="dxa"/>
          <w:right w:w="0" w:type="dxa"/>
        </w:tblCellMar>
        <w:tblLook w:val="04A0" w:firstRow="1" w:lastRow="0" w:firstColumn="1" w:lastColumn="0" w:noHBand="0" w:noVBand="1"/>
      </w:tblPr>
      <w:tblGrid>
        <w:gridCol w:w="1400"/>
        <w:gridCol w:w="1443"/>
        <w:gridCol w:w="1240"/>
        <w:gridCol w:w="1460"/>
        <w:gridCol w:w="1280"/>
        <w:gridCol w:w="1176"/>
      </w:tblGrid>
      <w:tr w:rsidR="005C5961" w:rsidTr="002443BF" w14:paraId="03923548" w14:textId="77777777">
        <w:trPr>
          <w:trHeight w:val="324"/>
          <w:jc w:val="center"/>
        </w:trPr>
        <w:tc>
          <w:tcPr>
            <w:tcW w:w="7999" w:type="dxa"/>
            <w:gridSpan w:val="6"/>
            <w:tcBorders>
              <w:top w:val="single" w:color="auto" w:sz="8" w:space="0"/>
              <w:left w:val="single" w:color="auto" w:sz="8" w:space="0"/>
              <w:bottom w:val="single" w:color="auto" w:sz="8" w:space="0"/>
              <w:right w:val="single" w:color="000000" w:sz="8" w:space="0"/>
            </w:tcBorders>
            <w:tcMar>
              <w:top w:w="0" w:type="dxa"/>
              <w:left w:w="108" w:type="dxa"/>
              <w:bottom w:w="0" w:type="dxa"/>
              <w:right w:w="108" w:type="dxa"/>
            </w:tcMar>
            <w:vAlign w:val="center"/>
            <w:hideMark/>
          </w:tcPr>
          <w:p w:rsidR="005C5961" w:rsidP="002443BF" w:rsidRDefault="005C5961" w14:paraId="035F8C33" w14:textId="77777777">
            <w:pPr>
              <w:rPr>
                <w:rFonts w:eastAsiaTheme="minorHAnsi"/>
                <w:color w:val="000000"/>
              </w:rPr>
            </w:pPr>
            <w:r>
              <w:rPr>
                <w:color w:val="000000"/>
              </w:rPr>
              <w:lastRenderedPageBreak/>
              <w:t>Response Burden for the Diary Survey</w:t>
            </w:r>
          </w:p>
        </w:tc>
      </w:tr>
      <w:tr w:rsidR="007916D1" w:rsidTr="00BC763B" w14:paraId="68853C54" w14:textId="77777777">
        <w:trPr>
          <w:trHeight w:val="358"/>
          <w:jc w:val="center"/>
        </w:trPr>
        <w:tc>
          <w:tcPr>
            <w:tcW w:w="1400" w:type="dxa"/>
            <w:tcBorders>
              <w:top w:val="nil"/>
              <w:left w:val="single" w:color="auto" w:sz="8" w:space="0"/>
              <w:bottom w:val="nil"/>
              <w:right w:val="single" w:color="auto" w:sz="8" w:space="0"/>
            </w:tcBorders>
            <w:tcMar>
              <w:top w:w="0" w:type="dxa"/>
              <w:left w:w="108" w:type="dxa"/>
              <w:bottom w:w="0" w:type="dxa"/>
              <w:right w:w="108" w:type="dxa"/>
            </w:tcMar>
            <w:vAlign w:val="center"/>
            <w:hideMark/>
          </w:tcPr>
          <w:p w:rsidR="005C5961" w:rsidP="00657D3F" w:rsidRDefault="005C5961" w14:paraId="1B12B9D7" w14:textId="77777777">
            <w:pPr>
              <w:jc w:val="center"/>
              <w:rPr>
                <w:color w:val="000000"/>
              </w:rPr>
            </w:pPr>
            <w:r>
              <w:rPr>
                <w:color w:val="000000"/>
              </w:rPr>
              <w:t> </w:t>
            </w:r>
          </w:p>
        </w:tc>
        <w:tc>
          <w:tcPr>
            <w:tcW w:w="1443"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005C5961" w:rsidP="00657D3F" w:rsidRDefault="005C5961" w14:paraId="387026CD" w14:textId="77777777">
            <w:pPr>
              <w:jc w:val="center"/>
              <w:rPr>
                <w:color w:val="000000"/>
              </w:rPr>
            </w:pPr>
            <w:r>
              <w:rPr>
                <w:color w:val="000000"/>
              </w:rPr>
              <w:t>Total Respondents</w:t>
            </w:r>
          </w:p>
        </w:tc>
        <w:tc>
          <w:tcPr>
            <w:tcW w:w="124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005C5961" w:rsidP="00657D3F" w:rsidRDefault="005C5961" w14:paraId="418D5B11" w14:textId="77777777">
            <w:pPr>
              <w:jc w:val="center"/>
              <w:rPr>
                <w:color w:val="000000"/>
              </w:rPr>
            </w:pPr>
            <w:r>
              <w:rPr>
                <w:color w:val="000000"/>
              </w:rPr>
              <w:t>Frequency</w:t>
            </w:r>
          </w:p>
        </w:tc>
        <w:tc>
          <w:tcPr>
            <w:tcW w:w="146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005C5961" w:rsidP="00657D3F" w:rsidRDefault="005C5961" w14:paraId="66EB77C9" w14:textId="77777777">
            <w:pPr>
              <w:jc w:val="center"/>
              <w:rPr>
                <w:color w:val="000000"/>
              </w:rPr>
            </w:pPr>
            <w:r>
              <w:rPr>
                <w:color w:val="000000"/>
              </w:rPr>
              <w:t>Total Responses</w:t>
            </w:r>
          </w:p>
        </w:tc>
        <w:tc>
          <w:tcPr>
            <w:tcW w:w="1280" w:type="dxa"/>
            <w:tcBorders>
              <w:top w:val="nil"/>
              <w:left w:val="nil"/>
              <w:bottom w:val="nil"/>
              <w:right w:val="single" w:color="auto" w:sz="8" w:space="0"/>
            </w:tcBorders>
            <w:tcMar>
              <w:top w:w="0" w:type="dxa"/>
              <w:left w:w="108" w:type="dxa"/>
              <w:bottom w:w="0" w:type="dxa"/>
              <w:right w:w="108" w:type="dxa"/>
            </w:tcMar>
            <w:vAlign w:val="center"/>
            <w:hideMark/>
          </w:tcPr>
          <w:p w:rsidR="005C5961" w:rsidP="00657D3F" w:rsidRDefault="005C5961" w14:paraId="725F4756" w14:textId="77777777">
            <w:pPr>
              <w:jc w:val="center"/>
              <w:rPr>
                <w:color w:val="000000"/>
              </w:rPr>
            </w:pPr>
            <w:r>
              <w:rPr>
                <w:color w:val="000000"/>
              </w:rPr>
              <w:t>Average</w:t>
            </w:r>
          </w:p>
        </w:tc>
        <w:tc>
          <w:tcPr>
            <w:tcW w:w="1176" w:type="dxa"/>
            <w:tcBorders>
              <w:top w:val="nil"/>
              <w:left w:val="nil"/>
              <w:bottom w:val="nil"/>
              <w:right w:val="single" w:color="auto" w:sz="8" w:space="0"/>
            </w:tcBorders>
            <w:tcMar>
              <w:top w:w="0" w:type="dxa"/>
              <w:left w:w="108" w:type="dxa"/>
              <w:bottom w:w="0" w:type="dxa"/>
              <w:right w:w="108" w:type="dxa"/>
            </w:tcMar>
            <w:vAlign w:val="center"/>
            <w:hideMark/>
          </w:tcPr>
          <w:p w:rsidR="005C5961" w:rsidP="00657D3F" w:rsidRDefault="005C5961" w14:paraId="4C40AEF8" w14:textId="77777777">
            <w:pPr>
              <w:jc w:val="center"/>
              <w:rPr>
                <w:color w:val="000000"/>
              </w:rPr>
            </w:pPr>
            <w:r>
              <w:rPr>
                <w:color w:val="000000"/>
              </w:rPr>
              <w:t>Estimated</w:t>
            </w:r>
          </w:p>
        </w:tc>
      </w:tr>
      <w:tr w:rsidR="007916D1" w:rsidTr="00BC763B" w14:paraId="2A34580E" w14:textId="77777777">
        <w:trPr>
          <w:trHeight w:val="520"/>
          <w:jc w:val="center"/>
        </w:trPr>
        <w:tc>
          <w:tcPr>
            <w:tcW w:w="1400" w:type="dxa"/>
            <w:tcBorders>
              <w:top w:val="nil"/>
              <w:left w:val="single" w:color="auto" w:sz="8" w:space="0"/>
              <w:bottom w:val="nil"/>
              <w:right w:val="single" w:color="auto" w:sz="8" w:space="0"/>
            </w:tcBorders>
            <w:tcMar>
              <w:top w:w="0" w:type="dxa"/>
              <w:left w:w="108" w:type="dxa"/>
              <w:bottom w:w="0" w:type="dxa"/>
              <w:right w:w="108" w:type="dxa"/>
            </w:tcMar>
            <w:vAlign w:val="center"/>
            <w:hideMark/>
          </w:tcPr>
          <w:p w:rsidR="005C5961" w:rsidP="00657D3F" w:rsidRDefault="005C5961" w14:paraId="5A68535B" w14:textId="77777777">
            <w:pPr>
              <w:jc w:val="center"/>
              <w:rPr>
                <w:color w:val="000000"/>
              </w:rPr>
            </w:pPr>
            <w:r>
              <w:rPr>
                <w:color w:val="000000"/>
              </w:rPr>
              <w:t>Form</w:t>
            </w: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6F52B906" w14:textId="77777777">
            <w:pPr>
              <w:rPr>
                <w:rFonts w:eastAsiaTheme="minorHAnsi"/>
                <w:color w:val="000000"/>
              </w:rPr>
            </w:pP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53911BC1" w14:textId="77777777">
            <w:pPr>
              <w:rPr>
                <w:rFonts w:eastAsiaTheme="minorHAnsi"/>
                <w:color w:val="000000"/>
              </w:rPr>
            </w:pP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00E2AFA2" w14:textId="77777777">
            <w:pPr>
              <w:rPr>
                <w:rFonts w:eastAsiaTheme="minorHAnsi"/>
                <w:color w:val="000000"/>
              </w:rPr>
            </w:pPr>
          </w:p>
        </w:tc>
        <w:tc>
          <w:tcPr>
            <w:tcW w:w="1280" w:type="dxa"/>
            <w:tcBorders>
              <w:top w:val="nil"/>
              <w:left w:val="nil"/>
              <w:bottom w:val="nil"/>
              <w:right w:val="single" w:color="auto" w:sz="8" w:space="0"/>
            </w:tcBorders>
            <w:tcMar>
              <w:top w:w="0" w:type="dxa"/>
              <w:left w:w="108" w:type="dxa"/>
              <w:bottom w:w="0" w:type="dxa"/>
              <w:right w:w="108" w:type="dxa"/>
            </w:tcMar>
            <w:vAlign w:val="center"/>
            <w:hideMark/>
          </w:tcPr>
          <w:p w:rsidR="005C5961" w:rsidP="00657D3F" w:rsidRDefault="005C5961" w14:paraId="3E278F5E" w14:textId="77777777">
            <w:pPr>
              <w:jc w:val="center"/>
              <w:rPr>
                <w:color w:val="000000"/>
              </w:rPr>
            </w:pPr>
            <w:r>
              <w:rPr>
                <w:color w:val="000000"/>
              </w:rPr>
              <w:t>Time per Response</w:t>
            </w:r>
          </w:p>
          <w:p w:rsidR="00B64946" w:rsidP="00657D3F" w:rsidRDefault="00B64946" w14:paraId="13787847" w14:textId="0EB3EBE8">
            <w:pPr>
              <w:jc w:val="center"/>
              <w:rPr>
                <w:color w:val="000000"/>
              </w:rPr>
            </w:pPr>
            <w:r>
              <w:rPr>
                <w:color w:val="000000"/>
              </w:rPr>
              <w:t>(minutes)</w:t>
            </w:r>
          </w:p>
        </w:tc>
        <w:tc>
          <w:tcPr>
            <w:tcW w:w="1176" w:type="dxa"/>
            <w:tcBorders>
              <w:top w:val="nil"/>
              <w:left w:val="nil"/>
              <w:bottom w:val="nil"/>
              <w:right w:val="single" w:color="auto" w:sz="8" w:space="0"/>
            </w:tcBorders>
            <w:tcMar>
              <w:top w:w="0" w:type="dxa"/>
              <w:left w:w="108" w:type="dxa"/>
              <w:bottom w:w="0" w:type="dxa"/>
              <w:right w:w="108" w:type="dxa"/>
            </w:tcMar>
            <w:vAlign w:val="center"/>
            <w:hideMark/>
          </w:tcPr>
          <w:p w:rsidR="005C5961" w:rsidP="00657D3F" w:rsidRDefault="005C5961" w14:paraId="0FAAE588" w14:textId="77777777">
            <w:pPr>
              <w:jc w:val="center"/>
              <w:rPr>
                <w:color w:val="000000"/>
              </w:rPr>
            </w:pPr>
            <w:r>
              <w:rPr>
                <w:color w:val="000000"/>
              </w:rPr>
              <w:t>Total</w:t>
            </w:r>
          </w:p>
        </w:tc>
      </w:tr>
      <w:tr w:rsidR="007916D1" w:rsidTr="00BC763B" w14:paraId="6F2564BB" w14:textId="77777777">
        <w:trPr>
          <w:trHeight w:val="124"/>
          <w:jc w:val="center"/>
        </w:trPr>
        <w:tc>
          <w:tcPr>
            <w:tcW w:w="1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C5961" w:rsidP="00657D3F" w:rsidRDefault="005C5961" w14:paraId="3522D16A" w14:textId="77777777">
            <w:pPr>
              <w:rPr>
                <w:rFonts w:ascii="Calibri" w:hAnsi="Calibri" w:cs="Calibri"/>
                <w:color w:val="000000"/>
                <w:sz w:val="22"/>
                <w:szCs w:val="22"/>
              </w:rPr>
            </w:pPr>
            <w:r>
              <w:rPr>
                <w:color w:val="000000"/>
              </w:rPr>
              <w:t> </w:t>
            </w: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13C893CF" w14:textId="77777777">
            <w:pPr>
              <w:rPr>
                <w:rFonts w:eastAsiaTheme="minorHAnsi"/>
                <w:color w:val="000000"/>
              </w:rPr>
            </w:pP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10DB2230" w14:textId="77777777">
            <w:pPr>
              <w:rPr>
                <w:rFonts w:eastAsiaTheme="minorHAnsi"/>
                <w:color w:val="000000"/>
              </w:rPr>
            </w:pPr>
          </w:p>
        </w:tc>
        <w:tc>
          <w:tcPr>
            <w:tcW w:w="0" w:type="auto"/>
            <w:vMerge/>
            <w:tcBorders>
              <w:top w:val="nil"/>
              <w:left w:val="nil"/>
              <w:bottom w:val="single" w:color="000000" w:sz="8" w:space="0"/>
              <w:right w:val="single" w:color="auto" w:sz="8" w:space="0"/>
            </w:tcBorders>
            <w:vAlign w:val="center"/>
            <w:hideMark/>
          </w:tcPr>
          <w:p w:rsidR="005C5961" w:rsidP="00657D3F" w:rsidRDefault="005C5961" w14:paraId="41BB4D30" w14:textId="77777777">
            <w:pPr>
              <w:rPr>
                <w:rFonts w:eastAsiaTheme="minorHAnsi"/>
                <w:color w:val="000000"/>
              </w:rPr>
            </w:pPr>
          </w:p>
        </w:tc>
        <w:tc>
          <w:tcPr>
            <w:tcW w:w="1280" w:type="dxa"/>
            <w:tcBorders>
              <w:top w:val="nil"/>
              <w:left w:val="nil"/>
              <w:bottom w:val="single" w:color="auto" w:sz="8" w:space="0"/>
              <w:right w:val="single" w:color="auto" w:sz="8" w:space="0"/>
            </w:tcBorders>
            <w:tcMar>
              <w:top w:w="0" w:type="dxa"/>
              <w:left w:w="108" w:type="dxa"/>
              <w:bottom w:w="0" w:type="dxa"/>
              <w:right w:w="108" w:type="dxa"/>
            </w:tcMar>
            <w:hideMark/>
          </w:tcPr>
          <w:p w:rsidR="005C5961" w:rsidP="00657D3F" w:rsidRDefault="005C5961" w14:paraId="498D000B" w14:textId="77777777">
            <w:pPr>
              <w:rPr>
                <w:color w:val="000000"/>
              </w:rPr>
            </w:pPr>
            <w:r>
              <w:rPr>
                <w:color w:val="000000"/>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276DE632" w14:textId="77777777">
            <w:pPr>
              <w:jc w:val="center"/>
              <w:rPr>
                <w:color w:val="000000"/>
              </w:rPr>
            </w:pPr>
            <w:r>
              <w:rPr>
                <w:color w:val="000000"/>
              </w:rPr>
              <w:t>Burden</w:t>
            </w:r>
          </w:p>
          <w:p w:rsidR="00B64946" w:rsidP="00657D3F" w:rsidRDefault="00B64946" w14:paraId="414780CF" w14:textId="3E24C782">
            <w:pPr>
              <w:jc w:val="center"/>
              <w:rPr>
                <w:color w:val="000000"/>
              </w:rPr>
            </w:pPr>
            <w:r>
              <w:rPr>
                <w:color w:val="000000"/>
              </w:rPr>
              <w:t>(hours)</w:t>
            </w:r>
          </w:p>
        </w:tc>
      </w:tr>
      <w:tr w:rsidR="005C5961" w:rsidTr="002443BF" w14:paraId="670F5515" w14:textId="77777777">
        <w:trPr>
          <w:trHeight w:val="636"/>
          <w:jc w:val="center"/>
        </w:trPr>
        <w:tc>
          <w:tcPr>
            <w:tcW w:w="1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08964A7B" w14:textId="77777777">
            <w:pPr>
              <w:jc w:val="center"/>
              <w:rPr>
                <w:color w:val="000000"/>
              </w:rPr>
            </w:pPr>
            <w:r>
              <w:rPr>
                <w:color w:val="000000"/>
              </w:rPr>
              <w:t>Record-keeping</w:t>
            </w: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08B3FD92" w14:textId="671A9804">
            <w:pPr>
              <w:jc w:val="center"/>
              <w:rPr>
                <w:color w:val="000000"/>
              </w:rPr>
            </w:pPr>
            <w:r>
              <w:rPr>
                <w:color w:val="000000"/>
              </w:rPr>
              <w:t>7</w:t>
            </w:r>
            <w:r w:rsidR="00E5304B">
              <w:rPr>
                <w:color w:val="000000"/>
              </w:rPr>
              <w:t>,</w:t>
            </w:r>
            <w:r>
              <w:rPr>
                <w:color w:val="000000"/>
              </w:rPr>
              <w:t>535</w:t>
            </w:r>
          </w:p>
        </w:tc>
        <w:tc>
          <w:tcPr>
            <w:tcW w:w="12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7C1375F2" w14:textId="77777777">
            <w:pPr>
              <w:jc w:val="center"/>
              <w:rPr>
                <w:color w:val="000000"/>
              </w:rPr>
            </w:pPr>
            <w:r>
              <w:rPr>
                <w:color w:val="000000"/>
              </w:rPr>
              <w:t>2</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11A0AFB1" w14:textId="77777777">
            <w:pPr>
              <w:jc w:val="center"/>
              <w:rPr>
                <w:color w:val="000000"/>
              </w:rPr>
            </w:pPr>
            <w:r>
              <w:rPr>
                <w:color w:val="000000"/>
              </w:rPr>
              <w:t>15,070</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C80C6A2" w14:textId="77777777">
            <w:pPr>
              <w:jc w:val="center"/>
              <w:rPr>
                <w:color w:val="000000"/>
              </w:rPr>
            </w:pPr>
            <w:r>
              <w:rPr>
                <w:color w:val="000000"/>
              </w:rPr>
              <w:t>70</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3510A92" w14:textId="77777777">
            <w:pPr>
              <w:jc w:val="center"/>
              <w:rPr>
                <w:color w:val="000000"/>
              </w:rPr>
            </w:pPr>
            <w:r>
              <w:rPr>
                <w:color w:val="000000"/>
              </w:rPr>
              <w:t>17,582</w:t>
            </w:r>
          </w:p>
        </w:tc>
      </w:tr>
      <w:tr w:rsidR="005C5961" w:rsidTr="002443BF" w14:paraId="06FDFADD" w14:textId="77777777">
        <w:trPr>
          <w:trHeight w:val="340"/>
          <w:jc w:val="center"/>
        </w:trPr>
        <w:tc>
          <w:tcPr>
            <w:tcW w:w="1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24002DC" w14:textId="77777777">
            <w:pPr>
              <w:jc w:val="center"/>
              <w:rPr>
                <w:color w:val="000000"/>
              </w:rPr>
            </w:pPr>
            <w:r>
              <w:rPr>
                <w:color w:val="000000"/>
              </w:rPr>
              <w:t>Interview</w:t>
            </w: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7CBA91E7" w14:textId="0246BF14">
            <w:pPr>
              <w:jc w:val="center"/>
              <w:rPr>
                <w:color w:val="000000"/>
              </w:rPr>
            </w:pPr>
            <w:r>
              <w:rPr>
                <w:color w:val="000000"/>
              </w:rPr>
              <w:t>7</w:t>
            </w:r>
            <w:r w:rsidR="00E5304B">
              <w:rPr>
                <w:color w:val="000000"/>
              </w:rPr>
              <w:t>,</w:t>
            </w:r>
            <w:r>
              <w:rPr>
                <w:color w:val="000000"/>
              </w:rPr>
              <w:t>535</w:t>
            </w:r>
          </w:p>
        </w:tc>
        <w:tc>
          <w:tcPr>
            <w:tcW w:w="12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1C7C3EE9" w14:textId="77777777">
            <w:pPr>
              <w:jc w:val="center"/>
              <w:rPr>
                <w:color w:val="000000"/>
              </w:rPr>
            </w:pPr>
            <w:r>
              <w:rPr>
                <w:color w:val="000000"/>
              </w:rPr>
              <w:t>2.3</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65862B03" w14:textId="77777777">
            <w:pPr>
              <w:jc w:val="center"/>
              <w:rPr>
                <w:color w:val="000000"/>
              </w:rPr>
            </w:pPr>
            <w:r>
              <w:rPr>
                <w:color w:val="000000"/>
              </w:rPr>
              <w:t>17,332</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672CFF09" w14:textId="77777777">
            <w:pPr>
              <w:jc w:val="center"/>
              <w:rPr>
                <w:color w:val="000000"/>
              </w:rPr>
            </w:pPr>
            <w:r>
              <w:rPr>
                <w:color w:val="000000"/>
              </w:rPr>
              <w:t>19</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4440DA28" w14:textId="77777777">
            <w:pPr>
              <w:jc w:val="center"/>
              <w:rPr>
                <w:color w:val="000000"/>
              </w:rPr>
            </w:pPr>
            <w:r>
              <w:rPr>
                <w:color w:val="000000"/>
              </w:rPr>
              <w:t>5,488</w:t>
            </w:r>
          </w:p>
        </w:tc>
      </w:tr>
      <w:tr w:rsidR="005C5961" w:rsidTr="002443BF" w14:paraId="06CD851F" w14:textId="77777777">
        <w:trPr>
          <w:trHeight w:val="340"/>
          <w:jc w:val="center"/>
        </w:trPr>
        <w:tc>
          <w:tcPr>
            <w:tcW w:w="1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88DAAF4" w14:textId="77777777">
            <w:pPr>
              <w:jc w:val="center"/>
              <w:rPr>
                <w:color w:val="000000"/>
              </w:rPr>
            </w:pPr>
            <w:proofErr w:type="spellStart"/>
            <w:r>
              <w:rPr>
                <w:color w:val="000000"/>
              </w:rPr>
              <w:t>Reinterview</w:t>
            </w:r>
            <w:proofErr w:type="spellEnd"/>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4DE43519" w14:textId="44F8FC89">
            <w:pPr>
              <w:jc w:val="center"/>
              <w:rPr>
                <w:color w:val="000000"/>
              </w:rPr>
            </w:pPr>
            <w:r>
              <w:rPr>
                <w:color w:val="000000"/>
              </w:rPr>
              <w:t>1</w:t>
            </w:r>
            <w:r w:rsidR="00E5304B">
              <w:rPr>
                <w:color w:val="000000"/>
              </w:rPr>
              <w:t>,</w:t>
            </w:r>
            <w:r>
              <w:rPr>
                <w:color w:val="000000"/>
              </w:rPr>
              <w:t>507</w:t>
            </w:r>
          </w:p>
        </w:tc>
        <w:tc>
          <w:tcPr>
            <w:tcW w:w="12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46D5CD7C" w14:textId="77777777">
            <w:pPr>
              <w:jc w:val="center"/>
              <w:rPr>
                <w:color w:val="000000"/>
              </w:rPr>
            </w:pPr>
            <w:r>
              <w:rPr>
                <w:color w:val="000000"/>
              </w:rPr>
              <w:t>1</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1338D9E1" w14:textId="1EFCE645">
            <w:pPr>
              <w:jc w:val="center"/>
              <w:rPr>
                <w:color w:val="000000"/>
              </w:rPr>
            </w:pPr>
            <w:r>
              <w:rPr>
                <w:color w:val="000000"/>
              </w:rPr>
              <w:t>1</w:t>
            </w:r>
            <w:r w:rsidR="00E5304B">
              <w:rPr>
                <w:color w:val="000000"/>
              </w:rPr>
              <w:t>,</w:t>
            </w:r>
            <w:r>
              <w:rPr>
                <w:color w:val="000000"/>
              </w:rPr>
              <w:t>507</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070B3953" w14:textId="77777777">
            <w:pPr>
              <w:jc w:val="center"/>
              <w:rPr>
                <w:color w:val="000000"/>
              </w:rPr>
            </w:pPr>
            <w:r>
              <w:rPr>
                <w:color w:val="000000"/>
              </w:rPr>
              <w:t>10</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4A2DB8D" w14:textId="77777777">
            <w:pPr>
              <w:jc w:val="center"/>
              <w:rPr>
                <w:color w:val="000000"/>
              </w:rPr>
            </w:pPr>
            <w:r>
              <w:rPr>
                <w:color w:val="000000"/>
              </w:rPr>
              <w:t>251</w:t>
            </w:r>
          </w:p>
        </w:tc>
      </w:tr>
      <w:tr w:rsidR="005C5961" w:rsidTr="002443BF" w14:paraId="145CDBCC" w14:textId="77777777">
        <w:trPr>
          <w:trHeight w:val="636"/>
          <w:jc w:val="center"/>
        </w:trPr>
        <w:tc>
          <w:tcPr>
            <w:tcW w:w="1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1578A206" w14:textId="77777777">
            <w:pPr>
              <w:jc w:val="center"/>
              <w:rPr>
                <w:color w:val="000000"/>
              </w:rPr>
            </w:pPr>
            <w:r>
              <w:rPr>
                <w:color w:val="000000"/>
              </w:rPr>
              <w:t>TOTALS</w:t>
            </w:r>
          </w:p>
        </w:tc>
        <w:tc>
          <w:tcPr>
            <w:tcW w:w="14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4FEC76A7" w14:textId="3030389F">
            <w:pPr>
              <w:jc w:val="center"/>
              <w:rPr>
                <w:color w:val="000000"/>
              </w:rPr>
            </w:pPr>
            <w:r>
              <w:rPr>
                <w:color w:val="000000"/>
              </w:rPr>
              <w:t>7</w:t>
            </w:r>
            <w:r w:rsidR="00E5304B">
              <w:rPr>
                <w:color w:val="000000"/>
              </w:rPr>
              <w:t>,</w:t>
            </w:r>
            <w:r>
              <w:rPr>
                <w:color w:val="000000"/>
              </w:rPr>
              <w:t>535</w:t>
            </w:r>
          </w:p>
        </w:tc>
        <w:tc>
          <w:tcPr>
            <w:tcW w:w="12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3D90C088" w14:textId="77777777">
            <w:pPr>
              <w:jc w:val="center"/>
              <w:rPr>
                <w:color w:val="000000"/>
              </w:rPr>
            </w:pPr>
            <w:r>
              <w:rPr>
                <w:color w:val="000000"/>
              </w:rPr>
              <w:t>/////////</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7536EF67" w14:textId="77777777">
            <w:pPr>
              <w:jc w:val="center"/>
              <w:rPr>
                <w:color w:val="000000"/>
              </w:rPr>
            </w:pPr>
            <w:r>
              <w:rPr>
                <w:color w:val="000000"/>
              </w:rPr>
              <w:t>33,909</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578B45FE" w14:textId="77777777">
            <w:pPr>
              <w:jc w:val="center"/>
              <w:rPr>
                <w:color w:val="000000"/>
              </w:rPr>
            </w:pPr>
            <w:r>
              <w:rPr>
                <w:color w:val="000000"/>
              </w:rPr>
              <w:t>////////</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5C5961" w:rsidP="00657D3F" w:rsidRDefault="005C5961" w14:paraId="1508F99E" w14:textId="77777777">
            <w:pPr>
              <w:jc w:val="center"/>
              <w:rPr>
                <w:color w:val="000000"/>
              </w:rPr>
            </w:pPr>
            <w:r>
              <w:rPr>
                <w:color w:val="000000"/>
              </w:rPr>
              <w:t>23,321</w:t>
            </w:r>
          </w:p>
        </w:tc>
      </w:tr>
    </w:tbl>
    <w:p w:rsidR="005C5961" w:rsidP="00230C54" w:rsidRDefault="005C5961" w14:paraId="55541321" w14:textId="77777777">
      <w:pPr>
        <w:ind w:left="475"/>
        <w:rPr>
          <w:color w:val="000000"/>
          <w:highlight w:val="yellow"/>
        </w:rPr>
      </w:pPr>
    </w:p>
    <w:p w:rsidR="0086236F" w:rsidP="00D4467D" w:rsidRDefault="0086236F" w14:paraId="0ED3598F" w14:textId="77777777">
      <w:pPr>
        <w:ind w:left="475"/>
      </w:pPr>
    </w:p>
    <w:tbl>
      <w:tblPr>
        <w:tblW w:w="7470" w:type="dxa"/>
        <w:jc w:val="center"/>
        <w:tblLook w:val="04A0" w:firstRow="1" w:lastRow="0" w:firstColumn="1" w:lastColumn="0" w:noHBand="0" w:noVBand="1"/>
      </w:tblPr>
      <w:tblGrid>
        <w:gridCol w:w="2690"/>
        <w:gridCol w:w="1350"/>
        <w:gridCol w:w="1350"/>
        <w:gridCol w:w="2080"/>
      </w:tblGrid>
      <w:tr w:rsidR="0086236F" w:rsidTr="002443BF" w14:paraId="009AE94E" w14:textId="77777777">
        <w:trPr>
          <w:trHeight w:val="331"/>
          <w:jc w:val="center"/>
        </w:trPr>
        <w:tc>
          <w:tcPr>
            <w:tcW w:w="7470" w:type="dxa"/>
            <w:gridSpan w:val="4"/>
            <w:tcBorders>
              <w:top w:val="single" w:color="auto" w:sz="8" w:space="0"/>
              <w:left w:val="single" w:color="auto" w:sz="8" w:space="0"/>
              <w:bottom w:val="single" w:color="auto" w:sz="8" w:space="0"/>
              <w:right w:val="single" w:color="000000" w:sz="8" w:space="0"/>
            </w:tcBorders>
            <w:shd w:val="clear" w:color="auto" w:fill="auto"/>
            <w:vAlign w:val="center"/>
            <w:hideMark/>
          </w:tcPr>
          <w:p w:rsidR="0086236F" w:rsidRDefault="0086236F" w14:paraId="208A9C4D" w14:textId="77777777">
            <w:pPr>
              <w:jc w:val="center"/>
              <w:rPr>
                <w:color w:val="000000"/>
              </w:rPr>
            </w:pPr>
            <w:r>
              <w:rPr>
                <w:color w:val="000000"/>
              </w:rPr>
              <w:t>Total Response Burden for the Quarterly Interview and Diary Surveys</w:t>
            </w:r>
          </w:p>
        </w:tc>
      </w:tr>
      <w:tr w:rsidR="007916D1" w:rsidTr="00755CA1" w14:paraId="66A94BED" w14:textId="77777777">
        <w:trPr>
          <w:trHeight w:val="484"/>
          <w:jc w:val="center"/>
        </w:trPr>
        <w:tc>
          <w:tcPr>
            <w:tcW w:w="2690" w:type="dxa"/>
            <w:vMerge w:val="restart"/>
            <w:tcBorders>
              <w:top w:val="nil"/>
              <w:left w:val="single" w:color="auto" w:sz="8" w:space="0"/>
              <w:bottom w:val="single" w:color="000000" w:sz="8" w:space="0"/>
              <w:right w:val="single" w:color="auto" w:sz="8" w:space="0"/>
            </w:tcBorders>
            <w:shd w:val="clear" w:color="auto" w:fill="auto"/>
            <w:vAlign w:val="center"/>
            <w:hideMark/>
          </w:tcPr>
          <w:p w:rsidR="0086236F" w:rsidRDefault="0086236F" w14:paraId="51F4F2B5" w14:textId="77777777">
            <w:pPr>
              <w:rPr>
                <w:color w:val="000000"/>
              </w:rPr>
            </w:pPr>
            <w:r>
              <w:rPr>
                <w:color w:val="000000"/>
              </w:rPr>
              <w:t> </w:t>
            </w:r>
          </w:p>
        </w:tc>
        <w:tc>
          <w:tcPr>
            <w:tcW w:w="1350" w:type="dxa"/>
            <w:vMerge w:val="restart"/>
            <w:tcBorders>
              <w:top w:val="nil"/>
              <w:left w:val="single" w:color="auto" w:sz="8" w:space="0"/>
              <w:bottom w:val="single" w:color="000000" w:sz="8" w:space="0"/>
              <w:right w:val="single" w:color="auto" w:sz="8" w:space="0"/>
            </w:tcBorders>
            <w:shd w:val="clear" w:color="auto" w:fill="auto"/>
            <w:vAlign w:val="center"/>
            <w:hideMark/>
          </w:tcPr>
          <w:p w:rsidR="0086236F" w:rsidRDefault="0086236F" w14:paraId="3D0FEB63" w14:textId="77777777">
            <w:pPr>
              <w:jc w:val="center"/>
              <w:rPr>
                <w:color w:val="000000"/>
              </w:rPr>
            </w:pPr>
            <w:r>
              <w:rPr>
                <w:color w:val="000000"/>
              </w:rPr>
              <w:t>Quarterly</w:t>
            </w:r>
          </w:p>
        </w:tc>
        <w:tc>
          <w:tcPr>
            <w:tcW w:w="1350" w:type="dxa"/>
            <w:vMerge w:val="restart"/>
            <w:tcBorders>
              <w:top w:val="nil"/>
              <w:left w:val="single" w:color="auto" w:sz="8" w:space="0"/>
              <w:bottom w:val="single" w:color="000000" w:sz="8" w:space="0"/>
              <w:right w:val="single" w:color="auto" w:sz="8" w:space="0"/>
            </w:tcBorders>
            <w:shd w:val="clear" w:color="auto" w:fill="auto"/>
            <w:vAlign w:val="center"/>
            <w:hideMark/>
          </w:tcPr>
          <w:p w:rsidR="0086236F" w:rsidRDefault="0086236F" w14:paraId="26C60DE8" w14:textId="77777777">
            <w:pPr>
              <w:jc w:val="center"/>
              <w:rPr>
                <w:color w:val="000000"/>
              </w:rPr>
            </w:pPr>
            <w:r>
              <w:rPr>
                <w:color w:val="000000"/>
              </w:rPr>
              <w:t>Diary</w:t>
            </w:r>
          </w:p>
        </w:tc>
        <w:tc>
          <w:tcPr>
            <w:tcW w:w="2080" w:type="dxa"/>
            <w:tcBorders>
              <w:top w:val="nil"/>
              <w:left w:val="nil"/>
              <w:bottom w:val="nil"/>
              <w:right w:val="single" w:color="auto" w:sz="8" w:space="0"/>
            </w:tcBorders>
            <w:shd w:val="clear" w:color="auto" w:fill="auto"/>
            <w:vAlign w:val="center"/>
            <w:hideMark/>
          </w:tcPr>
          <w:p w:rsidR="0086236F" w:rsidRDefault="0086236F" w14:paraId="17104810" w14:textId="77777777">
            <w:pPr>
              <w:jc w:val="center"/>
              <w:rPr>
                <w:color w:val="000000"/>
              </w:rPr>
            </w:pPr>
            <w:r>
              <w:rPr>
                <w:color w:val="000000"/>
              </w:rPr>
              <w:t>Total</w:t>
            </w:r>
          </w:p>
        </w:tc>
      </w:tr>
      <w:tr w:rsidR="007916D1" w:rsidTr="00755CA1" w14:paraId="0704DB3B" w14:textId="77777777">
        <w:trPr>
          <w:trHeight w:val="250"/>
          <w:jc w:val="center"/>
        </w:trPr>
        <w:tc>
          <w:tcPr>
            <w:tcW w:w="2690" w:type="dxa"/>
            <w:vMerge/>
            <w:tcBorders>
              <w:top w:val="nil"/>
              <w:left w:val="single" w:color="auto" w:sz="8" w:space="0"/>
              <w:bottom w:val="single" w:color="000000" w:sz="8" w:space="0"/>
              <w:right w:val="single" w:color="auto" w:sz="8" w:space="0"/>
            </w:tcBorders>
            <w:vAlign w:val="center"/>
            <w:hideMark/>
          </w:tcPr>
          <w:p w:rsidR="0086236F" w:rsidRDefault="0086236F" w14:paraId="07D2B332" w14:textId="77777777">
            <w:pPr>
              <w:rPr>
                <w:color w:val="000000"/>
              </w:rPr>
            </w:pPr>
          </w:p>
        </w:tc>
        <w:tc>
          <w:tcPr>
            <w:tcW w:w="1350" w:type="dxa"/>
            <w:vMerge/>
            <w:tcBorders>
              <w:top w:val="nil"/>
              <w:left w:val="single" w:color="auto" w:sz="8" w:space="0"/>
              <w:bottom w:val="single" w:color="000000" w:sz="8" w:space="0"/>
              <w:right w:val="single" w:color="auto" w:sz="8" w:space="0"/>
            </w:tcBorders>
            <w:vAlign w:val="center"/>
            <w:hideMark/>
          </w:tcPr>
          <w:p w:rsidR="0086236F" w:rsidRDefault="0086236F" w14:paraId="39312E73" w14:textId="77777777">
            <w:pPr>
              <w:rPr>
                <w:color w:val="000000"/>
              </w:rPr>
            </w:pPr>
          </w:p>
        </w:tc>
        <w:tc>
          <w:tcPr>
            <w:tcW w:w="1350" w:type="dxa"/>
            <w:vMerge/>
            <w:tcBorders>
              <w:top w:val="nil"/>
              <w:left w:val="single" w:color="auto" w:sz="8" w:space="0"/>
              <w:bottom w:val="single" w:color="000000" w:sz="8" w:space="0"/>
              <w:right w:val="single" w:color="auto" w:sz="8" w:space="0"/>
            </w:tcBorders>
            <w:vAlign w:val="center"/>
            <w:hideMark/>
          </w:tcPr>
          <w:p w:rsidR="0086236F" w:rsidRDefault="0086236F" w14:paraId="2ECFCED7" w14:textId="77777777">
            <w:pPr>
              <w:rPr>
                <w:color w:val="000000"/>
              </w:rPr>
            </w:pPr>
          </w:p>
        </w:tc>
        <w:tc>
          <w:tcPr>
            <w:tcW w:w="2080" w:type="dxa"/>
            <w:tcBorders>
              <w:top w:val="nil"/>
              <w:left w:val="nil"/>
              <w:bottom w:val="single" w:color="auto" w:sz="8" w:space="0"/>
              <w:right w:val="single" w:color="auto" w:sz="8" w:space="0"/>
            </w:tcBorders>
            <w:shd w:val="clear" w:color="auto" w:fill="auto"/>
            <w:vAlign w:val="center"/>
            <w:hideMark/>
          </w:tcPr>
          <w:p w:rsidR="0086236F" w:rsidRDefault="0086236F" w14:paraId="3954CD22" w14:textId="77777777">
            <w:pPr>
              <w:jc w:val="center"/>
              <w:rPr>
                <w:color w:val="000000"/>
              </w:rPr>
            </w:pPr>
            <w:r>
              <w:rPr>
                <w:color w:val="000000"/>
              </w:rPr>
              <w:t>(Both Surveys)</w:t>
            </w:r>
          </w:p>
          <w:p w:rsidR="00755CA1" w:rsidRDefault="00755CA1" w14:paraId="753ED882" w14:textId="77777777">
            <w:pPr>
              <w:jc w:val="center"/>
              <w:rPr>
                <w:color w:val="000000"/>
              </w:rPr>
            </w:pPr>
          </w:p>
        </w:tc>
      </w:tr>
      <w:tr w:rsidR="007916D1" w:rsidTr="00755CA1" w14:paraId="0973AF10" w14:textId="77777777">
        <w:trPr>
          <w:trHeight w:val="340"/>
          <w:jc w:val="center"/>
        </w:trPr>
        <w:tc>
          <w:tcPr>
            <w:tcW w:w="2690" w:type="dxa"/>
            <w:tcBorders>
              <w:top w:val="nil"/>
              <w:left w:val="single" w:color="auto" w:sz="8" w:space="0"/>
              <w:bottom w:val="single" w:color="auto" w:sz="8" w:space="0"/>
              <w:right w:val="single" w:color="auto" w:sz="8" w:space="0"/>
            </w:tcBorders>
            <w:shd w:val="clear" w:color="auto" w:fill="auto"/>
            <w:vAlign w:val="center"/>
            <w:hideMark/>
          </w:tcPr>
          <w:p w:rsidR="0086236F" w:rsidRDefault="0086236F" w14:paraId="605B1E67" w14:textId="77777777">
            <w:pPr>
              <w:rPr>
                <w:color w:val="000000"/>
              </w:rPr>
            </w:pPr>
            <w:r>
              <w:rPr>
                <w:color w:val="000000"/>
              </w:rPr>
              <w:t>Number of responses</w:t>
            </w:r>
          </w:p>
        </w:tc>
        <w:tc>
          <w:tcPr>
            <w:tcW w:w="1350" w:type="dxa"/>
            <w:tcBorders>
              <w:top w:val="nil"/>
              <w:left w:val="nil"/>
              <w:bottom w:val="single" w:color="auto" w:sz="8" w:space="0"/>
              <w:right w:val="single" w:color="auto" w:sz="8" w:space="0"/>
            </w:tcBorders>
            <w:shd w:val="clear" w:color="auto" w:fill="auto"/>
            <w:vAlign w:val="center"/>
            <w:hideMark/>
          </w:tcPr>
          <w:p w:rsidR="0086236F" w:rsidRDefault="002443BF" w14:paraId="22AA498F" w14:textId="74346870">
            <w:pPr>
              <w:jc w:val="center"/>
              <w:rPr>
                <w:color w:val="000000"/>
              </w:rPr>
            </w:pPr>
            <w:r>
              <w:rPr>
                <w:color w:val="000000"/>
              </w:rPr>
              <w:t>26,947</w:t>
            </w:r>
          </w:p>
        </w:tc>
        <w:tc>
          <w:tcPr>
            <w:tcW w:w="1350" w:type="dxa"/>
            <w:tcBorders>
              <w:top w:val="nil"/>
              <w:left w:val="nil"/>
              <w:bottom w:val="single" w:color="auto" w:sz="8" w:space="0"/>
              <w:right w:val="single" w:color="auto" w:sz="8" w:space="0"/>
            </w:tcBorders>
            <w:shd w:val="clear" w:color="auto" w:fill="auto"/>
            <w:vAlign w:val="center"/>
            <w:hideMark/>
          </w:tcPr>
          <w:p w:rsidR="0086236F" w:rsidP="0036096F" w:rsidRDefault="0086236F" w14:paraId="79D4BB40" w14:textId="6C03C4E0">
            <w:pPr>
              <w:jc w:val="center"/>
              <w:rPr>
                <w:color w:val="000000"/>
              </w:rPr>
            </w:pPr>
            <w:r>
              <w:rPr>
                <w:color w:val="000000"/>
              </w:rPr>
              <w:t>33</w:t>
            </w:r>
            <w:r w:rsidR="0036096F">
              <w:rPr>
                <w:color w:val="000000"/>
              </w:rPr>
              <w:t>,</w:t>
            </w:r>
            <w:r>
              <w:rPr>
                <w:color w:val="000000"/>
              </w:rPr>
              <w:t>909</w:t>
            </w:r>
          </w:p>
        </w:tc>
        <w:tc>
          <w:tcPr>
            <w:tcW w:w="2080" w:type="dxa"/>
            <w:tcBorders>
              <w:top w:val="nil"/>
              <w:left w:val="nil"/>
              <w:bottom w:val="single" w:color="auto" w:sz="8" w:space="0"/>
              <w:right w:val="single" w:color="auto" w:sz="8" w:space="0"/>
            </w:tcBorders>
            <w:shd w:val="clear" w:color="auto" w:fill="auto"/>
            <w:vAlign w:val="center"/>
            <w:hideMark/>
          </w:tcPr>
          <w:p w:rsidR="0086236F" w:rsidP="001559BD" w:rsidRDefault="0036096F" w14:paraId="71209150" w14:textId="357BEFA4">
            <w:pPr>
              <w:jc w:val="center"/>
              <w:rPr>
                <w:color w:val="000000"/>
              </w:rPr>
            </w:pPr>
            <w:r>
              <w:rPr>
                <w:color w:val="000000"/>
              </w:rPr>
              <w:t>6</w:t>
            </w:r>
            <w:r w:rsidR="001559BD">
              <w:rPr>
                <w:color w:val="000000"/>
              </w:rPr>
              <w:t>0,856</w:t>
            </w:r>
          </w:p>
        </w:tc>
      </w:tr>
      <w:tr w:rsidR="007916D1" w:rsidTr="00755CA1" w14:paraId="2CE41757" w14:textId="77777777">
        <w:trPr>
          <w:trHeight w:val="340"/>
          <w:jc w:val="center"/>
        </w:trPr>
        <w:tc>
          <w:tcPr>
            <w:tcW w:w="2690" w:type="dxa"/>
            <w:tcBorders>
              <w:top w:val="nil"/>
              <w:left w:val="single" w:color="auto" w:sz="8" w:space="0"/>
              <w:bottom w:val="single" w:color="auto" w:sz="8" w:space="0"/>
              <w:right w:val="single" w:color="auto" w:sz="8" w:space="0"/>
            </w:tcBorders>
            <w:shd w:val="clear" w:color="auto" w:fill="auto"/>
            <w:vAlign w:val="center"/>
            <w:hideMark/>
          </w:tcPr>
          <w:p w:rsidR="0086236F" w:rsidRDefault="0086236F" w14:paraId="360FBC2D" w14:textId="77777777">
            <w:pPr>
              <w:rPr>
                <w:color w:val="000000"/>
              </w:rPr>
            </w:pPr>
            <w:r>
              <w:rPr>
                <w:color w:val="000000"/>
              </w:rPr>
              <w:t>Total burden hours</w:t>
            </w:r>
          </w:p>
        </w:tc>
        <w:tc>
          <w:tcPr>
            <w:tcW w:w="1350" w:type="dxa"/>
            <w:tcBorders>
              <w:top w:val="nil"/>
              <w:left w:val="nil"/>
              <w:bottom w:val="single" w:color="auto" w:sz="8" w:space="0"/>
              <w:right w:val="single" w:color="auto" w:sz="8" w:space="0"/>
            </w:tcBorders>
            <w:shd w:val="clear" w:color="auto" w:fill="auto"/>
            <w:vAlign w:val="center"/>
            <w:hideMark/>
          </w:tcPr>
          <w:p w:rsidR="0086236F" w:rsidRDefault="0086236F" w14:paraId="14B2C924" w14:textId="437D1234">
            <w:pPr>
              <w:jc w:val="center"/>
              <w:rPr>
                <w:color w:val="000000"/>
              </w:rPr>
            </w:pPr>
            <w:r>
              <w:rPr>
                <w:color w:val="000000"/>
              </w:rPr>
              <w:t>27</w:t>
            </w:r>
            <w:r w:rsidR="00E5304B">
              <w:rPr>
                <w:color w:val="000000"/>
              </w:rPr>
              <w:t>,</w:t>
            </w:r>
            <w:r>
              <w:rPr>
                <w:color w:val="000000"/>
              </w:rPr>
              <w:t>348</w:t>
            </w:r>
          </w:p>
        </w:tc>
        <w:tc>
          <w:tcPr>
            <w:tcW w:w="1350" w:type="dxa"/>
            <w:tcBorders>
              <w:top w:val="nil"/>
              <w:left w:val="nil"/>
              <w:bottom w:val="single" w:color="auto" w:sz="8" w:space="0"/>
              <w:right w:val="single" w:color="auto" w:sz="8" w:space="0"/>
            </w:tcBorders>
            <w:shd w:val="clear" w:color="auto" w:fill="auto"/>
            <w:vAlign w:val="center"/>
            <w:hideMark/>
          </w:tcPr>
          <w:p w:rsidR="0086236F" w:rsidRDefault="0086236F" w14:paraId="29DB25CC" w14:textId="77777777">
            <w:pPr>
              <w:jc w:val="center"/>
              <w:rPr>
                <w:color w:val="000000"/>
              </w:rPr>
            </w:pPr>
            <w:r>
              <w:rPr>
                <w:color w:val="000000"/>
              </w:rPr>
              <w:t>23,321</w:t>
            </w:r>
          </w:p>
        </w:tc>
        <w:tc>
          <w:tcPr>
            <w:tcW w:w="2080" w:type="dxa"/>
            <w:tcBorders>
              <w:top w:val="nil"/>
              <w:left w:val="nil"/>
              <w:bottom w:val="single" w:color="auto" w:sz="8" w:space="0"/>
              <w:right w:val="single" w:color="auto" w:sz="8" w:space="0"/>
            </w:tcBorders>
            <w:shd w:val="clear" w:color="auto" w:fill="auto"/>
            <w:vAlign w:val="center"/>
            <w:hideMark/>
          </w:tcPr>
          <w:p w:rsidR="0086236F" w:rsidRDefault="0086236F" w14:paraId="5745D408" w14:textId="77777777">
            <w:pPr>
              <w:jc w:val="center"/>
              <w:rPr>
                <w:color w:val="000000"/>
              </w:rPr>
            </w:pPr>
            <w:r>
              <w:rPr>
                <w:color w:val="000000"/>
              </w:rPr>
              <w:t>50,669</w:t>
            </w:r>
          </w:p>
        </w:tc>
      </w:tr>
    </w:tbl>
    <w:p w:rsidR="0086236F" w:rsidP="00D4467D" w:rsidRDefault="0086236F" w14:paraId="5D1F6A6F" w14:textId="77777777">
      <w:pPr>
        <w:ind w:left="475"/>
      </w:pPr>
    </w:p>
    <w:p w:rsidR="0086236F" w:rsidP="00D4467D" w:rsidRDefault="0086236F" w14:paraId="194319F7" w14:textId="77777777">
      <w:pPr>
        <w:ind w:left="475"/>
      </w:pPr>
    </w:p>
    <w:p w:rsidR="0086236F" w:rsidP="00D4467D" w:rsidRDefault="0086236F" w14:paraId="3E47D2F3" w14:textId="77777777">
      <w:pPr>
        <w:ind w:left="475"/>
      </w:pPr>
    </w:p>
    <w:p w:rsidRPr="00DB2764" w:rsidR="00D4467D" w:rsidP="00D4467D" w:rsidRDefault="00D4467D" w14:paraId="4D2E06D6" w14:textId="780D9268">
      <w:pPr>
        <w:ind w:left="475"/>
        <w:rPr>
          <w:color w:val="000000"/>
        </w:rPr>
      </w:pPr>
      <w:r w:rsidRPr="00DB2764">
        <w:t xml:space="preserve">The total response burden for both surveys combined is </w:t>
      </w:r>
      <w:r w:rsidR="0086236F">
        <w:t>50,669</w:t>
      </w:r>
      <w:r w:rsidRPr="00DB2764">
        <w:t xml:space="preserve"> hours.  The total annualized cost to respondents, based on burden hours and the federal minimum wage of $7.25 per hour, </w:t>
      </w:r>
      <w:r w:rsidRPr="00DB2764">
        <w:rPr>
          <w:color w:val="000000"/>
        </w:rPr>
        <w:t>is $</w:t>
      </w:r>
      <w:r w:rsidR="0086236F">
        <w:rPr>
          <w:color w:val="000000"/>
        </w:rPr>
        <w:t>367,350</w:t>
      </w:r>
      <w:r w:rsidRPr="00DB2764">
        <w:rPr>
          <w:color w:val="000000"/>
        </w:rPr>
        <w:t xml:space="preserve">.  </w:t>
      </w:r>
    </w:p>
    <w:p w:rsidR="00230C54" w:rsidP="00230C54" w:rsidRDefault="00230C54" w14:paraId="441E0B5A" w14:textId="77777777"/>
    <w:p w:rsidR="00673B1B" w:rsidP="003044E9" w:rsidRDefault="00673B1B" w14:paraId="6B82E0F5" w14:textId="77777777">
      <w:pPr>
        <w:tabs>
          <w:tab w:val="left" w:pos="1176"/>
          <w:tab w:val="left" w:pos="1656"/>
          <w:tab w:val="left" w:pos="5016"/>
          <w:tab w:val="left" w:pos="6696"/>
          <w:tab w:val="left" w:pos="8256"/>
        </w:tabs>
      </w:pPr>
    </w:p>
    <w:p w:rsidR="00673B1B" w:rsidP="00673B1B" w:rsidRDefault="00673B1B" w14:paraId="16FD1303" w14:textId="77777777">
      <w:pPr>
        <w:tabs>
          <w:tab w:val="left" w:pos="1176"/>
          <w:tab w:val="left" w:pos="1656"/>
          <w:tab w:val="left" w:pos="5016"/>
          <w:tab w:val="left" w:pos="6696"/>
          <w:tab w:val="left" w:pos="8256"/>
        </w:tabs>
        <w:ind w:left="480" w:hanging="480"/>
      </w:pPr>
      <w:r>
        <w:t>13.</w:t>
      </w:r>
      <w:r>
        <w:tab/>
      </w:r>
      <w:r w:rsidRPr="00732CAB" w:rsidR="00732CAB">
        <w:rPr>
          <w:b/>
        </w:rPr>
        <w:t>Annual Cost to Respondents</w:t>
      </w:r>
      <w:r w:rsidRPr="00732CAB" w:rsidR="00732CAB">
        <w:rPr>
          <w:b/>
        </w:rPr>
        <w:br/>
      </w:r>
      <w:r w:rsidR="00732CAB">
        <w:br/>
      </w:r>
      <w:r>
        <w:t>There are no capital and start-up costs and no operational, maintenance, or service costs required of respondents.</w:t>
      </w:r>
    </w:p>
    <w:p w:rsidR="007007AF" w:rsidP="007007AF" w:rsidRDefault="007007AF" w14:paraId="7E36CD02" w14:textId="77777777">
      <w:pPr>
        <w:tabs>
          <w:tab w:val="left" w:pos="1176"/>
          <w:tab w:val="left" w:pos="1656"/>
          <w:tab w:val="left" w:pos="5016"/>
          <w:tab w:val="left" w:pos="6696"/>
          <w:tab w:val="left" w:pos="8256"/>
        </w:tabs>
      </w:pPr>
    </w:p>
    <w:p w:rsidR="007007AF" w:rsidP="00D64F56" w:rsidRDefault="00D64F56" w14:paraId="68EC75CC" w14:textId="4748E445">
      <w:pPr>
        <w:pStyle w:val="BodyTextIndent3"/>
        <w:tabs>
          <w:tab w:val="left" w:pos="720"/>
        </w:tabs>
        <w:ind w:left="450" w:hanging="450"/>
      </w:pPr>
      <w:r w:rsidRPr="00D17A87">
        <w:t>14.</w:t>
      </w:r>
      <w:r>
        <w:rPr>
          <w:b/>
        </w:rPr>
        <w:tab/>
      </w:r>
      <w:r w:rsidR="007007AF">
        <w:rPr>
          <w:b/>
        </w:rPr>
        <w:t>Annual Cost to the Federal Government</w:t>
      </w:r>
      <w:r w:rsidR="007007AF">
        <w:br/>
      </w:r>
      <w:r w:rsidR="007007AF">
        <w:br/>
      </w:r>
      <w:r w:rsidRPr="00230C54">
        <w:t xml:space="preserve">The annual cost to the Federal Government of collecting, processing, reviewing, and publishing the data collected in the CE Surveys </w:t>
      </w:r>
      <w:r w:rsidR="00C34E7F">
        <w:t>is</w:t>
      </w:r>
      <w:r w:rsidRPr="00230C54">
        <w:t xml:space="preserve"> approximately $4</w:t>
      </w:r>
      <w:r w:rsidR="00FD7949">
        <w:t>4</w:t>
      </w:r>
      <w:r w:rsidR="0013761A">
        <w:t xml:space="preserve"> </w:t>
      </w:r>
      <w:r w:rsidRPr="00230C54">
        <w:t xml:space="preserve">million in fiscal year </w:t>
      </w:r>
      <w:r w:rsidRPr="00230C54" w:rsidR="009A6CC6">
        <w:t>20</w:t>
      </w:r>
      <w:r w:rsidR="00AC6511">
        <w:t>20</w:t>
      </w:r>
      <w:r w:rsidRPr="00230C54">
        <w:t>.  This include</w:t>
      </w:r>
      <w:r w:rsidR="00106DA4">
        <w:t>s</w:t>
      </w:r>
      <w:r w:rsidRPr="00230C54">
        <w:t xml:space="preserve"> approximately $</w:t>
      </w:r>
      <w:r w:rsidR="00BC763B">
        <w:t>30</w:t>
      </w:r>
      <w:r w:rsidRPr="00230C54">
        <w:t xml:space="preserve"> million in costs incurred by the Census Bureau for collecting and processing the data, operational costs associated with maintaining the survey, and development costs.  The BLS portion of approximately $</w:t>
      </w:r>
      <w:r w:rsidR="00C34E7F">
        <w:t>1</w:t>
      </w:r>
      <w:r w:rsidR="00BC763B">
        <w:t>4</w:t>
      </w:r>
      <w:r w:rsidR="0013761A">
        <w:t xml:space="preserve"> </w:t>
      </w:r>
      <w:r w:rsidRPr="00230C54">
        <w:t xml:space="preserve">million </w:t>
      </w:r>
      <w:r w:rsidR="00106DA4">
        <w:t>is</w:t>
      </w:r>
      <w:r w:rsidRPr="00230C54" w:rsidR="00106DA4">
        <w:t xml:space="preserve"> </w:t>
      </w:r>
      <w:r w:rsidRPr="00230C54">
        <w:t xml:space="preserve">for costs incurred by the BLS in personnel and other related costs associated with managing the survey, processing the data upon </w:t>
      </w:r>
      <w:r w:rsidRPr="00230C54">
        <w:lastRenderedPageBreak/>
        <w:t>receipt from the Census Bureau, reviewing, and publishing the data, and for research and development.</w:t>
      </w:r>
    </w:p>
    <w:p w:rsidR="00D64F56" w:rsidP="00D64F56" w:rsidRDefault="00D64F56" w14:paraId="26A56C97" w14:textId="77777777">
      <w:pPr>
        <w:pStyle w:val="BodyTextIndent3"/>
        <w:tabs>
          <w:tab w:val="left" w:pos="720"/>
        </w:tabs>
        <w:ind w:left="450" w:hanging="450"/>
      </w:pPr>
    </w:p>
    <w:p w:rsidRPr="00D17A87" w:rsidR="00411F2A" w:rsidP="00B36781" w:rsidRDefault="007007AF" w14:paraId="13A37DA9" w14:textId="77777777">
      <w:pPr>
        <w:pStyle w:val="BodyTextIndent2"/>
        <w:numPr>
          <w:ilvl w:val="0"/>
          <w:numId w:val="52"/>
        </w:numPr>
        <w:ind w:hanging="540"/>
      </w:pPr>
      <w:r w:rsidRPr="00B36781">
        <w:rPr>
          <w:b/>
        </w:rPr>
        <w:t>Change in Respondent Burden</w:t>
      </w:r>
    </w:p>
    <w:p w:rsidRPr="0004428D" w:rsidR="007007AF" w:rsidP="00D17A87" w:rsidRDefault="007007AF" w14:paraId="526FF411" w14:textId="4B7438E5">
      <w:pPr>
        <w:pStyle w:val="BodyTextIndent2"/>
        <w:ind w:left="450"/>
      </w:pPr>
      <w:r w:rsidRPr="0004428D">
        <w:br/>
        <w:t xml:space="preserve">Reporting burden has decreased from </w:t>
      </w:r>
      <w:r w:rsidR="00627B59">
        <w:t>51,4</w:t>
      </w:r>
      <w:r w:rsidR="00394BD7">
        <w:t>84</w:t>
      </w:r>
      <w:r w:rsidR="00627B59">
        <w:t xml:space="preserve"> </w:t>
      </w:r>
      <w:r w:rsidRPr="0004428D">
        <w:t xml:space="preserve">to </w:t>
      </w:r>
      <w:r w:rsidR="005716EA">
        <w:t>50,669</w:t>
      </w:r>
      <w:r w:rsidRPr="0004428D" w:rsidR="0004428D">
        <w:t xml:space="preserve"> </w:t>
      </w:r>
      <w:r w:rsidRPr="0004428D" w:rsidR="00230C54">
        <w:t xml:space="preserve">due to </w:t>
      </w:r>
      <w:r w:rsidR="00627B59">
        <w:t>the following</w:t>
      </w:r>
      <w:r w:rsidR="00D033C6">
        <w:t>:</w:t>
      </w:r>
      <w:r w:rsidR="00627B59">
        <w:t xml:space="preserve"> 1) response rates have continued to decline </w:t>
      </w:r>
      <w:r w:rsidR="00DF2167">
        <w:t xml:space="preserve">and </w:t>
      </w:r>
      <w:r w:rsidR="00627B59">
        <w:t xml:space="preserve">2) </w:t>
      </w:r>
      <w:r w:rsidR="00E5304B">
        <w:t xml:space="preserve">the </w:t>
      </w:r>
      <w:r w:rsidR="00DF2167">
        <w:t>conversion of the</w:t>
      </w:r>
      <w:r w:rsidR="00E5304B">
        <w:t xml:space="preserve"> clothing section</w:t>
      </w:r>
      <w:r w:rsidR="00DF2167">
        <w:t xml:space="preserve"> to global questions</w:t>
      </w:r>
      <w:r w:rsidRPr="0004428D">
        <w:t xml:space="preserve">.  </w:t>
      </w:r>
      <w:r w:rsidR="00627B59">
        <w:t>These estimates were based on debriefing questions with the respondent on the time it took to complete a Diary and on FR estimates.</w:t>
      </w:r>
    </w:p>
    <w:p w:rsidR="007007AF" w:rsidP="007007AF" w:rsidRDefault="007007AF" w14:paraId="2BF30BAA" w14:textId="77777777">
      <w:pPr>
        <w:tabs>
          <w:tab w:val="left" w:pos="450"/>
          <w:tab w:val="left" w:pos="1656"/>
          <w:tab w:val="left" w:pos="5016"/>
          <w:tab w:val="left" w:pos="6696"/>
          <w:tab w:val="left" w:pos="8256"/>
        </w:tabs>
        <w:ind w:left="955" w:hanging="475"/>
      </w:pPr>
    </w:p>
    <w:p w:rsidR="0017508C" w:rsidP="0017508C" w:rsidRDefault="00673B1B" w14:paraId="315C531A" w14:textId="2EAD98A0">
      <w:pPr>
        <w:ind w:left="480" w:hanging="480"/>
      </w:pPr>
      <w:r w:rsidRPr="00175F43">
        <w:t>16.</w:t>
      </w:r>
      <w:r w:rsidRPr="00175F43">
        <w:tab/>
      </w:r>
      <w:r w:rsidRPr="00175F43" w:rsidR="00732CAB">
        <w:rPr>
          <w:b/>
        </w:rPr>
        <w:t>Publication Plan</w:t>
      </w:r>
      <w:r w:rsidRPr="00175F43" w:rsidR="00732CAB">
        <w:rPr>
          <w:b/>
        </w:rPr>
        <w:br/>
      </w:r>
    </w:p>
    <w:p w:rsidRPr="005716EA" w:rsidR="0017508C" w:rsidP="005716EA" w:rsidRDefault="0017508C" w14:paraId="275A7B7A" w14:textId="77777777">
      <w:pPr>
        <w:pStyle w:val="BodyTextIndent2"/>
        <w:ind w:left="450"/>
      </w:pPr>
      <w:r>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delivered three weeks after the interview month and Diary Survey data to be delivered two months after the interview month.</w:t>
      </w:r>
    </w:p>
    <w:p w:rsidR="0017508C" w:rsidP="005716EA" w:rsidRDefault="0017508C" w14:paraId="553FCEE9" w14:textId="77777777">
      <w:pPr>
        <w:pStyle w:val="BodyTextIndent2"/>
        <w:ind w:left="450"/>
      </w:pPr>
    </w:p>
    <w:p w:rsidR="0017508C" w:rsidP="005716EA" w:rsidRDefault="0017508C" w14:paraId="0BF1A773" w14:textId="77777777">
      <w:pPr>
        <w:pStyle w:val="BodyTextIndent2"/>
        <w:ind w:left="450"/>
      </w:pPr>
      <w:r>
        <w:t>In May 1983, the BLS published the first tables from the continuing CE Surveys and selected data from the 1980</w:t>
      </w:r>
      <w:r>
        <w:noBreakHyphen/>
        <w:t>81 Diary Surveys.  Also, microdata on public use tapes were made available for the first time in June 1983 for the Diary Survey and in October 1984 for the Interview Survey.</w:t>
      </w:r>
    </w:p>
    <w:p w:rsidR="0017508C" w:rsidP="005716EA" w:rsidRDefault="0017508C" w14:paraId="50B1A258" w14:textId="77777777">
      <w:pPr>
        <w:pStyle w:val="BodyTextIndent2"/>
        <w:ind w:left="450"/>
      </w:pPr>
    </w:p>
    <w:p w:rsidR="0017508C" w:rsidP="005716EA" w:rsidRDefault="0017508C" w14:paraId="49ADF351" w14:textId="77777777">
      <w:pPr>
        <w:pStyle w:val="BodyTextIndent2"/>
        <w:ind w:left="450"/>
      </w:pPr>
      <w:r>
        <w:t>The BLS released the midyear July 20</w:t>
      </w:r>
      <w:r w:rsidRPr="005716EA">
        <w:t>18</w:t>
      </w:r>
      <w:r>
        <w:t xml:space="preserve"> through June 20</w:t>
      </w:r>
      <w:r w:rsidRPr="005716EA">
        <w:t>19</w:t>
      </w:r>
      <w:r>
        <w:t xml:space="preserve"> tabular data in April 20</w:t>
      </w:r>
      <w:r w:rsidRPr="005716EA">
        <w:t>20</w:t>
      </w:r>
      <w:r>
        <w:t>.  The 20</w:t>
      </w:r>
      <w:r w:rsidRPr="005716EA">
        <w:t>19</w:t>
      </w:r>
      <w:r>
        <w:t xml:space="preserve"> annual tabular data and Diary and Quarterly Interview Survey public use microdata are scheduled to be released in September 20</w:t>
      </w:r>
      <w:r w:rsidRPr="005716EA">
        <w:t>20</w:t>
      </w:r>
      <w:r>
        <w:t>.</w:t>
      </w:r>
    </w:p>
    <w:p w:rsidRPr="00B36781" w:rsidR="0028518E" w:rsidP="0017508C" w:rsidRDefault="0028518E" w14:paraId="7BF7C4F3" w14:textId="7B3F5874">
      <w:pPr>
        <w:tabs>
          <w:tab w:val="left" w:pos="1176"/>
          <w:tab w:val="left" w:pos="1656"/>
          <w:tab w:val="left" w:pos="5016"/>
          <w:tab w:val="left" w:pos="6696"/>
          <w:tab w:val="left" w:pos="8256"/>
        </w:tabs>
        <w:ind w:left="480" w:hanging="480"/>
      </w:pPr>
    </w:p>
    <w:p w:rsidRPr="00B36781" w:rsidR="00673B1B" w:rsidP="00673B1B" w:rsidRDefault="00673B1B" w14:paraId="3452ACC2" w14:textId="77777777">
      <w:pPr>
        <w:pStyle w:val="BodyText"/>
        <w:tabs>
          <w:tab w:val="clear" w:pos="1176"/>
          <w:tab w:val="clear" w:pos="1656"/>
          <w:tab w:val="clear" w:pos="6696"/>
          <w:tab w:val="clear" w:pos="8256"/>
          <w:tab w:val="left" w:pos="720"/>
        </w:tabs>
        <w:ind w:left="540"/>
        <w:rPr>
          <w:szCs w:val="24"/>
        </w:rPr>
      </w:pPr>
    </w:p>
    <w:p w:rsidRPr="00B36781" w:rsidR="00673B1B" w:rsidP="00B36781" w:rsidRDefault="00B36781" w14:paraId="62BA4E8A" w14:textId="5269F685">
      <w:pPr>
        <w:pStyle w:val="Title"/>
        <w:ind w:left="450" w:hanging="450"/>
        <w:jc w:val="left"/>
        <w:rPr>
          <w:szCs w:val="24"/>
        </w:rPr>
      </w:pPr>
      <w:r w:rsidRPr="00B36781">
        <w:rPr>
          <w:szCs w:val="24"/>
        </w:rPr>
        <w:t xml:space="preserve">17.  </w:t>
      </w:r>
      <w:r w:rsidRPr="00B36781" w:rsidR="00732CAB">
        <w:rPr>
          <w:b/>
          <w:szCs w:val="24"/>
        </w:rPr>
        <w:t>Reason for not Displaying the OMB Expiration Date</w:t>
      </w:r>
      <w:r w:rsidRPr="00B36781" w:rsidR="00732CAB">
        <w:rPr>
          <w:szCs w:val="24"/>
        </w:rPr>
        <w:br/>
      </w:r>
      <w:r w:rsidR="00732CAB">
        <w:br/>
      </w:r>
      <w:r w:rsidRPr="00B36781" w:rsidR="00673B1B">
        <w:rPr>
          <w:szCs w:val="24"/>
        </w:rPr>
        <w:t xml:space="preserve">The BLS </w:t>
      </w:r>
      <w:r w:rsidRPr="00B36781" w:rsidR="00017D68">
        <w:rPr>
          <w:szCs w:val="24"/>
        </w:rPr>
        <w:t>requests not</w:t>
      </w:r>
      <w:r w:rsidRPr="00B36781" w:rsidR="00673B1B">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Pr="00B36781" w:rsidR="001D557B">
        <w:rPr>
          <w:szCs w:val="24"/>
        </w:rPr>
        <w:t xml:space="preserve"> </w:t>
      </w:r>
      <w:r w:rsidRPr="00B36781" w:rsidR="00673B1B">
        <w:rPr>
          <w:szCs w:val="24"/>
        </w:rPr>
        <w:t xml:space="preserve">(see Attachment </w:t>
      </w:r>
      <w:r w:rsidR="006D1BB3">
        <w:rPr>
          <w:szCs w:val="24"/>
        </w:rPr>
        <w:t>E</w:t>
      </w:r>
      <w:r w:rsidRPr="00B36781" w:rsidR="00673B1B">
        <w:rPr>
          <w:szCs w:val="24"/>
        </w:rPr>
        <w:t>).  For the Diary CE-801 there is a significant cost savings in printing a large quantity of forms at one time due to the set up costs involved in printing for the survey instrument.  By not printing the date on the form</w:t>
      </w:r>
      <w:r w:rsidR="002C6F67">
        <w:rPr>
          <w:szCs w:val="24"/>
        </w:rPr>
        <w:t>,</w:t>
      </w:r>
      <w:r w:rsidRPr="00B36781" w:rsidR="00673B1B">
        <w:rPr>
          <w:szCs w:val="24"/>
        </w:rPr>
        <w:t xml:space="preserve"> the BLS w</w:t>
      </w:r>
      <w:r w:rsidRPr="00B36781" w:rsidR="004A1DD4">
        <w:rPr>
          <w:szCs w:val="24"/>
        </w:rPr>
        <w:t>ill</w:t>
      </w:r>
      <w:r w:rsidRPr="00B36781" w:rsidR="00673B1B">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printing new ones</w:t>
      </w:r>
      <w:r w:rsidRPr="00B36781" w:rsidR="00673B1B">
        <w:rPr>
          <w:szCs w:val="24"/>
        </w:rPr>
        <w:t>.</w:t>
      </w:r>
      <w:r w:rsidRPr="00B36781" w:rsidR="00673B1B">
        <w:rPr>
          <w:szCs w:val="24"/>
        </w:rPr>
        <w:br/>
      </w:r>
    </w:p>
    <w:p w:rsidR="007801DB" w:rsidP="005E2032" w:rsidRDefault="00673B1B" w14:paraId="2063E997" w14:textId="77777777">
      <w:pPr>
        <w:tabs>
          <w:tab w:val="left" w:pos="1176"/>
          <w:tab w:val="left" w:pos="1656"/>
          <w:tab w:val="left" w:pos="5016"/>
          <w:tab w:val="left" w:pos="6696"/>
          <w:tab w:val="left" w:pos="8256"/>
        </w:tabs>
        <w:ind w:left="480" w:hanging="480"/>
      </w:pPr>
      <w:r>
        <w:t xml:space="preserve">18.   </w:t>
      </w:r>
      <w:r w:rsidRPr="00732CAB" w:rsidR="00732CAB">
        <w:rPr>
          <w:b/>
        </w:rPr>
        <w:t>Certification Statement</w:t>
      </w:r>
      <w:r w:rsidR="00732CAB">
        <w:br/>
      </w:r>
      <w:r w:rsidR="00732CAB">
        <w:br/>
      </w:r>
      <w:r>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B319" w14:textId="77777777" w:rsidR="007916D1" w:rsidRDefault="007916D1">
      <w:r>
        <w:separator/>
      </w:r>
    </w:p>
  </w:endnote>
  <w:endnote w:type="continuationSeparator" w:id="0">
    <w:p w14:paraId="06D42DAF" w14:textId="77777777" w:rsidR="007916D1" w:rsidRDefault="007916D1">
      <w:r>
        <w:continuationSeparator/>
      </w:r>
    </w:p>
  </w:endnote>
  <w:endnote w:type="continuationNotice" w:id="1">
    <w:p w14:paraId="0A83A804" w14:textId="77777777" w:rsidR="007916D1" w:rsidRDefault="0079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92E2" w14:textId="77777777" w:rsidR="00F45938" w:rsidRDefault="00F45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F45938" w:rsidRDefault="00F45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2FC9" w14:textId="77777777" w:rsidR="00F45938" w:rsidRDefault="00F45938">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427C84">
      <w:rPr>
        <w:rStyle w:val="PageNumber"/>
        <w:rFonts w:ascii="Courier" w:hAnsi="Courier"/>
        <w:noProof/>
        <w:sz w:val="24"/>
      </w:rPr>
      <w:t>2</w:t>
    </w:r>
    <w:r>
      <w:rPr>
        <w:rStyle w:val="PageNumber"/>
        <w:rFonts w:ascii="Courier" w:hAnsi="Courier"/>
        <w:sz w:val="24"/>
      </w:rPr>
      <w:fldChar w:fldCharType="end"/>
    </w:r>
  </w:p>
  <w:p w14:paraId="66601CCA" w14:textId="77777777" w:rsidR="00F45938" w:rsidRDefault="00F4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83013" w14:textId="77777777" w:rsidR="007916D1" w:rsidRDefault="007916D1">
      <w:r>
        <w:separator/>
      </w:r>
    </w:p>
  </w:footnote>
  <w:footnote w:type="continuationSeparator" w:id="0">
    <w:p w14:paraId="0FA62252" w14:textId="77777777" w:rsidR="007916D1" w:rsidRDefault="007916D1">
      <w:r>
        <w:continuationSeparator/>
      </w:r>
    </w:p>
  </w:footnote>
  <w:footnote w:type="continuationNotice" w:id="1">
    <w:p w14:paraId="111F4326" w14:textId="77777777" w:rsidR="007916D1" w:rsidRDefault="007916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22D0" w14:textId="50090385" w:rsidR="00F45938" w:rsidRDefault="00F45938">
    <w:pPr>
      <w:pStyle w:val="Header"/>
    </w:pPr>
    <w:r>
      <w:t>Consumer Expenditure Surveys</w:t>
    </w:r>
  </w:p>
  <w:p w14:paraId="633DB503" w14:textId="77777777" w:rsidR="00513899" w:rsidRDefault="00F45938">
    <w:pPr>
      <w:pStyle w:val="Header"/>
    </w:pPr>
    <w:r>
      <w:t>1220-0050</w:t>
    </w:r>
  </w:p>
  <w:p w14:paraId="04D8F4BD" w14:textId="0EC6524A" w:rsidR="00F45938" w:rsidRDefault="00F45938">
    <w:pPr>
      <w:pStyle w:val="Header"/>
    </w:pPr>
  </w:p>
  <w:p w14:paraId="12BE54A3" w14:textId="77777777" w:rsidR="00F45938" w:rsidRDefault="00F45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15:restartNumberingAfterBreak="0">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0"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4"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2"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15:restartNumberingAfterBreak="0">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6"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48"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9"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0"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3"/>
  </w:num>
  <w:num w:numId="4">
    <w:abstractNumId w:val="14"/>
  </w:num>
  <w:num w:numId="5">
    <w:abstractNumId w:val="48"/>
  </w:num>
  <w:num w:numId="6">
    <w:abstractNumId w:val="5"/>
  </w:num>
  <w:num w:numId="7">
    <w:abstractNumId w:val="25"/>
  </w:num>
  <w:num w:numId="8">
    <w:abstractNumId w:val="50"/>
  </w:num>
  <w:num w:numId="9">
    <w:abstractNumId w:val="29"/>
  </w:num>
  <w:num w:numId="10">
    <w:abstractNumId w:val="47"/>
  </w:num>
  <w:num w:numId="11">
    <w:abstractNumId w:val="45"/>
  </w:num>
  <w:num w:numId="12">
    <w:abstractNumId w:val="11"/>
  </w:num>
  <w:num w:numId="13">
    <w:abstractNumId w:val="26"/>
  </w:num>
  <w:num w:numId="14">
    <w:abstractNumId w:val="40"/>
  </w:num>
  <w:num w:numId="15">
    <w:abstractNumId w:val="6"/>
  </w:num>
  <w:num w:numId="16">
    <w:abstractNumId w:val="3"/>
  </w:num>
  <w:num w:numId="17">
    <w:abstractNumId w:val="10"/>
  </w:num>
  <w:num w:numId="18">
    <w:abstractNumId w:val="32"/>
  </w:num>
  <w:num w:numId="19">
    <w:abstractNumId w:val="38"/>
  </w:num>
  <w:num w:numId="20">
    <w:abstractNumId w:val="37"/>
  </w:num>
  <w:num w:numId="21">
    <w:abstractNumId w:val="44"/>
  </w:num>
  <w:num w:numId="22">
    <w:abstractNumId w:val="19"/>
  </w:num>
  <w:num w:numId="23">
    <w:abstractNumId w:val="34"/>
  </w:num>
  <w:num w:numId="24">
    <w:abstractNumId w:val="39"/>
  </w:num>
  <w:num w:numId="25">
    <w:abstractNumId w:val="9"/>
  </w:num>
  <w:num w:numId="26">
    <w:abstractNumId w:val="15"/>
  </w:num>
  <w:num w:numId="27">
    <w:abstractNumId w:val="4"/>
  </w:num>
  <w:num w:numId="28">
    <w:abstractNumId w:val="46"/>
  </w:num>
  <w:num w:numId="29">
    <w:abstractNumId w:val="2"/>
  </w:num>
  <w:num w:numId="30">
    <w:abstractNumId w:val="49"/>
  </w:num>
  <w:num w:numId="31">
    <w:abstractNumId w:val="30"/>
  </w:num>
  <w:num w:numId="32">
    <w:abstractNumId w:val="42"/>
  </w:num>
  <w:num w:numId="33">
    <w:abstractNumId w:val="20"/>
  </w:num>
  <w:num w:numId="34">
    <w:abstractNumId w:val="7"/>
  </w:num>
  <w:num w:numId="35">
    <w:abstractNumId w:val="28"/>
  </w:num>
  <w:num w:numId="36">
    <w:abstractNumId w:val="12"/>
  </w:num>
  <w:num w:numId="37">
    <w:abstractNumId w:val="31"/>
  </w:num>
  <w:num w:numId="38">
    <w:abstractNumId w:val="22"/>
  </w:num>
  <w:num w:numId="39">
    <w:abstractNumId w:val="41"/>
  </w:num>
  <w:num w:numId="40">
    <w:abstractNumId w:val="8"/>
  </w:num>
  <w:num w:numId="41">
    <w:abstractNumId w:val="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6"/>
  </w:num>
  <w:num w:numId="45">
    <w:abstractNumId w:val="18"/>
  </w:num>
  <w:num w:numId="46">
    <w:abstractNumId w:val="27"/>
  </w:num>
  <w:num w:numId="47">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6"/>
  </w:num>
  <w:num w:numId="51">
    <w:abstractNumId w:val="23"/>
  </w:num>
  <w:num w:numId="52">
    <w:abstractNumId w:val="24"/>
  </w:num>
  <w:num w:numId="53">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0388"/>
    <w:rsid w:val="0000379B"/>
    <w:rsid w:val="00004351"/>
    <w:rsid w:val="00005D23"/>
    <w:rsid w:val="00010526"/>
    <w:rsid w:val="000137E3"/>
    <w:rsid w:val="00017D68"/>
    <w:rsid w:val="00020863"/>
    <w:rsid w:val="00021206"/>
    <w:rsid w:val="00024F80"/>
    <w:rsid w:val="0002657A"/>
    <w:rsid w:val="00027D70"/>
    <w:rsid w:val="00030025"/>
    <w:rsid w:val="00031FCC"/>
    <w:rsid w:val="000332C6"/>
    <w:rsid w:val="000358D4"/>
    <w:rsid w:val="00035F53"/>
    <w:rsid w:val="00042D62"/>
    <w:rsid w:val="0004428D"/>
    <w:rsid w:val="00045379"/>
    <w:rsid w:val="00046FF2"/>
    <w:rsid w:val="00050A7C"/>
    <w:rsid w:val="000556E5"/>
    <w:rsid w:val="0005755B"/>
    <w:rsid w:val="00060504"/>
    <w:rsid w:val="0006130E"/>
    <w:rsid w:val="00063CA0"/>
    <w:rsid w:val="00065DDC"/>
    <w:rsid w:val="00066270"/>
    <w:rsid w:val="00071349"/>
    <w:rsid w:val="00071E76"/>
    <w:rsid w:val="00072BA3"/>
    <w:rsid w:val="00075E59"/>
    <w:rsid w:val="00077A45"/>
    <w:rsid w:val="00084C59"/>
    <w:rsid w:val="00084C77"/>
    <w:rsid w:val="000878C4"/>
    <w:rsid w:val="000A116F"/>
    <w:rsid w:val="000A1C63"/>
    <w:rsid w:val="000A2CD0"/>
    <w:rsid w:val="000A2EED"/>
    <w:rsid w:val="000A6627"/>
    <w:rsid w:val="000B1A25"/>
    <w:rsid w:val="000B5F4C"/>
    <w:rsid w:val="000B632A"/>
    <w:rsid w:val="000C12FA"/>
    <w:rsid w:val="000C216D"/>
    <w:rsid w:val="000C2F78"/>
    <w:rsid w:val="000C4C7C"/>
    <w:rsid w:val="000D3819"/>
    <w:rsid w:val="000E0FED"/>
    <w:rsid w:val="000E1156"/>
    <w:rsid w:val="000E329B"/>
    <w:rsid w:val="000E46C3"/>
    <w:rsid w:val="000E488A"/>
    <w:rsid w:val="000E4EFB"/>
    <w:rsid w:val="000E5E37"/>
    <w:rsid w:val="000F2B87"/>
    <w:rsid w:val="000F3F22"/>
    <w:rsid w:val="001041FE"/>
    <w:rsid w:val="00106C16"/>
    <w:rsid w:val="00106DA4"/>
    <w:rsid w:val="00113B2A"/>
    <w:rsid w:val="00114AF0"/>
    <w:rsid w:val="00114C32"/>
    <w:rsid w:val="0012063A"/>
    <w:rsid w:val="001218AB"/>
    <w:rsid w:val="001226D4"/>
    <w:rsid w:val="00124118"/>
    <w:rsid w:val="0012749D"/>
    <w:rsid w:val="001279BE"/>
    <w:rsid w:val="001306E7"/>
    <w:rsid w:val="001309A9"/>
    <w:rsid w:val="00131EF2"/>
    <w:rsid w:val="00132F17"/>
    <w:rsid w:val="00135CF0"/>
    <w:rsid w:val="0013761A"/>
    <w:rsid w:val="0014116F"/>
    <w:rsid w:val="00141CE6"/>
    <w:rsid w:val="001426B7"/>
    <w:rsid w:val="00143484"/>
    <w:rsid w:val="00143D82"/>
    <w:rsid w:val="00145DF7"/>
    <w:rsid w:val="00146DC6"/>
    <w:rsid w:val="00147160"/>
    <w:rsid w:val="00150C5F"/>
    <w:rsid w:val="0015292E"/>
    <w:rsid w:val="0015382E"/>
    <w:rsid w:val="0015452D"/>
    <w:rsid w:val="001559BD"/>
    <w:rsid w:val="00157750"/>
    <w:rsid w:val="0016108B"/>
    <w:rsid w:val="00161C98"/>
    <w:rsid w:val="00164269"/>
    <w:rsid w:val="00174EE8"/>
    <w:rsid w:val="0017508C"/>
    <w:rsid w:val="00175F43"/>
    <w:rsid w:val="00177A87"/>
    <w:rsid w:val="0018113E"/>
    <w:rsid w:val="00182EA1"/>
    <w:rsid w:val="00184535"/>
    <w:rsid w:val="00184D9C"/>
    <w:rsid w:val="00190C4F"/>
    <w:rsid w:val="00191B45"/>
    <w:rsid w:val="001930A9"/>
    <w:rsid w:val="0019402E"/>
    <w:rsid w:val="0019444C"/>
    <w:rsid w:val="00194FE3"/>
    <w:rsid w:val="001A1BBB"/>
    <w:rsid w:val="001A1F71"/>
    <w:rsid w:val="001A32FB"/>
    <w:rsid w:val="001A481D"/>
    <w:rsid w:val="001A509E"/>
    <w:rsid w:val="001A560C"/>
    <w:rsid w:val="001A6C7A"/>
    <w:rsid w:val="001A6DF5"/>
    <w:rsid w:val="001B2AF0"/>
    <w:rsid w:val="001B4633"/>
    <w:rsid w:val="001B6A70"/>
    <w:rsid w:val="001B6C2E"/>
    <w:rsid w:val="001B7D60"/>
    <w:rsid w:val="001D18BA"/>
    <w:rsid w:val="001D557B"/>
    <w:rsid w:val="001D6ABA"/>
    <w:rsid w:val="001D7EE0"/>
    <w:rsid w:val="001E183A"/>
    <w:rsid w:val="001E2FEE"/>
    <w:rsid w:val="001E3F1A"/>
    <w:rsid w:val="001E7B52"/>
    <w:rsid w:val="001F309D"/>
    <w:rsid w:val="001F4333"/>
    <w:rsid w:val="001F537D"/>
    <w:rsid w:val="0021219B"/>
    <w:rsid w:val="002128BF"/>
    <w:rsid w:val="002129D8"/>
    <w:rsid w:val="00213953"/>
    <w:rsid w:val="00213C16"/>
    <w:rsid w:val="0021510F"/>
    <w:rsid w:val="00222B10"/>
    <w:rsid w:val="00223241"/>
    <w:rsid w:val="00223CC5"/>
    <w:rsid w:val="002243AF"/>
    <w:rsid w:val="00225901"/>
    <w:rsid w:val="00227421"/>
    <w:rsid w:val="002305EC"/>
    <w:rsid w:val="00230C54"/>
    <w:rsid w:val="002329E7"/>
    <w:rsid w:val="00236B8B"/>
    <w:rsid w:val="00237C5D"/>
    <w:rsid w:val="00240053"/>
    <w:rsid w:val="00241013"/>
    <w:rsid w:val="002443BF"/>
    <w:rsid w:val="0024461E"/>
    <w:rsid w:val="002502B2"/>
    <w:rsid w:val="00251C7B"/>
    <w:rsid w:val="0025288C"/>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3ECB"/>
    <w:rsid w:val="002951D6"/>
    <w:rsid w:val="002A03CF"/>
    <w:rsid w:val="002A0B99"/>
    <w:rsid w:val="002A17A6"/>
    <w:rsid w:val="002A5A87"/>
    <w:rsid w:val="002A5F72"/>
    <w:rsid w:val="002A6280"/>
    <w:rsid w:val="002A7031"/>
    <w:rsid w:val="002A70E6"/>
    <w:rsid w:val="002A7FD3"/>
    <w:rsid w:val="002B1873"/>
    <w:rsid w:val="002C0787"/>
    <w:rsid w:val="002C0D7B"/>
    <w:rsid w:val="002C264E"/>
    <w:rsid w:val="002C27EA"/>
    <w:rsid w:val="002C6DD7"/>
    <w:rsid w:val="002C6F67"/>
    <w:rsid w:val="002D1154"/>
    <w:rsid w:val="002D2A21"/>
    <w:rsid w:val="002D2A99"/>
    <w:rsid w:val="002D31C8"/>
    <w:rsid w:val="002D486C"/>
    <w:rsid w:val="002D73BE"/>
    <w:rsid w:val="002E1361"/>
    <w:rsid w:val="002E1E8F"/>
    <w:rsid w:val="002E2480"/>
    <w:rsid w:val="002E4B21"/>
    <w:rsid w:val="002F1A9C"/>
    <w:rsid w:val="002F61C1"/>
    <w:rsid w:val="002F7E84"/>
    <w:rsid w:val="00302B48"/>
    <w:rsid w:val="003044E9"/>
    <w:rsid w:val="00306184"/>
    <w:rsid w:val="003103A5"/>
    <w:rsid w:val="00321E79"/>
    <w:rsid w:val="003227ED"/>
    <w:rsid w:val="00323B4B"/>
    <w:rsid w:val="00325AAD"/>
    <w:rsid w:val="0032753D"/>
    <w:rsid w:val="0033578F"/>
    <w:rsid w:val="0033757E"/>
    <w:rsid w:val="00340351"/>
    <w:rsid w:val="003463E3"/>
    <w:rsid w:val="00347119"/>
    <w:rsid w:val="0035062D"/>
    <w:rsid w:val="003537F4"/>
    <w:rsid w:val="003547C2"/>
    <w:rsid w:val="003565CA"/>
    <w:rsid w:val="00356F08"/>
    <w:rsid w:val="0036096F"/>
    <w:rsid w:val="00366AA6"/>
    <w:rsid w:val="00367C62"/>
    <w:rsid w:val="003708C7"/>
    <w:rsid w:val="0037174B"/>
    <w:rsid w:val="00371BD6"/>
    <w:rsid w:val="00372065"/>
    <w:rsid w:val="003733A4"/>
    <w:rsid w:val="003744DB"/>
    <w:rsid w:val="00376086"/>
    <w:rsid w:val="0037650B"/>
    <w:rsid w:val="00391FDD"/>
    <w:rsid w:val="00394BD7"/>
    <w:rsid w:val="00394CD3"/>
    <w:rsid w:val="003967FA"/>
    <w:rsid w:val="003A381D"/>
    <w:rsid w:val="003B0735"/>
    <w:rsid w:val="003B1A6E"/>
    <w:rsid w:val="003B3E9A"/>
    <w:rsid w:val="003B71BA"/>
    <w:rsid w:val="003C2E7E"/>
    <w:rsid w:val="003C49C6"/>
    <w:rsid w:val="003D1C7E"/>
    <w:rsid w:val="003D2223"/>
    <w:rsid w:val="003D2701"/>
    <w:rsid w:val="003D355A"/>
    <w:rsid w:val="003D4EEA"/>
    <w:rsid w:val="003E2CF1"/>
    <w:rsid w:val="003E3C21"/>
    <w:rsid w:val="003E3FD2"/>
    <w:rsid w:val="003E7639"/>
    <w:rsid w:val="003F133B"/>
    <w:rsid w:val="003F60DD"/>
    <w:rsid w:val="003F7588"/>
    <w:rsid w:val="00405B2A"/>
    <w:rsid w:val="00411F2A"/>
    <w:rsid w:val="0041220B"/>
    <w:rsid w:val="004129E1"/>
    <w:rsid w:val="00416915"/>
    <w:rsid w:val="004224A1"/>
    <w:rsid w:val="004234F4"/>
    <w:rsid w:val="00425266"/>
    <w:rsid w:val="0042539F"/>
    <w:rsid w:val="004253BD"/>
    <w:rsid w:val="00427C84"/>
    <w:rsid w:val="00430C87"/>
    <w:rsid w:val="00431338"/>
    <w:rsid w:val="00431FB5"/>
    <w:rsid w:val="00435386"/>
    <w:rsid w:val="00436B9C"/>
    <w:rsid w:val="004376C8"/>
    <w:rsid w:val="00442CFD"/>
    <w:rsid w:val="0044436B"/>
    <w:rsid w:val="00444844"/>
    <w:rsid w:val="00447A2B"/>
    <w:rsid w:val="00461C7F"/>
    <w:rsid w:val="00461CA4"/>
    <w:rsid w:val="00474884"/>
    <w:rsid w:val="00475B5E"/>
    <w:rsid w:val="00482DCA"/>
    <w:rsid w:val="00483A1C"/>
    <w:rsid w:val="00485008"/>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C3B76"/>
    <w:rsid w:val="004D19F1"/>
    <w:rsid w:val="004E1442"/>
    <w:rsid w:val="004E6C3F"/>
    <w:rsid w:val="004F4A17"/>
    <w:rsid w:val="00500578"/>
    <w:rsid w:val="005013F8"/>
    <w:rsid w:val="005043DC"/>
    <w:rsid w:val="005054E4"/>
    <w:rsid w:val="00506183"/>
    <w:rsid w:val="005079BB"/>
    <w:rsid w:val="00513899"/>
    <w:rsid w:val="0051479C"/>
    <w:rsid w:val="00514BD8"/>
    <w:rsid w:val="00516F5D"/>
    <w:rsid w:val="005217B8"/>
    <w:rsid w:val="005241DA"/>
    <w:rsid w:val="005249D1"/>
    <w:rsid w:val="005318CC"/>
    <w:rsid w:val="00535657"/>
    <w:rsid w:val="00537249"/>
    <w:rsid w:val="0054549B"/>
    <w:rsid w:val="005454D4"/>
    <w:rsid w:val="00566264"/>
    <w:rsid w:val="00566971"/>
    <w:rsid w:val="005716EA"/>
    <w:rsid w:val="00571A4D"/>
    <w:rsid w:val="00571F66"/>
    <w:rsid w:val="005729D6"/>
    <w:rsid w:val="00575100"/>
    <w:rsid w:val="00581CEC"/>
    <w:rsid w:val="005859E3"/>
    <w:rsid w:val="00585E44"/>
    <w:rsid w:val="00593419"/>
    <w:rsid w:val="005938B8"/>
    <w:rsid w:val="005A095E"/>
    <w:rsid w:val="005B00CA"/>
    <w:rsid w:val="005B6A16"/>
    <w:rsid w:val="005B7063"/>
    <w:rsid w:val="005C0E61"/>
    <w:rsid w:val="005C5867"/>
    <w:rsid w:val="005C5961"/>
    <w:rsid w:val="005C7C43"/>
    <w:rsid w:val="005D106D"/>
    <w:rsid w:val="005E1776"/>
    <w:rsid w:val="005E2032"/>
    <w:rsid w:val="005E330D"/>
    <w:rsid w:val="005E378C"/>
    <w:rsid w:val="005E428D"/>
    <w:rsid w:val="005E4614"/>
    <w:rsid w:val="005F10F8"/>
    <w:rsid w:val="005F349E"/>
    <w:rsid w:val="005F6174"/>
    <w:rsid w:val="006010F6"/>
    <w:rsid w:val="0060704D"/>
    <w:rsid w:val="00610037"/>
    <w:rsid w:val="0061092B"/>
    <w:rsid w:val="0061234B"/>
    <w:rsid w:val="00612E82"/>
    <w:rsid w:val="00622A1A"/>
    <w:rsid w:val="00622F60"/>
    <w:rsid w:val="0062495A"/>
    <w:rsid w:val="00627B59"/>
    <w:rsid w:val="00633ED8"/>
    <w:rsid w:val="00634A1E"/>
    <w:rsid w:val="00634CEE"/>
    <w:rsid w:val="00636757"/>
    <w:rsid w:val="0064258D"/>
    <w:rsid w:val="00653887"/>
    <w:rsid w:val="006607DD"/>
    <w:rsid w:val="0066587A"/>
    <w:rsid w:val="006706FA"/>
    <w:rsid w:val="00671067"/>
    <w:rsid w:val="00671219"/>
    <w:rsid w:val="00673B1B"/>
    <w:rsid w:val="006763F9"/>
    <w:rsid w:val="00681CD0"/>
    <w:rsid w:val="00682FFB"/>
    <w:rsid w:val="006850AC"/>
    <w:rsid w:val="00696913"/>
    <w:rsid w:val="006A6E0B"/>
    <w:rsid w:val="006A6F11"/>
    <w:rsid w:val="006B1B0A"/>
    <w:rsid w:val="006C31B9"/>
    <w:rsid w:val="006C563C"/>
    <w:rsid w:val="006C6669"/>
    <w:rsid w:val="006D1BB3"/>
    <w:rsid w:val="006D2416"/>
    <w:rsid w:val="006D53CD"/>
    <w:rsid w:val="006E09C2"/>
    <w:rsid w:val="006E2CD2"/>
    <w:rsid w:val="006E46EC"/>
    <w:rsid w:val="006E5D99"/>
    <w:rsid w:val="006E62B9"/>
    <w:rsid w:val="006F339D"/>
    <w:rsid w:val="006F4286"/>
    <w:rsid w:val="007007AF"/>
    <w:rsid w:val="00705047"/>
    <w:rsid w:val="00706125"/>
    <w:rsid w:val="00707B51"/>
    <w:rsid w:val="00707FCD"/>
    <w:rsid w:val="007151BC"/>
    <w:rsid w:val="00715284"/>
    <w:rsid w:val="007162C7"/>
    <w:rsid w:val="00716DC4"/>
    <w:rsid w:val="00721F32"/>
    <w:rsid w:val="00732CAB"/>
    <w:rsid w:val="00735A19"/>
    <w:rsid w:val="007411DE"/>
    <w:rsid w:val="00741F6D"/>
    <w:rsid w:val="00742BAC"/>
    <w:rsid w:val="00750AFB"/>
    <w:rsid w:val="00755CA1"/>
    <w:rsid w:val="007560AD"/>
    <w:rsid w:val="0075796A"/>
    <w:rsid w:val="00757D20"/>
    <w:rsid w:val="00760E85"/>
    <w:rsid w:val="007638FD"/>
    <w:rsid w:val="00763E85"/>
    <w:rsid w:val="00767C32"/>
    <w:rsid w:val="00770111"/>
    <w:rsid w:val="00770C55"/>
    <w:rsid w:val="0077258C"/>
    <w:rsid w:val="00775964"/>
    <w:rsid w:val="007801DB"/>
    <w:rsid w:val="00780D1B"/>
    <w:rsid w:val="00782571"/>
    <w:rsid w:val="0078739C"/>
    <w:rsid w:val="007916D1"/>
    <w:rsid w:val="0079370D"/>
    <w:rsid w:val="0079655D"/>
    <w:rsid w:val="007A2D7E"/>
    <w:rsid w:val="007A3675"/>
    <w:rsid w:val="007A45A8"/>
    <w:rsid w:val="007A62B8"/>
    <w:rsid w:val="007A662F"/>
    <w:rsid w:val="007B3489"/>
    <w:rsid w:val="007B7D10"/>
    <w:rsid w:val="007C3709"/>
    <w:rsid w:val="007C4716"/>
    <w:rsid w:val="007C7177"/>
    <w:rsid w:val="007D48AC"/>
    <w:rsid w:val="007D7423"/>
    <w:rsid w:val="007E1A45"/>
    <w:rsid w:val="007E4015"/>
    <w:rsid w:val="007F126B"/>
    <w:rsid w:val="007F3CD3"/>
    <w:rsid w:val="008031C1"/>
    <w:rsid w:val="00803914"/>
    <w:rsid w:val="00806D97"/>
    <w:rsid w:val="00811B8A"/>
    <w:rsid w:val="008125BA"/>
    <w:rsid w:val="0081306A"/>
    <w:rsid w:val="00815EB1"/>
    <w:rsid w:val="008165A2"/>
    <w:rsid w:val="00821F4F"/>
    <w:rsid w:val="00826B6E"/>
    <w:rsid w:val="00832784"/>
    <w:rsid w:val="00837917"/>
    <w:rsid w:val="0084049E"/>
    <w:rsid w:val="00841DF9"/>
    <w:rsid w:val="008429A4"/>
    <w:rsid w:val="00847A57"/>
    <w:rsid w:val="008506A8"/>
    <w:rsid w:val="00857A92"/>
    <w:rsid w:val="00861208"/>
    <w:rsid w:val="0086236F"/>
    <w:rsid w:val="00864C94"/>
    <w:rsid w:val="008663C1"/>
    <w:rsid w:val="008667BA"/>
    <w:rsid w:val="00870BD0"/>
    <w:rsid w:val="00872A27"/>
    <w:rsid w:val="008756C3"/>
    <w:rsid w:val="008768FC"/>
    <w:rsid w:val="0087690F"/>
    <w:rsid w:val="00876B10"/>
    <w:rsid w:val="00881066"/>
    <w:rsid w:val="008827F9"/>
    <w:rsid w:val="008858A9"/>
    <w:rsid w:val="00892382"/>
    <w:rsid w:val="00892F33"/>
    <w:rsid w:val="00893A65"/>
    <w:rsid w:val="00894A32"/>
    <w:rsid w:val="008A2D20"/>
    <w:rsid w:val="008A3775"/>
    <w:rsid w:val="008A4450"/>
    <w:rsid w:val="008A44EF"/>
    <w:rsid w:val="008A68A1"/>
    <w:rsid w:val="008A6C20"/>
    <w:rsid w:val="008B367B"/>
    <w:rsid w:val="008B3C59"/>
    <w:rsid w:val="008B6AB3"/>
    <w:rsid w:val="008C3706"/>
    <w:rsid w:val="008C4049"/>
    <w:rsid w:val="008D1E4F"/>
    <w:rsid w:val="008D526C"/>
    <w:rsid w:val="008D58C8"/>
    <w:rsid w:val="008E2D07"/>
    <w:rsid w:val="008E7E4A"/>
    <w:rsid w:val="008F2E9F"/>
    <w:rsid w:val="008F56FE"/>
    <w:rsid w:val="008F7DD4"/>
    <w:rsid w:val="00903D14"/>
    <w:rsid w:val="00906C87"/>
    <w:rsid w:val="00914394"/>
    <w:rsid w:val="00920BE2"/>
    <w:rsid w:val="00920FF5"/>
    <w:rsid w:val="00922A85"/>
    <w:rsid w:val="00923447"/>
    <w:rsid w:val="00925CC7"/>
    <w:rsid w:val="00925D2F"/>
    <w:rsid w:val="009309E9"/>
    <w:rsid w:val="00930A65"/>
    <w:rsid w:val="00930FE6"/>
    <w:rsid w:val="0093617F"/>
    <w:rsid w:val="0093772B"/>
    <w:rsid w:val="00937ACE"/>
    <w:rsid w:val="009408CE"/>
    <w:rsid w:val="00941D58"/>
    <w:rsid w:val="00943074"/>
    <w:rsid w:val="00945F78"/>
    <w:rsid w:val="00951D52"/>
    <w:rsid w:val="00953034"/>
    <w:rsid w:val="0095415E"/>
    <w:rsid w:val="009549F8"/>
    <w:rsid w:val="00954D4A"/>
    <w:rsid w:val="00960B06"/>
    <w:rsid w:val="009629D5"/>
    <w:rsid w:val="009645A5"/>
    <w:rsid w:val="009662E1"/>
    <w:rsid w:val="009729D9"/>
    <w:rsid w:val="00975490"/>
    <w:rsid w:val="0097569B"/>
    <w:rsid w:val="00986F20"/>
    <w:rsid w:val="00994248"/>
    <w:rsid w:val="009955A8"/>
    <w:rsid w:val="00997A72"/>
    <w:rsid w:val="00997B16"/>
    <w:rsid w:val="009A2ECD"/>
    <w:rsid w:val="009A4785"/>
    <w:rsid w:val="009A6CC6"/>
    <w:rsid w:val="009B14F3"/>
    <w:rsid w:val="009B2F2E"/>
    <w:rsid w:val="009B529C"/>
    <w:rsid w:val="009C0E03"/>
    <w:rsid w:val="009C29A6"/>
    <w:rsid w:val="009C64AF"/>
    <w:rsid w:val="009D5AE6"/>
    <w:rsid w:val="009D5FDB"/>
    <w:rsid w:val="009D75C0"/>
    <w:rsid w:val="009E152F"/>
    <w:rsid w:val="009E3DF1"/>
    <w:rsid w:val="009E6319"/>
    <w:rsid w:val="009E688F"/>
    <w:rsid w:val="009F448F"/>
    <w:rsid w:val="009F4530"/>
    <w:rsid w:val="009F4FAB"/>
    <w:rsid w:val="00A04A8A"/>
    <w:rsid w:val="00A06F6C"/>
    <w:rsid w:val="00A11492"/>
    <w:rsid w:val="00A121FC"/>
    <w:rsid w:val="00A1419E"/>
    <w:rsid w:val="00A17080"/>
    <w:rsid w:val="00A20DB2"/>
    <w:rsid w:val="00A21B07"/>
    <w:rsid w:val="00A22445"/>
    <w:rsid w:val="00A32C66"/>
    <w:rsid w:val="00A3315A"/>
    <w:rsid w:val="00A3372C"/>
    <w:rsid w:val="00A3390C"/>
    <w:rsid w:val="00A34830"/>
    <w:rsid w:val="00A36E6B"/>
    <w:rsid w:val="00A40778"/>
    <w:rsid w:val="00A4089F"/>
    <w:rsid w:val="00A40BB3"/>
    <w:rsid w:val="00A43215"/>
    <w:rsid w:val="00A43D11"/>
    <w:rsid w:val="00A46266"/>
    <w:rsid w:val="00A52EC2"/>
    <w:rsid w:val="00A55C6F"/>
    <w:rsid w:val="00A57AD7"/>
    <w:rsid w:val="00A61101"/>
    <w:rsid w:val="00A63052"/>
    <w:rsid w:val="00A73009"/>
    <w:rsid w:val="00A74207"/>
    <w:rsid w:val="00A75780"/>
    <w:rsid w:val="00A7597C"/>
    <w:rsid w:val="00A75AA6"/>
    <w:rsid w:val="00A8191E"/>
    <w:rsid w:val="00A83EA4"/>
    <w:rsid w:val="00A85B83"/>
    <w:rsid w:val="00A92334"/>
    <w:rsid w:val="00A93705"/>
    <w:rsid w:val="00A93EE7"/>
    <w:rsid w:val="00A95284"/>
    <w:rsid w:val="00A96D53"/>
    <w:rsid w:val="00AA043D"/>
    <w:rsid w:val="00AA13D9"/>
    <w:rsid w:val="00AA3964"/>
    <w:rsid w:val="00AA4D8A"/>
    <w:rsid w:val="00AA51D1"/>
    <w:rsid w:val="00AB0DA0"/>
    <w:rsid w:val="00AB1521"/>
    <w:rsid w:val="00AB3512"/>
    <w:rsid w:val="00AB5D7A"/>
    <w:rsid w:val="00AC300A"/>
    <w:rsid w:val="00AC6511"/>
    <w:rsid w:val="00AD1CEC"/>
    <w:rsid w:val="00AD7A67"/>
    <w:rsid w:val="00AE0264"/>
    <w:rsid w:val="00AE0BAD"/>
    <w:rsid w:val="00AE36B8"/>
    <w:rsid w:val="00AE3967"/>
    <w:rsid w:val="00AE61C7"/>
    <w:rsid w:val="00AE6FD2"/>
    <w:rsid w:val="00AF0774"/>
    <w:rsid w:val="00AF1BD0"/>
    <w:rsid w:val="00AF3D0B"/>
    <w:rsid w:val="00AF412F"/>
    <w:rsid w:val="00AF5E60"/>
    <w:rsid w:val="00AF6676"/>
    <w:rsid w:val="00B0054D"/>
    <w:rsid w:val="00B041D9"/>
    <w:rsid w:val="00B056BA"/>
    <w:rsid w:val="00B07981"/>
    <w:rsid w:val="00B12F33"/>
    <w:rsid w:val="00B14C9D"/>
    <w:rsid w:val="00B153B6"/>
    <w:rsid w:val="00B16C8A"/>
    <w:rsid w:val="00B16EEC"/>
    <w:rsid w:val="00B206A4"/>
    <w:rsid w:val="00B25352"/>
    <w:rsid w:val="00B2624E"/>
    <w:rsid w:val="00B274E5"/>
    <w:rsid w:val="00B27662"/>
    <w:rsid w:val="00B3022C"/>
    <w:rsid w:val="00B327DA"/>
    <w:rsid w:val="00B3346C"/>
    <w:rsid w:val="00B36781"/>
    <w:rsid w:val="00B401D0"/>
    <w:rsid w:val="00B41696"/>
    <w:rsid w:val="00B44EF2"/>
    <w:rsid w:val="00B51EFD"/>
    <w:rsid w:val="00B5373F"/>
    <w:rsid w:val="00B53CB5"/>
    <w:rsid w:val="00B54A6C"/>
    <w:rsid w:val="00B626BD"/>
    <w:rsid w:val="00B62B4B"/>
    <w:rsid w:val="00B64946"/>
    <w:rsid w:val="00B64EE2"/>
    <w:rsid w:val="00B703B9"/>
    <w:rsid w:val="00B70AF0"/>
    <w:rsid w:val="00B7733A"/>
    <w:rsid w:val="00B77DE4"/>
    <w:rsid w:val="00B8012C"/>
    <w:rsid w:val="00B815B2"/>
    <w:rsid w:val="00B84CE1"/>
    <w:rsid w:val="00B86A85"/>
    <w:rsid w:val="00B87814"/>
    <w:rsid w:val="00B94036"/>
    <w:rsid w:val="00B94FB8"/>
    <w:rsid w:val="00B95B49"/>
    <w:rsid w:val="00B96F84"/>
    <w:rsid w:val="00B979B1"/>
    <w:rsid w:val="00BA0AE9"/>
    <w:rsid w:val="00BA652C"/>
    <w:rsid w:val="00BB7053"/>
    <w:rsid w:val="00BB7904"/>
    <w:rsid w:val="00BC12A1"/>
    <w:rsid w:val="00BC44D0"/>
    <w:rsid w:val="00BC6008"/>
    <w:rsid w:val="00BC620F"/>
    <w:rsid w:val="00BC6371"/>
    <w:rsid w:val="00BC763B"/>
    <w:rsid w:val="00BD21AA"/>
    <w:rsid w:val="00BD3F1B"/>
    <w:rsid w:val="00BE2D7F"/>
    <w:rsid w:val="00BE4C08"/>
    <w:rsid w:val="00BE5D9D"/>
    <w:rsid w:val="00BE65E8"/>
    <w:rsid w:val="00BE6DDE"/>
    <w:rsid w:val="00BF652C"/>
    <w:rsid w:val="00C0147F"/>
    <w:rsid w:val="00C01BC3"/>
    <w:rsid w:val="00C03D86"/>
    <w:rsid w:val="00C122E7"/>
    <w:rsid w:val="00C17DE8"/>
    <w:rsid w:val="00C20260"/>
    <w:rsid w:val="00C22CBF"/>
    <w:rsid w:val="00C24377"/>
    <w:rsid w:val="00C275B8"/>
    <w:rsid w:val="00C3132A"/>
    <w:rsid w:val="00C32C22"/>
    <w:rsid w:val="00C34E7F"/>
    <w:rsid w:val="00C362E2"/>
    <w:rsid w:val="00C36B3A"/>
    <w:rsid w:val="00C40EED"/>
    <w:rsid w:val="00C412FE"/>
    <w:rsid w:val="00C41336"/>
    <w:rsid w:val="00C45BE4"/>
    <w:rsid w:val="00C4667F"/>
    <w:rsid w:val="00C47015"/>
    <w:rsid w:val="00C47133"/>
    <w:rsid w:val="00C540D3"/>
    <w:rsid w:val="00C62B2A"/>
    <w:rsid w:val="00C64F6C"/>
    <w:rsid w:val="00C6626B"/>
    <w:rsid w:val="00C83324"/>
    <w:rsid w:val="00C834AA"/>
    <w:rsid w:val="00C8434B"/>
    <w:rsid w:val="00C846DC"/>
    <w:rsid w:val="00C85040"/>
    <w:rsid w:val="00C86B9F"/>
    <w:rsid w:val="00C87310"/>
    <w:rsid w:val="00C94327"/>
    <w:rsid w:val="00C97102"/>
    <w:rsid w:val="00CA1061"/>
    <w:rsid w:val="00CA3EAE"/>
    <w:rsid w:val="00CB0BDB"/>
    <w:rsid w:val="00CB340C"/>
    <w:rsid w:val="00CB69B3"/>
    <w:rsid w:val="00CC05E8"/>
    <w:rsid w:val="00CC0626"/>
    <w:rsid w:val="00CD6B92"/>
    <w:rsid w:val="00CD6EE6"/>
    <w:rsid w:val="00CD720D"/>
    <w:rsid w:val="00CE0A4E"/>
    <w:rsid w:val="00CE465E"/>
    <w:rsid w:val="00CE642F"/>
    <w:rsid w:val="00CF5155"/>
    <w:rsid w:val="00CF5327"/>
    <w:rsid w:val="00CF7199"/>
    <w:rsid w:val="00CF736E"/>
    <w:rsid w:val="00D00EB6"/>
    <w:rsid w:val="00D033C6"/>
    <w:rsid w:val="00D044AC"/>
    <w:rsid w:val="00D04AE1"/>
    <w:rsid w:val="00D125E0"/>
    <w:rsid w:val="00D12CA2"/>
    <w:rsid w:val="00D17A87"/>
    <w:rsid w:val="00D200F3"/>
    <w:rsid w:val="00D20C9E"/>
    <w:rsid w:val="00D2582C"/>
    <w:rsid w:val="00D27BEC"/>
    <w:rsid w:val="00D34E24"/>
    <w:rsid w:val="00D35FA6"/>
    <w:rsid w:val="00D36270"/>
    <w:rsid w:val="00D42FF8"/>
    <w:rsid w:val="00D44608"/>
    <w:rsid w:val="00D4467D"/>
    <w:rsid w:val="00D46B32"/>
    <w:rsid w:val="00D55723"/>
    <w:rsid w:val="00D55A62"/>
    <w:rsid w:val="00D614AA"/>
    <w:rsid w:val="00D6213F"/>
    <w:rsid w:val="00D63C05"/>
    <w:rsid w:val="00D64F56"/>
    <w:rsid w:val="00D654C8"/>
    <w:rsid w:val="00D66064"/>
    <w:rsid w:val="00D66342"/>
    <w:rsid w:val="00D701C7"/>
    <w:rsid w:val="00D72211"/>
    <w:rsid w:val="00D741C4"/>
    <w:rsid w:val="00D76BA4"/>
    <w:rsid w:val="00D800B6"/>
    <w:rsid w:val="00D81077"/>
    <w:rsid w:val="00D815B5"/>
    <w:rsid w:val="00D82B0C"/>
    <w:rsid w:val="00D84EC6"/>
    <w:rsid w:val="00D85526"/>
    <w:rsid w:val="00D91232"/>
    <w:rsid w:val="00D9160C"/>
    <w:rsid w:val="00D95D91"/>
    <w:rsid w:val="00DA323F"/>
    <w:rsid w:val="00DA420A"/>
    <w:rsid w:val="00DA5671"/>
    <w:rsid w:val="00DA6CA3"/>
    <w:rsid w:val="00DB13E9"/>
    <w:rsid w:val="00DB2764"/>
    <w:rsid w:val="00DB3FDD"/>
    <w:rsid w:val="00DB58F4"/>
    <w:rsid w:val="00DB59FB"/>
    <w:rsid w:val="00DB5E07"/>
    <w:rsid w:val="00DC4557"/>
    <w:rsid w:val="00DC60A3"/>
    <w:rsid w:val="00DC64DD"/>
    <w:rsid w:val="00DC7362"/>
    <w:rsid w:val="00DD0FD2"/>
    <w:rsid w:val="00DD4B14"/>
    <w:rsid w:val="00DD671A"/>
    <w:rsid w:val="00DE1037"/>
    <w:rsid w:val="00DE199D"/>
    <w:rsid w:val="00DE2F80"/>
    <w:rsid w:val="00DF159B"/>
    <w:rsid w:val="00DF2167"/>
    <w:rsid w:val="00DF34B7"/>
    <w:rsid w:val="00E023C6"/>
    <w:rsid w:val="00E1165B"/>
    <w:rsid w:val="00E12D48"/>
    <w:rsid w:val="00E14D67"/>
    <w:rsid w:val="00E15B83"/>
    <w:rsid w:val="00E16D26"/>
    <w:rsid w:val="00E2198C"/>
    <w:rsid w:val="00E27369"/>
    <w:rsid w:val="00E27F64"/>
    <w:rsid w:val="00E30779"/>
    <w:rsid w:val="00E31E43"/>
    <w:rsid w:val="00E32F8A"/>
    <w:rsid w:val="00E33F1A"/>
    <w:rsid w:val="00E3685C"/>
    <w:rsid w:val="00E400CD"/>
    <w:rsid w:val="00E40A50"/>
    <w:rsid w:val="00E426FA"/>
    <w:rsid w:val="00E4346B"/>
    <w:rsid w:val="00E44F1E"/>
    <w:rsid w:val="00E5133F"/>
    <w:rsid w:val="00E5304B"/>
    <w:rsid w:val="00E542D0"/>
    <w:rsid w:val="00E5450B"/>
    <w:rsid w:val="00E54FF7"/>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5119"/>
    <w:rsid w:val="00E95522"/>
    <w:rsid w:val="00E95873"/>
    <w:rsid w:val="00E97328"/>
    <w:rsid w:val="00EA059C"/>
    <w:rsid w:val="00EA09A5"/>
    <w:rsid w:val="00EA0AB1"/>
    <w:rsid w:val="00EA263F"/>
    <w:rsid w:val="00EA5032"/>
    <w:rsid w:val="00EB5B53"/>
    <w:rsid w:val="00EB61D9"/>
    <w:rsid w:val="00EB670C"/>
    <w:rsid w:val="00EC0DF7"/>
    <w:rsid w:val="00EC458C"/>
    <w:rsid w:val="00ED07BD"/>
    <w:rsid w:val="00ED0D81"/>
    <w:rsid w:val="00ED262A"/>
    <w:rsid w:val="00ED2C8D"/>
    <w:rsid w:val="00ED38BB"/>
    <w:rsid w:val="00ED7648"/>
    <w:rsid w:val="00EE1013"/>
    <w:rsid w:val="00EE2EA5"/>
    <w:rsid w:val="00EE7B82"/>
    <w:rsid w:val="00EF1C79"/>
    <w:rsid w:val="00EF23FA"/>
    <w:rsid w:val="00EF4552"/>
    <w:rsid w:val="00EF60EB"/>
    <w:rsid w:val="00F00E55"/>
    <w:rsid w:val="00F02EAC"/>
    <w:rsid w:val="00F063D4"/>
    <w:rsid w:val="00F070C5"/>
    <w:rsid w:val="00F12244"/>
    <w:rsid w:val="00F1508C"/>
    <w:rsid w:val="00F1587D"/>
    <w:rsid w:val="00F20B0D"/>
    <w:rsid w:val="00F21097"/>
    <w:rsid w:val="00F23024"/>
    <w:rsid w:val="00F23E74"/>
    <w:rsid w:val="00F240CB"/>
    <w:rsid w:val="00F30F7D"/>
    <w:rsid w:val="00F42DBB"/>
    <w:rsid w:val="00F44900"/>
    <w:rsid w:val="00F45938"/>
    <w:rsid w:val="00F45AE7"/>
    <w:rsid w:val="00F46F32"/>
    <w:rsid w:val="00F512D5"/>
    <w:rsid w:val="00F56DDF"/>
    <w:rsid w:val="00F609C7"/>
    <w:rsid w:val="00F610CC"/>
    <w:rsid w:val="00F63DC0"/>
    <w:rsid w:val="00F7137B"/>
    <w:rsid w:val="00F721B6"/>
    <w:rsid w:val="00F7557A"/>
    <w:rsid w:val="00F80DC3"/>
    <w:rsid w:val="00F812EA"/>
    <w:rsid w:val="00F87DCE"/>
    <w:rsid w:val="00F90337"/>
    <w:rsid w:val="00F93209"/>
    <w:rsid w:val="00F9447D"/>
    <w:rsid w:val="00F94658"/>
    <w:rsid w:val="00F951E2"/>
    <w:rsid w:val="00F96A53"/>
    <w:rsid w:val="00FA0A99"/>
    <w:rsid w:val="00FA0E5B"/>
    <w:rsid w:val="00FA4ED5"/>
    <w:rsid w:val="00FB47A9"/>
    <w:rsid w:val="00FB6C6E"/>
    <w:rsid w:val="00FC2470"/>
    <w:rsid w:val="00FC378F"/>
    <w:rsid w:val="00FD1DF1"/>
    <w:rsid w:val="00FD3270"/>
    <w:rsid w:val="00FD48B0"/>
    <w:rsid w:val="00FD7949"/>
    <w:rsid w:val="00FE0A5F"/>
    <w:rsid w:val="00FE0ED4"/>
    <w:rsid w:val="00FE1D56"/>
    <w:rsid w:val="00FE1E4D"/>
    <w:rsid w:val="00FE3262"/>
    <w:rsid w:val="00FE4A2F"/>
    <w:rsid w:val="00FE526C"/>
    <w:rsid w:val="00FE543F"/>
    <w:rsid w:val="00FF2599"/>
    <w:rsid w:val="00FF27C1"/>
    <w:rsid w:val="00FF2D09"/>
    <w:rsid w:val="00FF319E"/>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15:docId w15:val="{6D316E35-7A96-4C88-8CA6-E4BC7DF5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97552465">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558978492">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105188120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613708741">
      <w:bodyDiv w:val="1"/>
      <w:marLeft w:val="0"/>
      <w:marRight w:val="0"/>
      <w:marTop w:val="0"/>
      <w:marBottom w:val="0"/>
      <w:divBdr>
        <w:top w:val="none" w:sz="0" w:space="0" w:color="auto"/>
        <w:left w:val="none" w:sz="0" w:space="0" w:color="auto"/>
        <w:bottom w:val="none" w:sz="0" w:space="0" w:color="auto"/>
        <w:right w:val="none" w:sz="0" w:space="0" w:color="auto"/>
      </w:divBdr>
    </w:div>
    <w:div w:id="1819612417">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8484927">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 w:id="2050958017">
      <w:bodyDiv w:val="1"/>
      <w:marLeft w:val="0"/>
      <w:marRight w:val="0"/>
      <w:marTop w:val="0"/>
      <w:marBottom w:val="0"/>
      <w:divBdr>
        <w:top w:val="none" w:sz="0" w:space="0" w:color="auto"/>
        <w:left w:val="none" w:sz="0" w:space="0" w:color="auto"/>
        <w:bottom w:val="none" w:sz="0" w:space="0" w:color="auto"/>
        <w:right w:val="none" w:sz="0" w:space="0" w:color="auto"/>
      </w:divBdr>
    </w:div>
    <w:div w:id="209705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476A-9DBF-4003-B915-7205152D1CA3}">
  <ds:schemaRefs>
    <ds:schemaRef ds:uri="http://schemas.openxmlformats.org/officeDocument/2006/bibliography"/>
  </ds:schemaRefs>
</ds:datastoreItem>
</file>

<file path=customXml/itemProps2.xml><?xml version="1.0" encoding="utf-8"?>
<ds:datastoreItem xmlns:ds="http://schemas.openxmlformats.org/officeDocument/2006/customXml" ds:itemID="{F315B54E-628C-4DB1-B37F-BD495D21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3342</Words>
  <Characters>18262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Murphy, Peggy - BLS</cp:lastModifiedBy>
  <cp:revision>3</cp:revision>
  <cp:lastPrinted>2010-08-16T12:03:00Z</cp:lastPrinted>
  <dcterms:created xsi:type="dcterms:W3CDTF">2020-08-19T13:12:00Z</dcterms:created>
  <dcterms:modified xsi:type="dcterms:W3CDTF">2020-08-19T13:13:00Z</dcterms:modified>
</cp:coreProperties>
</file>