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4E581" w14:textId="460A3A26" w:rsidR="001949D9" w:rsidRDefault="007E0C0E" w:rsidP="001949D9">
      <w:pPr>
        <w:pStyle w:val="SL-FlLftSgl"/>
        <w:spacing w:before="290" w:after="260" w:line="240" w:lineRule="auto"/>
        <w:jc w:val="center"/>
        <w:rPr>
          <w:rFonts w:ascii="Trebuchet MS" w:hAnsi="Trebuchet MS"/>
          <w:color w:val="000080"/>
          <w:sz w:val="48"/>
          <w:szCs w:val="48"/>
        </w:rPr>
      </w:pPr>
      <w:bookmarkStart w:id="0" w:name="_Toc452886157"/>
      <w:bookmarkStart w:id="1" w:name="_Toc461867411"/>
      <w:bookmarkStart w:id="2" w:name="_Toc461936331"/>
      <w:bookmarkStart w:id="3" w:name="_GoBack"/>
      <w:bookmarkEnd w:id="3"/>
      <w:r>
        <w:rPr>
          <w:rFonts w:ascii="Trebuchet MS" w:hAnsi="Trebuchet MS"/>
          <w:color w:val="000080"/>
          <w:sz w:val="48"/>
        </w:rPr>
        <w:t>Paperwork Reduction Act Submission</w:t>
      </w:r>
      <w:r w:rsidR="00654C64">
        <w:rPr>
          <w:rFonts w:ascii="Trebuchet MS" w:hAnsi="Trebuchet MS"/>
          <w:color w:val="000080"/>
          <w:sz w:val="48"/>
        </w:rPr>
        <w:t xml:space="preserve">: </w:t>
      </w:r>
      <w:r w:rsidR="00654C64">
        <w:rPr>
          <w:rFonts w:ascii="Trebuchet MS" w:hAnsi="Trebuchet MS"/>
          <w:color w:val="000080"/>
          <w:sz w:val="48"/>
        </w:rPr>
        <w:br/>
      </w:r>
      <w:r w:rsidR="00654C64">
        <w:rPr>
          <w:rFonts w:ascii="Trebuchet MS" w:hAnsi="Trebuchet MS"/>
          <w:color w:val="000080"/>
          <w:sz w:val="48"/>
          <w:szCs w:val="48"/>
        </w:rPr>
        <w:t xml:space="preserve">Supporting Statement </w:t>
      </w:r>
      <w:r w:rsidR="00F10351">
        <w:rPr>
          <w:rFonts w:ascii="Trebuchet MS" w:hAnsi="Trebuchet MS"/>
          <w:color w:val="000080"/>
          <w:sz w:val="48"/>
          <w:szCs w:val="48"/>
        </w:rPr>
        <w:t xml:space="preserve">B </w:t>
      </w:r>
      <w:r w:rsidR="00654C64">
        <w:rPr>
          <w:rFonts w:ascii="Trebuchet MS" w:hAnsi="Trebuchet MS"/>
          <w:color w:val="000080"/>
          <w:sz w:val="48"/>
          <w:szCs w:val="48"/>
        </w:rPr>
        <w:t>for</w:t>
      </w:r>
      <w:r w:rsidR="00654C64">
        <w:rPr>
          <w:rFonts w:ascii="Trebuchet MS" w:hAnsi="Trebuchet MS"/>
          <w:color w:val="000080"/>
          <w:sz w:val="48"/>
        </w:rPr>
        <w:t xml:space="preserve"> </w:t>
      </w:r>
      <w:r w:rsidR="00606A1D">
        <w:rPr>
          <w:rFonts w:ascii="Trebuchet MS" w:hAnsi="Trebuchet MS"/>
          <w:color w:val="000080"/>
          <w:sz w:val="48"/>
        </w:rPr>
        <w:t>the Office of Disability Employment Policy (</w:t>
      </w:r>
      <w:r w:rsidR="00654C64">
        <w:rPr>
          <w:rFonts w:ascii="Trebuchet MS" w:hAnsi="Trebuchet MS"/>
          <w:color w:val="000080"/>
          <w:sz w:val="48"/>
          <w:szCs w:val="48"/>
        </w:rPr>
        <w:t>ODEP</w:t>
      </w:r>
      <w:r w:rsidR="00606A1D">
        <w:rPr>
          <w:rFonts w:ascii="Trebuchet MS" w:hAnsi="Trebuchet MS"/>
          <w:color w:val="000080"/>
          <w:sz w:val="48"/>
          <w:szCs w:val="48"/>
        </w:rPr>
        <w:t>)</w:t>
      </w:r>
    </w:p>
    <w:p w14:paraId="3B955E94" w14:textId="3D7DEACA" w:rsidR="001949D9" w:rsidRDefault="003A7450" w:rsidP="001949D9">
      <w:pPr>
        <w:pStyle w:val="SL-FlLftSgl"/>
        <w:spacing w:before="290" w:after="260" w:line="240" w:lineRule="auto"/>
        <w:jc w:val="center"/>
        <w:rPr>
          <w:rFonts w:ascii="Trebuchet MS" w:hAnsi="Trebuchet MS"/>
          <w:color w:val="000080"/>
          <w:sz w:val="48"/>
          <w:szCs w:val="48"/>
        </w:rPr>
      </w:pPr>
      <w:r w:rsidRPr="003A7450">
        <w:rPr>
          <w:rFonts w:ascii="Trebuchet MS" w:hAnsi="Trebuchet MS"/>
          <w:color w:val="000080"/>
          <w:sz w:val="48"/>
          <w:szCs w:val="48"/>
        </w:rPr>
        <w:t xml:space="preserve">Retaining Employment and Talent </w:t>
      </w:r>
      <w:r w:rsidR="003A788A">
        <w:rPr>
          <w:rFonts w:ascii="Trebuchet MS" w:hAnsi="Trebuchet MS"/>
          <w:color w:val="000080"/>
          <w:sz w:val="48"/>
          <w:szCs w:val="48"/>
        </w:rPr>
        <w:t>a</w:t>
      </w:r>
      <w:r w:rsidRPr="003A7450">
        <w:rPr>
          <w:rFonts w:ascii="Trebuchet MS" w:hAnsi="Trebuchet MS"/>
          <w:color w:val="000080"/>
          <w:sz w:val="48"/>
          <w:szCs w:val="48"/>
        </w:rPr>
        <w:t>fter Injury/Illness Network (RETAIN) Demonstration Projects and Evaluation</w:t>
      </w:r>
      <w:r w:rsidR="00002302" w:rsidRPr="00002302">
        <w:rPr>
          <w:rFonts w:ascii="Trebuchet MS" w:hAnsi="Trebuchet MS"/>
          <w:color w:val="000080"/>
          <w:sz w:val="48"/>
          <w:szCs w:val="48"/>
        </w:rPr>
        <w:t>,</w:t>
      </w:r>
      <w:r w:rsidR="00002302">
        <w:rPr>
          <w:rFonts w:ascii="Trebuchet MS" w:hAnsi="Trebuchet MS"/>
          <w:color w:val="000080"/>
          <w:sz w:val="48"/>
          <w:szCs w:val="48"/>
        </w:rPr>
        <w:t xml:space="preserve"> OMB No. 1230-0NEW</w:t>
      </w:r>
      <w:r w:rsidR="005A24D9">
        <w:rPr>
          <w:rFonts w:ascii="Trebuchet MS" w:hAnsi="Trebuchet MS"/>
          <w:color w:val="000080"/>
          <w:sz w:val="48"/>
          <w:szCs w:val="48"/>
        </w:rPr>
        <w:t xml:space="preserve"> </w:t>
      </w:r>
    </w:p>
    <w:p w14:paraId="6C5A3000" w14:textId="4ABDD58F" w:rsidR="007D02B0" w:rsidRDefault="00435728" w:rsidP="007D02B0">
      <w:pPr>
        <w:jc w:val="center"/>
        <w:rPr>
          <w:b/>
          <w:sz w:val="28"/>
          <w:szCs w:val="28"/>
        </w:rPr>
      </w:pPr>
      <w:r>
        <w:rPr>
          <w:b/>
          <w:sz w:val="28"/>
          <w:szCs w:val="28"/>
        </w:rPr>
        <w:t>Marc</w:t>
      </w:r>
      <w:r w:rsidR="00A60C54">
        <w:rPr>
          <w:b/>
          <w:sz w:val="28"/>
          <w:szCs w:val="28"/>
        </w:rPr>
        <w:t>h</w:t>
      </w:r>
      <w:r w:rsidR="00D13E1E" w:rsidRPr="00DE0974">
        <w:rPr>
          <w:b/>
          <w:sz w:val="28"/>
          <w:szCs w:val="28"/>
        </w:rPr>
        <w:t xml:space="preserve"> 2019</w:t>
      </w:r>
    </w:p>
    <w:p w14:paraId="1B0C13D8" w14:textId="4291C2B0" w:rsidR="007D02B0" w:rsidRDefault="007D02B0" w:rsidP="009A10E4">
      <w:pPr>
        <w:spacing w:line="240" w:lineRule="auto"/>
        <w:jc w:val="left"/>
      </w:pPr>
      <w:r>
        <w:rPr>
          <w:b/>
          <w:sz w:val="28"/>
          <w:szCs w:val="28"/>
        </w:rPr>
        <w:br w:type="page"/>
      </w:r>
    </w:p>
    <w:p w14:paraId="2BDC3E1E" w14:textId="6119999F" w:rsidR="00654C64" w:rsidRDefault="00654C64">
      <w:pPr>
        <w:ind w:left="-1080" w:right="-810"/>
        <w:rPr>
          <w:b/>
        </w:rPr>
        <w:sectPr w:rsidR="00654C64">
          <w:footerReference w:type="even" r:id="rId9"/>
          <w:footerReference w:type="first" r:id="rId10"/>
          <w:pgSz w:w="12240" w:h="15840" w:code="1"/>
          <w:pgMar w:top="691" w:right="1800" w:bottom="2203" w:left="1800" w:header="0" w:footer="576" w:gutter="0"/>
          <w:pgNumType w:fmt="lowerRoman"/>
          <w:cols w:space="720"/>
          <w:vAlign w:val="center"/>
        </w:sectPr>
      </w:pPr>
    </w:p>
    <w:p w14:paraId="3B47D30D" w14:textId="1A04E8DD" w:rsidR="001F237B" w:rsidRPr="001E0940" w:rsidRDefault="001F237B" w:rsidP="001F237B">
      <w:pPr>
        <w:spacing w:after="200" w:line="276" w:lineRule="auto"/>
        <w:jc w:val="center"/>
        <w:rPr>
          <w:rFonts w:eastAsia="Calibri"/>
          <w:b/>
          <w:sz w:val="24"/>
          <w:szCs w:val="24"/>
        </w:rPr>
      </w:pPr>
      <w:bookmarkStart w:id="4" w:name="_Toc461936349"/>
      <w:bookmarkStart w:id="5" w:name="_Toc178755033"/>
      <w:bookmarkEnd w:id="0"/>
      <w:bookmarkEnd w:id="1"/>
      <w:bookmarkEnd w:id="2"/>
      <w:r w:rsidRPr="001E0940">
        <w:rPr>
          <w:rFonts w:eastAsia="Calibri"/>
          <w:b/>
          <w:sz w:val="24"/>
          <w:szCs w:val="24"/>
        </w:rPr>
        <w:lastRenderedPageBreak/>
        <w:t xml:space="preserve">OMB SUPPORTING STATEMENT PRA PART </w:t>
      </w:r>
      <w:r w:rsidR="00744C9F">
        <w:rPr>
          <w:rFonts w:eastAsia="Calibri"/>
          <w:b/>
          <w:sz w:val="24"/>
          <w:szCs w:val="24"/>
        </w:rPr>
        <w:t>B</w:t>
      </w:r>
    </w:p>
    <w:p w14:paraId="4D785E82" w14:textId="79B8AECC" w:rsidR="001F237B" w:rsidRPr="001E0940" w:rsidRDefault="003A7450" w:rsidP="001F237B">
      <w:pPr>
        <w:spacing w:after="200" w:line="276" w:lineRule="auto"/>
        <w:jc w:val="center"/>
        <w:rPr>
          <w:rFonts w:eastAsia="Calibri"/>
          <w:b/>
          <w:sz w:val="24"/>
          <w:szCs w:val="24"/>
        </w:rPr>
      </w:pPr>
      <w:r w:rsidRPr="003A7450">
        <w:rPr>
          <w:rFonts w:eastAsia="Calibri"/>
          <w:b/>
          <w:sz w:val="24"/>
          <w:szCs w:val="24"/>
        </w:rPr>
        <w:t xml:space="preserve">Retaining Employment and Talent </w:t>
      </w:r>
      <w:r w:rsidR="003A788A">
        <w:rPr>
          <w:rFonts w:eastAsia="Calibri"/>
          <w:b/>
          <w:sz w:val="24"/>
          <w:szCs w:val="24"/>
        </w:rPr>
        <w:t>a</w:t>
      </w:r>
      <w:r w:rsidRPr="003A7450">
        <w:rPr>
          <w:rFonts w:eastAsia="Calibri"/>
          <w:b/>
          <w:sz w:val="24"/>
          <w:szCs w:val="24"/>
        </w:rPr>
        <w:t>fter Injury/Illness Network (RETAIN) Demonstration Projects and Evaluation</w:t>
      </w:r>
    </w:p>
    <w:p w14:paraId="1DCE7154" w14:textId="787DB453" w:rsidR="001F237B" w:rsidRPr="00B43386" w:rsidRDefault="00223589" w:rsidP="00DE0974">
      <w:pPr>
        <w:pStyle w:val="Heading1"/>
        <w:rPr>
          <w:rFonts w:eastAsia="Calibri"/>
        </w:rPr>
      </w:pPr>
      <w:bookmarkStart w:id="6" w:name="_Toc4409259"/>
      <w:r>
        <w:rPr>
          <w:rFonts w:eastAsia="Calibri"/>
        </w:rPr>
        <w:t xml:space="preserve">B.0 </w:t>
      </w:r>
      <w:r w:rsidR="001F237B" w:rsidRPr="00B43386">
        <w:rPr>
          <w:rFonts w:eastAsia="Calibri"/>
        </w:rPr>
        <w:t>Circumstances Necessitating the Information Collection</w:t>
      </w:r>
      <w:bookmarkEnd w:id="6"/>
    </w:p>
    <w:p w14:paraId="53DB1926" w14:textId="31DA3399" w:rsidR="00A749CA" w:rsidRPr="00A749CA" w:rsidRDefault="00A749CA" w:rsidP="00A749CA">
      <w:pPr>
        <w:spacing w:before="100" w:beforeAutospacing="1" w:after="100" w:afterAutospacing="1" w:line="276" w:lineRule="auto"/>
        <w:jc w:val="left"/>
        <w:rPr>
          <w:rFonts w:eastAsia="Calibri"/>
          <w:sz w:val="24"/>
          <w:szCs w:val="24"/>
        </w:rPr>
      </w:pPr>
      <w:r w:rsidRPr="00A749CA">
        <w:rPr>
          <w:rFonts w:eastAsia="Calibri"/>
          <w:sz w:val="24"/>
          <w:szCs w:val="24"/>
        </w:rPr>
        <w:t xml:space="preserve">The RETAIN Demonstration Projects are a collaborative effort led by the U.S. Department of Labor’s Office of Disability Employment Policy (ODEP) in partnership with DOL’s Employment and Training Administration (ETA) and the Social Security Administration (SSA). RETAIN—Retaining Employment and Talent </w:t>
      </w:r>
      <w:r w:rsidR="00F220BE">
        <w:rPr>
          <w:rFonts w:eastAsia="Calibri"/>
          <w:sz w:val="24"/>
          <w:szCs w:val="24"/>
        </w:rPr>
        <w:t>A</w:t>
      </w:r>
      <w:r w:rsidRPr="00A749CA">
        <w:rPr>
          <w:rFonts w:eastAsia="Calibri"/>
          <w:sz w:val="24"/>
          <w:szCs w:val="24"/>
        </w:rPr>
        <w:t>fter Injury/</w:t>
      </w:r>
      <w:r w:rsidR="001A2D46">
        <w:rPr>
          <w:rFonts w:eastAsia="Calibri"/>
          <w:sz w:val="24"/>
          <w:szCs w:val="24"/>
        </w:rPr>
        <w:t>I</w:t>
      </w:r>
      <w:r w:rsidRPr="00A749CA">
        <w:rPr>
          <w:rFonts w:eastAsia="Calibri"/>
          <w:sz w:val="24"/>
          <w:szCs w:val="24"/>
        </w:rPr>
        <w:t>llness Network—projects will test the impact of early intervention strategies that improve stay-at-work/return-to-work (SAW/RTW) outcomes of individuals who experience work disability whi</w:t>
      </w:r>
      <w:r w:rsidR="003A788A">
        <w:rPr>
          <w:rFonts w:eastAsia="Calibri"/>
          <w:sz w:val="24"/>
          <w:szCs w:val="24"/>
        </w:rPr>
        <w:t xml:space="preserve">le employed. “Work disability” is </w:t>
      </w:r>
      <w:r w:rsidRPr="00A749CA">
        <w:rPr>
          <w:rFonts w:eastAsia="Calibri"/>
          <w:sz w:val="24"/>
          <w:szCs w:val="24"/>
        </w:rPr>
        <w:t>defined as an injury, illness, or medical condition that has the potential to inhibit or prevent continued employment or labor force participation.</w:t>
      </w:r>
    </w:p>
    <w:p w14:paraId="71BD6313" w14:textId="709FB34A" w:rsidR="00A749CA" w:rsidRPr="00A749CA" w:rsidRDefault="00A749CA" w:rsidP="00A749CA">
      <w:pPr>
        <w:spacing w:before="100" w:beforeAutospacing="1" w:after="100" w:afterAutospacing="1" w:line="276" w:lineRule="auto"/>
        <w:jc w:val="left"/>
        <w:rPr>
          <w:rFonts w:eastAsia="Calibri"/>
          <w:sz w:val="24"/>
          <w:szCs w:val="24"/>
        </w:rPr>
      </w:pPr>
      <w:r w:rsidRPr="00A749CA">
        <w:rPr>
          <w:rFonts w:eastAsia="Calibri"/>
          <w:sz w:val="24"/>
          <w:szCs w:val="24"/>
        </w:rPr>
        <w:t xml:space="preserve">SAW/RTW programs succeed by returning injured or ill workers to productive work as soon as medically possible during their recovery process and by providing interim part-time or </w:t>
      </w:r>
      <w:r w:rsidR="00C3621B" w:rsidRPr="00A749CA">
        <w:rPr>
          <w:rFonts w:eastAsia="Calibri"/>
          <w:sz w:val="24"/>
          <w:szCs w:val="24"/>
        </w:rPr>
        <w:t>light</w:t>
      </w:r>
      <w:r w:rsidR="00C3621B">
        <w:rPr>
          <w:rFonts w:eastAsia="Calibri"/>
          <w:sz w:val="24"/>
          <w:szCs w:val="24"/>
        </w:rPr>
        <w:t>-</w:t>
      </w:r>
      <w:r w:rsidRPr="00A749CA">
        <w:rPr>
          <w:rFonts w:eastAsia="Calibri"/>
          <w:sz w:val="24"/>
          <w:szCs w:val="24"/>
        </w:rPr>
        <w:t xml:space="preserve">duty work and accommodations, as necessary. The RETAIN Demonstration Projects are modeled after promising programs operating in Washington </w:t>
      </w:r>
      <w:r w:rsidR="00C3621B">
        <w:rPr>
          <w:rFonts w:eastAsia="Calibri"/>
          <w:sz w:val="24"/>
          <w:szCs w:val="24"/>
        </w:rPr>
        <w:t>s</w:t>
      </w:r>
      <w:r w:rsidR="00C3621B" w:rsidRPr="00A749CA">
        <w:rPr>
          <w:rFonts w:eastAsia="Calibri"/>
          <w:sz w:val="24"/>
          <w:szCs w:val="24"/>
        </w:rPr>
        <w:t>tate</w:t>
      </w:r>
      <w:r w:rsidRPr="00A749CA">
        <w:rPr>
          <w:rFonts w:eastAsia="Calibri"/>
          <w:sz w:val="24"/>
          <w:szCs w:val="24"/>
        </w:rPr>
        <w:t>, including the Centers of Occupational Health and Education (COHE), the Early Return to Work (ERTW), and the Stay at Work programs. While these programs operate within the state’s workers’ compensation system and are available only to people experiencing work-related injuries or illnesses, the RETAIN Demonstration Projects provide opportunities to improve SAW/RTW outcomes for both occupational and non-occupational injuries and illnesses of people who are employed, or at a minimum in the labor force, when their injury or illness occurs.</w:t>
      </w:r>
    </w:p>
    <w:p w14:paraId="463CF448" w14:textId="54EA4F58" w:rsidR="00A749CA" w:rsidRPr="003A788A" w:rsidRDefault="00A749CA" w:rsidP="00A749CA">
      <w:pPr>
        <w:spacing w:before="100" w:beforeAutospacing="1" w:after="100" w:afterAutospacing="1" w:line="276" w:lineRule="auto"/>
        <w:jc w:val="left"/>
        <w:rPr>
          <w:rFonts w:eastAsia="Calibri"/>
          <w:sz w:val="24"/>
          <w:szCs w:val="24"/>
        </w:rPr>
      </w:pPr>
      <w:r w:rsidRPr="003A788A">
        <w:rPr>
          <w:rFonts w:eastAsia="Calibri"/>
          <w:sz w:val="24"/>
          <w:szCs w:val="24"/>
        </w:rPr>
        <w:t xml:space="preserve">Central to these projects is the early coordination of </w:t>
      </w:r>
      <w:r w:rsidR="00D66BEF">
        <w:rPr>
          <w:rFonts w:eastAsia="Calibri"/>
          <w:sz w:val="24"/>
          <w:szCs w:val="24"/>
        </w:rPr>
        <w:t>health-ca</w:t>
      </w:r>
      <w:r w:rsidRPr="003A788A">
        <w:rPr>
          <w:rFonts w:eastAsia="Calibri"/>
          <w:sz w:val="24"/>
          <w:szCs w:val="24"/>
        </w:rPr>
        <w:t>re and employment-related supports and services to help injured or ill workers remain in the workforce. These supports and services include:</w:t>
      </w:r>
    </w:p>
    <w:p w14:paraId="2593837A" w14:textId="5B09EF62" w:rsidR="00A749CA" w:rsidRPr="003A788A" w:rsidRDefault="00A749CA" w:rsidP="003A788A">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 xml:space="preserve">Training in occupational health best practices for participating </w:t>
      </w:r>
      <w:r w:rsidR="00D66BEF">
        <w:rPr>
          <w:rFonts w:ascii="Times New Roman" w:hAnsi="Times New Roman"/>
          <w:sz w:val="24"/>
          <w:szCs w:val="24"/>
        </w:rPr>
        <w:t>health-ca</w:t>
      </w:r>
      <w:r w:rsidRPr="003A788A">
        <w:rPr>
          <w:rFonts w:ascii="Times New Roman" w:hAnsi="Times New Roman"/>
          <w:sz w:val="24"/>
          <w:szCs w:val="24"/>
        </w:rPr>
        <w:t>re providers;</w:t>
      </w:r>
    </w:p>
    <w:p w14:paraId="2727A2C2" w14:textId="77777777" w:rsidR="00A749CA" w:rsidRPr="003A788A" w:rsidRDefault="00A749CA" w:rsidP="003A788A">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Active involvement of a Return-to-Work Coordinator throughout the medical recovery period to facilitate continued employment;</w:t>
      </w:r>
    </w:p>
    <w:p w14:paraId="369BB23C" w14:textId="2C2A076C" w:rsidR="00A749CA" w:rsidRPr="003A788A" w:rsidRDefault="00A749CA" w:rsidP="003A788A">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 xml:space="preserve">Enhanced communication among workers, employers, and </w:t>
      </w:r>
      <w:r w:rsidR="00D66BEF">
        <w:rPr>
          <w:rFonts w:ascii="Times New Roman" w:hAnsi="Times New Roman"/>
          <w:sz w:val="24"/>
          <w:szCs w:val="24"/>
        </w:rPr>
        <w:t>health-ca</w:t>
      </w:r>
      <w:r w:rsidRPr="003A788A">
        <w:rPr>
          <w:rFonts w:ascii="Times New Roman" w:hAnsi="Times New Roman"/>
          <w:sz w:val="24"/>
          <w:szCs w:val="24"/>
        </w:rPr>
        <w:t>re providers;</w:t>
      </w:r>
    </w:p>
    <w:p w14:paraId="0E1185C3" w14:textId="77777777" w:rsidR="00A749CA" w:rsidRPr="003A788A" w:rsidRDefault="00A749CA" w:rsidP="003A788A">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Accommodations and job modifications; and</w:t>
      </w:r>
    </w:p>
    <w:p w14:paraId="514534C6" w14:textId="77777777" w:rsidR="00A749CA" w:rsidRPr="003A788A" w:rsidRDefault="00A749CA" w:rsidP="003A788A">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Retraining and rehabilitation services.</w:t>
      </w:r>
    </w:p>
    <w:p w14:paraId="67066CD7" w14:textId="2EB82A1F" w:rsidR="00A749CA" w:rsidRPr="003A788A" w:rsidRDefault="00A749CA" w:rsidP="00A749CA">
      <w:pPr>
        <w:spacing w:before="100" w:beforeAutospacing="1" w:after="100" w:afterAutospacing="1" w:line="276" w:lineRule="auto"/>
        <w:jc w:val="left"/>
        <w:rPr>
          <w:rFonts w:eastAsia="Calibri"/>
          <w:sz w:val="24"/>
          <w:szCs w:val="24"/>
        </w:rPr>
      </w:pPr>
      <w:r w:rsidRPr="003A788A">
        <w:rPr>
          <w:rFonts w:eastAsia="Calibri"/>
          <w:sz w:val="24"/>
          <w:szCs w:val="24"/>
        </w:rPr>
        <w:t>To accomplish this, projects will provide services through an integrated network of partners that includes close collaboration between state</w:t>
      </w:r>
      <w:r w:rsidR="008326ED">
        <w:rPr>
          <w:rFonts w:eastAsia="Calibri"/>
          <w:sz w:val="24"/>
          <w:szCs w:val="24"/>
        </w:rPr>
        <w:t>/</w:t>
      </w:r>
      <w:r w:rsidRPr="003A788A">
        <w:rPr>
          <w:rFonts w:eastAsia="Calibri"/>
          <w:sz w:val="24"/>
          <w:szCs w:val="24"/>
        </w:rPr>
        <w:t xml:space="preserve">local workforce development entities, </w:t>
      </w:r>
      <w:r w:rsidR="00D66BEF">
        <w:rPr>
          <w:rFonts w:eastAsia="Calibri"/>
          <w:sz w:val="24"/>
          <w:szCs w:val="24"/>
        </w:rPr>
        <w:t>health-ca</w:t>
      </w:r>
      <w:r w:rsidRPr="003A788A">
        <w:rPr>
          <w:rFonts w:eastAsia="Calibri"/>
          <w:sz w:val="24"/>
          <w:szCs w:val="24"/>
        </w:rPr>
        <w:t xml:space="preserve">re </w:t>
      </w:r>
      <w:r w:rsidR="008326ED">
        <w:rPr>
          <w:rFonts w:eastAsia="Calibri"/>
          <w:sz w:val="24"/>
          <w:szCs w:val="24"/>
        </w:rPr>
        <w:t xml:space="preserve">provider </w:t>
      </w:r>
      <w:r w:rsidRPr="003A788A">
        <w:rPr>
          <w:rFonts w:eastAsia="Calibri"/>
          <w:sz w:val="24"/>
          <w:szCs w:val="24"/>
        </w:rPr>
        <w:t>systems</w:t>
      </w:r>
      <w:r w:rsidR="008326ED">
        <w:rPr>
          <w:rFonts w:eastAsia="Calibri"/>
          <w:sz w:val="24"/>
          <w:szCs w:val="24"/>
        </w:rPr>
        <w:t>/</w:t>
      </w:r>
      <w:r w:rsidRPr="003A788A">
        <w:rPr>
          <w:rFonts w:eastAsia="Calibri"/>
          <w:sz w:val="24"/>
          <w:szCs w:val="24"/>
        </w:rPr>
        <w:t>networks, and other partners as appropriate.</w:t>
      </w:r>
    </w:p>
    <w:p w14:paraId="7C8A56EF" w14:textId="77777777" w:rsidR="00A749CA" w:rsidRPr="003A788A" w:rsidRDefault="00A749CA" w:rsidP="00A749CA">
      <w:pPr>
        <w:spacing w:before="100" w:beforeAutospacing="1" w:after="100" w:afterAutospacing="1" w:line="276" w:lineRule="auto"/>
        <w:jc w:val="left"/>
        <w:rPr>
          <w:rFonts w:eastAsia="Calibri"/>
          <w:sz w:val="24"/>
          <w:szCs w:val="24"/>
        </w:rPr>
      </w:pPr>
    </w:p>
    <w:p w14:paraId="6235FF11" w14:textId="77777777" w:rsidR="00A749CA" w:rsidRPr="003A788A" w:rsidRDefault="00A749CA" w:rsidP="00A749CA">
      <w:pPr>
        <w:spacing w:before="100" w:beforeAutospacing="1" w:after="100" w:afterAutospacing="1" w:line="276" w:lineRule="auto"/>
        <w:jc w:val="left"/>
        <w:rPr>
          <w:rFonts w:eastAsia="Calibri"/>
          <w:sz w:val="24"/>
          <w:szCs w:val="24"/>
        </w:rPr>
      </w:pPr>
      <w:r w:rsidRPr="003A788A">
        <w:rPr>
          <w:rFonts w:eastAsia="Calibri"/>
          <w:sz w:val="24"/>
          <w:szCs w:val="24"/>
        </w:rPr>
        <w:lastRenderedPageBreak/>
        <w:t>The primary goals of the RETAIN Demonstration Projects are:</w:t>
      </w:r>
    </w:p>
    <w:p w14:paraId="74072966" w14:textId="451719D4" w:rsidR="00A749CA" w:rsidRPr="003A788A" w:rsidRDefault="00A749CA" w:rsidP="003A788A">
      <w:pPr>
        <w:pStyle w:val="ListParagraph"/>
        <w:numPr>
          <w:ilvl w:val="0"/>
          <w:numId w:val="56"/>
        </w:numPr>
        <w:spacing w:after="0"/>
        <w:rPr>
          <w:rFonts w:ascii="Times New Roman" w:hAnsi="Times New Roman"/>
          <w:sz w:val="24"/>
          <w:szCs w:val="24"/>
        </w:rPr>
      </w:pPr>
      <w:r w:rsidRPr="003A788A">
        <w:rPr>
          <w:rFonts w:ascii="Times New Roman" w:hAnsi="Times New Roman"/>
          <w:sz w:val="24"/>
          <w:szCs w:val="24"/>
        </w:rPr>
        <w:t>To increase employment retention and labor force participation of individuals who acquire, and/or are at risk of developing, work disabilities; and</w:t>
      </w:r>
    </w:p>
    <w:p w14:paraId="51CC1754" w14:textId="77777777" w:rsidR="00A749CA" w:rsidRPr="003A788A" w:rsidRDefault="00A749CA" w:rsidP="003A788A">
      <w:pPr>
        <w:pStyle w:val="ListParagraph"/>
        <w:numPr>
          <w:ilvl w:val="0"/>
          <w:numId w:val="56"/>
        </w:numPr>
        <w:spacing w:after="0"/>
        <w:rPr>
          <w:rFonts w:ascii="Times New Roman" w:hAnsi="Times New Roman"/>
          <w:sz w:val="24"/>
          <w:szCs w:val="24"/>
        </w:rPr>
      </w:pPr>
      <w:r w:rsidRPr="003A788A">
        <w:rPr>
          <w:rFonts w:ascii="Times New Roman" w:hAnsi="Times New Roman"/>
          <w:sz w:val="24"/>
          <w:szCs w:val="24"/>
        </w:rPr>
        <w:t>To reduce long-term work disability among project participants, including the need for Social Security Disability Insurance and Supplemental Security Income.</w:t>
      </w:r>
    </w:p>
    <w:p w14:paraId="6DBB42F3" w14:textId="4F3DCFA1" w:rsidR="006060E6" w:rsidRPr="003A788A" w:rsidRDefault="00A749CA" w:rsidP="00A749CA">
      <w:pPr>
        <w:spacing w:before="100" w:beforeAutospacing="1" w:after="100" w:afterAutospacing="1" w:line="276" w:lineRule="auto"/>
        <w:jc w:val="left"/>
        <w:rPr>
          <w:rFonts w:eastAsia="Calibri"/>
          <w:sz w:val="24"/>
          <w:szCs w:val="24"/>
        </w:rPr>
      </w:pPr>
      <w:r w:rsidRPr="003A788A">
        <w:rPr>
          <w:rFonts w:eastAsia="Calibri"/>
          <w:sz w:val="24"/>
          <w:szCs w:val="24"/>
        </w:rPr>
        <w:t>The ultimate purpose of the demonstration is to validate and expand implementation of evidence-based strategies to accomplish these goals.</w:t>
      </w:r>
      <w:r w:rsidR="006060E6" w:rsidRPr="003A788A">
        <w:rPr>
          <w:rFonts w:eastAsia="Calibri"/>
          <w:sz w:val="24"/>
          <w:szCs w:val="24"/>
        </w:rPr>
        <w:t xml:space="preserve"> </w:t>
      </w:r>
    </w:p>
    <w:p w14:paraId="11533F17" w14:textId="475D7AA4" w:rsidR="006060E6" w:rsidRDefault="006060E6" w:rsidP="00A749CA">
      <w:pPr>
        <w:spacing w:before="100" w:beforeAutospacing="1" w:after="100" w:afterAutospacing="1" w:line="276" w:lineRule="auto"/>
        <w:jc w:val="left"/>
        <w:rPr>
          <w:rFonts w:eastAsia="Calibri"/>
          <w:sz w:val="24"/>
          <w:szCs w:val="24"/>
        </w:rPr>
      </w:pPr>
      <w:r>
        <w:rPr>
          <w:rFonts w:eastAsia="Calibri"/>
          <w:sz w:val="24"/>
          <w:szCs w:val="24"/>
        </w:rPr>
        <w:t>DOL will administer and manage the grants</w:t>
      </w:r>
      <w:r w:rsidR="0073489F">
        <w:rPr>
          <w:rFonts w:eastAsia="Calibri"/>
          <w:sz w:val="24"/>
          <w:szCs w:val="24"/>
        </w:rPr>
        <w:t xml:space="preserve"> as well as manage </w:t>
      </w:r>
      <w:r w:rsidR="00EE1F17">
        <w:rPr>
          <w:rFonts w:eastAsia="Calibri"/>
          <w:sz w:val="24"/>
          <w:szCs w:val="24"/>
        </w:rPr>
        <w:t xml:space="preserve">a </w:t>
      </w:r>
      <w:r w:rsidR="0073489F">
        <w:rPr>
          <w:rFonts w:eastAsia="Calibri"/>
          <w:sz w:val="24"/>
          <w:szCs w:val="24"/>
        </w:rPr>
        <w:t xml:space="preserve">third-party </w:t>
      </w:r>
      <w:r w:rsidR="00EE1F17">
        <w:rPr>
          <w:rFonts w:eastAsia="Calibri"/>
          <w:sz w:val="24"/>
          <w:szCs w:val="24"/>
        </w:rPr>
        <w:t xml:space="preserve">provider of </w:t>
      </w:r>
      <w:r w:rsidR="0073489F">
        <w:rPr>
          <w:rFonts w:eastAsia="Calibri"/>
          <w:sz w:val="24"/>
          <w:szCs w:val="24"/>
        </w:rPr>
        <w:t>programmatic technical assistance,</w:t>
      </w:r>
      <w:r>
        <w:rPr>
          <w:rFonts w:eastAsia="Calibri"/>
          <w:sz w:val="24"/>
          <w:szCs w:val="24"/>
        </w:rPr>
        <w:t xml:space="preserve"> while SSA will manage a </w:t>
      </w:r>
      <w:r w:rsidR="0073489F">
        <w:rPr>
          <w:rFonts w:eastAsia="Calibri"/>
          <w:sz w:val="24"/>
          <w:szCs w:val="24"/>
        </w:rPr>
        <w:t>third-</w:t>
      </w:r>
      <w:r>
        <w:rPr>
          <w:rFonts w:eastAsia="Calibri"/>
          <w:sz w:val="24"/>
          <w:szCs w:val="24"/>
        </w:rPr>
        <w:t xml:space="preserve">party </w:t>
      </w:r>
      <w:r w:rsidR="0073489F">
        <w:rPr>
          <w:rFonts w:eastAsia="Calibri"/>
          <w:sz w:val="24"/>
          <w:szCs w:val="24"/>
        </w:rPr>
        <w:t xml:space="preserve">independent </w:t>
      </w:r>
      <w:r>
        <w:rPr>
          <w:rFonts w:eastAsia="Calibri"/>
          <w:sz w:val="24"/>
          <w:szCs w:val="24"/>
        </w:rPr>
        <w:t>evaluation of the grant program.</w:t>
      </w:r>
      <w:r w:rsidR="00A52928">
        <w:rPr>
          <w:rFonts w:eastAsia="Calibri"/>
          <w:sz w:val="24"/>
          <w:szCs w:val="24"/>
        </w:rPr>
        <w:t xml:space="preserve"> A separate PRA package will be submitted by SSA.</w:t>
      </w:r>
    </w:p>
    <w:p w14:paraId="1397258C" w14:textId="7F4E5995" w:rsidR="003A7450" w:rsidRDefault="00A749CA" w:rsidP="003A7450">
      <w:pPr>
        <w:spacing w:before="100" w:beforeAutospacing="1" w:after="100" w:afterAutospacing="1" w:line="276" w:lineRule="auto"/>
        <w:jc w:val="left"/>
        <w:rPr>
          <w:rFonts w:eastAsia="Calibri"/>
          <w:sz w:val="24"/>
          <w:szCs w:val="24"/>
        </w:rPr>
      </w:pPr>
      <w:r>
        <w:rPr>
          <w:rFonts w:eastAsia="Calibri"/>
          <w:sz w:val="24"/>
          <w:szCs w:val="24"/>
        </w:rPr>
        <w:t xml:space="preserve">In order to assess whether the RETAIN projects are serving the target populations through coordinated care and achieving </w:t>
      </w:r>
      <w:r w:rsidR="002B4A7D">
        <w:rPr>
          <w:rFonts w:eastAsia="Calibri"/>
          <w:sz w:val="24"/>
          <w:szCs w:val="24"/>
        </w:rPr>
        <w:t xml:space="preserve">RETAIN’s </w:t>
      </w:r>
      <w:r>
        <w:rPr>
          <w:rFonts w:eastAsia="Calibri"/>
          <w:sz w:val="24"/>
          <w:szCs w:val="24"/>
        </w:rPr>
        <w:t xml:space="preserve">primary goals, DOL and SSA need to collect information that </w:t>
      </w:r>
      <w:r w:rsidR="00B80308">
        <w:rPr>
          <w:rFonts w:eastAsia="Calibri"/>
          <w:sz w:val="24"/>
          <w:szCs w:val="24"/>
        </w:rPr>
        <w:t xml:space="preserve">will </w:t>
      </w:r>
      <w:r>
        <w:rPr>
          <w:rFonts w:eastAsia="Calibri"/>
          <w:sz w:val="24"/>
          <w:szCs w:val="24"/>
        </w:rPr>
        <w:t xml:space="preserve">assist </w:t>
      </w:r>
      <w:r w:rsidR="00E673D4">
        <w:rPr>
          <w:rFonts w:eastAsia="Calibri"/>
          <w:sz w:val="24"/>
          <w:szCs w:val="24"/>
        </w:rPr>
        <w:t xml:space="preserve">the project's performance management and continuous </w:t>
      </w:r>
      <w:r w:rsidR="00533FF0">
        <w:rPr>
          <w:rFonts w:eastAsia="Calibri"/>
          <w:sz w:val="24"/>
          <w:szCs w:val="24"/>
        </w:rPr>
        <w:t xml:space="preserve">quality improvement efforts, as well as </w:t>
      </w:r>
      <w:r w:rsidR="00B80308">
        <w:rPr>
          <w:rFonts w:eastAsia="Calibri"/>
          <w:sz w:val="24"/>
          <w:szCs w:val="24"/>
        </w:rPr>
        <w:t>the third-party</w:t>
      </w:r>
      <w:r w:rsidR="006060E6">
        <w:rPr>
          <w:rFonts w:eastAsia="Calibri"/>
          <w:sz w:val="24"/>
          <w:szCs w:val="24"/>
        </w:rPr>
        <w:t xml:space="preserve"> evaluation</w:t>
      </w:r>
      <w:r w:rsidR="005419FC">
        <w:rPr>
          <w:rFonts w:eastAsia="Calibri"/>
          <w:sz w:val="24"/>
          <w:szCs w:val="24"/>
        </w:rPr>
        <w:t xml:space="preserve"> </w:t>
      </w:r>
      <w:r w:rsidR="00B80308">
        <w:rPr>
          <w:rFonts w:eastAsia="Calibri"/>
          <w:sz w:val="24"/>
          <w:szCs w:val="24"/>
        </w:rPr>
        <w:t xml:space="preserve">effort, </w:t>
      </w:r>
      <w:r w:rsidR="006060E6">
        <w:rPr>
          <w:rFonts w:eastAsia="Calibri"/>
          <w:sz w:val="24"/>
          <w:szCs w:val="24"/>
        </w:rPr>
        <w:t>by providing baseline information</w:t>
      </w:r>
      <w:r w:rsidR="00016BFC">
        <w:rPr>
          <w:rFonts w:eastAsia="Calibri"/>
          <w:sz w:val="24"/>
          <w:szCs w:val="24"/>
        </w:rPr>
        <w:t xml:space="preserve"> relating to worker participants and </w:t>
      </w:r>
      <w:r w:rsidR="002B4A7D">
        <w:rPr>
          <w:rFonts w:eastAsia="Calibri"/>
          <w:sz w:val="24"/>
          <w:szCs w:val="24"/>
        </w:rPr>
        <w:t xml:space="preserve">also providing </w:t>
      </w:r>
      <w:r w:rsidR="00016BFC">
        <w:rPr>
          <w:rFonts w:eastAsia="Calibri"/>
          <w:sz w:val="24"/>
          <w:szCs w:val="24"/>
        </w:rPr>
        <w:t xml:space="preserve">quarterly </w:t>
      </w:r>
      <w:r w:rsidR="004668FB">
        <w:rPr>
          <w:rFonts w:eastAsia="Calibri"/>
          <w:sz w:val="24"/>
          <w:szCs w:val="24"/>
        </w:rPr>
        <w:t>updates</w:t>
      </w:r>
      <w:r w:rsidR="00016BFC">
        <w:rPr>
          <w:rFonts w:eastAsia="Calibri"/>
          <w:sz w:val="24"/>
          <w:szCs w:val="24"/>
        </w:rPr>
        <w:t xml:space="preserve"> relating to project performance</w:t>
      </w:r>
      <w:r w:rsidR="005419FC">
        <w:rPr>
          <w:rFonts w:eastAsia="Calibri"/>
          <w:sz w:val="24"/>
          <w:szCs w:val="24"/>
        </w:rPr>
        <w:t>.</w:t>
      </w:r>
      <w:r w:rsidR="00690B11">
        <w:rPr>
          <w:rFonts w:eastAsia="Calibri"/>
          <w:sz w:val="24"/>
          <w:szCs w:val="24"/>
        </w:rPr>
        <w:t xml:space="preserve"> </w:t>
      </w:r>
      <w:r w:rsidR="009371F0">
        <w:rPr>
          <w:rFonts w:eastAsia="Calibri"/>
          <w:sz w:val="24"/>
          <w:szCs w:val="24"/>
        </w:rPr>
        <w:t>SSA will submit a separate ICR for any data collection and use efforts they plan to undertake to evaluate the RETAIN projects.</w:t>
      </w:r>
    </w:p>
    <w:p w14:paraId="060DFA7F" w14:textId="4FA7FE1F" w:rsidR="00E90811" w:rsidRDefault="00DC7A2A" w:rsidP="003A7450">
      <w:pPr>
        <w:spacing w:before="100" w:beforeAutospacing="1" w:after="100" w:afterAutospacing="1" w:line="276" w:lineRule="auto"/>
        <w:jc w:val="left"/>
        <w:rPr>
          <w:rFonts w:eastAsia="Calibri"/>
          <w:sz w:val="24"/>
          <w:szCs w:val="24"/>
        </w:rPr>
      </w:pPr>
      <w:r>
        <w:rPr>
          <w:rFonts w:eastAsia="Calibri"/>
          <w:sz w:val="24"/>
          <w:szCs w:val="24"/>
        </w:rPr>
        <w:t>Information c</w:t>
      </w:r>
      <w:r w:rsidR="00E90811">
        <w:rPr>
          <w:rFonts w:eastAsia="Calibri"/>
          <w:sz w:val="24"/>
          <w:szCs w:val="24"/>
        </w:rPr>
        <w:t>ollection instrume</w:t>
      </w:r>
      <w:r>
        <w:rPr>
          <w:rFonts w:eastAsia="Calibri"/>
          <w:sz w:val="24"/>
          <w:szCs w:val="24"/>
        </w:rPr>
        <w:t>nts included in this package</w:t>
      </w:r>
      <w:r w:rsidR="00E90811">
        <w:rPr>
          <w:rFonts w:eastAsia="Calibri"/>
          <w:sz w:val="24"/>
          <w:szCs w:val="24"/>
        </w:rPr>
        <w:t>:</w:t>
      </w:r>
    </w:p>
    <w:p w14:paraId="6A30A496" w14:textId="6E9EA375" w:rsidR="00E90811" w:rsidRDefault="00E90811" w:rsidP="00E90811">
      <w:pPr>
        <w:pStyle w:val="ListParagraph"/>
        <w:numPr>
          <w:ilvl w:val="0"/>
          <w:numId w:val="57"/>
        </w:numPr>
        <w:spacing w:before="100" w:beforeAutospacing="1" w:after="100" w:afterAutospacing="1"/>
        <w:rPr>
          <w:sz w:val="24"/>
          <w:szCs w:val="24"/>
        </w:rPr>
      </w:pPr>
      <w:r>
        <w:rPr>
          <w:sz w:val="24"/>
          <w:szCs w:val="24"/>
        </w:rPr>
        <w:t xml:space="preserve">Baseline </w:t>
      </w:r>
      <w:r w:rsidR="00C52326">
        <w:rPr>
          <w:sz w:val="24"/>
          <w:szCs w:val="24"/>
        </w:rPr>
        <w:t>Participant</w:t>
      </w:r>
      <w:r>
        <w:rPr>
          <w:sz w:val="24"/>
          <w:szCs w:val="24"/>
        </w:rPr>
        <w:t xml:space="preserve"> Form Part 1</w:t>
      </w:r>
    </w:p>
    <w:p w14:paraId="17E434E3" w14:textId="1FC422D1" w:rsidR="00E90811" w:rsidRDefault="00E90811" w:rsidP="00E90811">
      <w:pPr>
        <w:pStyle w:val="ListParagraph"/>
        <w:numPr>
          <w:ilvl w:val="0"/>
          <w:numId w:val="57"/>
        </w:numPr>
        <w:spacing w:before="100" w:beforeAutospacing="1" w:after="100" w:afterAutospacing="1"/>
        <w:rPr>
          <w:sz w:val="24"/>
          <w:szCs w:val="24"/>
        </w:rPr>
      </w:pPr>
      <w:r>
        <w:rPr>
          <w:sz w:val="24"/>
          <w:szCs w:val="24"/>
        </w:rPr>
        <w:t xml:space="preserve">Baseline </w:t>
      </w:r>
      <w:r w:rsidR="00C52326">
        <w:rPr>
          <w:sz w:val="24"/>
          <w:szCs w:val="24"/>
        </w:rPr>
        <w:t xml:space="preserve">Participant </w:t>
      </w:r>
      <w:r>
        <w:rPr>
          <w:sz w:val="24"/>
          <w:szCs w:val="24"/>
        </w:rPr>
        <w:t>Form Part 2</w:t>
      </w:r>
    </w:p>
    <w:p w14:paraId="636EEAC0" w14:textId="41B5828B" w:rsidR="00E90811" w:rsidRDefault="00E90811" w:rsidP="00E90811">
      <w:pPr>
        <w:pStyle w:val="ListParagraph"/>
        <w:numPr>
          <w:ilvl w:val="0"/>
          <w:numId w:val="57"/>
        </w:numPr>
        <w:spacing w:before="100" w:beforeAutospacing="1" w:after="100" w:afterAutospacing="1"/>
        <w:rPr>
          <w:sz w:val="24"/>
          <w:szCs w:val="24"/>
        </w:rPr>
      </w:pPr>
      <w:r>
        <w:rPr>
          <w:sz w:val="24"/>
          <w:szCs w:val="24"/>
        </w:rPr>
        <w:t>SSA Authorization of Disclosure Form</w:t>
      </w:r>
    </w:p>
    <w:p w14:paraId="6B5DDFCA" w14:textId="44AD8CB3" w:rsidR="00DC7A2A" w:rsidRDefault="00DC7A2A" w:rsidP="00DC7A2A">
      <w:pPr>
        <w:spacing w:before="100" w:beforeAutospacing="1" w:after="100" w:afterAutospacing="1"/>
        <w:rPr>
          <w:rFonts w:eastAsia="Calibri"/>
          <w:sz w:val="24"/>
          <w:szCs w:val="24"/>
        </w:rPr>
      </w:pPr>
      <w:r>
        <w:rPr>
          <w:rFonts w:eastAsia="Calibri"/>
          <w:sz w:val="24"/>
          <w:szCs w:val="24"/>
        </w:rPr>
        <w:t xml:space="preserve">Other items included in this </w:t>
      </w:r>
      <w:r w:rsidR="00046C20">
        <w:rPr>
          <w:rFonts w:eastAsia="Calibri"/>
          <w:sz w:val="24"/>
          <w:szCs w:val="24"/>
        </w:rPr>
        <w:t>package:</w:t>
      </w:r>
    </w:p>
    <w:p w14:paraId="50FB8ABD" w14:textId="52CCC749" w:rsidR="00046C20" w:rsidRDefault="00046C20" w:rsidP="00046C20">
      <w:pPr>
        <w:pStyle w:val="ListParagraph"/>
        <w:numPr>
          <w:ilvl w:val="0"/>
          <w:numId w:val="58"/>
        </w:numPr>
        <w:spacing w:before="100" w:beforeAutospacing="1" w:after="100" w:afterAutospacing="1"/>
        <w:rPr>
          <w:sz w:val="24"/>
          <w:szCs w:val="24"/>
        </w:rPr>
      </w:pPr>
      <w:r>
        <w:rPr>
          <w:sz w:val="24"/>
          <w:szCs w:val="24"/>
        </w:rPr>
        <w:t>Quarterly Progress Report Appendix A</w:t>
      </w:r>
    </w:p>
    <w:p w14:paraId="150611EA" w14:textId="7EF4E1B3" w:rsidR="00046C20" w:rsidRDefault="00046C20" w:rsidP="00046C20">
      <w:pPr>
        <w:pStyle w:val="ListParagraph"/>
        <w:numPr>
          <w:ilvl w:val="0"/>
          <w:numId w:val="58"/>
        </w:numPr>
        <w:spacing w:before="100" w:beforeAutospacing="1" w:after="100" w:afterAutospacing="1"/>
        <w:rPr>
          <w:sz w:val="24"/>
          <w:szCs w:val="24"/>
        </w:rPr>
      </w:pPr>
      <w:r>
        <w:rPr>
          <w:sz w:val="24"/>
          <w:szCs w:val="24"/>
        </w:rPr>
        <w:t>Appendix A Program Data Collection Tool</w:t>
      </w:r>
    </w:p>
    <w:p w14:paraId="13838990" w14:textId="0C155D9C" w:rsidR="00046C20" w:rsidRDefault="00046C20" w:rsidP="00046C20">
      <w:pPr>
        <w:pStyle w:val="ListParagraph"/>
        <w:numPr>
          <w:ilvl w:val="0"/>
          <w:numId w:val="58"/>
        </w:numPr>
        <w:spacing w:before="100" w:beforeAutospacing="1" w:after="100" w:afterAutospacing="1"/>
        <w:rPr>
          <w:sz w:val="24"/>
          <w:szCs w:val="24"/>
        </w:rPr>
      </w:pPr>
      <w:r>
        <w:rPr>
          <w:sz w:val="24"/>
          <w:szCs w:val="24"/>
        </w:rPr>
        <w:t>Appendix A Individual Level Data Collection Tool</w:t>
      </w:r>
    </w:p>
    <w:p w14:paraId="2AB4E671" w14:textId="3929C0B5" w:rsidR="00046C20" w:rsidRDefault="00046C20" w:rsidP="00046C20">
      <w:pPr>
        <w:pStyle w:val="ListParagraph"/>
        <w:numPr>
          <w:ilvl w:val="0"/>
          <w:numId w:val="58"/>
        </w:numPr>
        <w:spacing w:before="100" w:beforeAutospacing="1" w:after="100" w:afterAutospacing="1"/>
        <w:rPr>
          <w:sz w:val="24"/>
          <w:szCs w:val="24"/>
        </w:rPr>
      </w:pPr>
      <w:r>
        <w:rPr>
          <w:sz w:val="24"/>
          <w:szCs w:val="24"/>
        </w:rPr>
        <w:t>RTW Coordinator Data Collection Tool</w:t>
      </w:r>
    </w:p>
    <w:p w14:paraId="11D2ABA9" w14:textId="37165188" w:rsidR="00046C20" w:rsidRPr="00046C20" w:rsidRDefault="00046C20" w:rsidP="00046C20">
      <w:pPr>
        <w:pStyle w:val="ListParagraph"/>
        <w:numPr>
          <w:ilvl w:val="0"/>
          <w:numId w:val="58"/>
        </w:numPr>
        <w:spacing w:before="100" w:beforeAutospacing="1" w:after="100" w:afterAutospacing="1"/>
        <w:rPr>
          <w:sz w:val="24"/>
          <w:szCs w:val="24"/>
        </w:rPr>
      </w:pPr>
      <w:r>
        <w:rPr>
          <w:sz w:val="24"/>
          <w:szCs w:val="24"/>
        </w:rPr>
        <w:t>60-Day FRN</w:t>
      </w:r>
    </w:p>
    <w:p w14:paraId="7DA74E36" w14:textId="77777777" w:rsidR="00DC7A2A" w:rsidRDefault="00DC7A2A" w:rsidP="00DC7A2A">
      <w:pPr>
        <w:spacing w:before="100" w:beforeAutospacing="1" w:after="100" w:afterAutospacing="1"/>
        <w:rPr>
          <w:rFonts w:eastAsia="Calibri"/>
          <w:sz w:val="24"/>
          <w:szCs w:val="24"/>
        </w:rPr>
      </w:pPr>
    </w:p>
    <w:p w14:paraId="2E5D409C" w14:textId="300B94A5" w:rsidR="001F237B" w:rsidRPr="00B43386" w:rsidRDefault="001E3BAF" w:rsidP="007D02B0">
      <w:pPr>
        <w:pStyle w:val="Heading1"/>
        <w:rPr>
          <w:rFonts w:eastAsia="Calibri"/>
          <w:lang w:val="en"/>
        </w:rPr>
      </w:pPr>
      <w:bookmarkStart w:id="7" w:name="_Toc4409260"/>
      <w:r>
        <w:rPr>
          <w:rFonts w:eastAsia="Calibri"/>
          <w:lang w:val="en"/>
        </w:rPr>
        <w:t>B</w:t>
      </w:r>
      <w:r w:rsidR="001F237B" w:rsidRPr="00B43386">
        <w:rPr>
          <w:rFonts w:eastAsia="Calibri"/>
          <w:lang w:val="en"/>
        </w:rPr>
        <w:t>.</w:t>
      </w:r>
      <w:r w:rsidR="00223589">
        <w:rPr>
          <w:rFonts w:eastAsia="Calibri"/>
          <w:lang w:val="en"/>
        </w:rPr>
        <w:t>1</w:t>
      </w:r>
      <w:r w:rsidR="001F237B" w:rsidRPr="00B43386">
        <w:rPr>
          <w:rFonts w:eastAsia="Calibri"/>
          <w:lang w:val="en"/>
        </w:rPr>
        <w:t xml:space="preserve"> </w:t>
      </w:r>
      <w:r w:rsidR="00141C95">
        <w:rPr>
          <w:rFonts w:eastAsia="Calibri"/>
          <w:lang w:val="en"/>
        </w:rPr>
        <w:t>Respondent Universe and Sample</w:t>
      </w:r>
      <w:bookmarkEnd w:id="7"/>
    </w:p>
    <w:p w14:paraId="3AD722CC" w14:textId="49576DD6" w:rsidR="003A7450" w:rsidRDefault="005419FC" w:rsidP="003A7450">
      <w:pPr>
        <w:spacing w:before="100" w:beforeAutospacing="1" w:after="100" w:afterAutospacing="1" w:line="276" w:lineRule="auto"/>
        <w:jc w:val="left"/>
        <w:rPr>
          <w:rFonts w:eastAsia="Calibri"/>
          <w:sz w:val="24"/>
          <w:szCs w:val="24"/>
        </w:rPr>
      </w:pPr>
      <w:r w:rsidRPr="003A7450">
        <w:rPr>
          <w:rFonts w:eastAsia="Calibri"/>
          <w:sz w:val="24"/>
          <w:szCs w:val="24"/>
        </w:rPr>
        <w:t>The purpose of the RETAIN information collection</w:t>
      </w:r>
      <w:r w:rsidR="00016BFC">
        <w:rPr>
          <w:rFonts w:eastAsia="Calibri"/>
          <w:sz w:val="24"/>
          <w:szCs w:val="24"/>
        </w:rPr>
        <w:t>, both baseline worker participant data and quarterly project performance data,</w:t>
      </w:r>
      <w:r w:rsidRPr="003A7450">
        <w:rPr>
          <w:rFonts w:eastAsia="Calibri"/>
          <w:sz w:val="24"/>
          <w:szCs w:val="24"/>
        </w:rPr>
        <w:t xml:space="preserve"> is to understand and assess RETAIN program start-up, pilot pro</w:t>
      </w:r>
      <w:r>
        <w:rPr>
          <w:rFonts w:eastAsia="Calibri"/>
          <w:sz w:val="24"/>
          <w:szCs w:val="24"/>
        </w:rPr>
        <w:t>jects, and full implementation.</w:t>
      </w:r>
      <w:r w:rsidR="006060E6">
        <w:rPr>
          <w:rFonts w:eastAsia="Calibri"/>
          <w:sz w:val="24"/>
          <w:szCs w:val="24"/>
        </w:rPr>
        <w:t xml:space="preserve"> In addition, </w:t>
      </w:r>
      <w:r w:rsidR="002B4A7D">
        <w:rPr>
          <w:rFonts w:eastAsia="Calibri"/>
          <w:sz w:val="24"/>
          <w:szCs w:val="24"/>
        </w:rPr>
        <w:t>worker participant</w:t>
      </w:r>
      <w:r w:rsidR="006060E6">
        <w:rPr>
          <w:rFonts w:eastAsia="Calibri"/>
          <w:sz w:val="24"/>
          <w:szCs w:val="24"/>
        </w:rPr>
        <w:t xml:space="preserve"> data will be used as baseline data in RETAIN program evaluation activities conducted by SSA’s </w:t>
      </w:r>
      <w:r w:rsidR="00B80308">
        <w:rPr>
          <w:rFonts w:eastAsia="Calibri"/>
          <w:sz w:val="24"/>
          <w:szCs w:val="24"/>
        </w:rPr>
        <w:t>third-</w:t>
      </w:r>
      <w:r w:rsidR="006060E6">
        <w:rPr>
          <w:rFonts w:eastAsia="Calibri"/>
          <w:sz w:val="24"/>
          <w:szCs w:val="24"/>
        </w:rPr>
        <w:t xml:space="preserve">party </w:t>
      </w:r>
      <w:r w:rsidR="00B80308">
        <w:rPr>
          <w:rFonts w:eastAsia="Calibri"/>
          <w:sz w:val="24"/>
          <w:szCs w:val="24"/>
        </w:rPr>
        <w:t xml:space="preserve">independent </w:t>
      </w:r>
      <w:r w:rsidR="006060E6">
        <w:rPr>
          <w:rFonts w:eastAsia="Calibri"/>
          <w:sz w:val="24"/>
          <w:szCs w:val="24"/>
        </w:rPr>
        <w:t>evaluator.</w:t>
      </w:r>
    </w:p>
    <w:p w14:paraId="3A1D8EC6" w14:textId="63753ABC" w:rsidR="00713EEF" w:rsidRDefault="00713EEF" w:rsidP="003A7450">
      <w:pPr>
        <w:spacing w:before="100" w:beforeAutospacing="1" w:after="100" w:afterAutospacing="1" w:line="276" w:lineRule="auto"/>
        <w:jc w:val="left"/>
        <w:rPr>
          <w:rFonts w:eastAsia="Calibri"/>
          <w:sz w:val="24"/>
          <w:szCs w:val="24"/>
        </w:rPr>
      </w:pPr>
      <w:r>
        <w:rPr>
          <w:rFonts w:eastAsia="Calibri"/>
          <w:sz w:val="24"/>
          <w:szCs w:val="24"/>
        </w:rPr>
        <w:t xml:space="preserve">The </w:t>
      </w:r>
      <w:r w:rsidR="00C320EF">
        <w:rPr>
          <w:rFonts w:eastAsia="Calibri"/>
          <w:sz w:val="24"/>
          <w:szCs w:val="24"/>
        </w:rPr>
        <w:t>B</w:t>
      </w:r>
      <w:r>
        <w:rPr>
          <w:rFonts w:eastAsia="Calibri"/>
          <w:sz w:val="24"/>
          <w:szCs w:val="24"/>
        </w:rPr>
        <w:t xml:space="preserve">aseline </w:t>
      </w:r>
      <w:r w:rsidR="00C320EF">
        <w:rPr>
          <w:rFonts w:eastAsia="Calibri"/>
          <w:sz w:val="24"/>
          <w:szCs w:val="24"/>
        </w:rPr>
        <w:t>P</w:t>
      </w:r>
      <w:r>
        <w:rPr>
          <w:rFonts w:eastAsia="Calibri"/>
          <w:sz w:val="24"/>
          <w:szCs w:val="24"/>
        </w:rPr>
        <w:t xml:space="preserve">articipant </w:t>
      </w:r>
      <w:r w:rsidR="00C320EF">
        <w:rPr>
          <w:rFonts w:eastAsia="Calibri"/>
          <w:sz w:val="24"/>
          <w:szCs w:val="24"/>
        </w:rPr>
        <w:t>F</w:t>
      </w:r>
      <w:r>
        <w:rPr>
          <w:rFonts w:eastAsia="Calibri"/>
          <w:sz w:val="24"/>
          <w:szCs w:val="24"/>
        </w:rPr>
        <w:t>orms will be provided to the grantees by ODEP and are included in this package. Part 1 will be completed by each worker participant seeking to enroll in RETAIN. Part 2 will be completed by the health-care provider and/or Return-to-Work Coordinator for each worker participant at the time of enrollment.</w:t>
      </w:r>
      <w:r w:rsidR="00690B11">
        <w:rPr>
          <w:rFonts w:eastAsia="Calibri"/>
          <w:sz w:val="24"/>
          <w:szCs w:val="24"/>
        </w:rPr>
        <w:t xml:space="preserve"> </w:t>
      </w:r>
      <w:r>
        <w:rPr>
          <w:rFonts w:eastAsia="Calibri"/>
          <w:sz w:val="24"/>
          <w:szCs w:val="24"/>
        </w:rPr>
        <w:t>SSA requires that each worker participant complete an Authorization of Disclosure form, allowing SSA to use the participant’s data.</w:t>
      </w:r>
      <w:r w:rsidR="00690B11">
        <w:rPr>
          <w:rFonts w:eastAsia="Calibri"/>
          <w:sz w:val="24"/>
          <w:szCs w:val="24"/>
        </w:rPr>
        <w:t xml:space="preserve"> </w:t>
      </w:r>
      <w:r w:rsidR="00664428">
        <w:rPr>
          <w:rFonts w:eastAsia="Calibri"/>
          <w:sz w:val="24"/>
          <w:szCs w:val="24"/>
        </w:rPr>
        <w:t xml:space="preserve">No sampling or other method is used to select a subset </w:t>
      </w:r>
      <w:r w:rsidR="00CE664F">
        <w:rPr>
          <w:rFonts w:eastAsia="Calibri"/>
          <w:sz w:val="24"/>
          <w:szCs w:val="24"/>
        </w:rPr>
        <w:t xml:space="preserve">of </w:t>
      </w:r>
      <w:r w:rsidR="00664428">
        <w:rPr>
          <w:rFonts w:eastAsia="Calibri"/>
          <w:sz w:val="24"/>
          <w:szCs w:val="24"/>
        </w:rPr>
        <w:t>respondents.</w:t>
      </w:r>
      <w:r w:rsidR="00690B11">
        <w:rPr>
          <w:rFonts w:eastAsia="Calibri"/>
          <w:sz w:val="24"/>
          <w:szCs w:val="24"/>
        </w:rPr>
        <w:t xml:space="preserve"> </w:t>
      </w:r>
      <w:r w:rsidR="00664428">
        <w:rPr>
          <w:rFonts w:eastAsia="Calibri"/>
          <w:sz w:val="24"/>
          <w:szCs w:val="24"/>
        </w:rPr>
        <w:t>The respondent universe consists of everyone attempting to enroll in RETAIN</w:t>
      </w:r>
      <w:r w:rsidR="00B05D14">
        <w:rPr>
          <w:rFonts w:eastAsia="Calibri"/>
          <w:sz w:val="24"/>
          <w:szCs w:val="24"/>
        </w:rPr>
        <w:t>, and all grantees are required to collect this data</w:t>
      </w:r>
      <w:r w:rsidR="00664428">
        <w:rPr>
          <w:rFonts w:eastAsia="Calibri"/>
          <w:sz w:val="24"/>
          <w:szCs w:val="24"/>
        </w:rPr>
        <w:t>.</w:t>
      </w:r>
      <w:r w:rsidR="00690B11">
        <w:rPr>
          <w:rFonts w:eastAsia="Calibri"/>
          <w:sz w:val="24"/>
          <w:szCs w:val="24"/>
        </w:rPr>
        <w:t xml:space="preserve"> </w:t>
      </w:r>
      <w:r w:rsidR="00626258">
        <w:rPr>
          <w:rFonts w:eastAsia="Calibri"/>
          <w:sz w:val="24"/>
          <w:szCs w:val="24"/>
        </w:rPr>
        <w:t xml:space="preserve">The number of grantees is 8 during Phase 1 (18 months) and is expected to be 4 during the first part of Phase 2 (18 months). </w:t>
      </w:r>
      <w:r w:rsidR="00F77AC2">
        <w:rPr>
          <w:rFonts w:eastAsia="Calibri"/>
          <w:sz w:val="24"/>
          <w:szCs w:val="24"/>
        </w:rPr>
        <w:t>As described in the burden table in Statement A, the number of enrollees is expected to be 500 per grantee in Phase 1 (18 months) and 3000 per grantee in the first part of Phase 2 (18 months).</w:t>
      </w:r>
    </w:p>
    <w:p w14:paraId="24B6F576" w14:textId="074104B2" w:rsidR="00713EEF" w:rsidRDefault="00DC2641" w:rsidP="003A7450">
      <w:pPr>
        <w:spacing w:before="100" w:beforeAutospacing="1" w:after="100" w:afterAutospacing="1" w:line="276" w:lineRule="auto"/>
        <w:jc w:val="left"/>
        <w:rPr>
          <w:rFonts w:eastAsia="Calibri"/>
          <w:sz w:val="24"/>
          <w:szCs w:val="24"/>
        </w:rPr>
      </w:pPr>
      <w:r>
        <w:rPr>
          <w:rFonts w:eastAsia="Calibri"/>
          <w:sz w:val="24"/>
          <w:szCs w:val="24"/>
        </w:rPr>
        <w:t>G</w:t>
      </w:r>
      <w:r w:rsidR="00713EEF">
        <w:rPr>
          <w:rFonts w:eastAsia="Calibri"/>
          <w:sz w:val="24"/>
          <w:szCs w:val="24"/>
        </w:rPr>
        <w:t xml:space="preserve">uidance </w:t>
      </w:r>
      <w:r>
        <w:rPr>
          <w:rFonts w:eastAsia="Calibri"/>
          <w:sz w:val="24"/>
          <w:szCs w:val="24"/>
        </w:rPr>
        <w:t xml:space="preserve">will be provided </w:t>
      </w:r>
      <w:r w:rsidR="00713EEF">
        <w:rPr>
          <w:rFonts w:eastAsia="Calibri"/>
          <w:sz w:val="24"/>
          <w:szCs w:val="24"/>
        </w:rPr>
        <w:t xml:space="preserve">by ODEP on </w:t>
      </w:r>
      <w:r w:rsidR="00EB5C97">
        <w:rPr>
          <w:rFonts w:eastAsia="Calibri"/>
          <w:sz w:val="24"/>
          <w:szCs w:val="24"/>
        </w:rPr>
        <w:t>metrics to collect</w:t>
      </w:r>
      <w:r w:rsidR="00B2492B">
        <w:rPr>
          <w:rFonts w:eastAsia="Calibri"/>
          <w:sz w:val="24"/>
          <w:szCs w:val="24"/>
        </w:rPr>
        <w:t xml:space="preserve"> for the Quarterly Progress Report Appendix A</w:t>
      </w:r>
      <w:r>
        <w:rPr>
          <w:rFonts w:eastAsia="Calibri"/>
          <w:sz w:val="24"/>
          <w:szCs w:val="24"/>
        </w:rPr>
        <w:t>, which is a required submission for all grantees</w:t>
      </w:r>
      <w:r w:rsidR="00EB5C97">
        <w:rPr>
          <w:rFonts w:eastAsia="Calibri"/>
          <w:sz w:val="24"/>
          <w:szCs w:val="24"/>
        </w:rPr>
        <w:t xml:space="preserve">. </w:t>
      </w:r>
      <w:r w:rsidR="002B4D94">
        <w:rPr>
          <w:rFonts w:eastAsia="Calibri"/>
          <w:sz w:val="24"/>
          <w:szCs w:val="24"/>
        </w:rPr>
        <w:t xml:space="preserve">There is also a narrative component to the Quarterly Progress Report, which is not addressed here. </w:t>
      </w:r>
      <w:r w:rsidR="00B2492B">
        <w:rPr>
          <w:rFonts w:eastAsia="Calibri"/>
          <w:sz w:val="24"/>
          <w:szCs w:val="24"/>
        </w:rPr>
        <w:t xml:space="preserve">Included in this package are three </w:t>
      </w:r>
      <w:r w:rsidR="004A2E7F">
        <w:rPr>
          <w:rFonts w:eastAsia="Calibri"/>
          <w:sz w:val="24"/>
          <w:szCs w:val="24"/>
        </w:rPr>
        <w:t>files</w:t>
      </w:r>
      <w:r w:rsidR="00B2492B">
        <w:rPr>
          <w:rFonts w:eastAsia="Calibri"/>
          <w:sz w:val="24"/>
          <w:szCs w:val="24"/>
        </w:rPr>
        <w:t xml:space="preserve"> relating to submission of</w:t>
      </w:r>
      <w:r w:rsidR="00713EEF">
        <w:rPr>
          <w:rFonts w:eastAsia="Calibri"/>
          <w:sz w:val="24"/>
          <w:szCs w:val="24"/>
        </w:rPr>
        <w:t xml:space="preserve"> </w:t>
      </w:r>
      <w:r w:rsidR="00296EDF">
        <w:rPr>
          <w:rFonts w:eastAsia="Calibri"/>
          <w:sz w:val="24"/>
          <w:szCs w:val="24"/>
        </w:rPr>
        <w:t xml:space="preserve">Quarterly Progress Report </w:t>
      </w:r>
      <w:r w:rsidR="00713EEF">
        <w:rPr>
          <w:rFonts w:eastAsia="Calibri"/>
          <w:sz w:val="24"/>
          <w:szCs w:val="24"/>
        </w:rPr>
        <w:t>Appendix</w:t>
      </w:r>
      <w:r w:rsidR="00296EDF">
        <w:rPr>
          <w:rFonts w:eastAsia="Calibri"/>
          <w:sz w:val="24"/>
          <w:szCs w:val="24"/>
        </w:rPr>
        <w:t xml:space="preserve"> A</w:t>
      </w:r>
      <w:r w:rsidR="00713EEF">
        <w:rPr>
          <w:rFonts w:eastAsia="Calibri"/>
          <w:sz w:val="24"/>
          <w:szCs w:val="24"/>
        </w:rPr>
        <w:t xml:space="preserve">, consisting of two spreadsheets </w:t>
      </w:r>
      <w:r w:rsidR="004A2E7F">
        <w:rPr>
          <w:rFonts w:eastAsia="Calibri"/>
          <w:sz w:val="24"/>
          <w:szCs w:val="24"/>
        </w:rPr>
        <w:t>(</w:t>
      </w:r>
      <w:r w:rsidR="004A2E7F" w:rsidRPr="004A2E7F">
        <w:rPr>
          <w:rFonts w:eastAsia="Calibri"/>
          <w:sz w:val="24"/>
          <w:szCs w:val="24"/>
        </w:rPr>
        <w:t xml:space="preserve">Appendix A Program Data Collection Tool </w:t>
      </w:r>
      <w:r w:rsidR="004A2E7F">
        <w:rPr>
          <w:rFonts w:eastAsia="Calibri"/>
          <w:sz w:val="24"/>
          <w:szCs w:val="24"/>
        </w:rPr>
        <w:t xml:space="preserve">and </w:t>
      </w:r>
      <w:r w:rsidR="004A2E7F" w:rsidRPr="004A2E7F">
        <w:rPr>
          <w:rFonts w:eastAsia="Calibri"/>
          <w:sz w:val="24"/>
          <w:szCs w:val="24"/>
        </w:rPr>
        <w:t>Appendix A Individual Level Data Collection Tool</w:t>
      </w:r>
      <w:r w:rsidR="004A2E7F">
        <w:rPr>
          <w:rFonts w:eastAsia="Calibri"/>
          <w:sz w:val="24"/>
          <w:szCs w:val="24"/>
        </w:rPr>
        <w:t xml:space="preserve">) </w:t>
      </w:r>
      <w:r w:rsidR="00713EEF">
        <w:rPr>
          <w:rFonts w:eastAsia="Calibri"/>
          <w:sz w:val="24"/>
          <w:szCs w:val="24"/>
        </w:rPr>
        <w:t xml:space="preserve">succinctly listing performance metrics as well as a </w:t>
      </w:r>
      <w:r w:rsidR="004A2E7F">
        <w:rPr>
          <w:rFonts w:eastAsia="Calibri"/>
          <w:sz w:val="24"/>
          <w:szCs w:val="24"/>
        </w:rPr>
        <w:t xml:space="preserve">text </w:t>
      </w:r>
      <w:r w:rsidR="00713EEF">
        <w:rPr>
          <w:rFonts w:eastAsia="Calibri"/>
          <w:sz w:val="24"/>
          <w:szCs w:val="24"/>
        </w:rPr>
        <w:t xml:space="preserve">document </w:t>
      </w:r>
      <w:r w:rsidR="004A2E7F">
        <w:rPr>
          <w:rFonts w:eastAsia="Calibri"/>
          <w:sz w:val="24"/>
          <w:szCs w:val="24"/>
        </w:rPr>
        <w:t>(</w:t>
      </w:r>
      <w:r w:rsidR="004A2E7F" w:rsidRPr="004A2E7F">
        <w:rPr>
          <w:rFonts w:eastAsia="Calibri"/>
          <w:sz w:val="24"/>
          <w:szCs w:val="24"/>
        </w:rPr>
        <w:t>Quarterly Progress Report Appendix A</w:t>
      </w:r>
      <w:r w:rsidR="004A2E7F">
        <w:rPr>
          <w:rFonts w:eastAsia="Calibri"/>
          <w:sz w:val="24"/>
          <w:szCs w:val="24"/>
        </w:rPr>
        <w:t xml:space="preserve">) </w:t>
      </w:r>
      <w:r w:rsidR="00713EEF">
        <w:rPr>
          <w:rFonts w:eastAsia="Calibri"/>
          <w:sz w:val="24"/>
          <w:szCs w:val="24"/>
        </w:rPr>
        <w:t xml:space="preserve">describing these metrics in detail. One spreadsheet </w:t>
      </w:r>
      <w:r w:rsidR="0008187A">
        <w:rPr>
          <w:rFonts w:eastAsia="Calibri"/>
          <w:sz w:val="24"/>
          <w:szCs w:val="24"/>
        </w:rPr>
        <w:t>(</w:t>
      </w:r>
      <w:r w:rsidR="0008187A" w:rsidRPr="004A2E7F">
        <w:rPr>
          <w:rFonts w:eastAsia="Calibri"/>
          <w:sz w:val="24"/>
          <w:szCs w:val="24"/>
        </w:rPr>
        <w:t>Appendix A Individual Level Data Collection Tool</w:t>
      </w:r>
      <w:r w:rsidR="0008187A">
        <w:rPr>
          <w:rFonts w:eastAsia="Calibri"/>
          <w:sz w:val="24"/>
          <w:szCs w:val="24"/>
        </w:rPr>
        <w:t xml:space="preserve">) </w:t>
      </w:r>
      <w:r w:rsidR="00713EEF">
        <w:rPr>
          <w:rFonts w:eastAsia="Calibri"/>
          <w:sz w:val="24"/>
          <w:szCs w:val="24"/>
        </w:rPr>
        <w:t xml:space="preserve">concerns individual-level data, solely for worker participants in the treatment group, which will be stripped of any personally-identifying information </w:t>
      </w:r>
      <w:r w:rsidR="0029607B">
        <w:rPr>
          <w:rFonts w:eastAsia="Calibri"/>
          <w:sz w:val="24"/>
          <w:szCs w:val="24"/>
        </w:rPr>
        <w:t xml:space="preserve">(PII) </w:t>
      </w:r>
      <w:r w:rsidR="00713EEF">
        <w:rPr>
          <w:rFonts w:eastAsia="Calibri"/>
          <w:sz w:val="24"/>
          <w:szCs w:val="24"/>
        </w:rPr>
        <w:t>such as names, addresses, or date</w:t>
      </w:r>
      <w:r w:rsidR="009F6365">
        <w:rPr>
          <w:rFonts w:eastAsia="Calibri"/>
          <w:sz w:val="24"/>
          <w:szCs w:val="24"/>
        </w:rPr>
        <w:t>s</w:t>
      </w:r>
      <w:r w:rsidR="00713EEF">
        <w:rPr>
          <w:rFonts w:eastAsia="Calibri"/>
          <w:sz w:val="24"/>
          <w:szCs w:val="24"/>
        </w:rPr>
        <w:t xml:space="preserve"> of birth, before being sent by the grantees to ODEP. All data submitted concerning health-care providers, Return-to-Work Coordinators, and employers will be in aggregate and entered into the other spreadsheet</w:t>
      </w:r>
      <w:r w:rsidR="0008187A">
        <w:rPr>
          <w:rFonts w:eastAsia="Calibri"/>
          <w:sz w:val="24"/>
          <w:szCs w:val="24"/>
        </w:rPr>
        <w:t xml:space="preserve"> (</w:t>
      </w:r>
      <w:r w:rsidR="0008187A" w:rsidRPr="004A2E7F">
        <w:rPr>
          <w:rFonts w:eastAsia="Calibri"/>
          <w:sz w:val="24"/>
          <w:szCs w:val="24"/>
        </w:rPr>
        <w:t>Appendix A Program Data Collection Tool</w:t>
      </w:r>
      <w:r w:rsidR="0008187A">
        <w:rPr>
          <w:rFonts w:eastAsia="Calibri"/>
          <w:sz w:val="24"/>
          <w:szCs w:val="24"/>
        </w:rPr>
        <w:t>).</w:t>
      </w:r>
      <w:r w:rsidR="00713EEF">
        <w:rPr>
          <w:rFonts w:eastAsia="Calibri"/>
          <w:sz w:val="24"/>
          <w:szCs w:val="24"/>
        </w:rPr>
        <w:t xml:space="preserve"> Furthermore, we are providing an optional Return-to-Work Coordinator </w:t>
      </w:r>
      <w:r w:rsidR="0008187A">
        <w:rPr>
          <w:rFonts w:eastAsia="Calibri"/>
          <w:sz w:val="24"/>
          <w:szCs w:val="24"/>
        </w:rPr>
        <w:t>d</w:t>
      </w:r>
      <w:r w:rsidR="00713EEF">
        <w:rPr>
          <w:rFonts w:eastAsia="Calibri"/>
          <w:sz w:val="24"/>
          <w:szCs w:val="24"/>
        </w:rPr>
        <w:t xml:space="preserve">ata </w:t>
      </w:r>
      <w:r w:rsidR="0008187A">
        <w:rPr>
          <w:rFonts w:eastAsia="Calibri"/>
          <w:sz w:val="24"/>
          <w:szCs w:val="24"/>
        </w:rPr>
        <w:t>c</w:t>
      </w:r>
      <w:r w:rsidR="00713EEF">
        <w:rPr>
          <w:rFonts w:eastAsia="Calibri"/>
          <w:sz w:val="24"/>
          <w:szCs w:val="24"/>
        </w:rPr>
        <w:t xml:space="preserve">ollection </w:t>
      </w:r>
      <w:r w:rsidR="0008187A">
        <w:rPr>
          <w:rFonts w:eastAsia="Calibri"/>
          <w:sz w:val="24"/>
          <w:szCs w:val="24"/>
        </w:rPr>
        <w:t>t</w:t>
      </w:r>
      <w:r w:rsidR="00713EEF">
        <w:rPr>
          <w:rFonts w:eastAsia="Calibri"/>
          <w:sz w:val="24"/>
          <w:szCs w:val="24"/>
        </w:rPr>
        <w:t>ool to assist grantees in recording the information needed for related metrics that will be entered in the spreadsheets.</w:t>
      </w:r>
    </w:p>
    <w:p w14:paraId="6DDCEC57" w14:textId="6939004D" w:rsidR="004F6C12" w:rsidRDefault="004F6C12" w:rsidP="004F6C12">
      <w:pPr>
        <w:keepNext/>
        <w:spacing w:before="100" w:beforeAutospacing="1" w:after="100" w:afterAutospacing="1" w:line="276" w:lineRule="auto"/>
        <w:jc w:val="left"/>
        <w:rPr>
          <w:rFonts w:eastAsia="Calibri"/>
          <w:sz w:val="24"/>
          <w:szCs w:val="24"/>
        </w:rPr>
      </w:pPr>
      <w:r>
        <w:rPr>
          <w:rFonts w:eastAsia="Calibri"/>
          <w:b/>
          <w:szCs w:val="22"/>
          <w:lang w:val="en"/>
        </w:rPr>
        <w:t>Table B-1.1</w:t>
      </w:r>
      <w:r w:rsidRPr="00B43386">
        <w:rPr>
          <w:rFonts w:eastAsia="Calibri"/>
          <w:b/>
          <w:szCs w:val="22"/>
          <w:lang w:val="en"/>
        </w:rPr>
        <w:tab/>
      </w:r>
      <w:r w:rsidR="008F0850">
        <w:rPr>
          <w:rFonts w:eastAsia="Calibri"/>
          <w:b/>
          <w:szCs w:val="22"/>
          <w:lang w:val="en"/>
        </w:rPr>
        <w:t>Respondent Universe and Response Rates</w:t>
      </w:r>
    </w:p>
    <w:tbl>
      <w:tblPr>
        <w:tblW w:w="8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2070"/>
        <w:gridCol w:w="1890"/>
        <w:gridCol w:w="1710"/>
      </w:tblGrid>
      <w:tr w:rsidR="00C671F6" w:rsidRPr="00B43386" w14:paraId="20258705" w14:textId="77777777" w:rsidTr="00275C4D">
        <w:trPr>
          <w:trHeight w:val="1052"/>
        </w:trPr>
        <w:tc>
          <w:tcPr>
            <w:tcW w:w="2461" w:type="dxa"/>
            <w:shd w:val="clear" w:color="auto" w:fill="F2F2F2"/>
            <w:vAlign w:val="bottom"/>
          </w:tcPr>
          <w:p w14:paraId="10541014" w14:textId="77777777" w:rsidR="00C671F6" w:rsidRPr="00B43386"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B43386">
              <w:rPr>
                <w:rFonts w:eastAsia="Calibri"/>
                <w:b/>
                <w:sz w:val="20"/>
              </w:rPr>
              <w:t>Study Component</w:t>
            </w:r>
            <w:r>
              <w:rPr>
                <w:rFonts w:eastAsia="Calibri"/>
                <w:b/>
                <w:sz w:val="20"/>
              </w:rPr>
              <w:t xml:space="preserve">/Form </w:t>
            </w:r>
          </w:p>
        </w:tc>
        <w:tc>
          <w:tcPr>
            <w:tcW w:w="2070" w:type="dxa"/>
            <w:shd w:val="clear" w:color="auto" w:fill="F2F2F2"/>
            <w:vAlign w:val="bottom"/>
          </w:tcPr>
          <w:p w14:paraId="03F9807F" w14:textId="7A85BC80" w:rsidR="00C671F6" w:rsidRPr="00B43386"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No. of Respondents in Universe</w:t>
            </w:r>
          </w:p>
        </w:tc>
        <w:tc>
          <w:tcPr>
            <w:tcW w:w="1890" w:type="dxa"/>
            <w:shd w:val="clear" w:color="auto" w:fill="F2F2F2"/>
            <w:vAlign w:val="bottom"/>
          </w:tcPr>
          <w:p w14:paraId="15C34894" w14:textId="60CE10AD" w:rsidR="00C671F6" w:rsidRPr="00B43386"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B43386">
              <w:rPr>
                <w:rFonts w:eastAsia="Calibri"/>
                <w:b/>
                <w:sz w:val="20"/>
              </w:rPr>
              <w:t>No. of</w:t>
            </w:r>
            <w:r>
              <w:rPr>
                <w:rFonts w:eastAsia="Calibri"/>
                <w:b/>
                <w:sz w:val="20"/>
              </w:rPr>
              <w:t xml:space="preserve"> Responses in Sample</w:t>
            </w:r>
          </w:p>
        </w:tc>
        <w:tc>
          <w:tcPr>
            <w:tcW w:w="1710" w:type="dxa"/>
            <w:shd w:val="clear" w:color="auto" w:fill="F2F2F2"/>
            <w:vAlign w:val="bottom"/>
          </w:tcPr>
          <w:p w14:paraId="7FC41154" w14:textId="3AB51B0A" w:rsidR="00C671F6" w:rsidRPr="00B43386"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Expected Response Rate</w:t>
            </w:r>
          </w:p>
        </w:tc>
      </w:tr>
      <w:tr w:rsidR="00C671F6" w:rsidRPr="00B43386" w14:paraId="189DDCCD" w14:textId="77777777" w:rsidTr="00275C4D">
        <w:trPr>
          <w:trHeight w:val="1007"/>
        </w:trPr>
        <w:tc>
          <w:tcPr>
            <w:tcW w:w="2461" w:type="dxa"/>
          </w:tcPr>
          <w:p w14:paraId="5AB9876F" w14:textId="04AF35AF" w:rsidR="00C671F6" w:rsidRPr="00362F69"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rFonts w:eastAsia="Calibri"/>
                <w:color w:val="000000" w:themeColor="text1"/>
                <w:szCs w:val="22"/>
              </w:rPr>
              <w:t>Baseline Participant Form Part 1</w:t>
            </w:r>
          </w:p>
        </w:tc>
        <w:tc>
          <w:tcPr>
            <w:tcW w:w="2070" w:type="dxa"/>
          </w:tcPr>
          <w:p w14:paraId="1A8D8525" w14:textId="203BE6AD" w:rsidR="00C671F6" w:rsidRPr="00362F69"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16,000</w:t>
            </w:r>
          </w:p>
        </w:tc>
        <w:tc>
          <w:tcPr>
            <w:tcW w:w="1890" w:type="dxa"/>
          </w:tcPr>
          <w:p w14:paraId="42398B6C" w14:textId="19725DA3" w:rsidR="00C671F6" w:rsidRPr="00362F69"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16,000</w:t>
            </w:r>
          </w:p>
        </w:tc>
        <w:tc>
          <w:tcPr>
            <w:tcW w:w="1710" w:type="dxa"/>
          </w:tcPr>
          <w:p w14:paraId="34A683CE" w14:textId="5CE680F2" w:rsidR="00C671F6" w:rsidRPr="00362F69"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100%</w:t>
            </w:r>
          </w:p>
        </w:tc>
      </w:tr>
      <w:tr w:rsidR="00C671F6" w:rsidRPr="00B43386" w14:paraId="055650BD" w14:textId="77777777" w:rsidTr="00275C4D">
        <w:trPr>
          <w:trHeight w:val="326"/>
        </w:trPr>
        <w:tc>
          <w:tcPr>
            <w:tcW w:w="2461" w:type="dxa"/>
          </w:tcPr>
          <w:p w14:paraId="7B2C6356" w14:textId="6D3F8169" w:rsidR="00C671F6" w:rsidRPr="00362F69"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rFonts w:eastAsia="Calibri"/>
                <w:color w:val="000000" w:themeColor="text1"/>
                <w:szCs w:val="22"/>
              </w:rPr>
              <w:t>Baseline Participant Form Part 2</w:t>
            </w:r>
          </w:p>
        </w:tc>
        <w:tc>
          <w:tcPr>
            <w:tcW w:w="2070" w:type="dxa"/>
          </w:tcPr>
          <w:p w14:paraId="70EBC34A" w14:textId="1B20C0E5" w:rsidR="00C671F6" w:rsidRPr="00362F69"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16,000</w:t>
            </w:r>
          </w:p>
        </w:tc>
        <w:tc>
          <w:tcPr>
            <w:tcW w:w="1890" w:type="dxa"/>
          </w:tcPr>
          <w:p w14:paraId="1FAFE133" w14:textId="320B327D" w:rsidR="00C671F6" w:rsidRPr="00362F69"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16,000</w:t>
            </w:r>
          </w:p>
        </w:tc>
        <w:tc>
          <w:tcPr>
            <w:tcW w:w="1710" w:type="dxa"/>
          </w:tcPr>
          <w:p w14:paraId="395F29FC" w14:textId="246CB08A" w:rsidR="00C671F6" w:rsidRPr="00362F69"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100%</w:t>
            </w:r>
          </w:p>
        </w:tc>
      </w:tr>
      <w:tr w:rsidR="00C671F6" w:rsidRPr="00B43386" w14:paraId="3EFDAB45" w14:textId="77777777" w:rsidTr="00275C4D">
        <w:trPr>
          <w:trHeight w:val="326"/>
        </w:trPr>
        <w:tc>
          <w:tcPr>
            <w:tcW w:w="2461" w:type="dxa"/>
          </w:tcPr>
          <w:p w14:paraId="5B641097" w14:textId="565FCF86" w:rsidR="00C671F6" w:rsidRPr="00362F69"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rFonts w:eastAsia="Calibri"/>
                <w:color w:val="000000" w:themeColor="text1"/>
                <w:szCs w:val="22"/>
              </w:rPr>
              <w:t>SSA Authorization of Disclosure Form</w:t>
            </w:r>
            <w:r w:rsidRPr="00362F69">
              <w:rPr>
                <w:rFonts w:eastAsia="Calibri"/>
                <w:color w:val="000000" w:themeColor="text1"/>
                <w:szCs w:val="22"/>
              </w:rPr>
              <w:t xml:space="preserve"> </w:t>
            </w:r>
          </w:p>
        </w:tc>
        <w:tc>
          <w:tcPr>
            <w:tcW w:w="2070" w:type="dxa"/>
          </w:tcPr>
          <w:p w14:paraId="28DD57F5" w14:textId="6F7693EE" w:rsidR="00C671F6" w:rsidRPr="00362F69"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16,000</w:t>
            </w:r>
          </w:p>
        </w:tc>
        <w:tc>
          <w:tcPr>
            <w:tcW w:w="1890" w:type="dxa"/>
          </w:tcPr>
          <w:p w14:paraId="4E842972" w14:textId="37FF68E3" w:rsidR="00C671F6" w:rsidRPr="00362F69"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16,000</w:t>
            </w:r>
          </w:p>
        </w:tc>
        <w:tc>
          <w:tcPr>
            <w:tcW w:w="1710" w:type="dxa"/>
          </w:tcPr>
          <w:p w14:paraId="3F36D348" w14:textId="313A7F2B" w:rsidR="00C671F6" w:rsidRPr="00362F69"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100%</w:t>
            </w:r>
          </w:p>
        </w:tc>
      </w:tr>
      <w:tr w:rsidR="00C671F6" w:rsidRPr="00B43386" w14:paraId="62280B26" w14:textId="77777777" w:rsidTr="00275C4D">
        <w:trPr>
          <w:trHeight w:val="662"/>
        </w:trPr>
        <w:tc>
          <w:tcPr>
            <w:tcW w:w="2461" w:type="dxa"/>
          </w:tcPr>
          <w:p w14:paraId="24A03A7A" w14:textId="5C88B283" w:rsidR="00C671F6" w:rsidRPr="00362F69"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rFonts w:eastAsia="Calibri"/>
                <w:color w:val="000000" w:themeColor="text1"/>
                <w:szCs w:val="22"/>
              </w:rPr>
              <w:t>Quarterly Progress Report Appendix A</w:t>
            </w:r>
          </w:p>
        </w:tc>
        <w:tc>
          <w:tcPr>
            <w:tcW w:w="2070" w:type="dxa"/>
          </w:tcPr>
          <w:p w14:paraId="455F3236" w14:textId="1024FE36" w:rsidR="00C671F6"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pPr>
            <w:r>
              <w:t>8</w:t>
            </w:r>
            <w:r w:rsidR="000B6B03">
              <w:t xml:space="preserve"> in Phase 1</w:t>
            </w:r>
          </w:p>
          <w:p w14:paraId="31F02DF1" w14:textId="5985DCB4" w:rsidR="00C671F6" w:rsidRPr="00362F69"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4 in Phase 2</w:t>
            </w:r>
          </w:p>
        </w:tc>
        <w:tc>
          <w:tcPr>
            <w:tcW w:w="1890" w:type="dxa"/>
          </w:tcPr>
          <w:p w14:paraId="48A11935" w14:textId="1B196D29" w:rsidR="00C671F6"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pPr>
            <w:r>
              <w:t>8</w:t>
            </w:r>
            <w:r w:rsidR="000B6B03">
              <w:t xml:space="preserve"> in Phase 1</w:t>
            </w:r>
          </w:p>
          <w:p w14:paraId="661F454C" w14:textId="6750E051" w:rsidR="00C671F6" w:rsidRPr="00362F69"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4 in Phase 2</w:t>
            </w:r>
          </w:p>
        </w:tc>
        <w:tc>
          <w:tcPr>
            <w:tcW w:w="1710" w:type="dxa"/>
          </w:tcPr>
          <w:p w14:paraId="58B27124" w14:textId="352420A1" w:rsidR="00C671F6" w:rsidRPr="00362F69" w:rsidRDefault="00C671F6" w:rsidP="004F6C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100%</w:t>
            </w:r>
          </w:p>
        </w:tc>
      </w:tr>
    </w:tbl>
    <w:p w14:paraId="13071A3A" w14:textId="77777777" w:rsidR="00C671F6" w:rsidRDefault="00C671F6" w:rsidP="003A7450">
      <w:pPr>
        <w:spacing w:before="100" w:beforeAutospacing="1" w:after="100" w:afterAutospacing="1" w:line="276" w:lineRule="auto"/>
        <w:jc w:val="left"/>
        <w:rPr>
          <w:rFonts w:eastAsia="Calibri"/>
          <w:sz w:val="24"/>
          <w:szCs w:val="24"/>
        </w:rPr>
      </w:pPr>
    </w:p>
    <w:p w14:paraId="7AE35B7A" w14:textId="77777777" w:rsidR="00DC7A2A" w:rsidRPr="003A7450" w:rsidRDefault="00DC7A2A" w:rsidP="003A7450">
      <w:pPr>
        <w:spacing w:before="100" w:beforeAutospacing="1" w:after="100" w:afterAutospacing="1" w:line="276" w:lineRule="auto"/>
        <w:jc w:val="left"/>
        <w:rPr>
          <w:rFonts w:eastAsia="Calibri"/>
          <w:sz w:val="24"/>
          <w:szCs w:val="24"/>
        </w:rPr>
      </w:pPr>
    </w:p>
    <w:p w14:paraId="0CFFF04F" w14:textId="4046C96C" w:rsidR="001F237B" w:rsidRDefault="001E3BAF" w:rsidP="007D02B0">
      <w:pPr>
        <w:pStyle w:val="Heading1"/>
        <w:rPr>
          <w:rFonts w:eastAsia="Calibri"/>
          <w:lang w:val="en"/>
        </w:rPr>
      </w:pPr>
      <w:bookmarkStart w:id="8" w:name="_Toc4409261"/>
      <w:r>
        <w:rPr>
          <w:rFonts w:eastAsia="Calibri"/>
          <w:lang w:val="en"/>
        </w:rPr>
        <w:t>B</w:t>
      </w:r>
      <w:r w:rsidR="001F237B" w:rsidRPr="00B43386">
        <w:rPr>
          <w:rFonts w:eastAsia="Calibri"/>
          <w:lang w:val="en"/>
        </w:rPr>
        <w:t>.</w:t>
      </w:r>
      <w:r w:rsidR="00223589">
        <w:rPr>
          <w:rFonts w:eastAsia="Calibri"/>
          <w:lang w:val="en"/>
        </w:rPr>
        <w:t>2</w:t>
      </w:r>
      <w:r w:rsidR="001F237B" w:rsidRPr="00B43386">
        <w:rPr>
          <w:rFonts w:eastAsia="Calibri"/>
          <w:lang w:val="en"/>
        </w:rPr>
        <w:t xml:space="preserve"> </w:t>
      </w:r>
      <w:bookmarkEnd w:id="4"/>
      <w:bookmarkEnd w:id="5"/>
      <w:r w:rsidR="00B82F9B" w:rsidRPr="007C7216">
        <w:rPr>
          <w:bCs/>
          <w:szCs w:val="22"/>
        </w:rPr>
        <w:t>Statistical Methods for Sample Selection and Degree of Accuracy Needed</w:t>
      </w:r>
      <w:bookmarkEnd w:id="8"/>
    </w:p>
    <w:p w14:paraId="61491C50" w14:textId="095DE566" w:rsidR="0029607B" w:rsidRDefault="0029607B" w:rsidP="0029607B">
      <w:pPr>
        <w:spacing w:before="100" w:beforeAutospacing="1" w:after="100" w:afterAutospacing="1" w:line="276" w:lineRule="auto"/>
        <w:jc w:val="left"/>
        <w:rPr>
          <w:rFonts w:eastAsia="Calibri"/>
          <w:sz w:val="24"/>
          <w:szCs w:val="24"/>
        </w:rPr>
      </w:pPr>
      <w:r>
        <w:rPr>
          <w:rFonts w:eastAsia="Calibri"/>
          <w:sz w:val="24"/>
          <w:szCs w:val="24"/>
        </w:rPr>
        <w:t xml:space="preserve">ODEP anticipates state agencies and health-care partners will use existing IT systems to the extent possible for collecting data. The completion of the </w:t>
      </w:r>
      <w:r w:rsidR="00296EDF">
        <w:rPr>
          <w:rFonts w:eastAsia="Calibri"/>
          <w:sz w:val="24"/>
          <w:szCs w:val="24"/>
        </w:rPr>
        <w:t>A</w:t>
      </w:r>
      <w:r>
        <w:rPr>
          <w:rFonts w:eastAsia="Calibri"/>
          <w:sz w:val="24"/>
          <w:szCs w:val="24"/>
        </w:rPr>
        <w:t xml:space="preserve">uthorization of </w:t>
      </w:r>
      <w:r w:rsidR="00296EDF">
        <w:rPr>
          <w:rFonts w:eastAsia="Calibri"/>
          <w:sz w:val="24"/>
          <w:szCs w:val="24"/>
        </w:rPr>
        <w:t>D</w:t>
      </w:r>
      <w:r>
        <w:rPr>
          <w:rFonts w:eastAsia="Calibri"/>
          <w:sz w:val="24"/>
          <w:szCs w:val="24"/>
        </w:rPr>
        <w:t>isclosure form will be integrated with the informed consent process provided to worker participants by the grantees to meet the requirements of the grantees’ health-care partners and institutional review boards. Quarterly Progress Reports will be completed and submitted electronically, to minimize burden. G</w:t>
      </w:r>
      <w:r w:rsidR="00C409B2">
        <w:rPr>
          <w:rFonts w:eastAsia="Calibri"/>
          <w:sz w:val="24"/>
          <w:szCs w:val="24"/>
        </w:rPr>
        <w:t>rantees will be able to submit Quarterly</w:t>
      </w:r>
      <w:r>
        <w:rPr>
          <w:rFonts w:eastAsia="Calibri"/>
          <w:sz w:val="24"/>
          <w:szCs w:val="24"/>
        </w:rPr>
        <w:t xml:space="preserve"> </w:t>
      </w:r>
      <w:r w:rsidR="00C409B2">
        <w:rPr>
          <w:rFonts w:eastAsia="Calibri"/>
          <w:sz w:val="24"/>
          <w:szCs w:val="24"/>
        </w:rPr>
        <w:t>Progress R</w:t>
      </w:r>
      <w:r>
        <w:rPr>
          <w:rFonts w:eastAsia="Calibri"/>
          <w:sz w:val="24"/>
          <w:szCs w:val="24"/>
        </w:rPr>
        <w:t>eports to ODEP using a secure FTP platform.</w:t>
      </w:r>
    </w:p>
    <w:p w14:paraId="3C0A3560" w14:textId="66C28355" w:rsidR="00497932" w:rsidRDefault="0029607B" w:rsidP="0029607B">
      <w:pPr>
        <w:pStyle w:val="P1-StandPara"/>
        <w:spacing w:before="100" w:beforeAutospacing="1" w:after="100" w:afterAutospacing="1" w:line="276" w:lineRule="auto"/>
        <w:ind w:firstLine="0"/>
        <w:rPr>
          <w:rFonts w:eastAsia="Calibri"/>
          <w:sz w:val="24"/>
          <w:szCs w:val="24"/>
        </w:rPr>
      </w:pPr>
      <w:r w:rsidRPr="0029607B">
        <w:rPr>
          <w:rFonts w:eastAsia="Calibri"/>
          <w:sz w:val="24"/>
          <w:szCs w:val="24"/>
        </w:rPr>
        <w:t>No statistical methodologies are used for strat</w:t>
      </w:r>
      <w:r>
        <w:rPr>
          <w:rFonts w:eastAsia="Calibri"/>
          <w:sz w:val="24"/>
          <w:szCs w:val="24"/>
        </w:rPr>
        <w:t>ification or sample selection</w:t>
      </w:r>
      <w:r w:rsidR="00851A88">
        <w:rPr>
          <w:rFonts w:eastAsia="Calibri"/>
          <w:sz w:val="24"/>
          <w:szCs w:val="24"/>
        </w:rPr>
        <w:t>, either for the enrollees or for the grantees</w:t>
      </w:r>
      <w:r>
        <w:rPr>
          <w:rFonts w:eastAsia="Calibri"/>
          <w:sz w:val="24"/>
          <w:szCs w:val="24"/>
        </w:rPr>
        <w:t xml:space="preserve">. No estimation procedures are used. </w:t>
      </w:r>
      <w:r w:rsidR="00E7401C">
        <w:rPr>
          <w:rFonts w:eastAsia="Calibri"/>
          <w:sz w:val="24"/>
          <w:szCs w:val="24"/>
        </w:rPr>
        <w:t>There are no unusual problems requiring specialized sampling procedures. These forms are completed for each enrollee during the enrollment process, so there is no period</w:t>
      </w:r>
      <w:r w:rsidR="00690B11">
        <w:rPr>
          <w:rFonts w:eastAsia="Calibri"/>
          <w:sz w:val="24"/>
          <w:szCs w:val="24"/>
        </w:rPr>
        <w:t>icity for this data collection.</w:t>
      </w:r>
      <w:r w:rsidR="00E7401C">
        <w:rPr>
          <w:rFonts w:eastAsia="Calibri"/>
          <w:sz w:val="24"/>
          <w:szCs w:val="24"/>
        </w:rPr>
        <w:t xml:space="preserve"> The </w:t>
      </w:r>
      <w:r w:rsidR="00690B11">
        <w:rPr>
          <w:rFonts w:eastAsia="Calibri"/>
          <w:sz w:val="24"/>
          <w:szCs w:val="24"/>
        </w:rPr>
        <w:t>Q</w:t>
      </w:r>
      <w:r w:rsidR="00E7401C">
        <w:rPr>
          <w:rFonts w:eastAsia="Calibri"/>
          <w:sz w:val="24"/>
          <w:szCs w:val="24"/>
        </w:rPr>
        <w:t xml:space="preserve">uarterly </w:t>
      </w:r>
      <w:r w:rsidR="00690B11">
        <w:rPr>
          <w:rFonts w:eastAsia="Calibri"/>
          <w:sz w:val="24"/>
          <w:szCs w:val="24"/>
        </w:rPr>
        <w:t>P</w:t>
      </w:r>
      <w:r w:rsidR="00E7401C">
        <w:rPr>
          <w:rFonts w:eastAsia="Calibri"/>
          <w:sz w:val="24"/>
          <w:szCs w:val="24"/>
        </w:rPr>
        <w:t xml:space="preserve">rogress </w:t>
      </w:r>
      <w:r w:rsidR="00690B11">
        <w:rPr>
          <w:rFonts w:eastAsia="Calibri"/>
          <w:sz w:val="24"/>
          <w:szCs w:val="24"/>
        </w:rPr>
        <w:t>R</w:t>
      </w:r>
      <w:r w:rsidR="00E7401C">
        <w:rPr>
          <w:rFonts w:eastAsia="Calibri"/>
          <w:sz w:val="24"/>
          <w:szCs w:val="24"/>
        </w:rPr>
        <w:t>eports, including Appendix A, will be sent by each grantee to DOL after the end of each quarter</w:t>
      </w:r>
      <w:r w:rsidR="00690B11">
        <w:rPr>
          <w:rFonts w:eastAsia="Calibri"/>
          <w:sz w:val="24"/>
          <w:szCs w:val="24"/>
        </w:rPr>
        <w:t>, excluding the first three quarters when there will be little reportable data</w:t>
      </w:r>
      <w:r w:rsidR="00E7401C">
        <w:rPr>
          <w:rFonts w:eastAsia="Calibri"/>
          <w:sz w:val="24"/>
          <w:szCs w:val="24"/>
        </w:rPr>
        <w:t>.</w:t>
      </w:r>
      <w:r w:rsidR="00497932">
        <w:rPr>
          <w:rFonts w:eastAsia="Calibri"/>
          <w:sz w:val="24"/>
          <w:szCs w:val="24"/>
        </w:rPr>
        <w:t xml:space="preserve"> A thorough description of variables being collected by DOL, and the sources of these variables, can be found in the Quarterly Progress Report Appendix A text document.</w:t>
      </w:r>
      <w:r w:rsidR="003E16B4">
        <w:rPr>
          <w:rFonts w:eastAsia="Calibri"/>
          <w:sz w:val="24"/>
          <w:szCs w:val="24"/>
        </w:rPr>
        <w:t xml:space="preserve"> Data received by DOL</w:t>
      </w:r>
      <w:r w:rsidR="00962069">
        <w:rPr>
          <w:rFonts w:eastAsia="Calibri"/>
          <w:sz w:val="24"/>
          <w:szCs w:val="24"/>
        </w:rPr>
        <w:t xml:space="preserve"> concerns the treatment group only and</w:t>
      </w:r>
      <w:r w:rsidR="003E16B4">
        <w:rPr>
          <w:rFonts w:eastAsia="Calibri"/>
          <w:sz w:val="24"/>
          <w:szCs w:val="24"/>
        </w:rPr>
        <w:t xml:space="preserve"> is intended to be used for </w:t>
      </w:r>
      <w:r w:rsidR="00FC7032">
        <w:rPr>
          <w:rFonts w:eastAsia="Calibri"/>
          <w:sz w:val="24"/>
          <w:szCs w:val="24"/>
        </w:rPr>
        <w:t>grant/</w:t>
      </w:r>
      <w:r w:rsidR="00962069">
        <w:rPr>
          <w:rFonts w:eastAsia="Calibri"/>
          <w:sz w:val="24"/>
          <w:szCs w:val="24"/>
        </w:rPr>
        <w:t>program management and descriptive statistics</w:t>
      </w:r>
      <w:r w:rsidR="00042A1B">
        <w:rPr>
          <w:rFonts w:eastAsia="Calibri"/>
          <w:sz w:val="24"/>
          <w:szCs w:val="24"/>
        </w:rPr>
        <w:t>. I</w:t>
      </w:r>
      <w:r w:rsidR="003E16B4">
        <w:rPr>
          <w:rFonts w:eastAsia="Calibri"/>
          <w:sz w:val="24"/>
          <w:szCs w:val="24"/>
        </w:rPr>
        <w:t>mpact analysis using data concerning both the treatment group and control</w:t>
      </w:r>
      <w:r w:rsidR="00C72DE6">
        <w:rPr>
          <w:rFonts w:eastAsia="Calibri"/>
          <w:sz w:val="24"/>
          <w:szCs w:val="24"/>
        </w:rPr>
        <w:t>/comparison</w:t>
      </w:r>
      <w:r w:rsidR="003E16B4">
        <w:rPr>
          <w:rFonts w:eastAsia="Calibri"/>
          <w:sz w:val="24"/>
          <w:szCs w:val="24"/>
        </w:rPr>
        <w:t xml:space="preserve"> group will be conducted by the independent evaluator</w:t>
      </w:r>
      <w:r w:rsidR="00FC7032">
        <w:rPr>
          <w:rFonts w:eastAsia="Calibri"/>
          <w:sz w:val="24"/>
          <w:szCs w:val="24"/>
        </w:rPr>
        <w:t>, which is covered by SSA’s separate PRA package</w:t>
      </w:r>
      <w:r w:rsidR="003E16B4">
        <w:rPr>
          <w:rFonts w:eastAsia="Calibri"/>
          <w:sz w:val="24"/>
          <w:szCs w:val="24"/>
        </w:rPr>
        <w:t>.</w:t>
      </w:r>
    </w:p>
    <w:p w14:paraId="09926D81" w14:textId="77777777" w:rsidR="00DC7A2A" w:rsidRDefault="00DC7A2A" w:rsidP="0029607B">
      <w:pPr>
        <w:pStyle w:val="P1-StandPara"/>
        <w:spacing w:before="100" w:beforeAutospacing="1" w:after="100" w:afterAutospacing="1" w:line="276" w:lineRule="auto"/>
        <w:ind w:firstLine="0"/>
        <w:rPr>
          <w:rFonts w:eastAsia="Calibri"/>
          <w:sz w:val="24"/>
          <w:szCs w:val="24"/>
        </w:rPr>
      </w:pPr>
    </w:p>
    <w:p w14:paraId="06884633" w14:textId="454B609B" w:rsidR="001B105F" w:rsidRDefault="001E3BAF" w:rsidP="001B105F">
      <w:pPr>
        <w:pStyle w:val="Heading1"/>
        <w:rPr>
          <w:rFonts w:eastAsia="Calibri"/>
          <w:lang w:val="en"/>
        </w:rPr>
      </w:pPr>
      <w:bookmarkStart w:id="9" w:name="_Toc4409262"/>
      <w:r>
        <w:rPr>
          <w:rFonts w:eastAsia="Calibri"/>
          <w:lang w:val="en"/>
        </w:rPr>
        <w:t>B</w:t>
      </w:r>
      <w:r w:rsidR="001B105F" w:rsidRPr="00B43386">
        <w:rPr>
          <w:rFonts w:eastAsia="Calibri"/>
          <w:lang w:val="en"/>
        </w:rPr>
        <w:t>.</w:t>
      </w:r>
      <w:r w:rsidR="00223589">
        <w:rPr>
          <w:rFonts w:eastAsia="Calibri"/>
          <w:lang w:val="en"/>
        </w:rPr>
        <w:t>3</w:t>
      </w:r>
      <w:r w:rsidR="001B105F" w:rsidRPr="00B43386">
        <w:rPr>
          <w:rFonts w:eastAsia="Calibri"/>
          <w:lang w:val="en"/>
        </w:rPr>
        <w:t xml:space="preserve"> </w:t>
      </w:r>
      <w:r w:rsidR="00FF1F55" w:rsidRPr="007C7216">
        <w:rPr>
          <w:bCs/>
          <w:szCs w:val="22"/>
        </w:rPr>
        <w:t>Maximizing Response Rates and Addressing Nonresponse</w:t>
      </w:r>
      <w:bookmarkEnd w:id="9"/>
    </w:p>
    <w:p w14:paraId="10DFC5D1" w14:textId="26FA0E6D" w:rsidR="001B105F" w:rsidRDefault="001B105F" w:rsidP="001B105F">
      <w:pPr>
        <w:pStyle w:val="P1-StandPara"/>
        <w:spacing w:before="100" w:beforeAutospacing="1" w:after="100" w:afterAutospacing="1" w:line="276" w:lineRule="auto"/>
        <w:ind w:firstLine="0"/>
        <w:rPr>
          <w:rFonts w:eastAsia="Calibri"/>
          <w:sz w:val="24"/>
          <w:szCs w:val="24"/>
        </w:rPr>
      </w:pPr>
      <w:r>
        <w:rPr>
          <w:rFonts w:eastAsia="Calibri"/>
          <w:sz w:val="24"/>
          <w:szCs w:val="24"/>
        </w:rPr>
        <w:t xml:space="preserve">Each enrollee must complete the Baseline Form Part 1 and the Authorization of Disclosure form during enrollment, while the </w:t>
      </w:r>
      <w:r w:rsidR="00457998">
        <w:rPr>
          <w:rFonts w:eastAsia="Calibri"/>
          <w:sz w:val="24"/>
          <w:szCs w:val="24"/>
        </w:rPr>
        <w:t>health-care</w:t>
      </w:r>
      <w:r>
        <w:rPr>
          <w:rFonts w:eastAsia="Calibri"/>
          <w:sz w:val="24"/>
          <w:szCs w:val="24"/>
        </w:rPr>
        <w:t xml:space="preserve"> provider and/or Return-to-Work Coordinator will complete for each enrollee the Baseline Form Part 2.</w:t>
      </w:r>
      <w:r w:rsidR="00690B11">
        <w:rPr>
          <w:rFonts w:eastAsia="Calibri"/>
          <w:sz w:val="24"/>
          <w:szCs w:val="24"/>
        </w:rPr>
        <w:t xml:space="preserve"> </w:t>
      </w:r>
      <w:r>
        <w:rPr>
          <w:rFonts w:eastAsia="Calibri"/>
          <w:sz w:val="24"/>
          <w:szCs w:val="24"/>
        </w:rPr>
        <w:t xml:space="preserve">Lack of completion of these forms will prevent enrollment, meaning that response rates for enrollees will be 100%. </w:t>
      </w:r>
      <w:r w:rsidR="00D64309">
        <w:rPr>
          <w:rFonts w:eastAsia="Calibri"/>
          <w:sz w:val="24"/>
          <w:szCs w:val="24"/>
        </w:rPr>
        <w:t xml:space="preserve">Any missing data for enrollees will be collected by the Return-to-Work Coordinator. </w:t>
      </w:r>
      <w:r>
        <w:rPr>
          <w:rFonts w:eastAsia="Calibri"/>
          <w:sz w:val="24"/>
          <w:szCs w:val="24"/>
        </w:rPr>
        <w:t xml:space="preserve">No sampling is involved. </w:t>
      </w:r>
      <w:r w:rsidR="00827E7D">
        <w:rPr>
          <w:rFonts w:eastAsia="Calibri"/>
          <w:sz w:val="24"/>
          <w:szCs w:val="24"/>
        </w:rPr>
        <w:t xml:space="preserve">Each grantee must submit a Quarterly Progress Report after the end of each quarter (other than the first three). The metrics contained in the Quarterly Progress Report Appendix A will be used by DOL for program administration. </w:t>
      </w:r>
      <w:r w:rsidR="00827E7D" w:rsidRPr="00827E7D">
        <w:rPr>
          <w:rFonts w:eastAsia="Calibri"/>
          <w:sz w:val="24"/>
          <w:szCs w:val="24"/>
        </w:rPr>
        <w:t>A thorough description of variables being collected by DOL, and the sources of these variables, can be found in the Quarterly Progress Report Appendix A text document.</w:t>
      </w:r>
    </w:p>
    <w:p w14:paraId="5EFA105D" w14:textId="77777777" w:rsidR="00DC7A2A" w:rsidRDefault="00DC7A2A" w:rsidP="001B105F">
      <w:pPr>
        <w:pStyle w:val="P1-StandPara"/>
        <w:spacing w:before="100" w:beforeAutospacing="1" w:after="100" w:afterAutospacing="1" w:line="276" w:lineRule="auto"/>
        <w:ind w:firstLine="0"/>
        <w:rPr>
          <w:rFonts w:eastAsia="Calibri"/>
          <w:sz w:val="24"/>
          <w:szCs w:val="24"/>
        </w:rPr>
      </w:pPr>
    </w:p>
    <w:p w14:paraId="39BEE6C0" w14:textId="55B46AF3" w:rsidR="001B105F" w:rsidRDefault="001E3BAF" w:rsidP="001B105F">
      <w:pPr>
        <w:pStyle w:val="Heading1"/>
        <w:rPr>
          <w:rFonts w:eastAsia="Calibri"/>
          <w:lang w:val="en"/>
        </w:rPr>
      </w:pPr>
      <w:bookmarkStart w:id="10" w:name="_Toc4409263"/>
      <w:r>
        <w:rPr>
          <w:rFonts w:eastAsia="Calibri"/>
          <w:lang w:val="en"/>
        </w:rPr>
        <w:t>B</w:t>
      </w:r>
      <w:r w:rsidR="001B105F" w:rsidRPr="00B43386">
        <w:rPr>
          <w:rFonts w:eastAsia="Calibri"/>
          <w:lang w:val="en"/>
        </w:rPr>
        <w:t>.</w:t>
      </w:r>
      <w:r w:rsidR="00223589">
        <w:rPr>
          <w:rFonts w:eastAsia="Calibri"/>
          <w:lang w:val="en"/>
        </w:rPr>
        <w:t>4</w:t>
      </w:r>
      <w:r w:rsidR="001B105F" w:rsidRPr="00B43386">
        <w:rPr>
          <w:rFonts w:eastAsia="Calibri"/>
          <w:lang w:val="en"/>
        </w:rPr>
        <w:t xml:space="preserve"> </w:t>
      </w:r>
      <w:r w:rsidR="00FF1F55">
        <w:rPr>
          <w:rFonts w:eastAsia="Calibri"/>
          <w:lang w:val="en"/>
        </w:rPr>
        <w:t>Test</w:t>
      </w:r>
      <w:r w:rsidR="001B105F">
        <w:rPr>
          <w:rFonts w:eastAsia="Calibri"/>
          <w:lang w:val="en"/>
        </w:rPr>
        <w:t xml:space="preserve"> Procedures</w:t>
      </w:r>
      <w:bookmarkEnd w:id="10"/>
    </w:p>
    <w:p w14:paraId="6BA72B44" w14:textId="66AF2C05" w:rsidR="001B105F" w:rsidRDefault="0028140B" w:rsidP="001B105F">
      <w:pPr>
        <w:pStyle w:val="P1-StandPara"/>
        <w:spacing w:before="100" w:beforeAutospacing="1" w:after="100" w:afterAutospacing="1" w:line="276" w:lineRule="auto"/>
        <w:ind w:firstLine="0"/>
        <w:rPr>
          <w:rFonts w:eastAsia="Calibri"/>
          <w:sz w:val="24"/>
          <w:szCs w:val="24"/>
        </w:rPr>
      </w:pPr>
      <w:r>
        <w:rPr>
          <w:rFonts w:eastAsia="Calibri"/>
          <w:sz w:val="24"/>
          <w:szCs w:val="24"/>
        </w:rPr>
        <w:t>The Baseline Form Part 1, which will be complet</w:t>
      </w:r>
      <w:r w:rsidR="00744496">
        <w:rPr>
          <w:rFonts w:eastAsia="Calibri"/>
          <w:sz w:val="24"/>
          <w:szCs w:val="24"/>
        </w:rPr>
        <w:t>ed by enrollees, was tested on five</w:t>
      </w:r>
      <w:r>
        <w:rPr>
          <w:rFonts w:eastAsia="Calibri"/>
          <w:sz w:val="24"/>
          <w:szCs w:val="24"/>
        </w:rPr>
        <w:t xml:space="preserve"> DOL employees to ensure clarity and ease of burden. The Authorization of Disclosure form is a standard SSA form. The Baseline Form Part 2 will be completed by </w:t>
      </w:r>
      <w:r w:rsidR="00457998">
        <w:rPr>
          <w:rFonts w:eastAsia="Calibri"/>
          <w:sz w:val="24"/>
          <w:szCs w:val="24"/>
        </w:rPr>
        <w:t>health-care</w:t>
      </w:r>
      <w:r>
        <w:rPr>
          <w:rFonts w:eastAsia="Calibri"/>
          <w:sz w:val="24"/>
          <w:szCs w:val="24"/>
        </w:rPr>
        <w:t xml:space="preserve"> providers and</w:t>
      </w:r>
      <w:r w:rsidR="00A34D13">
        <w:rPr>
          <w:rFonts w:eastAsia="Calibri"/>
          <w:sz w:val="24"/>
          <w:szCs w:val="24"/>
        </w:rPr>
        <w:t xml:space="preserve">/or Return-to-Work Coordinators, largely using </w:t>
      </w:r>
      <w:r w:rsidR="002C45DE">
        <w:rPr>
          <w:rFonts w:eastAsia="Calibri"/>
          <w:sz w:val="24"/>
          <w:szCs w:val="24"/>
        </w:rPr>
        <w:t>information such as ICD-10 code diagnosis</w:t>
      </w:r>
      <w:r w:rsidR="00A34D13">
        <w:rPr>
          <w:rFonts w:eastAsia="Calibri"/>
          <w:sz w:val="24"/>
          <w:szCs w:val="24"/>
        </w:rPr>
        <w:t xml:space="preserve"> that will already have been obtained by </w:t>
      </w:r>
      <w:r w:rsidR="00457998">
        <w:rPr>
          <w:rFonts w:eastAsia="Calibri"/>
          <w:sz w:val="24"/>
          <w:szCs w:val="24"/>
        </w:rPr>
        <w:t>health-care</w:t>
      </w:r>
      <w:r w:rsidR="00A34D13">
        <w:rPr>
          <w:rFonts w:eastAsia="Calibri"/>
          <w:sz w:val="24"/>
          <w:szCs w:val="24"/>
        </w:rPr>
        <w:t xml:space="preserve"> providers</w:t>
      </w:r>
      <w:r>
        <w:rPr>
          <w:rFonts w:eastAsia="Calibri"/>
          <w:sz w:val="24"/>
          <w:szCs w:val="24"/>
        </w:rPr>
        <w:t>.</w:t>
      </w:r>
    </w:p>
    <w:p w14:paraId="2047530E" w14:textId="77777777" w:rsidR="00DC7A2A" w:rsidRDefault="00DC7A2A" w:rsidP="001B105F">
      <w:pPr>
        <w:pStyle w:val="P1-StandPara"/>
        <w:spacing w:before="100" w:beforeAutospacing="1" w:after="100" w:afterAutospacing="1" w:line="276" w:lineRule="auto"/>
        <w:ind w:firstLine="0"/>
        <w:rPr>
          <w:rFonts w:eastAsia="Calibri"/>
          <w:sz w:val="24"/>
          <w:szCs w:val="24"/>
        </w:rPr>
      </w:pPr>
    </w:p>
    <w:p w14:paraId="6A1ACCA9" w14:textId="05012CD7" w:rsidR="0050389D" w:rsidRDefault="001E3BAF" w:rsidP="0050389D">
      <w:pPr>
        <w:pStyle w:val="Heading1"/>
        <w:rPr>
          <w:rFonts w:eastAsia="Calibri"/>
          <w:lang w:val="en"/>
        </w:rPr>
      </w:pPr>
      <w:bookmarkStart w:id="11" w:name="_Toc4409264"/>
      <w:r>
        <w:rPr>
          <w:rFonts w:eastAsia="Calibri"/>
          <w:lang w:val="en"/>
        </w:rPr>
        <w:t>B</w:t>
      </w:r>
      <w:r w:rsidR="0050389D" w:rsidRPr="00B43386">
        <w:rPr>
          <w:rFonts w:eastAsia="Calibri"/>
          <w:lang w:val="en"/>
        </w:rPr>
        <w:t>.</w:t>
      </w:r>
      <w:r w:rsidR="00223589">
        <w:rPr>
          <w:rFonts w:eastAsia="Calibri"/>
          <w:lang w:val="en"/>
        </w:rPr>
        <w:t>5</w:t>
      </w:r>
      <w:r w:rsidR="0050389D" w:rsidRPr="00B43386">
        <w:rPr>
          <w:rFonts w:eastAsia="Calibri"/>
          <w:lang w:val="en"/>
        </w:rPr>
        <w:t xml:space="preserve"> </w:t>
      </w:r>
      <w:r w:rsidR="00246748" w:rsidRPr="00246748">
        <w:rPr>
          <w:rFonts w:eastAsia="Calibri"/>
          <w:lang w:val="en"/>
        </w:rPr>
        <w:t>Contact Information &amp; Confidentiality</w:t>
      </w:r>
      <w:bookmarkEnd w:id="11"/>
    </w:p>
    <w:p w14:paraId="212A62A3" w14:textId="05F8BB2A" w:rsidR="0050389D" w:rsidRDefault="008E6BE2" w:rsidP="0050389D">
      <w:pPr>
        <w:pStyle w:val="P1-StandPara"/>
        <w:spacing w:before="100" w:beforeAutospacing="1" w:after="100" w:afterAutospacing="1" w:line="276" w:lineRule="auto"/>
        <w:ind w:firstLine="0"/>
        <w:rPr>
          <w:rFonts w:eastAsia="Calibri"/>
          <w:sz w:val="24"/>
          <w:szCs w:val="24"/>
        </w:rPr>
      </w:pPr>
      <w:r>
        <w:rPr>
          <w:rFonts w:eastAsia="Calibri"/>
          <w:sz w:val="24"/>
          <w:szCs w:val="24"/>
        </w:rPr>
        <w:t>Those consulted on the content of these instruments include the grantees (contact information below), SSA (contact information below), the independent evaluator (contact information below), and the following:</w:t>
      </w:r>
    </w:p>
    <w:p w14:paraId="3230E1E5" w14:textId="41E39B7F" w:rsidR="008E6BE2" w:rsidRDefault="008E6BE2" w:rsidP="0050389D">
      <w:pPr>
        <w:pStyle w:val="P1-StandPara"/>
        <w:spacing w:before="100" w:beforeAutospacing="1" w:after="100" w:afterAutospacing="1" w:line="276" w:lineRule="auto"/>
        <w:ind w:firstLine="0"/>
        <w:rPr>
          <w:rFonts w:eastAsia="Calibri"/>
          <w:sz w:val="24"/>
          <w:szCs w:val="24"/>
        </w:rPr>
      </w:pPr>
      <w:r>
        <w:rPr>
          <w:rFonts w:eastAsia="Calibri"/>
          <w:b/>
          <w:sz w:val="24"/>
          <w:szCs w:val="24"/>
        </w:rPr>
        <w:t>ETA (DOL)</w:t>
      </w:r>
      <w:r>
        <w:rPr>
          <w:rFonts w:eastAsia="Calibri"/>
          <w:sz w:val="24"/>
          <w:szCs w:val="24"/>
        </w:rPr>
        <w:t>:</w:t>
      </w:r>
      <w:r>
        <w:rPr>
          <w:rFonts w:eastAsia="Calibri"/>
          <w:sz w:val="24"/>
          <w:szCs w:val="24"/>
        </w:rPr>
        <w:tab/>
        <w:t xml:space="preserve">Kellen Grode, </w:t>
      </w:r>
      <w:hyperlink r:id="rId11" w:history="1">
        <w:r w:rsidRPr="00FE0F4A">
          <w:rPr>
            <w:rStyle w:val="Hyperlink"/>
            <w:rFonts w:eastAsia="Calibri"/>
            <w:sz w:val="24"/>
            <w:szCs w:val="24"/>
          </w:rPr>
          <w:t>Grode.Kellen.M@dol.gov</w:t>
        </w:r>
      </w:hyperlink>
      <w:r>
        <w:rPr>
          <w:rFonts w:eastAsia="Calibri"/>
          <w:sz w:val="24"/>
          <w:szCs w:val="24"/>
        </w:rPr>
        <w:t>, (</w:t>
      </w:r>
      <w:r w:rsidRPr="008E6BE2">
        <w:rPr>
          <w:rFonts w:eastAsia="Calibri"/>
          <w:sz w:val="24"/>
          <w:szCs w:val="24"/>
        </w:rPr>
        <w:t>202</w:t>
      </w:r>
      <w:r>
        <w:rPr>
          <w:rFonts w:eastAsia="Calibri"/>
          <w:sz w:val="24"/>
          <w:szCs w:val="24"/>
        </w:rPr>
        <w:t xml:space="preserve">) </w:t>
      </w:r>
      <w:r w:rsidRPr="008E6BE2">
        <w:rPr>
          <w:rFonts w:eastAsia="Calibri"/>
          <w:sz w:val="24"/>
          <w:szCs w:val="24"/>
        </w:rPr>
        <w:t>693-3534</w:t>
      </w:r>
    </w:p>
    <w:p w14:paraId="53D14043" w14:textId="06928841" w:rsidR="00B30895" w:rsidRDefault="00B30895" w:rsidP="0050389D">
      <w:pPr>
        <w:pStyle w:val="P1-StandPara"/>
        <w:spacing w:before="100" w:beforeAutospacing="1" w:after="100" w:afterAutospacing="1" w:line="276" w:lineRule="auto"/>
        <w:ind w:firstLine="0"/>
        <w:rPr>
          <w:rFonts w:eastAsia="Calibri"/>
          <w:sz w:val="24"/>
          <w:szCs w:val="24"/>
        </w:rPr>
      </w:pPr>
      <w:r>
        <w:rPr>
          <w:rFonts w:eastAsia="Calibri"/>
          <w:sz w:val="24"/>
          <w:szCs w:val="24"/>
        </w:rPr>
        <w:tab/>
      </w:r>
      <w:r>
        <w:rPr>
          <w:rFonts w:eastAsia="Calibri"/>
          <w:sz w:val="24"/>
          <w:szCs w:val="24"/>
        </w:rPr>
        <w:tab/>
        <w:t xml:space="preserve">Steve Rietzke, </w:t>
      </w:r>
      <w:hyperlink r:id="rId12" w:history="1">
        <w:r w:rsidRPr="00FE0F4A">
          <w:rPr>
            <w:rStyle w:val="Hyperlink"/>
            <w:rFonts w:eastAsia="Calibri"/>
            <w:sz w:val="24"/>
            <w:szCs w:val="24"/>
          </w:rPr>
          <w:t>Rietzke.Steven@dol.gov</w:t>
        </w:r>
      </w:hyperlink>
      <w:r>
        <w:rPr>
          <w:rFonts w:eastAsia="Calibri"/>
          <w:sz w:val="24"/>
          <w:szCs w:val="24"/>
        </w:rPr>
        <w:t>, (</w:t>
      </w:r>
      <w:r w:rsidRPr="00B30895">
        <w:rPr>
          <w:rFonts w:eastAsia="Calibri"/>
          <w:sz w:val="24"/>
          <w:szCs w:val="24"/>
        </w:rPr>
        <w:t>202</w:t>
      </w:r>
      <w:r>
        <w:rPr>
          <w:rFonts w:eastAsia="Calibri"/>
          <w:sz w:val="24"/>
          <w:szCs w:val="24"/>
        </w:rPr>
        <w:t xml:space="preserve">) </w:t>
      </w:r>
      <w:r w:rsidRPr="00B30895">
        <w:rPr>
          <w:rFonts w:eastAsia="Calibri"/>
          <w:sz w:val="24"/>
          <w:szCs w:val="24"/>
        </w:rPr>
        <w:t>693-3912</w:t>
      </w:r>
    </w:p>
    <w:p w14:paraId="021879B6" w14:textId="5E098866" w:rsidR="008E6BE2" w:rsidRDefault="008E6BE2" w:rsidP="00A14C1B">
      <w:pPr>
        <w:pStyle w:val="P1-StandPara"/>
        <w:spacing w:before="100" w:beforeAutospacing="1" w:after="100" w:afterAutospacing="1" w:line="276" w:lineRule="auto"/>
        <w:ind w:firstLine="0"/>
        <w:rPr>
          <w:rFonts w:eastAsia="Calibri"/>
          <w:sz w:val="24"/>
          <w:szCs w:val="24"/>
        </w:rPr>
      </w:pPr>
      <w:r>
        <w:rPr>
          <w:rFonts w:eastAsia="Calibri"/>
          <w:b/>
          <w:sz w:val="24"/>
          <w:szCs w:val="24"/>
        </w:rPr>
        <w:t>OMB</w:t>
      </w:r>
      <w:r w:rsidR="00CA27E6">
        <w:rPr>
          <w:rFonts w:eastAsia="Calibri"/>
          <w:b/>
          <w:sz w:val="24"/>
          <w:szCs w:val="24"/>
        </w:rPr>
        <w:t xml:space="preserve"> (EOP)</w:t>
      </w:r>
      <w:r>
        <w:rPr>
          <w:rFonts w:eastAsia="Calibri"/>
          <w:sz w:val="24"/>
          <w:szCs w:val="24"/>
        </w:rPr>
        <w:t>:</w:t>
      </w:r>
      <w:r>
        <w:rPr>
          <w:rFonts w:eastAsia="Calibri"/>
          <w:sz w:val="24"/>
          <w:szCs w:val="24"/>
        </w:rPr>
        <w:tab/>
      </w:r>
      <w:r w:rsidR="00A14C1B">
        <w:rPr>
          <w:rFonts w:eastAsia="Calibri"/>
          <w:sz w:val="24"/>
          <w:szCs w:val="24"/>
        </w:rPr>
        <w:t xml:space="preserve">Jamie Wilson, </w:t>
      </w:r>
      <w:hyperlink r:id="rId13" w:history="1">
        <w:r w:rsidR="00A14C1B" w:rsidRPr="00FE0F4A">
          <w:rPr>
            <w:rStyle w:val="Hyperlink"/>
            <w:rFonts w:eastAsia="Calibri"/>
            <w:sz w:val="24"/>
            <w:szCs w:val="24"/>
          </w:rPr>
          <w:t>Jamie_S_Wilson@omb.eop.gov</w:t>
        </w:r>
      </w:hyperlink>
      <w:r w:rsidR="00A14C1B">
        <w:rPr>
          <w:rFonts w:eastAsia="Calibri"/>
          <w:sz w:val="24"/>
          <w:szCs w:val="24"/>
        </w:rPr>
        <w:t>, (</w:t>
      </w:r>
      <w:r w:rsidR="00A14C1B" w:rsidRPr="00A14C1B">
        <w:rPr>
          <w:rFonts w:eastAsia="Calibri"/>
          <w:sz w:val="24"/>
          <w:szCs w:val="24"/>
        </w:rPr>
        <w:t>202</w:t>
      </w:r>
      <w:r w:rsidR="00A14C1B">
        <w:rPr>
          <w:rFonts w:eastAsia="Calibri"/>
          <w:sz w:val="24"/>
          <w:szCs w:val="24"/>
        </w:rPr>
        <w:t xml:space="preserve">) </w:t>
      </w:r>
      <w:r w:rsidR="00A14C1B" w:rsidRPr="00A14C1B">
        <w:rPr>
          <w:rFonts w:eastAsia="Calibri"/>
          <w:sz w:val="24"/>
          <w:szCs w:val="24"/>
        </w:rPr>
        <w:t>395-2139</w:t>
      </w:r>
    </w:p>
    <w:p w14:paraId="2EC28C18" w14:textId="77777777" w:rsidR="00D54541" w:rsidRPr="00A14C1B" w:rsidRDefault="00D54541" w:rsidP="00A14C1B">
      <w:pPr>
        <w:pStyle w:val="P1-StandPara"/>
        <w:spacing w:before="100" w:beforeAutospacing="1" w:after="100" w:afterAutospacing="1" w:line="276" w:lineRule="auto"/>
        <w:ind w:firstLine="0"/>
        <w:rPr>
          <w:rFonts w:eastAsia="Calibri"/>
          <w:sz w:val="24"/>
          <w:szCs w:val="24"/>
        </w:rPr>
      </w:pPr>
    </w:p>
    <w:p w14:paraId="7B2A144D" w14:textId="3DA148CB" w:rsidR="0050389D" w:rsidRDefault="0050389D" w:rsidP="0050389D">
      <w:pPr>
        <w:pStyle w:val="P1-StandPara"/>
        <w:spacing w:before="100" w:beforeAutospacing="1" w:after="100" w:afterAutospacing="1" w:line="276" w:lineRule="auto"/>
        <w:ind w:firstLine="0"/>
        <w:rPr>
          <w:rFonts w:eastAsia="Calibri"/>
          <w:sz w:val="24"/>
          <w:szCs w:val="24"/>
        </w:rPr>
      </w:pPr>
      <w:r>
        <w:rPr>
          <w:rFonts w:eastAsia="Calibri"/>
          <w:sz w:val="24"/>
          <w:szCs w:val="24"/>
        </w:rPr>
        <w:t>Contact information for the grantees who will collect this information is as follows:</w:t>
      </w:r>
    </w:p>
    <w:p w14:paraId="6F727646" w14:textId="49C658E1" w:rsidR="0050389D" w:rsidRDefault="0050389D" w:rsidP="0050389D">
      <w:pPr>
        <w:pStyle w:val="P1-StandPara"/>
        <w:spacing w:before="100" w:beforeAutospacing="1" w:after="100" w:afterAutospacing="1" w:line="276" w:lineRule="auto"/>
        <w:ind w:firstLine="0"/>
        <w:rPr>
          <w:rFonts w:eastAsia="Calibri"/>
          <w:sz w:val="24"/>
          <w:szCs w:val="24"/>
        </w:rPr>
      </w:pPr>
      <w:r>
        <w:rPr>
          <w:rFonts w:eastAsia="Calibri"/>
          <w:b/>
          <w:sz w:val="24"/>
          <w:szCs w:val="24"/>
        </w:rPr>
        <w:t>California</w:t>
      </w:r>
      <w:r>
        <w:rPr>
          <w:rFonts w:eastAsia="Calibri"/>
          <w:sz w:val="24"/>
          <w:szCs w:val="24"/>
        </w:rPr>
        <w:t xml:space="preserve">: </w:t>
      </w:r>
      <w:r>
        <w:rPr>
          <w:rFonts w:eastAsia="Calibri"/>
          <w:sz w:val="24"/>
          <w:szCs w:val="24"/>
        </w:rPr>
        <w:tab/>
        <w:t xml:space="preserve">Eric Glunt, </w:t>
      </w:r>
      <w:hyperlink r:id="rId14" w:history="1">
        <w:r w:rsidRPr="00FE0F4A">
          <w:rPr>
            <w:rStyle w:val="Hyperlink"/>
            <w:rFonts w:eastAsia="Calibri"/>
            <w:sz w:val="24"/>
            <w:szCs w:val="24"/>
          </w:rPr>
          <w:t>eglunt@sdsu.edu</w:t>
        </w:r>
      </w:hyperlink>
      <w:r>
        <w:rPr>
          <w:rFonts w:eastAsia="Calibri"/>
          <w:sz w:val="24"/>
          <w:szCs w:val="24"/>
        </w:rPr>
        <w:t xml:space="preserve">, </w:t>
      </w:r>
      <w:r w:rsidRPr="0050389D">
        <w:rPr>
          <w:rFonts w:eastAsia="Calibri"/>
          <w:sz w:val="24"/>
          <w:szCs w:val="24"/>
        </w:rPr>
        <w:t>(707) 331-5636</w:t>
      </w:r>
    </w:p>
    <w:p w14:paraId="7F5A7E9D" w14:textId="4977F01C" w:rsidR="0050389D" w:rsidRDefault="0050389D" w:rsidP="0050389D">
      <w:pPr>
        <w:pStyle w:val="P1-StandPara"/>
        <w:spacing w:before="100" w:beforeAutospacing="1" w:after="100" w:afterAutospacing="1" w:line="276" w:lineRule="auto"/>
        <w:rPr>
          <w:rFonts w:eastAsia="Calibri"/>
          <w:sz w:val="24"/>
          <w:szCs w:val="24"/>
        </w:rPr>
      </w:pPr>
      <w:r>
        <w:rPr>
          <w:rFonts w:eastAsia="Calibri"/>
          <w:sz w:val="24"/>
          <w:szCs w:val="24"/>
        </w:rPr>
        <w:tab/>
        <w:t xml:space="preserve">Kimberlee Meyer, </w:t>
      </w:r>
      <w:hyperlink r:id="rId15" w:history="1">
        <w:r w:rsidRPr="00FE0F4A">
          <w:rPr>
            <w:rStyle w:val="Hyperlink"/>
            <w:rFonts w:eastAsia="Calibri"/>
            <w:sz w:val="24"/>
            <w:szCs w:val="24"/>
          </w:rPr>
          <w:t>kimberlee.meyer@edd.ca.gov</w:t>
        </w:r>
      </w:hyperlink>
      <w:r>
        <w:rPr>
          <w:rFonts w:eastAsia="Calibri"/>
          <w:sz w:val="24"/>
          <w:szCs w:val="24"/>
        </w:rPr>
        <w:t xml:space="preserve">, </w:t>
      </w:r>
      <w:r w:rsidRPr="0050389D">
        <w:rPr>
          <w:rFonts w:eastAsia="Calibri"/>
          <w:sz w:val="24"/>
          <w:szCs w:val="24"/>
        </w:rPr>
        <w:t>(916) 654-5468</w:t>
      </w:r>
    </w:p>
    <w:p w14:paraId="19434588" w14:textId="73FD65B5" w:rsidR="0050389D" w:rsidRDefault="0050389D" w:rsidP="0050389D">
      <w:pPr>
        <w:pStyle w:val="P1-StandPara"/>
        <w:spacing w:before="100" w:beforeAutospacing="1" w:after="100" w:afterAutospacing="1" w:line="276" w:lineRule="auto"/>
        <w:rPr>
          <w:rFonts w:eastAsia="Calibri"/>
          <w:sz w:val="24"/>
          <w:szCs w:val="24"/>
        </w:rPr>
      </w:pPr>
      <w:r>
        <w:rPr>
          <w:rFonts w:eastAsia="Calibri"/>
          <w:sz w:val="24"/>
          <w:szCs w:val="24"/>
        </w:rPr>
        <w:tab/>
      </w:r>
      <w:r w:rsidRPr="0050389D">
        <w:rPr>
          <w:rFonts w:eastAsia="Calibri"/>
          <w:sz w:val="24"/>
          <w:szCs w:val="24"/>
        </w:rPr>
        <w:t>LaJuana Thompson</w:t>
      </w:r>
      <w:r>
        <w:rPr>
          <w:rFonts w:eastAsia="Calibri"/>
          <w:sz w:val="24"/>
          <w:szCs w:val="24"/>
        </w:rPr>
        <w:t xml:space="preserve">, </w:t>
      </w:r>
      <w:hyperlink r:id="rId16" w:history="1">
        <w:r w:rsidRPr="00FE0F4A">
          <w:rPr>
            <w:rStyle w:val="Hyperlink"/>
            <w:rFonts w:eastAsia="Calibri"/>
            <w:sz w:val="24"/>
            <w:szCs w:val="24"/>
          </w:rPr>
          <w:t>lajuana.thompson@edd.ca.gov</w:t>
        </w:r>
      </w:hyperlink>
      <w:r>
        <w:rPr>
          <w:rFonts w:eastAsia="Calibri"/>
          <w:sz w:val="24"/>
          <w:szCs w:val="24"/>
        </w:rPr>
        <w:t xml:space="preserve">, </w:t>
      </w:r>
      <w:r w:rsidRPr="0050389D">
        <w:rPr>
          <w:rFonts w:eastAsia="Calibri"/>
          <w:sz w:val="24"/>
          <w:szCs w:val="24"/>
        </w:rPr>
        <w:t>(916) 657-5280</w:t>
      </w:r>
    </w:p>
    <w:p w14:paraId="59E1189C" w14:textId="6E2EF654" w:rsidR="0050389D" w:rsidRDefault="0050389D" w:rsidP="0050389D">
      <w:pPr>
        <w:pStyle w:val="P1-StandPara"/>
        <w:spacing w:before="100" w:beforeAutospacing="1" w:after="100" w:afterAutospacing="1" w:line="276" w:lineRule="auto"/>
        <w:ind w:firstLine="0"/>
        <w:rPr>
          <w:rFonts w:eastAsia="Calibri"/>
          <w:sz w:val="24"/>
          <w:szCs w:val="24"/>
        </w:rPr>
      </w:pPr>
      <w:r>
        <w:rPr>
          <w:rFonts w:eastAsia="Calibri"/>
          <w:b/>
          <w:sz w:val="24"/>
          <w:szCs w:val="24"/>
        </w:rPr>
        <w:t>Connecticut</w:t>
      </w:r>
      <w:r>
        <w:rPr>
          <w:rFonts w:eastAsia="Calibri"/>
          <w:sz w:val="24"/>
          <w:szCs w:val="24"/>
        </w:rPr>
        <w:t xml:space="preserve">: </w:t>
      </w:r>
      <w:r>
        <w:rPr>
          <w:rFonts w:eastAsia="Calibri"/>
          <w:sz w:val="24"/>
          <w:szCs w:val="24"/>
        </w:rPr>
        <w:tab/>
      </w:r>
      <w:r w:rsidRPr="0050389D">
        <w:rPr>
          <w:rFonts w:eastAsia="Calibri"/>
          <w:sz w:val="24"/>
          <w:szCs w:val="24"/>
        </w:rPr>
        <w:t>Karen Quesnel</w:t>
      </w:r>
      <w:r>
        <w:rPr>
          <w:rFonts w:eastAsia="Calibri"/>
          <w:sz w:val="24"/>
          <w:szCs w:val="24"/>
        </w:rPr>
        <w:t xml:space="preserve">, </w:t>
      </w:r>
      <w:hyperlink r:id="rId17" w:history="1">
        <w:r w:rsidRPr="00FE0F4A">
          <w:rPr>
            <w:rStyle w:val="Hyperlink"/>
            <w:rFonts w:eastAsia="Calibri"/>
            <w:sz w:val="24"/>
            <w:szCs w:val="24"/>
          </w:rPr>
          <w:t>karen.quesnel@ct.gov</w:t>
        </w:r>
      </w:hyperlink>
      <w:r>
        <w:rPr>
          <w:rFonts w:eastAsia="Calibri"/>
          <w:sz w:val="24"/>
          <w:szCs w:val="24"/>
        </w:rPr>
        <w:t xml:space="preserve">, </w:t>
      </w:r>
      <w:r w:rsidRPr="0050389D">
        <w:rPr>
          <w:rFonts w:eastAsia="Calibri"/>
          <w:sz w:val="24"/>
          <w:szCs w:val="24"/>
        </w:rPr>
        <w:t>(860) 263-6527</w:t>
      </w:r>
    </w:p>
    <w:p w14:paraId="1AACF10D" w14:textId="1F4837AB" w:rsidR="0050389D" w:rsidRDefault="0050389D" w:rsidP="0050389D">
      <w:pPr>
        <w:pStyle w:val="P1-StandPara"/>
        <w:spacing w:before="100" w:beforeAutospacing="1" w:after="100" w:afterAutospacing="1" w:line="276" w:lineRule="auto"/>
        <w:rPr>
          <w:rFonts w:eastAsia="Calibri"/>
          <w:sz w:val="24"/>
          <w:szCs w:val="24"/>
        </w:rPr>
      </w:pPr>
      <w:r>
        <w:rPr>
          <w:rFonts w:eastAsia="Calibri"/>
          <w:sz w:val="24"/>
          <w:szCs w:val="24"/>
        </w:rPr>
        <w:tab/>
      </w:r>
      <w:r w:rsidRPr="0050389D">
        <w:rPr>
          <w:rFonts w:eastAsia="Calibri"/>
          <w:sz w:val="24"/>
          <w:szCs w:val="24"/>
        </w:rPr>
        <w:t>Bill Shaw</w:t>
      </w:r>
      <w:r>
        <w:rPr>
          <w:rFonts w:eastAsia="Calibri"/>
          <w:sz w:val="24"/>
          <w:szCs w:val="24"/>
        </w:rPr>
        <w:t xml:space="preserve">, </w:t>
      </w:r>
      <w:hyperlink r:id="rId18" w:history="1">
        <w:r w:rsidRPr="00FE0F4A">
          <w:rPr>
            <w:rStyle w:val="Hyperlink"/>
            <w:rFonts w:eastAsia="Calibri"/>
            <w:sz w:val="24"/>
            <w:szCs w:val="24"/>
          </w:rPr>
          <w:t>wshaw@uchc.edu</w:t>
        </w:r>
      </w:hyperlink>
      <w:r>
        <w:rPr>
          <w:rFonts w:eastAsia="Calibri"/>
          <w:sz w:val="24"/>
          <w:szCs w:val="24"/>
        </w:rPr>
        <w:t xml:space="preserve">, </w:t>
      </w:r>
      <w:r w:rsidRPr="0050389D">
        <w:rPr>
          <w:rFonts w:eastAsia="Calibri"/>
          <w:sz w:val="24"/>
          <w:szCs w:val="24"/>
        </w:rPr>
        <w:t>(860) 679-8946</w:t>
      </w:r>
    </w:p>
    <w:p w14:paraId="150484FC" w14:textId="6801B7A6" w:rsidR="0050389D" w:rsidRDefault="0050389D" w:rsidP="0050389D">
      <w:pPr>
        <w:pStyle w:val="P1-StandPara"/>
        <w:spacing w:before="100" w:beforeAutospacing="1" w:after="100" w:afterAutospacing="1" w:line="276" w:lineRule="auto"/>
        <w:ind w:firstLine="0"/>
        <w:rPr>
          <w:rFonts w:eastAsia="Calibri"/>
          <w:sz w:val="24"/>
          <w:szCs w:val="24"/>
        </w:rPr>
      </w:pPr>
      <w:r>
        <w:rPr>
          <w:rFonts w:eastAsia="Calibri"/>
          <w:b/>
          <w:sz w:val="24"/>
          <w:szCs w:val="24"/>
        </w:rPr>
        <w:t>Kansas</w:t>
      </w:r>
      <w:r>
        <w:rPr>
          <w:rFonts w:eastAsia="Calibri"/>
          <w:sz w:val="24"/>
          <w:szCs w:val="24"/>
        </w:rPr>
        <w:t xml:space="preserve">: </w:t>
      </w:r>
      <w:r>
        <w:rPr>
          <w:rFonts w:eastAsia="Calibri"/>
          <w:sz w:val="24"/>
          <w:szCs w:val="24"/>
        </w:rPr>
        <w:tab/>
        <w:t xml:space="preserve">Dale Tower, </w:t>
      </w:r>
      <w:hyperlink r:id="rId19" w:history="1">
        <w:r w:rsidRPr="00FE0F4A">
          <w:rPr>
            <w:rStyle w:val="Hyperlink"/>
            <w:rFonts w:eastAsia="Calibri"/>
            <w:sz w:val="24"/>
            <w:szCs w:val="24"/>
          </w:rPr>
          <w:t>dale.tower@ks.gov</w:t>
        </w:r>
      </w:hyperlink>
      <w:r>
        <w:rPr>
          <w:rFonts w:eastAsia="Calibri"/>
          <w:sz w:val="24"/>
          <w:szCs w:val="24"/>
        </w:rPr>
        <w:t xml:space="preserve">, </w:t>
      </w:r>
      <w:r w:rsidRPr="0050389D">
        <w:rPr>
          <w:rFonts w:eastAsia="Calibri"/>
          <w:sz w:val="24"/>
          <w:szCs w:val="24"/>
        </w:rPr>
        <w:t>(316) 771-6800</w:t>
      </w:r>
    </w:p>
    <w:p w14:paraId="35E67FDF" w14:textId="67089A1B" w:rsidR="0050389D" w:rsidRDefault="0050389D" w:rsidP="0050389D">
      <w:pPr>
        <w:pStyle w:val="P1-StandPara"/>
        <w:spacing w:before="100" w:beforeAutospacing="1" w:after="100" w:afterAutospacing="1" w:line="276" w:lineRule="auto"/>
        <w:rPr>
          <w:rFonts w:eastAsia="Calibri"/>
          <w:sz w:val="24"/>
          <w:szCs w:val="24"/>
        </w:rPr>
      </w:pPr>
      <w:r>
        <w:rPr>
          <w:rFonts w:eastAsia="Calibri"/>
          <w:sz w:val="24"/>
          <w:szCs w:val="24"/>
        </w:rPr>
        <w:tab/>
      </w:r>
      <w:r w:rsidRPr="0050389D">
        <w:rPr>
          <w:rFonts w:eastAsia="Calibri"/>
          <w:sz w:val="24"/>
          <w:szCs w:val="24"/>
        </w:rPr>
        <w:t>Nigel Soria</w:t>
      </w:r>
      <w:r>
        <w:rPr>
          <w:rFonts w:eastAsia="Calibri"/>
          <w:sz w:val="24"/>
          <w:szCs w:val="24"/>
        </w:rPr>
        <w:t xml:space="preserve">, </w:t>
      </w:r>
      <w:hyperlink r:id="rId20" w:history="1">
        <w:r w:rsidRPr="00FE0F4A">
          <w:rPr>
            <w:rStyle w:val="Hyperlink"/>
            <w:rFonts w:eastAsia="Calibri"/>
            <w:sz w:val="24"/>
            <w:szCs w:val="24"/>
          </w:rPr>
          <w:t>Nigel.Soria@ks.gov</w:t>
        </w:r>
      </w:hyperlink>
      <w:r>
        <w:rPr>
          <w:rFonts w:eastAsia="Calibri"/>
          <w:sz w:val="24"/>
          <w:szCs w:val="24"/>
        </w:rPr>
        <w:t xml:space="preserve">, </w:t>
      </w:r>
      <w:r w:rsidRPr="0050389D">
        <w:rPr>
          <w:rFonts w:eastAsia="Calibri"/>
          <w:sz w:val="24"/>
          <w:szCs w:val="24"/>
        </w:rPr>
        <w:t>(785) 296-1705</w:t>
      </w:r>
    </w:p>
    <w:p w14:paraId="0D4FF661" w14:textId="3C28CCD4" w:rsidR="0050389D" w:rsidRPr="0050389D" w:rsidRDefault="0050389D" w:rsidP="0050389D">
      <w:pPr>
        <w:pStyle w:val="P1-StandPara"/>
        <w:spacing w:before="100" w:beforeAutospacing="1" w:after="100" w:afterAutospacing="1" w:line="276" w:lineRule="auto"/>
        <w:ind w:firstLine="0"/>
        <w:rPr>
          <w:rFonts w:eastAsia="Calibri"/>
          <w:sz w:val="24"/>
          <w:szCs w:val="24"/>
        </w:rPr>
      </w:pPr>
      <w:r>
        <w:rPr>
          <w:rFonts w:eastAsia="Calibri"/>
          <w:b/>
          <w:sz w:val="24"/>
          <w:szCs w:val="24"/>
        </w:rPr>
        <w:t>Kentucky</w:t>
      </w:r>
      <w:r>
        <w:rPr>
          <w:rFonts w:eastAsia="Calibri"/>
          <w:sz w:val="24"/>
          <w:szCs w:val="24"/>
        </w:rPr>
        <w:t>:</w:t>
      </w:r>
      <w:r>
        <w:rPr>
          <w:rFonts w:eastAsia="Calibri"/>
          <w:sz w:val="24"/>
          <w:szCs w:val="24"/>
        </w:rPr>
        <w:tab/>
        <w:t xml:space="preserve">Cora McNabb, </w:t>
      </w:r>
      <w:hyperlink r:id="rId21" w:history="1">
        <w:r w:rsidRPr="00FE0F4A">
          <w:rPr>
            <w:rStyle w:val="Hyperlink"/>
            <w:rFonts w:eastAsia="Calibri"/>
            <w:sz w:val="24"/>
            <w:szCs w:val="24"/>
          </w:rPr>
          <w:t>cora.mcnabb@ky.gov</w:t>
        </w:r>
      </w:hyperlink>
      <w:r>
        <w:rPr>
          <w:rFonts w:eastAsia="Calibri"/>
          <w:sz w:val="24"/>
          <w:szCs w:val="24"/>
        </w:rPr>
        <w:t xml:space="preserve">, </w:t>
      </w:r>
      <w:r w:rsidRPr="0050389D">
        <w:rPr>
          <w:rFonts w:eastAsia="Calibri"/>
          <w:sz w:val="24"/>
          <w:szCs w:val="24"/>
        </w:rPr>
        <w:t>(502) 564-4440</w:t>
      </w:r>
    </w:p>
    <w:p w14:paraId="500CE13D" w14:textId="76E318CD" w:rsidR="0050389D" w:rsidRDefault="0050389D" w:rsidP="0050389D">
      <w:pPr>
        <w:pStyle w:val="P1-StandPara"/>
        <w:spacing w:before="100" w:beforeAutospacing="1" w:after="100" w:afterAutospacing="1" w:line="276" w:lineRule="auto"/>
        <w:ind w:left="288"/>
        <w:rPr>
          <w:rFonts w:eastAsia="Calibri"/>
          <w:sz w:val="24"/>
          <w:szCs w:val="24"/>
        </w:rPr>
      </w:pPr>
      <w:r w:rsidRPr="0050389D">
        <w:rPr>
          <w:rFonts w:eastAsia="Calibri"/>
          <w:sz w:val="24"/>
          <w:szCs w:val="24"/>
        </w:rPr>
        <w:t>Becky Cabe</w:t>
      </w:r>
      <w:r>
        <w:rPr>
          <w:rFonts w:eastAsia="Calibri"/>
          <w:sz w:val="24"/>
          <w:szCs w:val="24"/>
        </w:rPr>
        <w:t xml:space="preserve">, </w:t>
      </w:r>
      <w:hyperlink r:id="rId22" w:history="1">
        <w:r w:rsidRPr="00FE0F4A">
          <w:rPr>
            <w:rStyle w:val="Hyperlink"/>
            <w:rFonts w:eastAsia="Calibri"/>
            <w:sz w:val="24"/>
            <w:szCs w:val="24"/>
          </w:rPr>
          <w:t>becky.cabe@ky.gov</w:t>
        </w:r>
      </w:hyperlink>
      <w:r>
        <w:rPr>
          <w:rFonts w:eastAsia="Calibri"/>
          <w:sz w:val="24"/>
          <w:szCs w:val="24"/>
        </w:rPr>
        <w:t xml:space="preserve">, </w:t>
      </w:r>
      <w:r w:rsidRPr="0050389D">
        <w:rPr>
          <w:rFonts w:eastAsia="Calibri"/>
          <w:sz w:val="24"/>
          <w:szCs w:val="24"/>
        </w:rPr>
        <w:t>(502) 782-3415</w:t>
      </w:r>
    </w:p>
    <w:p w14:paraId="013B599A" w14:textId="7E8AE5FC" w:rsidR="0050389D" w:rsidRDefault="0050389D" w:rsidP="0050389D">
      <w:pPr>
        <w:pStyle w:val="P1-StandPara"/>
        <w:spacing w:before="100" w:beforeAutospacing="1" w:after="100" w:afterAutospacing="1" w:line="276" w:lineRule="auto"/>
        <w:ind w:left="288"/>
        <w:rPr>
          <w:rFonts w:eastAsia="Calibri"/>
          <w:sz w:val="24"/>
          <w:szCs w:val="24"/>
        </w:rPr>
      </w:pPr>
      <w:r>
        <w:rPr>
          <w:rFonts w:eastAsia="Calibri"/>
          <w:sz w:val="24"/>
          <w:szCs w:val="24"/>
        </w:rPr>
        <w:t xml:space="preserve">Chithra Adams, </w:t>
      </w:r>
      <w:hyperlink r:id="rId23" w:history="1">
        <w:r w:rsidRPr="00FE0F4A">
          <w:rPr>
            <w:rStyle w:val="Hyperlink"/>
            <w:rFonts w:eastAsia="Calibri"/>
            <w:sz w:val="24"/>
            <w:szCs w:val="24"/>
          </w:rPr>
          <w:t>chithra.adams@uky.edu</w:t>
        </w:r>
      </w:hyperlink>
      <w:r>
        <w:rPr>
          <w:rFonts w:eastAsia="Calibri"/>
          <w:sz w:val="24"/>
          <w:szCs w:val="24"/>
        </w:rPr>
        <w:t xml:space="preserve">, </w:t>
      </w:r>
      <w:r w:rsidRPr="0050389D">
        <w:rPr>
          <w:rFonts w:eastAsia="Calibri"/>
          <w:sz w:val="24"/>
          <w:szCs w:val="24"/>
        </w:rPr>
        <w:t>(859) 218-0245</w:t>
      </w:r>
    </w:p>
    <w:p w14:paraId="37B4A37F" w14:textId="035331EB" w:rsidR="0050389D" w:rsidRDefault="0050389D" w:rsidP="0050389D">
      <w:pPr>
        <w:pStyle w:val="P1-StandPara"/>
        <w:spacing w:before="100" w:beforeAutospacing="1" w:after="100" w:afterAutospacing="1" w:line="276" w:lineRule="auto"/>
        <w:ind w:firstLine="0"/>
        <w:rPr>
          <w:rFonts w:eastAsia="Calibri"/>
          <w:sz w:val="24"/>
          <w:szCs w:val="24"/>
        </w:rPr>
      </w:pPr>
      <w:r>
        <w:rPr>
          <w:rFonts w:eastAsia="Calibri"/>
          <w:b/>
          <w:sz w:val="24"/>
          <w:szCs w:val="24"/>
        </w:rPr>
        <w:t>Minnesota</w:t>
      </w:r>
      <w:r>
        <w:rPr>
          <w:rFonts w:eastAsia="Calibri"/>
          <w:sz w:val="24"/>
          <w:szCs w:val="24"/>
        </w:rPr>
        <w:t>:</w:t>
      </w:r>
      <w:r>
        <w:rPr>
          <w:rFonts w:eastAsia="Calibri"/>
          <w:sz w:val="24"/>
          <w:szCs w:val="24"/>
        </w:rPr>
        <w:tab/>
      </w:r>
      <w:r w:rsidRPr="0050389D">
        <w:rPr>
          <w:rFonts w:eastAsia="Calibri"/>
          <w:sz w:val="24"/>
          <w:szCs w:val="24"/>
        </w:rPr>
        <w:t>May Thao-Schuck</w:t>
      </w:r>
      <w:r>
        <w:rPr>
          <w:rFonts w:eastAsia="Calibri"/>
          <w:sz w:val="24"/>
          <w:szCs w:val="24"/>
        </w:rPr>
        <w:t xml:space="preserve">, </w:t>
      </w:r>
      <w:hyperlink r:id="rId24" w:history="1">
        <w:r w:rsidRPr="00FE0F4A">
          <w:rPr>
            <w:rStyle w:val="Hyperlink"/>
            <w:rFonts w:eastAsia="Calibri"/>
            <w:sz w:val="24"/>
            <w:szCs w:val="24"/>
          </w:rPr>
          <w:t>may.thao.schuck@state.mn.us</w:t>
        </w:r>
      </w:hyperlink>
      <w:r>
        <w:rPr>
          <w:rFonts w:eastAsia="Calibri"/>
          <w:sz w:val="24"/>
          <w:szCs w:val="24"/>
        </w:rPr>
        <w:t xml:space="preserve">, </w:t>
      </w:r>
      <w:r w:rsidRPr="0050389D">
        <w:rPr>
          <w:rFonts w:eastAsia="Calibri"/>
          <w:sz w:val="24"/>
          <w:szCs w:val="24"/>
        </w:rPr>
        <w:t>(651) 259-7563</w:t>
      </w:r>
    </w:p>
    <w:p w14:paraId="29AEA8B7" w14:textId="54E58492" w:rsidR="0050389D" w:rsidRDefault="0050389D" w:rsidP="0050389D">
      <w:pPr>
        <w:pStyle w:val="P1-StandPara"/>
        <w:spacing w:before="100" w:beforeAutospacing="1" w:after="100" w:afterAutospacing="1" w:line="276" w:lineRule="auto"/>
        <w:rPr>
          <w:rFonts w:eastAsia="Calibri"/>
          <w:sz w:val="24"/>
          <w:szCs w:val="24"/>
        </w:rPr>
      </w:pPr>
      <w:r>
        <w:rPr>
          <w:rFonts w:eastAsia="Calibri"/>
          <w:sz w:val="24"/>
          <w:szCs w:val="24"/>
        </w:rPr>
        <w:tab/>
      </w:r>
      <w:r w:rsidRPr="0050389D">
        <w:rPr>
          <w:rFonts w:eastAsia="Calibri"/>
          <w:sz w:val="24"/>
          <w:szCs w:val="24"/>
        </w:rPr>
        <w:t>Amy Carlson</w:t>
      </w:r>
      <w:r>
        <w:rPr>
          <w:rFonts w:eastAsia="Calibri"/>
          <w:sz w:val="24"/>
          <w:szCs w:val="24"/>
        </w:rPr>
        <w:t xml:space="preserve">, </w:t>
      </w:r>
      <w:hyperlink r:id="rId25" w:history="1">
        <w:r w:rsidRPr="00FE0F4A">
          <w:rPr>
            <w:rStyle w:val="Hyperlink"/>
            <w:rFonts w:eastAsia="Calibri"/>
            <w:sz w:val="24"/>
            <w:szCs w:val="24"/>
          </w:rPr>
          <w:t>amy.carlson@state.mn.us</w:t>
        </w:r>
      </w:hyperlink>
      <w:r>
        <w:rPr>
          <w:rFonts w:eastAsia="Calibri"/>
          <w:sz w:val="24"/>
          <w:szCs w:val="24"/>
        </w:rPr>
        <w:t xml:space="preserve">, </w:t>
      </w:r>
      <w:r w:rsidRPr="0050389D">
        <w:rPr>
          <w:rFonts w:eastAsia="Calibri"/>
          <w:sz w:val="24"/>
          <w:szCs w:val="24"/>
        </w:rPr>
        <w:t>(651) 259-7542</w:t>
      </w:r>
    </w:p>
    <w:p w14:paraId="041BC955" w14:textId="6E83CFD5" w:rsidR="0050389D" w:rsidRDefault="0050389D" w:rsidP="0050389D">
      <w:pPr>
        <w:pStyle w:val="P1-StandPara"/>
        <w:spacing w:before="100" w:beforeAutospacing="1" w:after="100" w:afterAutospacing="1" w:line="276" w:lineRule="auto"/>
        <w:ind w:firstLine="0"/>
        <w:rPr>
          <w:rFonts w:eastAsia="Calibri"/>
          <w:sz w:val="24"/>
          <w:szCs w:val="24"/>
        </w:rPr>
      </w:pPr>
      <w:r>
        <w:rPr>
          <w:rFonts w:eastAsia="Calibri"/>
          <w:b/>
          <w:sz w:val="24"/>
          <w:szCs w:val="24"/>
        </w:rPr>
        <w:t>Ohio</w:t>
      </w:r>
      <w:r>
        <w:rPr>
          <w:rFonts w:eastAsia="Calibri"/>
          <w:sz w:val="24"/>
          <w:szCs w:val="24"/>
        </w:rPr>
        <w:t>:</w:t>
      </w:r>
      <w:r>
        <w:rPr>
          <w:rFonts w:eastAsia="Calibri"/>
          <w:sz w:val="24"/>
          <w:szCs w:val="24"/>
        </w:rPr>
        <w:tab/>
      </w:r>
      <w:r>
        <w:rPr>
          <w:rFonts w:eastAsia="Calibri"/>
          <w:sz w:val="24"/>
          <w:szCs w:val="24"/>
        </w:rPr>
        <w:tab/>
      </w:r>
      <w:r w:rsidRPr="0050389D">
        <w:rPr>
          <w:rFonts w:eastAsia="Calibri"/>
          <w:sz w:val="24"/>
          <w:szCs w:val="24"/>
        </w:rPr>
        <w:t>Tom Hutter</w:t>
      </w:r>
      <w:r>
        <w:rPr>
          <w:rFonts w:eastAsia="Calibri"/>
          <w:sz w:val="24"/>
          <w:szCs w:val="24"/>
        </w:rPr>
        <w:t xml:space="preserve">, </w:t>
      </w:r>
      <w:hyperlink r:id="rId26" w:history="1">
        <w:r w:rsidRPr="00FE0F4A">
          <w:rPr>
            <w:rStyle w:val="Hyperlink"/>
            <w:rFonts w:eastAsia="Calibri"/>
            <w:sz w:val="24"/>
            <w:szCs w:val="24"/>
          </w:rPr>
          <w:t>Tom.Hutter@jfs.ohio.gov</w:t>
        </w:r>
      </w:hyperlink>
      <w:r>
        <w:rPr>
          <w:rFonts w:eastAsia="Calibri"/>
          <w:sz w:val="24"/>
          <w:szCs w:val="24"/>
        </w:rPr>
        <w:t xml:space="preserve">, </w:t>
      </w:r>
      <w:r w:rsidRPr="0050389D">
        <w:rPr>
          <w:rFonts w:eastAsia="Calibri"/>
          <w:sz w:val="24"/>
          <w:szCs w:val="24"/>
        </w:rPr>
        <w:t>(614) 466-9466</w:t>
      </w:r>
    </w:p>
    <w:p w14:paraId="4485BD29" w14:textId="4BEF7526" w:rsidR="0050389D" w:rsidRPr="0050389D" w:rsidRDefault="0050389D" w:rsidP="0050389D">
      <w:pPr>
        <w:pStyle w:val="P1-StandPara"/>
        <w:spacing w:before="100" w:beforeAutospacing="1" w:after="100" w:afterAutospacing="1" w:line="276" w:lineRule="auto"/>
        <w:ind w:firstLine="0"/>
        <w:rPr>
          <w:rFonts w:eastAsia="Calibri"/>
          <w:sz w:val="24"/>
          <w:szCs w:val="24"/>
        </w:rPr>
      </w:pPr>
      <w:r>
        <w:rPr>
          <w:rFonts w:eastAsia="Calibri"/>
          <w:b/>
          <w:sz w:val="24"/>
          <w:szCs w:val="24"/>
        </w:rPr>
        <w:t>Vermont</w:t>
      </w:r>
      <w:r>
        <w:rPr>
          <w:rFonts w:eastAsia="Calibri"/>
          <w:sz w:val="24"/>
          <w:szCs w:val="24"/>
        </w:rPr>
        <w:t>:</w:t>
      </w:r>
      <w:r>
        <w:rPr>
          <w:rFonts w:eastAsia="Calibri"/>
          <w:sz w:val="24"/>
          <w:szCs w:val="24"/>
        </w:rPr>
        <w:tab/>
        <w:t xml:space="preserve">Stephen Monahan, stephen.monahan@vermont.gov, </w:t>
      </w:r>
      <w:r w:rsidRPr="0050389D">
        <w:rPr>
          <w:rFonts w:eastAsia="Calibri"/>
          <w:sz w:val="24"/>
          <w:szCs w:val="24"/>
        </w:rPr>
        <w:t>(802) 828-2138</w:t>
      </w:r>
    </w:p>
    <w:p w14:paraId="11F9EE63" w14:textId="268A4BDF" w:rsidR="0050389D" w:rsidRDefault="0050389D" w:rsidP="0050389D">
      <w:pPr>
        <w:pStyle w:val="P1-StandPara"/>
        <w:spacing w:before="100" w:beforeAutospacing="1" w:after="100" w:afterAutospacing="1" w:line="276" w:lineRule="auto"/>
        <w:ind w:left="288"/>
        <w:rPr>
          <w:rFonts w:eastAsia="Calibri"/>
          <w:sz w:val="24"/>
          <w:szCs w:val="24"/>
        </w:rPr>
      </w:pPr>
      <w:r w:rsidRPr="0050389D">
        <w:rPr>
          <w:rFonts w:eastAsia="Calibri"/>
          <w:sz w:val="24"/>
          <w:szCs w:val="24"/>
        </w:rPr>
        <w:t>Karen Huyck</w:t>
      </w:r>
      <w:r>
        <w:rPr>
          <w:rFonts w:eastAsia="Calibri"/>
          <w:sz w:val="24"/>
          <w:szCs w:val="24"/>
        </w:rPr>
        <w:t xml:space="preserve">, </w:t>
      </w:r>
      <w:hyperlink r:id="rId27" w:history="1">
        <w:r w:rsidRPr="00FE0F4A">
          <w:rPr>
            <w:rStyle w:val="Hyperlink"/>
            <w:rFonts w:eastAsia="Calibri"/>
            <w:sz w:val="24"/>
            <w:szCs w:val="24"/>
          </w:rPr>
          <w:t>karen.huyck@dartmouth.edu</w:t>
        </w:r>
      </w:hyperlink>
      <w:r>
        <w:rPr>
          <w:rFonts w:eastAsia="Calibri"/>
          <w:sz w:val="24"/>
          <w:szCs w:val="24"/>
        </w:rPr>
        <w:t xml:space="preserve">, </w:t>
      </w:r>
      <w:r w:rsidRPr="0050389D">
        <w:rPr>
          <w:rFonts w:eastAsia="Calibri"/>
          <w:sz w:val="24"/>
          <w:szCs w:val="24"/>
        </w:rPr>
        <w:t>(617) 308-1079</w:t>
      </w:r>
    </w:p>
    <w:p w14:paraId="228D7A0A" w14:textId="327DFCBA" w:rsidR="0050389D" w:rsidRDefault="0050389D" w:rsidP="0050389D">
      <w:pPr>
        <w:pStyle w:val="P1-StandPara"/>
        <w:spacing w:before="100" w:beforeAutospacing="1" w:after="100" w:afterAutospacing="1" w:line="276" w:lineRule="auto"/>
        <w:ind w:left="288"/>
        <w:rPr>
          <w:rFonts w:eastAsia="Calibri"/>
          <w:sz w:val="24"/>
          <w:szCs w:val="24"/>
        </w:rPr>
      </w:pPr>
      <w:r w:rsidRPr="0050389D">
        <w:rPr>
          <w:rFonts w:eastAsia="Calibri"/>
          <w:sz w:val="24"/>
          <w:szCs w:val="24"/>
        </w:rPr>
        <w:t>Christine McDonough</w:t>
      </w:r>
      <w:r>
        <w:rPr>
          <w:rFonts w:eastAsia="Calibri"/>
          <w:sz w:val="24"/>
          <w:szCs w:val="24"/>
        </w:rPr>
        <w:t xml:space="preserve">, </w:t>
      </w:r>
      <w:hyperlink r:id="rId28" w:history="1">
        <w:r w:rsidRPr="00FE0F4A">
          <w:rPr>
            <w:rStyle w:val="Hyperlink"/>
            <w:rFonts w:eastAsia="Calibri"/>
            <w:sz w:val="24"/>
            <w:szCs w:val="24"/>
          </w:rPr>
          <w:t>cmm295@pitt.edu</w:t>
        </w:r>
      </w:hyperlink>
      <w:r>
        <w:rPr>
          <w:rFonts w:eastAsia="Calibri"/>
          <w:sz w:val="24"/>
          <w:szCs w:val="24"/>
        </w:rPr>
        <w:t xml:space="preserve">, </w:t>
      </w:r>
      <w:r w:rsidRPr="0050389D">
        <w:rPr>
          <w:rFonts w:eastAsia="Calibri"/>
          <w:sz w:val="24"/>
          <w:szCs w:val="24"/>
        </w:rPr>
        <w:t>(412) 383-4603</w:t>
      </w:r>
    </w:p>
    <w:p w14:paraId="26552EEF" w14:textId="51459E80" w:rsidR="0050389D" w:rsidRDefault="0050389D" w:rsidP="0050389D">
      <w:pPr>
        <w:pStyle w:val="P1-StandPara"/>
        <w:spacing w:before="100" w:beforeAutospacing="1" w:after="100" w:afterAutospacing="1" w:line="276" w:lineRule="auto"/>
        <w:ind w:firstLine="0"/>
        <w:rPr>
          <w:rFonts w:eastAsia="Calibri"/>
          <w:sz w:val="24"/>
          <w:szCs w:val="24"/>
        </w:rPr>
      </w:pPr>
      <w:r>
        <w:rPr>
          <w:rFonts w:eastAsia="Calibri"/>
          <w:b/>
          <w:sz w:val="24"/>
          <w:szCs w:val="24"/>
        </w:rPr>
        <w:t>Washington</w:t>
      </w:r>
      <w:r>
        <w:rPr>
          <w:rFonts w:eastAsia="Calibri"/>
          <w:sz w:val="24"/>
          <w:szCs w:val="24"/>
        </w:rPr>
        <w:t>:</w:t>
      </w:r>
      <w:r>
        <w:rPr>
          <w:rFonts w:eastAsia="Calibri"/>
          <w:sz w:val="24"/>
          <w:szCs w:val="24"/>
        </w:rPr>
        <w:tab/>
        <w:t xml:space="preserve">Hillary Rossi, </w:t>
      </w:r>
      <w:hyperlink r:id="rId29" w:history="1">
        <w:r w:rsidRPr="00FE0F4A">
          <w:rPr>
            <w:rStyle w:val="Hyperlink"/>
            <w:rFonts w:eastAsia="Calibri"/>
            <w:sz w:val="24"/>
            <w:szCs w:val="24"/>
          </w:rPr>
          <w:t>hrossi@esd.wa.gov</w:t>
        </w:r>
      </w:hyperlink>
      <w:r>
        <w:rPr>
          <w:rFonts w:eastAsia="Calibri"/>
          <w:sz w:val="24"/>
          <w:szCs w:val="24"/>
        </w:rPr>
        <w:t xml:space="preserve">, </w:t>
      </w:r>
      <w:r w:rsidRPr="0050389D">
        <w:rPr>
          <w:rFonts w:eastAsia="Calibri"/>
          <w:sz w:val="24"/>
          <w:szCs w:val="24"/>
        </w:rPr>
        <w:t>(360) 902-9507</w:t>
      </w:r>
    </w:p>
    <w:p w14:paraId="76DE68A4" w14:textId="77777777" w:rsidR="00432193" w:rsidRDefault="00432193" w:rsidP="0050389D">
      <w:pPr>
        <w:pStyle w:val="P1-StandPara"/>
        <w:spacing w:before="100" w:beforeAutospacing="1" w:after="100" w:afterAutospacing="1" w:line="276" w:lineRule="auto"/>
        <w:ind w:firstLine="0"/>
        <w:rPr>
          <w:rFonts w:eastAsia="Calibri"/>
          <w:sz w:val="24"/>
          <w:szCs w:val="24"/>
        </w:rPr>
      </w:pPr>
    </w:p>
    <w:p w14:paraId="67196563" w14:textId="3BDDE3CE" w:rsidR="000678DE" w:rsidRDefault="000678DE" w:rsidP="000678DE">
      <w:pPr>
        <w:pStyle w:val="P1-StandPara"/>
        <w:keepNext/>
        <w:spacing w:before="100" w:beforeAutospacing="1" w:after="100" w:afterAutospacing="1" w:line="276" w:lineRule="auto"/>
        <w:ind w:firstLine="0"/>
        <w:rPr>
          <w:rFonts w:eastAsia="Calibri"/>
          <w:sz w:val="24"/>
          <w:szCs w:val="24"/>
        </w:rPr>
      </w:pPr>
      <w:r>
        <w:rPr>
          <w:rFonts w:eastAsia="Calibri"/>
          <w:sz w:val="24"/>
          <w:szCs w:val="24"/>
        </w:rPr>
        <w:t xml:space="preserve">Contact information for DOL, which will obtain the </w:t>
      </w:r>
      <w:r w:rsidR="00E539D8">
        <w:rPr>
          <w:rFonts w:eastAsia="Calibri"/>
          <w:sz w:val="24"/>
          <w:szCs w:val="24"/>
        </w:rPr>
        <w:t>Q</w:t>
      </w:r>
      <w:r>
        <w:rPr>
          <w:rFonts w:eastAsia="Calibri"/>
          <w:sz w:val="24"/>
          <w:szCs w:val="24"/>
        </w:rPr>
        <w:t xml:space="preserve">uarterly </w:t>
      </w:r>
      <w:r w:rsidR="00E539D8">
        <w:rPr>
          <w:rFonts w:eastAsia="Calibri"/>
          <w:sz w:val="24"/>
          <w:szCs w:val="24"/>
        </w:rPr>
        <w:t>P</w:t>
      </w:r>
      <w:r>
        <w:rPr>
          <w:rFonts w:eastAsia="Calibri"/>
          <w:sz w:val="24"/>
          <w:szCs w:val="24"/>
        </w:rPr>
        <w:t xml:space="preserve">rogress </w:t>
      </w:r>
      <w:r w:rsidR="00E539D8">
        <w:rPr>
          <w:rFonts w:eastAsia="Calibri"/>
          <w:sz w:val="24"/>
          <w:szCs w:val="24"/>
        </w:rPr>
        <w:t>R</w:t>
      </w:r>
      <w:r>
        <w:rPr>
          <w:rFonts w:eastAsia="Calibri"/>
          <w:sz w:val="24"/>
          <w:szCs w:val="24"/>
        </w:rPr>
        <w:t xml:space="preserve">eports, including Appendix A that will contain metrics derived from data collected by the </w:t>
      </w:r>
      <w:r w:rsidR="00D54541">
        <w:rPr>
          <w:rFonts w:eastAsia="Calibri"/>
          <w:sz w:val="24"/>
          <w:szCs w:val="24"/>
        </w:rPr>
        <w:t>Baseline Participant Forms</w:t>
      </w:r>
      <w:r>
        <w:rPr>
          <w:rFonts w:eastAsia="Calibri"/>
          <w:sz w:val="24"/>
          <w:szCs w:val="24"/>
        </w:rPr>
        <w:t>, is as follows:</w:t>
      </w:r>
    </w:p>
    <w:p w14:paraId="54537782" w14:textId="77777777" w:rsidR="000678DE" w:rsidRDefault="000678DE" w:rsidP="000678DE">
      <w:pPr>
        <w:pStyle w:val="P1-StandPara"/>
        <w:keepNext/>
        <w:spacing w:before="100" w:beforeAutospacing="1" w:after="100" w:afterAutospacing="1" w:line="276" w:lineRule="auto"/>
        <w:ind w:firstLine="0"/>
        <w:rPr>
          <w:rFonts w:eastAsia="Calibri"/>
          <w:sz w:val="24"/>
          <w:szCs w:val="24"/>
        </w:rPr>
      </w:pPr>
      <w:r>
        <w:rPr>
          <w:rFonts w:eastAsia="Calibri"/>
          <w:b/>
          <w:sz w:val="24"/>
          <w:szCs w:val="24"/>
        </w:rPr>
        <w:t>DOL</w:t>
      </w:r>
      <w:r>
        <w:rPr>
          <w:rFonts w:eastAsia="Calibri"/>
          <w:sz w:val="24"/>
          <w:szCs w:val="24"/>
        </w:rPr>
        <w:t>:</w:t>
      </w:r>
      <w:r>
        <w:rPr>
          <w:rFonts w:eastAsia="Calibri"/>
          <w:sz w:val="24"/>
          <w:szCs w:val="24"/>
        </w:rPr>
        <w:tab/>
      </w:r>
      <w:r>
        <w:rPr>
          <w:rFonts w:eastAsia="Calibri"/>
          <w:sz w:val="24"/>
          <w:szCs w:val="24"/>
        </w:rPr>
        <w:tab/>
      </w:r>
      <w:r w:rsidRPr="005D58D1">
        <w:rPr>
          <w:rFonts w:eastAsia="Calibri"/>
          <w:sz w:val="24"/>
          <w:szCs w:val="24"/>
        </w:rPr>
        <w:t>David Rosenblum</w:t>
      </w:r>
      <w:r>
        <w:rPr>
          <w:rFonts w:eastAsia="Calibri"/>
          <w:sz w:val="24"/>
          <w:szCs w:val="24"/>
        </w:rPr>
        <w:t xml:space="preserve">, </w:t>
      </w:r>
      <w:hyperlink r:id="rId30" w:history="1">
        <w:r w:rsidRPr="00FE0F4A">
          <w:rPr>
            <w:rStyle w:val="Hyperlink"/>
            <w:rFonts w:eastAsia="Calibri"/>
            <w:sz w:val="24"/>
            <w:szCs w:val="24"/>
          </w:rPr>
          <w:t>rosenblum.david.b@dol.gov</w:t>
        </w:r>
      </w:hyperlink>
      <w:r>
        <w:rPr>
          <w:rFonts w:eastAsia="Calibri"/>
          <w:sz w:val="24"/>
          <w:szCs w:val="24"/>
        </w:rPr>
        <w:t xml:space="preserve">, </w:t>
      </w:r>
      <w:r w:rsidRPr="005D58D1">
        <w:rPr>
          <w:rFonts w:eastAsia="Calibri"/>
          <w:sz w:val="24"/>
          <w:szCs w:val="24"/>
        </w:rPr>
        <w:t>(202) 693-7840</w:t>
      </w:r>
    </w:p>
    <w:p w14:paraId="211C8953" w14:textId="77777777" w:rsidR="000678DE" w:rsidRPr="005D58D1" w:rsidRDefault="000678DE" w:rsidP="000678DE">
      <w:pPr>
        <w:pStyle w:val="P1-StandPara"/>
        <w:spacing w:before="100" w:beforeAutospacing="1" w:after="100" w:afterAutospacing="1" w:line="276" w:lineRule="auto"/>
        <w:rPr>
          <w:rFonts w:eastAsia="Calibri"/>
          <w:sz w:val="24"/>
          <w:szCs w:val="24"/>
        </w:rPr>
      </w:pPr>
      <w:r>
        <w:rPr>
          <w:rFonts w:eastAsia="Calibri"/>
          <w:sz w:val="24"/>
          <w:szCs w:val="24"/>
        </w:rPr>
        <w:tab/>
      </w:r>
      <w:r w:rsidRPr="005D58D1">
        <w:rPr>
          <w:rFonts w:eastAsia="Calibri"/>
          <w:sz w:val="24"/>
          <w:szCs w:val="24"/>
        </w:rPr>
        <w:t>Chris McLaren</w:t>
      </w:r>
      <w:r>
        <w:rPr>
          <w:rFonts w:eastAsia="Calibri"/>
          <w:sz w:val="24"/>
          <w:szCs w:val="24"/>
        </w:rPr>
        <w:t xml:space="preserve">, </w:t>
      </w:r>
      <w:hyperlink r:id="rId31" w:history="1">
        <w:r w:rsidRPr="00FE0F4A">
          <w:rPr>
            <w:rStyle w:val="Hyperlink"/>
            <w:rFonts w:eastAsia="Calibri"/>
            <w:sz w:val="24"/>
            <w:szCs w:val="24"/>
          </w:rPr>
          <w:t>mclaren.christopher@dol.gov</w:t>
        </w:r>
      </w:hyperlink>
      <w:r>
        <w:rPr>
          <w:rFonts w:eastAsia="Calibri"/>
          <w:sz w:val="24"/>
          <w:szCs w:val="24"/>
        </w:rPr>
        <w:t xml:space="preserve">, </w:t>
      </w:r>
      <w:r w:rsidRPr="005D58D1">
        <w:rPr>
          <w:rFonts w:eastAsia="Calibri"/>
          <w:sz w:val="24"/>
          <w:szCs w:val="24"/>
        </w:rPr>
        <w:t>(202) 693-7898</w:t>
      </w:r>
    </w:p>
    <w:p w14:paraId="287DE10B" w14:textId="77777777" w:rsidR="000678DE" w:rsidRDefault="000678DE" w:rsidP="00432193">
      <w:pPr>
        <w:pStyle w:val="P1-StandPara"/>
        <w:keepNext/>
        <w:spacing w:before="100" w:beforeAutospacing="1" w:after="100" w:afterAutospacing="1" w:line="276" w:lineRule="auto"/>
        <w:ind w:firstLine="0"/>
        <w:rPr>
          <w:rFonts w:eastAsia="Calibri"/>
          <w:sz w:val="24"/>
          <w:szCs w:val="24"/>
        </w:rPr>
      </w:pPr>
    </w:p>
    <w:p w14:paraId="51DEB1C9" w14:textId="41745F6E" w:rsidR="00581D8E" w:rsidRDefault="00581D8E" w:rsidP="00432193">
      <w:pPr>
        <w:pStyle w:val="P1-StandPara"/>
        <w:keepNext/>
        <w:spacing w:before="100" w:beforeAutospacing="1" w:after="100" w:afterAutospacing="1" w:line="276" w:lineRule="auto"/>
        <w:ind w:firstLine="0"/>
        <w:rPr>
          <w:rFonts w:eastAsia="Calibri"/>
          <w:sz w:val="24"/>
          <w:szCs w:val="24"/>
        </w:rPr>
      </w:pPr>
      <w:r>
        <w:rPr>
          <w:rFonts w:eastAsia="Calibri"/>
          <w:sz w:val="24"/>
          <w:szCs w:val="24"/>
        </w:rPr>
        <w:t>Contact information for SSA and the independent evaluator, who will obtain and use part of the data collected by the forms, is as follows:</w:t>
      </w:r>
    </w:p>
    <w:p w14:paraId="05E6C04B" w14:textId="205F65AA" w:rsidR="00581D8E" w:rsidRDefault="00896BD4" w:rsidP="00432193">
      <w:pPr>
        <w:pStyle w:val="P1-StandPara"/>
        <w:keepNext/>
        <w:spacing w:before="100" w:beforeAutospacing="1" w:after="100" w:afterAutospacing="1" w:line="276" w:lineRule="auto"/>
        <w:ind w:firstLine="0"/>
        <w:rPr>
          <w:rFonts w:eastAsia="Calibri"/>
          <w:sz w:val="24"/>
          <w:szCs w:val="24"/>
        </w:rPr>
      </w:pPr>
      <w:r w:rsidRPr="00896BD4">
        <w:rPr>
          <w:rFonts w:eastAsia="Calibri"/>
          <w:b/>
          <w:sz w:val="24"/>
          <w:szCs w:val="24"/>
        </w:rPr>
        <w:t>SSA</w:t>
      </w:r>
      <w:r>
        <w:rPr>
          <w:rFonts w:eastAsia="Calibri"/>
          <w:sz w:val="24"/>
          <w:szCs w:val="24"/>
        </w:rPr>
        <w:t xml:space="preserve">: </w:t>
      </w:r>
      <w:r>
        <w:rPr>
          <w:rFonts w:eastAsia="Calibri"/>
          <w:sz w:val="24"/>
          <w:szCs w:val="24"/>
        </w:rPr>
        <w:tab/>
      </w:r>
      <w:r>
        <w:rPr>
          <w:rFonts w:eastAsia="Calibri"/>
          <w:sz w:val="24"/>
          <w:szCs w:val="24"/>
        </w:rPr>
        <w:tab/>
      </w:r>
      <w:r w:rsidRPr="00896BD4">
        <w:rPr>
          <w:rFonts w:eastAsia="Calibri"/>
          <w:sz w:val="24"/>
          <w:szCs w:val="24"/>
        </w:rPr>
        <w:t>Jackson Costa</w:t>
      </w:r>
      <w:r>
        <w:rPr>
          <w:rFonts w:eastAsia="Calibri"/>
          <w:sz w:val="24"/>
          <w:szCs w:val="24"/>
        </w:rPr>
        <w:t xml:space="preserve">, </w:t>
      </w:r>
      <w:hyperlink r:id="rId32" w:history="1">
        <w:r w:rsidRPr="00FE0F4A">
          <w:rPr>
            <w:rStyle w:val="Hyperlink"/>
            <w:rFonts w:eastAsia="Calibri"/>
            <w:sz w:val="24"/>
            <w:szCs w:val="24"/>
          </w:rPr>
          <w:t>jackson.costa@ssa.gov</w:t>
        </w:r>
      </w:hyperlink>
      <w:r>
        <w:rPr>
          <w:rFonts w:eastAsia="Calibri"/>
          <w:sz w:val="24"/>
          <w:szCs w:val="24"/>
        </w:rPr>
        <w:t xml:space="preserve">, </w:t>
      </w:r>
      <w:r w:rsidRPr="00896BD4">
        <w:rPr>
          <w:rFonts w:eastAsia="Calibri"/>
          <w:sz w:val="24"/>
          <w:szCs w:val="24"/>
        </w:rPr>
        <w:t>(410) 965-2934</w:t>
      </w:r>
    </w:p>
    <w:p w14:paraId="06CBF2B1" w14:textId="41CD756B" w:rsidR="00896BD4" w:rsidRDefault="00896BD4" w:rsidP="00432193">
      <w:pPr>
        <w:pStyle w:val="P1-StandPara"/>
        <w:keepNext/>
        <w:spacing w:before="100" w:beforeAutospacing="1" w:after="100" w:afterAutospacing="1" w:line="276" w:lineRule="auto"/>
        <w:rPr>
          <w:rFonts w:eastAsia="Calibri"/>
          <w:sz w:val="24"/>
          <w:szCs w:val="24"/>
        </w:rPr>
      </w:pPr>
      <w:r>
        <w:rPr>
          <w:rFonts w:eastAsia="Calibri"/>
          <w:sz w:val="24"/>
          <w:szCs w:val="24"/>
        </w:rPr>
        <w:tab/>
      </w:r>
      <w:r w:rsidRPr="00896BD4">
        <w:rPr>
          <w:rFonts w:eastAsia="Calibri"/>
          <w:sz w:val="24"/>
          <w:szCs w:val="24"/>
        </w:rPr>
        <w:t>Emily Roessel</w:t>
      </w:r>
      <w:r>
        <w:rPr>
          <w:rFonts w:eastAsia="Calibri"/>
          <w:sz w:val="24"/>
          <w:szCs w:val="24"/>
        </w:rPr>
        <w:t xml:space="preserve">, </w:t>
      </w:r>
      <w:hyperlink r:id="rId33" w:history="1">
        <w:r w:rsidRPr="00FE0F4A">
          <w:rPr>
            <w:rStyle w:val="Hyperlink"/>
            <w:rFonts w:eastAsia="Calibri"/>
            <w:sz w:val="24"/>
            <w:szCs w:val="24"/>
          </w:rPr>
          <w:t>emily.roessel@ssa.gov</w:t>
        </w:r>
      </w:hyperlink>
      <w:r>
        <w:rPr>
          <w:rFonts w:eastAsia="Calibri"/>
          <w:sz w:val="24"/>
          <w:szCs w:val="24"/>
        </w:rPr>
        <w:t xml:space="preserve">, </w:t>
      </w:r>
      <w:r w:rsidRPr="00896BD4">
        <w:rPr>
          <w:rFonts w:eastAsia="Calibri"/>
          <w:sz w:val="24"/>
          <w:szCs w:val="24"/>
        </w:rPr>
        <w:t>(202) 358-6138</w:t>
      </w:r>
    </w:p>
    <w:p w14:paraId="021E5627" w14:textId="0B2BDDFA" w:rsidR="00896BD4" w:rsidRDefault="00896BD4" w:rsidP="00432193">
      <w:pPr>
        <w:pStyle w:val="P1-StandPara"/>
        <w:keepNext/>
        <w:spacing w:before="100" w:beforeAutospacing="1" w:after="100" w:afterAutospacing="1" w:line="276" w:lineRule="auto"/>
        <w:ind w:firstLine="0"/>
        <w:rPr>
          <w:rFonts w:eastAsia="Calibri"/>
          <w:sz w:val="24"/>
          <w:szCs w:val="24"/>
        </w:rPr>
      </w:pPr>
      <w:r>
        <w:rPr>
          <w:rFonts w:eastAsia="Calibri"/>
          <w:b/>
          <w:sz w:val="24"/>
          <w:szCs w:val="24"/>
        </w:rPr>
        <w:t>Evaluator</w:t>
      </w:r>
      <w:r>
        <w:rPr>
          <w:rFonts w:eastAsia="Calibri"/>
          <w:sz w:val="24"/>
          <w:szCs w:val="24"/>
        </w:rPr>
        <w:t>:</w:t>
      </w:r>
      <w:r>
        <w:rPr>
          <w:rFonts w:eastAsia="Calibri"/>
          <w:sz w:val="24"/>
          <w:szCs w:val="24"/>
        </w:rPr>
        <w:tab/>
      </w:r>
      <w:r w:rsidRPr="00896BD4">
        <w:rPr>
          <w:rFonts w:eastAsia="Calibri"/>
          <w:sz w:val="24"/>
          <w:szCs w:val="24"/>
        </w:rPr>
        <w:t>Dave Wittenburg</w:t>
      </w:r>
      <w:r>
        <w:rPr>
          <w:rFonts w:eastAsia="Calibri"/>
          <w:sz w:val="24"/>
          <w:szCs w:val="24"/>
        </w:rPr>
        <w:t xml:space="preserve">, </w:t>
      </w:r>
      <w:hyperlink r:id="rId34" w:history="1">
        <w:r w:rsidRPr="00FE0F4A">
          <w:rPr>
            <w:rStyle w:val="Hyperlink"/>
            <w:rFonts w:eastAsia="Calibri"/>
            <w:sz w:val="24"/>
            <w:szCs w:val="24"/>
          </w:rPr>
          <w:t>DWittenburg@mathematica-mpr.com</w:t>
        </w:r>
      </w:hyperlink>
      <w:r>
        <w:rPr>
          <w:rFonts w:eastAsia="Calibri"/>
          <w:sz w:val="24"/>
          <w:szCs w:val="24"/>
        </w:rPr>
        <w:t xml:space="preserve">, </w:t>
      </w:r>
      <w:r w:rsidRPr="00896BD4">
        <w:rPr>
          <w:rFonts w:eastAsia="Calibri"/>
          <w:sz w:val="24"/>
          <w:szCs w:val="24"/>
        </w:rPr>
        <w:t>(609) 945-3362</w:t>
      </w:r>
    </w:p>
    <w:p w14:paraId="7429C937" w14:textId="460D3056" w:rsidR="00896BD4" w:rsidRDefault="00896BD4" w:rsidP="00896BD4">
      <w:pPr>
        <w:pStyle w:val="P1-StandPara"/>
        <w:spacing w:before="100" w:beforeAutospacing="1" w:after="100" w:afterAutospacing="1" w:line="276" w:lineRule="auto"/>
        <w:rPr>
          <w:rFonts w:eastAsia="Calibri"/>
          <w:sz w:val="24"/>
          <w:szCs w:val="24"/>
        </w:rPr>
      </w:pPr>
      <w:r>
        <w:rPr>
          <w:rFonts w:eastAsia="Calibri"/>
          <w:sz w:val="24"/>
          <w:szCs w:val="24"/>
        </w:rPr>
        <w:tab/>
      </w:r>
      <w:r w:rsidRPr="00896BD4">
        <w:rPr>
          <w:rFonts w:eastAsia="Calibri"/>
          <w:sz w:val="24"/>
          <w:szCs w:val="24"/>
        </w:rPr>
        <w:t>Laura Kosar</w:t>
      </w:r>
      <w:r>
        <w:rPr>
          <w:rFonts w:eastAsia="Calibri"/>
          <w:sz w:val="24"/>
          <w:szCs w:val="24"/>
        </w:rPr>
        <w:t xml:space="preserve">, </w:t>
      </w:r>
      <w:hyperlink r:id="rId35" w:history="1">
        <w:r w:rsidRPr="00FE0F4A">
          <w:rPr>
            <w:rStyle w:val="Hyperlink"/>
            <w:rFonts w:eastAsia="Calibri"/>
            <w:sz w:val="24"/>
            <w:szCs w:val="24"/>
          </w:rPr>
          <w:t>LKosar@mathematica-mpr.com</w:t>
        </w:r>
      </w:hyperlink>
      <w:r>
        <w:rPr>
          <w:rFonts w:eastAsia="Calibri"/>
          <w:sz w:val="24"/>
          <w:szCs w:val="24"/>
        </w:rPr>
        <w:t xml:space="preserve">, </w:t>
      </w:r>
      <w:r w:rsidRPr="00896BD4">
        <w:rPr>
          <w:rFonts w:eastAsia="Calibri"/>
          <w:sz w:val="24"/>
          <w:szCs w:val="24"/>
        </w:rPr>
        <w:t>(202) 484-5268</w:t>
      </w:r>
    </w:p>
    <w:p w14:paraId="03043C12" w14:textId="77777777" w:rsidR="00432193" w:rsidRDefault="00432193" w:rsidP="00896BD4">
      <w:pPr>
        <w:pStyle w:val="P1-StandPara"/>
        <w:spacing w:before="100" w:beforeAutospacing="1" w:after="100" w:afterAutospacing="1" w:line="276" w:lineRule="auto"/>
        <w:rPr>
          <w:rFonts w:eastAsia="Calibri"/>
          <w:sz w:val="24"/>
          <w:szCs w:val="24"/>
        </w:rPr>
      </w:pPr>
    </w:p>
    <w:p w14:paraId="3C3AFADF" w14:textId="77777777" w:rsidR="0050389D" w:rsidRPr="0050389D" w:rsidRDefault="0050389D" w:rsidP="0050389D">
      <w:pPr>
        <w:pStyle w:val="P1-StandPara"/>
        <w:spacing w:before="100" w:beforeAutospacing="1" w:after="100" w:afterAutospacing="1" w:line="276" w:lineRule="auto"/>
        <w:rPr>
          <w:rFonts w:eastAsia="Calibri"/>
          <w:sz w:val="24"/>
          <w:szCs w:val="24"/>
        </w:rPr>
      </w:pPr>
    </w:p>
    <w:p w14:paraId="51C90AA6" w14:textId="0088007D" w:rsidR="0050389D" w:rsidRPr="0050389D" w:rsidRDefault="0050389D" w:rsidP="0050389D">
      <w:pPr>
        <w:pStyle w:val="P1-StandPara"/>
        <w:spacing w:before="100" w:beforeAutospacing="1" w:after="100" w:afterAutospacing="1" w:line="276" w:lineRule="auto"/>
        <w:ind w:firstLine="0"/>
        <w:rPr>
          <w:rFonts w:eastAsia="Calibri"/>
          <w:sz w:val="24"/>
          <w:szCs w:val="24"/>
        </w:rPr>
      </w:pPr>
    </w:p>
    <w:p w14:paraId="67E4F407" w14:textId="008079E3" w:rsidR="0050389D" w:rsidRPr="0029607B" w:rsidRDefault="0050389D" w:rsidP="001B105F">
      <w:pPr>
        <w:pStyle w:val="P1-StandPara"/>
        <w:spacing w:before="100" w:beforeAutospacing="1" w:after="100" w:afterAutospacing="1" w:line="276" w:lineRule="auto"/>
        <w:ind w:firstLine="0"/>
        <w:rPr>
          <w:rFonts w:eastAsia="Calibri"/>
          <w:sz w:val="24"/>
          <w:szCs w:val="24"/>
        </w:rPr>
      </w:pPr>
    </w:p>
    <w:sectPr w:rsidR="0050389D" w:rsidRPr="0029607B" w:rsidSect="004667F1">
      <w:footerReference w:type="default" r:id="rId36"/>
      <w:pgSz w:w="12240" w:h="15840" w:code="1"/>
      <w:pgMar w:top="1440" w:right="1440" w:bottom="1440" w:left="1440" w:header="720" w:footer="576"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B09CF" w14:textId="77777777" w:rsidR="003E16B4" w:rsidRDefault="003E16B4">
      <w:r>
        <w:separator/>
      </w:r>
    </w:p>
  </w:endnote>
  <w:endnote w:type="continuationSeparator" w:id="0">
    <w:p w14:paraId="570B22FA" w14:textId="77777777" w:rsidR="003E16B4" w:rsidRDefault="003E16B4">
      <w:r>
        <w:continuationSeparator/>
      </w:r>
    </w:p>
  </w:endnote>
  <w:endnote w:type="continuationNotice" w:id="1">
    <w:p w14:paraId="5D03E235" w14:textId="77777777" w:rsidR="003E16B4" w:rsidRDefault="003E16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636F2" w14:textId="77777777" w:rsidR="003E16B4" w:rsidRDefault="003E1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xxiv</w:t>
    </w:r>
    <w:r>
      <w:rPr>
        <w:rStyle w:val="PageNumber"/>
      </w:rPr>
      <w:fldChar w:fldCharType="end"/>
    </w:r>
  </w:p>
  <w:p w14:paraId="37B6971D" w14:textId="77777777" w:rsidR="003E16B4" w:rsidRDefault="003E16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049872"/>
      <w:docPartObj>
        <w:docPartGallery w:val="Page Numbers (Bottom of Page)"/>
        <w:docPartUnique/>
      </w:docPartObj>
    </w:sdtPr>
    <w:sdtEndPr>
      <w:rPr>
        <w:noProof/>
      </w:rPr>
    </w:sdtEndPr>
    <w:sdtContent>
      <w:p w14:paraId="5F6B63D3" w14:textId="3C2AEF26" w:rsidR="003E16B4" w:rsidRDefault="003E16B4">
        <w:pPr>
          <w:pStyle w:val="Footer"/>
          <w:jc w:val="center"/>
        </w:pPr>
        <w:r>
          <w:fldChar w:fldCharType="begin"/>
        </w:r>
        <w:r>
          <w:instrText xml:space="preserve"> PAGE   \* MERGEFORMAT </w:instrText>
        </w:r>
        <w:r>
          <w:fldChar w:fldCharType="separate"/>
        </w:r>
        <w:r w:rsidR="00A736C3">
          <w:rPr>
            <w:noProof/>
          </w:rPr>
          <w:t>1</w:t>
        </w:r>
        <w:r>
          <w:rPr>
            <w:noProof/>
          </w:rPr>
          <w:fldChar w:fldCharType="end"/>
        </w:r>
      </w:p>
    </w:sdtContent>
  </w:sdt>
  <w:p w14:paraId="735D5AA5" w14:textId="77777777" w:rsidR="003E16B4" w:rsidRDefault="003E16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926733"/>
      <w:docPartObj>
        <w:docPartGallery w:val="Page Numbers (Bottom of Page)"/>
        <w:docPartUnique/>
      </w:docPartObj>
    </w:sdtPr>
    <w:sdtEndPr>
      <w:rPr>
        <w:noProof/>
      </w:rPr>
    </w:sdtEndPr>
    <w:sdtContent>
      <w:p w14:paraId="12CA7661" w14:textId="51765C62" w:rsidR="003E16B4" w:rsidRDefault="003E16B4">
        <w:pPr>
          <w:pStyle w:val="Footer"/>
          <w:jc w:val="center"/>
        </w:pPr>
        <w:r>
          <w:fldChar w:fldCharType="begin"/>
        </w:r>
        <w:r>
          <w:instrText xml:space="preserve"> PAGE   \* MERGEFORMAT </w:instrText>
        </w:r>
        <w:r>
          <w:fldChar w:fldCharType="separate"/>
        </w:r>
        <w:r w:rsidR="009A10E4">
          <w:rPr>
            <w:noProof/>
          </w:rPr>
          <w:t>5</w:t>
        </w:r>
        <w:r>
          <w:rPr>
            <w:noProof/>
          </w:rPr>
          <w:fldChar w:fldCharType="end"/>
        </w:r>
      </w:p>
    </w:sdtContent>
  </w:sdt>
  <w:p w14:paraId="4EF459DA" w14:textId="69589E9C" w:rsidR="003E16B4" w:rsidRDefault="003E16B4" w:rsidP="000D282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7FB63" w14:textId="77777777" w:rsidR="003E16B4" w:rsidRDefault="003E16B4">
      <w:pPr>
        <w:pStyle w:val="SL-FlLftSgl"/>
      </w:pPr>
      <w:r>
        <w:separator/>
      </w:r>
    </w:p>
  </w:footnote>
  <w:footnote w:type="continuationSeparator" w:id="0">
    <w:p w14:paraId="44866C67" w14:textId="77777777" w:rsidR="003E16B4" w:rsidRDefault="003E16B4">
      <w:r>
        <w:continuationSeparator/>
      </w:r>
    </w:p>
  </w:footnote>
  <w:footnote w:type="continuationNotice" w:id="1">
    <w:p w14:paraId="0C123F74" w14:textId="77777777" w:rsidR="003E16B4" w:rsidRDefault="003E16B4">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5786ADE"/>
    <w:lvl w:ilvl="0">
      <w:start w:val="1"/>
      <w:numFmt w:val="decimal"/>
      <w:pStyle w:val="ListNumber"/>
      <w:lvlText w:val="%1."/>
      <w:lvlJc w:val="left"/>
      <w:pPr>
        <w:tabs>
          <w:tab w:val="num" w:pos="360"/>
        </w:tabs>
        <w:ind w:left="360" w:hanging="360"/>
      </w:pPr>
      <w:rPr>
        <w:b w:val="0"/>
      </w:rPr>
    </w:lvl>
  </w:abstractNum>
  <w:abstractNum w:abstractNumId="1">
    <w:nsid w:val="0181615C"/>
    <w:multiLevelType w:val="hybridMultilevel"/>
    <w:tmpl w:val="B93A7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982B7E"/>
    <w:multiLevelType w:val="multilevel"/>
    <w:tmpl w:val="6D4C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1C5AA3"/>
    <w:multiLevelType w:val="hybridMultilevel"/>
    <w:tmpl w:val="54C68B72"/>
    <w:lvl w:ilvl="0" w:tplc="99E4404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nsid w:val="04BF3258"/>
    <w:multiLevelType w:val="hybridMultilevel"/>
    <w:tmpl w:val="219486B2"/>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E54A8A"/>
    <w:multiLevelType w:val="hybridMultilevel"/>
    <w:tmpl w:val="A448DC52"/>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A8F50D1"/>
    <w:multiLevelType w:val="hybridMultilevel"/>
    <w:tmpl w:val="553A10F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D7D26C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6109EA"/>
    <w:multiLevelType w:val="hybridMultilevel"/>
    <w:tmpl w:val="0C380D5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nsid w:val="17D161DC"/>
    <w:multiLevelType w:val="hybridMultilevel"/>
    <w:tmpl w:val="1E2A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6F4041"/>
    <w:multiLevelType w:val="hybridMultilevel"/>
    <w:tmpl w:val="885E1D7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1061884"/>
    <w:multiLevelType w:val="singleLevel"/>
    <w:tmpl w:val="04090011"/>
    <w:lvl w:ilvl="0">
      <w:start w:val="1"/>
      <w:numFmt w:val="decimal"/>
      <w:pStyle w:val="Level1"/>
      <w:lvlText w:val="%1)"/>
      <w:lvlJc w:val="left"/>
      <w:pPr>
        <w:tabs>
          <w:tab w:val="num" w:pos="360"/>
        </w:tabs>
        <w:ind w:left="360" w:hanging="360"/>
      </w:pPr>
      <w:rPr>
        <w:rFonts w:hint="default"/>
      </w:rPr>
    </w:lvl>
  </w:abstractNum>
  <w:abstractNum w:abstractNumId="15">
    <w:nsid w:val="234D02C3"/>
    <w:multiLevelType w:val="hybridMultilevel"/>
    <w:tmpl w:val="7A987B22"/>
    <w:lvl w:ilvl="0" w:tplc="536479DE">
      <w:start w:val="1"/>
      <w:numFmt w:val="upperLetter"/>
      <w:lvlText w:val="%1."/>
      <w:lvlJc w:val="left"/>
      <w:pPr>
        <w:ind w:left="1440" w:hanging="360"/>
      </w:pPr>
      <w:rPr>
        <w:rFonts w:ascii="Garamond" w:eastAsia="Calibri" w:hAnsi="Garamond"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66B0E8F"/>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97D6443"/>
    <w:multiLevelType w:val="hybridMultilevel"/>
    <w:tmpl w:val="50DA0C3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DF25013"/>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E75762B"/>
    <w:multiLevelType w:val="hybridMultilevel"/>
    <w:tmpl w:val="4538FC6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1">
    <w:nsid w:val="336D0AC3"/>
    <w:multiLevelType w:val="hybridMultilevel"/>
    <w:tmpl w:val="19CCF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D61B6F"/>
    <w:multiLevelType w:val="hybridMultilevel"/>
    <w:tmpl w:val="66900E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6AE6814"/>
    <w:multiLevelType w:val="hybridMultilevel"/>
    <w:tmpl w:val="411C28B2"/>
    <w:lvl w:ilvl="0" w:tplc="757A56CC">
      <w:start w:val="1"/>
      <w:numFmt w:val="decimal"/>
      <w:pStyle w:val="Numberlist2"/>
      <w:lvlText w:val="%1."/>
      <w:lvlJc w:val="left"/>
      <w:pPr>
        <w:tabs>
          <w:tab w:val="num" w:pos="1080"/>
        </w:tabs>
        <w:ind w:left="720" w:firstLine="0"/>
      </w:pPr>
      <w:rPr>
        <w:rFonts w:ascii="Times New Roman" w:hAnsi="Times New Roman" w:hint="default"/>
        <w:b/>
        <w:i w:val="0"/>
        <w:sz w:val="22"/>
      </w:rPr>
    </w:lvl>
    <w:lvl w:ilvl="1" w:tplc="3C9C8FAA">
      <w:start w:val="1"/>
      <w:numFmt w:val="decimal"/>
      <w:lvlText w:val="%2."/>
      <w:lvlJc w:val="left"/>
      <w:pPr>
        <w:tabs>
          <w:tab w:val="num" w:pos="1440"/>
        </w:tabs>
        <w:ind w:left="1440" w:hanging="360"/>
      </w:pPr>
      <w:rPr>
        <w:rFonts w:hint="default"/>
      </w:rPr>
    </w:lvl>
    <w:lvl w:ilvl="2" w:tplc="E466CA28">
      <w:start w:val="12"/>
      <w:numFmt w:val="decimal"/>
      <w:lvlText w:val="%3"/>
      <w:lvlJc w:val="left"/>
      <w:pPr>
        <w:tabs>
          <w:tab w:val="num" w:pos="2340"/>
        </w:tabs>
        <w:ind w:left="2340" w:hanging="360"/>
      </w:pPr>
      <w:rPr>
        <w:rFonts w:hint="default"/>
      </w:rPr>
    </w:lvl>
    <w:lvl w:ilvl="3" w:tplc="BA0CDAC6">
      <w:start w:val="6"/>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7020356"/>
    <w:multiLevelType w:val="hybridMultilevel"/>
    <w:tmpl w:val="30EE8DDE"/>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FC1047F"/>
    <w:multiLevelType w:val="hybridMultilevel"/>
    <w:tmpl w:val="791A5AA4"/>
    <w:lvl w:ilvl="0" w:tplc="83721EF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6">
    <w:nsid w:val="413E3412"/>
    <w:multiLevelType w:val="hybridMultilevel"/>
    <w:tmpl w:val="8FBEE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686415"/>
    <w:multiLevelType w:val="hybridMultilevel"/>
    <w:tmpl w:val="7CCC38C6"/>
    <w:lvl w:ilvl="0" w:tplc="5ABC4C06">
      <w:start w:val="1"/>
      <w:numFmt w:val="decimal"/>
      <w:pStyle w:val="Numberlist"/>
      <w:lvlText w:val="%1."/>
      <w:lvlJc w:val="left"/>
      <w:pPr>
        <w:tabs>
          <w:tab w:val="num" w:pos="1440"/>
        </w:tabs>
        <w:ind w:left="1440" w:hanging="360"/>
      </w:pPr>
      <w:rPr>
        <w:rFonts w:hint="default"/>
      </w:rPr>
    </w:lvl>
    <w:lvl w:ilvl="1" w:tplc="548612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61F505E"/>
    <w:multiLevelType w:val="hybridMultilevel"/>
    <w:tmpl w:val="C6E0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30">
    <w:nsid w:val="479D147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9417FD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49D661B2"/>
    <w:multiLevelType w:val="hybridMultilevel"/>
    <w:tmpl w:val="4AE6D38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3">
    <w:nsid w:val="4AB25792"/>
    <w:multiLevelType w:val="hybridMultilevel"/>
    <w:tmpl w:val="3A0EA85A"/>
    <w:lvl w:ilvl="0" w:tplc="A69E75C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4">
    <w:nsid w:val="4BBB0FA7"/>
    <w:multiLevelType w:val="hybridMultilevel"/>
    <w:tmpl w:val="58ECB0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616FF1"/>
    <w:multiLevelType w:val="hybridMultilevel"/>
    <w:tmpl w:val="7A1E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814079"/>
    <w:multiLevelType w:val="hybridMultilevel"/>
    <w:tmpl w:val="36F48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C9A6258"/>
    <w:multiLevelType w:val="hybridMultilevel"/>
    <w:tmpl w:val="3A2625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0040270"/>
    <w:multiLevelType w:val="hybridMultilevel"/>
    <w:tmpl w:val="AAA61E00"/>
    <w:lvl w:ilvl="0" w:tplc="0A40BB86">
      <w:start w:val="1"/>
      <w:numFmt w:val="bullet"/>
      <w:pStyle w:val="N3-Arial12"/>
      <w:lvlText w:val="-"/>
      <w:lvlJc w:val="left"/>
      <w:pPr>
        <w:tabs>
          <w:tab w:val="num" w:pos="2304"/>
        </w:tabs>
        <w:ind w:left="2304" w:hanging="576"/>
      </w:pPr>
      <w:rPr>
        <w:rFonts w:ascii="Arial" w:hAnsi="Arial" w:hint="default"/>
        <w:sz w:val="24"/>
        <w:szCs w:val="24"/>
      </w:rPr>
    </w:lvl>
    <w:lvl w:ilvl="1" w:tplc="9F94697E" w:tentative="1">
      <w:start w:val="1"/>
      <w:numFmt w:val="bullet"/>
      <w:lvlText w:val="o"/>
      <w:lvlJc w:val="left"/>
      <w:pPr>
        <w:tabs>
          <w:tab w:val="num" w:pos="1440"/>
        </w:tabs>
        <w:ind w:left="1440" w:hanging="360"/>
      </w:pPr>
      <w:rPr>
        <w:rFonts w:ascii="Courier New" w:hAnsi="Courier New" w:cs="WP MathA" w:hint="default"/>
      </w:rPr>
    </w:lvl>
    <w:lvl w:ilvl="2" w:tplc="8B20E590" w:tentative="1">
      <w:start w:val="1"/>
      <w:numFmt w:val="bullet"/>
      <w:lvlText w:val=""/>
      <w:lvlJc w:val="left"/>
      <w:pPr>
        <w:tabs>
          <w:tab w:val="num" w:pos="2160"/>
        </w:tabs>
        <w:ind w:left="2160" w:hanging="360"/>
      </w:pPr>
      <w:rPr>
        <w:rFonts w:ascii="Wingdings" w:hAnsi="Wingdings" w:hint="default"/>
      </w:rPr>
    </w:lvl>
    <w:lvl w:ilvl="3" w:tplc="53AA0D06" w:tentative="1">
      <w:start w:val="1"/>
      <w:numFmt w:val="bullet"/>
      <w:lvlText w:val=""/>
      <w:lvlJc w:val="left"/>
      <w:pPr>
        <w:tabs>
          <w:tab w:val="num" w:pos="2880"/>
        </w:tabs>
        <w:ind w:left="2880" w:hanging="360"/>
      </w:pPr>
      <w:rPr>
        <w:rFonts w:ascii="Symbol" w:hAnsi="Symbol" w:hint="default"/>
      </w:rPr>
    </w:lvl>
    <w:lvl w:ilvl="4" w:tplc="09369BDA" w:tentative="1">
      <w:start w:val="1"/>
      <w:numFmt w:val="bullet"/>
      <w:lvlText w:val="o"/>
      <w:lvlJc w:val="left"/>
      <w:pPr>
        <w:tabs>
          <w:tab w:val="num" w:pos="3600"/>
        </w:tabs>
        <w:ind w:left="3600" w:hanging="360"/>
      </w:pPr>
      <w:rPr>
        <w:rFonts w:ascii="Courier New" w:hAnsi="Courier New" w:cs="WP MathA" w:hint="default"/>
      </w:rPr>
    </w:lvl>
    <w:lvl w:ilvl="5" w:tplc="97344446" w:tentative="1">
      <w:start w:val="1"/>
      <w:numFmt w:val="bullet"/>
      <w:lvlText w:val=""/>
      <w:lvlJc w:val="left"/>
      <w:pPr>
        <w:tabs>
          <w:tab w:val="num" w:pos="4320"/>
        </w:tabs>
        <w:ind w:left="4320" w:hanging="360"/>
      </w:pPr>
      <w:rPr>
        <w:rFonts w:ascii="Wingdings" w:hAnsi="Wingdings" w:hint="default"/>
      </w:rPr>
    </w:lvl>
    <w:lvl w:ilvl="6" w:tplc="A754CB66" w:tentative="1">
      <w:start w:val="1"/>
      <w:numFmt w:val="bullet"/>
      <w:lvlText w:val=""/>
      <w:lvlJc w:val="left"/>
      <w:pPr>
        <w:tabs>
          <w:tab w:val="num" w:pos="5040"/>
        </w:tabs>
        <w:ind w:left="5040" w:hanging="360"/>
      </w:pPr>
      <w:rPr>
        <w:rFonts w:ascii="Symbol" w:hAnsi="Symbol" w:hint="default"/>
      </w:rPr>
    </w:lvl>
    <w:lvl w:ilvl="7" w:tplc="A7AAA118" w:tentative="1">
      <w:start w:val="1"/>
      <w:numFmt w:val="bullet"/>
      <w:lvlText w:val="o"/>
      <w:lvlJc w:val="left"/>
      <w:pPr>
        <w:tabs>
          <w:tab w:val="num" w:pos="5760"/>
        </w:tabs>
        <w:ind w:left="5760" w:hanging="360"/>
      </w:pPr>
      <w:rPr>
        <w:rFonts w:ascii="Courier New" w:hAnsi="Courier New" w:cs="WP MathA" w:hint="default"/>
      </w:rPr>
    </w:lvl>
    <w:lvl w:ilvl="8" w:tplc="B2B20790" w:tentative="1">
      <w:start w:val="1"/>
      <w:numFmt w:val="bullet"/>
      <w:lvlText w:val=""/>
      <w:lvlJc w:val="left"/>
      <w:pPr>
        <w:tabs>
          <w:tab w:val="num" w:pos="6480"/>
        </w:tabs>
        <w:ind w:left="6480" w:hanging="360"/>
      </w:pPr>
      <w:rPr>
        <w:rFonts w:ascii="Wingdings" w:hAnsi="Wingdings" w:hint="default"/>
      </w:rPr>
    </w:lvl>
  </w:abstractNum>
  <w:abstractNum w:abstractNumId="39">
    <w:nsid w:val="50AF04CC"/>
    <w:multiLevelType w:val="hybridMultilevel"/>
    <w:tmpl w:val="40BE14E0"/>
    <w:lvl w:ilvl="0" w:tplc="64D81976">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0">
    <w:nsid w:val="57483BC8"/>
    <w:multiLevelType w:val="hybridMultilevel"/>
    <w:tmpl w:val="4B9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40455D"/>
    <w:multiLevelType w:val="hybridMultilevel"/>
    <w:tmpl w:val="9CA4CAE4"/>
    <w:lvl w:ilvl="0" w:tplc="CFA6937A">
      <w:start w:val="1"/>
      <w:numFmt w:val="bullet"/>
      <w:pStyle w:val="ListBullet"/>
      <w:lvlText w:val=""/>
      <w:lvlJc w:val="left"/>
      <w:pPr>
        <w:tabs>
          <w:tab w:val="num" w:pos="504"/>
        </w:tabs>
        <w:ind w:left="504" w:hanging="504"/>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A780805"/>
    <w:multiLevelType w:val="hybridMultilevel"/>
    <w:tmpl w:val="BA6C612A"/>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EB518DF"/>
    <w:multiLevelType w:val="hybridMultilevel"/>
    <w:tmpl w:val="99D89B6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61B17C91"/>
    <w:multiLevelType w:val="hybridMultilevel"/>
    <w:tmpl w:val="1E52A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38F43D1"/>
    <w:multiLevelType w:val="hybridMultilevel"/>
    <w:tmpl w:val="F7AAEE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6">
    <w:nsid w:val="65E60053"/>
    <w:multiLevelType w:val="hybridMultilevel"/>
    <w:tmpl w:val="3FCE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6395E0F"/>
    <w:multiLevelType w:val="hybridMultilevel"/>
    <w:tmpl w:val="70329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6534C41"/>
    <w:multiLevelType w:val="hybridMultilevel"/>
    <w:tmpl w:val="A956F92C"/>
    <w:lvl w:ilvl="0" w:tplc="97AAD3F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9">
    <w:nsid w:val="68071F71"/>
    <w:multiLevelType w:val="hybridMultilevel"/>
    <w:tmpl w:val="D3CC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CB53D1F"/>
    <w:multiLevelType w:val="hybridMultilevel"/>
    <w:tmpl w:val="3F0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D0391F"/>
    <w:multiLevelType w:val="hybridMultilevel"/>
    <w:tmpl w:val="1BBE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D7F6D2B"/>
    <w:multiLevelType w:val="hybridMultilevel"/>
    <w:tmpl w:val="42AAFC66"/>
    <w:lvl w:ilvl="0" w:tplc="D688A40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3">
    <w:nsid w:val="75342965"/>
    <w:multiLevelType w:val="hybridMultilevel"/>
    <w:tmpl w:val="44AE44A4"/>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B5E482AC">
      <w:start w:val="1"/>
      <w:numFmt w:val="upperLetter"/>
      <w:lvlText w:val="%3."/>
      <w:lvlJc w:val="lef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755807F5"/>
    <w:multiLevelType w:val="hybridMultilevel"/>
    <w:tmpl w:val="073E41C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77D16FE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77D4575B"/>
    <w:multiLevelType w:val="hybridMultilevel"/>
    <w:tmpl w:val="0C046B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92256A3"/>
    <w:multiLevelType w:val="hybridMultilevel"/>
    <w:tmpl w:val="B20E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38"/>
  </w:num>
  <w:num w:numId="4">
    <w:abstractNumId w:val="29"/>
  </w:num>
  <w:num w:numId="5">
    <w:abstractNumId w:val="27"/>
  </w:num>
  <w:num w:numId="6">
    <w:abstractNumId w:val="41"/>
  </w:num>
  <w:num w:numId="7">
    <w:abstractNumId w:val="23"/>
  </w:num>
  <w:num w:numId="8">
    <w:abstractNumId w:val="9"/>
  </w:num>
  <w:num w:numId="9">
    <w:abstractNumId w:val="28"/>
  </w:num>
  <w:num w:numId="10">
    <w:abstractNumId w:val="5"/>
  </w:num>
  <w:num w:numId="11">
    <w:abstractNumId w:val="35"/>
  </w:num>
  <w:num w:numId="12">
    <w:abstractNumId w:val="17"/>
  </w:num>
  <w:num w:numId="13">
    <w:abstractNumId w:val="12"/>
  </w:num>
  <w:num w:numId="14">
    <w:abstractNumId w:val="57"/>
  </w:num>
  <w:num w:numId="15">
    <w:abstractNumId w:val="46"/>
  </w:num>
  <w:num w:numId="16">
    <w:abstractNumId w:val="50"/>
  </w:num>
  <w:num w:numId="17">
    <w:abstractNumId w:val="4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56"/>
  </w:num>
  <w:num w:numId="21">
    <w:abstractNumId w:val="53"/>
  </w:num>
  <w:num w:numId="22">
    <w:abstractNumId w:val="43"/>
  </w:num>
  <w:num w:numId="23">
    <w:abstractNumId w:val="1"/>
  </w:num>
  <w:num w:numId="24">
    <w:abstractNumId w:val="15"/>
  </w:num>
  <w:num w:numId="25">
    <w:abstractNumId w:val="42"/>
  </w:num>
  <w:num w:numId="26">
    <w:abstractNumId w:val="13"/>
  </w:num>
  <w:num w:numId="27">
    <w:abstractNumId w:val="55"/>
  </w:num>
  <w:num w:numId="28">
    <w:abstractNumId w:val="19"/>
  </w:num>
  <w:num w:numId="29">
    <w:abstractNumId w:val="45"/>
  </w:num>
  <w:num w:numId="30">
    <w:abstractNumId w:val="10"/>
  </w:num>
  <w:num w:numId="31">
    <w:abstractNumId w:val="7"/>
  </w:num>
  <w:num w:numId="32">
    <w:abstractNumId w:val="37"/>
  </w:num>
  <w:num w:numId="33">
    <w:abstractNumId w:val="54"/>
  </w:num>
  <w:num w:numId="34">
    <w:abstractNumId w:val="22"/>
  </w:num>
  <w:num w:numId="35">
    <w:abstractNumId w:val="16"/>
  </w:num>
  <w:num w:numId="36">
    <w:abstractNumId w:val="32"/>
  </w:num>
  <w:num w:numId="37">
    <w:abstractNumId w:val="31"/>
  </w:num>
  <w:num w:numId="38">
    <w:abstractNumId w:val="4"/>
  </w:num>
  <w:num w:numId="39">
    <w:abstractNumId w:val="24"/>
  </w:num>
  <w:num w:numId="40">
    <w:abstractNumId w:val="18"/>
  </w:num>
  <w:num w:numId="41">
    <w:abstractNumId w:val="0"/>
  </w:num>
  <w:num w:numId="42">
    <w:abstractNumId w:val="11"/>
  </w:num>
  <w:num w:numId="43">
    <w:abstractNumId w:val="26"/>
  </w:num>
  <w:num w:numId="44">
    <w:abstractNumId w:val="44"/>
  </w:num>
  <w:num w:numId="45">
    <w:abstractNumId w:val="52"/>
  </w:num>
  <w:num w:numId="46">
    <w:abstractNumId w:val="36"/>
  </w:num>
  <w:num w:numId="47">
    <w:abstractNumId w:val="3"/>
  </w:num>
  <w:num w:numId="48">
    <w:abstractNumId w:val="48"/>
  </w:num>
  <w:num w:numId="49">
    <w:abstractNumId w:val="39"/>
  </w:num>
  <w:num w:numId="50">
    <w:abstractNumId w:val="25"/>
  </w:num>
  <w:num w:numId="51">
    <w:abstractNumId w:val="33"/>
  </w:num>
  <w:num w:numId="52">
    <w:abstractNumId w:val="8"/>
  </w:num>
  <w:num w:numId="53">
    <w:abstractNumId w:val="2"/>
  </w:num>
  <w:num w:numId="54">
    <w:abstractNumId w:val="34"/>
  </w:num>
  <w:num w:numId="55">
    <w:abstractNumId w:val="47"/>
  </w:num>
  <w:num w:numId="56">
    <w:abstractNumId w:val="21"/>
  </w:num>
  <w:num w:numId="57">
    <w:abstractNumId w:val="51"/>
  </w:num>
  <w:num w:numId="58">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10"/>
  <w:displayHorizontalDrawingGridEvery w:val="0"/>
  <w:displayVerticalDrawingGridEvery w:val="0"/>
  <w:noPunctuationKerning/>
  <w:characterSpacingControl w:val="doNotCompress"/>
  <w:hdrShapeDefaults>
    <o:shapedefaults v:ext="edit" spidmax="67585"/>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B85"/>
    <w:rsid w:val="00002302"/>
    <w:rsid w:val="00013361"/>
    <w:rsid w:val="00016BFC"/>
    <w:rsid w:val="00023033"/>
    <w:rsid w:val="000301BE"/>
    <w:rsid w:val="0003196C"/>
    <w:rsid w:val="00033C92"/>
    <w:rsid w:val="0003747E"/>
    <w:rsid w:val="000412E0"/>
    <w:rsid w:val="000415B8"/>
    <w:rsid w:val="00042A1B"/>
    <w:rsid w:val="00042CBD"/>
    <w:rsid w:val="00046796"/>
    <w:rsid w:val="00046C20"/>
    <w:rsid w:val="00046F23"/>
    <w:rsid w:val="00051EF5"/>
    <w:rsid w:val="0005577C"/>
    <w:rsid w:val="0006568A"/>
    <w:rsid w:val="000678DE"/>
    <w:rsid w:val="00073ECB"/>
    <w:rsid w:val="00074DAA"/>
    <w:rsid w:val="0008187A"/>
    <w:rsid w:val="000818AF"/>
    <w:rsid w:val="00085465"/>
    <w:rsid w:val="0008657D"/>
    <w:rsid w:val="00094AEE"/>
    <w:rsid w:val="000A3223"/>
    <w:rsid w:val="000A43C9"/>
    <w:rsid w:val="000A5EC2"/>
    <w:rsid w:val="000A60F8"/>
    <w:rsid w:val="000B4D22"/>
    <w:rsid w:val="000B4DA1"/>
    <w:rsid w:val="000B6B03"/>
    <w:rsid w:val="000B74A5"/>
    <w:rsid w:val="000C03E0"/>
    <w:rsid w:val="000C236F"/>
    <w:rsid w:val="000C2CCB"/>
    <w:rsid w:val="000C3259"/>
    <w:rsid w:val="000D2825"/>
    <w:rsid w:val="000D30E3"/>
    <w:rsid w:val="000D5A2F"/>
    <w:rsid w:val="000E729D"/>
    <w:rsid w:val="000F1884"/>
    <w:rsid w:val="000F1B51"/>
    <w:rsid w:val="000F7432"/>
    <w:rsid w:val="00111F8F"/>
    <w:rsid w:val="00112EAD"/>
    <w:rsid w:val="0012440D"/>
    <w:rsid w:val="0012511A"/>
    <w:rsid w:val="00130687"/>
    <w:rsid w:val="00133733"/>
    <w:rsid w:val="00136D64"/>
    <w:rsid w:val="00141A86"/>
    <w:rsid w:val="00141C95"/>
    <w:rsid w:val="00156CD5"/>
    <w:rsid w:val="00166CBD"/>
    <w:rsid w:val="00167B5C"/>
    <w:rsid w:val="00171630"/>
    <w:rsid w:val="00174C15"/>
    <w:rsid w:val="00180333"/>
    <w:rsid w:val="001816E3"/>
    <w:rsid w:val="00185E5B"/>
    <w:rsid w:val="00187D78"/>
    <w:rsid w:val="0019254A"/>
    <w:rsid w:val="001949D9"/>
    <w:rsid w:val="001A0DB6"/>
    <w:rsid w:val="001A2D46"/>
    <w:rsid w:val="001A7904"/>
    <w:rsid w:val="001B105F"/>
    <w:rsid w:val="001B7759"/>
    <w:rsid w:val="001C042E"/>
    <w:rsid w:val="001C3722"/>
    <w:rsid w:val="001C5F80"/>
    <w:rsid w:val="001C6EDB"/>
    <w:rsid w:val="001E0940"/>
    <w:rsid w:val="001E2B95"/>
    <w:rsid w:val="001E3BAF"/>
    <w:rsid w:val="001F237B"/>
    <w:rsid w:val="001F6854"/>
    <w:rsid w:val="001F6AC9"/>
    <w:rsid w:val="002070B2"/>
    <w:rsid w:val="00207E49"/>
    <w:rsid w:val="00223589"/>
    <w:rsid w:val="002257E2"/>
    <w:rsid w:val="002355D7"/>
    <w:rsid w:val="00240904"/>
    <w:rsid w:val="00246748"/>
    <w:rsid w:val="00252C1E"/>
    <w:rsid w:val="002560C8"/>
    <w:rsid w:val="00267EA5"/>
    <w:rsid w:val="00270ED5"/>
    <w:rsid w:val="00274E52"/>
    <w:rsid w:val="00275C4D"/>
    <w:rsid w:val="00280787"/>
    <w:rsid w:val="0028140B"/>
    <w:rsid w:val="00285974"/>
    <w:rsid w:val="0029074F"/>
    <w:rsid w:val="002940D9"/>
    <w:rsid w:val="0029607B"/>
    <w:rsid w:val="00296EDF"/>
    <w:rsid w:val="002B4150"/>
    <w:rsid w:val="002B4A7D"/>
    <w:rsid w:val="002B4D94"/>
    <w:rsid w:val="002B7C6B"/>
    <w:rsid w:val="002C2953"/>
    <w:rsid w:val="002C45DE"/>
    <w:rsid w:val="002C6160"/>
    <w:rsid w:val="002D678A"/>
    <w:rsid w:val="002E26FA"/>
    <w:rsid w:val="002E4724"/>
    <w:rsid w:val="002F01A9"/>
    <w:rsid w:val="00302F22"/>
    <w:rsid w:val="003030B8"/>
    <w:rsid w:val="0030451E"/>
    <w:rsid w:val="003136BB"/>
    <w:rsid w:val="00313B5D"/>
    <w:rsid w:val="00314FB1"/>
    <w:rsid w:val="00315BEF"/>
    <w:rsid w:val="00325796"/>
    <w:rsid w:val="0032623D"/>
    <w:rsid w:val="00341C6B"/>
    <w:rsid w:val="00341FC0"/>
    <w:rsid w:val="00345329"/>
    <w:rsid w:val="00354B01"/>
    <w:rsid w:val="003555CE"/>
    <w:rsid w:val="00362F69"/>
    <w:rsid w:val="00367963"/>
    <w:rsid w:val="003742A9"/>
    <w:rsid w:val="00385058"/>
    <w:rsid w:val="0038790C"/>
    <w:rsid w:val="00390D02"/>
    <w:rsid w:val="003961FD"/>
    <w:rsid w:val="003975E0"/>
    <w:rsid w:val="003A1310"/>
    <w:rsid w:val="003A6D20"/>
    <w:rsid w:val="003A7450"/>
    <w:rsid w:val="003A788A"/>
    <w:rsid w:val="003B41B4"/>
    <w:rsid w:val="003C1C66"/>
    <w:rsid w:val="003C1E7E"/>
    <w:rsid w:val="003C26A8"/>
    <w:rsid w:val="003C3202"/>
    <w:rsid w:val="003D7A7C"/>
    <w:rsid w:val="003E16B4"/>
    <w:rsid w:val="003F2D22"/>
    <w:rsid w:val="003F4761"/>
    <w:rsid w:val="003F4EC0"/>
    <w:rsid w:val="003F5C82"/>
    <w:rsid w:val="00406A47"/>
    <w:rsid w:val="004105F8"/>
    <w:rsid w:val="004145EA"/>
    <w:rsid w:val="00416946"/>
    <w:rsid w:val="00420509"/>
    <w:rsid w:val="004216B4"/>
    <w:rsid w:val="004319CF"/>
    <w:rsid w:val="00432193"/>
    <w:rsid w:val="004323D7"/>
    <w:rsid w:val="00435728"/>
    <w:rsid w:val="00443836"/>
    <w:rsid w:val="00444411"/>
    <w:rsid w:val="0044644C"/>
    <w:rsid w:val="004465F6"/>
    <w:rsid w:val="00451B5F"/>
    <w:rsid w:val="00456C2F"/>
    <w:rsid w:val="00457998"/>
    <w:rsid w:val="00457E67"/>
    <w:rsid w:val="004604D9"/>
    <w:rsid w:val="004667F1"/>
    <w:rsid w:val="004668FB"/>
    <w:rsid w:val="00466EDB"/>
    <w:rsid w:val="0048493F"/>
    <w:rsid w:val="00485C73"/>
    <w:rsid w:val="00487A81"/>
    <w:rsid w:val="00497932"/>
    <w:rsid w:val="004A08C4"/>
    <w:rsid w:val="004A1A39"/>
    <w:rsid w:val="004A2E7F"/>
    <w:rsid w:val="004A4213"/>
    <w:rsid w:val="004B1208"/>
    <w:rsid w:val="004B14DC"/>
    <w:rsid w:val="004C0574"/>
    <w:rsid w:val="004C4EBB"/>
    <w:rsid w:val="004D6934"/>
    <w:rsid w:val="004E021D"/>
    <w:rsid w:val="004E09AE"/>
    <w:rsid w:val="004E16B8"/>
    <w:rsid w:val="004E1ABE"/>
    <w:rsid w:val="004E41B7"/>
    <w:rsid w:val="004E6321"/>
    <w:rsid w:val="004F15CD"/>
    <w:rsid w:val="004F1CDA"/>
    <w:rsid w:val="004F549B"/>
    <w:rsid w:val="004F6C12"/>
    <w:rsid w:val="00502428"/>
    <w:rsid w:val="00502833"/>
    <w:rsid w:val="0050389D"/>
    <w:rsid w:val="00507C45"/>
    <w:rsid w:val="00507D01"/>
    <w:rsid w:val="0052697B"/>
    <w:rsid w:val="00526F1C"/>
    <w:rsid w:val="00533FF0"/>
    <w:rsid w:val="005359C4"/>
    <w:rsid w:val="005419FC"/>
    <w:rsid w:val="00544CA9"/>
    <w:rsid w:val="00544FDC"/>
    <w:rsid w:val="00552EDA"/>
    <w:rsid w:val="005559C2"/>
    <w:rsid w:val="005600CB"/>
    <w:rsid w:val="00561E50"/>
    <w:rsid w:val="005661F9"/>
    <w:rsid w:val="00581D8E"/>
    <w:rsid w:val="00597C85"/>
    <w:rsid w:val="005A24D9"/>
    <w:rsid w:val="005A2928"/>
    <w:rsid w:val="005A49BB"/>
    <w:rsid w:val="005B04DD"/>
    <w:rsid w:val="005B6986"/>
    <w:rsid w:val="005C006E"/>
    <w:rsid w:val="005C09F7"/>
    <w:rsid w:val="005C2774"/>
    <w:rsid w:val="005D1314"/>
    <w:rsid w:val="005D3429"/>
    <w:rsid w:val="005D58D1"/>
    <w:rsid w:val="005E4ECE"/>
    <w:rsid w:val="005F54CA"/>
    <w:rsid w:val="006022B1"/>
    <w:rsid w:val="006054B6"/>
    <w:rsid w:val="006060E6"/>
    <w:rsid w:val="00606A1D"/>
    <w:rsid w:val="0061463F"/>
    <w:rsid w:val="00614FBE"/>
    <w:rsid w:val="00616A00"/>
    <w:rsid w:val="00626258"/>
    <w:rsid w:val="006429C3"/>
    <w:rsid w:val="00643883"/>
    <w:rsid w:val="00654C64"/>
    <w:rsid w:val="00657770"/>
    <w:rsid w:val="00660E8A"/>
    <w:rsid w:val="00664428"/>
    <w:rsid w:val="00665419"/>
    <w:rsid w:val="006669E5"/>
    <w:rsid w:val="0068170A"/>
    <w:rsid w:val="00690B11"/>
    <w:rsid w:val="00690DFE"/>
    <w:rsid w:val="0069130C"/>
    <w:rsid w:val="00692BB5"/>
    <w:rsid w:val="006A0700"/>
    <w:rsid w:val="006A25F1"/>
    <w:rsid w:val="006A3245"/>
    <w:rsid w:val="006A5318"/>
    <w:rsid w:val="006B4F4F"/>
    <w:rsid w:val="006C6937"/>
    <w:rsid w:val="006C717B"/>
    <w:rsid w:val="006D0B9C"/>
    <w:rsid w:val="006D3E78"/>
    <w:rsid w:val="006E36F7"/>
    <w:rsid w:val="006E797D"/>
    <w:rsid w:val="006E7E2B"/>
    <w:rsid w:val="006F710B"/>
    <w:rsid w:val="0071190D"/>
    <w:rsid w:val="00713907"/>
    <w:rsid w:val="00713EEF"/>
    <w:rsid w:val="007161D3"/>
    <w:rsid w:val="00717B25"/>
    <w:rsid w:val="00722B17"/>
    <w:rsid w:val="00727100"/>
    <w:rsid w:val="007312AB"/>
    <w:rsid w:val="0073489F"/>
    <w:rsid w:val="00744496"/>
    <w:rsid w:val="00744C9F"/>
    <w:rsid w:val="00746D47"/>
    <w:rsid w:val="00757D9E"/>
    <w:rsid w:val="00774201"/>
    <w:rsid w:val="0078396B"/>
    <w:rsid w:val="0078447E"/>
    <w:rsid w:val="00785877"/>
    <w:rsid w:val="0079444C"/>
    <w:rsid w:val="00794921"/>
    <w:rsid w:val="007A6423"/>
    <w:rsid w:val="007C05AD"/>
    <w:rsid w:val="007D02B0"/>
    <w:rsid w:val="007D3F4B"/>
    <w:rsid w:val="007E0C0E"/>
    <w:rsid w:val="007E5ED1"/>
    <w:rsid w:val="007F00EF"/>
    <w:rsid w:val="007F2ADD"/>
    <w:rsid w:val="007F527E"/>
    <w:rsid w:val="007F621D"/>
    <w:rsid w:val="00802277"/>
    <w:rsid w:val="00805ED8"/>
    <w:rsid w:val="00812BA8"/>
    <w:rsid w:val="008245B9"/>
    <w:rsid w:val="00827E7D"/>
    <w:rsid w:val="00830712"/>
    <w:rsid w:val="008326ED"/>
    <w:rsid w:val="008327D6"/>
    <w:rsid w:val="00832CC8"/>
    <w:rsid w:val="00841889"/>
    <w:rsid w:val="008440AA"/>
    <w:rsid w:val="00851A88"/>
    <w:rsid w:val="00852837"/>
    <w:rsid w:val="00876B78"/>
    <w:rsid w:val="0088131B"/>
    <w:rsid w:val="00891F5E"/>
    <w:rsid w:val="00896BD4"/>
    <w:rsid w:val="008A0C1C"/>
    <w:rsid w:val="008A7663"/>
    <w:rsid w:val="008B7660"/>
    <w:rsid w:val="008B7DA1"/>
    <w:rsid w:val="008D1EE1"/>
    <w:rsid w:val="008D6AEA"/>
    <w:rsid w:val="008E5121"/>
    <w:rsid w:val="008E6BE2"/>
    <w:rsid w:val="008F0850"/>
    <w:rsid w:val="00901CFE"/>
    <w:rsid w:val="00906897"/>
    <w:rsid w:val="00910A1B"/>
    <w:rsid w:val="0091639C"/>
    <w:rsid w:val="00922B85"/>
    <w:rsid w:val="00922C77"/>
    <w:rsid w:val="00924CA4"/>
    <w:rsid w:val="00931386"/>
    <w:rsid w:val="009371F0"/>
    <w:rsid w:val="00952E9A"/>
    <w:rsid w:val="0095671B"/>
    <w:rsid w:val="009577C5"/>
    <w:rsid w:val="00962069"/>
    <w:rsid w:val="00967C3C"/>
    <w:rsid w:val="0097424D"/>
    <w:rsid w:val="009833D4"/>
    <w:rsid w:val="00984547"/>
    <w:rsid w:val="0099686F"/>
    <w:rsid w:val="009A10E4"/>
    <w:rsid w:val="009A4D90"/>
    <w:rsid w:val="009A56B7"/>
    <w:rsid w:val="009A6D2B"/>
    <w:rsid w:val="009B71C0"/>
    <w:rsid w:val="009B7713"/>
    <w:rsid w:val="009C05F1"/>
    <w:rsid w:val="009C1C1D"/>
    <w:rsid w:val="009C64B7"/>
    <w:rsid w:val="009C66A3"/>
    <w:rsid w:val="009C6C75"/>
    <w:rsid w:val="009C7A30"/>
    <w:rsid w:val="009E1310"/>
    <w:rsid w:val="009E3040"/>
    <w:rsid w:val="009E6DD4"/>
    <w:rsid w:val="009F6365"/>
    <w:rsid w:val="00A04E05"/>
    <w:rsid w:val="00A06818"/>
    <w:rsid w:val="00A14574"/>
    <w:rsid w:val="00A14C1B"/>
    <w:rsid w:val="00A201D3"/>
    <w:rsid w:val="00A2750D"/>
    <w:rsid w:val="00A303B7"/>
    <w:rsid w:val="00A32FB2"/>
    <w:rsid w:val="00A3302D"/>
    <w:rsid w:val="00A336B3"/>
    <w:rsid w:val="00A34D13"/>
    <w:rsid w:val="00A4762B"/>
    <w:rsid w:val="00A52928"/>
    <w:rsid w:val="00A55D7C"/>
    <w:rsid w:val="00A60C54"/>
    <w:rsid w:val="00A736C3"/>
    <w:rsid w:val="00A749CA"/>
    <w:rsid w:val="00A77072"/>
    <w:rsid w:val="00A8057E"/>
    <w:rsid w:val="00A82B03"/>
    <w:rsid w:val="00A83145"/>
    <w:rsid w:val="00AA7D3B"/>
    <w:rsid w:val="00AB34C5"/>
    <w:rsid w:val="00AB502F"/>
    <w:rsid w:val="00AC3FE7"/>
    <w:rsid w:val="00AD2AFD"/>
    <w:rsid w:val="00AD32BE"/>
    <w:rsid w:val="00AD40E7"/>
    <w:rsid w:val="00AE58BB"/>
    <w:rsid w:val="00B02622"/>
    <w:rsid w:val="00B04762"/>
    <w:rsid w:val="00B05D14"/>
    <w:rsid w:val="00B1113A"/>
    <w:rsid w:val="00B14D62"/>
    <w:rsid w:val="00B24510"/>
    <w:rsid w:val="00B2492B"/>
    <w:rsid w:val="00B3038F"/>
    <w:rsid w:val="00B30895"/>
    <w:rsid w:val="00B43244"/>
    <w:rsid w:val="00B43386"/>
    <w:rsid w:val="00B43F4C"/>
    <w:rsid w:val="00B5222A"/>
    <w:rsid w:val="00B56A2E"/>
    <w:rsid w:val="00B57855"/>
    <w:rsid w:val="00B6606F"/>
    <w:rsid w:val="00B7243C"/>
    <w:rsid w:val="00B73395"/>
    <w:rsid w:val="00B75970"/>
    <w:rsid w:val="00B80308"/>
    <w:rsid w:val="00B82F9B"/>
    <w:rsid w:val="00B87352"/>
    <w:rsid w:val="00B87665"/>
    <w:rsid w:val="00B90260"/>
    <w:rsid w:val="00BA042B"/>
    <w:rsid w:val="00BA3555"/>
    <w:rsid w:val="00BA3ED1"/>
    <w:rsid w:val="00BA4D01"/>
    <w:rsid w:val="00BC58DB"/>
    <w:rsid w:val="00BC5AD9"/>
    <w:rsid w:val="00BD1270"/>
    <w:rsid w:val="00BD2271"/>
    <w:rsid w:val="00BE2302"/>
    <w:rsid w:val="00BE5E68"/>
    <w:rsid w:val="00BE6C85"/>
    <w:rsid w:val="00BE7C4B"/>
    <w:rsid w:val="00BF34C6"/>
    <w:rsid w:val="00BF52C4"/>
    <w:rsid w:val="00BF6373"/>
    <w:rsid w:val="00C013D8"/>
    <w:rsid w:val="00C050E9"/>
    <w:rsid w:val="00C05422"/>
    <w:rsid w:val="00C064C3"/>
    <w:rsid w:val="00C114DA"/>
    <w:rsid w:val="00C12429"/>
    <w:rsid w:val="00C207EA"/>
    <w:rsid w:val="00C27197"/>
    <w:rsid w:val="00C32037"/>
    <w:rsid w:val="00C320EF"/>
    <w:rsid w:val="00C3228D"/>
    <w:rsid w:val="00C3621B"/>
    <w:rsid w:val="00C362AD"/>
    <w:rsid w:val="00C409B2"/>
    <w:rsid w:val="00C4397B"/>
    <w:rsid w:val="00C45920"/>
    <w:rsid w:val="00C52326"/>
    <w:rsid w:val="00C5473A"/>
    <w:rsid w:val="00C6139B"/>
    <w:rsid w:val="00C618D9"/>
    <w:rsid w:val="00C671F6"/>
    <w:rsid w:val="00C72DE6"/>
    <w:rsid w:val="00C766CA"/>
    <w:rsid w:val="00C951BB"/>
    <w:rsid w:val="00CA27E6"/>
    <w:rsid w:val="00CA51C7"/>
    <w:rsid w:val="00CB0B2E"/>
    <w:rsid w:val="00CB7661"/>
    <w:rsid w:val="00CB7E10"/>
    <w:rsid w:val="00CC3EA2"/>
    <w:rsid w:val="00CD0B07"/>
    <w:rsid w:val="00CE664F"/>
    <w:rsid w:val="00CF0F82"/>
    <w:rsid w:val="00CF2A8F"/>
    <w:rsid w:val="00D01960"/>
    <w:rsid w:val="00D12D6F"/>
    <w:rsid w:val="00D13E1E"/>
    <w:rsid w:val="00D42249"/>
    <w:rsid w:val="00D4721C"/>
    <w:rsid w:val="00D52459"/>
    <w:rsid w:val="00D54541"/>
    <w:rsid w:val="00D55D5C"/>
    <w:rsid w:val="00D5693B"/>
    <w:rsid w:val="00D60B12"/>
    <w:rsid w:val="00D60D51"/>
    <w:rsid w:val="00D64309"/>
    <w:rsid w:val="00D65637"/>
    <w:rsid w:val="00D65DA4"/>
    <w:rsid w:val="00D66BEF"/>
    <w:rsid w:val="00D67B51"/>
    <w:rsid w:val="00D73922"/>
    <w:rsid w:val="00D74901"/>
    <w:rsid w:val="00D824BC"/>
    <w:rsid w:val="00D840FB"/>
    <w:rsid w:val="00D93617"/>
    <w:rsid w:val="00D97528"/>
    <w:rsid w:val="00DA06EC"/>
    <w:rsid w:val="00DA6C90"/>
    <w:rsid w:val="00DC234C"/>
    <w:rsid w:val="00DC2641"/>
    <w:rsid w:val="00DC4336"/>
    <w:rsid w:val="00DC7A05"/>
    <w:rsid w:val="00DC7A2A"/>
    <w:rsid w:val="00DD542F"/>
    <w:rsid w:val="00DE0974"/>
    <w:rsid w:val="00DF7688"/>
    <w:rsid w:val="00E17B7F"/>
    <w:rsid w:val="00E269D9"/>
    <w:rsid w:val="00E2731E"/>
    <w:rsid w:val="00E31CDC"/>
    <w:rsid w:val="00E36B1B"/>
    <w:rsid w:val="00E417F2"/>
    <w:rsid w:val="00E42353"/>
    <w:rsid w:val="00E42667"/>
    <w:rsid w:val="00E4355E"/>
    <w:rsid w:val="00E539D8"/>
    <w:rsid w:val="00E61595"/>
    <w:rsid w:val="00E673D4"/>
    <w:rsid w:val="00E7401C"/>
    <w:rsid w:val="00E759E1"/>
    <w:rsid w:val="00E76424"/>
    <w:rsid w:val="00E90811"/>
    <w:rsid w:val="00E93229"/>
    <w:rsid w:val="00EA2192"/>
    <w:rsid w:val="00EA3685"/>
    <w:rsid w:val="00EA3B4F"/>
    <w:rsid w:val="00EB47A6"/>
    <w:rsid w:val="00EB5C97"/>
    <w:rsid w:val="00ED082B"/>
    <w:rsid w:val="00EE1F17"/>
    <w:rsid w:val="00EE7831"/>
    <w:rsid w:val="00EF761A"/>
    <w:rsid w:val="00F02F84"/>
    <w:rsid w:val="00F0338A"/>
    <w:rsid w:val="00F058A3"/>
    <w:rsid w:val="00F10351"/>
    <w:rsid w:val="00F103CB"/>
    <w:rsid w:val="00F1427F"/>
    <w:rsid w:val="00F15E82"/>
    <w:rsid w:val="00F203BA"/>
    <w:rsid w:val="00F220BE"/>
    <w:rsid w:val="00F27D81"/>
    <w:rsid w:val="00F32A68"/>
    <w:rsid w:val="00F42E65"/>
    <w:rsid w:val="00F4346C"/>
    <w:rsid w:val="00F523CE"/>
    <w:rsid w:val="00F61BFF"/>
    <w:rsid w:val="00F63D08"/>
    <w:rsid w:val="00F67B44"/>
    <w:rsid w:val="00F76EDB"/>
    <w:rsid w:val="00F77AC2"/>
    <w:rsid w:val="00F80D63"/>
    <w:rsid w:val="00F848A2"/>
    <w:rsid w:val="00F86640"/>
    <w:rsid w:val="00F87624"/>
    <w:rsid w:val="00F941D8"/>
    <w:rsid w:val="00FA0412"/>
    <w:rsid w:val="00FA069B"/>
    <w:rsid w:val="00FA2408"/>
    <w:rsid w:val="00FA4D8C"/>
    <w:rsid w:val="00FB38B4"/>
    <w:rsid w:val="00FC7032"/>
    <w:rsid w:val="00FD2A02"/>
    <w:rsid w:val="00FD319D"/>
    <w:rsid w:val="00FD442D"/>
    <w:rsid w:val="00FD7E8F"/>
    <w:rsid w:val="00FE64E8"/>
    <w:rsid w:val="00FE6F20"/>
    <w:rsid w:val="00FF1C5C"/>
    <w:rsid w:val="00FF1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4DE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39"/>
    <w:rsid w:val="00A201D3"/>
    <w:pPr>
      <w:spacing w:before="120" w:after="120"/>
    </w:pPr>
    <w:rPr>
      <w:caps/>
      <w:sz w:val="22"/>
    </w:rPr>
  </w:style>
  <w:style w:type="paragraph" w:styleId="TOC2">
    <w:name w:val="toc 2"/>
    <w:uiPriority w:val="39"/>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uiPriority w:val="99"/>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D02B0"/>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39"/>
    <w:rsid w:val="00A201D3"/>
    <w:pPr>
      <w:spacing w:before="120" w:after="120"/>
    </w:pPr>
    <w:rPr>
      <w:caps/>
      <w:sz w:val="22"/>
    </w:rPr>
  </w:style>
  <w:style w:type="paragraph" w:styleId="TOC2">
    <w:name w:val="toc 2"/>
    <w:uiPriority w:val="39"/>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uiPriority w:val="99"/>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D02B0"/>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58053">
      <w:bodyDiv w:val="1"/>
      <w:marLeft w:val="0"/>
      <w:marRight w:val="0"/>
      <w:marTop w:val="0"/>
      <w:marBottom w:val="0"/>
      <w:divBdr>
        <w:top w:val="none" w:sz="0" w:space="0" w:color="auto"/>
        <w:left w:val="none" w:sz="0" w:space="0" w:color="auto"/>
        <w:bottom w:val="none" w:sz="0" w:space="0" w:color="auto"/>
        <w:right w:val="none" w:sz="0" w:space="0" w:color="auto"/>
      </w:divBdr>
      <w:divsChild>
        <w:div w:id="623925114">
          <w:marLeft w:val="0"/>
          <w:marRight w:val="0"/>
          <w:marTop w:val="0"/>
          <w:marBottom w:val="0"/>
          <w:divBdr>
            <w:top w:val="none" w:sz="0" w:space="0" w:color="auto"/>
            <w:left w:val="none" w:sz="0" w:space="0" w:color="auto"/>
            <w:bottom w:val="none" w:sz="0" w:space="0" w:color="auto"/>
            <w:right w:val="none" w:sz="0" w:space="0" w:color="auto"/>
          </w:divBdr>
          <w:divsChild>
            <w:div w:id="1081372904">
              <w:marLeft w:val="0"/>
              <w:marRight w:val="0"/>
              <w:marTop w:val="0"/>
              <w:marBottom w:val="0"/>
              <w:divBdr>
                <w:top w:val="none" w:sz="0" w:space="0" w:color="auto"/>
                <w:left w:val="none" w:sz="0" w:space="0" w:color="auto"/>
                <w:bottom w:val="none" w:sz="0" w:space="0" w:color="auto"/>
                <w:right w:val="none" w:sz="0" w:space="0" w:color="auto"/>
              </w:divBdr>
              <w:divsChild>
                <w:div w:id="896237278">
                  <w:marLeft w:val="0"/>
                  <w:marRight w:val="0"/>
                  <w:marTop w:val="0"/>
                  <w:marBottom w:val="0"/>
                  <w:divBdr>
                    <w:top w:val="none" w:sz="0" w:space="0" w:color="auto"/>
                    <w:left w:val="none" w:sz="0" w:space="0" w:color="auto"/>
                    <w:bottom w:val="none" w:sz="0" w:space="0" w:color="auto"/>
                    <w:right w:val="none" w:sz="0" w:space="0" w:color="auto"/>
                  </w:divBdr>
                  <w:divsChild>
                    <w:div w:id="1496873860">
                      <w:marLeft w:val="0"/>
                      <w:marRight w:val="0"/>
                      <w:marTop w:val="0"/>
                      <w:marBottom w:val="0"/>
                      <w:divBdr>
                        <w:top w:val="none" w:sz="0" w:space="0" w:color="auto"/>
                        <w:left w:val="none" w:sz="0" w:space="0" w:color="auto"/>
                        <w:bottom w:val="none" w:sz="0" w:space="0" w:color="auto"/>
                        <w:right w:val="none" w:sz="0" w:space="0" w:color="auto"/>
                      </w:divBdr>
                      <w:divsChild>
                        <w:div w:id="1453280997">
                          <w:marLeft w:val="-225"/>
                          <w:marRight w:val="-225"/>
                          <w:marTop w:val="0"/>
                          <w:marBottom w:val="300"/>
                          <w:divBdr>
                            <w:top w:val="none" w:sz="0" w:space="0" w:color="auto"/>
                            <w:left w:val="none" w:sz="0" w:space="0" w:color="auto"/>
                            <w:bottom w:val="none" w:sz="0" w:space="0" w:color="auto"/>
                            <w:right w:val="none" w:sz="0" w:space="0" w:color="auto"/>
                          </w:divBdr>
                          <w:divsChild>
                            <w:div w:id="41254239">
                              <w:marLeft w:val="0"/>
                              <w:marRight w:val="0"/>
                              <w:marTop w:val="0"/>
                              <w:marBottom w:val="0"/>
                              <w:divBdr>
                                <w:top w:val="none" w:sz="0" w:space="0" w:color="auto"/>
                                <w:left w:val="none" w:sz="0" w:space="0" w:color="auto"/>
                                <w:bottom w:val="none" w:sz="0" w:space="0" w:color="auto"/>
                                <w:right w:val="none" w:sz="0" w:space="0" w:color="auto"/>
                              </w:divBdr>
                              <w:divsChild>
                                <w:div w:id="945772270">
                                  <w:marLeft w:val="-225"/>
                                  <w:marRight w:val="-225"/>
                                  <w:marTop w:val="0"/>
                                  <w:marBottom w:val="300"/>
                                  <w:divBdr>
                                    <w:top w:val="none" w:sz="0" w:space="0" w:color="auto"/>
                                    <w:left w:val="none" w:sz="0" w:space="0" w:color="auto"/>
                                    <w:bottom w:val="none" w:sz="0" w:space="0" w:color="auto"/>
                                    <w:right w:val="none" w:sz="0" w:space="0" w:color="auto"/>
                                  </w:divBdr>
                                  <w:divsChild>
                                    <w:div w:id="490950760">
                                      <w:marLeft w:val="0"/>
                                      <w:marRight w:val="0"/>
                                      <w:marTop w:val="0"/>
                                      <w:marBottom w:val="0"/>
                                      <w:divBdr>
                                        <w:top w:val="none" w:sz="0" w:space="0" w:color="auto"/>
                                        <w:left w:val="none" w:sz="0" w:space="0" w:color="auto"/>
                                        <w:bottom w:val="none" w:sz="0" w:space="0" w:color="auto"/>
                                        <w:right w:val="none" w:sz="0" w:space="0" w:color="auto"/>
                                      </w:divBdr>
                                      <w:divsChild>
                                        <w:div w:id="45884169">
                                          <w:marLeft w:val="0"/>
                                          <w:marRight w:val="0"/>
                                          <w:marTop w:val="0"/>
                                          <w:marBottom w:val="0"/>
                                          <w:divBdr>
                                            <w:top w:val="none" w:sz="0" w:space="0" w:color="auto"/>
                                            <w:left w:val="none" w:sz="0" w:space="0" w:color="auto"/>
                                            <w:bottom w:val="none" w:sz="0" w:space="0" w:color="auto"/>
                                            <w:right w:val="none" w:sz="0" w:space="0" w:color="auto"/>
                                          </w:divBdr>
                                          <w:divsChild>
                                            <w:div w:id="349189224">
                                              <w:marLeft w:val="0"/>
                                              <w:marRight w:val="0"/>
                                              <w:marTop w:val="0"/>
                                              <w:marBottom w:val="0"/>
                                              <w:divBdr>
                                                <w:top w:val="none" w:sz="0" w:space="0" w:color="auto"/>
                                                <w:left w:val="none" w:sz="0" w:space="0" w:color="auto"/>
                                                <w:bottom w:val="none" w:sz="0" w:space="0" w:color="auto"/>
                                                <w:right w:val="none" w:sz="0" w:space="0" w:color="auto"/>
                                              </w:divBdr>
                                              <w:divsChild>
                                                <w:div w:id="1839271671">
                                                  <w:marLeft w:val="0"/>
                                                  <w:marRight w:val="0"/>
                                                  <w:marTop w:val="0"/>
                                                  <w:marBottom w:val="0"/>
                                                  <w:divBdr>
                                                    <w:top w:val="none" w:sz="0" w:space="0" w:color="auto"/>
                                                    <w:left w:val="none" w:sz="0" w:space="0" w:color="auto"/>
                                                    <w:bottom w:val="none" w:sz="0" w:space="0" w:color="auto"/>
                                                    <w:right w:val="none" w:sz="0" w:space="0" w:color="auto"/>
                                                  </w:divBdr>
                                                  <w:divsChild>
                                                    <w:div w:id="1203520919">
                                                      <w:marLeft w:val="0"/>
                                                      <w:marRight w:val="0"/>
                                                      <w:marTop w:val="0"/>
                                                      <w:marBottom w:val="0"/>
                                                      <w:divBdr>
                                                        <w:top w:val="none" w:sz="0" w:space="0" w:color="auto"/>
                                                        <w:left w:val="none" w:sz="0" w:space="0" w:color="auto"/>
                                                        <w:bottom w:val="none" w:sz="0" w:space="0" w:color="auto"/>
                                                        <w:right w:val="none" w:sz="0" w:space="0" w:color="auto"/>
                                                      </w:divBdr>
                                                    </w:div>
                                                    <w:div w:id="1244683923">
                                                      <w:marLeft w:val="0"/>
                                                      <w:marRight w:val="0"/>
                                                      <w:marTop w:val="0"/>
                                                      <w:marBottom w:val="0"/>
                                                      <w:divBdr>
                                                        <w:top w:val="none" w:sz="0" w:space="0" w:color="auto"/>
                                                        <w:left w:val="none" w:sz="0" w:space="0" w:color="auto"/>
                                                        <w:bottom w:val="none" w:sz="0" w:space="0" w:color="auto"/>
                                                        <w:right w:val="none" w:sz="0" w:space="0" w:color="auto"/>
                                                      </w:divBdr>
                                                    </w:div>
                                                    <w:div w:id="1210461789">
                                                      <w:marLeft w:val="0"/>
                                                      <w:marRight w:val="0"/>
                                                      <w:marTop w:val="0"/>
                                                      <w:marBottom w:val="0"/>
                                                      <w:divBdr>
                                                        <w:top w:val="none" w:sz="0" w:space="0" w:color="auto"/>
                                                        <w:left w:val="none" w:sz="0" w:space="0" w:color="auto"/>
                                                        <w:bottom w:val="none" w:sz="0" w:space="0" w:color="auto"/>
                                                        <w:right w:val="none" w:sz="0" w:space="0" w:color="auto"/>
                                                      </w:divBdr>
                                                    </w:div>
                                                    <w:div w:id="864558999">
                                                      <w:marLeft w:val="0"/>
                                                      <w:marRight w:val="0"/>
                                                      <w:marTop w:val="0"/>
                                                      <w:marBottom w:val="0"/>
                                                      <w:divBdr>
                                                        <w:top w:val="none" w:sz="0" w:space="0" w:color="auto"/>
                                                        <w:left w:val="none" w:sz="0" w:space="0" w:color="auto"/>
                                                        <w:bottom w:val="none" w:sz="0" w:space="0" w:color="auto"/>
                                                        <w:right w:val="none" w:sz="0" w:space="0" w:color="auto"/>
                                                      </w:divBdr>
                                                    </w:div>
                                                    <w:div w:id="2024284007">
                                                      <w:marLeft w:val="0"/>
                                                      <w:marRight w:val="0"/>
                                                      <w:marTop w:val="0"/>
                                                      <w:marBottom w:val="0"/>
                                                      <w:divBdr>
                                                        <w:top w:val="none" w:sz="0" w:space="0" w:color="auto"/>
                                                        <w:left w:val="none" w:sz="0" w:space="0" w:color="auto"/>
                                                        <w:bottom w:val="none" w:sz="0" w:space="0" w:color="auto"/>
                                                        <w:right w:val="none" w:sz="0" w:space="0" w:color="auto"/>
                                                      </w:divBdr>
                                                    </w:div>
                                                    <w:div w:id="1207369952">
                                                      <w:marLeft w:val="0"/>
                                                      <w:marRight w:val="0"/>
                                                      <w:marTop w:val="0"/>
                                                      <w:marBottom w:val="0"/>
                                                      <w:divBdr>
                                                        <w:top w:val="none" w:sz="0" w:space="0" w:color="auto"/>
                                                        <w:left w:val="none" w:sz="0" w:space="0" w:color="auto"/>
                                                        <w:bottom w:val="none" w:sz="0" w:space="0" w:color="auto"/>
                                                        <w:right w:val="none" w:sz="0" w:space="0" w:color="auto"/>
                                                      </w:divBdr>
                                                    </w:div>
                                                    <w:div w:id="424350773">
                                                      <w:marLeft w:val="0"/>
                                                      <w:marRight w:val="0"/>
                                                      <w:marTop w:val="0"/>
                                                      <w:marBottom w:val="0"/>
                                                      <w:divBdr>
                                                        <w:top w:val="none" w:sz="0" w:space="0" w:color="auto"/>
                                                        <w:left w:val="none" w:sz="0" w:space="0" w:color="auto"/>
                                                        <w:bottom w:val="none" w:sz="0" w:space="0" w:color="auto"/>
                                                        <w:right w:val="none" w:sz="0" w:space="0" w:color="auto"/>
                                                      </w:divBdr>
                                                    </w:div>
                                                    <w:div w:id="104949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5455237">
      <w:bodyDiv w:val="1"/>
      <w:marLeft w:val="0"/>
      <w:marRight w:val="0"/>
      <w:marTop w:val="0"/>
      <w:marBottom w:val="0"/>
      <w:divBdr>
        <w:top w:val="none" w:sz="0" w:space="0" w:color="auto"/>
        <w:left w:val="none" w:sz="0" w:space="0" w:color="auto"/>
        <w:bottom w:val="none" w:sz="0" w:space="0" w:color="auto"/>
        <w:right w:val="none" w:sz="0" w:space="0" w:color="auto"/>
      </w:divBdr>
      <w:divsChild>
        <w:div w:id="768159893">
          <w:marLeft w:val="0"/>
          <w:marRight w:val="0"/>
          <w:marTop w:val="0"/>
          <w:marBottom w:val="0"/>
          <w:divBdr>
            <w:top w:val="none" w:sz="0" w:space="0" w:color="auto"/>
            <w:left w:val="none" w:sz="0" w:space="0" w:color="auto"/>
            <w:bottom w:val="none" w:sz="0" w:space="0" w:color="auto"/>
            <w:right w:val="none" w:sz="0" w:space="0" w:color="auto"/>
          </w:divBdr>
          <w:divsChild>
            <w:div w:id="308636013">
              <w:marLeft w:val="0"/>
              <w:marRight w:val="0"/>
              <w:marTop w:val="0"/>
              <w:marBottom w:val="0"/>
              <w:divBdr>
                <w:top w:val="none" w:sz="0" w:space="0" w:color="auto"/>
                <w:left w:val="none" w:sz="0" w:space="0" w:color="auto"/>
                <w:bottom w:val="none" w:sz="0" w:space="0" w:color="auto"/>
                <w:right w:val="none" w:sz="0" w:space="0" w:color="auto"/>
              </w:divBdr>
              <w:divsChild>
                <w:div w:id="1507591856">
                  <w:marLeft w:val="0"/>
                  <w:marRight w:val="0"/>
                  <w:marTop w:val="0"/>
                  <w:marBottom w:val="0"/>
                  <w:divBdr>
                    <w:top w:val="none" w:sz="0" w:space="0" w:color="auto"/>
                    <w:left w:val="none" w:sz="0" w:space="0" w:color="auto"/>
                    <w:bottom w:val="none" w:sz="0" w:space="0" w:color="auto"/>
                    <w:right w:val="none" w:sz="0" w:space="0" w:color="auto"/>
                  </w:divBdr>
                  <w:divsChild>
                    <w:div w:id="1913616685">
                      <w:marLeft w:val="0"/>
                      <w:marRight w:val="0"/>
                      <w:marTop w:val="0"/>
                      <w:marBottom w:val="0"/>
                      <w:divBdr>
                        <w:top w:val="none" w:sz="0" w:space="0" w:color="auto"/>
                        <w:left w:val="none" w:sz="0" w:space="0" w:color="auto"/>
                        <w:bottom w:val="none" w:sz="0" w:space="0" w:color="auto"/>
                        <w:right w:val="none" w:sz="0" w:space="0" w:color="auto"/>
                      </w:divBdr>
                      <w:divsChild>
                        <w:div w:id="561982083">
                          <w:marLeft w:val="-225"/>
                          <w:marRight w:val="-225"/>
                          <w:marTop w:val="0"/>
                          <w:marBottom w:val="300"/>
                          <w:divBdr>
                            <w:top w:val="none" w:sz="0" w:space="0" w:color="auto"/>
                            <w:left w:val="none" w:sz="0" w:space="0" w:color="auto"/>
                            <w:bottom w:val="none" w:sz="0" w:space="0" w:color="auto"/>
                            <w:right w:val="none" w:sz="0" w:space="0" w:color="auto"/>
                          </w:divBdr>
                          <w:divsChild>
                            <w:div w:id="883827885">
                              <w:marLeft w:val="0"/>
                              <w:marRight w:val="0"/>
                              <w:marTop w:val="0"/>
                              <w:marBottom w:val="0"/>
                              <w:divBdr>
                                <w:top w:val="none" w:sz="0" w:space="0" w:color="auto"/>
                                <w:left w:val="none" w:sz="0" w:space="0" w:color="auto"/>
                                <w:bottom w:val="none" w:sz="0" w:space="0" w:color="auto"/>
                                <w:right w:val="none" w:sz="0" w:space="0" w:color="auto"/>
                              </w:divBdr>
                              <w:divsChild>
                                <w:div w:id="423258674">
                                  <w:marLeft w:val="-225"/>
                                  <w:marRight w:val="-225"/>
                                  <w:marTop w:val="0"/>
                                  <w:marBottom w:val="300"/>
                                  <w:divBdr>
                                    <w:top w:val="none" w:sz="0" w:space="0" w:color="auto"/>
                                    <w:left w:val="none" w:sz="0" w:space="0" w:color="auto"/>
                                    <w:bottom w:val="none" w:sz="0" w:space="0" w:color="auto"/>
                                    <w:right w:val="none" w:sz="0" w:space="0" w:color="auto"/>
                                  </w:divBdr>
                                  <w:divsChild>
                                    <w:div w:id="285046116">
                                      <w:marLeft w:val="0"/>
                                      <w:marRight w:val="0"/>
                                      <w:marTop w:val="0"/>
                                      <w:marBottom w:val="0"/>
                                      <w:divBdr>
                                        <w:top w:val="none" w:sz="0" w:space="0" w:color="auto"/>
                                        <w:left w:val="none" w:sz="0" w:space="0" w:color="auto"/>
                                        <w:bottom w:val="none" w:sz="0" w:space="0" w:color="auto"/>
                                        <w:right w:val="none" w:sz="0" w:space="0" w:color="auto"/>
                                      </w:divBdr>
                                      <w:divsChild>
                                        <w:div w:id="1680619878">
                                          <w:marLeft w:val="0"/>
                                          <w:marRight w:val="0"/>
                                          <w:marTop w:val="0"/>
                                          <w:marBottom w:val="0"/>
                                          <w:divBdr>
                                            <w:top w:val="none" w:sz="0" w:space="0" w:color="auto"/>
                                            <w:left w:val="none" w:sz="0" w:space="0" w:color="auto"/>
                                            <w:bottom w:val="none" w:sz="0" w:space="0" w:color="auto"/>
                                            <w:right w:val="none" w:sz="0" w:space="0" w:color="auto"/>
                                          </w:divBdr>
                                          <w:divsChild>
                                            <w:div w:id="16995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mie_S_Wilson@omb.eop.gov" TargetMode="External"/><Relationship Id="rId18" Type="http://schemas.openxmlformats.org/officeDocument/2006/relationships/hyperlink" Target="mailto:wshaw@uchc.edu" TargetMode="External"/><Relationship Id="rId26" Type="http://schemas.openxmlformats.org/officeDocument/2006/relationships/hyperlink" Target="mailto:Tom.Hutter@jfs.ohio.gov" TargetMode="External"/><Relationship Id="rId3" Type="http://schemas.openxmlformats.org/officeDocument/2006/relationships/styles" Target="styles.xml"/><Relationship Id="rId21" Type="http://schemas.openxmlformats.org/officeDocument/2006/relationships/hyperlink" Target="mailto:cora.mcnabb@ky.gov" TargetMode="External"/><Relationship Id="rId34" Type="http://schemas.openxmlformats.org/officeDocument/2006/relationships/hyperlink" Target="mailto:DWittenburg@mathematica-mpr.com" TargetMode="External"/><Relationship Id="rId7" Type="http://schemas.openxmlformats.org/officeDocument/2006/relationships/footnotes" Target="footnotes.xml"/><Relationship Id="rId12" Type="http://schemas.openxmlformats.org/officeDocument/2006/relationships/hyperlink" Target="mailto:Rietzke.Steven@dol.gov" TargetMode="External"/><Relationship Id="rId17" Type="http://schemas.openxmlformats.org/officeDocument/2006/relationships/hyperlink" Target="mailto:karen.quesnel@ct.gov" TargetMode="External"/><Relationship Id="rId25" Type="http://schemas.openxmlformats.org/officeDocument/2006/relationships/hyperlink" Target="mailto:amy.carlson@state.mn.us" TargetMode="External"/><Relationship Id="rId33" Type="http://schemas.openxmlformats.org/officeDocument/2006/relationships/hyperlink" Target="mailto:emily.roessel@ssa.gov"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ajuana.thompson@edd.ca.gov" TargetMode="External"/><Relationship Id="rId20" Type="http://schemas.openxmlformats.org/officeDocument/2006/relationships/hyperlink" Target="mailto:Nigel.Soria@ks.gov" TargetMode="External"/><Relationship Id="rId29" Type="http://schemas.openxmlformats.org/officeDocument/2006/relationships/hyperlink" Target="mailto:hrossi@esd.w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ode.Kellen.M@dol.gov" TargetMode="External"/><Relationship Id="rId24" Type="http://schemas.openxmlformats.org/officeDocument/2006/relationships/hyperlink" Target="mailto:may.thao.schuck@state.mn.us" TargetMode="External"/><Relationship Id="rId32" Type="http://schemas.openxmlformats.org/officeDocument/2006/relationships/hyperlink" Target="mailto:jackson.costa@ssa.gov"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kimberlee.meyer@edd.ca.gov" TargetMode="External"/><Relationship Id="rId23" Type="http://schemas.openxmlformats.org/officeDocument/2006/relationships/hyperlink" Target="mailto:chithra.adams@uky.edu" TargetMode="External"/><Relationship Id="rId28" Type="http://schemas.openxmlformats.org/officeDocument/2006/relationships/hyperlink" Target="mailto:cmm295@pitt.edu" TargetMode="External"/><Relationship Id="rId36"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mailto:dale.tower@ks.gov" TargetMode="External"/><Relationship Id="rId31" Type="http://schemas.openxmlformats.org/officeDocument/2006/relationships/hyperlink" Target="mailto:mclaren.christopher@dol.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eglunt@sdsu.edu" TargetMode="External"/><Relationship Id="rId22" Type="http://schemas.openxmlformats.org/officeDocument/2006/relationships/hyperlink" Target="mailto:becky.cabe@ky.gov" TargetMode="External"/><Relationship Id="rId27" Type="http://schemas.openxmlformats.org/officeDocument/2006/relationships/hyperlink" Target="mailto:karen.huyck@dartmouth.edu" TargetMode="External"/><Relationship Id="rId30" Type="http://schemas.openxmlformats.org/officeDocument/2006/relationships/hyperlink" Target="mailto:rosenblum.david.b@dol.gov" TargetMode="External"/><Relationship Id="rId35" Type="http://schemas.openxmlformats.org/officeDocument/2006/relationships/hyperlink" Target="mailto:LKosar@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6EE2E-154F-4CF1-BB18-0D5E3168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2111</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14119</CharactersWithSpaces>
  <SharedDoc>false</SharedDoc>
  <HLinks>
    <vt:vector size="42" baseType="variant">
      <vt:variant>
        <vt:i4>1310737</vt:i4>
      </vt:variant>
      <vt:variant>
        <vt:i4>15</vt:i4>
      </vt:variant>
      <vt:variant>
        <vt:i4>0</vt:i4>
      </vt:variant>
      <vt:variant>
        <vt:i4>5</vt:i4>
      </vt:variant>
      <vt:variant>
        <vt:lpwstr>https://www.eeoc.gov/facts/ada18.html</vt:lpwstr>
      </vt:variant>
      <vt:variant>
        <vt:lpwstr/>
      </vt:variant>
      <vt:variant>
        <vt:i4>2293794</vt:i4>
      </vt:variant>
      <vt:variant>
        <vt:i4>12</vt:i4>
      </vt:variant>
      <vt:variant>
        <vt:i4>0</vt:i4>
      </vt:variant>
      <vt:variant>
        <vt:i4>5</vt:i4>
      </vt:variant>
      <vt:variant>
        <vt:lpwstr>https://www.dol.gov/OLMS/regs/compliance/LM-3_Instructions_AR.pdf</vt:lpwstr>
      </vt:variant>
      <vt:variant>
        <vt:lpwstr/>
      </vt:variant>
      <vt:variant>
        <vt:i4>393278</vt:i4>
      </vt:variant>
      <vt:variant>
        <vt:i4>9</vt:i4>
      </vt:variant>
      <vt:variant>
        <vt:i4>0</vt:i4>
      </vt:variant>
      <vt:variant>
        <vt:i4>5</vt:i4>
      </vt:variant>
      <vt:variant>
        <vt:lpwstr>http://factfinder.census.gov/faces/tableservices/jsf/pages/productview.xhtml?pid=ACS_14_5YR_S1811&amp;prodType=table</vt:lpwstr>
      </vt:variant>
      <vt:variant>
        <vt:lpwstr/>
      </vt:variant>
      <vt:variant>
        <vt:i4>393278</vt:i4>
      </vt:variant>
      <vt:variant>
        <vt:i4>6</vt:i4>
      </vt:variant>
      <vt:variant>
        <vt:i4>0</vt:i4>
      </vt:variant>
      <vt:variant>
        <vt:i4>5</vt:i4>
      </vt:variant>
      <vt:variant>
        <vt:lpwstr>http://factfinder.census.gov/faces/tableservices/jsf/pages/productview.xhtml?pid=ACS_14_5YR_S1811&amp;prodType=table</vt:lpwstr>
      </vt:variant>
      <vt:variant>
        <vt:lpwstr/>
      </vt:variant>
      <vt:variant>
        <vt:i4>5177360</vt:i4>
      </vt:variant>
      <vt:variant>
        <vt:i4>3</vt:i4>
      </vt:variant>
      <vt:variant>
        <vt:i4>0</vt:i4>
      </vt:variant>
      <vt:variant>
        <vt:i4>5</vt:i4>
      </vt:variant>
      <vt:variant>
        <vt:lpwstr>http://doi.org/10.1007/s10926-011-9302-8</vt:lpwstr>
      </vt:variant>
      <vt:variant>
        <vt:lpwstr/>
      </vt:variant>
      <vt:variant>
        <vt:i4>3670050</vt:i4>
      </vt:variant>
      <vt:variant>
        <vt:i4>0</vt:i4>
      </vt:variant>
      <vt:variant>
        <vt:i4>0</vt:i4>
      </vt:variant>
      <vt:variant>
        <vt:i4>5</vt:i4>
      </vt:variant>
      <vt:variant>
        <vt:lpwstr>https://www.doleta.gov/business/incentives/opptax/eligible.cfm</vt:lpwstr>
      </vt:variant>
      <vt:variant>
        <vt:lpwstr/>
      </vt:variant>
      <vt:variant>
        <vt:i4>4718646</vt:i4>
      </vt:variant>
      <vt:variant>
        <vt:i4>0</vt:i4>
      </vt:variant>
      <vt:variant>
        <vt:i4>0</vt:i4>
      </vt:variant>
      <vt:variant>
        <vt:i4>5</vt:i4>
      </vt:variant>
      <vt:variant>
        <vt:lpwstr>https://www.bls.gov/oes/current/oes_stru.htm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SYSTEM</cp:lastModifiedBy>
  <cp:revision>2</cp:revision>
  <cp:lastPrinted>2017-11-03T16:14:00Z</cp:lastPrinted>
  <dcterms:created xsi:type="dcterms:W3CDTF">2019-04-04T14:05:00Z</dcterms:created>
  <dcterms:modified xsi:type="dcterms:W3CDTF">2019-04-04T14:05:00Z</dcterms:modified>
</cp:coreProperties>
</file>