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1F6BFED1" w14:textId="29DCB915">
      <w:pPr>
        <w:tabs>
          <w:tab w:val="center" w:pos="4680"/>
        </w:tabs>
        <w:rPr>
          <w:rFonts w:ascii="Times New Roman" w:hAnsi="Times New Roman"/>
          <w:b/>
          <w:bCs/>
        </w:rPr>
      </w:pPr>
      <w:r w:rsidRPr="00F820CF">
        <w:rPr>
          <w:rFonts w:ascii="Times New Roman" w:hAnsi="Times New Roman"/>
          <w:b/>
          <w:bCs/>
        </w:rPr>
        <w:tab/>
        <w:t>SUPPORTING STATEMENT</w:t>
      </w:r>
    </w:p>
    <w:p w:rsidR="002374EC" w:rsidP="003651BA" w:rsidRDefault="002374EC" w14:paraId="0D1B69AE"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Pr="00B8524B" w:rsidR="00B8524B" w:rsidP="003651BA" w:rsidRDefault="00D14B2C" w14:paraId="6FB1E2D8" w14:textId="77777777">
      <w:pPr>
        <w:tabs>
          <w:tab w:val="center" w:pos="4680"/>
        </w:tabs>
        <w:jc w:val="center"/>
        <w:rPr>
          <w:rFonts w:ascii="Times New Roman" w:hAnsi="Times New Roman"/>
          <w:bCs/>
        </w:rPr>
      </w:pPr>
      <w:r w:rsidRPr="00D14B2C">
        <w:rPr>
          <w:rFonts w:ascii="Times New Roman" w:hAnsi="Times New Roman"/>
          <w:bCs/>
        </w:rPr>
        <w:t>Employee Plans Determination Letter Program</w:t>
      </w:r>
    </w:p>
    <w:p w:rsidRPr="00F820CF" w:rsidR="0042327E" w:rsidP="003651BA" w:rsidRDefault="0067075A" w14:paraId="16585FDF"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D14B2C">
        <w:rPr>
          <w:rFonts w:ascii="Times New Roman" w:hAnsi="Times New Roman"/>
          <w:b/>
          <w:bCs/>
        </w:rPr>
        <w:t>0197</w:t>
      </w:r>
    </w:p>
    <w:p w:rsidRPr="00F820CF" w:rsidR="00BA70CE" w:rsidRDefault="00BA70CE" w14:paraId="5762BAF6" w14:textId="77777777">
      <w:pPr>
        <w:rPr>
          <w:rFonts w:ascii="Times New Roman" w:hAnsi="Times New Roman"/>
          <w:b/>
          <w:bCs/>
        </w:rPr>
      </w:pPr>
    </w:p>
    <w:p w:rsidRPr="00F820CF" w:rsidR="0042327E" w:rsidRDefault="0042327E" w14:paraId="01AB5E1E"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264643D9" w14:textId="77777777">
      <w:pPr>
        <w:rPr>
          <w:rFonts w:ascii="Times New Roman" w:hAnsi="Times New Roman"/>
        </w:rPr>
      </w:pPr>
    </w:p>
    <w:p w:rsidR="004429C4" w:rsidP="004D62AB" w:rsidRDefault="00CA5837" w14:paraId="70A58FFB" w14:textId="77777777">
      <w:pPr>
        <w:ind w:left="720"/>
        <w:rPr>
          <w:rFonts w:ascii="Times New Roman" w:hAnsi="Times New Roman"/>
        </w:rPr>
      </w:pPr>
      <w:r w:rsidRPr="00CA5837">
        <w:rPr>
          <w:rFonts w:ascii="Times New Roman" w:hAnsi="Times New Roman"/>
        </w:rPr>
        <w:t>Internal Revenue Code sections 401(a) and 501(a), respectively, set out requirements for qualification of employee benefit trusts and the tax-exempt status of these trusts</w:t>
      </w:r>
      <w:r w:rsidR="004D62AB">
        <w:rPr>
          <w:rFonts w:ascii="Times New Roman" w:hAnsi="Times New Roman"/>
        </w:rPr>
        <w:t xml:space="preserve">.  </w:t>
      </w:r>
      <w:r w:rsidRPr="00CA5837">
        <w:rPr>
          <w:rFonts w:ascii="Times New Roman" w:hAnsi="Times New Roman"/>
        </w:rPr>
        <w:t xml:space="preserve"> </w:t>
      </w:r>
    </w:p>
    <w:p w:rsidRPr="004429C4" w:rsidR="00CA5837" w:rsidP="004429C4" w:rsidRDefault="00CA5837" w14:paraId="1A919136" w14:textId="77777777">
      <w:pPr>
        <w:ind w:left="720"/>
        <w:rPr>
          <w:rFonts w:ascii="Times New Roman" w:hAnsi="Times New Roman"/>
        </w:rPr>
      </w:pPr>
    </w:p>
    <w:p w:rsidR="00C046ED" w:rsidP="001A74A8" w:rsidRDefault="00CA5837" w14:paraId="0FA14E25" w14:textId="1B42A17E">
      <w:pPr>
        <w:ind w:left="720"/>
        <w:rPr>
          <w:rFonts w:ascii="Times New Roman" w:hAnsi="Times New Roman"/>
        </w:rPr>
      </w:pPr>
      <w:r w:rsidRPr="00CA5837">
        <w:rPr>
          <w:rFonts w:ascii="Times New Roman" w:hAnsi="Times New Roman"/>
        </w:rPr>
        <w:t>The EP Determination Letter Program is a way plan sponsors may submit their retirement plans to the IRS for review</w:t>
      </w:r>
      <w:r w:rsidR="00EE2EEF">
        <w:rPr>
          <w:rFonts w:ascii="Times New Roman" w:hAnsi="Times New Roman"/>
        </w:rPr>
        <w:t>.</w:t>
      </w:r>
      <w:r w:rsidRPr="00CA5837">
        <w:rPr>
          <w:rFonts w:ascii="Times New Roman" w:hAnsi="Times New Roman"/>
        </w:rPr>
        <w:t xml:space="preserve"> Determination specialists de</w:t>
      </w:r>
      <w:r w:rsidR="00EE2EEF">
        <w:rPr>
          <w:rFonts w:ascii="Times New Roman" w:hAnsi="Times New Roman"/>
        </w:rPr>
        <w:t>cide</w:t>
      </w:r>
      <w:r w:rsidRPr="00CA5837">
        <w:rPr>
          <w:rFonts w:ascii="Times New Roman" w:hAnsi="Times New Roman"/>
        </w:rPr>
        <w:t xml:space="preserve"> if retirement plans satisfy the qualification requirements</w:t>
      </w:r>
      <w:r w:rsidR="004D62AB">
        <w:rPr>
          <w:rFonts w:ascii="Times New Roman" w:hAnsi="Times New Roman"/>
        </w:rPr>
        <w:t xml:space="preserve">. </w:t>
      </w:r>
      <w:r w:rsidRPr="00C046ED" w:rsidR="00C046ED">
        <w:rPr>
          <w:rFonts w:ascii="Times New Roman" w:hAnsi="Times New Roman"/>
        </w:rPr>
        <w:t>The D</w:t>
      </w:r>
      <w:r w:rsidR="00C046ED">
        <w:rPr>
          <w:rFonts w:ascii="Times New Roman" w:hAnsi="Times New Roman"/>
        </w:rPr>
        <w:t xml:space="preserve">etermination Letter </w:t>
      </w:r>
      <w:r w:rsidRPr="00C046ED" w:rsidR="00C046ED">
        <w:rPr>
          <w:rFonts w:ascii="Times New Roman" w:hAnsi="Times New Roman"/>
        </w:rPr>
        <w:t>program is administered</w:t>
      </w:r>
      <w:r w:rsidR="00C046ED">
        <w:rPr>
          <w:rFonts w:ascii="Times New Roman" w:hAnsi="Times New Roman"/>
        </w:rPr>
        <w:t xml:space="preserve"> </w:t>
      </w:r>
      <w:r w:rsidRPr="00C046ED" w:rsidR="00C046ED">
        <w:rPr>
          <w:rFonts w:ascii="Times New Roman" w:hAnsi="Times New Roman"/>
        </w:rPr>
        <w:t>under Rev. Proc. 2016-6, 2016-1 I.R.B.</w:t>
      </w:r>
      <w:r w:rsidR="00C046ED">
        <w:rPr>
          <w:rFonts w:ascii="Times New Roman" w:hAnsi="Times New Roman"/>
        </w:rPr>
        <w:t xml:space="preserve"> </w:t>
      </w:r>
      <w:r w:rsidRPr="00C046ED" w:rsidR="00C046ED">
        <w:rPr>
          <w:rFonts w:ascii="Times New Roman" w:hAnsi="Times New Roman"/>
        </w:rPr>
        <w:t>200</w:t>
      </w:r>
      <w:r w:rsidR="00C046ED">
        <w:rPr>
          <w:rFonts w:ascii="Times New Roman" w:hAnsi="Times New Roman"/>
        </w:rPr>
        <w:t xml:space="preserve"> (OMB # 1545-1520)</w:t>
      </w:r>
      <w:r w:rsidRPr="00C046ED" w:rsidR="00C046ED">
        <w:rPr>
          <w:rFonts w:ascii="Times New Roman" w:hAnsi="Times New Roman"/>
        </w:rPr>
        <w:t xml:space="preserve">, available at </w:t>
      </w:r>
      <w:hyperlink w:history="1" r:id="rId7">
        <w:r w:rsidRPr="00A24B4B" w:rsidR="00C046ED">
          <w:rPr>
            <w:rStyle w:val="Hyperlink"/>
            <w:rFonts w:ascii="Times New Roman" w:hAnsi="Times New Roman"/>
          </w:rPr>
          <w:t>www.irs.gov/irb/2016-01_IRB/ar12.html</w:t>
        </w:r>
      </w:hyperlink>
      <w:r w:rsidR="00C046ED">
        <w:rPr>
          <w:rFonts w:ascii="Times New Roman" w:hAnsi="Times New Roman"/>
        </w:rPr>
        <w:t xml:space="preserve">. </w:t>
      </w:r>
      <w:r w:rsidRPr="00C046ED" w:rsidR="00C046ED">
        <w:rPr>
          <w:rFonts w:ascii="Times New Roman" w:hAnsi="Times New Roman"/>
        </w:rPr>
        <w:t>(updated</w:t>
      </w:r>
      <w:r w:rsidR="00C046ED">
        <w:rPr>
          <w:rFonts w:ascii="Times New Roman" w:hAnsi="Times New Roman"/>
        </w:rPr>
        <w:t xml:space="preserve"> </w:t>
      </w:r>
      <w:r w:rsidRPr="00C046ED" w:rsidR="00C046ED">
        <w:rPr>
          <w:rFonts w:ascii="Times New Roman" w:hAnsi="Times New Roman"/>
        </w:rPr>
        <w:t>annually), and Rev. Proc. 2016-37.</w:t>
      </w:r>
      <w:r w:rsidR="001A74A8">
        <w:rPr>
          <w:rFonts w:ascii="Times New Roman" w:hAnsi="Times New Roman"/>
        </w:rPr>
        <w:t xml:space="preserve">  </w:t>
      </w:r>
      <w:r w:rsidRPr="001A74A8" w:rsidR="001A74A8">
        <w:rPr>
          <w:rFonts w:ascii="Times New Roman" w:hAnsi="Times New Roman"/>
        </w:rPr>
        <w:t>This revenue procedure sets forth the procedures of the Internal Revenue Service for</w:t>
      </w:r>
      <w:r w:rsidR="001A74A8">
        <w:rPr>
          <w:rFonts w:ascii="Times New Roman" w:hAnsi="Times New Roman"/>
        </w:rPr>
        <w:t xml:space="preserve"> </w:t>
      </w:r>
      <w:r w:rsidRPr="001A74A8" w:rsidR="001A74A8">
        <w:rPr>
          <w:rFonts w:ascii="Times New Roman" w:hAnsi="Times New Roman"/>
        </w:rPr>
        <w:t>issuing determination letters on the qualified status of pension, profit-sharing, stock bonus,</w:t>
      </w:r>
      <w:r w:rsidR="001A74A8">
        <w:rPr>
          <w:rFonts w:ascii="Times New Roman" w:hAnsi="Times New Roman"/>
        </w:rPr>
        <w:t xml:space="preserve"> </w:t>
      </w:r>
      <w:r w:rsidRPr="001A74A8" w:rsidR="001A74A8">
        <w:rPr>
          <w:rFonts w:ascii="Times New Roman" w:hAnsi="Times New Roman"/>
        </w:rPr>
        <w:t>annuity, and employee stock ownership plans (ESOPs) under §§ 401, 403(a), 409 and</w:t>
      </w:r>
      <w:r w:rsidR="001A74A8">
        <w:rPr>
          <w:rFonts w:ascii="Times New Roman" w:hAnsi="Times New Roman"/>
        </w:rPr>
        <w:t xml:space="preserve"> </w:t>
      </w:r>
      <w:r w:rsidRPr="001A74A8" w:rsidR="001A74A8">
        <w:rPr>
          <w:rFonts w:ascii="Times New Roman" w:hAnsi="Times New Roman"/>
        </w:rPr>
        <w:t>4975(e)(7) of the Internal Revenue Code of 1986, and the status for exemption of any related</w:t>
      </w:r>
      <w:r w:rsidR="001A74A8">
        <w:rPr>
          <w:rFonts w:ascii="Times New Roman" w:hAnsi="Times New Roman"/>
        </w:rPr>
        <w:t xml:space="preserve"> </w:t>
      </w:r>
      <w:r w:rsidRPr="001A74A8" w:rsidR="001A74A8">
        <w:rPr>
          <w:rFonts w:ascii="Times New Roman" w:hAnsi="Times New Roman"/>
        </w:rPr>
        <w:t>trusts or custodial accounts under § 501(a).</w:t>
      </w:r>
    </w:p>
    <w:p w:rsidR="00C046ED" w:rsidP="00C046ED" w:rsidRDefault="00C046ED" w14:paraId="3A3FAB8C" w14:textId="77777777">
      <w:pPr>
        <w:ind w:left="720"/>
        <w:rPr>
          <w:rFonts w:ascii="Times New Roman" w:hAnsi="Times New Roman"/>
        </w:rPr>
      </w:pPr>
    </w:p>
    <w:p w:rsidR="00CA5837" w:rsidP="004429C4" w:rsidRDefault="004D62AB" w14:paraId="37A4E5FD" w14:textId="77777777">
      <w:pPr>
        <w:ind w:left="720"/>
        <w:rPr>
          <w:rFonts w:ascii="Times New Roman" w:hAnsi="Times New Roman"/>
        </w:rPr>
      </w:pPr>
      <w:r w:rsidRPr="004D62AB">
        <w:rPr>
          <w:rFonts w:ascii="Times New Roman" w:hAnsi="Times New Roman"/>
        </w:rPr>
        <w:t>Rev. Proc. 2016–37 sets forth the procedures for the determination</w:t>
      </w:r>
      <w:r>
        <w:rPr>
          <w:rFonts w:ascii="Times New Roman" w:hAnsi="Times New Roman"/>
        </w:rPr>
        <w:t xml:space="preserve"> </w:t>
      </w:r>
      <w:r w:rsidRPr="004D62AB">
        <w:rPr>
          <w:rFonts w:ascii="Times New Roman" w:hAnsi="Times New Roman"/>
        </w:rPr>
        <w:t>letter program for individually designed plans and the</w:t>
      </w:r>
      <w:r>
        <w:rPr>
          <w:rFonts w:ascii="Times New Roman" w:hAnsi="Times New Roman"/>
        </w:rPr>
        <w:t xml:space="preserve"> </w:t>
      </w:r>
      <w:r w:rsidRPr="004D62AB">
        <w:rPr>
          <w:rFonts w:ascii="Times New Roman" w:hAnsi="Times New Roman"/>
        </w:rPr>
        <w:t>six-year remedial amendment cycle system for pre-approved</w:t>
      </w:r>
      <w:r>
        <w:rPr>
          <w:rFonts w:ascii="Times New Roman" w:hAnsi="Times New Roman"/>
        </w:rPr>
        <w:t xml:space="preserve"> </w:t>
      </w:r>
      <w:r w:rsidRPr="004D62AB">
        <w:rPr>
          <w:rFonts w:ascii="Times New Roman" w:hAnsi="Times New Roman"/>
        </w:rPr>
        <w:t>plans.</w:t>
      </w:r>
      <w:r>
        <w:rPr>
          <w:rFonts w:ascii="Times New Roman" w:hAnsi="Times New Roman"/>
        </w:rPr>
        <w:t xml:space="preserve"> (</w:t>
      </w:r>
      <w:r w:rsidRPr="004D62AB">
        <w:rPr>
          <w:rFonts w:ascii="Times New Roman" w:hAnsi="Times New Roman"/>
        </w:rPr>
        <w:t xml:space="preserve">Rev. Proc. 2007–44 </w:t>
      </w:r>
      <w:r>
        <w:rPr>
          <w:rFonts w:ascii="Times New Roman" w:hAnsi="Times New Roman"/>
        </w:rPr>
        <w:t>was</w:t>
      </w:r>
      <w:r w:rsidRPr="004D62AB">
        <w:rPr>
          <w:rFonts w:ascii="Times New Roman" w:hAnsi="Times New Roman"/>
        </w:rPr>
        <w:t xml:space="preserve"> clarified, modified, and superseded.</w:t>
      </w:r>
      <w:r>
        <w:rPr>
          <w:rFonts w:ascii="Times New Roman" w:hAnsi="Times New Roman"/>
        </w:rPr>
        <w:t xml:space="preserve">  </w:t>
      </w:r>
      <w:r w:rsidRPr="004D62AB">
        <w:rPr>
          <w:rFonts w:ascii="Times New Roman" w:hAnsi="Times New Roman"/>
        </w:rPr>
        <w:t xml:space="preserve">Sections 2.07 and 24.03 of Rev. Proc. 2015–36 </w:t>
      </w:r>
      <w:r>
        <w:rPr>
          <w:rFonts w:ascii="Times New Roman" w:hAnsi="Times New Roman"/>
        </w:rPr>
        <w:t xml:space="preserve">were </w:t>
      </w:r>
      <w:r w:rsidRPr="004D62AB">
        <w:rPr>
          <w:rFonts w:ascii="Times New Roman" w:hAnsi="Times New Roman"/>
        </w:rPr>
        <w:t xml:space="preserve">modified. Sections I and III of Notice 2015–84 </w:t>
      </w:r>
      <w:proofErr w:type="gramStart"/>
      <w:r>
        <w:rPr>
          <w:rFonts w:ascii="Times New Roman" w:hAnsi="Times New Roman"/>
        </w:rPr>
        <w:t>were</w:t>
      </w:r>
      <w:proofErr w:type="gramEnd"/>
      <w:r w:rsidRPr="004D62AB">
        <w:rPr>
          <w:rFonts w:ascii="Times New Roman" w:hAnsi="Times New Roman"/>
        </w:rPr>
        <w:t xml:space="preserve"> modified</w:t>
      </w:r>
      <w:r>
        <w:rPr>
          <w:rFonts w:ascii="Times New Roman" w:hAnsi="Times New Roman"/>
        </w:rPr>
        <w:t>)</w:t>
      </w:r>
      <w:r w:rsidRPr="004D62AB">
        <w:rPr>
          <w:rFonts w:ascii="Times New Roman" w:hAnsi="Times New Roman"/>
        </w:rPr>
        <w:t>.</w:t>
      </w:r>
      <w:r w:rsidRPr="00CA5837">
        <w:rPr>
          <w:rFonts w:ascii="Times New Roman" w:hAnsi="Times New Roman"/>
        </w:rPr>
        <w:t xml:space="preserve">  </w:t>
      </w:r>
    </w:p>
    <w:p w:rsidR="00CA5837" w:rsidP="004429C4" w:rsidRDefault="00CA5837" w14:paraId="4C17E35E" w14:textId="77777777">
      <w:pPr>
        <w:ind w:left="720"/>
        <w:rPr>
          <w:rFonts w:ascii="Times New Roman" w:hAnsi="Times New Roman"/>
        </w:rPr>
      </w:pPr>
    </w:p>
    <w:p w:rsidR="004429C4" w:rsidP="004429C4" w:rsidRDefault="00CA5837" w14:paraId="4B7A596D" w14:textId="77777777">
      <w:pPr>
        <w:ind w:left="720"/>
        <w:rPr>
          <w:rFonts w:ascii="Times New Roman" w:hAnsi="Times New Roman"/>
        </w:rPr>
      </w:pPr>
      <w:r w:rsidRPr="00CA5837">
        <w:rPr>
          <w:rFonts w:ascii="Times New Roman" w:hAnsi="Times New Roman"/>
        </w:rPr>
        <w:t>The requirements of sections 401(a) and 501(a) (and the regulations there under) are reviewed by the IRS for retirement plans submitted on Form 5300</w:t>
      </w:r>
      <w:r w:rsidRPr="004429C4" w:rsidR="004429C4">
        <w:rPr>
          <w:rFonts w:ascii="Times New Roman" w:hAnsi="Times New Roman"/>
        </w:rPr>
        <w:t>.</w:t>
      </w:r>
      <w:r w:rsidR="00510970">
        <w:rPr>
          <w:rFonts w:ascii="Times New Roman" w:hAnsi="Times New Roman"/>
        </w:rPr>
        <w:t xml:space="preserve">  </w:t>
      </w:r>
      <w:r w:rsidRPr="00510970" w:rsidR="00510970">
        <w:rPr>
          <w:rFonts w:ascii="Times New Roman" w:hAnsi="Times New Roman"/>
        </w:rPr>
        <w:t xml:space="preserve">File Form 5300 to request a </w:t>
      </w:r>
      <w:r w:rsidR="00510970">
        <w:rPr>
          <w:rFonts w:ascii="Times New Roman" w:hAnsi="Times New Roman"/>
        </w:rPr>
        <w:t>determination letter</w:t>
      </w:r>
      <w:r w:rsidRPr="00510970" w:rsidR="00510970">
        <w:rPr>
          <w:rFonts w:ascii="Times New Roman" w:hAnsi="Times New Roman"/>
        </w:rPr>
        <w:t xml:space="preserve"> from the</w:t>
      </w:r>
      <w:r w:rsidR="00510970">
        <w:rPr>
          <w:rFonts w:ascii="Times New Roman" w:hAnsi="Times New Roman"/>
        </w:rPr>
        <w:t xml:space="preserve"> </w:t>
      </w:r>
      <w:r w:rsidRPr="00510970" w:rsidR="00510970">
        <w:rPr>
          <w:rFonts w:ascii="Times New Roman" w:hAnsi="Times New Roman"/>
        </w:rPr>
        <w:t>IRS for the qualification of a defined</w:t>
      </w:r>
      <w:r w:rsidR="00510970">
        <w:rPr>
          <w:rFonts w:ascii="Times New Roman" w:hAnsi="Times New Roman"/>
        </w:rPr>
        <w:t xml:space="preserve"> </w:t>
      </w:r>
      <w:r w:rsidRPr="00510970" w:rsidR="00510970">
        <w:rPr>
          <w:rFonts w:ascii="Times New Roman" w:hAnsi="Times New Roman"/>
        </w:rPr>
        <w:t>benefit (DB) or a defined contribution</w:t>
      </w:r>
      <w:r w:rsidR="00510970">
        <w:rPr>
          <w:rFonts w:ascii="Times New Roman" w:hAnsi="Times New Roman"/>
        </w:rPr>
        <w:t xml:space="preserve"> </w:t>
      </w:r>
      <w:r w:rsidRPr="00510970" w:rsidR="00510970">
        <w:rPr>
          <w:rFonts w:ascii="Times New Roman" w:hAnsi="Times New Roman"/>
        </w:rPr>
        <w:t>(DC) plan and the exempt status of any</w:t>
      </w:r>
      <w:r w:rsidR="00510970">
        <w:rPr>
          <w:rFonts w:ascii="Times New Roman" w:hAnsi="Times New Roman"/>
        </w:rPr>
        <w:t xml:space="preserve"> </w:t>
      </w:r>
      <w:r w:rsidRPr="00510970" w:rsidR="00510970">
        <w:rPr>
          <w:rFonts w:ascii="Times New Roman" w:hAnsi="Times New Roman"/>
        </w:rPr>
        <w:t>related trust</w:t>
      </w:r>
      <w:r w:rsidRPr="004D62AB" w:rsidR="00510970">
        <w:rPr>
          <w:rFonts w:ascii="Times New Roman" w:hAnsi="Times New Roman"/>
        </w:rPr>
        <w:t>.</w:t>
      </w:r>
      <w:r w:rsidR="001A74A8">
        <w:rPr>
          <w:rFonts w:ascii="Times New Roman" w:hAnsi="Times New Roman"/>
        </w:rPr>
        <w:t xml:space="preserve"> This request is intended to cover the burden associated with completing and filing Form 5300.  </w:t>
      </w:r>
    </w:p>
    <w:p w:rsidRPr="00F820CF" w:rsidR="0042327E" w:rsidP="004429C4" w:rsidRDefault="0042327E" w14:paraId="2FC580FE" w14:textId="77777777">
      <w:pPr>
        <w:rPr>
          <w:rFonts w:ascii="Times New Roman" w:hAnsi="Times New Roman"/>
        </w:rPr>
      </w:pPr>
      <w:r w:rsidRPr="00F820CF">
        <w:rPr>
          <w:rFonts w:ascii="Times New Roman" w:hAnsi="Times New Roman"/>
        </w:rPr>
        <w:t xml:space="preserve">     </w:t>
      </w:r>
    </w:p>
    <w:p w:rsidRPr="00F820CF" w:rsidR="0042327E" w:rsidRDefault="0042327E" w14:paraId="46F2544F"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599931D7" w14:textId="77777777">
      <w:pPr>
        <w:rPr>
          <w:rFonts w:ascii="Times New Roman" w:hAnsi="Times New Roman"/>
        </w:rPr>
      </w:pPr>
    </w:p>
    <w:p w:rsidR="004D62AB" w:rsidP="00510970" w:rsidRDefault="002638C1" w14:paraId="6519E875" w14:textId="77777777">
      <w:pPr>
        <w:ind w:left="720"/>
        <w:rPr>
          <w:rFonts w:ascii="Times New Roman" w:hAnsi="Times New Roman"/>
        </w:rPr>
      </w:pPr>
      <w:r w:rsidRPr="002638C1">
        <w:rPr>
          <w:rFonts w:ascii="Times New Roman" w:hAnsi="Times New Roman"/>
        </w:rPr>
        <w:t>The Form 5300 provides the IRS with the information necessary to verify that the sponsor (employer) has a qualified plan and may make tax deductible contributions to it</w:t>
      </w:r>
      <w:r>
        <w:rPr>
          <w:rFonts w:ascii="Times New Roman" w:hAnsi="Times New Roman"/>
        </w:rPr>
        <w:t xml:space="preserve">.  </w:t>
      </w:r>
      <w:r w:rsidRPr="004D62AB" w:rsidR="004D62AB">
        <w:rPr>
          <w:rFonts w:ascii="Times New Roman" w:hAnsi="Times New Roman"/>
        </w:rPr>
        <w:t xml:space="preserve">The data is shared with other internal IRS systems to validate the final resolution of the applications. </w:t>
      </w:r>
    </w:p>
    <w:p w:rsidRPr="00F820CF" w:rsidR="0042327E" w:rsidP="004429C4" w:rsidRDefault="0042327E" w14:paraId="2DF7CB2A" w14:textId="77777777">
      <w:pPr>
        <w:ind w:left="720"/>
        <w:rPr>
          <w:rFonts w:ascii="Times New Roman" w:hAnsi="Times New Roman"/>
        </w:rPr>
      </w:pPr>
      <w:r w:rsidRPr="00F820CF">
        <w:rPr>
          <w:rFonts w:ascii="Times New Roman" w:hAnsi="Times New Roman"/>
        </w:rPr>
        <w:t xml:space="preserve">             </w:t>
      </w:r>
    </w:p>
    <w:p w:rsidRPr="00F820CF" w:rsidR="0042327E" w:rsidRDefault="0042327E" w14:paraId="1639CB00"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422D7014" w14:textId="77777777">
      <w:pPr>
        <w:rPr>
          <w:rFonts w:ascii="Times New Roman" w:hAnsi="Times New Roman"/>
        </w:rPr>
      </w:pPr>
    </w:p>
    <w:p w:rsidR="0042327E" w:rsidP="0006443C" w:rsidRDefault="003D17E2" w14:paraId="64318821" w14:textId="77777777">
      <w:pPr>
        <w:ind w:left="720"/>
        <w:rPr>
          <w:rFonts w:ascii="Times New Roman" w:hAnsi="Times New Roman"/>
        </w:rPr>
      </w:pPr>
      <w:r w:rsidRPr="003D17E2">
        <w:rPr>
          <w:rFonts w:ascii="Times New Roman" w:hAnsi="Times New Roman"/>
        </w:rPr>
        <w:t>IRS Publications, Regulations, Notices and Letters are to be electronically enabled on an as practicable basis in accordance with the IRS Reform and Restructuring Act of 1998</w:t>
      </w:r>
      <w:r w:rsidRPr="006D7970" w:rsidR="006D7970">
        <w:rPr>
          <w:rFonts w:ascii="Times New Roman" w:hAnsi="Times New Roman"/>
        </w:rPr>
        <w:t>.</w:t>
      </w:r>
      <w:r w:rsidR="004D62AB">
        <w:rPr>
          <w:rFonts w:ascii="Times New Roman" w:hAnsi="Times New Roman"/>
        </w:rPr>
        <w:t xml:space="preserve"> </w:t>
      </w:r>
      <w:r w:rsidRPr="00510970" w:rsidR="00510970">
        <w:rPr>
          <w:rFonts w:ascii="Times New Roman" w:hAnsi="Times New Roman"/>
        </w:rPr>
        <w:t xml:space="preserve">The Employee Plans-Exempt Organizations Determination System (EDS) consists of two applications, the Employee Plans / Exempt Organizations Determination System (EDS) </w:t>
      </w:r>
      <w:r w:rsidRPr="00510970" w:rsidR="00510970">
        <w:rPr>
          <w:rFonts w:ascii="Times New Roman" w:hAnsi="Times New Roman"/>
        </w:rPr>
        <w:lastRenderedPageBreak/>
        <w:t xml:space="preserve">and the TE/GE Rulings and Agreements Control (TRAC). </w:t>
      </w:r>
      <w:r w:rsidR="004D62AB">
        <w:rPr>
          <w:rFonts w:ascii="Times New Roman" w:hAnsi="Times New Roman"/>
        </w:rPr>
        <w:t xml:space="preserve"> </w:t>
      </w:r>
      <w:r w:rsidR="0006443C">
        <w:rPr>
          <w:rFonts w:ascii="Times New Roman" w:hAnsi="Times New Roman"/>
        </w:rPr>
        <w:t xml:space="preserve">This </w:t>
      </w:r>
      <w:r w:rsidRPr="0006443C" w:rsidR="0006443C">
        <w:rPr>
          <w:rFonts w:ascii="Times New Roman" w:hAnsi="Times New Roman"/>
        </w:rPr>
        <w:t xml:space="preserve">system </w:t>
      </w:r>
      <w:r w:rsidR="0006443C">
        <w:rPr>
          <w:rFonts w:ascii="Times New Roman" w:hAnsi="Times New Roman"/>
        </w:rPr>
        <w:t xml:space="preserve">does not </w:t>
      </w:r>
      <w:r w:rsidRPr="0006443C" w:rsidR="0006443C">
        <w:rPr>
          <w:rFonts w:ascii="Times New Roman" w:hAnsi="Times New Roman"/>
        </w:rPr>
        <w:t>use social media channels</w:t>
      </w:r>
      <w:r w:rsidR="0006443C">
        <w:rPr>
          <w:rFonts w:ascii="Times New Roman" w:hAnsi="Times New Roman"/>
        </w:rPr>
        <w:t xml:space="preserve">, </w:t>
      </w:r>
      <w:r w:rsidRPr="0006443C" w:rsidR="0006443C">
        <w:rPr>
          <w:rFonts w:ascii="Times New Roman" w:hAnsi="Times New Roman"/>
        </w:rPr>
        <w:t>privacy-sensitive technologies such as mobile, global position system (GPS), biometrics, RFID, etc.</w:t>
      </w:r>
      <w:r w:rsidR="0006443C">
        <w:rPr>
          <w:rFonts w:ascii="Times New Roman" w:hAnsi="Times New Roman"/>
        </w:rPr>
        <w:t xml:space="preserve">, </w:t>
      </w:r>
      <w:r w:rsidRPr="0006443C" w:rsidR="0006443C">
        <w:rPr>
          <w:rFonts w:ascii="Times New Roman" w:hAnsi="Times New Roman"/>
        </w:rPr>
        <w:t>cloud computing</w:t>
      </w:r>
      <w:r w:rsidR="0006443C">
        <w:rPr>
          <w:rFonts w:ascii="Times New Roman" w:hAnsi="Times New Roman"/>
        </w:rPr>
        <w:t xml:space="preserve">, or </w:t>
      </w:r>
      <w:r w:rsidRPr="0006443C" w:rsidR="0006443C">
        <w:rPr>
          <w:rFonts w:ascii="Times New Roman" w:hAnsi="Times New Roman"/>
        </w:rPr>
        <w:t>interact with the public</w:t>
      </w:r>
      <w:r w:rsidR="0006443C">
        <w:rPr>
          <w:rFonts w:ascii="Times New Roman" w:hAnsi="Times New Roman"/>
        </w:rPr>
        <w:t xml:space="preserve">.  </w:t>
      </w:r>
    </w:p>
    <w:p w:rsidRPr="00F820CF" w:rsidR="0006443C" w:rsidP="0006443C" w:rsidRDefault="0006443C" w14:paraId="5B404429" w14:textId="77777777">
      <w:pPr>
        <w:ind w:left="720"/>
        <w:rPr>
          <w:rFonts w:ascii="Times New Roman" w:hAnsi="Times New Roman"/>
        </w:rPr>
      </w:pPr>
    </w:p>
    <w:p w:rsidRPr="00F820CF" w:rsidR="0042327E" w:rsidRDefault="0042327E" w14:paraId="4B83C17E"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18A2EE7F" w14:textId="77777777">
      <w:pPr>
        <w:rPr>
          <w:rFonts w:ascii="Times New Roman" w:hAnsi="Times New Roman"/>
        </w:rPr>
      </w:pPr>
    </w:p>
    <w:p w:rsidRPr="00F820CF" w:rsidR="00CF6A91" w:rsidRDefault="00A24930" w14:paraId="3DA42AF2" w14:textId="32D5C51A">
      <w:pPr>
        <w:ind w:left="720"/>
        <w:rPr>
          <w:rFonts w:ascii="Times New Roman" w:hAnsi="Times New Roman"/>
        </w:rPr>
      </w:pPr>
      <w:r w:rsidRPr="00A24930">
        <w:rPr>
          <w:rFonts w:ascii="Times New Roman" w:hAnsi="Times New Roman"/>
        </w:rPr>
        <w:t>The information obtained through this collection is unique and is not already available for use or adaptation from another source</w:t>
      </w:r>
      <w:r>
        <w:rPr>
          <w:rFonts w:ascii="Times New Roman" w:hAnsi="Times New Roman"/>
        </w:rPr>
        <w:t>.</w:t>
      </w:r>
      <w:r w:rsidRPr="00F820CF" w:rsidR="0042327E">
        <w:rPr>
          <w:rFonts w:ascii="Times New Roman" w:hAnsi="Times New Roman"/>
        </w:rPr>
        <w:t xml:space="preserve"> </w:t>
      </w:r>
    </w:p>
    <w:p w:rsidRPr="00F820CF" w:rsidR="0042327E" w:rsidRDefault="0042327E" w14:paraId="5E105137" w14:textId="77777777">
      <w:pPr>
        <w:rPr>
          <w:rFonts w:ascii="Times New Roman" w:hAnsi="Times New Roman"/>
        </w:rPr>
      </w:pPr>
    </w:p>
    <w:p w:rsidRPr="00F820CF" w:rsidR="0042327E" w:rsidRDefault="0042327E" w14:paraId="330899E0"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6C03F99E" w14:textId="77777777">
      <w:pPr>
        <w:rPr>
          <w:rFonts w:ascii="Times New Roman" w:hAnsi="Times New Roman"/>
        </w:rPr>
      </w:pPr>
    </w:p>
    <w:p w:rsidRPr="008A6408" w:rsidR="008A6408" w:rsidP="008A6408" w:rsidRDefault="008A6408" w14:paraId="6F8C1B08" w14:textId="77777777">
      <w:pPr>
        <w:ind w:left="720"/>
        <w:rPr>
          <w:rFonts w:ascii="Times New Roman" w:hAnsi="Times New Roman"/>
        </w:rPr>
      </w:pPr>
      <w:bookmarkStart w:name="_Hlk53742795" w:id="0"/>
      <w:r w:rsidRPr="008A6408">
        <w:rPr>
          <w:rFonts w:ascii="Times New Roman" w:hAnsi="Times New Roman"/>
        </w:rPr>
        <w:t>It has been determined that this Treasury</w:t>
      </w:r>
      <w:r>
        <w:rPr>
          <w:rFonts w:ascii="Times New Roman" w:hAnsi="Times New Roman"/>
        </w:rPr>
        <w:t xml:space="preserve"> </w:t>
      </w:r>
      <w:r w:rsidRPr="008A6408">
        <w:rPr>
          <w:rFonts w:ascii="Times New Roman" w:hAnsi="Times New Roman"/>
        </w:rPr>
        <w:t>decision is not a significant regulatory</w:t>
      </w:r>
    </w:p>
    <w:p w:rsidRPr="008A6408" w:rsidR="008A6408" w:rsidP="008A6408" w:rsidRDefault="008A6408" w14:paraId="6CF5ECD4" w14:textId="77777777">
      <w:pPr>
        <w:ind w:left="720"/>
        <w:rPr>
          <w:rFonts w:ascii="Times New Roman" w:hAnsi="Times New Roman"/>
        </w:rPr>
      </w:pPr>
      <w:r w:rsidRPr="008A6408">
        <w:rPr>
          <w:rFonts w:ascii="Times New Roman" w:hAnsi="Times New Roman"/>
        </w:rPr>
        <w:t>action as defined in Executive Order</w:t>
      </w:r>
      <w:r>
        <w:rPr>
          <w:rFonts w:ascii="Times New Roman" w:hAnsi="Times New Roman"/>
        </w:rPr>
        <w:t xml:space="preserve"> </w:t>
      </w:r>
      <w:r w:rsidRPr="008A6408">
        <w:rPr>
          <w:rFonts w:ascii="Times New Roman" w:hAnsi="Times New Roman"/>
        </w:rPr>
        <w:t>12866. Therefore, a regulatory assessment</w:t>
      </w:r>
    </w:p>
    <w:p w:rsidRPr="008A6408" w:rsidR="008A6408" w:rsidP="008A6408" w:rsidRDefault="008A6408" w14:paraId="318B62A6" w14:textId="77777777">
      <w:pPr>
        <w:ind w:left="720"/>
        <w:rPr>
          <w:rFonts w:ascii="Times New Roman" w:hAnsi="Times New Roman"/>
        </w:rPr>
      </w:pPr>
      <w:r w:rsidRPr="008A6408">
        <w:rPr>
          <w:rFonts w:ascii="Times New Roman" w:hAnsi="Times New Roman"/>
        </w:rPr>
        <w:t>is not required. It also has been determined</w:t>
      </w:r>
      <w:r>
        <w:rPr>
          <w:rFonts w:ascii="Times New Roman" w:hAnsi="Times New Roman"/>
        </w:rPr>
        <w:t xml:space="preserve"> </w:t>
      </w:r>
      <w:r w:rsidRPr="008A6408">
        <w:rPr>
          <w:rFonts w:ascii="Times New Roman" w:hAnsi="Times New Roman"/>
        </w:rPr>
        <w:t>that section 553(b) of the Administrative</w:t>
      </w:r>
    </w:p>
    <w:p w:rsidR="008A6408" w:rsidP="008A6408" w:rsidRDefault="008A6408" w14:paraId="4B5447DB" w14:textId="77777777">
      <w:pPr>
        <w:ind w:left="720"/>
        <w:rPr>
          <w:rFonts w:ascii="Times New Roman" w:hAnsi="Times New Roman"/>
        </w:rPr>
      </w:pPr>
      <w:r w:rsidRPr="008A6408">
        <w:rPr>
          <w:rFonts w:ascii="Times New Roman" w:hAnsi="Times New Roman"/>
        </w:rPr>
        <w:t>Procedure Act (5 U.S.C.</w:t>
      </w:r>
      <w:r>
        <w:rPr>
          <w:rFonts w:ascii="Times New Roman" w:hAnsi="Times New Roman"/>
        </w:rPr>
        <w:t xml:space="preserve"> </w:t>
      </w:r>
      <w:r w:rsidRPr="008A6408">
        <w:rPr>
          <w:rFonts w:ascii="Times New Roman" w:hAnsi="Times New Roman"/>
        </w:rPr>
        <w:t>chapter 5) does not apply to these regulations,</w:t>
      </w:r>
      <w:r>
        <w:rPr>
          <w:rFonts w:ascii="Times New Roman" w:hAnsi="Times New Roman"/>
        </w:rPr>
        <w:t xml:space="preserve"> </w:t>
      </w:r>
      <w:r w:rsidRPr="008A6408">
        <w:rPr>
          <w:rFonts w:ascii="Times New Roman" w:hAnsi="Times New Roman"/>
        </w:rPr>
        <w:t>and because the regulation does not</w:t>
      </w:r>
      <w:r>
        <w:rPr>
          <w:rFonts w:ascii="Times New Roman" w:hAnsi="Times New Roman"/>
        </w:rPr>
        <w:t xml:space="preserve"> </w:t>
      </w:r>
      <w:r w:rsidRPr="008A6408">
        <w:rPr>
          <w:rFonts w:ascii="Times New Roman" w:hAnsi="Times New Roman"/>
        </w:rPr>
        <w:t>impose a collection of information on</w:t>
      </w:r>
      <w:r>
        <w:rPr>
          <w:rFonts w:ascii="Times New Roman" w:hAnsi="Times New Roman"/>
        </w:rPr>
        <w:t xml:space="preserve"> </w:t>
      </w:r>
      <w:r w:rsidRPr="008A6408">
        <w:rPr>
          <w:rFonts w:ascii="Times New Roman" w:hAnsi="Times New Roman"/>
        </w:rPr>
        <w:t>small entities, the Regulatory Flexibility</w:t>
      </w:r>
      <w:r>
        <w:rPr>
          <w:rFonts w:ascii="Times New Roman" w:hAnsi="Times New Roman"/>
        </w:rPr>
        <w:t xml:space="preserve"> </w:t>
      </w:r>
      <w:r w:rsidRPr="008A6408">
        <w:rPr>
          <w:rFonts w:ascii="Times New Roman" w:hAnsi="Times New Roman"/>
        </w:rPr>
        <w:t>Act (5 U.S.C. chapter 6) does not apply.</w:t>
      </w:r>
    </w:p>
    <w:p w:rsidRPr="008A6408" w:rsidR="008A6408" w:rsidP="008A6408" w:rsidRDefault="008A6408" w14:paraId="7B557652" w14:textId="77777777">
      <w:pPr>
        <w:ind w:left="720"/>
        <w:rPr>
          <w:rFonts w:ascii="Times New Roman" w:hAnsi="Times New Roman"/>
        </w:rPr>
      </w:pPr>
    </w:p>
    <w:p w:rsidRPr="008A6408" w:rsidR="008A6408" w:rsidP="008A6408" w:rsidRDefault="008A6408" w14:paraId="18A918DC" w14:textId="77777777">
      <w:pPr>
        <w:ind w:left="720"/>
        <w:rPr>
          <w:rFonts w:ascii="Times New Roman" w:hAnsi="Times New Roman"/>
        </w:rPr>
      </w:pPr>
      <w:r w:rsidRPr="008A6408">
        <w:rPr>
          <w:rFonts w:ascii="Times New Roman" w:hAnsi="Times New Roman"/>
        </w:rPr>
        <w:t>Pursuant to section 7805(f) of the Internal</w:t>
      </w:r>
      <w:r>
        <w:rPr>
          <w:rFonts w:ascii="Times New Roman" w:hAnsi="Times New Roman"/>
        </w:rPr>
        <w:t xml:space="preserve"> </w:t>
      </w:r>
      <w:r w:rsidRPr="008A6408">
        <w:rPr>
          <w:rFonts w:ascii="Times New Roman" w:hAnsi="Times New Roman"/>
        </w:rPr>
        <w:t>Revenue Code, the notice of proposed</w:t>
      </w:r>
    </w:p>
    <w:p w:rsidR="00700755" w:rsidP="008A6408" w:rsidRDefault="008A6408" w14:paraId="2A2B6725" w14:textId="77777777">
      <w:pPr>
        <w:ind w:left="720"/>
        <w:rPr>
          <w:rFonts w:ascii="Times New Roman" w:hAnsi="Times New Roman"/>
        </w:rPr>
      </w:pPr>
      <w:r w:rsidRPr="008A6408">
        <w:rPr>
          <w:rFonts w:ascii="Times New Roman" w:hAnsi="Times New Roman"/>
        </w:rPr>
        <w:t>rulemaking preceding these regulations</w:t>
      </w:r>
      <w:r>
        <w:rPr>
          <w:rFonts w:ascii="Times New Roman" w:hAnsi="Times New Roman"/>
        </w:rPr>
        <w:t xml:space="preserve"> </w:t>
      </w:r>
      <w:r w:rsidRPr="008A6408">
        <w:rPr>
          <w:rFonts w:ascii="Times New Roman" w:hAnsi="Times New Roman"/>
        </w:rPr>
        <w:t>was submitted to the Small Business</w:t>
      </w:r>
      <w:r>
        <w:rPr>
          <w:rFonts w:ascii="Times New Roman" w:hAnsi="Times New Roman"/>
        </w:rPr>
        <w:t xml:space="preserve"> </w:t>
      </w:r>
      <w:r w:rsidRPr="008A6408">
        <w:rPr>
          <w:rFonts w:ascii="Times New Roman" w:hAnsi="Times New Roman"/>
        </w:rPr>
        <w:t>Administration</w:t>
      </w:r>
      <w:r>
        <w:rPr>
          <w:rFonts w:ascii="Times New Roman" w:hAnsi="Times New Roman"/>
        </w:rPr>
        <w:t xml:space="preserve"> </w:t>
      </w:r>
      <w:r w:rsidRPr="008A6408">
        <w:rPr>
          <w:rFonts w:ascii="Times New Roman" w:hAnsi="Times New Roman"/>
        </w:rPr>
        <w:t>for comment on its impact on</w:t>
      </w:r>
      <w:r>
        <w:rPr>
          <w:rFonts w:ascii="Times New Roman" w:hAnsi="Times New Roman"/>
        </w:rPr>
        <w:t xml:space="preserve"> </w:t>
      </w:r>
      <w:r w:rsidRPr="008A6408">
        <w:rPr>
          <w:rFonts w:ascii="Times New Roman" w:hAnsi="Times New Roman"/>
        </w:rPr>
        <w:t>small businesses</w:t>
      </w:r>
      <w:r>
        <w:rPr>
          <w:rFonts w:ascii="Times New Roman" w:hAnsi="Times New Roman"/>
        </w:rPr>
        <w:t xml:space="preserve">.  </w:t>
      </w:r>
    </w:p>
    <w:bookmarkEnd w:id="0"/>
    <w:p w:rsidR="008A6408" w:rsidP="008A6408" w:rsidRDefault="008A6408" w14:paraId="5E20CB42" w14:textId="77777777">
      <w:pPr>
        <w:rPr>
          <w:rFonts w:ascii="Times New Roman" w:hAnsi="Times New Roman"/>
        </w:rPr>
      </w:pPr>
    </w:p>
    <w:p w:rsidRPr="00F820CF" w:rsidR="00700755" w:rsidRDefault="00700755" w14:paraId="2B22947F" w14:textId="77777777">
      <w:pPr>
        <w:rPr>
          <w:rFonts w:ascii="Times New Roman" w:hAnsi="Times New Roman"/>
        </w:rPr>
        <w:sectPr w:rsidRPr="00F820CF" w:rsidR="00700755">
          <w:pgSz w:w="12240" w:h="15840"/>
          <w:pgMar w:top="1440" w:right="1440" w:bottom="1440" w:left="1440" w:header="1440" w:footer="1440" w:gutter="0"/>
          <w:cols w:space="720"/>
          <w:noEndnote/>
        </w:sectPr>
      </w:pPr>
    </w:p>
    <w:p w:rsidRPr="00F820CF" w:rsidR="0042327E" w:rsidRDefault="0042327E" w14:paraId="68A786BA"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7DE88F6B" w14:textId="77777777">
      <w:pPr>
        <w:rPr>
          <w:rFonts w:ascii="Times New Roman" w:hAnsi="Times New Roman"/>
        </w:rPr>
      </w:pPr>
    </w:p>
    <w:p w:rsidR="008F187B" w:rsidP="005F3C3B" w:rsidRDefault="00D62F07" w14:paraId="5DD2F3C1" w14:textId="77777777">
      <w:pPr>
        <w:ind w:left="720"/>
        <w:rPr>
          <w:rFonts w:ascii="Times New Roman" w:hAnsi="Times New Roman"/>
        </w:rPr>
      </w:pPr>
      <w:r w:rsidRPr="00D62F07">
        <w:rPr>
          <w:rFonts w:ascii="Times New Roman" w:hAnsi="Times New Roman"/>
        </w:rPr>
        <w:t xml:space="preserve">A less frequent collection </w:t>
      </w:r>
      <w:r w:rsidRPr="003D17E2" w:rsidR="003D17E2">
        <w:rPr>
          <w:rFonts w:ascii="Times New Roman" w:hAnsi="Times New Roman"/>
        </w:rPr>
        <w:t>o</w:t>
      </w:r>
      <w:r w:rsidR="004429C4">
        <w:rPr>
          <w:rFonts w:ascii="Times New Roman" w:hAnsi="Times New Roman"/>
        </w:rPr>
        <w:t>f</w:t>
      </w:r>
      <w:r w:rsidRPr="003D17E2" w:rsidR="003D17E2">
        <w:rPr>
          <w:rFonts w:ascii="Times New Roman" w:hAnsi="Times New Roman"/>
        </w:rPr>
        <w:t xml:space="preserve"> </w:t>
      </w:r>
      <w:r w:rsidRPr="004429C4" w:rsidR="004429C4">
        <w:rPr>
          <w:rFonts w:ascii="Times New Roman" w:hAnsi="Times New Roman"/>
        </w:rPr>
        <w:t xml:space="preserve">information required under </w:t>
      </w:r>
      <w:r w:rsidR="001A74A8">
        <w:rPr>
          <w:rFonts w:ascii="Times New Roman" w:hAnsi="Times New Roman"/>
        </w:rPr>
        <w:t xml:space="preserve">this approval number </w:t>
      </w:r>
      <w:r w:rsidRPr="001A74A8" w:rsidR="001A74A8">
        <w:rPr>
          <w:rFonts w:ascii="Times New Roman" w:hAnsi="Times New Roman"/>
        </w:rPr>
        <w:t>could lead to increased noncompliance, and the IRS being unable to verify that the sponsor (employer) has a qualified plan hindering IRS in meeting its mission.</w:t>
      </w:r>
      <w:r w:rsidR="004429C4">
        <w:rPr>
          <w:rFonts w:ascii="Times New Roman" w:hAnsi="Times New Roman"/>
        </w:rPr>
        <w:t xml:space="preserve">  </w:t>
      </w:r>
    </w:p>
    <w:p w:rsidRPr="00F820CF" w:rsidR="004429C4" w:rsidP="005F3C3B" w:rsidRDefault="004429C4" w14:paraId="00DE24EF" w14:textId="77777777">
      <w:pPr>
        <w:ind w:left="720"/>
        <w:rPr>
          <w:rFonts w:ascii="Times New Roman" w:hAnsi="Times New Roman"/>
        </w:rPr>
      </w:pPr>
    </w:p>
    <w:p w:rsidRPr="00F820CF" w:rsidR="0042327E" w:rsidRDefault="0042327E" w14:paraId="653B94ED"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39CD3977" w14:textId="77777777">
      <w:pPr>
        <w:rPr>
          <w:rFonts w:ascii="Times New Roman" w:hAnsi="Times New Roman"/>
        </w:rPr>
      </w:pPr>
    </w:p>
    <w:p w:rsidRPr="00F820CF" w:rsidR="0042327E" w:rsidRDefault="005F3C3B" w14:paraId="112268B8"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503189" w:rsidRDefault="00503189" w14:paraId="70181031" w14:textId="77777777">
      <w:pPr>
        <w:rPr>
          <w:rFonts w:ascii="Times New Roman" w:hAnsi="Times New Roman"/>
        </w:rPr>
      </w:pPr>
    </w:p>
    <w:p w:rsidRPr="00F820CF" w:rsidR="0042327E" w:rsidRDefault="0042327E" w14:paraId="66320E3A"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2958AC9A" w14:textId="77777777">
      <w:pPr>
        <w:rPr>
          <w:rFonts w:ascii="Times New Roman" w:hAnsi="Times New Roman"/>
        </w:rPr>
      </w:pPr>
    </w:p>
    <w:p w:rsidR="0042327E" w:rsidP="00EE2EEF" w:rsidRDefault="00A41180" w14:paraId="7DED0709" w14:textId="66589134">
      <w:pPr>
        <w:ind w:left="720"/>
        <w:rPr>
          <w:rFonts w:ascii="Times New Roman" w:hAnsi="Times New Roman"/>
        </w:rPr>
      </w:pPr>
      <w:r>
        <w:rPr>
          <w:rFonts w:ascii="Times New Roman" w:hAnsi="Times New Roman"/>
        </w:rPr>
        <w:t>R</w:t>
      </w:r>
      <w:r w:rsidRPr="00A41180">
        <w:rPr>
          <w:rFonts w:ascii="Times New Roman" w:hAnsi="Times New Roman"/>
        </w:rPr>
        <w:t xml:space="preserve">evenue </w:t>
      </w:r>
      <w:r>
        <w:rPr>
          <w:rFonts w:ascii="Times New Roman" w:hAnsi="Times New Roman"/>
        </w:rPr>
        <w:t>P</w:t>
      </w:r>
      <w:r w:rsidRPr="00A41180">
        <w:rPr>
          <w:rFonts w:ascii="Times New Roman" w:hAnsi="Times New Roman"/>
        </w:rPr>
        <w:t xml:space="preserve">rocedure </w:t>
      </w:r>
      <w:r>
        <w:rPr>
          <w:rFonts w:ascii="Times New Roman" w:hAnsi="Times New Roman"/>
        </w:rPr>
        <w:t xml:space="preserve">2016-6, 2016-1 I.R.B. 203, </w:t>
      </w:r>
      <w:r w:rsidRPr="00A41180">
        <w:rPr>
          <w:rFonts w:ascii="Times New Roman" w:hAnsi="Times New Roman"/>
        </w:rPr>
        <w:t>is a general update of Rev. Proc. 2015–6, 2015–1 I.R.B 194, which</w:t>
      </w:r>
      <w:r>
        <w:rPr>
          <w:rFonts w:ascii="Times New Roman" w:hAnsi="Times New Roman"/>
        </w:rPr>
        <w:t xml:space="preserve"> </w:t>
      </w:r>
      <w:r w:rsidRPr="00A41180">
        <w:rPr>
          <w:rFonts w:ascii="Times New Roman" w:hAnsi="Times New Roman"/>
        </w:rPr>
        <w:t>contains the Service’s general procedures for employee plans determination letter requests.</w:t>
      </w:r>
      <w:r w:rsidR="00EE2EEF">
        <w:rPr>
          <w:rFonts w:ascii="Times New Roman" w:hAnsi="Times New Roman"/>
        </w:rPr>
        <w:t xml:space="preserve"> </w:t>
      </w:r>
      <w:r w:rsidRPr="00F820CF" w:rsidR="0042327E">
        <w:rPr>
          <w:rFonts w:ascii="Times New Roman" w:hAnsi="Times New Roman"/>
        </w:rPr>
        <w:t>We received no comments during the comment period in response to the</w:t>
      </w:r>
      <w:r w:rsidRPr="00F820CF" w:rsidR="0042327E">
        <w:rPr>
          <w:rFonts w:ascii="Times New Roman" w:hAnsi="Times New Roman"/>
          <w:b/>
          <w:bCs/>
        </w:rPr>
        <w:t xml:space="preserve"> Federal Register</w:t>
      </w:r>
      <w:r w:rsidRPr="00F820CF" w:rsidR="0042327E">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15042C">
        <w:rPr>
          <w:rFonts w:ascii="Times New Roman" w:hAnsi="Times New Roman"/>
        </w:rPr>
        <w:t>5</w:t>
      </w:r>
      <w:r w:rsidRPr="00F820CF" w:rsidR="00CF6A91">
        <w:rPr>
          <w:rFonts w:ascii="Times New Roman" w:hAnsi="Times New Roman"/>
        </w:rPr>
        <w:t xml:space="preserve"> FR </w:t>
      </w:r>
      <w:r w:rsidR="00D96FE1">
        <w:rPr>
          <w:rFonts w:ascii="Times New Roman" w:hAnsi="Times New Roman"/>
        </w:rPr>
        <w:t>20809</w:t>
      </w:r>
      <w:r w:rsidRPr="00F820CF" w:rsidR="00CF6A91">
        <w:rPr>
          <w:rFonts w:ascii="Times New Roman" w:hAnsi="Times New Roman"/>
        </w:rPr>
        <w:t xml:space="preserve">), </w:t>
      </w:r>
      <w:r w:rsidRPr="00F820CF" w:rsidR="0042327E">
        <w:rPr>
          <w:rFonts w:ascii="Times New Roman" w:hAnsi="Times New Roman"/>
        </w:rPr>
        <w:t xml:space="preserve">dated </w:t>
      </w:r>
      <w:r>
        <w:rPr>
          <w:rFonts w:ascii="Times New Roman" w:hAnsi="Times New Roman"/>
        </w:rPr>
        <w:t>April</w:t>
      </w:r>
      <w:r w:rsidRPr="00F820CF" w:rsidR="005F3C3B">
        <w:rPr>
          <w:rFonts w:ascii="Times New Roman" w:hAnsi="Times New Roman"/>
        </w:rPr>
        <w:t xml:space="preserve"> </w:t>
      </w:r>
      <w:r w:rsidR="00D96FE1">
        <w:rPr>
          <w:rFonts w:ascii="Times New Roman" w:hAnsi="Times New Roman"/>
        </w:rPr>
        <w:t>14</w:t>
      </w:r>
      <w:r w:rsidRPr="00F820CF" w:rsidR="00094223">
        <w:rPr>
          <w:rFonts w:ascii="Times New Roman" w:hAnsi="Times New Roman"/>
        </w:rPr>
        <w:t>, 20</w:t>
      </w:r>
      <w:r w:rsidR="0015042C">
        <w:rPr>
          <w:rFonts w:ascii="Times New Roman" w:hAnsi="Times New Roman"/>
        </w:rPr>
        <w:t>20</w:t>
      </w:r>
      <w:r w:rsidRPr="00F820CF" w:rsidR="0042327E">
        <w:rPr>
          <w:rFonts w:ascii="Times New Roman" w:hAnsi="Times New Roman"/>
        </w:rPr>
        <w:t xml:space="preserve">. </w:t>
      </w:r>
    </w:p>
    <w:p w:rsidRPr="00F820CF" w:rsidR="00EE2EEF" w:rsidRDefault="00EE2EEF" w14:paraId="775A84D4" w14:textId="77777777">
      <w:pPr>
        <w:ind w:left="720"/>
        <w:rPr>
          <w:rFonts w:ascii="Times New Roman" w:hAnsi="Times New Roman"/>
        </w:rPr>
      </w:pPr>
    </w:p>
    <w:p w:rsidRPr="00F820CF" w:rsidR="0042327E" w:rsidRDefault="0042327E" w14:paraId="0933F14A"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28BC51AA"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5B95BFEC" w14:textId="77777777">
      <w:pPr>
        <w:rPr>
          <w:rFonts w:ascii="Times New Roman" w:hAnsi="Times New Roman"/>
        </w:rPr>
      </w:pPr>
    </w:p>
    <w:p w:rsidR="00503189" w:rsidP="00A41180" w:rsidRDefault="008F187B" w14:paraId="1AF0A06C"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503189" w:rsidRDefault="00503189" w14:paraId="1C4700FD" w14:textId="77777777">
      <w:pPr>
        <w:rPr>
          <w:rFonts w:ascii="Times New Roman" w:hAnsi="Times New Roman"/>
        </w:rPr>
      </w:pPr>
    </w:p>
    <w:p w:rsidRPr="00F820CF" w:rsidR="0042327E" w:rsidRDefault="0042327E" w14:paraId="6AFDB4C3"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220C884A" w14:textId="77777777">
      <w:pPr>
        <w:rPr>
          <w:rFonts w:ascii="Times New Roman" w:hAnsi="Times New Roman"/>
        </w:rPr>
      </w:pPr>
    </w:p>
    <w:p w:rsidRPr="00F820CF" w:rsidR="0042327E" w:rsidRDefault="0042327E" w14:paraId="55D544A4"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71B72589" w14:textId="77777777">
      <w:pPr>
        <w:rPr>
          <w:rFonts w:ascii="Times New Roman" w:hAnsi="Times New Roman"/>
        </w:rPr>
      </w:pPr>
    </w:p>
    <w:p w:rsidRPr="00F820CF" w:rsidR="0042327E" w:rsidRDefault="0042327E" w14:paraId="1A27F06F"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093F88F3" w14:textId="77777777">
      <w:pPr>
        <w:rPr>
          <w:rFonts w:ascii="Times New Roman" w:hAnsi="Times New Roman"/>
          <w:u w:val="single"/>
        </w:rPr>
      </w:pPr>
    </w:p>
    <w:p w:rsidR="00D62F07" w:rsidP="00B061E0" w:rsidRDefault="00AA1C1E" w14:paraId="657595B6" w14:textId="77777777">
      <w:pPr>
        <w:ind w:left="720"/>
        <w:rPr>
          <w:rFonts w:ascii="Times New Roman" w:hAnsi="Times New Roman"/>
        </w:rPr>
      </w:pPr>
      <w:r w:rsidRPr="00AA1C1E">
        <w:rPr>
          <w:rFonts w:ascii="Times New Roman" w:hAnsi="Times New Roman"/>
        </w:rPr>
        <w:t>A privacy impact assessment (PIA) has been conducted for information collected under this request as part of the “</w:t>
      </w:r>
      <w:r w:rsidRPr="008555D5" w:rsidR="008555D5">
        <w:rPr>
          <w:rFonts w:ascii="Times New Roman" w:hAnsi="Times New Roman"/>
        </w:rPr>
        <w:t xml:space="preserve">EP/EO/GE AIMS Report Processing System, </w:t>
      </w:r>
      <w:r w:rsidR="008555D5">
        <w:rPr>
          <w:rFonts w:ascii="Times New Roman" w:hAnsi="Times New Roman"/>
        </w:rPr>
        <w:t>(</w:t>
      </w:r>
      <w:r w:rsidRPr="008555D5" w:rsidR="008555D5">
        <w:rPr>
          <w:rFonts w:ascii="Times New Roman" w:hAnsi="Times New Roman"/>
        </w:rPr>
        <w:t>EARP</w:t>
      </w:r>
      <w:r w:rsidR="008555D5">
        <w:rPr>
          <w:rFonts w:ascii="Times New Roman" w:hAnsi="Times New Roman"/>
        </w:rPr>
        <w:t>)</w:t>
      </w:r>
      <w:r w:rsidRPr="00AA1C1E">
        <w:rPr>
          <w:rFonts w:ascii="Times New Roman" w:hAnsi="Times New Roman"/>
        </w:rPr>
        <w:t xml:space="preserve">” system and a Privacy Act System of Records notice (SORN) has been issued for this system under </w:t>
      </w:r>
      <w:r w:rsidRPr="00B061E0" w:rsidR="00B061E0">
        <w:rPr>
          <w:rFonts w:ascii="Times New Roman" w:hAnsi="Times New Roman"/>
        </w:rPr>
        <w:t>Treasury/IRS 50.222</w:t>
      </w:r>
      <w:r w:rsidR="00B061E0">
        <w:rPr>
          <w:rFonts w:ascii="Times New Roman" w:hAnsi="Times New Roman"/>
        </w:rPr>
        <w:t xml:space="preserve"> </w:t>
      </w:r>
      <w:r w:rsidRPr="008555D5" w:rsidR="008555D5">
        <w:rPr>
          <w:rFonts w:ascii="Times New Roman" w:hAnsi="Times New Roman"/>
          <w:i/>
          <w:iCs/>
        </w:rPr>
        <w:t>Tax Exempt/Government Entities (TE/GE) Case Management Records</w:t>
      </w:r>
      <w:r w:rsidR="008555D5">
        <w:rPr>
          <w:rFonts w:ascii="Times New Roman" w:hAnsi="Times New Roman"/>
          <w:i/>
          <w:iCs/>
        </w:rPr>
        <w:t xml:space="preserve">, </w:t>
      </w:r>
      <w:r w:rsidRPr="00B061E0" w:rsidR="00B061E0">
        <w:rPr>
          <w:rFonts w:ascii="Times New Roman" w:hAnsi="Times New Roman"/>
        </w:rPr>
        <w:t>Treasury/IRS 34.037</w:t>
      </w:r>
      <w:r w:rsidR="00B061E0">
        <w:rPr>
          <w:rFonts w:ascii="Times New Roman" w:hAnsi="Times New Roman"/>
        </w:rPr>
        <w:t xml:space="preserve"> </w:t>
      </w:r>
      <w:r w:rsidRPr="00B061E0" w:rsidR="00B061E0">
        <w:rPr>
          <w:rFonts w:ascii="Times New Roman" w:hAnsi="Times New Roman"/>
          <w:i/>
          <w:iCs/>
        </w:rPr>
        <w:t>IRS Audit Trail &amp; Security Records System</w:t>
      </w:r>
      <w:r w:rsidR="008555D5">
        <w:rPr>
          <w:rFonts w:ascii="Times New Roman" w:hAnsi="Times New Roman"/>
          <w:i/>
          <w:iCs/>
        </w:rPr>
        <w:t xml:space="preserve">, </w:t>
      </w:r>
      <w:r w:rsidR="008555D5">
        <w:rPr>
          <w:rFonts w:ascii="Times New Roman" w:hAnsi="Times New Roman"/>
        </w:rPr>
        <w:t xml:space="preserve">and Treasury/IRS 42.008 </w:t>
      </w:r>
      <w:r w:rsidRPr="008555D5" w:rsidR="008555D5">
        <w:rPr>
          <w:rFonts w:ascii="Times New Roman" w:hAnsi="Times New Roman"/>
          <w:i/>
          <w:iCs/>
        </w:rPr>
        <w:t>Audit Information Management System</w:t>
      </w:r>
      <w:r w:rsidRPr="00AA1C1E">
        <w:rPr>
          <w:rFonts w:ascii="Times New Roman" w:hAnsi="Times New Roman"/>
        </w:rPr>
        <w:t xml:space="preserve">.  The Internal Revenue Service PIAs can be found at </w:t>
      </w:r>
      <w:hyperlink w:history="1" r:id="rId8">
        <w:r w:rsidRPr="00ED2E50">
          <w:rPr>
            <w:rStyle w:val="Hyperlink"/>
            <w:rFonts w:ascii="Times New Roman" w:hAnsi="Times New Roman"/>
          </w:rPr>
          <w:t>http://www.irs.gov/uac/Privacy-Impact-Assessments-PIA</w:t>
        </w:r>
      </w:hyperlink>
      <w:r>
        <w:rPr>
          <w:rFonts w:ascii="Times New Roman" w:hAnsi="Times New Roman"/>
        </w:rPr>
        <w:t xml:space="preserve">. </w:t>
      </w:r>
    </w:p>
    <w:p w:rsidRPr="00D62F07" w:rsidR="00AA1C1E" w:rsidP="00D62F07" w:rsidRDefault="00AA1C1E" w14:paraId="6AFD533D" w14:textId="77777777">
      <w:pPr>
        <w:ind w:left="720"/>
        <w:rPr>
          <w:rFonts w:ascii="Times New Roman" w:hAnsi="Times New Roman"/>
        </w:rPr>
      </w:pPr>
    </w:p>
    <w:p w:rsidRPr="00F820CF" w:rsidR="0042327E" w:rsidP="00D62F07" w:rsidRDefault="00D62F07" w14:paraId="136F2920" w14:textId="77777777">
      <w:pPr>
        <w:ind w:left="720"/>
        <w:rPr>
          <w:rFonts w:ascii="Times New Roman" w:hAnsi="Times New Roman"/>
        </w:rPr>
      </w:pPr>
      <w:r w:rsidRPr="00D62F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820CF" w:rsidR="0042327E" w:rsidRDefault="0042327E" w14:paraId="2A895BB6" w14:textId="77777777">
      <w:pPr>
        <w:rPr>
          <w:rFonts w:ascii="Times New Roman" w:hAnsi="Times New Roman"/>
        </w:rPr>
      </w:pPr>
    </w:p>
    <w:p w:rsidRPr="00F820CF" w:rsidR="0042327E" w:rsidRDefault="0042327E" w14:paraId="72901999"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1D330389" w14:textId="77777777">
      <w:pPr>
        <w:rPr>
          <w:rFonts w:ascii="Times New Roman" w:hAnsi="Times New Roman"/>
          <w:u w:val="single"/>
        </w:rPr>
      </w:pPr>
    </w:p>
    <w:p w:rsidRPr="00F820CF" w:rsidR="0042327E" w:rsidRDefault="0042327E" w14:paraId="491B6979" w14:textId="77777777">
      <w:pPr>
        <w:rPr>
          <w:rFonts w:ascii="Times New Roman" w:hAnsi="Times New Roman"/>
          <w:u w:val="single"/>
        </w:rPr>
        <w:sectPr w:rsidRPr="00F820CF" w:rsidR="0042327E">
          <w:headerReference w:type="default" r:id="rId9"/>
          <w:type w:val="continuous"/>
          <w:pgSz w:w="12240" w:h="15840"/>
          <w:pgMar w:top="1440" w:right="1440" w:bottom="1440" w:left="1440" w:header="1440" w:footer="1440" w:gutter="0"/>
          <w:cols w:space="720"/>
          <w:noEndnote/>
        </w:sectPr>
      </w:pPr>
    </w:p>
    <w:p w:rsidR="0042327E" w:rsidP="00E32A1F" w:rsidRDefault="00E32A1F" w14:paraId="3BAA2478" w14:textId="77777777">
      <w:pPr>
        <w:ind w:left="720"/>
        <w:rPr>
          <w:rFonts w:ascii="Times New Roman" w:hAnsi="Times New Roman"/>
        </w:rPr>
      </w:pPr>
      <w:r>
        <w:rPr>
          <w:rFonts w:ascii="Times New Roman" w:hAnsi="Times New Roman"/>
        </w:rPr>
        <w:t>Taxpayers f</w:t>
      </w:r>
      <w:r w:rsidRPr="00510970">
        <w:rPr>
          <w:rFonts w:ascii="Times New Roman" w:hAnsi="Times New Roman"/>
        </w:rPr>
        <w:t xml:space="preserve">ile Form 5300 to request a </w:t>
      </w:r>
      <w:r>
        <w:rPr>
          <w:rFonts w:ascii="Times New Roman" w:hAnsi="Times New Roman"/>
        </w:rPr>
        <w:t>determination letter</w:t>
      </w:r>
      <w:r w:rsidRPr="00510970">
        <w:rPr>
          <w:rFonts w:ascii="Times New Roman" w:hAnsi="Times New Roman"/>
        </w:rPr>
        <w:t xml:space="preserve"> from the</w:t>
      </w:r>
      <w:r>
        <w:rPr>
          <w:rFonts w:ascii="Times New Roman" w:hAnsi="Times New Roman"/>
        </w:rPr>
        <w:t xml:space="preserve"> </w:t>
      </w:r>
      <w:r w:rsidRPr="00510970">
        <w:rPr>
          <w:rFonts w:ascii="Times New Roman" w:hAnsi="Times New Roman"/>
        </w:rPr>
        <w:t>IRS for the qualification of a defined</w:t>
      </w:r>
      <w:r>
        <w:rPr>
          <w:rFonts w:ascii="Times New Roman" w:hAnsi="Times New Roman"/>
        </w:rPr>
        <w:t xml:space="preserve"> </w:t>
      </w:r>
      <w:r w:rsidRPr="00510970">
        <w:rPr>
          <w:rFonts w:ascii="Times New Roman" w:hAnsi="Times New Roman"/>
        </w:rPr>
        <w:t>benefit (DB) or a defined contribution</w:t>
      </w:r>
      <w:r>
        <w:rPr>
          <w:rFonts w:ascii="Times New Roman" w:hAnsi="Times New Roman"/>
        </w:rPr>
        <w:t xml:space="preserve"> </w:t>
      </w:r>
      <w:r w:rsidRPr="00510970">
        <w:rPr>
          <w:rFonts w:ascii="Times New Roman" w:hAnsi="Times New Roman"/>
        </w:rPr>
        <w:t>(DC) plan and the exempt status of any</w:t>
      </w:r>
      <w:r>
        <w:rPr>
          <w:rFonts w:ascii="Times New Roman" w:hAnsi="Times New Roman"/>
        </w:rPr>
        <w:t xml:space="preserve"> </w:t>
      </w:r>
      <w:r w:rsidRPr="00510970">
        <w:rPr>
          <w:rFonts w:ascii="Times New Roman" w:hAnsi="Times New Roman"/>
        </w:rPr>
        <w:t>related trust</w:t>
      </w:r>
      <w:r w:rsidRPr="004D62AB">
        <w:rPr>
          <w:rFonts w:ascii="Times New Roman" w:hAnsi="Times New Roman"/>
        </w:rPr>
        <w:t>.</w:t>
      </w:r>
    </w:p>
    <w:p w:rsidR="00E32A1F" w:rsidP="00E32A1F" w:rsidRDefault="00E32A1F" w14:paraId="0945DD73" w14:textId="77777777">
      <w:pPr>
        <w:ind w:left="720"/>
        <w:rPr>
          <w:rFonts w:ascii="Times New Roman" w:hAnsi="Times New Roman"/>
        </w:rPr>
      </w:pPr>
    </w:p>
    <w:p w:rsidR="00E32A1F" w:rsidP="00E32A1F" w:rsidRDefault="00E32A1F" w14:paraId="584D2DB0" w14:textId="77777777">
      <w:pPr>
        <w:ind w:left="720"/>
        <w:rPr>
          <w:rFonts w:ascii="Times New Roman" w:hAnsi="Times New Roman"/>
        </w:rPr>
      </w:pPr>
    </w:p>
    <w:p w:rsidR="00E32A1F" w:rsidP="00E32A1F" w:rsidRDefault="00E32A1F" w14:paraId="23DE9986" w14:textId="77777777">
      <w:pPr>
        <w:ind w:left="720"/>
        <w:rPr>
          <w:rFonts w:ascii="Times New Roman" w:hAnsi="Times New Roman"/>
        </w:rPr>
      </w:pPr>
    </w:p>
    <w:p w:rsidRPr="00F820CF" w:rsidR="00B061E0" w:rsidRDefault="00B061E0" w14:paraId="2DB46254" w14:textId="77777777">
      <w:pPr>
        <w:rPr>
          <w:rFonts w:ascii="Times New Roman" w:hAnsi="Times New Roman"/>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1739"/>
        <w:gridCol w:w="1170"/>
        <w:gridCol w:w="1170"/>
        <w:gridCol w:w="1080"/>
        <w:gridCol w:w="1170"/>
        <w:gridCol w:w="1170"/>
      </w:tblGrid>
      <w:tr w:rsidRPr="00930637" w:rsidR="005D3633" w:rsidTr="00B1470B" w14:paraId="37D19072" w14:textId="77777777">
        <w:tc>
          <w:tcPr>
            <w:tcW w:w="1435" w:type="dxa"/>
            <w:shd w:val="clear" w:color="auto" w:fill="auto"/>
            <w:vAlign w:val="bottom"/>
          </w:tcPr>
          <w:p w:rsidRPr="00930637" w:rsidR="005D3633" w:rsidP="00423ACB" w:rsidRDefault="005D3633" w14:paraId="7C2CF047"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739" w:type="dxa"/>
            <w:vAlign w:val="bottom"/>
          </w:tcPr>
          <w:p w:rsidRPr="00930637" w:rsidR="005D3633" w:rsidP="00423ACB" w:rsidRDefault="005D3633" w14:paraId="630AC3BC"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D3633" w:rsidP="00423ACB" w:rsidRDefault="005D3633" w14:paraId="2F03EB86"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D3633" w:rsidP="00423ACB" w:rsidRDefault="005D3633" w14:paraId="446F408E"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D3633" w:rsidP="00423ACB" w:rsidRDefault="005D3633" w14:paraId="7B0C6F5C"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D3633" w:rsidP="00423ACB" w:rsidRDefault="005D3633" w14:paraId="27190C37"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D3633" w:rsidP="00423ACB" w:rsidRDefault="005D3633" w14:paraId="06F6741F"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D3633" w:rsidTr="00B1470B" w14:paraId="00752E03" w14:textId="77777777">
        <w:tc>
          <w:tcPr>
            <w:tcW w:w="1435" w:type="dxa"/>
            <w:shd w:val="clear" w:color="auto" w:fill="auto"/>
            <w:vAlign w:val="bottom"/>
          </w:tcPr>
          <w:p w:rsidRPr="001F692E" w:rsidR="00DE721E" w:rsidP="00B1470B" w:rsidRDefault="00B061E0" w14:paraId="7D9F2E51" w14:textId="77777777">
            <w:pPr>
              <w:numPr>
                <w:ilvl w:val="12"/>
                <w:numId w:val="0"/>
              </w:numPr>
              <w:rPr>
                <w:rFonts w:ascii="Arial Narrow" w:hAnsi="Arial Narrow"/>
                <w:sz w:val="18"/>
                <w:szCs w:val="18"/>
              </w:rPr>
            </w:pPr>
            <w:r w:rsidRPr="00B061E0">
              <w:rPr>
                <w:rFonts w:ascii="Arial Narrow" w:hAnsi="Arial Narrow"/>
                <w:sz w:val="18"/>
                <w:szCs w:val="18"/>
              </w:rPr>
              <w:t>IRC §§ 401(a) &amp;501(a)</w:t>
            </w:r>
          </w:p>
        </w:tc>
        <w:tc>
          <w:tcPr>
            <w:tcW w:w="1739" w:type="dxa"/>
            <w:vAlign w:val="bottom"/>
          </w:tcPr>
          <w:p w:rsidRPr="001F692E" w:rsidR="005D3633" w:rsidP="00423ACB" w:rsidRDefault="00B061E0" w14:paraId="5EC0CF83" w14:textId="77777777">
            <w:pPr>
              <w:numPr>
                <w:ilvl w:val="12"/>
                <w:numId w:val="0"/>
              </w:numPr>
              <w:jc w:val="center"/>
              <w:rPr>
                <w:rFonts w:ascii="Arial Narrow" w:hAnsi="Arial Narrow"/>
                <w:sz w:val="18"/>
                <w:szCs w:val="18"/>
              </w:rPr>
            </w:pPr>
            <w:r>
              <w:rPr>
                <w:rFonts w:ascii="Arial Narrow" w:hAnsi="Arial Narrow"/>
                <w:sz w:val="18"/>
                <w:szCs w:val="18"/>
              </w:rPr>
              <w:t>Form 5300</w:t>
            </w:r>
          </w:p>
        </w:tc>
        <w:tc>
          <w:tcPr>
            <w:tcW w:w="1170" w:type="dxa"/>
            <w:vAlign w:val="bottom"/>
          </w:tcPr>
          <w:p w:rsidRPr="001F692E" w:rsidR="005D3633" w:rsidP="00423ACB" w:rsidRDefault="00B061E0" w14:paraId="25E5B89F" w14:textId="77777777">
            <w:pPr>
              <w:numPr>
                <w:ilvl w:val="12"/>
                <w:numId w:val="0"/>
              </w:numPr>
              <w:jc w:val="center"/>
              <w:rPr>
                <w:rFonts w:ascii="Arial Narrow" w:hAnsi="Arial Narrow"/>
                <w:sz w:val="18"/>
                <w:szCs w:val="18"/>
              </w:rPr>
            </w:pPr>
            <w:r>
              <w:rPr>
                <w:rFonts w:ascii="Arial Narrow" w:hAnsi="Arial Narrow"/>
                <w:sz w:val="18"/>
                <w:szCs w:val="18"/>
              </w:rPr>
              <w:t>85,000</w:t>
            </w:r>
          </w:p>
        </w:tc>
        <w:tc>
          <w:tcPr>
            <w:tcW w:w="1170" w:type="dxa"/>
            <w:vAlign w:val="bottom"/>
          </w:tcPr>
          <w:p w:rsidRPr="001F692E" w:rsidR="005D3633" w:rsidP="00423ACB" w:rsidRDefault="00B1470B" w14:paraId="78E8720B"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1F692E" w:rsidR="005D3633" w:rsidP="00423ACB" w:rsidRDefault="00B061E0" w14:paraId="086BF860" w14:textId="77777777">
            <w:pPr>
              <w:numPr>
                <w:ilvl w:val="12"/>
                <w:numId w:val="0"/>
              </w:numPr>
              <w:jc w:val="center"/>
              <w:rPr>
                <w:rFonts w:ascii="Arial Narrow" w:hAnsi="Arial Narrow"/>
                <w:sz w:val="18"/>
                <w:szCs w:val="18"/>
              </w:rPr>
            </w:pPr>
            <w:r>
              <w:rPr>
                <w:rFonts w:ascii="Arial Narrow" w:hAnsi="Arial Narrow"/>
                <w:sz w:val="18"/>
                <w:szCs w:val="18"/>
              </w:rPr>
              <w:t>85,000</w:t>
            </w:r>
          </w:p>
        </w:tc>
        <w:tc>
          <w:tcPr>
            <w:tcW w:w="1170" w:type="dxa"/>
            <w:vAlign w:val="bottom"/>
          </w:tcPr>
          <w:p w:rsidRPr="001F692E" w:rsidR="005D3633" w:rsidP="00423ACB" w:rsidRDefault="00B061E0" w14:paraId="31242F67" w14:textId="77777777">
            <w:pPr>
              <w:numPr>
                <w:ilvl w:val="12"/>
                <w:numId w:val="0"/>
              </w:numPr>
              <w:jc w:val="center"/>
              <w:rPr>
                <w:rFonts w:ascii="Arial Narrow" w:hAnsi="Arial Narrow"/>
                <w:sz w:val="18"/>
                <w:szCs w:val="18"/>
              </w:rPr>
            </w:pPr>
            <w:bookmarkStart w:name="_GoBack" w:id="1"/>
            <w:r>
              <w:rPr>
                <w:rFonts w:ascii="Arial Narrow" w:hAnsi="Arial Narrow"/>
                <w:sz w:val="18"/>
                <w:szCs w:val="18"/>
              </w:rPr>
              <w:t>84.72</w:t>
            </w:r>
            <w:bookmarkEnd w:id="1"/>
          </w:p>
        </w:tc>
        <w:tc>
          <w:tcPr>
            <w:tcW w:w="1170" w:type="dxa"/>
            <w:shd w:val="clear" w:color="auto" w:fill="auto"/>
            <w:vAlign w:val="bottom"/>
          </w:tcPr>
          <w:p w:rsidRPr="00B1470B" w:rsidR="005D3633" w:rsidP="00423ACB" w:rsidRDefault="00B061E0" w14:paraId="543B428E" w14:textId="77777777">
            <w:pPr>
              <w:numPr>
                <w:ilvl w:val="12"/>
                <w:numId w:val="0"/>
              </w:numPr>
              <w:jc w:val="center"/>
              <w:rPr>
                <w:rFonts w:ascii="Arial Narrow" w:hAnsi="Arial Narrow"/>
                <w:sz w:val="18"/>
                <w:szCs w:val="18"/>
              </w:rPr>
            </w:pPr>
            <w:r>
              <w:rPr>
                <w:rFonts w:ascii="Arial Narrow" w:hAnsi="Arial Narrow"/>
                <w:sz w:val="18"/>
                <w:szCs w:val="18"/>
              </w:rPr>
              <w:t>7,201,200</w:t>
            </w:r>
          </w:p>
        </w:tc>
      </w:tr>
      <w:tr w:rsidRPr="00930637" w:rsidR="001F692E" w:rsidTr="00B1470B" w14:paraId="07AFE03B" w14:textId="77777777">
        <w:tc>
          <w:tcPr>
            <w:tcW w:w="1435" w:type="dxa"/>
            <w:shd w:val="clear" w:color="auto" w:fill="auto"/>
            <w:vAlign w:val="bottom"/>
          </w:tcPr>
          <w:p w:rsidRPr="00B1470B" w:rsidR="001F692E" w:rsidP="00423ACB" w:rsidRDefault="001F692E" w14:paraId="2A72D633" w14:textId="77777777">
            <w:pPr>
              <w:numPr>
                <w:ilvl w:val="12"/>
                <w:numId w:val="0"/>
              </w:numPr>
              <w:jc w:val="center"/>
              <w:rPr>
                <w:rFonts w:ascii="Arial Narrow" w:hAnsi="Arial Narrow"/>
                <w:b/>
                <w:sz w:val="18"/>
                <w:szCs w:val="18"/>
              </w:rPr>
            </w:pPr>
            <w:r w:rsidRPr="00B1470B">
              <w:rPr>
                <w:rFonts w:ascii="Arial Narrow" w:hAnsi="Arial Narrow"/>
                <w:b/>
                <w:sz w:val="18"/>
                <w:szCs w:val="18"/>
              </w:rPr>
              <w:t>Totals</w:t>
            </w:r>
          </w:p>
        </w:tc>
        <w:tc>
          <w:tcPr>
            <w:tcW w:w="1739" w:type="dxa"/>
            <w:vAlign w:val="bottom"/>
          </w:tcPr>
          <w:p w:rsidRPr="00B1470B" w:rsidR="001F692E" w:rsidP="00423ACB" w:rsidRDefault="001F692E" w14:paraId="12902358" w14:textId="77777777">
            <w:pPr>
              <w:numPr>
                <w:ilvl w:val="12"/>
                <w:numId w:val="0"/>
              </w:numPr>
              <w:jc w:val="center"/>
              <w:rPr>
                <w:rFonts w:ascii="Arial Narrow" w:hAnsi="Arial Narrow"/>
                <w:b/>
                <w:sz w:val="18"/>
                <w:szCs w:val="18"/>
              </w:rPr>
            </w:pPr>
          </w:p>
        </w:tc>
        <w:tc>
          <w:tcPr>
            <w:tcW w:w="1170" w:type="dxa"/>
            <w:vAlign w:val="bottom"/>
          </w:tcPr>
          <w:p w:rsidRPr="00B1470B" w:rsidR="001F692E" w:rsidP="00423ACB" w:rsidRDefault="00B061E0" w14:paraId="3EA8AA84" w14:textId="77777777">
            <w:pPr>
              <w:numPr>
                <w:ilvl w:val="12"/>
                <w:numId w:val="0"/>
              </w:numPr>
              <w:jc w:val="center"/>
              <w:rPr>
                <w:rFonts w:ascii="Arial Narrow" w:hAnsi="Arial Narrow"/>
                <w:b/>
                <w:sz w:val="18"/>
                <w:szCs w:val="18"/>
              </w:rPr>
            </w:pPr>
            <w:r>
              <w:rPr>
                <w:rFonts w:ascii="Arial Narrow" w:hAnsi="Arial Narrow"/>
                <w:b/>
                <w:sz w:val="18"/>
                <w:szCs w:val="18"/>
              </w:rPr>
              <w:t>85,000</w:t>
            </w:r>
          </w:p>
        </w:tc>
        <w:tc>
          <w:tcPr>
            <w:tcW w:w="1170" w:type="dxa"/>
            <w:vAlign w:val="bottom"/>
          </w:tcPr>
          <w:p w:rsidRPr="00B1470B" w:rsidR="001F692E" w:rsidP="00423ACB" w:rsidRDefault="001F692E" w14:paraId="67A26D58" w14:textId="77777777">
            <w:pPr>
              <w:numPr>
                <w:ilvl w:val="12"/>
                <w:numId w:val="0"/>
              </w:numPr>
              <w:jc w:val="center"/>
              <w:rPr>
                <w:rFonts w:ascii="Arial Narrow" w:hAnsi="Arial Narrow"/>
                <w:b/>
                <w:sz w:val="18"/>
                <w:szCs w:val="18"/>
              </w:rPr>
            </w:pPr>
          </w:p>
        </w:tc>
        <w:tc>
          <w:tcPr>
            <w:tcW w:w="1080" w:type="dxa"/>
            <w:shd w:val="clear" w:color="auto" w:fill="auto"/>
            <w:vAlign w:val="bottom"/>
          </w:tcPr>
          <w:p w:rsidRPr="00B1470B" w:rsidR="001F692E" w:rsidP="00423ACB" w:rsidRDefault="00B061E0" w14:paraId="5D49B3F7" w14:textId="77777777">
            <w:pPr>
              <w:numPr>
                <w:ilvl w:val="12"/>
                <w:numId w:val="0"/>
              </w:numPr>
              <w:jc w:val="center"/>
              <w:rPr>
                <w:rFonts w:ascii="Arial Narrow" w:hAnsi="Arial Narrow"/>
                <w:b/>
                <w:sz w:val="18"/>
                <w:szCs w:val="18"/>
              </w:rPr>
            </w:pPr>
            <w:r>
              <w:rPr>
                <w:rFonts w:ascii="Arial Narrow" w:hAnsi="Arial Narrow"/>
                <w:b/>
                <w:sz w:val="18"/>
                <w:szCs w:val="18"/>
              </w:rPr>
              <w:t>85,000</w:t>
            </w:r>
          </w:p>
        </w:tc>
        <w:tc>
          <w:tcPr>
            <w:tcW w:w="1170" w:type="dxa"/>
            <w:vAlign w:val="bottom"/>
          </w:tcPr>
          <w:p w:rsidRPr="00B1470B" w:rsidR="001F692E" w:rsidP="00423ACB" w:rsidRDefault="001F692E" w14:paraId="6F89F341" w14:textId="77777777">
            <w:pPr>
              <w:numPr>
                <w:ilvl w:val="12"/>
                <w:numId w:val="0"/>
              </w:numPr>
              <w:jc w:val="center"/>
              <w:rPr>
                <w:rFonts w:ascii="Arial Narrow" w:hAnsi="Arial Narrow"/>
                <w:b/>
                <w:sz w:val="18"/>
                <w:szCs w:val="18"/>
              </w:rPr>
            </w:pPr>
          </w:p>
        </w:tc>
        <w:tc>
          <w:tcPr>
            <w:tcW w:w="1170" w:type="dxa"/>
            <w:shd w:val="clear" w:color="auto" w:fill="auto"/>
            <w:vAlign w:val="bottom"/>
          </w:tcPr>
          <w:p w:rsidRPr="00B1470B" w:rsidR="001F692E" w:rsidP="00423ACB" w:rsidRDefault="00B061E0" w14:paraId="1A45ED5E" w14:textId="77777777">
            <w:pPr>
              <w:numPr>
                <w:ilvl w:val="12"/>
                <w:numId w:val="0"/>
              </w:numPr>
              <w:jc w:val="center"/>
              <w:rPr>
                <w:rFonts w:ascii="Arial Narrow" w:hAnsi="Arial Narrow"/>
                <w:b/>
                <w:sz w:val="18"/>
                <w:szCs w:val="18"/>
              </w:rPr>
            </w:pPr>
            <w:r>
              <w:rPr>
                <w:rFonts w:ascii="Arial Narrow" w:hAnsi="Arial Narrow"/>
                <w:b/>
                <w:sz w:val="18"/>
                <w:szCs w:val="18"/>
              </w:rPr>
              <w:t>7,201,200</w:t>
            </w:r>
          </w:p>
        </w:tc>
      </w:tr>
    </w:tbl>
    <w:p w:rsidR="0042327E" w:rsidRDefault="0042327E" w14:paraId="0139E9F0" w14:textId="77777777">
      <w:pPr>
        <w:rPr>
          <w:rFonts w:ascii="Times New Roman" w:hAnsi="Times New Roman"/>
        </w:rPr>
      </w:pPr>
      <w:r w:rsidRPr="00F820CF">
        <w:rPr>
          <w:rFonts w:ascii="Times New Roman" w:hAnsi="Times New Roman"/>
        </w:rPr>
        <w:t xml:space="preserve">     </w:t>
      </w:r>
    </w:p>
    <w:p w:rsidRPr="006D7970" w:rsidR="00090BE1" w:rsidP="00090BE1" w:rsidRDefault="00090BE1" w14:paraId="25D06000" w14:textId="77777777">
      <w:pPr>
        <w:ind w:left="720"/>
        <w:rPr>
          <w:rFonts w:ascii="Times New Roman" w:hAnsi="Times New Roman"/>
        </w:rPr>
      </w:pPr>
      <w:r w:rsidRPr="008C776E">
        <w:rPr>
          <w:rFonts w:ascii="Times New Roman" w:hAnsi="Times New Roman"/>
        </w:rPr>
        <w:t xml:space="preserve">The </w:t>
      </w:r>
      <w:r w:rsidR="00B300A6">
        <w:rPr>
          <w:rFonts w:ascii="Times New Roman" w:hAnsi="Times New Roman"/>
        </w:rPr>
        <w:t xml:space="preserve">associated </w:t>
      </w:r>
      <w:r w:rsidR="00B061E0">
        <w:rPr>
          <w:rFonts w:ascii="Times New Roman" w:hAnsi="Times New Roman"/>
        </w:rPr>
        <w:t xml:space="preserve">reporting and recordkeeping </w:t>
      </w:r>
      <w:r w:rsidRPr="008C776E">
        <w:rPr>
          <w:rFonts w:ascii="Times New Roman" w:hAnsi="Times New Roman"/>
        </w:rPr>
        <w:t xml:space="preserve">burden </w:t>
      </w:r>
      <w:r w:rsidR="00B061E0">
        <w:rPr>
          <w:rFonts w:ascii="Times New Roman" w:hAnsi="Times New Roman"/>
        </w:rPr>
        <w:t xml:space="preserve">associated with RP 2016-6 </w:t>
      </w:r>
      <w:r w:rsidR="00E820D8">
        <w:rPr>
          <w:rFonts w:ascii="Times New Roman" w:hAnsi="Times New Roman"/>
        </w:rPr>
        <w:t xml:space="preserve">is reported </w:t>
      </w:r>
      <w:r w:rsidR="00B061E0">
        <w:rPr>
          <w:rFonts w:ascii="Times New Roman" w:hAnsi="Times New Roman"/>
        </w:rPr>
        <w:t xml:space="preserve">under </w:t>
      </w:r>
      <w:r w:rsidR="00E820D8">
        <w:rPr>
          <w:rFonts w:ascii="Times New Roman" w:hAnsi="Times New Roman"/>
        </w:rPr>
        <w:t>1545-</w:t>
      </w:r>
      <w:r w:rsidR="00B061E0">
        <w:rPr>
          <w:rFonts w:ascii="Times New Roman" w:hAnsi="Times New Roman"/>
        </w:rPr>
        <w:t>1520</w:t>
      </w:r>
      <w:r>
        <w:rPr>
          <w:rFonts w:ascii="Times New Roman" w:hAnsi="Times New Roman"/>
        </w:rPr>
        <w:t xml:space="preserve">.  </w:t>
      </w:r>
    </w:p>
    <w:p w:rsidR="00BB3832" w:rsidRDefault="00BB3832" w14:paraId="45FFA23D" w14:textId="77777777">
      <w:pPr>
        <w:rPr>
          <w:rFonts w:ascii="Times New Roman" w:hAnsi="Times New Roman"/>
        </w:rPr>
      </w:pPr>
    </w:p>
    <w:p w:rsidRPr="00BB3832" w:rsidR="00BB3832" w:rsidP="00BB3832" w:rsidRDefault="00BB3832" w14:paraId="7AFFD303" w14:textId="77777777">
      <w:pPr>
        <w:ind w:left="720"/>
        <w:rPr>
          <w:rFonts w:ascii="Times New Roman" w:hAnsi="Times New Roman"/>
        </w:rPr>
      </w:pPr>
      <w:r w:rsidRPr="00BB3832">
        <w:rPr>
          <w:rFonts w:ascii="Times New Roman" w:hAnsi="Times New Roman"/>
        </w:rPr>
        <w:t xml:space="preserve">The following regulation imposes no additional burden. Please continue to assign            </w:t>
      </w:r>
      <w:r w:rsidRPr="00BB3832">
        <w:rPr>
          <w:rFonts w:ascii="Times New Roman" w:hAnsi="Times New Roman"/>
        </w:rPr>
        <w:lastRenderedPageBreak/>
        <w:t>OMB number 1545-</w:t>
      </w:r>
      <w:r w:rsidR="00E32A1F">
        <w:rPr>
          <w:rFonts w:ascii="Times New Roman" w:hAnsi="Times New Roman"/>
        </w:rPr>
        <w:t>0197</w:t>
      </w:r>
      <w:r w:rsidR="008C776E">
        <w:rPr>
          <w:rFonts w:ascii="Times New Roman" w:hAnsi="Times New Roman"/>
        </w:rPr>
        <w:t xml:space="preserve"> </w:t>
      </w:r>
      <w:r w:rsidRPr="00BB3832">
        <w:rPr>
          <w:rFonts w:ascii="Times New Roman" w:hAnsi="Times New Roman"/>
        </w:rPr>
        <w:t>to this regulation.</w:t>
      </w:r>
    </w:p>
    <w:p w:rsidRPr="00BB3832" w:rsidR="00BB3832" w:rsidP="00BB3832" w:rsidRDefault="00BB3832" w14:paraId="434F224F" w14:textId="77777777">
      <w:pPr>
        <w:ind w:left="720"/>
        <w:rPr>
          <w:rFonts w:ascii="Times New Roman" w:hAnsi="Times New Roman"/>
        </w:rPr>
      </w:pPr>
    </w:p>
    <w:p w:rsidR="00BB3832" w:rsidP="00BB3832" w:rsidRDefault="00E32A1F" w14:paraId="4DE4133B" w14:textId="77777777">
      <w:pPr>
        <w:ind w:left="720"/>
        <w:rPr>
          <w:rFonts w:ascii="Times New Roman" w:hAnsi="Times New Roman"/>
        </w:rPr>
      </w:pPr>
      <w:r>
        <w:rPr>
          <w:rFonts w:ascii="Times New Roman" w:hAnsi="Times New Roman"/>
        </w:rPr>
        <w:t>1.401-1</w:t>
      </w:r>
      <w:r>
        <w:rPr>
          <w:rFonts w:ascii="Times New Roman" w:hAnsi="Times New Roman"/>
        </w:rPr>
        <w:tab/>
      </w:r>
      <w:r>
        <w:rPr>
          <w:rFonts w:ascii="Times New Roman" w:hAnsi="Times New Roman"/>
        </w:rPr>
        <w:tab/>
      </w:r>
      <w:r w:rsidRPr="00BB3832" w:rsidR="00BB3832">
        <w:rPr>
          <w:rFonts w:ascii="Times New Roman" w:hAnsi="Times New Roman"/>
        </w:rPr>
        <w:t>1.</w:t>
      </w:r>
      <w:r w:rsidR="00B061E0">
        <w:rPr>
          <w:rFonts w:ascii="Times New Roman" w:hAnsi="Times New Roman"/>
        </w:rPr>
        <w:t>401(b)-1</w:t>
      </w:r>
      <w:r>
        <w:rPr>
          <w:rFonts w:ascii="Times New Roman" w:hAnsi="Times New Roman"/>
        </w:rPr>
        <w:tab/>
      </w:r>
      <w:r>
        <w:rPr>
          <w:rFonts w:ascii="Times New Roman" w:hAnsi="Times New Roman"/>
        </w:rPr>
        <w:tab/>
        <w:t>1.7476-1</w:t>
      </w:r>
      <w:r>
        <w:rPr>
          <w:rFonts w:ascii="Times New Roman" w:hAnsi="Times New Roman"/>
        </w:rPr>
        <w:tab/>
      </w:r>
      <w:r>
        <w:rPr>
          <w:rFonts w:ascii="Times New Roman" w:hAnsi="Times New Roman"/>
        </w:rPr>
        <w:tab/>
        <w:t>1.7476-2</w:t>
      </w:r>
    </w:p>
    <w:p w:rsidRPr="00FE5C44" w:rsidR="00FE5C44" w:rsidP="00BA70CE" w:rsidRDefault="00FE5C44" w14:paraId="41C292CE" w14:textId="77777777">
      <w:pPr>
        <w:pStyle w:val="Level1"/>
        <w:numPr>
          <w:ilvl w:val="0"/>
          <w:numId w:val="0"/>
        </w:numPr>
        <w:tabs>
          <w:tab w:val="left" w:pos="-1440"/>
        </w:tabs>
        <w:rPr>
          <w:rFonts w:ascii="Times New Roman" w:hAnsi="Times New Roman"/>
        </w:rPr>
      </w:pPr>
    </w:p>
    <w:p w:rsidRPr="00F820CF" w:rsidR="0042327E" w:rsidRDefault="0042327E" w14:paraId="6086B08A"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2A2F97D1" w14:textId="77777777">
      <w:pPr>
        <w:rPr>
          <w:rFonts w:ascii="Times New Roman" w:hAnsi="Times New Roman"/>
        </w:rPr>
      </w:pPr>
    </w:p>
    <w:p w:rsidRPr="00895219" w:rsidR="00895219" w:rsidP="00895219" w:rsidRDefault="00895219" w14:paraId="7EE00629" w14:textId="77777777">
      <w:pPr>
        <w:ind w:left="720"/>
        <w:rPr>
          <w:rFonts w:ascii="Times New Roman" w:hAnsi="Times New Roman"/>
        </w:rPr>
      </w:pPr>
      <w:r w:rsidRPr="00895219">
        <w:rPr>
          <w:rFonts w:ascii="Times New Roman" w:hAnsi="Times New Roman"/>
        </w:rPr>
        <w:t xml:space="preserve">As suggested by OMB, our Federal Register notice dated </w:t>
      </w:r>
      <w:r w:rsidR="00E32A1F">
        <w:rPr>
          <w:rFonts w:ascii="Times New Roman" w:hAnsi="Times New Roman"/>
        </w:rPr>
        <w:t>April</w:t>
      </w:r>
      <w:r w:rsidR="0015042C">
        <w:rPr>
          <w:rFonts w:ascii="Times New Roman" w:hAnsi="Times New Roman"/>
        </w:rPr>
        <w:t xml:space="preserve"> </w:t>
      </w:r>
      <w:r w:rsidR="00D96FE1">
        <w:rPr>
          <w:rFonts w:ascii="Times New Roman" w:hAnsi="Times New Roman"/>
        </w:rPr>
        <w:t>14</w:t>
      </w:r>
      <w:r w:rsidR="0015042C">
        <w:rPr>
          <w:rFonts w:ascii="Times New Roman" w:hAnsi="Times New Roman"/>
        </w:rPr>
        <w:t>, 2020</w:t>
      </w:r>
      <w:r w:rsidRPr="00895219">
        <w:rPr>
          <w:rFonts w:ascii="Times New Roman" w:hAnsi="Times New Roman"/>
        </w:rPr>
        <w:t xml:space="preserve">,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895219" w:rsidR="00895219" w:rsidP="00895219" w:rsidRDefault="00895219" w14:paraId="73595FE8" w14:textId="77777777">
      <w:pPr>
        <w:ind w:left="720"/>
        <w:rPr>
          <w:rFonts w:ascii="Times New Roman" w:hAnsi="Times New Roman"/>
        </w:rPr>
      </w:pPr>
    </w:p>
    <w:p w:rsidRPr="00F820CF" w:rsidR="0042327E" w:rsidP="00895219" w:rsidRDefault="00895219" w14:paraId="46C141CA" w14:textId="77777777">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42327E" w:rsidRDefault="0042327E" w14:paraId="7F05BB9E" w14:textId="77777777">
      <w:pPr>
        <w:rPr>
          <w:rFonts w:ascii="Times New Roman" w:hAnsi="Times New Roman"/>
        </w:rPr>
      </w:pPr>
    </w:p>
    <w:p w:rsidRPr="00F820CF" w:rsidR="0042327E" w:rsidRDefault="0042327E" w14:paraId="19FBA96B"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669F1BA6" w14:textId="77777777">
      <w:pPr>
        <w:rPr>
          <w:rFonts w:ascii="Times New Roman" w:hAnsi="Times New Roman"/>
        </w:rPr>
      </w:pPr>
    </w:p>
    <w:p w:rsidRPr="00063FBD" w:rsidR="00063FBD" w:rsidP="00063FBD" w:rsidRDefault="00063FBD" w14:paraId="00F4AED6" w14:textId="77777777">
      <w:pPr>
        <w:ind w:left="720"/>
        <w:rPr>
          <w:rFonts w:ascii="Times New Roman" w:hAnsi="Times New Roman"/>
        </w:rPr>
      </w:pPr>
      <w:bookmarkStart w:name="_Hlk523834409" w:id="2"/>
      <w:r w:rsidRPr="00063FBD">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063FBD" w:rsidR="00063FBD" w:rsidP="00063FBD" w:rsidRDefault="00063FBD" w14:paraId="45E40110" w14:textId="77777777">
      <w:pPr>
        <w:ind w:left="720"/>
        <w:rPr>
          <w:rFonts w:ascii="Times New Roman" w:hAnsi="Times New Roman"/>
        </w:rPr>
      </w:pPr>
    </w:p>
    <w:p w:rsidRPr="00063FBD" w:rsidR="00063FBD" w:rsidP="00063FBD" w:rsidRDefault="00063FBD" w14:paraId="57099AEE" w14:textId="77777777">
      <w:pPr>
        <w:ind w:left="720"/>
        <w:rPr>
          <w:rFonts w:ascii="Times New Roman" w:hAnsi="Times New Roman"/>
        </w:rPr>
      </w:pPr>
      <w:r w:rsidRPr="00063FBD">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063FBD" w:rsidR="00063FBD" w:rsidP="00063FBD" w:rsidRDefault="00063FBD" w14:paraId="268972C8" w14:textId="77777777">
      <w:pPr>
        <w:ind w:left="720"/>
        <w:rPr>
          <w:rFonts w:ascii="Times New Roman" w:hAnsi="Times New Roman"/>
        </w:rPr>
      </w:pPr>
    </w:p>
    <w:p w:rsidRPr="00063FBD" w:rsidR="00063FBD" w:rsidP="00063FBD" w:rsidRDefault="00063FBD" w14:paraId="02051FBA" w14:textId="77777777">
      <w:pPr>
        <w:ind w:left="720"/>
        <w:rPr>
          <w:rFonts w:ascii="Times New Roman" w:hAnsi="Times New Roman"/>
        </w:rPr>
      </w:pPr>
      <w:r w:rsidRPr="00063FBD">
        <w:rPr>
          <w:rFonts w:ascii="Times New Roman" w:hAnsi="Times New Roman"/>
        </w:rPr>
        <w:t>The government cost estimate for this collection is summarized in the table below.</w:t>
      </w:r>
    </w:p>
    <w:p w:rsidRPr="00063FBD" w:rsidR="00063FBD" w:rsidP="00063FBD" w:rsidRDefault="00063FBD" w14:paraId="199ED779" w14:textId="77777777">
      <w:pPr>
        <w:ind w:left="720"/>
        <w:rPr>
          <w:rFonts w:ascii="Times New Roman" w:hAnsi="Times New Roman"/>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941"/>
        <w:gridCol w:w="293"/>
        <w:gridCol w:w="1763"/>
        <w:gridCol w:w="367"/>
        <w:gridCol w:w="1804"/>
      </w:tblGrid>
      <w:tr w:rsidRPr="00063FBD" w:rsidR="00063FBD" w:rsidTr="00D95CF2" w14:paraId="55725993"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7DBCF993" w14:textId="77777777">
            <w:pPr>
              <w:rPr>
                <w:rFonts w:ascii="Times New Roman" w:hAnsi="Times New Roman"/>
                <w:b/>
                <w:sz w:val="18"/>
                <w:szCs w:val="18"/>
                <w:u w:val="single"/>
              </w:rPr>
            </w:pPr>
            <w:r w:rsidRPr="00063FBD">
              <w:rPr>
                <w:rFonts w:ascii="Times New Roman" w:hAnsi="Times New Roman"/>
                <w:b/>
                <w:sz w:val="18"/>
                <w:szCs w:val="18"/>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55BF6B38" w14:textId="77777777">
            <w:pPr>
              <w:rPr>
                <w:rFonts w:ascii="Times New Roman" w:hAnsi="Times New Roman"/>
                <w:b/>
                <w:sz w:val="18"/>
                <w:szCs w:val="18"/>
                <w:u w:val="single"/>
              </w:rPr>
            </w:pPr>
            <w:r w:rsidRPr="00063FBD">
              <w:rPr>
                <w:rFonts w:ascii="Times New Roman" w:hAnsi="Times New Roman"/>
                <w:b/>
                <w:sz w:val="18"/>
                <w:szCs w:val="18"/>
                <w:u w:val="single"/>
              </w:rPr>
              <w:t>Aggregate Cost per Product (factor applied)</w:t>
            </w:r>
          </w:p>
        </w:tc>
        <w:tc>
          <w:tcPr>
            <w:tcW w:w="293"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2B81360F" w14:textId="77777777">
            <w:pPr>
              <w:ind w:left="720"/>
              <w:rPr>
                <w:rFonts w:ascii="Times New Roman" w:hAnsi="Times New Roman"/>
                <w:b/>
                <w:sz w:val="18"/>
                <w:szCs w:val="18"/>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1703BAD0" w14:textId="77777777">
            <w:pPr>
              <w:ind w:left="-6"/>
              <w:rPr>
                <w:rFonts w:ascii="Times New Roman" w:hAnsi="Times New Roman"/>
                <w:b/>
                <w:sz w:val="18"/>
                <w:szCs w:val="18"/>
                <w:u w:val="single"/>
              </w:rPr>
            </w:pPr>
            <w:r w:rsidRPr="00063FBD">
              <w:rPr>
                <w:rFonts w:ascii="Times New Roman" w:hAnsi="Times New Roman"/>
                <w:b/>
                <w:sz w:val="18"/>
                <w:szCs w:val="18"/>
                <w:u w:val="single"/>
              </w:rPr>
              <w:t>Printing and Distribution</w:t>
            </w:r>
          </w:p>
        </w:tc>
        <w:tc>
          <w:tcPr>
            <w:tcW w:w="367"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05227D7B" w14:textId="77777777">
            <w:pPr>
              <w:ind w:left="720"/>
              <w:rPr>
                <w:rFonts w:ascii="Times New Roman" w:hAnsi="Times New Roman"/>
                <w:b/>
                <w:sz w:val="18"/>
                <w:szCs w:val="18"/>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173488D7" w14:textId="77777777">
            <w:pPr>
              <w:rPr>
                <w:rFonts w:ascii="Times New Roman" w:hAnsi="Times New Roman"/>
                <w:b/>
                <w:sz w:val="18"/>
                <w:szCs w:val="18"/>
                <w:u w:val="single"/>
              </w:rPr>
            </w:pPr>
            <w:r w:rsidRPr="00063FBD">
              <w:rPr>
                <w:rFonts w:ascii="Times New Roman" w:hAnsi="Times New Roman"/>
                <w:b/>
                <w:sz w:val="18"/>
                <w:szCs w:val="18"/>
                <w:u w:val="single"/>
              </w:rPr>
              <w:t>Government Cost Estimate per Product</w:t>
            </w:r>
          </w:p>
        </w:tc>
      </w:tr>
      <w:tr w:rsidRPr="00063FBD" w:rsidR="00063FBD" w:rsidTr="00D95CF2" w14:paraId="40820D7A"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1EE34275" w14:textId="77777777">
            <w:pPr>
              <w:rPr>
                <w:rFonts w:ascii="Times New Roman" w:hAnsi="Times New Roman"/>
                <w:sz w:val="18"/>
                <w:szCs w:val="18"/>
              </w:rPr>
            </w:pPr>
            <w:r>
              <w:rPr>
                <w:rFonts w:ascii="Times New Roman" w:hAnsi="Times New Roman"/>
                <w:sz w:val="18"/>
                <w:szCs w:val="18"/>
              </w:rPr>
              <w:t>5300</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0F79451E" w14:textId="77777777">
            <w:pPr>
              <w:jc w:val="center"/>
              <w:rPr>
                <w:rFonts w:ascii="Times New Roman" w:hAnsi="Times New Roman"/>
                <w:sz w:val="18"/>
                <w:szCs w:val="18"/>
              </w:rPr>
            </w:pPr>
            <w:r w:rsidRPr="00063FBD">
              <w:rPr>
                <w:rFonts w:ascii="Times New Roman" w:hAnsi="Times New Roman"/>
                <w:sz w:val="18"/>
                <w:szCs w:val="18"/>
              </w:rPr>
              <w:t xml:space="preserve">$      </w:t>
            </w:r>
            <w:r w:rsidR="00C905C8">
              <w:rPr>
                <w:rFonts w:ascii="Times New Roman" w:hAnsi="Times New Roman"/>
                <w:sz w:val="18"/>
                <w:szCs w:val="18"/>
              </w:rPr>
              <w:t>13,670</w:t>
            </w:r>
          </w:p>
        </w:tc>
        <w:tc>
          <w:tcPr>
            <w:tcW w:w="293"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3A5D55BB" w14:textId="77777777">
            <w:pPr>
              <w:ind w:left="720"/>
              <w:rPr>
                <w:rFonts w:ascii="Times New Roman" w:hAnsi="Times New Roman"/>
                <w:sz w:val="18"/>
                <w:szCs w:val="18"/>
              </w:rPr>
            </w:pPr>
          </w:p>
        </w:tc>
        <w:tc>
          <w:tcPr>
            <w:tcW w:w="1763" w:type="dxa"/>
            <w:tcBorders>
              <w:top w:val="single" w:color="auto" w:sz="4" w:space="0"/>
              <w:left w:val="single" w:color="auto" w:sz="4" w:space="0"/>
              <w:bottom w:val="single" w:color="auto" w:sz="4" w:space="0"/>
              <w:right w:val="single" w:color="auto" w:sz="4" w:space="0"/>
            </w:tcBorders>
            <w:hideMark/>
          </w:tcPr>
          <w:p w:rsidRPr="00063FBD" w:rsidR="00063FBD" w:rsidP="00063FBD" w:rsidRDefault="00063FBD" w14:paraId="29AECBDD" w14:textId="77777777">
            <w:pPr>
              <w:ind w:left="-6"/>
              <w:jc w:val="center"/>
              <w:rPr>
                <w:rFonts w:ascii="Times New Roman" w:hAnsi="Times New Roman"/>
                <w:sz w:val="18"/>
                <w:szCs w:val="18"/>
              </w:rPr>
            </w:pPr>
            <w:r w:rsidRPr="00063FBD">
              <w:rPr>
                <w:rFonts w:ascii="Times New Roman" w:hAnsi="Times New Roman"/>
                <w:sz w:val="18"/>
                <w:szCs w:val="18"/>
              </w:rPr>
              <w:t xml:space="preserve">$ </w:t>
            </w:r>
            <w:r w:rsidR="00C905C8">
              <w:rPr>
                <w:rFonts w:ascii="Times New Roman" w:hAnsi="Times New Roman"/>
                <w:sz w:val="18"/>
                <w:szCs w:val="18"/>
              </w:rPr>
              <w:t>0</w:t>
            </w:r>
          </w:p>
        </w:tc>
        <w:tc>
          <w:tcPr>
            <w:tcW w:w="367"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31CFAA76" w14:textId="77777777">
            <w:pPr>
              <w:ind w:left="720"/>
              <w:rPr>
                <w:rFonts w:ascii="Times New Roman" w:hAnsi="Times New Roman"/>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63FBD" w:rsidR="00063FBD" w:rsidP="00063FBD" w:rsidRDefault="00063FBD" w14:paraId="06CB4E28" w14:textId="77777777">
            <w:pPr>
              <w:rPr>
                <w:rFonts w:ascii="Times New Roman" w:hAnsi="Times New Roman"/>
                <w:sz w:val="18"/>
                <w:szCs w:val="18"/>
              </w:rPr>
            </w:pPr>
            <w:r w:rsidRPr="00063FBD">
              <w:rPr>
                <w:rFonts w:ascii="Times New Roman" w:hAnsi="Times New Roman"/>
                <w:sz w:val="18"/>
                <w:szCs w:val="18"/>
              </w:rPr>
              <w:t xml:space="preserve">$       </w:t>
            </w:r>
            <w:r w:rsidR="00C905C8">
              <w:rPr>
                <w:rFonts w:ascii="Times New Roman" w:hAnsi="Times New Roman"/>
                <w:sz w:val="18"/>
                <w:szCs w:val="18"/>
              </w:rPr>
              <w:t>13,670</w:t>
            </w:r>
          </w:p>
        </w:tc>
      </w:tr>
      <w:bookmarkEnd w:id="2"/>
      <w:tr w:rsidRPr="00063FBD" w:rsidR="00063FBD" w:rsidTr="00D95CF2" w14:paraId="02D8132A" w14:textId="77777777">
        <w:tc>
          <w:tcPr>
            <w:tcW w:w="2187" w:type="dxa"/>
            <w:tcBorders>
              <w:top w:val="single" w:color="auto" w:sz="4" w:space="0"/>
              <w:left w:val="single" w:color="auto" w:sz="4" w:space="0"/>
              <w:bottom w:val="single" w:color="auto" w:sz="4" w:space="0"/>
              <w:right w:val="single" w:color="auto" w:sz="4" w:space="0"/>
            </w:tcBorders>
            <w:vAlign w:val="bottom"/>
          </w:tcPr>
          <w:p w:rsidRPr="00063FBD" w:rsidR="00063FBD" w:rsidP="00063FBD" w:rsidRDefault="004759F8" w14:paraId="584BDCF5" w14:textId="77777777">
            <w:pPr>
              <w:rPr>
                <w:rFonts w:ascii="Times New Roman" w:hAnsi="Times New Roman"/>
                <w:sz w:val="18"/>
                <w:szCs w:val="18"/>
              </w:rPr>
            </w:pPr>
            <w:r>
              <w:rPr>
                <w:rFonts w:ascii="Times New Roman" w:hAnsi="Times New Roman"/>
                <w:sz w:val="18"/>
                <w:szCs w:val="18"/>
              </w:rPr>
              <w:t>Instr. for 5300</w:t>
            </w:r>
          </w:p>
        </w:tc>
        <w:tc>
          <w:tcPr>
            <w:tcW w:w="1941" w:type="dxa"/>
            <w:tcBorders>
              <w:top w:val="single" w:color="auto" w:sz="4" w:space="0"/>
              <w:left w:val="single" w:color="auto" w:sz="4" w:space="0"/>
              <w:bottom w:val="single" w:color="auto" w:sz="4" w:space="0"/>
              <w:right w:val="single" w:color="auto" w:sz="4" w:space="0"/>
            </w:tcBorders>
            <w:vAlign w:val="bottom"/>
          </w:tcPr>
          <w:p w:rsidRPr="00063FBD" w:rsidR="00063FBD" w:rsidP="00063FBD" w:rsidRDefault="00063FBD" w14:paraId="71688276" w14:textId="77777777">
            <w:pPr>
              <w:jc w:val="center"/>
              <w:rPr>
                <w:rFonts w:ascii="Times New Roman" w:hAnsi="Times New Roman"/>
                <w:sz w:val="18"/>
                <w:szCs w:val="18"/>
              </w:rPr>
            </w:pPr>
            <w:r w:rsidRPr="00063FBD">
              <w:rPr>
                <w:rFonts w:ascii="Times New Roman" w:hAnsi="Times New Roman"/>
                <w:sz w:val="18"/>
                <w:szCs w:val="18"/>
              </w:rPr>
              <w:t xml:space="preserve">$      </w:t>
            </w:r>
            <w:r w:rsidR="00C905C8">
              <w:rPr>
                <w:rFonts w:ascii="Times New Roman" w:hAnsi="Times New Roman"/>
                <w:sz w:val="18"/>
                <w:szCs w:val="18"/>
              </w:rPr>
              <w:t>3,645</w:t>
            </w:r>
          </w:p>
        </w:tc>
        <w:tc>
          <w:tcPr>
            <w:tcW w:w="293"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5161D271" w14:textId="77777777">
            <w:pPr>
              <w:ind w:left="720"/>
              <w:rPr>
                <w:rFonts w:ascii="Times New Roman" w:hAnsi="Times New Roman"/>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30D31058" w14:textId="77777777">
            <w:pPr>
              <w:ind w:left="-6"/>
              <w:jc w:val="center"/>
              <w:rPr>
                <w:rFonts w:ascii="Times New Roman" w:hAnsi="Times New Roman"/>
                <w:sz w:val="18"/>
                <w:szCs w:val="18"/>
              </w:rPr>
            </w:pPr>
            <w:r w:rsidRPr="00063FBD">
              <w:rPr>
                <w:rFonts w:ascii="Times New Roman" w:hAnsi="Times New Roman"/>
                <w:sz w:val="18"/>
                <w:szCs w:val="18"/>
              </w:rPr>
              <w:t>$ 0</w:t>
            </w:r>
          </w:p>
        </w:tc>
        <w:tc>
          <w:tcPr>
            <w:tcW w:w="367"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2C26CAE6" w14:textId="77777777">
            <w:pPr>
              <w:ind w:left="720"/>
              <w:rPr>
                <w:rFonts w:ascii="Times New Roman" w:hAnsi="Times New Roman"/>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tcPr>
          <w:p w:rsidRPr="00063FBD" w:rsidR="00063FBD" w:rsidP="00063FBD" w:rsidRDefault="00063FBD" w14:paraId="6742A59B" w14:textId="77777777">
            <w:pPr>
              <w:rPr>
                <w:rFonts w:ascii="Times New Roman" w:hAnsi="Times New Roman"/>
                <w:sz w:val="18"/>
                <w:szCs w:val="18"/>
              </w:rPr>
            </w:pPr>
            <w:r w:rsidRPr="00063FBD">
              <w:rPr>
                <w:rFonts w:ascii="Times New Roman" w:hAnsi="Times New Roman"/>
                <w:sz w:val="18"/>
                <w:szCs w:val="18"/>
              </w:rPr>
              <w:t xml:space="preserve">$      </w:t>
            </w:r>
            <w:r w:rsidR="00C905C8">
              <w:rPr>
                <w:rFonts w:ascii="Times New Roman" w:hAnsi="Times New Roman"/>
                <w:sz w:val="18"/>
                <w:szCs w:val="18"/>
              </w:rPr>
              <w:t xml:space="preserve">  </w:t>
            </w:r>
            <w:r w:rsidRPr="00063FBD">
              <w:rPr>
                <w:rFonts w:ascii="Times New Roman" w:hAnsi="Times New Roman"/>
                <w:sz w:val="18"/>
                <w:szCs w:val="18"/>
              </w:rPr>
              <w:t xml:space="preserve"> </w:t>
            </w:r>
            <w:r w:rsidR="00C905C8">
              <w:rPr>
                <w:rFonts w:ascii="Times New Roman" w:hAnsi="Times New Roman"/>
                <w:sz w:val="18"/>
                <w:szCs w:val="18"/>
              </w:rPr>
              <w:t>3,645</w:t>
            </w:r>
          </w:p>
        </w:tc>
      </w:tr>
      <w:tr w:rsidRPr="00063FBD" w:rsidR="00063FBD" w:rsidTr="00D95CF2" w14:paraId="2F94EA6D" w14:textId="77777777">
        <w:tc>
          <w:tcPr>
            <w:tcW w:w="2187" w:type="dxa"/>
            <w:tcBorders>
              <w:top w:val="single" w:color="auto" w:sz="4" w:space="0"/>
              <w:left w:val="single" w:color="auto" w:sz="4" w:space="0"/>
              <w:bottom w:val="single" w:color="auto" w:sz="4" w:space="0"/>
              <w:right w:val="single" w:color="auto" w:sz="4" w:space="0"/>
            </w:tcBorders>
            <w:hideMark/>
          </w:tcPr>
          <w:p w:rsidRPr="00063FBD" w:rsidR="00063FBD" w:rsidP="00063FBD" w:rsidRDefault="00063FBD" w14:paraId="3663DC4B" w14:textId="77777777">
            <w:pPr>
              <w:rPr>
                <w:rFonts w:ascii="Times New Roman" w:hAnsi="Times New Roman"/>
                <w:b/>
                <w:sz w:val="18"/>
                <w:szCs w:val="18"/>
              </w:rPr>
            </w:pPr>
            <w:r w:rsidRPr="00063FBD">
              <w:rPr>
                <w:rFonts w:ascii="Times New Roman" w:hAnsi="Times New Roman"/>
                <w:b/>
                <w:sz w:val="18"/>
                <w:szCs w:val="18"/>
              </w:rPr>
              <w:t>Grand Total</w:t>
            </w:r>
          </w:p>
        </w:tc>
        <w:tc>
          <w:tcPr>
            <w:tcW w:w="1941" w:type="dxa"/>
            <w:tcBorders>
              <w:top w:val="single" w:color="auto" w:sz="4" w:space="0"/>
              <w:left w:val="single" w:color="auto" w:sz="4" w:space="0"/>
              <w:bottom w:val="single" w:color="auto" w:sz="4" w:space="0"/>
              <w:right w:val="single" w:color="auto" w:sz="4" w:space="0"/>
            </w:tcBorders>
            <w:hideMark/>
          </w:tcPr>
          <w:p w:rsidRPr="00063FBD" w:rsidR="00063FBD" w:rsidP="00063FBD" w:rsidRDefault="00063FBD" w14:paraId="3006FF44" w14:textId="77777777">
            <w:pPr>
              <w:ind w:left="-24"/>
              <w:jc w:val="center"/>
              <w:rPr>
                <w:rFonts w:ascii="Times New Roman" w:hAnsi="Times New Roman"/>
                <w:b/>
                <w:sz w:val="18"/>
                <w:szCs w:val="18"/>
              </w:rPr>
            </w:pPr>
            <w:r w:rsidRPr="00063FBD">
              <w:rPr>
                <w:rFonts w:ascii="Times New Roman" w:hAnsi="Times New Roman"/>
              </w:rPr>
              <w:fldChar w:fldCharType="begin"/>
            </w:r>
            <w:r w:rsidRPr="00063FBD">
              <w:rPr>
                <w:rFonts w:ascii="Times New Roman" w:hAnsi="Times New Roman"/>
                <w:b/>
                <w:sz w:val="18"/>
                <w:szCs w:val="18"/>
              </w:rPr>
              <w:instrText xml:space="preserve"> =SUM(ABOVE) </w:instrText>
            </w:r>
            <w:r w:rsidRPr="00063FBD">
              <w:rPr>
                <w:rFonts w:ascii="Times New Roman" w:hAnsi="Times New Roman"/>
              </w:rPr>
              <w:fldChar w:fldCharType="separate"/>
            </w:r>
            <w:r w:rsidRPr="00063FBD">
              <w:rPr>
                <w:rFonts w:ascii="Times New Roman" w:hAnsi="Times New Roman"/>
                <w:b/>
                <w:noProof/>
                <w:sz w:val="18"/>
                <w:szCs w:val="18"/>
              </w:rPr>
              <w:t xml:space="preserve">$       </w:t>
            </w:r>
            <w:r w:rsidRPr="00063FBD">
              <w:rPr>
                <w:rFonts w:ascii="Times New Roman" w:hAnsi="Times New Roman"/>
              </w:rPr>
              <w:fldChar w:fldCharType="end"/>
            </w:r>
            <w:r w:rsidR="00C905C8">
              <w:rPr>
                <w:rFonts w:ascii="Times New Roman" w:hAnsi="Times New Roman"/>
                <w:b/>
                <w:sz w:val="18"/>
                <w:szCs w:val="18"/>
              </w:rPr>
              <w:t>17,315</w:t>
            </w:r>
          </w:p>
        </w:tc>
        <w:tc>
          <w:tcPr>
            <w:tcW w:w="293"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177BB244" w14:textId="77777777">
            <w:pPr>
              <w:ind w:left="720"/>
              <w:rPr>
                <w:rFonts w:ascii="Times New Roman" w:hAnsi="Times New Roman"/>
                <w:b/>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7F729704" w14:textId="77777777">
            <w:pPr>
              <w:ind w:left="-6"/>
              <w:jc w:val="center"/>
              <w:rPr>
                <w:rFonts w:ascii="Times New Roman" w:hAnsi="Times New Roman"/>
                <w:b/>
                <w:sz w:val="18"/>
                <w:szCs w:val="18"/>
              </w:rPr>
            </w:pPr>
            <w:r w:rsidRPr="00063FBD">
              <w:rPr>
                <w:rFonts w:ascii="Times New Roman" w:hAnsi="Times New Roman"/>
                <w:b/>
                <w:sz w:val="18"/>
                <w:szCs w:val="18"/>
              </w:rPr>
              <w:t xml:space="preserve">$ </w:t>
            </w:r>
            <w:r w:rsidR="00C905C8">
              <w:rPr>
                <w:rFonts w:ascii="Times New Roman" w:hAnsi="Times New Roman"/>
                <w:b/>
                <w:sz w:val="18"/>
                <w:szCs w:val="18"/>
              </w:rPr>
              <w:t>0</w:t>
            </w:r>
          </w:p>
        </w:tc>
        <w:tc>
          <w:tcPr>
            <w:tcW w:w="367" w:type="dxa"/>
            <w:tcBorders>
              <w:top w:val="single" w:color="auto" w:sz="4" w:space="0"/>
              <w:left w:val="single" w:color="auto" w:sz="4" w:space="0"/>
              <w:bottom w:val="single" w:color="auto" w:sz="4" w:space="0"/>
              <w:right w:val="single" w:color="auto" w:sz="4" w:space="0"/>
            </w:tcBorders>
          </w:tcPr>
          <w:p w:rsidRPr="00063FBD" w:rsidR="00063FBD" w:rsidP="00063FBD" w:rsidRDefault="00063FBD" w14:paraId="6A187D1F" w14:textId="77777777">
            <w:pPr>
              <w:ind w:left="720"/>
              <w:rPr>
                <w:rFonts w:ascii="Times New Roman" w:hAnsi="Times New Roman"/>
                <w:b/>
                <w:sz w:val="18"/>
                <w:szCs w:val="18"/>
              </w:rPr>
            </w:pPr>
          </w:p>
        </w:tc>
        <w:tc>
          <w:tcPr>
            <w:tcW w:w="1804" w:type="dxa"/>
            <w:tcBorders>
              <w:top w:val="single" w:color="auto" w:sz="4" w:space="0"/>
              <w:left w:val="single" w:color="auto" w:sz="4" w:space="0"/>
              <w:bottom w:val="single" w:color="auto" w:sz="4" w:space="0"/>
              <w:right w:val="single" w:color="auto" w:sz="4" w:space="0"/>
            </w:tcBorders>
            <w:hideMark/>
          </w:tcPr>
          <w:p w:rsidRPr="00063FBD" w:rsidR="00063FBD" w:rsidP="00063FBD" w:rsidRDefault="00063FBD" w14:paraId="4884F417" w14:textId="77777777">
            <w:pPr>
              <w:rPr>
                <w:rFonts w:ascii="Times New Roman" w:hAnsi="Times New Roman"/>
                <w:b/>
                <w:sz w:val="18"/>
                <w:szCs w:val="18"/>
              </w:rPr>
            </w:pPr>
            <w:r w:rsidRPr="00063FBD">
              <w:rPr>
                <w:rFonts w:ascii="Times New Roman" w:hAnsi="Times New Roman"/>
                <w:b/>
              </w:rPr>
              <w:fldChar w:fldCharType="begin"/>
            </w:r>
            <w:r w:rsidRPr="00063FBD">
              <w:rPr>
                <w:rFonts w:ascii="Times New Roman" w:hAnsi="Times New Roman"/>
                <w:b/>
                <w:sz w:val="18"/>
                <w:szCs w:val="18"/>
              </w:rPr>
              <w:instrText xml:space="preserve"> =SUM(ABOVE) </w:instrText>
            </w:r>
            <w:r w:rsidRPr="00063FBD">
              <w:rPr>
                <w:rFonts w:ascii="Times New Roman" w:hAnsi="Times New Roman"/>
                <w:b/>
              </w:rPr>
              <w:fldChar w:fldCharType="separate"/>
            </w:r>
            <w:r w:rsidRPr="00063FBD">
              <w:rPr>
                <w:rFonts w:ascii="Times New Roman" w:hAnsi="Times New Roman"/>
                <w:b/>
                <w:noProof/>
                <w:sz w:val="18"/>
                <w:szCs w:val="18"/>
              </w:rPr>
              <w:t>$</w:t>
            </w:r>
            <w:r w:rsidRPr="00063FBD">
              <w:rPr>
                <w:rFonts w:ascii="Times New Roman" w:hAnsi="Times New Roman"/>
                <w:b/>
              </w:rPr>
              <w:fldChar w:fldCharType="end"/>
            </w:r>
            <w:r w:rsidRPr="00063FBD">
              <w:rPr>
                <w:rFonts w:ascii="Times New Roman" w:hAnsi="Times New Roman"/>
                <w:b/>
              </w:rPr>
              <w:t xml:space="preserve">  </w:t>
            </w:r>
            <w:r w:rsidR="00C905C8">
              <w:rPr>
                <w:rFonts w:ascii="Times New Roman" w:hAnsi="Times New Roman"/>
                <w:b/>
              </w:rPr>
              <w:t xml:space="preserve">   </w:t>
            </w:r>
            <w:r w:rsidR="00C905C8">
              <w:rPr>
                <w:rFonts w:ascii="Times New Roman" w:hAnsi="Times New Roman"/>
                <w:b/>
                <w:sz w:val="18"/>
                <w:szCs w:val="18"/>
              </w:rPr>
              <w:t>17,315</w:t>
            </w:r>
          </w:p>
        </w:tc>
      </w:tr>
      <w:tr w:rsidRPr="00063FBD" w:rsidR="00063FBD" w:rsidTr="00D95CF2" w14:paraId="2B3A348D"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063FBD" w:rsidR="00063FBD" w:rsidP="00063FBD" w:rsidRDefault="00063FBD" w14:paraId="7EF229CA" w14:textId="77777777">
            <w:pPr>
              <w:ind w:left="720"/>
              <w:rPr>
                <w:rFonts w:ascii="Times New Roman" w:hAnsi="Times New Roman"/>
                <w:sz w:val="18"/>
                <w:szCs w:val="18"/>
              </w:rPr>
            </w:pPr>
            <w:r w:rsidRPr="00063FBD">
              <w:rPr>
                <w:rFonts w:ascii="Times New Roman" w:hAnsi="Times New Roman"/>
                <w:sz w:val="18"/>
                <w:szCs w:val="18"/>
              </w:rPr>
              <w:t xml:space="preserve">Table costs are based on 2018 actuals obtained from IRS Chief Financial </w:t>
            </w:r>
            <w:proofErr w:type="spellStart"/>
            <w:r w:rsidRPr="00063FBD">
              <w:rPr>
                <w:rFonts w:ascii="Times New Roman" w:hAnsi="Times New Roman"/>
                <w:sz w:val="18"/>
                <w:szCs w:val="18"/>
              </w:rPr>
              <w:t>Office</w:t>
            </w:r>
            <w:proofErr w:type="spellEnd"/>
            <w:r w:rsidRPr="00063FBD">
              <w:rPr>
                <w:rFonts w:ascii="Times New Roman" w:hAnsi="Times New Roman"/>
                <w:sz w:val="18"/>
                <w:szCs w:val="18"/>
              </w:rPr>
              <w:t xml:space="preserve"> and Media and </w:t>
            </w:r>
            <w:r w:rsidRPr="00063FBD">
              <w:rPr>
                <w:rFonts w:ascii="Times New Roman" w:hAnsi="Times New Roman"/>
                <w:sz w:val="18"/>
                <w:szCs w:val="18"/>
              </w:rPr>
              <w:lastRenderedPageBreak/>
              <w:t>Publications</w:t>
            </w:r>
          </w:p>
        </w:tc>
      </w:tr>
      <w:tr w:rsidRPr="00063FBD" w:rsidR="00063FBD" w:rsidTr="00D95CF2" w14:paraId="366FBE1B"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063FBD" w:rsidR="00063FBD" w:rsidP="00063FBD" w:rsidRDefault="00063FBD" w14:paraId="72FEDCF6" w14:textId="77777777">
            <w:pPr>
              <w:ind w:left="720"/>
              <w:rPr>
                <w:rFonts w:ascii="Times New Roman" w:hAnsi="Times New Roman"/>
                <w:sz w:val="18"/>
                <w:szCs w:val="18"/>
              </w:rPr>
            </w:pPr>
            <w:r w:rsidRPr="00063FBD">
              <w:rPr>
                <w:rFonts w:ascii="Times New Roman" w:hAnsi="Times New Roman"/>
                <w:sz w:val="18"/>
                <w:szCs w:val="18"/>
              </w:rPr>
              <w:lastRenderedPageBreak/>
              <w:t xml:space="preserve">* New product costs will be included in the next collection update. </w:t>
            </w:r>
          </w:p>
        </w:tc>
      </w:tr>
    </w:tbl>
    <w:p w:rsidRPr="00F820CF" w:rsidR="0027079C" w:rsidRDefault="0027079C" w14:paraId="77DCEBA5" w14:textId="77777777">
      <w:pPr>
        <w:rPr>
          <w:rFonts w:ascii="Times New Roman" w:hAnsi="Times New Roman"/>
        </w:rPr>
      </w:pPr>
    </w:p>
    <w:p w:rsidRPr="00F820CF" w:rsidR="0042327E" w:rsidRDefault="0042327E" w14:paraId="714910F9"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1B1D205D" w14:textId="77777777">
      <w:pPr>
        <w:rPr>
          <w:rFonts w:ascii="Times New Roman" w:hAnsi="Times New Roman"/>
        </w:rPr>
      </w:pPr>
    </w:p>
    <w:p w:rsidRPr="00F820CF" w:rsidR="00A66703" w:rsidP="008D56E6" w:rsidRDefault="0042327E" w14:paraId="476F45A9" w14:textId="77777777">
      <w:pPr>
        <w:ind w:left="720"/>
        <w:rPr>
          <w:rFonts w:ascii="Times New Roman" w:hAnsi="Times New Roman"/>
        </w:rPr>
      </w:pPr>
      <w:r w:rsidRPr="00F820CF">
        <w:rPr>
          <w:rFonts w:ascii="Times New Roman" w:hAnsi="Times New Roman"/>
        </w:rPr>
        <w:t xml:space="preserve">There is no change in the paperwork burden previously approved by OMB.  We are making this submission to renew the OMB approval.  </w:t>
      </w:r>
    </w:p>
    <w:p w:rsidRPr="00F820CF" w:rsidR="00A66703" w:rsidRDefault="00A66703" w14:paraId="12D02EE0" w14:textId="77777777">
      <w:pPr>
        <w:rPr>
          <w:rFonts w:ascii="Times New Roman" w:hAnsi="Times New Roman"/>
        </w:rPr>
      </w:pPr>
    </w:p>
    <w:p w:rsidRPr="00F820CF" w:rsidR="0042327E" w:rsidRDefault="0042327E" w14:paraId="57A30FFB"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25A8EA66" w14:textId="77777777">
      <w:pPr>
        <w:rPr>
          <w:rFonts w:ascii="Times New Roman" w:hAnsi="Times New Roman"/>
        </w:rPr>
      </w:pPr>
    </w:p>
    <w:p w:rsidRPr="00F820CF" w:rsidR="0042327E" w:rsidRDefault="007C0117" w14:paraId="5C351934" w14:textId="77777777">
      <w:pPr>
        <w:ind w:left="720"/>
        <w:rPr>
          <w:rFonts w:ascii="Times New Roman" w:hAnsi="Times New Roman"/>
        </w:rPr>
      </w:pPr>
      <w:r w:rsidRPr="00F820CF">
        <w:rPr>
          <w:rFonts w:ascii="Times New Roman" w:hAnsi="Times New Roman"/>
        </w:rPr>
        <w:t>There are no plans for tabulation, statistical analysis and publication.</w:t>
      </w:r>
    </w:p>
    <w:p w:rsidRPr="00F820CF" w:rsidR="00E32A1F" w:rsidRDefault="00E32A1F" w14:paraId="7C14CB09" w14:textId="77777777">
      <w:pPr>
        <w:rPr>
          <w:rFonts w:ascii="Times New Roman" w:hAnsi="Times New Roman"/>
        </w:rPr>
      </w:pPr>
    </w:p>
    <w:p w:rsidRPr="00F820CF" w:rsidR="0042327E" w:rsidRDefault="0042327E" w14:paraId="44BE0EBB"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4A47FC84" w14:textId="77777777">
      <w:pPr>
        <w:rPr>
          <w:rFonts w:ascii="Times New Roman" w:hAnsi="Times New Roman"/>
        </w:rPr>
      </w:pPr>
    </w:p>
    <w:p w:rsidRPr="00F820CF" w:rsidR="0042327E" w:rsidRDefault="0042327E" w14:paraId="46AF32F6"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00503189" w:rsidP="00E32A1F" w:rsidRDefault="0042327E" w14:paraId="4A42ED7F" w14:textId="7777777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503189" w:rsidRDefault="00503189" w14:paraId="049DEAB8" w14:textId="77777777">
      <w:pPr>
        <w:rPr>
          <w:rFonts w:ascii="Times New Roman" w:hAnsi="Times New Roman"/>
        </w:rPr>
      </w:pPr>
    </w:p>
    <w:p w:rsidRPr="00F820CF" w:rsidR="0042327E" w:rsidRDefault="0042327E" w14:paraId="3942568E"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40FF6AE4" w14:textId="77777777">
      <w:pPr>
        <w:rPr>
          <w:rFonts w:ascii="Times New Roman" w:hAnsi="Times New Roman"/>
        </w:rPr>
      </w:pPr>
    </w:p>
    <w:p w:rsidRPr="00F820CF" w:rsidR="0042327E" w:rsidRDefault="007C0117" w14:paraId="21B4767C"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23323BBB" w14:textId="77777777">
      <w:pPr>
        <w:rPr>
          <w:rFonts w:ascii="Times New Roman" w:hAnsi="Times New Roman"/>
        </w:rPr>
      </w:pPr>
    </w:p>
    <w:p w:rsidRPr="00F820CF" w:rsidR="0042327E" w:rsidRDefault="0042327E" w14:paraId="592A2FC0"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Pr="00F820CF" w:rsidR="0042327E" w:rsidRDefault="0042327E" w14:paraId="4276C925" w14:textId="77777777">
      <w:pPr>
        <w:rPr>
          <w:rFonts w:ascii="Times New Roman" w:hAnsi="Times New Roman"/>
        </w:rPr>
      </w:pPr>
    </w:p>
    <w:p w:rsidRPr="00F820CF" w:rsidR="0042327E" w:rsidRDefault="0042327E" w14:paraId="620F5599" w14:textId="77777777">
      <w:pPr>
        <w:ind w:firstLine="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F820CF" w:rsidR="0042327E" w:rsidRDefault="0042327E" w14:paraId="0153C187" w14:textId="77777777">
      <w:pPr>
        <w:rPr>
          <w:rFonts w:ascii="Times New Roman" w:hAnsi="Times New Roman"/>
        </w:rPr>
      </w:pPr>
    </w:p>
    <w:p w:rsidRPr="00F820CF" w:rsidR="0042327E" w:rsidRDefault="0042327E" w14:paraId="0533FD96"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FD740" w14:textId="77777777" w:rsidR="001027A2" w:rsidRDefault="001027A2">
      <w:r>
        <w:separator/>
      </w:r>
    </w:p>
  </w:endnote>
  <w:endnote w:type="continuationSeparator" w:id="0">
    <w:p w14:paraId="218AD024" w14:textId="77777777" w:rsidR="001027A2" w:rsidRDefault="0010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209D6" w14:textId="77777777" w:rsidR="001027A2" w:rsidRDefault="001027A2">
      <w:r>
        <w:separator/>
      </w:r>
    </w:p>
  </w:footnote>
  <w:footnote w:type="continuationSeparator" w:id="0">
    <w:p w14:paraId="5283BE26" w14:textId="77777777" w:rsidR="001027A2" w:rsidRDefault="00102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9BEF" w14:textId="77777777"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14:paraId="12BA0462" w14:textId="77777777" w:rsidR="0042327E" w:rsidRDefault="0042327E"/>
  <w:p w14:paraId="0546CDF1"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264DC"/>
    <w:rsid w:val="00063FBD"/>
    <w:rsid w:val="0006443C"/>
    <w:rsid w:val="000774A6"/>
    <w:rsid w:val="0007765B"/>
    <w:rsid w:val="00090BE1"/>
    <w:rsid w:val="0009308E"/>
    <w:rsid w:val="00094223"/>
    <w:rsid w:val="000C57B2"/>
    <w:rsid w:val="001027A2"/>
    <w:rsid w:val="00113717"/>
    <w:rsid w:val="0011637B"/>
    <w:rsid w:val="00125AD0"/>
    <w:rsid w:val="0015042C"/>
    <w:rsid w:val="00196604"/>
    <w:rsid w:val="001A0428"/>
    <w:rsid w:val="001A74A8"/>
    <w:rsid w:val="001F4B22"/>
    <w:rsid w:val="001F692E"/>
    <w:rsid w:val="00200A9E"/>
    <w:rsid w:val="00205B23"/>
    <w:rsid w:val="00230365"/>
    <w:rsid w:val="00233D1C"/>
    <w:rsid w:val="002374EC"/>
    <w:rsid w:val="002638C1"/>
    <w:rsid w:val="0027079C"/>
    <w:rsid w:val="00274F60"/>
    <w:rsid w:val="002B7D9D"/>
    <w:rsid w:val="003651BA"/>
    <w:rsid w:val="003B1A7A"/>
    <w:rsid w:val="003D17E2"/>
    <w:rsid w:val="003E0B6E"/>
    <w:rsid w:val="0040437B"/>
    <w:rsid w:val="00413590"/>
    <w:rsid w:val="00421C44"/>
    <w:rsid w:val="0042327E"/>
    <w:rsid w:val="00425A19"/>
    <w:rsid w:val="004429C4"/>
    <w:rsid w:val="0045607B"/>
    <w:rsid w:val="004744EA"/>
    <w:rsid w:val="004759F8"/>
    <w:rsid w:val="00495927"/>
    <w:rsid w:val="004D62AB"/>
    <w:rsid w:val="00503189"/>
    <w:rsid w:val="00510970"/>
    <w:rsid w:val="00526997"/>
    <w:rsid w:val="0057246C"/>
    <w:rsid w:val="005A0AEF"/>
    <w:rsid w:val="005D3633"/>
    <w:rsid w:val="005E34CB"/>
    <w:rsid w:val="005E3F97"/>
    <w:rsid w:val="005F3C3B"/>
    <w:rsid w:val="00635AB7"/>
    <w:rsid w:val="0067075A"/>
    <w:rsid w:val="006847A9"/>
    <w:rsid w:val="006A0F00"/>
    <w:rsid w:val="006D7970"/>
    <w:rsid w:val="00700755"/>
    <w:rsid w:val="007039F8"/>
    <w:rsid w:val="00704D9C"/>
    <w:rsid w:val="00760E1D"/>
    <w:rsid w:val="007A52E6"/>
    <w:rsid w:val="007B2415"/>
    <w:rsid w:val="007C0117"/>
    <w:rsid w:val="007E2A48"/>
    <w:rsid w:val="007F62D2"/>
    <w:rsid w:val="008555D5"/>
    <w:rsid w:val="00871A8E"/>
    <w:rsid w:val="00894126"/>
    <w:rsid w:val="00895219"/>
    <w:rsid w:val="008A6408"/>
    <w:rsid w:val="008B54B9"/>
    <w:rsid w:val="008C31F7"/>
    <w:rsid w:val="008C54E7"/>
    <w:rsid w:val="008C776E"/>
    <w:rsid w:val="008D56E6"/>
    <w:rsid w:val="008F187B"/>
    <w:rsid w:val="008F3E03"/>
    <w:rsid w:val="009218C0"/>
    <w:rsid w:val="0093225C"/>
    <w:rsid w:val="009447B6"/>
    <w:rsid w:val="00992A25"/>
    <w:rsid w:val="009A0EF1"/>
    <w:rsid w:val="009E0F1B"/>
    <w:rsid w:val="00A17E93"/>
    <w:rsid w:val="00A24930"/>
    <w:rsid w:val="00A37018"/>
    <w:rsid w:val="00A41180"/>
    <w:rsid w:val="00A66703"/>
    <w:rsid w:val="00AA1C1E"/>
    <w:rsid w:val="00AB27B9"/>
    <w:rsid w:val="00AB3806"/>
    <w:rsid w:val="00AE66E5"/>
    <w:rsid w:val="00AF6190"/>
    <w:rsid w:val="00B061E0"/>
    <w:rsid w:val="00B11DB0"/>
    <w:rsid w:val="00B1470B"/>
    <w:rsid w:val="00B300A6"/>
    <w:rsid w:val="00B40010"/>
    <w:rsid w:val="00B8524B"/>
    <w:rsid w:val="00BA70CE"/>
    <w:rsid w:val="00BB3832"/>
    <w:rsid w:val="00BC6ED7"/>
    <w:rsid w:val="00C046ED"/>
    <w:rsid w:val="00C67B6F"/>
    <w:rsid w:val="00C86B96"/>
    <w:rsid w:val="00C905C8"/>
    <w:rsid w:val="00CA5837"/>
    <w:rsid w:val="00CD19EA"/>
    <w:rsid w:val="00CE4F9B"/>
    <w:rsid w:val="00CF6A91"/>
    <w:rsid w:val="00D14B2C"/>
    <w:rsid w:val="00D20B84"/>
    <w:rsid w:val="00D339F5"/>
    <w:rsid w:val="00D62F07"/>
    <w:rsid w:val="00D96FE1"/>
    <w:rsid w:val="00DA35AC"/>
    <w:rsid w:val="00DB54FF"/>
    <w:rsid w:val="00DC5316"/>
    <w:rsid w:val="00DE721E"/>
    <w:rsid w:val="00DF48FC"/>
    <w:rsid w:val="00DF6644"/>
    <w:rsid w:val="00E320E8"/>
    <w:rsid w:val="00E32A1F"/>
    <w:rsid w:val="00E820D8"/>
    <w:rsid w:val="00EC289E"/>
    <w:rsid w:val="00EC328A"/>
    <w:rsid w:val="00EC4FBE"/>
    <w:rsid w:val="00EE187E"/>
    <w:rsid w:val="00EE2EEF"/>
    <w:rsid w:val="00F820CF"/>
    <w:rsid w:val="00FA5532"/>
    <w:rsid w:val="00FC0244"/>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1963A"/>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9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styleId="UnresolvedMention">
    <w:name w:val="Unresolved Mention"/>
    <w:basedOn w:val="DefaultParagraphFont"/>
    <w:uiPriority w:val="99"/>
    <w:semiHidden/>
    <w:unhideWhenUsed/>
    <w:rsid w:val="006D7970"/>
    <w:rPr>
      <w:color w:val="605E5C"/>
      <w:shd w:val="clear" w:color="auto" w:fill="E1DFDD"/>
    </w:rPr>
  </w:style>
  <w:style w:type="table" w:styleId="TableGrid">
    <w:name w:val="Table Grid"/>
    <w:basedOn w:val="TableNormal"/>
    <w:rsid w:val="0092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555D5"/>
    <w:rPr>
      <w:color w:val="800080" w:themeColor="followedHyperlink"/>
      <w:u w:val="single"/>
    </w:rPr>
  </w:style>
  <w:style w:type="paragraph" w:styleId="BalloonText">
    <w:name w:val="Balloon Text"/>
    <w:basedOn w:val="Normal"/>
    <w:link w:val="BalloonTextChar"/>
    <w:semiHidden/>
    <w:unhideWhenUsed/>
    <w:rsid w:val="005E34CB"/>
    <w:rPr>
      <w:rFonts w:ascii="Segoe UI" w:hAnsi="Segoe UI" w:cs="Segoe UI"/>
      <w:sz w:val="18"/>
      <w:szCs w:val="18"/>
    </w:rPr>
  </w:style>
  <w:style w:type="character" w:customStyle="1" w:styleId="BalloonTextChar">
    <w:name w:val="Balloon Text Char"/>
    <w:basedOn w:val="DefaultParagraphFont"/>
    <w:link w:val="BalloonText"/>
    <w:semiHidden/>
    <w:rsid w:val="005E34CB"/>
    <w:rPr>
      <w:rFonts w:ascii="Segoe UI" w:hAnsi="Segoe UI" w:cs="Segoe UI"/>
      <w:sz w:val="18"/>
      <w:szCs w:val="18"/>
    </w:rPr>
  </w:style>
  <w:style w:type="character" w:styleId="CommentReference">
    <w:name w:val="annotation reference"/>
    <w:basedOn w:val="DefaultParagraphFont"/>
    <w:unhideWhenUsed/>
    <w:rsid w:val="005E34CB"/>
    <w:rPr>
      <w:sz w:val="16"/>
      <w:szCs w:val="16"/>
    </w:rPr>
  </w:style>
  <w:style w:type="paragraph" w:styleId="CommentText">
    <w:name w:val="annotation text"/>
    <w:basedOn w:val="Normal"/>
    <w:link w:val="CommentTextChar"/>
    <w:unhideWhenUsed/>
    <w:rsid w:val="005E34CB"/>
    <w:rPr>
      <w:sz w:val="20"/>
      <w:szCs w:val="20"/>
    </w:rPr>
  </w:style>
  <w:style w:type="character" w:customStyle="1" w:styleId="CommentTextChar">
    <w:name w:val="Comment Text Char"/>
    <w:basedOn w:val="DefaultParagraphFont"/>
    <w:link w:val="CommentText"/>
    <w:rsid w:val="005E34CB"/>
    <w:rPr>
      <w:rFonts w:ascii="Courier" w:hAnsi="Courier"/>
    </w:rPr>
  </w:style>
  <w:style w:type="paragraph" w:styleId="CommentSubject">
    <w:name w:val="annotation subject"/>
    <w:basedOn w:val="CommentText"/>
    <w:next w:val="CommentText"/>
    <w:link w:val="CommentSubjectChar"/>
    <w:semiHidden/>
    <w:unhideWhenUsed/>
    <w:rsid w:val="005E34CB"/>
    <w:rPr>
      <w:b/>
      <w:bCs/>
    </w:rPr>
  </w:style>
  <w:style w:type="character" w:customStyle="1" w:styleId="CommentSubjectChar">
    <w:name w:val="Comment Subject Char"/>
    <w:basedOn w:val="CommentTextChar"/>
    <w:link w:val="CommentSubject"/>
    <w:semiHidden/>
    <w:rsid w:val="005E34C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ettings" Target="settings.xml"/><Relationship Id="rId7" Type="http://schemas.openxmlformats.org/officeDocument/2006/relationships/hyperlink" Target="http://www.irs.gov/irb/2016-01_IRB/ar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Stasko, Molly</cp:lastModifiedBy>
  <cp:revision>3</cp:revision>
  <dcterms:created xsi:type="dcterms:W3CDTF">2020-10-27T21:49:00Z</dcterms:created>
  <dcterms:modified xsi:type="dcterms:W3CDTF">2020-10-29T18:33:00Z</dcterms:modified>
</cp:coreProperties>
</file>