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0347" w:rsidR="00E839C0" w:rsidRDefault="00801A08" w14:paraId="02C1D590" w14:textId="77777777">
      <w:pPr>
        <w:pStyle w:val="Heading4"/>
        <w:jc w:val="center"/>
        <w:rPr>
          <w:rFonts w:ascii="Times New Roman" w:hAnsi="Times New Roman"/>
          <w:b/>
          <w:szCs w:val="24"/>
        </w:rPr>
      </w:pPr>
      <w:r>
        <w:rPr>
          <w:rFonts w:ascii="Times New Roman" w:hAnsi="Times New Roman"/>
          <w:b/>
          <w:szCs w:val="24"/>
        </w:rPr>
        <w:t xml:space="preserve">Supporting Statement </w:t>
      </w:r>
    </w:p>
    <w:p w:rsidR="00E839C0" w:rsidRDefault="00E839C0" w14:paraId="612AA2A4" w14:textId="4EE9B624">
      <w:pPr>
        <w:jc w:val="center"/>
        <w:rPr>
          <w:rFonts w:ascii="Times New Roman" w:hAnsi="Times New Roman"/>
          <w:b/>
          <w:sz w:val="24"/>
          <w:szCs w:val="24"/>
        </w:rPr>
      </w:pPr>
      <w:r w:rsidRPr="00200347">
        <w:rPr>
          <w:rFonts w:ascii="Times New Roman" w:hAnsi="Times New Roman"/>
          <w:b/>
          <w:sz w:val="24"/>
          <w:szCs w:val="24"/>
        </w:rPr>
        <w:t xml:space="preserve">Examination </w:t>
      </w:r>
      <w:r w:rsidR="006D410A">
        <w:rPr>
          <w:rFonts w:ascii="Times New Roman" w:hAnsi="Times New Roman"/>
          <w:b/>
          <w:sz w:val="24"/>
          <w:szCs w:val="24"/>
        </w:rPr>
        <w:t>Survey</w:t>
      </w:r>
    </w:p>
    <w:p w:rsidRPr="00200347" w:rsidR="00801A08" w:rsidP="00801A08" w:rsidRDefault="00BC4343" w14:paraId="3BAE69AA" w14:textId="77777777">
      <w:pPr>
        <w:jc w:val="center"/>
        <w:rPr>
          <w:rFonts w:ascii="Times New Roman" w:hAnsi="Times New Roman"/>
          <w:b/>
          <w:sz w:val="24"/>
          <w:szCs w:val="24"/>
        </w:rPr>
      </w:pPr>
      <w:r>
        <w:rPr>
          <w:rFonts w:ascii="Times New Roman" w:hAnsi="Times New Roman"/>
          <w:b/>
          <w:sz w:val="24"/>
          <w:szCs w:val="24"/>
        </w:rPr>
        <w:t>OMB Control No</w:t>
      </w:r>
      <w:r w:rsidR="00801A08">
        <w:rPr>
          <w:rFonts w:ascii="Times New Roman" w:hAnsi="Times New Roman"/>
          <w:b/>
          <w:sz w:val="24"/>
          <w:szCs w:val="24"/>
        </w:rPr>
        <w:t>.</w:t>
      </w:r>
      <w:r w:rsidRPr="00200347" w:rsidR="00801A08">
        <w:rPr>
          <w:rFonts w:ascii="Times New Roman" w:hAnsi="Times New Roman"/>
          <w:b/>
          <w:sz w:val="24"/>
          <w:szCs w:val="24"/>
        </w:rPr>
        <w:t xml:space="preserve"> 1557-0199</w:t>
      </w:r>
    </w:p>
    <w:p w:rsidRPr="00200347" w:rsidR="00801A08" w:rsidRDefault="00801A08" w14:paraId="2D186172" w14:textId="77777777">
      <w:pPr>
        <w:jc w:val="center"/>
        <w:rPr>
          <w:rFonts w:ascii="Times New Roman" w:hAnsi="Times New Roman"/>
          <w:sz w:val="24"/>
          <w:szCs w:val="24"/>
        </w:rPr>
      </w:pPr>
    </w:p>
    <w:p w:rsidRPr="00200347" w:rsidR="00E839C0" w:rsidRDefault="00E839C0" w14:paraId="1B5F1F38" w14:textId="77777777">
      <w:pPr>
        <w:rPr>
          <w:rFonts w:ascii="Times New Roman" w:hAnsi="Times New Roman"/>
          <w:sz w:val="24"/>
          <w:szCs w:val="24"/>
        </w:rPr>
      </w:pPr>
    </w:p>
    <w:p w:rsidRPr="00A77FDF" w:rsidR="00E839C0" w:rsidRDefault="00E839C0" w14:paraId="2B3D61CA" w14:textId="77777777">
      <w:pPr>
        <w:rPr>
          <w:rFonts w:ascii="Times New Roman" w:hAnsi="Times New Roman"/>
          <w:b/>
          <w:sz w:val="24"/>
          <w:szCs w:val="24"/>
        </w:rPr>
      </w:pPr>
      <w:r w:rsidRPr="00A77FDF">
        <w:rPr>
          <w:rFonts w:ascii="Times New Roman" w:hAnsi="Times New Roman"/>
          <w:b/>
          <w:sz w:val="24"/>
          <w:szCs w:val="24"/>
        </w:rPr>
        <w:t xml:space="preserve">A.  </w:t>
      </w:r>
      <w:r w:rsidRPr="00A77FDF">
        <w:rPr>
          <w:rFonts w:ascii="Times New Roman" w:hAnsi="Times New Roman"/>
          <w:b/>
          <w:sz w:val="24"/>
          <w:szCs w:val="24"/>
          <w:u w:val="single"/>
        </w:rPr>
        <w:t>Justification</w:t>
      </w:r>
      <w:r w:rsidRPr="00A77FDF" w:rsidR="00A77FDF">
        <w:rPr>
          <w:rFonts w:ascii="Times New Roman" w:hAnsi="Times New Roman"/>
          <w:b/>
          <w:sz w:val="24"/>
          <w:szCs w:val="24"/>
        </w:rPr>
        <w:t>.</w:t>
      </w:r>
    </w:p>
    <w:p w:rsidRPr="00A77FDF" w:rsidR="00E839C0" w:rsidRDefault="00E839C0" w14:paraId="6CDD4FEE" w14:textId="77777777">
      <w:pPr>
        <w:rPr>
          <w:rFonts w:ascii="Times New Roman" w:hAnsi="Times New Roman"/>
          <w:b/>
          <w:sz w:val="24"/>
          <w:szCs w:val="24"/>
        </w:rPr>
      </w:pPr>
    </w:p>
    <w:p w:rsidRPr="001347B7" w:rsidR="00E839C0" w:rsidRDefault="00E839C0" w14:paraId="01505D98" w14:textId="77777777">
      <w:pPr>
        <w:rPr>
          <w:rFonts w:ascii="Times New Roman" w:hAnsi="Times New Roman"/>
          <w:b/>
          <w:i/>
          <w:sz w:val="24"/>
          <w:szCs w:val="24"/>
        </w:rPr>
      </w:pPr>
      <w:r w:rsidRPr="001347B7">
        <w:rPr>
          <w:rFonts w:ascii="Times New Roman" w:hAnsi="Times New Roman"/>
          <w:b/>
          <w:i/>
          <w:sz w:val="24"/>
          <w:szCs w:val="24"/>
        </w:rPr>
        <w:t>1.  Circumstances that make the collection necessary:</w:t>
      </w:r>
    </w:p>
    <w:p w:rsidRPr="00200347" w:rsidR="00E839C0" w:rsidRDefault="00E839C0" w14:paraId="032334B6" w14:textId="77777777">
      <w:pPr>
        <w:rPr>
          <w:rFonts w:ascii="Times New Roman" w:hAnsi="Times New Roman"/>
          <w:sz w:val="24"/>
          <w:szCs w:val="24"/>
        </w:rPr>
      </w:pPr>
    </w:p>
    <w:p w:rsidRPr="00200347" w:rsidR="00E839C0" w:rsidP="009F6C61" w:rsidRDefault="00E839C0" w14:paraId="78A9EF33" w14:textId="6F4B7B5E">
      <w:pPr>
        <w:ind w:firstLine="720"/>
        <w:rPr>
          <w:rFonts w:ascii="Times New Roman" w:hAnsi="Times New Roman"/>
          <w:sz w:val="24"/>
          <w:szCs w:val="24"/>
        </w:rPr>
      </w:pPr>
      <w:r w:rsidRPr="00200347">
        <w:rPr>
          <w:rFonts w:ascii="Times New Roman" w:hAnsi="Times New Roman"/>
          <w:sz w:val="24"/>
          <w:szCs w:val="24"/>
        </w:rPr>
        <w:t xml:space="preserve">This information collection provides the OCC with information needed to evaluate the effectiveness of </w:t>
      </w:r>
      <w:r w:rsidR="00BB3E3E">
        <w:rPr>
          <w:rFonts w:ascii="Times New Roman" w:hAnsi="Times New Roman"/>
          <w:sz w:val="24"/>
          <w:szCs w:val="24"/>
        </w:rPr>
        <w:t xml:space="preserve">its </w:t>
      </w:r>
      <w:r w:rsidRPr="00200347">
        <w:rPr>
          <w:rFonts w:ascii="Times New Roman" w:hAnsi="Times New Roman"/>
          <w:sz w:val="24"/>
          <w:szCs w:val="24"/>
        </w:rPr>
        <w:t>examination process</w:t>
      </w:r>
      <w:r w:rsidR="00BB3E3E">
        <w:rPr>
          <w:rFonts w:ascii="Times New Roman" w:hAnsi="Times New Roman"/>
          <w:sz w:val="24"/>
          <w:szCs w:val="24"/>
        </w:rPr>
        <w:t>es</w:t>
      </w:r>
      <w:r w:rsidRPr="00200347">
        <w:rPr>
          <w:rFonts w:ascii="Times New Roman" w:hAnsi="Times New Roman"/>
          <w:sz w:val="24"/>
          <w:szCs w:val="24"/>
        </w:rPr>
        <w:t>, overall supervision, and communication</w:t>
      </w:r>
      <w:r w:rsidR="00B003A7">
        <w:rPr>
          <w:rFonts w:ascii="Times New Roman" w:hAnsi="Times New Roman"/>
          <w:sz w:val="24"/>
          <w:szCs w:val="24"/>
        </w:rPr>
        <w:t xml:space="preserve"> with supervised institutions</w:t>
      </w:r>
      <w:r w:rsidRPr="00200347">
        <w:rPr>
          <w:rFonts w:ascii="Times New Roman" w:hAnsi="Times New Roman"/>
          <w:sz w:val="24"/>
          <w:szCs w:val="24"/>
        </w:rPr>
        <w:t xml:space="preserve">. </w:t>
      </w:r>
      <w:r w:rsidR="00664DFE">
        <w:rPr>
          <w:rFonts w:ascii="Times New Roman" w:hAnsi="Times New Roman"/>
          <w:sz w:val="24"/>
          <w:szCs w:val="24"/>
        </w:rPr>
        <w:t xml:space="preserve"> </w:t>
      </w:r>
      <w:r w:rsidR="007D7F2F">
        <w:rPr>
          <w:rFonts w:ascii="Times New Roman" w:hAnsi="Times New Roman"/>
          <w:sz w:val="24"/>
          <w:szCs w:val="24"/>
        </w:rPr>
        <w:t>T</w:t>
      </w:r>
      <w:r w:rsidRPr="00200347">
        <w:rPr>
          <w:rFonts w:ascii="Times New Roman" w:hAnsi="Times New Roman"/>
          <w:sz w:val="24"/>
          <w:szCs w:val="24"/>
        </w:rPr>
        <w:t xml:space="preserve">he </w:t>
      </w:r>
      <w:r w:rsidR="00857CFD">
        <w:rPr>
          <w:rFonts w:ascii="Times New Roman" w:hAnsi="Times New Roman"/>
          <w:sz w:val="24"/>
          <w:szCs w:val="24"/>
        </w:rPr>
        <w:t xml:space="preserve">OCC’s </w:t>
      </w:r>
      <w:r w:rsidRPr="00200347">
        <w:rPr>
          <w:rFonts w:ascii="Times New Roman" w:hAnsi="Times New Roman"/>
          <w:sz w:val="24"/>
          <w:szCs w:val="24"/>
        </w:rPr>
        <w:t>Office of the Ombudsman</w:t>
      </w:r>
      <w:r w:rsidR="00C72DD0">
        <w:rPr>
          <w:rFonts w:ascii="Times New Roman" w:hAnsi="Times New Roman"/>
          <w:sz w:val="24"/>
          <w:szCs w:val="24"/>
        </w:rPr>
        <w:t>, a division independent of the supervision lines of business,</w:t>
      </w:r>
      <w:r w:rsidR="00BB3E3E">
        <w:rPr>
          <w:rFonts w:ascii="Times New Roman" w:hAnsi="Times New Roman"/>
          <w:sz w:val="24"/>
          <w:szCs w:val="24"/>
        </w:rPr>
        <w:t xml:space="preserve"> </w:t>
      </w:r>
      <w:r w:rsidR="007D7F2F">
        <w:rPr>
          <w:rFonts w:ascii="Times New Roman" w:hAnsi="Times New Roman"/>
          <w:sz w:val="24"/>
          <w:szCs w:val="24"/>
        </w:rPr>
        <w:t>administer</w:t>
      </w:r>
      <w:r w:rsidR="00384394">
        <w:rPr>
          <w:rFonts w:ascii="Times New Roman" w:hAnsi="Times New Roman"/>
          <w:sz w:val="24"/>
          <w:szCs w:val="24"/>
        </w:rPr>
        <w:t>s</w:t>
      </w:r>
      <w:r w:rsidR="007D7F2F">
        <w:rPr>
          <w:rFonts w:ascii="Times New Roman" w:hAnsi="Times New Roman"/>
          <w:sz w:val="24"/>
          <w:szCs w:val="24"/>
        </w:rPr>
        <w:t xml:space="preserve"> the collection process to </w:t>
      </w:r>
      <w:r w:rsidRPr="00200347" w:rsidR="007D7F2F">
        <w:rPr>
          <w:rFonts w:ascii="Times New Roman" w:hAnsi="Times New Roman"/>
          <w:sz w:val="24"/>
          <w:szCs w:val="24"/>
        </w:rPr>
        <w:t xml:space="preserve">assure bankers of </w:t>
      </w:r>
      <w:r w:rsidR="007D7F2F">
        <w:rPr>
          <w:rFonts w:ascii="Times New Roman" w:hAnsi="Times New Roman"/>
          <w:sz w:val="24"/>
          <w:szCs w:val="24"/>
        </w:rPr>
        <w:t xml:space="preserve">the </w:t>
      </w:r>
      <w:r w:rsidRPr="00200347" w:rsidR="007D7F2F">
        <w:rPr>
          <w:rFonts w:ascii="Times New Roman" w:hAnsi="Times New Roman"/>
          <w:sz w:val="24"/>
          <w:szCs w:val="24"/>
        </w:rPr>
        <w:t>OCC’s interest in</w:t>
      </w:r>
      <w:r w:rsidR="007D7F2F">
        <w:rPr>
          <w:rFonts w:ascii="Times New Roman" w:hAnsi="Times New Roman"/>
          <w:sz w:val="24"/>
          <w:szCs w:val="24"/>
        </w:rPr>
        <w:t xml:space="preserve"> obtaining frank comments and alleviate concerns over retaliation or retribution</w:t>
      </w:r>
      <w:r w:rsidRPr="00200347">
        <w:rPr>
          <w:rFonts w:ascii="Times New Roman" w:hAnsi="Times New Roman"/>
          <w:sz w:val="24"/>
          <w:szCs w:val="24"/>
        </w:rPr>
        <w:t xml:space="preserve">. </w:t>
      </w:r>
      <w:r w:rsidR="00664DFE">
        <w:rPr>
          <w:rFonts w:ascii="Times New Roman" w:hAnsi="Times New Roman"/>
          <w:sz w:val="24"/>
          <w:szCs w:val="24"/>
        </w:rPr>
        <w:t xml:space="preserve"> </w:t>
      </w:r>
      <w:r w:rsidRPr="00200347">
        <w:rPr>
          <w:rFonts w:ascii="Times New Roman" w:hAnsi="Times New Roman"/>
          <w:sz w:val="24"/>
          <w:szCs w:val="24"/>
        </w:rPr>
        <w:t xml:space="preserve">The OCC Ombudsman promotes OCC/banker communications and resolves problems and conflicts.  </w:t>
      </w:r>
    </w:p>
    <w:p w:rsidRPr="00200347" w:rsidR="00E839C0" w:rsidRDefault="00E839C0" w14:paraId="2A4A6F00" w14:textId="77777777">
      <w:pPr>
        <w:rPr>
          <w:rFonts w:ascii="Times New Roman" w:hAnsi="Times New Roman"/>
          <w:sz w:val="24"/>
          <w:szCs w:val="24"/>
        </w:rPr>
      </w:pPr>
    </w:p>
    <w:p w:rsidR="00E839C0" w:rsidP="009F6C61" w:rsidRDefault="00BB3E3E" w14:paraId="04911AB6" w14:textId="1F1A21B6">
      <w:pPr>
        <w:ind w:firstLine="720"/>
        <w:rPr>
          <w:rFonts w:ascii="Times New Roman" w:hAnsi="Times New Roman"/>
          <w:sz w:val="24"/>
          <w:szCs w:val="24"/>
        </w:rPr>
      </w:pPr>
      <w:r>
        <w:rPr>
          <w:rFonts w:ascii="Times New Roman" w:hAnsi="Times New Roman"/>
          <w:sz w:val="24"/>
          <w:szCs w:val="24"/>
        </w:rPr>
        <w:t>The OCC provides e</w:t>
      </w:r>
      <w:r w:rsidRPr="00200347" w:rsidR="00E839C0">
        <w:rPr>
          <w:rFonts w:ascii="Times New Roman" w:hAnsi="Times New Roman"/>
          <w:sz w:val="24"/>
          <w:szCs w:val="24"/>
        </w:rPr>
        <w:t xml:space="preserve">ach </w:t>
      </w:r>
      <w:r w:rsidR="00EA22F4">
        <w:rPr>
          <w:rFonts w:ascii="Times New Roman" w:hAnsi="Times New Roman"/>
          <w:sz w:val="24"/>
          <w:szCs w:val="24"/>
        </w:rPr>
        <w:t xml:space="preserve">national </w:t>
      </w:r>
      <w:r w:rsidRPr="00200347" w:rsidR="00E839C0">
        <w:rPr>
          <w:rFonts w:ascii="Times New Roman" w:hAnsi="Times New Roman"/>
          <w:sz w:val="24"/>
          <w:szCs w:val="24"/>
        </w:rPr>
        <w:t>bank</w:t>
      </w:r>
      <w:r w:rsidR="004C162C">
        <w:rPr>
          <w:rFonts w:ascii="Times New Roman" w:hAnsi="Times New Roman"/>
          <w:sz w:val="24"/>
          <w:szCs w:val="24"/>
        </w:rPr>
        <w:t>,</w:t>
      </w:r>
      <w:r w:rsidR="00EA22F4">
        <w:rPr>
          <w:rFonts w:ascii="Times New Roman" w:hAnsi="Times New Roman"/>
          <w:sz w:val="24"/>
          <w:szCs w:val="24"/>
        </w:rPr>
        <w:t xml:space="preserve"> Federal savings association</w:t>
      </w:r>
      <w:r w:rsidR="004C162C">
        <w:rPr>
          <w:rFonts w:ascii="Times New Roman" w:hAnsi="Times New Roman"/>
          <w:sz w:val="24"/>
          <w:szCs w:val="24"/>
        </w:rPr>
        <w:t xml:space="preserve">, </w:t>
      </w:r>
      <w:r w:rsidR="00F32E79">
        <w:rPr>
          <w:rFonts w:ascii="Times New Roman" w:hAnsi="Times New Roman"/>
          <w:sz w:val="24"/>
          <w:szCs w:val="24"/>
        </w:rPr>
        <w:t>and</w:t>
      </w:r>
      <w:r w:rsidR="004C162C">
        <w:rPr>
          <w:rFonts w:ascii="Times New Roman" w:hAnsi="Times New Roman"/>
          <w:sz w:val="24"/>
          <w:szCs w:val="24"/>
        </w:rPr>
        <w:t xml:space="preserve"> </w:t>
      </w:r>
      <w:r w:rsidR="00D52CEE">
        <w:rPr>
          <w:rFonts w:ascii="Times New Roman" w:hAnsi="Times New Roman"/>
          <w:sz w:val="24"/>
          <w:szCs w:val="24"/>
        </w:rPr>
        <w:t>F</w:t>
      </w:r>
      <w:r w:rsidR="004C162C">
        <w:rPr>
          <w:rFonts w:ascii="Times New Roman" w:hAnsi="Times New Roman"/>
          <w:sz w:val="24"/>
          <w:szCs w:val="24"/>
        </w:rPr>
        <w:t>ederal branch or agency</w:t>
      </w:r>
      <w:r w:rsidR="00EA22F4">
        <w:rPr>
          <w:rFonts w:ascii="Times New Roman" w:hAnsi="Times New Roman"/>
          <w:sz w:val="24"/>
          <w:szCs w:val="24"/>
        </w:rPr>
        <w:t xml:space="preserve"> </w:t>
      </w:r>
      <w:r>
        <w:rPr>
          <w:rFonts w:ascii="Times New Roman" w:hAnsi="Times New Roman"/>
          <w:sz w:val="24"/>
          <w:szCs w:val="24"/>
        </w:rPr>
        <w:t>with</w:t>
      </w:r>
      <w:r w:rsidRPr="00200347" w:rsidR="00E839C0">
        <w:rPr>
          <w:rFonts w:ascii="Times New Roman" w:hAnsi="Times New Roman"/>
          <w:sz w:val="24"/>
          <w:szCs w:val="24"/>
        </w:rPr>
        <w:t xml:space="preserve"> an Examination </w:t>
      </w:r>
      <w:r w:rsidR="006D410A">
        <w:rPr>
          <w:rFonts w:ascii="Times New Roman" w:hAnsi="Times New Roman"/>
          <w:sz w:val="24"/>
          <w:szCs w:val="24"/>
        </w:rPr>
        <w:t>Survey</w:t>
      </w:r>
      <w:r w:rsidRPr="00200347" w:rsidR="00E539A0">
        <w:rPr>
          <w:rFonts w:ascii="Times New Roman" w:hAnsi="Times New Roman"/>
          <w:sz w:val="24"/>
          <w:szCs w:val="24"/>
        </w:rPr>
        <w:t xml:space="preserve"> </w:t>
      </w:r>
      <w:r w:rsidRPr="00200347" w:rsidR="00E839C0">
        <w:rPr>
          <w:rFonts w:ascii="Times New Roman" w:hAnsi="Times New Roman"/>
          <w:sz w:val="24"/>
          <w:szCs w:val="24"/>
        </w:rPr>
        <w:t xml:space="preserve">at the end of </w:t>
      </w:r>
      <w:r w:rsidR="007D7F2F">
        <w:rPr>
          <w:rFonts w:ascii="Times New Roman" w:hAnsi="Times New Roman"/>
          <w:sz w:val="24"/>
          <w:szCs w:val="24"/>
        </w:rPr>
        <w:t>its</w:t>
      </w:r>
      <w:r w:rsidRPr="00200347" w:rsidR="007D7F2F">
        <w:rPr>
          <w:rFonts w:ascii="Times New Roman" w:hAnsi="Times New Roman"/>
          <w:sz w:val="24"/>
          <w:szCs w:val="24"/>
        </w:rPr>
        <w:t xml:space="preserve"> </w:t>
      </w:r>
      <w:r w:rsidRPr="00200347" w:rsidR="00E839C0">
        <w:rPr>
          <w:rFonts w:ascii="Times New Roman" w:hAnsi="Times New Roman"/>
          <w:sz w:val="24"/>
          <w:szCs w:val="24"/>
        </w:rPr>
        <w:t>supervisory cycle (12</w:t>
      </w:r>
      <w:r w:rsidR="00516CB5">
        <w:rPr>
          <w:rFonts w:ascii="Times New Roman" w:hAnsi="Times New Roman"/>
          <w:sz w:val="24"/>
          <w:szCs w:val="24"/>
        </w:rPr>
        <w:t>-</w:t>
      </w:r>
      <w:r w:rsidRPr="00200347" w:rsidR="00E839C0">
        <w:rPr>
          <w:rFonts w:ascii="Times New Roman" w:hAnsi="Times New Roman"/>
          <w:sz w:val="24"/>
          <w:szCs w:val="24"/>
        </w:rPr>
        <w:t xml:space="preserve"> or </w:t>
      </w:r>
      <w:r w:rsidRPr="00200347" w:rsidR="00B144BD">
        <w:rPr>
          <w:rFonts w:ascii="Times New Roman" w:hAnsi="Times New Roman"/>
          <w:sz w:val="24"/>
          <w:szCs w:val="24"/>
        </w:rPr>
        <w:t>18-month</w:t>
      </w:r>
      <w:r w:rsidRPr="00200347" w:rsidR="00E839C0">
        <w:rPr>
          <w:rFonts w:ascii="Times New Roman" w:hAnsi="Times New Roman"/>
          <w:sz w:val="24"/>
          <w:szCs w:val="24"/>
        </w:rPr>
        <w:t xml:space="preserve"> period). </w:t>
      </w:r>
      <w:r w:rsidR="00664DFE">
        <w:rPr>
          <w:rFonts w:ascii="Times New Roman" w:hAnsi="Times New Roman"/>
          <w:sz w:val="24"/>
          <w:szCs w:val="24"/>
        </w:rPr>
        <w:t xml:space="preserve"> </w:t>
      </w:r>
      <w:r w:rsidRPr="00200347" w:rsidR="00E839C0">
        <w:rPr>
          <w:rFonts w:ascii="Times New Roman" w:hAnsi="Times New Roman"/>
          <w:sz w:val="24"/>
          <w:szCs w:val="24"/>
        </w:rPr>
        <w:t>This information collection permits banks to assess the OCC’s bank supervisory activities, including the:</w:t>
      </w:r>
    </w:p>
    <w:p w:rsidRPr="00200347" w:rsidR="000344C0" w:rsidRDefault="000344C0" w14:paraId="4DBA6513" w14:textId="77777777">
      <w:pPr>
        <w:rPr>
          <w:rFonts w:ascii="Times New Roman" w:hAnsi="Times New Roman"/>
          <w:sz w:val="24"/>
          <w:szCs w:val="24"/>
        </w:rPr>
      </w:pPr>
    </w:p>
    <w:p w:rsidRPr="00200347" w:rsidR="00E839C0" w:rsidRDefault="00E839C0" w14:paraId="02C46325" w14:textId="77777777">
      <w:pPr>
        <w:numPr>
          <w:ilvl w:val="0"/>
          <w:numId w:val="17"/>
        </w:numPr>
        <w:rPr>
          <w:rFonts w:ascii="Times New Roman" w:hAnsi="Times New Roman"/>
          <w:sz w:val="24"/>
          <w:szCs w:val="24"/>
        </w:rPr>
      </w:pPr>
      <w:r w:rsidRPr="00200347">
        <w:rPr>
          <w:rFonts w:ascii="Times New Roman" w:hAnsi="Times New Roman"/>
          <w:sz w:val="24"/>
          <w:szCs w:val="24"/>
        </w:rPr>
        <w:t>Effectiveness of OCC communications with the bank;</w:t>
      </w:r>
    </w:p>
    <w:p w:rsidRPr="00200347" w:rsidR="00E839C0" w:rsidRDefault="00E839C0" w14:paraId="431C42BB" w14:textId="77777777">
      <w:pPr>
        <w:numPr>
          <w:ilvl w:val="0"/>
          <w:numId w:val="17"/>
        </w:numPr>
        <w:rPr>
          <w:rFonts w:ascii="Times New Roman" w:hAnsi="Times New Roman"/>
          <w:sz w:val="24"/>
          <w:szCs w:val="24"/>
        </w:rPr>
      </w:pPr>
      <w:r w:rsidRPr="00200347">
        <w:rPr>
          <w:rFonts w:ascii="Times New Roman" w:hAnsi="Times New Roman"/>
          <w:sz w:val="24"/>
          <w:szCs w:val="24"/>
        </w:rPr>
        <w:t xml:space="preserve">Reasonableness of </w:t>
      </w:r>
      <w:r w:rsidR="001B3FBF">
        <w:rPr>
          <w:rFonts w:ascii="Times New Roman" w:hAnsi="Times New Roman"/>
          <w:sz w:val="24"/>
          <w:szCs w:val="24"/>
        </w:rPr>
        <w:t xml:space="preserve">OCC </w:t>
      </w:r>
      <w:r w:rsidRPr="00200347">
        <w:rPr>
          <w:rFonts w:ascii="Times New Roman" w:hAnsi="Times New Roman"/>
          <w:sz w:val="24"/>
          <w:szCs w:val="24"/>
        </w:rPr>
        <w:t>requests for data and information;</w:t>
      </w:r>
    </w:p>
    <w:p w:rsidRPr="00200347" w:rsidR="00E839C0" w:rsidRDefault="00E839C0" w14:paraId="2E38D3EF" w14:textId="77777777">
      <w:pPr>
        <w:numPr>
          <w:ilvl w:val="0"/>
          <w:numId w:val="17"/>
        </w:numPr>
        <w:rPr>
          <w:rFonts w:ascii="Times New Roman" w:hAnsi="Times New Roman"/>
          <w:sz w:val="24"/>
          <w:szCs w:val="24"/>
        </w:rPr>
      </w:pPr>
      <w:r w:rsidRPr="00200347">
        <w:rPr>
          <w:rFonts w:ascii="Times New Roman" w:hAnsi="Times New Roman"/>
          <w:sz w:val="24"/>
          <w:szCs w:val="24"/>
        </w:rPr>
        <w:t>Quality of OCC decision making during the exam process;</w:t>
      </w:r>
    </w:p>
    <w:p w:rsidRPr="00200347" w:rsidR="00E839C0" w:rsidRDefault="00E839C0" w14:paraId="552733B1" w14:textId="77777777">
      <w:pPr>
        <w:numPr>
          <w:ilvl w:val="0"/>
          <w:numId w:val="17"/>
        </w:numPr>
        <w:rPr>
          <w:rFonts w:ascii="Times New Roman" w:hAnsi="Times New Roman"/>
          <w:sz w:val="24"/>
          <w:szCs w:val="24"/>
        </w:rPr>
      </w:pPr>
      <w:r w:rsidRPr="00200347">
        <w:rPr>
          <w:rFonts w:ascii="Times New Roman" w:hAnsi="Times New Roman"/>
          <w:sz w:val="24"/>
          <w:szCs w:val="24"/>
        </w:rPr>
        <w:t>Professionalism of OCC examining staff; and</w:t>
      </w:r>
    </w:p>
    <w:p w:rsidRPr="00200347" w:rsidR="00E839C0" w:rsidRDefault="001B3FBF" w14:paraId="5BF6EC29" w14:textId="77777777">
      <w:pPr>
        <w:numPr>
          <w:ilvl w:val="0"/>
          <w:numId w:val="17"/>
        </w:numPr>
        <w:rPr>
          <w:rFonts w:ascii="Times New Roman" w:hAnsi="Times New Roman"/>
          <w:sz w:val="24"/>
          <w:szCs w:val="24"/>
        </w:rPr>
      </w:pPr>
      <w:r>
        <w:rPr>
          <w:rFonts w:ascii="Times New Roman" w:hAnsi="Times New Roman"/>
          <w:sz w:val="24"/>
          <w:szCs w:val="24"/>
        </w:rPr>
        <w:t>R</w:t>
      </w:r>
      <w:r w:rsidR="00BB3E3E">
        <w:rPr>
          <w:rFonts w:ascii="Times New Roman" w:hAnsi="Times New Roman"/>
          <w:sz w:val="24"/>
          <w:szCs w:val="24"/>
        </w:rPr>
        <w:t xml:space="preserve">esponsiveness of </w:t>
      </w:r>
      <w:r w:rsidRPr="00200347" w:rsidR="00E839C0">
        <w:rPr>
          <w:rFonts w:ascii="Times New Roman" w:hAnsi="Times New Roman"/>
          <w:sz w:val="24"/>
          <w:szCs w:val="24"/>
        </w:rPr>
        <w:t>OCC examiner</w:t>
      </w:r>
      <w:r w:rsidR="00BB3E3E">
        <w:rPr>
          <w:rFonts w:ascii="Times New Roman" w:hAnsi="Times New Roman"/>
          <w:sz w:val="24"/>
          <w:szCs w:val="24"/>
        </w:rPr>
        <w:t>s</w:t>
      </w:r>
      <w:r w:rsidRPr="00200347" w:rsidR="00E839C0">
        <w:rPr>
          <w:rFonts w:ascii="Times New Roman" w:hAnsi="Times New Roman"/>
          <w:sz w:val="24"/>
          <w:szCs w:val="24"/>
        </w:rPr>
        <w:t>.</w:t>
      </w:r>
    </w:p>
    <w:p w:rsidR="00AD1AE8" w:rsidRDefault="00AD1AE8" w14:paraId="1638DCE4" w14:textId="77777777">
      <w:pPr>
        <w:rPr>
          <w:rFonts w:ascii="Times New Roman" w:hAnsi="Times New Roman"/>
          <w:sz w:val="24"/>
          <w:szCs w:val="24"/>
        </w:rPr>
      </w:pPr>
    </w:p>
    <w:p w:rsidR="00E839C0" w:rsidP="009F6C61" w:rsidRDefault="00E839C0" w14:paraId="1E7EDCD0" w14:textId="488C0534">
      <w:pPr>
        <w:ind w:firstLine="720"/>
        <w:rPr>
          <w:rFonts w:ascii="Times New Roman" w:hAnsi="Times New Roman"/>
          <w:sz w:val="24"/>
          <w:szCs w:val="24"/>
        </w:rPr>
      </w:pPr>
      <w:r w:rsidRPr="00200347">
        <w:rPr>
          <w:rFonts w:ascii="Times New Roman" w:hAnsi="Times New Roman"/>
          <w:sz w:val="24"/>
          <w:szCs w:val="24"/>
        </w:rPr>
        <w:t xml:space="preserve">This information collection continues to formalize and promote a long-standing OCC program. </w:t>
      </w:r>
      <w:r w:rsidR="00664DFE">
        <w:rPr>
          <w:rFonts w:ascii="Times New Roman" w:hAnsi="Times New Roman"/>
          <w:sz w:val="24"/>
          <w:szCs w:val="24"/>
        </w:rPr>
        <w:t xml:space="preserve"> </w:t>
      </w:r>
      <w:r w:rsidRPr="00200347">
        <w:rPr>
          <w:rFonts w:ascii="Times New Roman" w:hAnsi="Times New Roman"/>
          <w:sz w:val="24"/>
          <w:szCs w:val="24"/>
        </w:rPr>
        <w:t xml:space="preserve">The OCC </w:t>
      </w:r>
      <w:r w:rsidR="00EA22F4">
        <w:rPr>
          <w:rFonts w:ascii="Times New Roman" w:hAnsi="Times New Roman"/>
          <w:sz w:val="24"/>
          <w:szCs w:val="24"/>
        </w:rPr>
        <w:t xml:space="preserve">always </w:t>
      </w:r>
      <w:r w:rsidRPr="00200347">
        <w:rPr>
          <w:rFonts w:ascii="Times New Roman" w:hAnsi="Times New Roman"/>
          <w:sz w:val="24"/>
          <w:szCs w:val="24"/>
        </w:rPr>
        <w:t xml:space="preserve">has </w:t>
      </w:r>
      <w:r w:rsidR="00EA22F4">
        <w:rPr>
          <w:rFonts w:ascii="Times New Roman" w:hAnsi="Times New Roman"/>
          <w:sz w:val="24"/>
          <w:szCs w:val="24"/>
        </w:rPr>
        <w:t xml:space="preserve">given the institutions it supervises </w:t>
      </w:r>
      <w:r w:rsidRPr="00200347">
        <w:rPr>
          <w:rFonts w:ascii="Times New Roman" w:hAnsi="Times New Roman"/>
          <w:sz w:val="24"/>
          <w:szCs w:val="24"/>
        </w:rPr>
        <w:t xml:space="preserve">the opportunity to provide input regarding the examination process.  </w:t>
      </w:r>
    </w:p>
    <w:p w:rsidRPr="00200347" w:rsidR="00E839C0" w:rsidRDefault="00E839C0" w14:paraId="03E9E411" w14:textId="77777777">
      <w:pPr>
        <w:rPr>
          <w:rFonts w:ascii="Times New Roman" w:hAnsi="Times New Roman"/>
          <w:sz w:val="24"/>
          <w:szCs w:val="24"/>
        </w:rPr>
      </w:pPr>
    </w:p>
    <w:p w:rsidR="00E839C0" w:rsidRDefault="00E839C0" w14:paraId="3EDF251C" w14:textId="5B85C1BB">
      <w:pPr>
        <w:rPr>
          <w:rFonts w:ascii="Times New Roman" w:hAnsi="Times New Roman"/>
          <w:b/>
          <w:i/>
          <w:sz w:val="24"/>
          <w:szCs w:val="24"/>
        </w:rPr>
      </w:pPr>
      <w:r w:rsidRPr="001347B7">
        <w:rPr>
          <w:rFonts w:ascii="Times New Roman" w:hAnsi="Times New Roman"/>
          <w:b/>
          <w:i/>
          <w:sz w:val="24"/>
          <w:szCs w:val="24"/>
        </w:rPr>
        <w:t>2.  Use of the information:</w:t>
      </w:r>
    </w:p>
    <w:p w:rsidRPr="001347B7" w:rsidR="004C162C" w:rsidRDefault="004C162C" w14:paraId="35661ABF" w14:textId="77777777">
      <w:pPr>
        <w:rPr>
          <w:rFonts w:ascii="Times New Roman" w:hAnsi="Times New Roman"/>
          <w:b/>
          <w:i/>
          <w:sz w:val="24"/>
          <w:szCs w:val="24"/>
        </w:rPr>
      </w:pPr>
    </w:p>
    <w:p w:rsidRPr="00200347" w:rsidR="004C162C" w:rsidP="004C162C" w:rsidRDefault="004C162C" w14:paraId="088D8ED9" w14:textId="3EB07DAC">
      <w:pPr>
        <w:ind w:firstLine="720"/>
        <w:rPr>
          <w:rFonts w:ascii="Times New Roman" w:hAnsi="Times New Roman"/>
          <w:sz w:val="24"/>
          <w:szCs w:val="24"/>
        </w:rPr>
      </w:pPr>
      <w:r w:rsidRPr="00200347">
        <w:rPr>
          <w:rFonts w:ascii="Times New Roman" w:hAnsi="Times New Roman"/>
          <w:sz w:val="24"/>
          <w:szCs w:val="24"/>
        </w:rPr>
        <w:t xml:space="preserve">The </w:t>
      </w:r>
      <w:r>
        <w:rPr>
          <w:rFonts w:ascii="Times New Roman" w:hAnsi="Times New Roman"/>
          <w:sz w:val="24"/>
          <w:szCs w:val="24"/>
        </w:rPr>
        <w:t xml:space="preserve">OCC developed the </w:t>
      </w:r>
      <w:r w:rsidR="006D410A">
        <w:rPr>
          <w:rFonts w:ascii="Times New Roman" w:hAnsi="Times New Roman"/>
          <w:sz w:val="24"/>
          <w:szCs w:val="24"/>
        </w:rPr>
        <w:t>survey</w:t>
      </w:r>
      <w:r w:rsidRPr="00200347" w:rsidR="00E539A0">
        <w:rPr>
          <w:rFonts w:ascii="Times New Roman" w:hAnsi="Times New Roman"/>
          <w:sz w:val="24"/>
          <w:szCs w:val="24"/>
        </w:rPr>
        <w:t xml:space="preserve"> </w:t>
      </w:r>
      <w:r w:rsidRPr="00200347">
        <w:rPr>
          <w:rFonts w:ascii="Times New Roman" w:hAnsi="Times New Roman"/>
          <w:sz w:val="24"/>
          <w:szCs w:val="24"/>
        </w:rPr>
        <w:t xml:space="preserve">at the suggestion of </w:t>
      </w:r>
      <w:r>
        <w:rPr>
          <w:rFonts w:ascii="Times New Roman" w:hAnsi="Times New Roman"/>
          <w:sz w:val="24"/>
          <w:szCs w:val="24"/>
        </w:rPr>
        <w:t>members of the</w:t>
      </w:r>
      <w:r w:rsidRPr="00200347">
        <w:rPr>
          <w:rFonts w:ascii="Times New Roman" w:hAnsi="Times New Roman"/>
          <w:sz w:val="24"/>
          <w:szCs w:val="24"/>
        </w:rPr>
        <w:t xml:space="preserve"> banking industry </w:t>
      </w:r>
      <w:r>
        <w:rPr>
          <w:rFonts w:ascii="Times New Roman" w:hAnsi="Times New Roman"/>
          <w:sz w:val="24"/>
          <w:szCs w:val="24"/>
        </w:rPr>
        <w:t>who</w:t>
      </w:r>
      <w:r w:rsidRPr="00200347">
        <w:rPr>
          <w:rFonts w:ascii="Times New Roman" w:hAnsi="Times New Roman"/>
          <w:sz w:val="24"/>
          <w:szCs w:val="24"/>
        </w:rPr>
        <w:t xml:space="preserve"> expressed a </w:t>
      </w:r>
      <w:r>
        <w:rPr>
          <w:rFonts w:ascii="Times New Roman" w:hAnsi="Times New Roman"/>
          <w:sz w:val="24"/>
          <w:szCs w:val="24"/>
        </w:rPr>
        <w:t xml:space="preserve">desire </w:t>
      </w:r>
      <w:r w:rsidRPr="00200347">
        <w:rPr>
          <w:rFonts w:ascii="Times New Roman" w:hAnsi="Times New Roman"/>
          <w:sz w:val="24"/>
          <w:szCs w:val="24"/>
        </w:rPr>
        <w:t xml:space="preserve">to provide examination-related feedback. </w:t>
      </w:r>
      <w:r w:rsidR="00664DFE">
        <w:rPr>
          <w:rFonts w:ascii="Times New Roman" w:hAnsi="Times New Roman"/>
          <w:sz w:val="24"/>
          <w:szCs w:val="24"/>
        </w:rPr>
        <w:t xml:space="preserve"> </w:t>
      </w:r>
      <w:r w:rsidRPr="00200347">
        <w:rPr>
          <w:rFonts w:ascii="Times New Roman" w:hAnsi="Times New Roman"/>
          <w:sz w:val="24"/>
          <w:szCs w:val="24"/>
        </w:rPr>
        <w:t xml:space="preserve">The Comptroller and OCC </w:t>
      </w:r>
      <w:r>
        <w:rPr>
          <w:rFonts w:ascii="Times New Roman" w:hAnsi="Times New Roman"/>
          <w:sz w:val="24"/>
          <w:szCs w:val="24"/>
        </w:rPr>
        <w:t>s</w:t>
      </w:r>
      <w:r w:rsidRPr="00200347">
        <w:rPr>
          <w:rFonts w:ascii="Times New Roman" w:hAnsi="Times New Roman"/>
          <w:sz w:val="24"/>
          <w:szCs w:val="24"/>
        </w:rPr>
        <w:t xml:space="preserve">upervisory </w:t>
      </w:r>
      <w:r>
        <w:rPr>
          <w:rFonts w:ascii="Times New Roman" w:hAnsi="Times New Roman"/>
          <w:sz w:val="24"/>
          <w:szCs w:val="24"/>
        </w:rPr>
        <w:t>s</w:t>
      </w:r>
      <w:r w:rsidRPr="00200347">
        <w:rPr>
          <w:rFonts w:ascii="Times New Roman" w:hAnsi="Times New Roman"/>
          <w:sz w:val="24"/>
          <w:szCs w:val="24"/>
        </w:rPr>
        <w:t xml:space="preserve">taff considered that </w:t>
      </w:r>
      <w:r>
        <w:rPr>
          <w:rFonts w:ascii="Times New Roman" w:hAnsi="Times New Roman"/>
          <w:sz w:val="24"/>
          <w:szCs w:val="24"/>
        </w:rPr>
        <w:t>suggestion</w:t>
      </w:r>
      <w:r w:rsidRPr="00200347">
        <w:rPr>
          <w:rFonts w:ascii="Times New Roman" w:hAnsi="Times New Roman"/>
          <w:sz w:val="24"/>
          <w:szCs w:val="24"/>
        </w:rPr>
        <w:t xml:space="preserve"> and concurred.  Further, the Comptroller and OCC </w:t>
      </w:r>
      <w:r>
        <w:rPr>
          <w:rFonts w:ascii="Times New Roman" w:hAnsi="Times New Roman"/>
          <w:sz w:val="24"/>
          <w:szCs w:val="24"/>
        </w:rPr>
        <w:t>s</w:t>
      </w:r>
      <w:r w:rsidRPr="00200347">
        <w:rPr>
          <w:rFonts w:ascii="Times New Roman" w:hAnsi="Times New Roman"/>
          <w:sz w:val="24"/>
          <w:szCs w:val="24"/>
        </w:rPr>
        <w:t xml:space="preserve">upervisory </w:t>
      </w:r>
      <w:r>
        <w:rPr>
          <w:rFonts w:ascii="Times New Roman" w:hAnsi="Times New Roman"/>
          <w:sz w:val="24"/>
          <w:szCs w:val="24"/>
        </w:rPr>
        <w:t>s</w:t>
      </w:r>
      <w:r w:rsidRPr="00200347">
        <w:rPr>
          <w:rFonts w:ascii="Times New Roman" w:hAnsi="Times New Roman"/>
          <w:sz w:val="24"/>
          <w:szCs w:val="24"/>
        </w:rPr>
        <w:t xml:space="preserve">taff find this information collection to be an important tool for measuring OCC examination performance, designing more efficient and effective examinations, and targeting examiner training.  </w:t>
      </w:r>
    </w:p>
    <w:p w:rsidRPr="00200347" w:rsidR="00E839C0" w:rsidRDefault="00E839C0" w14:paraId="119F8136" w14:textId="77777777">
      <w:pPr>
        <w:rPr>
          <w:rFonts w:ascii="Times New Roman" w:hAnsi="Times New Roman"/>
          <w:sz w:val="24"/>
          <w:szCs w:val="24"/>
        </w:rPr>
      </w:pPr>
    </w:p>
    <w:p w:rsidRPr="00200347" w:rsidR="00E839C0" w:rsidP="009F6C61" w:rsidRDefault="00E839C0" w14:paraId="2F2CA685" w14:textId="7BF8E41B">
      <w:pPr>
        <w:ind w:firstLine="720"/>
        <w:rPr>
          <w:rFonts w:ascii="Times New Roman" w:hAnsi="Times New Roman"/>
          <w:sz w:val="24"/>
          <w:szCs w:val="24"/>
        </w:rPr>
      </w:pPr>
      <w:r w:rsidRPr="00200347">
        <w:rPr>
          <w:rFonts w:ascii="Times New Roman" w:hAnsi="Times New Roman"/>
          <w:sz w:val="24"/>
          <w:szCs w:val="24"/>
        </w:rPr>
        <w:t xml:space="preserve">The OCC Ombudsman follows up </w:t>
      </w:r>
      <w:r w:rsidR="00D973D0">
        <w:rPr>
          <w:rFonts w:ascii="Times New Roman" w:hAnsi="Times New Roman"/>
          <w:sz w:val="24"/>
          <w:szCs w:val="24"/>
        </w:rPr>
        <w:t xml:space="preserve">on </w:t>
      </w:r>
      <w:r w:rsidRPr="00200347">
        <w:rPr>
          <w:rFonts w:ascii="Times New Roman" w:hAnsi="Times New Roman"/>
          <w:sz w:val="24"/>
          <w:szCs w:val="24"/>
        </w:rPr>
        <w:t xml:space="preserve">any significant issues raised, whether they pertain to examination procedures, practices, or personnel. </w:t>
      </w:r>
      <w:r w:rsidR="00664DFE">
        <w:rPr>
          <w:rFonts w:ascii="Times New Roman" w:hAnsi="Times New Roman"/>
          <w:sz w:val="24"/>
          <w:szCs w:val="24"/>
        </w:rPr>
        <w:t xml:space="preserve"> </w:t>
      </w:r>
      <w:r w:rsidRPr="00200347">
        <w:rPr>
          <w:rFonts w:ascii="Times New Roman" w:hAnsi="Times New Roman"/>
          <w:sz w:val="24"/>
          <w:szCs w:val="24"/>
        </w:rPr>
        <w:t xml:space="preserve">The OCC created the Ombudsman position specifically to resolve </w:t>
      </w:r>
      <w:r w:rsidR="00F32E79">
        <w:rPr>
          <w:rFonts w:ascii="Times New Roman" w:hAnsi="Times New Roman"/>
          <w:sz w:val="24"/>
          <w:szCs w:val="24"/>
        </w:rPr>
        <w:t>these types of issues.</w:t>
      </w:r>
      <w:r w:rsidR="00664DFE">
        <w:rPr>
          <w:rFonts w:ascii="Times New Roman" w:hAnsi="Times New Roman"/>
          <w:sz w:val="24"/>
          <w:szCs w:val="24"/>
        </w:rPr>
        <w:t xml:space="preserve"> </w:t>
      </w:r>
      <w:r w:rsidR="00F32E79">
        <w:rPr>
          <w:rFonts w:ascii="Times New Roman" w:hAnsi="Times New Roman"/>
          <w:sz w:val="24"/>
          <w:szCs w:val="24"/>
        </w:rPr>
        <w:t xml:space="preserve"> </w:t>
      </w:r>
      <w:r w:rsidRPr="00200347">
        <w:rPr>
          <w:rFonts w:ascii="Times New Roman" w:hAnsi="Times New Roman"/>
          <w:sz w:val="24"/>
          <w:szCs w:val="24"/>
        </w:rPr>
        <w:t>The OCC Ombudsman regularly performs these tasks</w:t>
      </w:r>
      <w:r w:rsidR="003E3D91">
        <w:rPr>
          <w:rFonts w:ascii="Times New Roman" w:hAnsi="Times New Roman"/>
          <w:sz w:val="24"/>
          <w:szCs w:val="24"/>
        </w:rPr>
        <w:t>.</w:t>
      </w:r>
    </w:p>
    <w:p w:rsidRPr="00200347" w:rsidR="00E839C0" w:rsidRDefault="00E839C0" w14:paraId="5EFD151B" w14:textId="77777777">
      <w:pPr>
        <w:rPr>
          <w:rFonts w:ascii="Times New Roman" w:hAnsi="Times New Roman"/>
          <w:sz w:val="24"/>
          <w:szCs w:val="24"/>
        </w:rPr>
      </w:pPr>
    </w:p>
    <w:p w:rsidRPr="00200347" w:rsidR="00E839C0" w:rsidP="009F6C61" w:rsidRDefault="00E839C0" w14:paraId="2E1F9004" w14:textId="37DC3291">
      <w:pPr>
        <w:ind w:firstLine="720"/>
        <w:rPr>
          <w:rFonts w:ascii="Times New Roman" w:hAnsi="Times New Roman"/>
          <w:sz w:val="24"/>
          <w:szCs w:val="24"/>
        </w:rPr>
      </w:pPr>
      <w:r w:rsidRPr="00200347">
        <w:rPr>
          <w:rFonts w:ascii="Times New Roman" w:hAnsi="Times New Roman"/>
          <w:sz w:val="24"/>
          <w:szCs w:val="24"/>
        </w:rPr>
        <w:lastRenderedPageBreak/>
        <w:t xml:space="preserve">The OCC Ombudsman and staff receive and process the information </w:t>
      </w:r>
      <w:r w:rsidR="00F32E79">
        <w:rPr>
          <w:rFonts w:ascii="Times New Roman" w:hAnsi="Times New Roman"/>
          <w:sz w:val="24"/>
          <w:szCs w:val="24"/>
        </w:rPr>
        <w:t xml:space="preserve">submitted </w:t>
      </w:r>
      <w:r w:rsidR="009F13AD">
        <w:rPr>
          <w:rFonts w:ascii="Times New Roman" w:hAnsi="Times New Roman"/>
          <w:sz w:val="24"/>
          <w:szCs w:val="24"/>
        </w:rPr>
        <w:t>but</w:t>
      </w:r>
      <w:r w:rsidR="00F32E79">
        <w:rPr>
          <w:rFonts w:ascii="Times New Roman" w:hAnsi="Times New Roman"/>
          <w:sz w:val="24"/>
          <w:szCs w:val="24"/>
        </w:rPr>
        <w:t xml:space="preserve"> do</w:t>
      </w:r>
      <w:r w:rsidRPr="00200347">
        <w:rPr>
          <w:rFonts w:ascii="Times New Roman" w:hAnsi="Times New Roman"/>
          <w:sz w:val="24"/>
          <w:szCs w:val="24"/>
        </w:rPr>
        <w:t xml:space="preserve"> not release information on individual banks</w:t>
      </w:r>
      <w:r w:rsidR="00B003A7">
        <w:rPr>
          <w:rFonts w:ascii="Times New Roman" w:hAnsi="Times New Roman"/>
          <w:sz w:val="24"/>
          <w:szCs w:val="24"/>
        </w:rPr>
        <w:t xml:space="preserve">, </w:t>
      </w:r>
      <w:r w:rsidR="00F52C1B">
        <w:rPr>
          <w:rFonts w:ascii="Times New Roman" w:hAnsi="Times New Roman"/>
          <w:sz w:val="24"/>
          <w:szCs w:val="24"/>
        </w:rPr>
        <w:t>with other lines of business within the OCC</w:t>
      </w:r>
      <w:r w:rsidR="00B003A7">
        <w:rPr>
          <w:rFonts w:ascii="Times New Roman" w:hAnsi="Times New Roman"/>
          <w:sz w:val="24"/>
          <w:szCs w:val="24"/>
        </w:rPr>
        <w:t xml:space="preserve"> or publicly</w:t>
      </w:r>
      <w:r w:rsidRPr="00200347">
        <w:rPr>
          <w:rFonts w:ascii="Times New Roman" w:hAnsi="Times New Roman"/>
          <w:sz w:val="24"/>
          <w:szCs w:val="24"/>
        </w:rPr>
        <w:t>.</w:t>
      </w:r>
      <w:r w:rsidR="00664DFE">
        <w:rPr>
          <w:rFonts w:ascii="Times New Roman" w:hAnsi="Times New Roman"/>
          <w:sz w:val="24"/>
          <w:szCs w:val="24"/>
        </w:rPr>
        <w:t xml:space="preserve"> </w:t>
      </w:r>
      <w:r w:rsidRPr="00200347">
        <w:rPr>
          <w:rFonts w:ascii="Times New Roman" w:hAnsi="Times New Roman"/>
          <w:sz w:val="24"/>
          <w:szCs w:val="24"/>
        </w:rPr>
        <w:t xml:space="preserve"> </w:t>
      </w:r>
      <w:r w:rsidR="00384394">
        <w:rPr>
          <w:rFonts w:ascii="Times New Roman" w:hAnsi="Times New Roman"/>
          <w:sz w:val="24"/>
          <w:szCs w:val="24"/>
        </w:rPr>
        <w:t>T</w:t>
      </w:r>
      <w:r w:rsidRPr="00200347">
        <w:rPr>
          <w:rFonts w:ascii="Times New Roman" w:hAnsi="Times New Roman"/>
          <w:sz w:val="24"/>
          <w:szCs w:val="24"/>
        </w:rPr>
        <w:t>he Senior Deputy Comptroller for Mid-size/Community Bank Supervision, the Senior Deputy Comptroller for Large Bank Supervision, and the Chief National Bank Examiner</w:t>
      </w:r>
      <w:r w:rsidR="00384394">
        <w:rPr>
          <w:rFonts w:ascii="Times New Roman" w:hAnsi="Times New Roman"/>
          <w:sz w:val="24"/>
          <w:szCs w:val="24"/>
        </w:rPr>
        <w:t xml:space="preserve"> </w:t>
      </w:r>
      <w:r w:rsidR="00F32E79">
        <w:rPr>
          <w:rFonts w:ascii="Times New Roman" w:hAnsi="Times New Roman"/>
          <w:sz w:val="24"/>
          <w:szCs w:val="24"/>
        </w:rPr>
        <w:t xml:space="preserve">are the </w:t>
      </w:r>
      <w:r w:rsidR="00384394">
        <w:rPr>
          <w:rFonts w:ascii="Times New Roman" w:hAnsi="Times New Roman"/>
          <w:sz w:val="24"/>
          <w:szCs w:val="24"/>
        </w:rPr>
        <w:t>primary use</w:t>
      </w:r>
      <w:r w:rsidR="00F32E79">
        <w:rPr>
          <w:rFonts w:ascii="Times New Roman" w:hAnsi="Times New Roman"/>
          <w:sz w:val="24"/>
          <w:szCs w:val="24"/>
        </w:rPr>
        <w:t>rs of</w:t>
      </w:r>
      <w:r w:rsidR="00384394">
        <w:rPr>
          <w:rFonts w:ascii="Times New Roman" w:hAnsi="Times New Roman"/>
          <w:sz w:val="24"/>
          <w:szCs w:val="24"/>
        </w:rPr>
        <w:t xml:space="preserve"> this information</w:t>
      </w:r>
      <w:r w:rsidRPr="00200347">
        <w:rPr>
          <w:rFonts w:ascii="Times New Roman" w:hAnsi="Times New Roman"/>
          <w:sz w:val="24"/>
          <w:szCs w:val="24"/>
        </w:rPr>
        <w:t>.</w:t>
      </w:r>
    </w:p>
    <w:p w:rsidRPr="00200347" w:rsidR="00E839C0" w:rsidRDefault="00E839C0" w14:paraId="0BE4AFD0" w14:textId="77777777">
      <w:pPr>
        <w:rPr>
          <w:rFonts w:ascii="Times New Roman" w:hAnsi="Times New Roman"/>
          <w:sz w:val="24"/>
          <w:szCs w:val="24"/>
        </w:rPr>
      </w:pPr>
    </w:p>
    <w:p w:rsidRPr="00A77FDF" w:rsidR="00E839C0" w:rsidRDefault="00E839C0" w14:paraId="5F39878B" w14:textId="77777777">
      <w:pPr>
        <w:rPr>
          <w:rFonts w:ascii="Times New Roman" w:hAnsi="Times New Roman"/>
          <w:b/>
          <w:i/>
          <w:sz w:val="24"/>
          <w:szCs w:val="24"/>
        </w:rPr>
      </w:pPr>
      <w:r w:rsidRPr="00A77FDF">
        <w:rPr>
          <w:rFonts w:ascii="Times New Roman" w:hAnsi="Times New Roman"/>
          <w:b/>
          <w:i/>
          <w:sz w:val="24"/>
          <w:szCs w:val="24"/>
        </w:rPr>
        <w:t>3.  Consideration of the use of improved information technology:</w:t>
      </w:r>
    </w:p>
    <w:p w:rsidRPr="00200347" w:rsidR="00193C82" w:rsidRDefault="00193C82" w14:paraId="3D11B630" w14:textId="77777777">
      <w:pPr>
        <w:rPr>
          <w:rFonts w:ascii="Times New Roman" w:hAnsi="Times New Roman"/>
          <w:sz w:val="24"/>
          <w:szCs w:val="24"/>
        </w:rPr>
      </w:pPr>
    </w:p>
    <w:p w:rsidRPr="007E375C" w:rsidR="007E375C" w:rsidP="00193C82" w:rsidRDefault="00DC2A84" w14:paraId="6B872F58" w14:textId="293BD6A2">
      <w:pPr>
        <w:ind w:firstLine="720"/>
        <w:rPr>
          <w:rFonts w:ascii="Times New Roman" w:hAnsi="Times New Roman"/>
          <w:sz w:val="24"/>
          <w:szCs w:val="24"/>
        </w:rPr>
      </w:pPr>
      <w:r>
        <w:rPr>
          <w:rFonts w:ascii="Times New Roman" w:hAnsi="Times New Roman"/>
          <w:sz w:val="24"/>
          <w:szCs w:val="24"/>
        </w:rPr>
        <w:t xml:space="preserve">Bankers will be able to complete the </w:t>
      </w:r>
      <w:r w:rsidR="006D410A">
        <w:rPr>
          <w:rFonts w:ascii="Times New Roman" w:hAnsi="Times New Roman"/>
          <w:sz w:val="24"/>
          <w:szCs w:val="24"/>
        </w:rPr>
        <w:t>survey</w:t>
      </w:r>
      <w:r>
        <w:rPr>
          <w:rFonts w:ascii="Times New Roman" w:hAnsi="Times New Roman"/>
          <w:sz w:val="24"/>
          <w:szCs w:val="24"/>
        </w:rPr>
        <w:t xml:space="preserve"> using a secure web-based data collection tool.</w:t>
      </w:r>
      <w:r w:rsidR="00F879AF">
        <w:rPr>
          <w:rFonts w:ascii="Times New Roman" w:hAnsi="Times New Roman"/>
          <w:sz w:val="24"/>
          <w:szCs w:val="24"/>
        </w:rPr>
        <w:t xml:space="preserve"> </w:t>
      </w:r>
      <w:r w:rsidRPr="007E375C" w:rsidR="007E375C">
        <w:rPr>
          <w:rFonts w:ascii="Times New Roman" w:hAnsi="Times New Roman"/>
          <w:sz w:val="24"/>
          <w:szCs w:val="24"/>
        </w:rPr>
        <w:t xml:space="preserve">The web-based tool </w:t>
      </w:r>
      <w:r w:rsidR="007E375C">
        <w:rPr>
          <w:rFonts w:ascii="Times New Roman" w:hAnsi="Times New Roman"/>
          <w:sz w:val="24"/>
          <w:szCs w:val="24"/>
        </w:rPr>
        <w:t xml:space="preserve">is SAS-70 compliant and </w:t>
      </w:r>
      <w:r w:rsidRPr="007E375C" w:rsidR="007E375C">
        <w:rPr>
          <w:rFonts w:ascii="Times New Roman" w:hAnsi="Times New Roman"/>
          <w:sz w:val="24"/>
          <w:szCs w:val="24"/>
        </w:rPr>
        <w:t>operates on a FISMA-compliant hosting infrastructure</w:t>
      </w:r>
      <w:r w:rsidR="007E375C">
        <w:rPr>
          <w:rFonts w:ascii="Times New Roman" w:hAnsi="Times New Roman"/>
          <w:sz w:val="24"/>
          <w:szCs w:val="24"/>
        </w:rPr>
        <w:t>.</w:t>
      </w:r>
      <w:r w:rsidR="00F879AF">
        <w:rPr>
          <w:rFonts w:ascii="Times New Roman" w:hAnsi="Times New Roman"/>
          <w:sz w:val="24"/>
          <w:szCs w:val="24"/>
        </w:rPr>
        <w:t xml:space="preserve"> </w:t>
      </w:r>
      <w:r w:rsidR="00664DFE">
        <w:rPr>
          <w:rFonts w:ascii="Times New Roman" w:hAnsi="Times New Roman"/>
          <w:sz w:val="24"/>
          <w:szCs w:val="24"/>
        </w:rPr>
        <w:t xml:space="preserve"> </w:t>
      </w:r>
      <w:r w:rsidR="007E375C">
        <w:rPr>
          <w:rFonts w:ascii="Times New Roman" w:hAnsi="Times New Roman"/>
          <w:sz w:val="24"/>
          <w:szCs w:val="24"/>
        </w:rPr>
        <w:t xml:space="preserve">The tool also </w:t>
      </w:r>
      <w:r w:rsidRPr="007E375C" w:rsidR="007E375C">
        <w:rPr>
          <w:rFonts w:ascii="Times New Roman" w:hAnsi="Times New Roman"/>
          <w:sz w:val="24"/>
          <w:szCs w:val="24"/>
        </w:rPr>
        <w:t xml:space="preserve">enables </w:t>
      </w:r>
      <w:r w:rsidR="007E375C">
        <w:rPr>
          <w:rFonts w:ascii="Times New Roman" w:hAnsi="Times New Roman"/>
          <w:sz w:val="24"/>
          <w:szCs w:val="24"/>
        </w:rPr>
        <w:t xml:space="preserve">the </w:t>
      </w:r>
      <w:r w:rsidRPr="007E375C" w:rsidR="007E375C">
        <w:rPr>
          <w:rFonts w:ascii="Times New Roman" w:hAnsi="Times New Roman"/>
          <w:sz w:val="24"/>
          <w:szCs w:val="24"/>
        </w:rPr>
        <w:t xml:space="preserve">development of Section 508 compliant </w:t>
      </w:r>
      <w:r w:rsidR="006D410A">
        <w:rPr>
          <w:rFonts w:ascii="Times New Roman" w:hAnsi="Times New Roman"/>
          <w:sz w:val="24"/>
          <w:szCs w:val="24"/>
        </w:rPr>
        <w:t>survey</w:t>
      </w:r>
      <w:r w:rsidR="0065578F">
        <w:rPr>
          <w:rFonts w:ascii="Times New Roman" w:hAnsi="Times New Roman"/>
          <w:sz w:val="24"/>
          <w:szCs w:val="24"/>
        </w:rPr>
        <w:t>s</w:t>
      </w:r>
      <w:r w:rsidRPr="007E375C" w:rsidR="007E375C">
        <w:rPr>
          <w:rFonts w:ascii="Times New Roman" w:hAnsi="Times New Roman"/>
          <w:sz w:val="24"/>
          <w:szCs w:val="24"/>
        </w:rPr>
        <w:t>.</w:t>
      </w:r>
    </w:p>
    <w:p w:rsidRPr="00200347" w:rsidR="00E839C0" w:rsidRDefault="00E839C0" w14:paraId="3C302FFD" w14:textId="77777777">
      <w:pPr>
        <w:rPr>
          <w:rFonts w:ascii="Times New Roman" w:hAnsi="Times New Roman"/>
          <w:sz w:val="24"/>
          <w:szCs w:val="24"/>
        </w:rPr>
      </w:pPr>
    </w:p>
    <w:p w:rsidRPr="00A77FDF" w:rsidR="00E839C0" w:rsidRDefault="00E839C0" w14:paraId="1FADE1D7" w14:textId="77777777">
      <w:pPr>
        <w:rPr>
          <w:rFonts w:ascii="Times New Roman" w:hAnsi="Times New Roman"/>
          <w:b/>
          <w:i/>
          <w:sz w:val="24"/>
          <w:szCs w:val="24"/>
        </w:rPr>
      </w:pPr>
      <w:r w:rsidRPr="00A77FDF">
        <w:rPr>
          <w:rFonts w:ascii="Times New Roman" w:hAnsi="Times New Roman"/>
          <w:b/>
          <w:i/>
          <w:sz w:val="24"/>
          <w:szCs w:val="24"/>
        </w:rPr>
        <w:t>4.  Efforts to identify duplication:</w:t>
      </w:r>
    </w:p>
    <w:p w:rsidRPr="00200347" w:rsidR="00E839C0" w:rsidRDefault="00E839C0" w14:paraId="6CBDC247" w14:textId="77777777">
      <w:pPr>
        <w:rPr>
          <w:rFonts w:ascii="Times New Roman" w:hAnsi="Times New Roman"/>
          <w:sz w:val="24"/>
          <w:szCs w:val="24"/>
        </w:rPr>
      </w:pPr>
    </w:p>
    <w:p w:rsidRPr="00200347" w:rsidR="00E839C0" w:rsidP="009F6C61" w:rsidRDefault="00E839C0" w14:paraId="46D32171" w14:textId="1649D7CD">
      <w:pPr>
        <w:ind w:firstLine="720"/>
        <w:rPr>
          <w:rFonts w:ascii="Times New Roman" w:hAnsi="Times New Roman"/>
          <w:sz w:val="24"/>
          <w:szCs w:val="24"/>
        </w:rPr>
      </w:pPr>
      <w:r w:rsidRPr="00200347">
        <w:rPr>
          <w:rFonts w:ascii="Times New Roman" w:hAnsi="Times New Roman"/>
          <w:sz w:val="24"/>
          <w:szCs w:val="24"/>
        </w:rPr>
        <w:t xml:space="preserve">This information collection is unique to the </w:t>
      </w:r>
      <w:r w:rsidR="00CA7D70">
        <w:rPr>
          <w:rFonts w:ascii="Times New Roman" w:hAnsi="Times New Roman"/>
          <w:sz w:val="24"/>
          <w:szCs w:val="24"/>
        </w:rPr>
        <w:t>institution</w:t>
      </w:r>
      <w:r w:rsidR="00193C82">
        <w:rPr>
          <w:rFonts w:ascii="Times New Roman" w:hAnsi="Times New Roman"/>
          <w:sz w:val="24"/>
          <w:szCs w:val="24"/>
        </w:rPr>
        <w:t xml:space="preserve"> </w:t>
      </w:r>
      <w:r w:rsidRPr="00200347">
        <w:rPr>
          <w:rFonts w:ascii="Times New Roman" w:hAnsi="Times New Roman"/>
          <w:sz w:val="24"/>
          <w:szCs w:val="24"/>
        </w:rPr>
        <w:t>and the supervisory cycle. It is not duplicated anywhere.</w:t>
      </w:r>
    </w:p>
    <w:p w:rsidRPr="00200347" w:rsidR="00E839C0" w:rsidRDefault="00E839C0" w14:paraId="2CB6CB70" w14:textId="77777777">
      <w:pPr>
        <w:rPr>
          <w:rFonts w:ascii="Times New Roman" w:hAnsi="Times New Roman"/>
          <w:sz w:val="24"/>
          <w:szCs w:val="24"/>
        </w:rPr>
      </w:pPr>
    </w:p>
    <w:p w:rsidR="00857CFD" w:rsidP="00857CFD" w:rsidRDefault="00857CFD" w14:paraId="7BA743ED" w14:textId="77777777">
      <w:pPr>
        <w:pStyle w:val="BodyText"/>
        <w:widowControl w:val="0"/>
        <w:ind w:left="100" w:right="861"/>
        <w:rPr>
          <w:rFonts w:ascii="Times New Roman" w:hAnsi="Times New Roman"/>
          <w:b/>
          <w:i/>
        </w:rPr>
      </w:pPr>
      <w:r>
        <w:rPr>
          <w:rFonts w:ascii="Times New Roman" w:hAnsi="Times New Roman"/>
          <w:b/>
          <w:bCs/>
          <w:i/>
          <w:iCs/>
        </w:rPr>
        <w:t>5.</w:t>
      </w:r>
      <w:r>
        <w:rPr>
          <w:rFonts w:ascii="Times New Roman" w:hAnsi="Times New Roman"/>
          <w:b/>
          <w:bCs/>
          <w:i/>
          <w:iCs/>
        </w:rPr>
        <w:tab/>
      </w:r>
      <w:r>
        <w:rPr>
          <w:rFonts w:ascii="Times New Roman" w:hAnsi="Times New Roman"/>
          <w:b/>
          <w:i/>
          <w:spacing w:val="-2"/>
        </w:rPr>
        <w:t>If</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spacing w:val="-1"/>
        </w:rPr>
        <w:t>impacts</w:t>
      </w:r>
      <w:r>
        <w:rPr>
          <w:rFonts w:ascii="Times New Roman" w:hAnsi="Times New Roman"/>
          <w:b/>
          <w:i/>
          <w:spacing w:val="-6"/>
        </w:rPr>
        <w:t xml:space="preserve"> </w:t>
      </w:r>
      <w:r>
        <w:rPr>
          <w:rFonts w:ascii="Times New Roman" w:hAnsi="Times New Roman"/>
          <w:b/>
          <w:i/>
          <w:spacing w:val="-1"/>
        </w:rPr>
        <w:t>small</w:t>
      </w:r>
      <w:r>
        <w:rPr>
          <w:rFonts w:ascii="Times New Roman" w:hAnsi="Times New Roman"/>
          <w:b/>
          <w:i/>
          <w:spacing w:val="-7"/>
        </w:rPr>
        <w:t xml:space="preserve"> </w:t>
      </w:r>
      <w:r>
        <w:rPr>
          <w:rFonts w:ascii="Times New Roman" w:hAnsi="Times New Roman"/>
          <w:b/>
          <w:i/>
          <w:spacing w:val="-1"/>
        </w:rPr>
        <w:t>businesses</w:t>
      </w:r>
      <w:r>
        <w:rPr>
          <w:rFonts w:ascii="Times New Roman" w:hAnsi="Times New Roman"/>
          <w:b/>
          <w:i/>
          <w:spacing w:val="-6"/>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small</w:t>
      </w:r>
      <w:r>
        <w:rPr>
          <w:rFonts w:ascii="Times New Roman" w:hAnsi="Times New Roman"/>
          <w:b/>
          <w:i/>
          <w:spacing w:val="-6"/>
        </w:rPr>
        <w:t xml:space="preserve"> </w:t>
      </w:r>
      <w:r>
        <w:rPr>
          <w:rFonts w:ascii="Times New Roman" w:hAnsi="Times New Roman"/>
          <w:b/>
          <w:i/>
        </w:rPr>
        <w:t>entities, describe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methods</w:t>
      </w:r>
      <w:r>
        <w:rPr>
          <w:rFonts w:ascii="Times New Roman" w:hAnsi="Times New Roman"/>
          <w:b/>
          <w:i/>
          <w:spacing w:val="-8"/>
        </w:rPr>
        <w:t xml:space="preserve"> </w:t>
      </w:r>
      <w:r>
        <w:rPr>
          <w:rFonts w:ascii="Times New Roman" w:hAnsi="Times New Roman"/>
          <w:b/>
          <w:i/>
          <w:spacing w:val="-1"/>
        </w:rPr>
        <w:t>used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rPr>
        <w:t>minimize</w:t>
      </w:r>
      <w:r>
        <w:rPr>
          <w:rFonts w:ascii="Times New Roman" w:hAnsi="Times New Roman"/>
          <w:b/>
          <w:i/>
          <w:spacing w:val="-8"/>
        </w:rPr>
        <w:t xml:space="preserve"> </w:t>
      </w:r>
      <w:r>
        <w:rPr>
          <w:rFonts w:ascii="Times New Roman" w:hAnsi="Times New Roman"/>
          <w:b/>
          <w:i/>
          <w:spacing w:val="-1"/>
        </w:rPr>
        <w:t>burden.</w:t>
      </w:r>
    </w:p>
    <w:p w:rsidRPr="00A77FDF" w:rsidR="00E839C0" w:rsidRDefault="00E839C0" w14:paraId="5AE5DCCC" w14:textId="77777777">
      <w:pPr>
        <w:rPr>
          <w:rFonts w:ascii="Times New Roman" w:hAnsi="Times New Roman"/>
          <w:b/>
          <w:i/>
          <w:sz w:val="24"/>
          <w:szCs w:val="24"/>
        </w:rPr>
      </w:pPr>
    </w:p>
    <w:p w:rsidRPr="006802A6" w:rsidR="00A977AE" w:rsidP="00A977AE" w:rsidRDefault="00A977AE" w14:paraId="3F546822" w14:textId="2C01DBAA">
      <w:pPr>
        <w:rPr>
          <w:rFonts w:ascii="Times New Roman" w:hAnsi="Times New Roman"/>
          <w:color w:val="000000"/>
          <w:sz w:val="24"/>
          <w:szCs w:val="24"/>
        </w:rPr>
      </w:pPr>
      <w:r w:rsidRPr="006802A6">
        <w:rPr>
          <w:rFonts w:ascii="Times New Roman" w:hAnsi="Times New Roman"/>
          <w:color w:val="000000"/>
          <w:sz w:val="24"/>
          <w:szCs w:val="24"/>
        </w:rPr>
        <w:tab/>
        <w:t xml:space="preserve">The OCC sends the Examination </w:t>
      </w:r>
      <w:r w:rsidR="001033FA">
        <w:rPr>
          <w:rFonts w:ascii="Times New Roman" w:hAnsi="Times New Roman"/>
          <w:color w:val="000000"/>
          <w:sz w:val="24"/>
          <w:szCs w:val="24"/>
        </w:rPr>
        <w:t>Survey</w:t>
      </w:r>
      <w:r w:rsidRPr="006802A6">
        <w:rPr>
          <w:rFonts w:ascii="Times New Roman" w:hAnsi="Times New Roman"/>
          <w:color w:val="000000"/>
          <w:sz w:val="24"/>
          <w:szCs w:val="24"/>
        </w:rPr>
        <w:t xml:space="preserve"> to all OCC-supervised institutions regardless of asset size. </w:t>
      </w:r>
      <w:r w:rsidR="00664DFE">
        <w:rPr>
          <w:rFonts w:ascii="Times New Roman" w:hAnsi="Times New Roman"/>
          <w:color w:val="000000"/>
          <w:sz w:val="24"/>
          <w:szCs w:val="24"/>
        </w:rPr>
        <w:t xml:space="preserve"> </w:t>
      </w:r>
      <w:r w:rsidRPr="006802A6">
        <w:rPr>
          <w:rFonts w:ascii="Times New Roman" w:hAnsi="Times New Roman"/>
          <w:color w:val="000000"/>
          <w:sz w:val="24"/>
          <w:szCs w:val="24"/>
        </w:rPr>
        <w:t>The OCC minimize</w:t>
      </w:r>
      <w:r w:rsidR="00634F48">
        <w:rPr>
          <w:rFonts w:ascii="Times New Roman" w:hAnsi="Times New Roman"/>
          <w:color w:val="000000"/>
          <w:sz w:val="24"/>
          <w:szCs w:val="24"/>
        </w:rPr>
        <w:t>s</w:t>
      </w:r>
      <w:r w:rsidRPr="006802A6">
        <w:rPr>
          <w:rFonts w:ascii="Times New Roman" w:hAnsi="Times New Roman"/>
          <w:color w:val="000000"/>
          <w:sz w:val="24"/>
          <w:szCs w:val="24"/>
        </w:rPr>
        <w:t xml:space="preserve"> the impact of the </w:t>
      </w:r>
      <w:r w:rsidR="001033FA">
        <w:rPr>
          <w:rFonts w:ascii="Times New Roman" w:hAnsi="Times New Roman"/>
          <w:color w:val="000000"/>
          <w:sz w:val="24"/>
          <w:szCs w:val="24"/>
        </w:rPr>
        <w:t>survey</w:t>
      </w:r>
      <w:r w:rsidRPr="006802A6">
        <w:rPr>
          <w:rFonts w:ascii="Times New Roman" w:hAnsi="Times New Roman"/>
          <w:color w:val="000000"/>
          <w:sz w:val="24"/>
          <w:szCs w:val="24"/>
        </w:rPr>
        <w:t xml:space="preserve"> by administering it via a web-based method that allows easy access.</w:t>
      </w:r>
      <w:r w:rsidR="00664DFE">
        <w:rPr>
          <w:rFonts w:ascii="Times New Roman" w:hAnsi="Times New Roman"/>
          <w:color w:val="000000"/>
          <w:sz w:val="24"/>
          <w:szCs w:val="24"/>
        </w:rPr>
        <w:t xml:space="preserve"> </w:t>
      </w:r>
      <w:r w:rsidRPr="006802A6">
        <w:rPr>
          <w:rFonts w:ascii="Times New Roman" w:hAnsi="Times New Roman"/>
          <w:color w:val="000000"/>
          <w:sz w:val="24"/>
          <w:szCs w:val="24"/>
        </w:rPr>
        <w:t xml:space="preserve"> In addition, the completion of the </w:t>
      </w:r>
      <w:r w:rsidR="001033FA">
        <w:rPr>
          <w:rFonts w:ascii="Times New Roman" w:hAnsi="Times New Roman"/>
          <w:color w:val="000000"/>
          <w:sz w:val="24"/>
          <w:szCs w:val="24"/>
        </w:rPr>
        <w:t>survey</w:t>
      </w:r>
      <w:r w:rsidRPr="006802A6">
        <w:rPr>
          <w:rFonts w:ascii="Times New Roman" w:hAnsi="Times New Roman"/>
          <w:color w:val="000000"/>
          <w:sz w:val="24"/>
          <w:szCs w:val="24"/>
        </w:rPr>
        <w:t xml:space="preserve"> is voluntary</w:t>
      </w:r>
      <w:r w:rsidR="00C72DD0">
        <w:rPr>
          <w:rFonts w:ascii="Times New Roman" w:hAnsi="Times New Roman"/>
          <w:color w:val="000000"/>
          <w:sz w:val="24"/>
          <w:szCs w:val="24"/>
        </w:rPr>
        <w:t>,</w:t>
      </w:r>
      <w:r w:rsidRPr="006802A6">
        <w:rPr>
          <w:rFonts w:ascii="Times New Roman" w:hAnsi="Times New Roman"/>
          <w:color w:val="000000"/>
          <w:sz w:val="24"/>
          <w:szCs w:val="24"/>
        </w:rPr>
        <w:t xml:space="preserve"> and institutions may skip any question</w:t>
      </w:r>
      <w:r w:rsidR="00634F48">
        <w:rPr>
          <w:rFonts w:ascii="Times New Roman" w:hAnsi="Times New Roman"/>
          <w:color w:val="000000"/>
          <w:sz w:val="24"/>
          <w:szCs w:val="24"/>
        </w:rPr>
        <w:t>(s)</w:t>
      </w:r>
      <w:r w:rsidRPr="006802A6">
        <w:rPr>
          <w:rFonts w:ascii="Times New Roman" w:hAnsi="Times New Roman"/>
          <w:color w:val="000000"/>
          <w:sz w:val="24"/>
          <w:szCs w:val="24"/>
        </w:rPr>
        <w:t xml:space="preserve"> in the </w:t>
      </w:r>
      <w:r w:rsidR="001033FA">
        <w:rPr>
          <w:rFonts w:ascii="Times New Roman" w:hAnsi="Times New Roman"/>
          <w:color w:val="000000"/>
          <w:sz w:val="24"/>
          <w:szCs w:val="24"/>
        </w:rPr>
        <w:t>survey</w:t>
      </w:r>
      <w:r w:rsidRPr="006802A6">
        <w:rPr>
          <w:rFonts w:ascii="Times New Roman" w:hAnsi="Times New Roman"/>
          <w:color w:val="000000"/>
          <w:sz w:val="24"/>
          <w:szCs w:val="24"/>
        </w:rPr>
        <w:t>.</w:t>
      </w:r>
    </w:p>
    <w:p w:rsidRPr="00200347" w:rsidR="00E839C0" w:rsidRDefault="00E839C0" w14:paraId="242BBB04" w14:textId="77777777">
      <w:pPr>
        <w:rPr>
          <w:rFonts w:ascii="Times New Roman" w:hAnsi="Times New Roman"/>
          <w:sz w:val="24"/>
          <w:szCs w:val="24"/>
        </w:rPr>
      </w:pPr>
    </w:p>
    <w:p w:rsidRPr="00A77FDF" w:rsidR="00E839C0" w:rsidRDefault="00E839C0" w14:paraId="3CB25A0D" w14:textId="77777777">
      <w:pPr>
        <w:rPr>
          <w:rFonts w:ascii="Times New Roman" w:hAnsi="Times New Roman"/>
          <w:b/>
          <w:i/>
          <w:sz w:val="24"/>
          <w:szCs w:val="24"/>
        </w:rPr>
      </w:pPr>
      <w:r w:rsidRPr="00A77FDF">
        <w:rPr>
          <w:rFonts w:ascii="Times New Roman" w:hAnsi="Times New Roman"/>
          <w:b/>
          <w:i/>
          <w:sz w:val="24"/>
          <w:szCs w:val="24"/>
        </w:rPr>
        <w:t>6.  Consequences to the Federal program if the collection were conducted less frequently:</w:t>
      </w:r>
    </w:p>
    <w:p w:rsidRPr="00200347" w:rsidR="00E839C0" w:rsidRDefault="00E839C0" w14:paraId="21357725" w14:textId="77777777">
      <w:pPr>
        <w:rPr>
          <w:rFonts w:ascii="Times New Roman" w:hAnsi="Times New Roman"/>
          <w:sz w:val="24"/>
          <w:szCs w:val="24"/>
        </w:rPr>
      </w:pPr>
    </w:p>
    <w:p w:rsidRPr="00200347" w:rsidR="00E839C0" w:rsidP="009F6C61" w:rsidRDefault="00E839C0" w14:paraId="1B2898CA" w14:textId="77777777">
      <w:pPr>
        <w:pStyle w:val="BodyText"/>
        <w:ind w:firstLine="720"/>
        <w:rPr>
          <w:rFonts w:ascii="Times New Roman" w:hAnsi="Times New Roman"/>
          <w:szCs w:val="24"/>
        </w:rPr>
      </w:pPr>
      <w:r w:rsidRPr="00200347">
        <w:rPr>
          <w:rFonts w:ascii="Times New Roman" w:hAnsi="Times New Roman"/>
          <w:szCs w:val="24"/>
        </w:rPr>
        <w:t>This information collection is conducted only upon completion of a supervisory cycle.  Less frequent collection would result in the collection, processing, and</w:t>
      </w:r>
      <w:r w:rsidR="00435A7F">
        <w:rPr>
          <w:rFonts w:ascii="Times New Roman" w:hAnsi="Times New Roman"/>
          <w:szCs w:val="24"/>
        </w:rPr>
        <w:t xml:space="preserve"> follow-up of stale information, impairing</w:t>
      </w:r>
      <w:r w:rsidRPr="00200347">
        <w:rPr>
          <w:rFonts w:ascii="Times New Roman" w:hAnsi="Times New Roman"/>
          <w:szCs w:val="24"/>
        </w:rPr>
        <w:t xml:space="preserve"> the effectiveness of this program.</w:t>
      </w:r>
    </w:p>
    <w:p w:rsidRPr="00200347" w:rsidR="00E839C0" w:rsidRDefault="00E839C0" w14:paraId="7F7A48C2" w14:textId="77777777">
      <w:pPr>
        <w:rPr>
          <w:rFonts w:ascii="Times New Roman" w:hAnsi="Times New Roman"/>
          <w:sz w:val="24"/>
          <w:szCs w:val="24"/>
        </w:rPr>
      </w:pPr>
    </w:p>
    <w:p w:rsidRPr="00A77FDF" w:rsidR="00E839C0" w:rsidRDefault="00E839C0" w14:paraId="11463058" w14:textId="77777777">
      <w:pPr>
        <w:rPr>
          <w:rFonts w:ascii="Times New Roman" w:hAnsi="Times New Roman"/>
          <w:b/>
          <w:i/>
          <w:sz w:val="24"/>
          <w:szCs w:val="24"/>
        </w:rPr>
      </w:pPr>
      <w:r w:rsidRPr="00A77FDF">
        <w:rPr>
          <w:rFonts w:ascii="Times New Roman" w:hAnsi="Times New Roman"/>
          <w:b/>
          <w:i/>
          <w:sz w:val="24"/>
          <w:szCs w:val="24"/>
        </w:rPr>
        <w:t xml:space="preserve">7.  Special circumstances that would cause the collection to be conducted in a </w:t>
      </w:r>
      <w:r w:rsidR="002F3AA2">
        <w:rPr>
          <w:rFonts w:ascii="Times New Roman" w:hAnsi="Times New Roman"/>
          <w:b/>
          <w:i/>
          <w:sz w:val="24"/>
          <w:szCs w:val="24"/>
        </w:rPr>
        <w:t>manner inconsistent with 5 CFR p</w:t>
      </w:r>
      <w:r w:rsidRPr="00A77FDF">
        <w:rPr>
          <w:rFonts w:ascii="Times New Roman" w:hAnsi="Times New Roman"/>
          <w:b/>
          <w:i/>
          <w:sz w:val="24"/>
          <w:szCs w:val="24"/>
        </w:rPr>
        <w:t>art 1320:</w:t>
      </w:r>
    </w:p>
    <w:p w:rsidRPr="00200347" w:rsidR="00E839C0" w:rsidRDefault="00E839C0" w14:paraId="4CB948CE" w14:textId="77777777">
      <w:pPr>
        <w:rPr>
          <w:rFonts w:ascii="Times New Roman" w:hAnsi="Times New Roman"/>
          <w:sz w:val="24"/>
          <w:szCs w:val="24"/>
        </w:rPr>
      </w:pPr>
    </w:p>
    <w:p w:rsidR="00581F8B" w:rsidP="002F3AA2" w:rsidRDefault="00E839C0" w14:paraId="7B2AE072" w14:textId="77777777">
      <w:pPr>
        <w:ind w:firstLine="720"/>
        <w:rPr>
          <w:rFonts w:ascii="Times New Roman" w:hAnsi="Times New Roman"/>
          <w:sz w:val="24"/>
          <w:szCs w:val="24"/>
        </w:rPr>
      </w:pPr>
      <w:r w:rsidRPr="00200347">
        <w:rPr>
          <w:rFonts w:ascii="Times New Roman" w:hAnsi="Times New Roman"/>
          <w:sz w:val="24"/>
          <w:szCs w:val="24"/>
        </w:rPr>
        <w:t xml:space="preserve">Not applicable.  </w:t>
      </w:r>
    </w:p>
    <w:p w:rsidR="002F3AA2" w:rsidP="002F3AA2" w:rsidRDefault="002F3AA2" w14:paraId="36F17EE9" w14:textId="77777777">
      <w:pPr>
        <w:ind w:firstLine="720"/>
        <w:rPr>
          <w:rFonts w:ascii="Times New Roman" w:hAnsi="Times New Roman"/>
          <w:sz w:val="24"/>
          <w:szCs w:val="24"/>
        </w:rPr>
      </w:pPr>
    </w:p>
    <w:p w:rsidRPr="00A77FDF" w:rsidR="00E839C0" w:rsidRDefault="00E839C0" w14:paraId="699E701B" w14:textId="77777777">
      <w:pPr>
        <w:rPr>
          <w:rFonts w:ascii="Times New Roman" w:hAnsi="Times New Roman"/>
          <w:b/>
          <w:i/>
          <w:sz w:val="24"/>
          <w:szCs w:val="24"/>
        </w:rPr>
      </w:pPr>
      <w:r w:rsidRPr="00A77FDF">
        <w:rPr>
          <w:rFonts w:ascii="Times New Roman" w:hAnsi="Times New Roman"/>
          <w:b/>
          <w:i/>
          <w:sz w:val="24"/>
          <w:szCs w:val="24"/>
        </w:rPr>
        <w:t>8.  Efforts to consult with persons outside the agency:</w:t>
      </w:r>
    </w:p>
    <w:p w:rsidRPr="00200347" w:rsidR="00E839C0" w:rsidRDefault="00E839C0" w14:paraId="7E3FB63D" w14:textId="77777777">
      <w:pPr>
        <w:rPr>
          <w:rFonts w:ascii="Times New Roman" w:hAnsi="Times New Roman"/>
          <w:sz w:val="24"/>
          <w:szCs w:val="24"/>
        </w:rPr>
      </w:pPr>
    </w:p>
    <w:p w:rsidRPr="00ED3740" w:rsidR="00E0095E" w:rsidP="00ED3740" w:rsidRDefault="00D97EE7" w14:paraId="6D3F3AB8" w14:textId="120D156F">
      <w:pPr>
        <w:ind w:left="102"/>
        <w:rPr>
          <w:rFonts w:ascii="Times New Roman" w:hAnsi="Times New Roman"/>
          <w:spacing w:val="1"/>
          <w:sz w:val="24"/>
          <w:szCs w:val="24"/>
        </w:rPr>
      </w:pPr>
      <w:r>
        <w:rPr>
          <w:rFonts w:ascii="Times New Roman" w:hAnsi="Times New Roman"/>
          <w:spacing w:val="1"/>
          <w:sz w:val="24"/>
          <w:szCs w:val="24"/>
        </w:rPr>
        <w:t xml:space="preserve">          On </w:t>
      </w:r>
      <w:r w:rsidR="0034303B">
        <w:rPr>
          <w:rFonts w:ascii="Times New Roman" w:hAnsi="Times New Roman"/>
          <w:spacing w:val="1"/>
          <w:sz w:val="24"/>
          <w:szCs w:val="24"/>
        </w:rPr>
        <w:t>October 5</w:t>
      </w:r>
      <w:r>
        <w:rPr>
          <w:rFonts w:ascii="Times New Roman" w:hAnsi="Times New Roman"/>
          <w:spacing w:val="1"/>
          <w:sz w:val="24"/>
          <w:szCs w:val="24"/>
        </w:rPr>
        <w:t xml:space="preserve">, </w:t>
      </w:r>
      <w:r w:rsidR="00ED3740">
        <w:rPr>
          <w:rFonts w:ascii="Times New Roman" w:hAnsi="Times New Roman"/>
          <w:spacing w:val="1"/>
          <w:sz w:val="24"/>
          <w:szCs w:val="24"/>
        </w:rPr>
        <w:t xml:space="preserve">2020, </w:t>
      </w:r>
      <w:r>
        <w:rPr>
          <w:rFonts w:ascii="Times New Roman" w:hAnsi="Times New Roman"/>
          <w:spacing w:val="1"/>
          <w:sz w:val="24"/>
          <w:szCs w:val="24"/>
        </w:rPr>
        <w:t>the OCC issued a notice for 60 days of comment concerning the collection, 8</w:t>
      </w:r>
      <w:r w:rsidR="00ED3740">
        <w:rPr>
          <w:rFonts w:ascii="Times New Roman" w:hAnsi="Times New Roman"/>
          <w:spacing w:val="1"/>
          <w:sz w:val="24"/>
          <w:szCs w:val="24"/>
        </w:rPr>
        <w:t>5</w:t>
      </w:r>
      <w:r>
        <w:rPr>
          <w:rFonts w:ascii="Times New Roman" w:hAnsi="Times New Roman"/>
          <w:spacing w:val="1"/>
          <w:sz w:val="24"/>
          <w:szCs w:val="24"/>
        </w:rPr>
        <w:t xml:space="preserve"> FR </w:t>
      </w:r>
      <w:r w:rsidR="0034303B">
        <w:rPr>
          <w:rFonts w:ascii="Times New Roman" w:hAnsi="Times New Roman"/>
          <w:spacing w:val="1"/>
          <w:sz w:val="24"/>
          <w:szCs w:val="24"/>
        </w:rPr>
        <w:t>62801</w:t>
      </w:r>
      <w:r>
        <w:rPr>
          <w:rFonts w:ascii="Times New Roman" w:hAnsi="Times New Roman"/>
          <w:spacing w:val="1"/>
          <w:sz w:val="24"/>
          <w:szCs w:val="24"/>
        </w:rPr>
        <w:t xml:space="preserve">.  </w:t>
      </w:r>
      <w:r w:rsidR="0034303B">
        <w:rPr>
          <w:rFonts w:ascii="Times New Roman" w:hAnsi="Times New Roman"/>
          <w:spacing w:val="1"/>
          <w:sz w:val="24"/>
          <w:szCs w:val="24"/>
        </w:rPr>
        <w:t>No</w:t>
      </w:r>
      <w:r>
        <w:rPr>
          <w:rFonts w:ascii="Times New Roman" w:hAnsi="Times New Roman"/>
          <w:spacing w:val="1"/>
          <w:sz w:val="24"/>
          <w:szCs w:val="24"/>
        </w:rPr>
        <w:t xml:space="preserve"> comment</w:t>
      </w:r>
      <w:r w:rsidR="00ED3740">
        <w:rPr>
          <w:rFonts w:ascii="Times New Roman" w:hAnsi="Times New Roman"/>
          <w:spacing w:val="1"/>
          <w:sz w:val="24"/>
          <w:szCs w:val="24"/>
        </w:rPr>
        <w:t>s</w:t>
      </w:r>
      <w:r>
        <w:rPr>
          <w:rFonts w:ascii="Times New Roman" w:hAnsi="Times New Roman"/>
          <w:spacing w:val="1"/>
          <w:sz w:val="24"/>
          <w:szCs w:val="24"/>
        </w:rPr>
        <w:t xml:space="preserve"> </w:t>
      </w:r>
      <w:r w:rsidR="00ED3740">
        <w:rPr>
          <w:rFonts w:ascii="Times New Roman" w:hAnsi="Times New Roman"/>
          <w:spacing w:val="1"/>
          <w:sz w:val="24"/>
          <w:szCs w:val="24"/>
        </w:rPr>
        <w:t>were</w:t>
      </w:r>
      <w:r>
        <w:rPr>
          <w:rFonts w:ascii="Times New Roman" w:hAnsi="Times New Roman"/>
          <w:spacing w:val="1"/>
          <w:sz w:val="24"/>
          <w:szCs w:val="24"/>
        </w:rPr>
        <w:t xml:space="preserve"> received.</w:t>
      </w:r>
    </w:p>
    <w:p w:rsidRPr="00983674" w:rsidR="00E839C0" w:rsidRDefault="00E839C0" w14:paraId="2DBC88BA" w14:textId="77777777">
      <w:pPr>
        <w:pStyle w:val="BodyText"/>
        <w:rPr>
          <w:rFonts w:ascii="Times New Roman" w:hAnsi="Times New Roman"/>
          <w:color w:val="000000"/>
          <w:szCs w:val="24"/>
        </w:rPr>
      </w:pPr>
    </w:p>
    <w:p w:rsidRPr="00983674" w:rsidR="00E839C0" w:rsidRDefault="00E839C0" w14:paraId="34D5FFFE" w14:textId="77777777">
      <w:pPr>
        <w:rPr>
          <w:rFonts w:ascii="Times New Roman" w:hAnsi="Times New Roman"/>
          <w:b/>
          <w:i/>
          <w:color w:val="000000"/>
          <w:sz w:val="24"/>
          <w:szCs w:val="24"/>
        </w:rPr>
      </w:pPr>
      <w:r w:rsidRPr="00983674">
        <w:rPr>
          <w:rFonts w:ascii="Times New Roman" w:hAnsi="Times New Roman"/>
          <w:b/>
          <w:i/>
          <w:color w:val="000000"/>
          <w:sz w:val="24"/>
          <w:szCs w:val="24"/>
        </w:rPr>
        <w:t>9.  Payment to respondents:</w:t>
      </w:r>
    </w:p>
    <w:p w:rsidRPr="00983674" w:rsidR="00E839C0" w:rsidRDefault="00E839C0" w14:paraId="10CA8480" w14:textId="77777777">
      <w:pPr>
        <w:rPr>
          <w:rFonts w:ascii="Times New Roman" w:hAnsi="Times New Roman"/>
          <w:color w:val="000000"/>
          <w:sz w:val="24"/>
          <w:szCs w:val="24"/>
        </w:rPr>
      </w:pPr>
    </w:p>
    <w:p w:rsidRPr="00983674" w:rsidR="00E839C0" w:rsidP="009F6C61" w:rsidRDefault="00E839C0" w14:paraId="4449D214" w14:textId="77777777">
      <w:pPr>
        <w:ind w:firstLine="720"/>
        <w:rPr>
          <w:rFonts w:ascii="Times New Roman" w:hAnsi="Times New Roman"/>
          <w:color w:val="000000"/>
          <w:sz w:val="24"/>
          <w:szCs w:val="24"/>
        </w:rPr>
      </w:pPr>
      <w:r w:rsidRPr="00983674">
        <w:rPr>
          <w:rFonts w:ascii="Times New Roman" w:hAnsi="Times New Roman"/>
          <w:color w:val="000000"/>
          <w:sz w:val="24"/>
          <w:szCs w:val="24"/>
        </w:rPr>
        <w:t>None.</w:t>
      </w:r>
    </w:p>
    <w:p w:rsidRPr="00983674" w:rsidR="003E3D91" w:rsidRDefault="003E3D91" w14:paraId="5F0D3037" w14:textId="77777777">
      <w:pPr>
        <w:rPr>
          <w:rFonts w:ascii="Times New Roman" w:hAnsi="Times New Roman"/>
          <w:b/>
          <w:i/>
          <w:color w:val="000000"/>
          <w:sz w:val="24"/>
          <w:szCs w:val="24"/>
        </w:rPr>
      </w:pPr>
    </w:p>
    <w:p w:rsidRPr="00983674" w:rsidR="00E839C0" w:rsidRDefault="00E839C0" w14:paraId="17FF9DDA" w14:textId="77777777">
      <w:pPr>
        <w:rPr>
          <w:rFonts w:ascii="Times New Roman" w:hAnsi="Times New Roman"/>
          <w:b/>
          <w:i/>
          <w:color w:val="000000"/>
          <w:sz w:val="24"/>
          <w:szCs w:val="24"/>
        </w:rPr>
      </w:pPr>
      <w:r w:rsidRPr="00983674">
        <w:rPr>
          <w:rFonts w:ascii="Times New Roman" w:hAnsi="Times New Roman"/>
          <w:b/>
          <w:i/>
          <w:color w:val="000000"/>
          <w:sz w:val="24"/>
          <w:szCs w:val="24"/>
        </w:rPr>
        <w:t>10.  Any assurance of confidentiality provided to respondents:</w:t>
      </w:r>
    </w:p>
    <w:p w:rsidRPr="00983674" w:rsidR="00E839C0" w:rsidRDefault="00E839C0" w14:paraId="44576EF0" w14:textId="77777777">
      <w:pPr>
        <w:rPr>
          <w:rFonts w:ascii="Times New Roman" w:hAnsi="Times New Roman"/>
          <w:color w:val="000000"/>
          <w:sz w:val="24"/>
          <w:szCs w:val="24"/>
        </w:rPr>
      </w:pPr>
    </w:p>
    <w:p w:rsidRPr="00983674" w:rsidR="00E839C0" w:rsidP="009F6C61" w:rsidRDefault="00E839C0" w14:paraId="6947D69C" w14:textId="5E54C513">
      <w:pPr>
        <w:ind w:firstLine="720"/>
        <w:rPr>
          <w:rFonts w:ascii="Times New Roman" w:hAnsi="Times New Roman"/>
          <w:color w:val="000000"/>
          <w:sz w:val="24"/>
          <w:szCs w:val="24"/>
        </w:rPr>
      </w:pPr>
      <w:r w:rsidRPr="00983674">
        <w:rPr>
          <w:rFonts w:ascii="Times New Roman" w:hAnsi="Times New Roman"/>
          <w:color w:val="000000"/>
          <w:sz w:val="24"/>
          <w:szCs w:val="24"/>
        </w:rPr>
        <w:t>The OCC Ombudsman receives and processes the information and takes follow-up action</w:t>
      </w:r>
      <w:r w:rsidR="00634F48">
        <w:rPr>
          <w:rFonts w:ascii="Times New Roman" w:hAnsi="Times New Roman"/>
          <w:color w:val="000000"/>
          <w:sz w:val="24"/>
          <w:szCs w:val="24"/>
        </w:rPr>
        <w:t>, as needed</w:t>
      </w:r>
      <w:r w:rsidRPr="00983674">
        <w:rPr>
          <w:rFonts w:ascii="Times New Roman" w:hAnsi="Times New Roman"/>
          <w:color w:val="000000"/>
          <w:sz w:val="24"/>
          <w:szCs w:val="24"/>
        </w:rPr>
        <w:t>.</w:t>
      </w:r>
      <w:r w:rsidR="00664DFE">
        <w:rPr>
          <w:rFonts w:ascii="Times New Roman" w:hAnsi="Times New Roman"/>
          <w:color w:val="000000"/>
          <w:sz w:val="24"/>
          <w:szCs w:val="24"/>
        </w:rPr>
        <w:t xml:space="preserve"> </w:t>
      </w:r>
      <w:r w:rsidRPr="00983674">
        <w:rPr>
          <w:rFonts w:ascii="Times New Roman" w:hAnsi="Times New Roman"/>
          <w:color w:val="000000"/>
          <w:sz w:val="24"/>
          <w:szCs w:val="24"/>
        </w:rPr>
        <w:t xml:space="preserve"> The OCC Ombudsman does not release information on individual </w:t>
      </w:r>
      <w:r w:rsidRPr="00983674" w:rsidR="00CA7D70">
        <w:rPr>
          <w:rFonts w:ascii="Times New Roman" w:hAnsi="Times New Roman"/>
          <w:color w:val="000000"/>
          <w:sz w:val="24"/>
          <w:szCs w:val="24"/>
        </w:rPr>
        <w:t>institution</w:t>
      </w:r>
      <w:r w:rsidRPr="00983674">
        <w:rPr>
          <w:rFonts w:ascii="Times New Roman" w:hAnsi="Times New Roman"/>
          <w:color w:val="000000"/>
          <w:sz w:val="24"/>
          <w:szCs w:val="24"/>
        </w:rPr>
        <w:t>s and treats this information as examination-related material.</w:t>
      </w:r>
    </w:p>
    <w:p w:rsidRPr="00983674" w:rsidR="00E839C0" w:rsidRDefault="00E839C0" w14:paraId="04010E52" w14:textId="77777777">
      <w:pPr>
        <w:rPr>
          <w:rFonts w:ascii="Times New Roman" w:hAnsi="Times New Roman"/>
          <w:color w:val="000000"/>
          <w:sz w:val="24"/>
          <w:szCs w:val="24"/>
        </w:rPr>
      </w:pPr>
    </w:p>
    <w:p w:rsidRPr="00983674" w:rsidR="00E839C0" w:rsidRDefault="00E839C0" w14:paraId="378F05A1" w14:textId="77777777">
      <w:pPr>
        <w:rPr>
          <w:rFonts w:ascii="Times New Roman" w:hAnsi="Times New Roman"/>
          <w:b/>
          <w:i/>
          <w:color w:val="000000"/>
          <w:sz w:val="24"/>
          <w:szCs w:val="24"/>
        </w:rPr>
      </w:pPr>
      <w:r w:rsidRPr="00983674">
        <w:rPr>
          <w:rFonts w:ascii="Times New Roman" w:hAnsi="Times New Roman"/>
          <w:b/>
          <w:i/>
          <w:color w:val="000000"/>
          <w:sz w:val="24"/>
          <w:szCs w:val="24"/>
        </w:rPr>
        <w:t>11.  Justification for questions of a sensitive nature:</w:t>
      </w:r>
    </w:p>
    <w:p w:rsidRPr="00983674" w:rsidR="00E839C0" w:rsidRDefault="00E839C0" w14:paraId="04D7C0EB" w14:textId="77777777">
      <w:pPr>
        <w:rPr>
          <w:rFonts w:ascii="Times New Roman" w:hAnsi="Times New Roman"/>
          <w:color w:val="000000"/>
          <w:sz w:val="24"/>
          <w:szCs w:val="24"/>
        </w:rPr>
      </w:pPr>
    </w:p>
    <w:p w:rsidRPr="00983674" w:rsidR="00E839C0" w:rsidP="009F6C61" w:rsidRDefault="00E839C0" w14:paraId="64109929" w14:textId="77777777">
      <w:pPr>
        <w:ind w:firstLine="720"/>
        <w:rPr>
          <w:rFonts w:ascii="Times New Roman" w:hAnsi="Times New Roman"/>
          <w:color w:val="000000"/>
          <w:sz w:val="24"/>
          <w:szCs w:val="24"/>
        </w:rPr>
      </w:pPr>
      <w:r w:rsidRPr="00983674">
        <w:rPr>
          <w:rFonts w:ascii="Times New Roman" w:hAnsi="Times New Roman"/>
          <w:color w:val="000000"/>
          <w:sz w:val="24"/>
          <w:szCs w:val="24"/>
        </w:rPr>
        <w:t>Not applicable.</w:t>
      </w:r>
    </w:p>
    <w:p w:rsidRPr="00983674" w:rsidR="00D97EE7" w:rsidRDefault="00D97EE7" w14:paraId="6BD0B706" w14:textId="77777777">
      <w:pPr>
        <w:rPr>
          <w:rFonts w:ascii="Times New Roman" w:hAnsi="Times New Roman"/>
          <w:b/>
          <w:i/>
          <w:color w:val="000000"/>
          <w:sz w:val="24"/>
          <w:szCs w:val="24"/>
        </w:rPr>
      </w:pPr>
    </w:p>
    <w:p w:rsidRPr="00983674" w:rsidR="00E839C0" w:rsidRDefault="00E839C0" w14:paraId="410A480E" w14:textId="77777777">
      <w:pPr>
        <w:rPr>
          <w:rFonts w:ascii="Times New Roman" w:hAnsi="Times New Roman"/>
          <w:b/>
          <w:i/>
          <w:color w:val="000000"/>
          <w:sz w:val="24"/>
          <w:szCs w:val="24"/>
        </w:rPr>
      </w:pPr>
      <w:r w:rsidRPr="00983674">
        <w:rPr>
          <w:rFonts w:ascii="Times New Roman" w:hAnsi="Times New Roman"/>
          <w:b/>
          <w:i/>
          <w:color w:val="000000"/>
          <w:sz w:val="24"/>
          <w:szCs w:val="24"/>
        </w:rPr>
        <w:t>12.  Burden estimate:</w:t>
      </w:r>
    </w:p>
    <w:p w:rsidRPr="00983674" w:rsidR="00E839C0" w:rsidRDefault="00E839C0" w14:paraId="427B2A10" w14:textId="77777777">
      <w:pPr>
        <w:rPr>
          <w:rFonts w:ascii="Times New Roman" w:hAnsi="Times New Roman"/>
          <w:color w:val="000000"/>
          <w:sz w:val="24"/>
          <w:szCs w:val="24"/>
        </w:rPr>
      </w:pPr>
    </w:p>
    <w:p w:rsidR="00235575" w:rsidP="00820C6B" w:rsidRDefault="00E839C0" w14:paraId="47E1FBB9" w14:textId="75194C35">
      <w:pPr>
        <w:ind w:firstLine="720"/>
        <w:rPr>
          <w:rFonts w:ascii="Times New Roman" w:hAnsi="Times New Roman"/>
          <w:color w:val="000000"/>
          <w:sz w:val="24"/>
          <w:szCs w:val="24"/>
        </w:rPr>
      </w:pPr>
      <w:r w:rsidRPr="00983674">
        <w:rPr>
          <w:rFonts w:ascii="Times New Roman" w:hAnsi="Times New Roman"/>
          <w:color w:val="000000"/>
          <w:sz w:val="24"/>
          <w:szCs w:val="24"/>
        </w:rPr>
        <w:t xml:space="preserve">The OCC provides the </w:t>
      </w:r>
      <w:r w:rsidRPr="00983674" w:rsidR="007E375C">
        <w:rPr>
          <w:rFonts w:ascii="Times New Roman" w:hAnsi="Times New Roman"/>
          <w:color w:val="000000"/>
          <w:sz w:val="24"/>
          <w:szCs w:val="24"/>
        </w:rPr>
        <w:t xml:space="preserve">Examination </w:t>
      </w:r>
      <w:r w:rsidR="001033FA">
        <w:rPr>
          <w:rFonts w:ascii="Times New Roman" w:hAnsi="Times New Roman"/>
          <w:color w:val="000000"/>
          <w:sz w:val="24"/>
          <w:szCs w:val="24"/>
        </w:rPr>
        <w:t>Survey</w:t>
      </w:r>
      <w:r w:rsidRPr="00983674" w:rsidR="007E375C">
        <w:rPr>
          <w:rFonts w:ascii="Times New Roman" w:hAnsi="Times New Roman"/>
          <w:color w:val="000000"/>
          <w:sz w:val="24"/>
          <w:szCs w:val="24"/>
        </w:rPr>
        <w:t xml:space="preserve"> </w:t>
      </w:r>
      <w:r w:rsidRPr="00983674">
        <w:rPr>
          <w:rFonts w:ascii="Times New Roman" w:hAnsi="Times New Roman"/>
          <w:color w:val="000000"/>
          <w:sz w:val="24"/>
          <w:szCs w:val="24"/>
        </w:rPr>
        <w:t>to bank management at the completion of the institution’s</w:t>
      </w:r>
      <w:r w:rsidRPr="00983674" w:rsidR="008641CD">
        <w:rPr>
          <w:rFonts w:ascii="Times New Roman" w:hAnsi="Times New Roman"/>
          <w:color w:val="000000"/>
          <w:sz w:val="24"/>
          <w:szCs w:val="24"/>
        </w:rPr>
        <w:t xml:space="preserve"> 12- or 18-month</w:t>
      </w:r>
      <w:r w:rsidRPr="00983674">
        <w:rPr>
          <w:rFonts w:ascii="Times New Roman" w:hAnsi="Times New Roman"/>
          <w:color w:val="000000"/>
          <w:sz w:val="24"/>
          <w:szCs w:val="24"/>
        </w:rPr>
        <w:t xml:space="preserve"> supervisory cycle. </w:t>
      </w:r>
      <w:r w:rsidR="00664DFE">
        <w:rPr>
          <w:rFonts w:ascii="Times New Roman" w:hAnsi="Times New Roman"/>
          <w:color w:val="000000"/>
          <w:sz w:val="24"/>
          <w:szCs w:val="24"/>
        </w:rPr>
        <w:t xml:space="preserve"> </w:t>
      </w:r>
      <w:r w:rsidRPr="00983674" w:rsidR="001B3FBF">
        <w:rPr>
          <w:rFonts w:ascii="Times New Roman" w:hAnsi="Times New Roman"/>
          <w:color w:val="000000"/>
          <w:sz w:val="24"/>
          <w:szCs w:val="24"/>
        </w:rPr>
        <w:t>After the issuance of the report of examination (ROE), b</w:t>
      </w:r>
      <w:r w:rsidRPr="00983674">
        <w:rPr>
          <w:rFonts w:ascii="Times New Roman" w:hAnsi="Times New Roman"/>
          <w:color w:val="000000"/>
          <w:sz w:val="24"/>
          <w:szCs w:val="24"/>
        </w:rPr>
        <w:t xml:space="preserve">ank management may comment on </w:t>
      </w:r>
      <w:r w:rsidR="0011340B">
        <w:rPr>
          <w:rFonts w:ascii="Times New Roman" w:hAnsi="Times New Roman"/>
          <w:color w:val="000000"/>
          <w:sz w:val="24"/>
          <w:szCs w:val="24"/>
        </w:rPr>
        <w:t xml:space="preserve">the </w:t>
      </w:r>
      <w:r w:rsidRPr="00983674">
        <w:rPr>
          <w:rFonts w:ascii="Times New Roman" w:hAnsi="Times New Roman"/>
          <w:color w:val="000000"/>
          <w:sz w:val="24"/>
          <w:szCs w:val="24"/>
        </w:rPr>
        <w:t xml:space="preserve">overall supervision provided </w:t>
      </w:r>
      <w:r w:rsidR="0011340B">
        <w:rPr>
          <w:rFonts w:ascii="Times New Roman" w:hAnsi="Times New Roman"/>
          <w:color w:val="000000"/>
          <w:sz w:val="24"/>
          <w:szCs w:val="24"/>
        </w:rPr>
        <w:t xml:space="preserve">by the OCC </w:t>
      </w:r>
      <w:r w:rsidRPr="00983674">
        <w:rPr>
          <w:rFonts w:ascii="Times New Roman" w:hAnsi="Times New Roman"/>
          <w:color w:val="000000"/>
          <w:sz w:val="24"/>
          <w:szCs w:val="24"/>
        </w:rPr>
        <w:t>throughout the year</w:t>
      </w:r>
      <w:r w:rsidRPr="00983674" w:rsidR="001B3FBF">
        <w:rPr>
          <w:rFonts w:ascii="Times New Roman" w:hAnsi="Times New Roman"/>
          <w:color w:val="000000"/>
          <w:sz w:val="24"/>
          <w:szCs w:val="24"/>
        </w:rPr>
        <w:t>.</w:t>
      </w:r>
      <w:r w:rsidRPr="00983674">
        <w:rPr>
          <w:rFonts w:ascii="Times New Roman" w:hAnsi="Times New Roman"/>
          <w:color w:val="000000"/>
          <w:sz w:val="24"/>
          <w:szCs w:val="24"/>
        </w:rPr>
        <w:t xml:space="preserve"> </w:t>
      </w:r>
    </w:p>
    <w:p w:rsidRPr="00983674" w:rsidR="008641CD" w:rsidP="00820C6B" w:rsidRDefault="001B3FBF" w14:paraId="0A096DA6" w14:textId="3B730DB7">
      <w:pPr>
        <w:ind w:firstLine="720"/>
        <w:rPr>
          <w:rFonts w:ascii="Times New Roman" w:hAnsi="Times New Roman"/>
          <w:color w:val="000000"/>
          <w:sz w:val="24"/>
          <w:szCs w:val="24"/>
        </w:rPr>
      </w:pPr>
      <w:r w:rsidRPr="00983674">
        <w:rPr>
          <w:rFonts w:ascii="Times New Roman" w:hAnsi="Times New Roman"/>
          <w:color w:val="000000"/>
          <w:sz w:val="24"/>
          <w:szCs w:val="24"/>
        </w:rPr>
        <w:t xml:space="preserve"> </w:t>
      </w:r>
    </w:p>
    <w:p w:rsidR="00E839C0" w:rsidP="008641CD" w:rsidRDefault="004C162C" w14:paraId="26C037DF" w14:textId="324121B6">
      <w:pPr>
        <w:rPr>
          <w:rFonts w:ascii="Times New Roman" w:hAnsi="Times New Roman"/>
          <w:color w:val="000000"/>
          <w:sz w:val="24"/>
          <w:szCs w:val="24"/>
        </w:rPr>
      </w:pPr>
      <w:r w:rsidRPr="00235575">
        <w:rPr>
          <w:rFonts w:ascii="Times New Roman" w:hAnsi="Times New Roman"/>
          <w:i/>
          <w:color w:val="000000"/>
          <w:sz w:val="24"/>
          <w:szCs w:val="24"/>
        </w:rPr>
        <w:t>Number of respondents</w:t>
      </w:r>
      <w:r>
        <w:rPr>
          <w:rFonts w:ascii="Times New Roman" w:hAnsi="Times New Roman"/>
          <w:color w:val="000000"/>
          <w:sz w:val="24"/>
          <w:szCs w:val="24"/>
        </w:rPr>
        <w:t>:  1,</w:t>
      </w:r>
      <w:r w:rsidR="00336346">
        <w:rPr>
          <w:rFonts w:ascii="Times New Roman" w:hAnsi="Times New Roman"/>
          <w:color w:val="000000"/>
          <w:sz w:val="24"/>
          <w:szCs w:val="24"/>
        </w:rPr>
        <w:t>71</w:t>
      </w:r>
      <w:r>
        <w:rPr>
          <w:rFonts w:ascii="Times New Roman" w:hAnsi="Times New Roman"/>
          <w:color w:val="000000"/>
          <w:sz w:val="24"/>
          <w:szCs w:val="24"/>
        </w:rPr>
        <w:t>4.</w:t>
      </w:r>
    </w:p>
    <w:p w:rsidR="004C162C" w:rsidP="008641CD" w:rsidRDefault="004C162C" w14:paraId="7644DC52" w14:textId="2D561FD5">
      <w:pPr>
        <w:rPr>
          <w:rFonts w:ascii="Times New Roman" w:hAnsi="Times New Roman"/>
          <w:color w:val="000000"/>
          <w:sz w:val="24"/>
          <w:szCs w:val="24"/>
        </w:rPr>
      </w:pPr>
      <w:r w:rsidRPr="00235575">
        <w:rPr>
          <w:rFonts w:ascii="Times New Roman" w:hAnsi="Times New Roman"/>
          <w:i/>
          <w:color w:val="000000"/>
          <w:sz w:val="24"/>
          <w:szCs w:val="24"/>
        </w:rPr>
        <w:t>Number of responses per respondent</w:t>
      </w:r>
      <w:r>
        <w:rPr>
          <w:rFonts w:ascii="Times New Roman" w:hAnsi="Times New Roman"/>
          <w:color w:val="000000"/>
          <w:sz w:val="24"/>
          <w:szCs w:val="24"/>
        </w:rPr>
        <w:t>:  1.</w:t>
      </w:r>
    </w:p>
    <w:p w:rsidR="004C162C" w:rsidP="008641CD" w:rsidRDefault="004C162C" w14:paraId="5C0FEFF1" w14:textId="283E1DAC">
      <w:pPr>
        <w:rPr>
          <w:rFonts w:ascii="Times New Roman" w:hAnsi="Times New Roman"/>
          <w:color w:val="000000"/>
          <w:sz w:val="24"/>
          <w:szCs w:val="24"/>
        </w:rPr>
      </w:pPr>
      <w:r w:rsidRPr="00235575">
        <w:rPr>
          <w:rFonts w:ascii="Times New Roman" w:hAnsi="Times New Roman"/>
          <w:i/>
          <w:color w:val="000000"/>
          <w:sz w:val="24"/>
          <w:szCs w:val="24"/>
        </w:rPr>
        <w:t>Burden per response</w:t>
      </w:r>
      <w:r>
        <w:rPr>
          <w:rFonts w:ascii="Times New Roman" w:hAnsi="Times New Roman"/>
          <w:color w:val="000000"/>
          <w:sz w:val="24"/>
          <w:szCs w:val="24"/>
        </w:rPr>
        <w:t>:  10 minutes.</w:t>
      </w:r>
    </w:p>
    <w:p w:rsidRPr="00983674" w:rsidR="004C162C" w:rsidP="008641CD" w:rsidRDefault="004C162C" w14:paraId="72051A43" w14:textId="1842BD0B">
      <w:pPr>
        <w:rPr>
          <w:rFonts w:ascii="Times New Roman" w:hAnsi="Times New Roman"/>
          <w:color w:val="000000"/>
          <w:sz w:val="24"/>
          <w:szCs w:val="24"/>
        </w:rPr>
      </w:pPr>
      <w:r w:rsidRPr="00235575">
        <w:rPr>
          <w:rFonts w:ascii="Times New Roman" w:hAnsi="Times New Roman"/>
          <w:i/>
          <w:color w:val="000000"/>
          <w:sz w:val="24"/>
          <w:szCs w:val="24"/>
        </w:rPr>
        <w:t>Total burden</w:t>
      </w:r>
      <w:r>
        <w:rPr>
          <w:rFonts w:ascii="Times New Roman" w:hAnsi="Times New Roman"/>
          <w:color w:val="000000"/>
          <w:sz w:val="24"/>
          <w:szCs w:val="24"/>
        </w:rPr>
        <w:t>:  285.66 hours.</w:t>
      </w:r>
    </w:p>
    <w:p w:rsidRPr="00200347" w:rsidR="00E839C0" w:rsidRDefault="00E839C0" w14:paraId="35B495B9" w14:textId="77777777">
      <w:pPr>
        <w:rPr>
          <w:rFonts w:ascii="Times New Roman" w:hAnsi="Times New Roman"/>
          <w:sz w:val="24"/>
          <w:szCs w:val="24"/>
        </w:rPr>
      </w:pPr>
    </w:p>
    <w:p w:rsidRPr="006D4EB5" w:rsidR="006D4EB5" w:rsidRDefault="006D4EB5" w14:paraId="14DBF47A" w14:textId="77777777">
      <w:pPr>
        <w:rPr>
          <w:rFonts w:ascii="Times New Roman" w:hAnsi="Times New Roman"/>
          <w:b/>
          <w:sz w:val="24"/>
          <w:szCs w:val="24"/>
        </w:rPr>
      </w:pPr>
      <w:r w:rsidRPr="006D4EB5">
        <w:rPr>
          <w:rFonts w:ascii="Times New Roman" w:hAnsi="Times New Roman"/>
          <w:b/>
          <w:sz w:val="24"/>
          <w:szCs w:val="24"/>
        </w:rPr>
        <w:t>Cost of Hour Burden</w:t>
      </w:r>
    </w:p>
    <w:p w:rsidRPr="006D4EB5" w:rsidR="006D4EB5" w:rsidRDefault="006D4EB5" w14:paraId="553E983A" w14:textId="77777777">
      <w:pPr>
        <w:rPr>
          <w:rFonts w:ascii="Times New Roman" w:hAnsi="Times New Roman"/>
          <w:b/>
          <w:sz w:val="24"/>
          <w:szCs w:val="24"/>
        </w:rPr>
      </w:pPr>
    </w:p>
    <w:p w:rsidRPr="006D4EB5" w:rsidR="006D4EB5" w:rsidRDefault="004C162C" w14:paraId="5D62D3D7" w14:textId="28B09A75">
      <w:pPr>
        <w:rPr>
          <w:rFonts w:ascii="Times New Roman" w:hAnsi="Times New Roman"/>
          <w:b/>
          <w:sz w:val="24"/>
          <w:szCs w:val="24"/>
        </w:rPr>
      </w:pPr>
      <w:r w:rsidRPr="00397206">
        <w:rPr>
          <w:rFonts w:ascii="Times New Roman" w:hAnsi="Times New Roman"/>
          <w:b/>
          <w:sz w:val="24"/>
          <w:szCs w:val="24"/>
        </w:rPr>
        <w:t>28</w:t>
      </w:r>
      <w:r w:rsidR="0089405D">
        <w:rPr>
          <w:rFonts w:ascii="Times New Roman" w:hAnsi="Times New Roman"/>
          <w:b/>
          <w:sz w:val="24"/>
          <w:szCs w:val="24"/>
        </w:rPr>
        <w:t>5.66</w:t>
      </w:r>
      <w:r w:rsidRPr="006D4EB5" w:rsidR="006D4EB5">
        <w:rPr>
          <w:rFonts w:ascii="Times New Roman" w:hAnsi="Times New Roman"/>
          <w:b/>
          <w:sz w:val="24"/>
          <w:szCs w:val="24"/>
        </w:rPr>
        <w:t xml:space="preserve"> Hours x $1</w:t>
      </w:r>
      <w:r>
        <w:rPr>
          <w:rFonts w:ascii="Times New Roman" w:hAnsi="Times New Roman"/>
          <w:b/>
          <w:sz w:val="24"/>
          <w:szCs w:val="24"/>
        </w:rPr>
        <w:t>1</w:t>
      </w:r>
      <w:r w:rsidR="0034303B">
        <w:rPr>
          <w:rFonts w:ascii="Times New Roman" w:hAnsi="Times New Roman"/>
          <w:b/>
          <w:sz w:val="24"/>
          <w:szCs w:val="24"/>
        </w:rPr>
        <w:t>5.19</w:t>
      </w:r>
      <w:r w:rsidRPr="006D4EB5" w:rsidR="006D4EB5">
        <w:rPr>
          <w:rFonts w:ascii="Times New Roman" w:hAnsi="Times New Roman"/>
          <w:b/>
          <w:sz w:val="24"/>
          <w:szCs w:val="24"/>
        </w:rPr>
        <w:t xml:space="preserve"> = $</w:t>
      </w:r>
      <w:r w:rsidR="0089405D">
        <w:rPr>
          <w:rFonts w:ascii="Times New Roman" w:hAnsi="Times New Roman"/>
          <w:b/>
          <w:sz w:val="24"/>
          <w:szCs w:val="24"/>
        </w:rPr>
        <w:t>32,905.18</w:t>
      </w:r>
      <w:bookmarkStart w:name="_GoBack" w:id="0"/>
      <w:bookmarkEnd w:id="0"/>
    </w:p>
    <w:p w:rsidR="006D4EB5" w:rsidRDefault="006D4EB5" w14:paraId="3365D917" w14:textId="77777777">
      <w:pPr>
        <w:rPr>
          <w:rFonts w:ascii="Times New Roman" w:hAnsi="Times New Roman"/>
          <w:sz w:val="24"/>
          <w:szCs w:val="24"/>
        </w:rPr>
      </w:pPr>
    </w:p>
    <w:p w:rsidRPr="0064167F" w:rsidR="0034303B" w:rsidP="0034303B" w:rsidRDefault="0034303B" w14:paraId="1063A69B" w14:textId="77777777">
      <w:pPr>
        <w:rPr>
          <w:rFonts w:ascii="Times New Roman" w:hAnsi="Times New Roman"/>
          <w:sz w:val="24"/>
          <w:szCs w:val="24"/>
        </w:rPr>
      </w:pPr>
      <w:r>
        <w:rPr>
          <w:rFonts w:ascii="Times New Roman" w:hAnsi="Times New Roman"/>
          <w:color w:val="000000"/>
          <w:sz w:val="24"/>
          <w:szCs w:val="24"/>
        </w:rPr>
        <w:t>To estimate wages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1347B7" w:rsidRDefault="001347B7" w14:paraId="4CCADFFA" w14:textId="77777777">
      <w:pPr>
        <w:rPr>
          <w:rFonts w:ascii="Times New Roman" w:hAnsi="Times New Roman"/>
          <w:b/>
          <w:i/>
          <w:sz w:val="24"/>
          <w:szCs w:val="24"/>
        </w:rPr>
      </w:pPr>
    </w:p>
    <w:p w:rsidRPr="00A77FDF" w:rsidR="00E839C0" w:rsidRDefault="00E839C0" w14:paraId="1DFF4F51" w14:textId="77777777">
      <w:pPr>
        <w:rPr>
          <w:rFonts w:ascii="Times New Roman" w:hAnsi="Times New Roman"/>
          <w:b/>
          <w:i/>
          <w:sz w:val="24"/>
          <w:szCs w:val="24"/>
        </w:rPr>
      </w:pPr>
      <w:r w:rsidRPr="00A77FDF">
        <w:rPr>
          <w:rFonts w:ascii="Times New Roman" w:hAnsi="Times New Roman"/>
          <w:b/>
          <w:i/>
          <w:sz w:val="24"/>
          <w:szCs w:val="24"/>
        </w:rPr>
        <w:t>13.  Estimate of annualized cost to respondents:</w:t>
      </w:r>
    </w:p>
    <w:p w:rsidRPr="00200347" w:rsidR="00E839C0" w:rsidRDefault="00E839C0" w14:paraId="66929391" w14:textId="77777777">
      <w:pPr>
        <w:rPr>
          <w:rFonts w:ascii="Times New Roman" w:hAnsi="Times New Roman"/>
          <w:sz w:val="24"/>
          <w:szCs w:val="24"/>
        </w:rPr>
      </w:pPr>
    </w:p>
    <w:p w:rsidRPr="00200347" w:rsidR="00E839C0" w:rsidP="009F6C61" w:rsidRDefault="00E839C0" w14:paraId="203403E9" w14:textId="77777777">
      <w:pPr>
        <w:ind w:firstLine="720"/>
        <w:rPr>
          <w:rFonts w:ascii="Times New Roman" w:hAnsi="Times New Roman"/>
          <w:sz w:val="24"/>
          <w:szCs w:val="24"/>
        </w:rPr>
      </w:pPr>
      <w:r w:rsidRPr="00200347">
        <w:rPr>
          <w:rFonts w:ascii="Times New Roman" w:hAnsi="Times New Roman"/>
          <w:sz w:val="24"/>
          <w:szCs w:val="24"/>
        </w:rPr>
        <w:t>None.</w:t>
      </w:r>
    </w:p>
    <w:p w:rsidRPr="00200347" w:rsidR="00E839C0" w:rsidRDefault="00E839C0" w14:paraId="0686BA25" w14:textId="77777777">
      <w:pPr>
        <w:rPr>
          <w:rFonts w:ascii="Times New Roman" w:hAnsi="Times New Roman"/>
          <w:sz w:val="24"/>
          <w:szCs w:val="24"/>
        </w:rPr>
      </w:pPr>
    </w:p>
    <w:p w:rsidRPr="00A77FDF" w:rsidR="00E839C0" w:rsidRDefault="00E839C0" w14:paraId="799FCF44" w14:textId="77777777">
      <w:pPr>
        <w:rPr>
          <w:rFonts w:ascii="Times New Roman" w:hAnsi="Times New Roman"/>
          <w:b/>
          <w:i/>
          <w:sz w:val="24"/>
          <w:szCs w:val="24"/>
        </w:rPr>
      </w:pPr>
      <w:r w:rsidRPr="00A77FDF">
        <w:rPr>
          <w:rFonts w:ascii="Times New Roman" w:hAnsi="Times New Roman"/>
          <w:b/>
          <w:i/>
          <w:sz w:val="24"/>
          <w:szCs w:val="24"/>
        </w:rPr>
        <w:t>14.  Estimate of annualized cost to the Federal government:</w:t>
      </w:r>
    </w:p>
    <w:p w:rsidRPr="00200347" w:rsidR="00E839C0" w:rsidRDefault="00E839C0" w14:paraId="02DF5BE4" w14:textId="77777777">
      <w:pPr>
        <w:rPr>
          <w:rFonts w:ascii="Times New Roman" w:hAnsi="Times New Roman"/>
          <w:sz w:val="24"/>
          <w:szCs w:val="24"/>
        </w:rPr>
      </w:pPr>
    </w:p>
    <w:p w:rsidRPr="00200347" w:rsidR="00E839C0" w:rsidP="009F6C61" w:rsidRDefault="00E839C0" w14:paraId="4DD4FACA" w14:textId="77777777">
      <w:pPr>
        <w:ind w:firstLine="720"/>
        <w:rPr>
          <w:rFonts w:ascii="Times New Roman" w:hAnsi="Times New Roman"/>
          <w:sz w:val="24"/>
          <w:szCs w:val="24"/>
        </w:rPr>
      </w:pPr>
      <w:r w:rsidRPr="00200347">
        <w:rPr>
          <w:rFonts w:ascii="Times New Roman" w:hAnsi="Times New Roman"/>
          <w:sz w:val="24"/>
          <w:szCs w:val="24"/>
        </w:rPr>
        <w:t>None.</w:t>
      </w:r>
    </w:p>
    <w:p w:rsidRPr="00200347" w:rsidR="00E839C0" w:rsidRDefault="00E839C0" w14:paraId="7EA603BA" w14:textId="77777777">
      <w:pPr>
        <w:rPr>
          <w:rFonts w:ascii="Times New Roman" w:hAnsi="Times New Roman"/>
          <w:sz w:val="24"/>
          <w:szCs w:val="24"/>
        </w:rPr>
      </w:pPr>
    </w:p>
    <w:p w:rsidRPr="00A77FDF" w:rsidR="00E839C0" w:rsidRDefault="00E839C0" w14:paraId="41EA0070" w14:textId="77777777">
      <w:pPr>
        <w:rPr>
          <w:rFonts w:ascii="Times New Roman" w:hAnsi="Times New Roman"/>
          <w:b/>
          <w:i/>
          <w:sz w:val="24"/>
          <w:szCs w:val="24"/>
        </w:rPr>
      </w:pPr>
      <w:r w:rsidRPr="00A77FDF">
        <w:rPr>
          <w:rFonts w:ascii="Times New Roman" w:hAnsi="Times New Roman"/>
          <w:b/>
          <w:i/>
          <w:sz w:val="24"/>
          <w:szCs w:val="24"/>
        </w:rPr>
        <w:t xml:space="preserve">15.  Changes in burden: </w:t>
      </w:r>
    </w:p>
    <w:p w:rsidRPr="00D55CF0" w:rsidR="00D55CF0" w:rsidRDefault="00D55CF0" w14:paraId="491FAAEB" w14:textId="77777777">
      <w:pPr>
        <w:rPr>
          <w:rFonts w:ascii="Times New Roman" w:hAnsi="Times New Roman"/>
          <w:b/>
          <w:i/>
          <w:sz w:val="24"/>
          <w:szCs w:val="24"/>
        </w:rPr>
      </w:pPr>
    </w:p>
    <w:p w:rsidR="00ED3740" w:rsidP="004C162C" w:rsidRDefault="004D3DE5" w14:paraId="3F3027A0" w14:textId="79D32232">
      <w:pPr>
        <w:rPr>
          <w:rFonts w:ascii="Times New Roman" w:hAnsi="Times New Roman"/>
          <w:sz w:val="24"/>
          <w:szCs w:val="24"/>
        </w:rPr>
      </w:pPr>
      <w:r>
        <w:rPr>
          <w:rFonts w:ascii="Times New Roman" w:hAnsi="Times New Roman"/>
          <w:sz w:val="24"/>
          <w:szCs w:val="24"/>
        </w:rPr>
        <w:t>Curren</w:t>
      </w:r>
      <w:r w:rsidR="00347DE8">
        <w:rPr>
          <w:rFonts w:ascii="Times New Roman" w:hAnsi="Times New Roman"/>
          <w:sz w:val="24"/>
          <w:szCs w:val="24"/>
        </w:rPr>
        <w:t>t</w:t>
      </w:r>
      <w:r w:rsidR="009356A7">
        <w:rPr>
          <w:rFonts w:ascii="Times New Roman" w:hAnsi="Times New Roman"/>
          <w:sz w:val="24"/>
          <w:szCs w:val="24"/>
        </w:rPr>
        <w:t xml:space="preserve"> burden:</w:t>
      </w:r>
      <w:r w:rsidR="009356A7">
        <w:rPr>
          <w:rFonts w:ascii="Times New Roman" w:hAnsi="Times New Roman"/>
          <w:sz w:val="24"/>
          <w:szCs w:val="24"/>
        </w:rPr>
        <w:tab/>
      </w:r>
      <w:r w:rsidR="00ED3740">
        <w:rPr>
          <w:rFonts w:ascii="Times New Roman" w:hAnsi="Times New Roman"/>
          <w:sz w:val="24"/>
          <w:szCs w:val="24"/>
        </w:rPr>
        <w:t xml:space="preserve">131 </w:t>
      </w:r>
      <w:r w:rsidRPr="00200347" w:rsidR="00ED3740">
        <w:rPr>
          <w:rFonts w:ascii="Times New Roman" w:hAnsi="Times New Roman"/>
          <w:sz w:val="24"/>
          <w:szCs w:val="24"/>
        </w:rPr>
        <w:t>burden hours</w:t>
      </w:r>
    </w:p>
    <w:p w:rsidRPr="00200347" w:rsidR="00E839C0" w:rsidP="00ED3740" w:rsidRDefault="00E839C0" w14:paraId="356CF6F3" w14:textId="77777777">
      <w:pPr>
        <w:rPr>
          <w:rFonts w:ascii="Times New Roman" w:hAnsi="Times New Roman"/>
          <w:sz w:val="24"/>
          <w:szCs w:val="24"/>
        </w:rPr>
      </w:pPr>
    </w:p>
    <w:p w:rsidRPr="00397206" w:rsidR="00347DE8" w:rsidP="00ED3740" w:rsidRDefault="004D3DE5" w14:paraId="304A893E" w14:textId="7650E283">
      <w:pPr>
        <w:rPr>
          <w:rFonts w:ascii="Times New Roman" w:hAnsi="Times New Roman"/>
          <w:sz w:val="24"/>
          <w:szCs w:val="24"/>
        </w:rPr>
      </w:pPr>
      <w:r w:rsidRPr="00397206">
        <w:rPr>
          <w:rFonts w:ascii="Times New Roman" w:hAnsi="Times New Roman"/>
          <w:sz w:val="24"/>
          <w:szCs w:val="24"/>
        </w:rPr>
        <w:lastRenderedPageBreak/>
        <w:t>Revised</w:t>
      </w:r>
      <w:r w:rsidRPr="00397206" w:rsidR="00E839C0">
        <w:rPr>
          <w:rFonts w:ascii="Times New Roman" w:hAnsi="Times New Roman"/>
          <w:sz w:val="24"/>
          <w:szCs w:val="24"/>
        </w:rPr>
        <w:t xml:space="preserve"> burden:</w:t>
      </w:r>
      <w:r w:rsidRPr="00397206" w:rsidR="00E839C0">
        <w:rPr>
          <w:rFonts w:ascii="Times New Roman" w:hAnsi="Times New Roman"/>
          <w:sz w:val="24"/>
          <w:szCs w:val="24"/>
        </w:rPr>
        <w:tab/>
      </w:r>
      <w:r w:rsidRPr="00397206" w:rsidR="004C162C">
        <w:rPr>
          <w:rFonts w:ascii="Times New Roman" w:hAnsi="Times New Roman"/>
          <w:sz w:val="24"/>
          <w:szCs w:val="24"/>
        </w:rPr>
        <w:t>286 burden hours.</w:t>
      </w:r>
    </w:p>
    <w:p w:rsidRPr="00397206" w:rsidR="00E839C0" w:rsidRDefault="00E839C0" w14:paraId="367FD582" w14:textId="77777777">
      <w:pPr>
        <w:rPr>
          <w:rFonts w:ascii="Times New Roman" w:hAnsi="Times New Roman"/>
          <w:sz w:val="24"/>
          <w:szCs w:val="24"/>
        </w:rPr>
      </w:pPr>
      <w:r w:rsidRPr="00397206">
        <w:rPr>
          <w:rFonts w:ascii="Times New Roman" w:hAnsi="Times New Roman"/>
          <w:sz w:val="24"/>
          <w:szCs w:val="24"/>
        </w:rPr>
        <w:tab/>
      </w:r>
    </w:p>
    <w:p w:rsidR="00731172" w:rsidP="00ED3740" w:rsidRDefault="000E6F64" w14:paraId="31ADFC60" w14:textId="2DBD650F">
      <w:pPr>
        <w:rPr>
          <w:rFonts w:ascii="Times New Roman" w:hAnsi="Times New Roman"/>
          <w:sz w:val="24"/>
          <w:szCs w:val="24"/>
        </w:rPr>
      </w:pPr>
      <w:r w:rsidRPr="00397206">
        <w:rPr>
          <w:rFonts w:ascii="Times New Roman" w:hAnsi="Times New Roman"/>
          <w:sz w:val="24"/>
          <w:szCs w:val="24"/>
        </w:rPr>
        <w:t>Difference:</w:t>
      </w:r>
      <w:r w:rsidRPr="00397206">
        <w:rPr>
          <w:rFonts w:ascii="Times New Roman" w:hAnsi="Times New Roman"/>
          <w:sz w:val="24"/>
          <w:szCs w:val="24"/>
        </w:rPr>
        <w:tab/>
      </w:r>
      <w:r w:rsidRPr="00397206" w:rsidR="004C162C">
        <w:rPr>
          <w:rFonts w:ascii="Times New Roman" w:hAnsi="Times New Roman"/>
          <w:sz w:val="24"/>
          <w:szCs w:val="24"/>
        </w:rPr>
        <w:t>+155 burden hours.</w:t>
      </w:r>
    </w:p>
    <w:p w:rsidR="00E539A0" w:rsidP="00ED3740" w:rsidRDefault="00E539A0" w14:paraId="55DABB4D" w14:textId="77777777">
      <w:pPr>
        <w:rPr>
          <w:rFonts w:ascii="Times New Roman" w:hAnsi="Times New Roman"/>
          <w:sz w:val="24"/>
          <w:szCs w:val="24"/>
        </w:rPr>
      </w:pPr>
    </w:p>
    <w:p w:rsidR="00ED3740" w:rsidP="00ED3740" w:rsidRDefault="00731172" w14:paraId="612EA8BA" w14:textId="328C3FF8">
      <w:pPr>
        <w:rPr>
          <w:rFonts w:ascii="Times New Roman" w:hAnsi="Times New Roman"/>
          <w:sz w:val="24"/>
          <w:szCs w:val="24"/>
        </w:rPr>
      </w:pPr>
      <w:r>
        <w:rPr>
          <w:rFonts w:ascii="Times New Roman" w:hAnsi="Times New Roman"/>
          <w:sz w:val="24"/>
          <w:szCs w:val="24"/>
        </w:rPr>
        <w:t>The increase in burden is due to the increase in the number of institutions completing the</w:t>
      </w:r>
      <w:r w:rsidR="006D410A">
        <w:rPr>
          <w:rFonts w:ascii="Times New Roman" w:hAnsi="Times New Roman"/>
          <w:sz w:val="24"/>
          <w:szCs w:val="24"/>
        </w:rPr>
        <w:t xml:space="preserve"> survey</w:t>
      </w:r>
      <w:r>
        <w:rPr>
          <w:rFonts w:ascii="Times New Roman" w:hAnsi="Times New Roman"/>
          <w:sz w:val="24"/>
          <w:szCs w:val="24"/>
        </w:rPr>
        <w:t>.</w:t>
      </w:r>
      <w:r w:rsidR="000E6F64">
        <w:rPr>
          <w:rFonts w:ascii="Times New Roman" w:hAnsi="Times New Roman"/>
          <w:sz w:val="24"/>
          <w:szCs w:val="24"/>
        </w:rPr>
        <w:tab/>
      </w:r>
    </w:p>
    <w:p w:rsidRPr="00200347" w:rsidR="00D55CF0" w:rsidP="0014584F" w:rsidRDefault="00D55CF0" w14:paraId="560BD2DE" w14:textId="77777777">
      <w:pPr>
        <w:rPr>
          <w:rFonts w:ascii="Times New Roman" w:hAnsi="Times New Roman"/>
          <w:sz w:val="24"/>
          <w:szCs w:val="24"/>
        </w:rPr>
      </w:pPr>
    </w:p>
    <w:p w:rsidRPr="00A77FDF" w:rsidR="00E839C0" w:rsidRDefault="00E839C0" w14:paraId="1EA56CB0" w14:textId="77777777">
      <w:pPr>
        <w:rPr>
          <w:rFonts w:ascii="Times New Roman" w:hAnsi="Times New Roman"/>
          <w:b/>
          <w:i/>
          <w:sz w:val="24"/>
          <w:szCs w:val="24"/>
        </w:rPr>
      </w:pPr>
      <w:r w:rsidRPr="00A77FDF">
        <w:rPr>
          <w:rFonts w:ascii="Times New Roman" w:hAnsi="Times New Roman"/>
          <w:b/>
          <w:i/>
          <w:sz w:val="24"/>
          <w:szCs w:val="24"/>
        </w:rPr>
        <w:t>16.  Information regarding collections whose results are planned to be published for statistical use:</w:t>
      </w:r>
    </w:p>
    <w:p w:rsidRPr="00200347" w:rsidR="00E839C0" w:rsidRDefault="00E839C0" w14:paraId="4B474DD7" w14:textId="77777777">
      <w:pPr>
        <w:rPr>
          <w:rFonts w:ascii="Times New Roman" w:hAnsi="Times New Roman"/>
          <w:sz w:val="24"/>
          <w:szCs w:val="24"/>
        </w:rPr>
      </w:pPr>
    </w:p>
    <w:p w:rsidRPr="00200347" w:rsidR="00E839C0" w:rsidP="009F6C61" w:rsidRDefault="00E839C0" w14:paraId="098209E6" w14:textId="77777777">
      <w:pPr>
        <w:ind w:firstLine="720"/>
        <w:rPr>
          <w:rFonts w:ascii="Times New Roman" w:hAnsi="Times New Roman"/>
          <w:sz w:val="24"/>
          <w:szCs w:val="24"/>
        </w:rPr>
      </w:pPr>
      <w:r w:rsidRPr="00200347">
        <w:rPr>
          <w:rFonts w:ascii="Times New Roman" w:hAnsi="Times New Roman"/>
          <w:sz w:val="24"/>
          <w:szCs w:val="24"/>
        </w:rPr>
        <w:t>Not applicable.</w:t>
      </w:r>
    </w:p>
    <w:p w:rsidR="004D3DE5" w:rsidRDefault="004D3DE5" w14:paraId="5CC27965" w14:textId="77777777">
      <w:pPr>
        <w:rPr>
          <w:rFonts w:ascii="Times New Roman" w:hAnsi="Times New Roman"/>
          <w:b/>
          <w:i/>
          <w:sz w:val="24"/>
          <w:szCs w:val="24"/>
        </w:rPr>
      </w:pPr>
    </w:p>
    <w:p w:rsidRPr="00A77FDF" w:rsidR="00E839C0" w:rsidRDefault="00E839C0" w14:paraId="2BB8046A" w14:textId="77777777">
      <w:pPr>
        <w:rPr>
          <w:rFonts w:ascii="Times New Roman" w:hAnsi="Times New Roman"/>
          <w:b/>
          <w:i/>
          <w:sz w:val="24"/>
          <w:szCs w:val="24"/>
        </w:rPr>
      </w:pPr>
      <w:r w:rsidRPr="00A77FDF">
        <w:rPr>
          <w:rFonts w:ascii="Times New Roman" w:hAnsi="Times New Roman"/>
          <w:b/>
          <w:i/>
          <w:sz w:val="24"/>
          <w:szCs w:val="24"/>
        </w:rPr>
        <w:t xml:space="preserve">17.  </w:t>
      </w:r>
      <w:r w:rsidR="00817CC3">
        <w:rPr>
          <w:rFonts w:ascii="Times New Roman" w:hAnsi="Times New Roman"/>
          <w:b/>
          <w:i/>
          <w:sz w:val="24"/>
          <w:szCs w:val="24"/>
        </w:rPr>
        <w:t>Reasons for not displaying OMB approval</w:t>
      </w:r>
      <w:r w:rsidRPr="00A77FDF">
        <w:rPr>
          <w:rFonts w:ascii="Times New Roman" w:hAnsi="Times New Roman"/>
          <w:b/>
          <w:i/>
          <w:sz w:val="24"/>
          <w:szCs w:val="24"/>
        </w:rPr>
        <w:t xml:space="preserve"> expiration date:</w:t>
      </w:r>
    </w:p>
    <w:p w:rsidRPr="00200347" w:rsidR="00E839C0" w:rsidRDefault="00E839C0" w14:paraId="4D8E1F7D" w14:textId="77777777">
      <w:pPr>
        <w:rPr>
          <w:rFonts w:ascii="Times New Roman" w:hAnsi="Times New Roman"/>
          <w:sz w:val="24"/>
          <w:szCs w:val="24"/>
        </w:rPr>
      </w:pPr>
    </w:p>
    <w:p w:rsidRPr="00200347" w:rsidR="00E839C0" w:rsidP="009F6C61" w:rsidRDefault="00211891" w14:paraId="605AD51A" w14:textId="77777777">
      <w:pPr>
        <w:ind w:firstLine="720"/>
        <w:rPr>
          <w:rFonts w:ascii="Times New Roman" w:hAnsi="Times New Roman"/>
          <w:sz w:val="24"/>
          <w:szCs w:val="24"/>
        </w:rPr>
      </w:pPr>
      <w:r>
        <w:rPr>
          <w:rFonts w:ascii="Times New Roman" w:hAnsi="Times New Roman"/>
          <w:sz w:val="24"/>
          <w:szCs w:val="24"/>
        </w:rPr>
        <w:t>Not applicable.</w:t>
      </w:r>
    </w:p>
    <w:p w:rsidRPr="00200347" w:rsidR="00E839C0" w:rsidRDefault="00E839C0" w14:paraId="17AE265B" w14:textId="77777777">
      <w:pPr>
        <w:rPr>
          <w:rFonts w:ascii="Times New Roman" w:hAnsi="Times New Roman"/>
          <w:sz w:val="24"/>
          <w:szCs w:val="24"/>
        </w:rPr>
      </w:pPr>
    </w:p>
    <w:p w:rsidRPr="00A77FDF" w:rsidR="00E839C0" w:rsidRDefault="00E839C0" w14:paraId="0F0237B8" w14:textId="77777777">
      <w:pPr>
        <w:rPr>
          <w:rFonts w:ascii="Times New Roman" w:hAnsi="Times New Roman"/>
          <w:b/>
          <w:i/>
          <w:sz w:val="24"/>
          <w:szCs w:val="24"/>
        </w:rPr>
      </w:pPr>
      <w:r w:rsidRPr="00A77FDF">
        <w:rPr>
          <w:rFonts w:ascii="Times New Roman" w:hAnsi="Times New Roman"/>
          <w:b/>
          <w:i/>
          <w:sz w:val="24"/>
          <w:szCs w:val="24"/>
        </w:rPr>
        <w:t>18.  Exceptions to the certification statement:</w:t>
      </w:r>
    </w:p>
    <w:p w:rsidRPr="00200347" w:rsidR="00E839C0" w:rsidRDefault="00E839C0" w14:paraId="63204C55" w14:textId="77777777">
      <w:pPr>
        <w:rPr>
          <w:rFonts w:ascii="Times New Roman" w:hAnsi="Times New Roman"/>
          <w:sz w:val="24"/>
          <w:szCs w:val="24"/>
        </w:rPr>
      </w:pPr>
    </w:p>
    <w:p w:rsidRPr="00200347" w:rsidR="00E839C0" w:rsidP="009F6C61" w:rsidRDefault="00E839C0" w14:paraId="691D4573" w14:textId="77777777">
      <w:pPr>
        <w:ind w:firstLine="720"/>
        <w:rPr>
          <w:rFonts w:ascii="Times New Roman" w:hAnsi="Times New Roman"/>
          <w:sz w:val="24"/>
          <w:szCs w:val="24"/>
        </w:rPr>
      </w:pPr>
      <w:r w:rsidRPr="00200347">
        <w:rPr>
          <w:rFonts w:ascii="Times New Roman" w:hAnsi="Times New Roman"/>
          <w:sz w:val="24"/>
          <w:szCs w:val="24"/>
        </w:rPr>
        <w:t>None.</w:t>
      </w:r>
    </w:p>
    <w:p w:rsidRPr="00200347" w:rsidR="00E839C0" w:rsidRDefault="00E839C0" w14:paraId="22FE2E30" w14:textId="77777777">
      <w:pPr>
        <w:rPr>
          <w:rFonts w:ascii="Times New Roman" w:hAnsi="Times New Roman"/>
          <w:sz w:val="24"/>
          <w:szCs w:val="24"/>
        </w:rPr>
      </w:pPr>
    </w:p>
    <w:p w:rsidRPr="00A77FDF" w:rsidR="00E839C0" w:rsidRDefault="00E839C0" w14:paraId="0C3EA003" w14:textId="77777777">
      <w:pPr>
        <w:rPr>
          <w:rFonts w:ascii="Times New Roman" w:hAnsi="Times New Roman"/>
          <w:b/>
          <w:sz w:val="24"/>
          <w:szCs w:val="24"/>
        </w:rPr>
      </w:pPr>
      <w:r w:rsidRPr="00A77FDF">
        <w:rPr>
          <w:rFonts w:ascii="Times New Roman" w:hAnsi="Times New Roman"/>
          <w:b/>
          <w:sz w:val="24"/>
          <w:szCs w:val="24"/>
        </w:rPr>
        <w:t>B.  Collections of Information Employing Statistical Methods</w:t>
      </w:r>
      <w:r w:rsidR="00A77FDF">
        <w:rPr>
          <w:rFonts w:ascii="Times New Roman" w:hAnsi="Times New Roman"/>
          <w:b/>
          <w:sz w:val="24"/>
          <w:szCs w:val="24"/>
        </w:rPr>
        <w:t>.</w:t>
      </w:r>
    </w:p>
    <w:p w:rsidRPr="00200347" w:rsidR="00E839C0" w:rsidRDefault="00E839C0" w14:paraId="598D4BE2" w14:textId="77777777">
      <w:pPr>
        <w:rPr>
          <w:rFonts w:ascii="Times New Roman" w:hAnsi="Times New Roman"/>
          <w:sz w:val="24"/>
          <w:szCs w:val="24"/>
        </w:rPr>
      </w:pPr>
    </w:p>
    <w:p w:rsidRPr="00200347" w:rsidR="00E839C0" w:rsidP="009F6C61" w:rsidRDefault="00E839C0" w14:paraId="1CA5112B" w14:textId="77777777">
      <w:pPr>
        <w:pStyle w:val="BodyText"/>
        <w:ind w:firstLine="720"/>
        <w:rPr>
          <w:rFonts w:ascii="Times New Roman" w:hAnsi="Times New Roman"/>
          <w:szCs w:val="24"/>
        </w:rPr>
      </w:pPr>
      <w:r w:rsidRPr="00200347">
        <w:rPr>
          <w:rFonts w:ascii="Times New Roman" w:hAnsi="Times New Roman"/>
          <w:szCs w:val="24"/>
        </w:rPr>
        <w:t>Not applicable.</w:t>
      </w:r>
    </w:p>
    <w:p w:rsidRPr="00200347" w:rsidR="00E839C0" w:rsidRDefault="00E839C0" w14:paraId="03905FF6" w14:textId="77777777">
      <w:pPr>
        <w:pStyle w:val="BodyText"/>
        <w:rPr>
          <w:rFonts w:ascii="Times New Roman" w:hAnsi="Times New Roman"/>
          <w:i/>
          <w:szCs w:val="24"/>
        </w:rPr>
      </w:pPr>
    </w:p>
    <w:sectPr w:rsidRPr="00200347" w:rsidR="00E839C0">
      <w:footerReference w:type="even" r:id="rId12"/>
      <w:footerReference w:type="default" r:id="rId13"/>
      <w:footnotePr>
        <w:numFmt w:val="chicago"/>
      </w:foot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0F70" w14:textId="77777777" w:rsidR="00914363" w:rsidRDefault="00914363">
      <w:r>
        <w:separator/>
      </w:r>
    </w:p>
  </w:endnote>
  <w:endnote w:type="continuationSeparator" w:id="0">
    <w:p w14:paraId="3A2EEAB4" w14:textId="77777777" w:rsidR="00914363" w:rsidRDefault="0091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06108" w14:textId="77777777" w:rsidR="00CD5DE2" w:rsidRDefault="00CD5D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D748C6" w14:textId="77777777" w:rsidR="00CD5DE2" w:rsidRDefault="00CD5D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D1643" w14:textId="77777777" w:rsidR="00CD5DE2" w:rsidRPr="00B76BE1" w:rsidRDefault="00CD5DE2">
    <w:pPr>
      <w:pStyle w:val="Footer"/>
      <w:framePr w:wrap="around" w:vAnchor="text" w:hAnchor="margin" w:xAlign="center" w:y="1"/>
      <w:rPr>
        <w:rStyle w:val="PageNumber"/>
        <w:rFonts w:ascii="Times New Roman" w:hAnsi="Times New Roman"/>
        <w:sz w:val="24"/>
        <w:szCs w:val="24"/>
      </w:rPr>
    </w:pPr>
    <w:r w:rsidRPr="00B76BE1">
      <w:rPr>
        <w:rStyle w:val="PageNumber"/>
        <w:rFonts w:ascii="Times New Roman" w:hAnsi="Times New Roman"/>
        <w:sz w:val="24"/>
        <w:szCs w:val="24"/>
      </w:rPr>
      <w:fldChar w:fldCharType="begin"/>
    </w:r>
    <w:r w:rsidRPr="00B76BE1">
      <w:rPr>
        <w:rStyle w:val="PageNumber"/>
        <w:rFonts w:ascii="Times New Roman" w:hAnsi="Times New Roman"/>
        <w:sz w:val="24"/>
        <w:szCs w:val="24"/>
      </w:rPr>
      <w:instrText xml:space="preserve">PAGE  </w:instrText>
    </w:r>
    <w:r w:rsidRPr="00B76BE1">
      <w:rPr>
        <w:rStyle w:val="PageNumber"/>
        <w:rFonts w:ascii="Times New Roman" w:hAnsi="Times New Roman"/>
        <w:sz w:val="24"/>
        <w:szCs w:val="24"/>
      </w:rPr>
      <w:fldChar w:fldCharType="separate"/>
    </w:r>
    <w:r w:rsidR="00925D23">
      <w:rPr>
        <w:rStyle w:val="PageNumber"/>
        <w:rFonts w:ascii="Times New Roman" w:hAnsi="Times New Roman"/>
        <w:noProof/>
        <w:sz w:val="24"/>
        <w:szCs w:val="24"/>
      </w:rPr>
      <w:t>6</w:t>
    </w:r>
    <w:r w:rsidRPr="00B76BE1">
      <w:rPr>
        <w:rStyle w:val="PageNumber"/>
        <w:rFonts w:ascii="Times New Roman" w:hAnsi="Times New Roman"/>
        <w:sz w:val="24"/>
        <w:szCs w:val="24"/>
      </w:rPr>
      <w:fldChar w:fldCharType="end"/>
    </w:r>
  </w:p>
  <w:p w14:paraId="798BD1B1" w14:textId="77777777" w:rsidR="00CD5DE2" w:rsidRDefault="00CD5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C4A8F" w14:textId="77777777" w:rsidR="00914363" w:rsidRDefault="00914363">
      <w:r>
        <w:separator/>
      </w:r>
    </w:p>
  </w:footnote>
  <w:footnote w:type="continuationSeparator" w:id="0">
    <w:p w14:paraId="18CBCD93" w14:textId="77777777" w:rsidR="00914363" w:rsidRDefault="00914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65924C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4"/>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28"/>
    <w:rsid w:val="00025051"/>
    <w:rsid w:val="000344C0"/>
    <w:rsid w:val="0005373E"/>
    <w:rsid w:val="00061726"/>
    <w:rsid w:val="000905E7"/>
    <w:rsid w:val="0009479D"/>
    <w:rsid w:val="000959F1"/>
    <w:rsid w:val="000E6503"/>
    <w:rsid w:val="000E6F64"/>
    <w:rsid w:val="001033FA"/>
    <w:rsid w:val="0011340B"/>
    <w:rsid w:val="00122144"/>
    <w:rsid w:val="001347B7"/>
    <w:rsid w:val="0014584F"/>
    <w:rsid w:val="001807CC"/>
    <w:rsid w:val="001849EE"/>
    <w:rsid w:val="00192951"/>
    <w:rsid w:val="00193BF2"/>
    <w:rsid w:val="00193C82"/>
    <w:rsid w:val="001A4293"/>
    <w:rsid w:val="001B3FBF"/>
    <w:rsid w:val="001D0397"/>
    <w:rsid w:val="001D2029"/>
    <w:rsid w:val="001D5BF4"/>
    <w:rsid w:val="001D6F28"/>
    <w:rsid w:val="001E442B"/>
    <w:rsid w:val="00200347"/>
    <w:rsid w:val="00211891"/>
    <w:rsid w:val="00213F5A"/>
    <w:rsid w:val="00215FFA"/>
    <w:rsid w:val="00235575"/>
    <w:rsid w:val="00260F23"/>
    <w:rsid w:val="002612C7"/>
    <w:rsid w:val="00286973"/>
    <w:rsid w:val="00290E87"/>
    <w:rsid w:val="0029497A"/>
    <w:rsid w:val="002B0B38"/>
    <w:rsid w:val="002B3792"/>
    <w:rsid w:val="002B560B"/>
    <w:rsid w:val="002F3AA2"/>
    <w:rsid w:val="00304B2B"/>
    <w:rsid w:val="0031717F"/>
    <w:rsid w:val="00321153"/>
    <w:rsid w:val="00326066"/>
    <w:rsid w:val="00327F75"/>
    <w:rsid w:val="00336346"/>
    <w:rsid w:val="0034303B"/>
    <w:rsid w:val="003471F0"/>
    <w:rsid w:val="00347DE8"/>
    <w:rsid w:val="00365F70"/>
    <w:rsid w:val="00366D9D"/>
    <w:rsid w:val="00366F33"/>
    <w:rsid w:val="00380EB6"/>
    <w:rsid w:val="0038315E"/>
    <w:rsid w:val="00384394"/>
    <w:rsid w:val="00397206"/>
    <w:rsid w:val="003D4383"/>
    <w:rsid w:val="003E3D91"/>
    <w:rsid w:val="00435A7F"/>
    <w:rsid w:val="00440B0D"/>
    <w:rsid w:val="00446466"/>
    <w:rsid w:val="00476ECA"/>
    <w:rsid w:val="00477D95"/>
    <w:rsid w:val="004839A4"/>
    <w:rsid w:val="004974A9"/>
    <w:rsid w:val="004A4351"/>
    <w:rsid w:val="004C162C"/>
    <w:rsid w:val="004D1B1C"/>
    <w:rsid w:val="004D3DE5"/>
    <w:rsid w:val="004D72A2"/>
    <w:rsid w:val="004D7509"/>
    <w:rsid w:val="004E2805"/>
    <w:rsid w:val="004E7D82"/>
    <w:rsid w:val="004F3B92"/>
    <w:rsid w:val="004F4883"/>
    <w:rsid w:val="005117A6"/>
    <w:rsid w:val="00516CB5"/>
    <w:rsid w:val="00531BF9"/>
    <w:rsid w:val="005460BC"/>
    <w:rsid w:val="0056655C"/>
    <w:rsid w:val="00570D00"/>
    <w:rsid w:val="00577DD5"/>
    <w:rsid w:val="0058167C"/>
    <w:rsid w:val="00581F8B"/>
    <w:rsid w:val="00596306"/>
    <w:rsid w:val="005B03D4"/>
    <w:rsid w:val="006011D1"/>
    <w:rsid w:val="00607CD4"/>
    <w:rsid w:val="00622E30"/>
    <w:rsid w:val="00634F48"/>
    <w:rsid w:val="00644E33"/>
    <w:rsid w:val="00650CBC"/>
    <w:rsid w:val="0065578F"/>
    <w:rsid w:val="0065758F"/>
    <w:rsid w:val="00664DFE"/>
    <w:rsid w:val="00672FC8"/>
    <w:rsid w:val="006802A6"/>
    <w:rsid w:val="00682E95"/>
    <w:rsid w:val="00687899"/>
    <w:rsid w:val="00696188"/>
    <w:rsid w:val="006A3324"/>
    <w:rsid w:val="006B7661"/>
    <w:rsid w:val="006D3BA7"/>
    <w:rsid w:val="006D410A"/>
    <w:rsid w:val="006D4EB5"/>
    <w:rsid w:val="006E1BC2"/>
    <w:rsid w:val="006E6808"/>
    <w:rsid w:val="006E75EC"/>
    <w:rsid w:val="006E7F8C"/>
    <w:rsid w:val="006F46CC"/>
    <w:rsid w:val="00706F87"/>
    <w:rsid w:val="00724AB2"/>
    <w:rsid w:val="0072776D"/>
    <w:rsid w:val="00731172"/>
    <w:rsid w:val="007473AE"/>
    <w:rsid w:val="00765DB3"/>
    <w:rsid w:val="00775DAA"/>
    <w:rsid w:val="00777122"/>
    <w:rsid w:val="0078036C"/>
    <w:rsid w:val="0078778D"/>
    <w:rsid w:val="0079399D"/>
    <w:rsid w:val="007A5264"/>
    <w:rsid w:val="007D7F2F"/>
    <w:rsid w:val="007E1E6C"/>
    <w:rsid w:val="007E2A91"/>
    <w:rsid w:val="007E375C"/>
    <w:rsid w:val="007E7706"/>
    <w:rsid w:val="007E779B"/>
    <w:rsid w:val="00801A08"/>
    <w:rsid w:val="00817CC3"/>
    <w:rsid w:val="00820C6B"/>
    <w:rsid w:val="008257AB"/>
    <w:rsid w:val="00857CFD"/>
    <w:rsid w:val="008641CD"/>
    <w:rsid w:val="008768DB"/>
    <w:rsid w:val="00877E84"/>
    <w:rsid w:val="00882EBA"/>
    <w:rsid w:val="0089405D"/>
    <w:rsid w:val="008A4873"/>
    <w:rsid w:val="008B57DD"/>
    <w:rsid w:val="008D35B3"/>
    <w:rsid w:val="00914363"/>
    <w:rsid w:val="00925D23"/>
    <w:rsid w:val="009277E4"/>
    <w:rsid w:val="009356A7"/>
    <w:rsid w:val="00975A20"/>
    <w:rsid w:val="00982D7E"/>
    <w:rsid w:val="00983674"/>
    <w:rsid w:val="0099717E"/>
    <w:rsid w:val="009A7B2F"/>
    <w:rsid w:val="009D5BF8"/>
    <w:rsid w:val="009D5D08"/>
    <w:rsid w:val="009F13AD"/>
    <w:rsid w:val="009F6607"/>
    <w:rsid w:val="009F6C61"/>
    <w:rsid w:val="00A725E3"/>
    <w:rsid w:val="00A77B61"/>
    <w:rsid w:val="00A77FDF"/>
    <w:rsid w:val="00A821D9"/>
    <w:rsid w:val="00A977AE"/>
    <w:rsid w:val="00AC19D7"/>
    <w:rsid w:val="00AD1AE8"/>
    <w:rsid w:val="00AE047F"/>
    <w:rsid w:val="00AE577B"/>
    <w:rsid w:val="00AE72AD"/>
    <w:rsid w:val="00B003A7"/>
    <w:rsid w:val="00B114D8"/>
    <w:rsid w:val="00B137CD"/>
    <w:rsid w:val="00B144BD"/>
    <w:rsid w:val="00B14CFE"/>
    <w:rsid w:val="00B23AE0"/>
    <w:rsid w:val="00B402AD"/>
    <w:rsid w:val="00B40ED2"/>
    <w:rsid w:val="00B41EE2"/>
    <w:rsid w:val="00B55EED"/>
    <w:rsid w:val="00B76BE1"/>
    <w:rsid w:val="00B90814"/>
    <w:rsid w:val="00B9196A"/>
    <w:rsid w:val="00BB0B90"/>
    <w:rsid w:val="00BB207D"/>
    <w:rsid w:val="00BB3E3E"/>
    <w:rsid w:val="00BC4343"/>
    <w:rsid w:val="00BE40C7"/>
    <w:rsid w:val="00BF1C43"/>
    <w:rsid w:val="00BF3075"/>
    <w:rsid w:val="00C27B0B"/>
    <w:rsid w:val="00C63BB0"/>
    <w:rsid w:val="00C709DE"/>
    <w:rsid w:val="00C72DD0"/>
    <w:rsid w:val="00C746A3"/>
    <w:rsid w:val="00C8193D"/>
    <w:rsid w:val="00C84E4F"/>
    <w:rsid w:val="00C90AD8"/>
    <w:rsid w:val="00C93650"/>
    <w:rsid w:val="00CA09B3"/>
    <w:rsid w:val="00CA6872"/>
    <w:rsid w:val="00CA7D70"/>
    <w:rsid w:val="00CB100C"/>
    <w:rsid w:val="00CB5597"/>
    <w:rsid w:val="00CD5DE2"/>
    <w:rsid w:val="00CD6C20"/>
    <w:rsid w:val="00CF42F3"/>
    <w:rsid w:val="00CF793B"/>
    <w:rsid w:val="00D07A3F"/>
    <w:rsid w:val="00D11057"/>
    <w:rsid w:val="00D34155"/>
    <w:rsid w:val="00D4034C"/>
    <w:rsid w:val="00D47CD2"/>
    <w:rsid w:val="00D52CEE"/>
    <w:rsid w:val="00D55CF0"/>
    <w:rsid w:val="00D671A6"/>
    <w:rsid w:val="00D9701D"/>
    <w:rsid w:val="00D973D0"/>
    <w:rsid w:val="00D9792D"/>
    <w:rsid w:val="00D97EE7"/>
    <w:rsid w:val="00DA251D"/>
    <w:rsid w:val="00DC2A84"/>
    <w:rsid w:val="00DE77EE"/>
    <w:rsid w:val="00DF3764"/>
    <w:rsid w:val="00E0095E"/>
    <w:rsid w:val="00E06D3B"/>
    <w:rsid w:val="00E379BD"/>
    <w:rsid w:val="00E404FB"/>
    <w:rsid w:val="00E466B4"/>
    <w:rsid w:val="00E539A0"/>
    <w:rsid w:val="00E830B4"/>
    <w:rsid w:val="00E839C0"/>
    <w:rsid w:val="00E83D65"/>
    <w:rsid w:val="00EA22F4"/>
    <w:rsid w:val="00EB6408"/>
    <w:rsid w:val="00ED3740"/>
    <w:rsid w:val="00ED5B70"/>
    <w:rsid w:val="00EE0F43"/>
    <w:rsid w:val="00EE12A2"/>
    <w:rsid w:val="00F12DBE"/>
    <w:rsid w:val="00F32E79"/>
    <w:rsid w:val="00F35225"/>
    <w:rsid w:val="00F44129"/>
    <w:rsid w:val="00F52C1B"/>
    <w:rsid w:val="00F575FB"/>
    <w:rsid w:val="00F61F62"/>
    <w:rsid w:val="00F748DB"/>
    <w:rsid w:val="00F879AF"/>
    <w:rsid w:val="00FA196E"/>
    <w:rsid w:val="00FA7AE1"/>
    <w:rsid w:val="00FB2A28"/>
    <w:rsid w:val="00FB770A"/>
    <w:rsid w:val="00FC4166"/>
    <w:rsid w:val="00FD0BA2"/>
    <w:rsid w:val="00FD2D67"/>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9C37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s>
      <w:ind w:left="5760" w:hanging="5760"/>
      <w:outlineLvl w:val="4"/>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BodyText">
    <w:name w:val="Body Text"/>
    <w:basedOn w:val="Normal"/>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21153"/>
    <w:rPr>
      <w:rFonts w:ascii="Tahoma" w:hAnsi="Tahoma" w:cs="Tahoma"/>
      <w:sz w:val="16"/>
      <w:szCs w:val="16"/>
    </w:rPr>
  </w:style>
  <w:style w:type="paragraph" w:styleId="Header">
    <w:name w:val="header"/>
    <w:basedOn w:val="Normal"/>
    <w:link w:val="HeaderChar"/>
    <w:rsid w:val="002612C7"/>
    <w:pPr>
      <w:tabs>
        <w:tab w:val="center" w:pos="4680"/>
        <w:tab w:val="right" w:pos="9360"/>
      </w:tabs>
    </w:pPr>
  </w:style>
  <w:style w:type="character" w:customStyle="1" w:styleId="HeaderChar">
    <w:name w:val="Header Char"/>
    <w:link w:val="Header"/>
    <w:rsid w:val="002612C7"/>
    <w:rPr>
      <w:rFonts w:ascii="Arial Narrow" w:hAnsi="Arial Narrow"/>
    </w:rPr>
  </w:style>
  <w:style w:type="character" w:styleId="CommentReference">
    <w:name w:val="annotation reference"/>
    <w:rsid w:val="00BB0B90"/>
    <w:rPr>
      <w:sz w:val="16"/>
      <w:szCs w:val="16"/>
    </w:rPr>
  </w:style>
  <w:style w:type="paragraph" w:styleId="CommentText">
    <w:name w:val="annotation text"/>
    <w:basedOn w:val="Normal"/>
    <w:link w:val="CommentTextChar"/>
    <w:rsid w:val="00BB0B90"/>
  </w:style>
  <w:style w:type="character" w:customStyle="1" w:styleId="CommentTextChar">
    <w:name w:val="Comment Text Char"/>
    <w:link w:val="CommentText"/>
    <w:rsid w:val="00BB0B90"/>
    <w:rPr>
      <w:rFonts w:ascii="Arial Narrow" w:hAnsi="Arial Narrow"/>
    </w:rPr>
  </w:style>
  <w:style w:type="paragraph" w:styleId="CommentSubject">
    <w:name w:val="annotation subject"/>
    <w:basedOn w:val="CommentText"/>
    <w:next w:val="CommentText"/>
    <w:link w:val="CommentSubjectChar"/>
    <w:rsid w:val="00BB0B90"/>
    <w:rPr>
      <w:b/>
      <w:bCs/>
    </w:rPr>
  </w:style>
  <w:style w:type="character" w:customStyle="1" w:styleId="CommentSubjectChar">
    <w:name w:val="Comment Subject Char"/>
    <w:link w:val="CommentSubject"/>
    <w:rsid w:val="00BB0B90"/>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52687">
      <w:bodyDiv w:val="1"/>
      <w:marLeft w:val="0"/>
      <w:marRight w:val="0"/>
      <w:marTop w:val="0"/>
      <w:marBottom w:val="0"/>
      <w:divBdr>
        <w:top w:val="none" w:sz="0" w:space="0" w:color="auto"/>
        <w:left w:val="none" w:sz="0" w:space="0" w:color="auto"/>
        <w:bottom w:val="none" w:sz="0" w:space="0" w:color="auto"/>
        <w:right w:val="none" w:sz="0" w:space="0" w:color="auto"/>
      </w:divBdr>
    </w:div>
    <w:div w:id="125458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Sensitivity_x0020_Categorization xmlns="6f095830-e5d4-4888-b370-1bdc7e94aad0">
      <Value>Supervisory Sensitive Information</Value>
    </Sensitivity_x0020_Categorization>
    <EmailSubject xmlns="http://schemas.microsoft.com/sharepoint/v3" xsi:nil="true"/>
    <Content_x0020_Manager xmlns="6f095830-e5d4-4888-b370-1bdc7e94aad0">
      <UserInfo>
        <DisplayName>Scott, Priya</DisplayName>
        <AccountId>1189</AccountId>
        <AccountType/>
      </UserInfo>
    </Content_x0020_Manager>
    <EmailCc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0CFEC7CB14A245985A94DED8062DE3" ma:contentTypeVersion="6" ma:contentTypeDescription="Create a new document." ma:contentTypeScope="" ma:versionID="32ed75d2fa2f1222c71937e0b7c2bd5d">
  <xsd:schema xmlns:xsd="http://www.w3.org/2001/XMLSchema" xmlns:xs="http://www.w3.org/2001/XMLSchema" xmlns:p="http://schemas.microsoft.com/office/2006/metadata/properties" xmlns:ns1="http://schemas.microsoft.com/sharepoint/v3" xmlns:ns2="http://schemas.microsoft.com/sharepoint/v4" xmlns:ns3="6f095830-e5d4-4888-b370-1bdc7e94aad0" targetNamespace="http://schemas.microsoft.com/office/2006/metadata/properties" ma:root="true" ma:fieldsID="6481a0940ad9a88543f55a18779b4f52" ns1:_="" ns2:_="" ns3:_="">
    <xsd:import namespace="http://schemas.microsoft.com/sharepoint/v3"/>
    <xsd:import namespace="http://schemas.microsoft.com/sharepoint/v4"/>
    <xsd:import namespace="6f095830-e5d4-4888-b370-1bdc7e94aad0"/>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Sensitivity_x0020_Categorization" minOccurs="0"/>
                <xsd:element ref="ns3:Content_x0020_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4" nillable="true" ma:displayName="Sensitivity Categorization" ma:internalName="Sensitivity_x0020_Categorization" ma:requiredMultiChoice="true">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element name="Content_x0020_Manager" ma:index="15" nillable="true" ma:displayName="Content Manager" ma:list="UserInfo" ma:SharePointGroup="0" ma:internalName="Content_x0020_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a48f0ae-7653-44c8-b127-2d83e9d522e5"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0591-56AE-4081-B716-95BF896CE74A}">
  <ds:schemaRefs>
    <ds:schemaRef ds:uri="http://schemas.microsoft.com/office/2006/metadata/properties"/>
    <ds:schemaRef ds:uri="http://schemas.microsoft.com/office/2006/documentManagement/types"/>
    <ds:schemaRef ds:uri="6f095830-e5d4-4888-b370-1bdc7e94aad0"/>
    <ds:schemaRef ds:uri="http://schemas.openxmlformats.org/package/2006/metadata/core-properties"/>
    <ds:schemaRef ds:uri="http://purl.org/dc/terms/"/>
    <ds:schemaRef ds:uri="http://schemas.microsoft.com/office/infopath/2007/PartnerControls"/>
    <ds:schemaRef ds:uri="http://purl.org/dc/elements/1.1/"/>
    <ds:schemaRef ds:uri="http://schemas.microsoft.com/sharepoint/v3"/>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BE60965A-31DD-44E0-8513-867CC0E75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8D71A-97D8-4950-9AFA-9235BEB4639F}">
  <ds:schemaRefs>
    <ds:schemaRef ds:uri="Microsoft.SharePoint.Taxonomy.ContentTypeSync"/>
  </ds:schemaRefs>
</ds:datastoreItem>
</file>

<file path=customXml/itemProps4.xml><?xml version="1.0" encoding="utf-8"?>
<ds:datastoreItem xmlns:ds="http://schemas.openxmlformats.org/officeDocument/2006/customXml" ds:itemID="{24D2EB7E-3F16-4E0B-B455-85862F01BCC6}">
  <ds:schemaRefs>
    <ds:schemaRef ds:uri="http://schemas.microsoft.com/sharepoint/v3/contenttype/forms"/>
  </ds:schemaRefs>
</ds:datastoreItem>
</file>

<file path=customXml/itemProps5.xml><?xml version="1.0" encoding="utf-8"?>
<ds:datastoreItem xmlns:ds="http://schemas.openxmlformats.org/officeDocument/2006/customXml" ds:itemID="{046A6E78-67FD-45AC-BC12-6394A1BD7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5567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2020-12-18T14:55:00Z</dcterms:created>
  <dcterms:modified xsi:type="dcterms:W3CDTF">2020-12-18T14:55:00Z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0x0101004E0CFEC7CB14A245985A94DED8062DE3</vt:lpwstr>
  </property>
</Properties>
</file>