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87" w:rsidP="00AC7487" w:rsidRDefault="00AC7487">
      <w:pPr>
        <w:pStyle w:val="Heading2"/>
        <w:numPr>
          <w:ilvl w:val="0"/>
          <w:numId w:val="1"/>
        </w:numPr>
      </w:pPr>
      <w:bookmarkStart w:name="_Toc15029657" w:id="0"/>
      <w:r>
        <w:t>Pilot study data</w:t>
      </w:r>
      <w:bookmarkEnd w:id="0"/>
    </w:p>
    <w:p w:rsidR="00AC7487" w:rsidRDefault="00AC7487"/>
    <w:p w:rsidR="006B3EB5" w:rsidP="00C57E45" w:rsidRDefault="00AC7487">
      <w:pPr>
        <w:rPr>
          <w:szCs w:val="24"/>
        </w:rPr>
      </w:pPr>
      <w:r>
        <w:t>This appendix summa</w:t>
      </w:r>
      <w:r w:rsidR="00F0695C">
        <w:t>rizes the four pilot studies around Atlanta, GA (ATL), Philadelphia, PA (PHL), Frankfurt, Germany (</w:t>
      </w:r>
      <w:r w:rsidR="00F33B6C">
        <w:t>NORAH</w:t>
      </w:r>
      <w:r w:rsidR="00F0695C">
        <w:t>) and Cologne, Germany (</w:t>
      </w:r>
      <w:r w:rsidR="00F33B6C">
        <w:t>STRAIN</w:t>
      </w:r>
      <w:r w:rsidR="00F0695C">
        <w:t xml:space="preserve">), which were used to estimate model parameters for the calculation of sample size for the field study.  The number of participants and aircraft noise events during sleep are given in </w:t>
      </w:r>
      <w:r w:rsidRPr="00F0695C" w:rsidR="00F0695C">
        <w:fldChar w:fldCharType="begin"/>
      </w:r>
      <w:r w:rsidRPr="00F0695C" w:rsidR="00F0695C">
        <w:instrText xml:space="preserve"> REF _Ref15287374 \h  \* MERGEFORMAT </w:instrText>
      </w:r>
      <w:r w:rsidRPr="00F0695C" w:rsidR="00F0695C">
        <w:fldChar w:fldCharType="separate"/>
      </w:r>
      <w:r w:rsidRPr="00F0695C" w:rsidR="00F0695C">
        <w:t>Table A</w:t>
      </w:r>
      <w:r w:rsidRPr="00F0695C" w:rsidR="00F0695C">
        <w:rPr>
          <w:noProof/>
        </w:rPr>
        <w:t>1</w:t>
      </w:r>
      <w:r w:rsidRPr="00F0695C" w:rsidR="00F0695C">
        <w:fldChar w:fldCharType="end"/>
      </w:r>
      <w:r w:rsidRPr="00F0695C" w:rsidR="00F0695C">
        <w:t>.</w:t>
      </w:r>
      <w:r w:rsidR="00F0695C">
        <w:t xml:space="preserve"> The distributions of the measured maximum and 1-minute background sound pressure levels in the bedrooms in each study are give</w:t>
      </w:r>
      <w:r w:rsidRPr="00C57E45" w:rsidR="00F0695C">
        <w:t xml:space="preserve">n in </w:t>
      </w:r>
      <w:r w:rsidRPr="00C57E45" w:rsidR="00F0695C">
        <w:fldChar w:fldCharType="begin"/>
      </w:r>
      <w:r w:rsidRPr="00C57E45" w:rsidR="00F0695C">
        <w:instrText xml:space="preserve"> REF _Ref15287448 \h </w:instrText>
      </w:r>
      <w:r w:rsidRPr="00C57E45" w:rsidR="00C57E45">
        <w:instrText xml:space="preserve"> \* MERGEFORMAT </w:instrText>
      </w:r>
      <w:r w:rsidRPr="00C57E45" w:rsidR="00F0695C">
        <w:fldChar w:fldCharType="separate"/>
      </w:r>
      <w:r w:rsidRPr="00C57E45" w:rsidR="00F0695C">
        <w:t>Figure A</w:t>
      </w:r>
      <w:r w:rsidRPr="00C57E45" w:rsidR="00F0695C">
        <w:rPr>
          <w:noProof/>
        </w:rPr>
        <w:t>1</w:t>
      </w:r>
      <w:r w:rsidRPr="00C57E45" w:rsidR="00F0695C">
        <w:fldChar w:fldCharType="end"/>
      </w:r>
      <w:r w:rsidRPr="00C57E45" w:rsidR="00F0695C">
        <w:t xml:space="preserve">. </w:t>
      </w:r>
      <w:r w:rsidRPr="00C57E45" w:rsidR="00C57E45">
        <w:rPr>
          <w:szCs w:val="24"/>
        </w:rPr>
        <w:t xml:space="preserve">Details for the fitted </w:t>
      </w:r>
      <w:r w:rsidRPr="00E94DA3" w:rsidR="00C57E45">
        <w:rPr>
          <w:szCs w:val="24"/>
        </w:rPr>
        <w:t xml:space="preserve">Model 0 coefficients for the 4 pilot studies, and their average values, are provided in </w:t>
      </w:r>
      <w:r w:rsidRPr="00E94DA3" w:rsidR="00C57E45">
        <w:rPr>
          <w:szCs w:val="24"/>
        </w:rPr>
        <w:fldChar w:fldCharType="begin"/>
      </w:r>
      <w:r w:rsidRPr="00E94DA3" w:rsidR="00C57E45">
        <w:rPr>
          <w:szCs w:val="24"/>
        </w:rPr>
        <w:instrText xml:space="preserve"> REF _Ref15287570 \h  \* MERGEFORMAT </w:instrText>
      </w:r>
      <w:r w:rsidRPr="00E94DA3" w:rsidR="00C57E45">
        <w:rPr>
          <w:szCs w:val="24"/>
        </w:rPr>
      </w:r>
      <w:r w:rsidRPr="00E94DA3" w:rsidR="00C57E45">
        <w:rPr>
          <w:szCs w:val="24"/>
        </w:rPr>
        <w:fldChar w:fldCharType="separate"/>
      </w:r>
      <w:r w:rsidRPr="00E94DA3" w:rsidR="00C57E45">
        <w:t>Table A</w:t>
      </w:r>
      <w:r w:rsidRPr="00E94DA3" w:rsidR="00C57E45">
        <w:rPr>
          <w:noProof/>
        </w:rPr>
        <w:t>2</w:t>
      </w:r>
      <w:r w:rsidRPr="00E94DA3" w:rsidR="00C57E45">
        <w:rPr>
          <w:szCs w:val="24"/>
        </w:rPr>
        <w:fldChar w:fldCharType="end"/>
      </w:r>
      <w:r w:rsidRPr="00E94DA3" w:rsidR="00C57E45">
        <w:rPr>
          <w:szCs w:val="24"/>
        </w:rPr>
        <w:t xml:space="preserve"> (see Section B1.3).</w:t>
      </w:r>
      <w:bookmarkStart w:name="_GoBack" w:id="1"/>
      <w:bookmarkEnd w:id="1"/>
    </w:p>
    <w:p w:rsidR="003A256F" w:rsidP="00C57E45" w:rsidRDefault="003A256F"/>
    <w:p w:rsidR="006B3EB5" w:rsidP="006B3EB5" w:rsidRDefault="006B3EB5">
      <w:pPr>
        <w:pStyle w:val="Caption"/>
        <w:keepNext/>
      </w:pPr>
      <w:bookmarkStart w:name="_Ref15287374" w:id="2"/>
      <w:r w:rsidRPr="00AC7487">
        <w:rPr>
          <w:b/>
        </w:rPr>
        <w:t xml:space="preserve">Table </w:t>
      </w:r>
      <w:r w:rsidR="00AC7487">
        <w:rPr>
          <w:b/>
        </w:rPr>
        <w:t>A</w:t>
      </w:r>
      <w:r w:rsidRPr="00AC7487">
        <w:rPr>
          <w:b/>
        </w:rPr>
        <w:fldChar w:fldCharType="begin"/>
      </w:r>
      <w:r w:rsidRPr="00AC7487">
        <w:rPr>
          <w:b/>
        </w:rPr>
        <w:instrText xml:space="preserve"> SEQ Table \* ARABIC </w:instrText>
      </w:r>
      <w:r w:rsidRPr="00AC7487">
        <w:rPr>
          <w:b/>
        </w:rPr>
        <w:fldChar w:fldCharType="separate"/>
      </w:r>
      <w:r w:rsidRPr="00AC7487" w:rsidR="00C01E69">
        <w:rPr>
          <w:b/>
          <w:noProof/>
        </w:rPr>
        <w:t>1</w:t>
      </w:r>
      <w:r w:rsidRPr="00AC7487">
        <w:rPr>
          <w:b/>
        </w:rPr>
        <w:fldChar w:fldCharType="end"/>
      </w:r>
      <w:bookmarkEnd w:id="2"/>
      <w:r>
        <w:t xml:space="preserve"> Summary of pilot studies</w:t>
      </w:r>
      <w:r w:rsidR="006562FC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2099"/>
        <w:gridCol w:w="2700"/>
      </w:tblGrid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Pr="006B3EB5" w:rsidR="006B3EB5" w:rsidP="00C01E69" w:rsidRDefault="006B3EB5">
            <w:pPr>
              <w:rPr>
                <w:rFonts w:ascii="Calibri" w:hAnsi="Calibri" w:cs="Calibri"/>
                <w:b/>
              </w:rPr>
            </w:pPr>
            <w:r w:rsidRPr="006B3EB5">
              <w:rPr>
                <w:rFonts w:ascii="Calibri" w:hAnsi="Calibri" w:cs="Calibri"/>
                <w:b/>
              </w:rPr>
              <w:t>Pilot</w:t>
            </w:r>
            <w:r w:rsidR="00F0695C">
              <w:rPr>
                <w:rFonts w:ascii="Calibri" w:hAnsi="Calibri" w:cs="Calibri"/>
                <w:b/>
              </w:rPr>
              <w:t xml:space="preserve"> study</w:t>
            </w:r>
          </w:p>
        </w:tc>
        <w:tc>
          <w:tcPr>
            <w:tcW w:w="2099" w:type="dxa"/>
            <w:vAlign w:val="center"/>
          </w:tcPr>
          <w:p w:rsidRPr="006B3EB5" w:rsidR="006B3EB5" w:rsidP="00F0695C" w:rsidRDefault="006B3EB5">
            <w:pPr>
              <w:jc w:val="center"/>
              <w:rPr>
                <w:rFonts w:ascii="Calibri" w:hAnsi="Calibri" w:cs="Calibri"/>
                <w:b/>
              </w:rPr>
            </w:pPr>
            <w:r w:rsidRPr="006B3EB5">
              <w:rPr>
                <w:rFonts w:ascii="Calibri" w:hAnsi="Calibri" w:cs="Calibri"/>
                <w:b/>
              </w:rPr>
              <w:t>A</w:t>
            </w:r>
            <w:r w:rsidR="00F0695C">
              <w:rPr>
                <w:rFonts w:ascii="Calibri" w:hAnsi="Calibri" w:cs="Calibri"/>
                <w:b/>
              </w:rPr>
              <w:t>ircraft noise events</w:t>
            </w:r>
            <w:r w:rsidRPr="006B3EB5">
              <w:rPr>
                <w:rFonts w:ascii="Calibri" w:hAnsi="Calibri" w:cs="Calibri"/>
                <w:b/>
              </w:rPr>
              <w:t xml:space="preserve"> (n)</w:t>
            </w:r>
          </w:p>
        </w:tc>
        <w:tc>
          <w:tcPr>
            <w:tcW w:w="2700" w:type="dxa"/>
            <w:vAlign w:val="center"/>
          </w:tcPr>
          <w:p w:rsidRPr="006B3EB5" w:rsidR="006B3EB5" w:rsidP="00C01E69" w:rsidRDefault="006B3EB5">
            <w:pPr>
              <w:jc w:val="center"/>
              <w:rPr>
                <w:rFonts w:ascii="Calibri" w:hAnsi="Calibri" w:cs="Calibri"/>
                <w:b/>
              </w:rPr>
            </w:pPr>
            <w:r w:rsidRPr="006B3EB5">
              <w:rPr>
                <w:rFonts w:ascii="Calibri" w:hAnsi="Calibri" w:cs="Calibri"/>
                <w:b/>
              </w:rPr>
              <w:t>Study participants (n)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PHL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STRAIN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17,095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NORAH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8,695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29,470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</w:tr>
      <w:tr w:rsidR="006B3EB5" w:rsidTr="00C01E69">
        <w:trPr>
          <w:trHeight w:val="360"/>
          <w:jc w:val="center"/>
        </w:trPr>
        <w:tc>
          <w:tcPr>
            <w:tcW w:w="2401" w:type="dxa"/>
            <w:vAlign w:val="center"/>
          </w:tcPr>
          <w:p w:rsidR="006B3EB5" w:rsidP="00C01E69" w:rsidRDefault="006B3E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</w:t>
            </w:r>
          </w:p>
        </w:tc>
        <w:tc>
          <w:tcPr>
            <w:tcW w:w="2099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7367</w:t>
            </w:r>
          </w:p>
        </w:tc>
        <w:tc>
          <w:tcPr>
            <w:tcW w:w="2700" w:type="dxa"/>
            <w:vAlign w:val="center"/>
          </w:tcPr>
          <w:p w:rsidR="006B3EB5" w:rsidP="00C01E69" w:rsidRDefault="006B3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</w:tr>
    </w:tbl>
    <w:p w:rsidR="006B3EB5" w:rsidP="006B3EB5" w:rsidRDefault="006B3EB5">
      <w:pPr>
        <w:rPr>
          <w:rFonts w:ascii="Calibri" w:hAnsi="Calibri" w:cs="Calibri"/>
        </w:rPr>
      </w:pPr>
    </w:p>
    <w:p w:rsidR="006B3EB5" w:rsidP="006B3EB5" w:rsidRDefault="006B3EB5">
      <w:pPr>
        <w:keepNext/>
      </w:pPr>
      <w:r>
        <w:rPr>
          <w:noProof/>
        </w:rPr>
        <w:lastRenderedPageBreak/>
        <w:drawing>
          <wp:inline distT="0" distB="0" distL="0" distR="0">
            <wp:extent cx="4552950" cy="545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0" r="4209" b="2170"/>
                    <a:stretch/>
                  </pic:blipFill>
                  <pic:spPr bwMode="auto">
                    <a:xfrm>
                      <a:off x="0" y="0"/>
                      <a:ext cx="45529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0695C" w:rsidR="006B3EB5" w:rsidP="006B3EB5" w:rsidRDefault="006B3EB5">
      <w:pPr>
        <w:pStyle w:val="Caption"/>
      </w:pPr>
      <w:bookmarkStart w:name="_Ref15287448" w:id="3"/>
      <w:r w:rsidRPr="00F0695C">
        <w:rPr>
          <w:b/>
        </w:rPr>
        <w:t xml:space="preserve">Figure </w:t>
      </w:r>
      <w:r w:rsidRPr="00F0695C" w:rsidR="00F0695C">
        <w:rPr>
          <w:b/>
        </w:rPr>
        <w:t>A</w:t>
      </w:r>
      <w:r w:rsidRPr="00F0695C">
        <w:rPr>
          <w:b/>
        </w:rPr>
        <w:fldChar w:fldCharType="begin"/>
      </w:r>
      <w:r w:rsidRPr="00F0695C">
        <w:rPr>
          <w:b/>
        </w:rPr>
        <w:instrText xml:space="preserve"> SEQ Figure \* ARABIC </w:instrText>
      </w:r>
      <w:r w:rsidRPr="00F0695C">
        <w:rPr>
          <w:b/>
        </w:rPr>
        <w:fldChar w:fldCharType="separate"/>
      </w:r>
      <w:r w:rsidRPr="00F0695C">
        <w:rPr>
          <w:b/>
          <w:noProof/>
        </w:rPr>
        <w:t>1</w:t>
      </w:r>
      <w:r w:rsidRPr="00F0695C">
        <w:rPr>
          <w:b/>
        </w:rPr>
        <w:fldChar w:fldCharType="end"/>
      </w:r>
      <w:bookmarkEnd w:id="3"/>
      <w:r w:rsidRPr="00F0695C">
        <w:t xml:space="preserve"> Histograms of background </w:t>
      </w:r>
      <w:r w:rsidRPr="00F0695C">
        <w:rPr>
          <w:i/>
        </w:rPr>
        <w:t>L</w:t>
      </w:r>
      <w:r w:rsidRPr="00F0695C">
        <w:rPr>
          <w:vertAlign w:val="subscript"/>
        </w:rPr>
        <w:t>Aeq,1minute</w:t>
      </w:r>
      <w:r w:rsidRPr="00F0695C">
        <w:t xml:space="preserve"> (red) and </w:t>
      </w:r>
      <w:r w:rsidRPr="00F0695C">
        <w:rPr>
          <w:i/>
        </w:rPr>
        <w:t>L</w:t>
      </w:r>
      <w:r w:rsidRPr="00F0695C">
        <w:rPr>
          <w:vertAlign w:val="subscript"/>
        </w:rPr>
        <w:t>AS,max</w:t>
      </w:r>
      <w:r w:rsidRPr="00F0695C">
        <w:t xml:space="preserve"> (blue) for pilot data</w:t>
      </w:r>
      <w:r w:rsidRPr="00F0695C" w:rsidR="00C01E69">
        <w:t>. Sound pressure levels were measured indoors in the bedroom.</w:t>
      </w:r>
    </w:p>
    <w:p w:rsidR="00C01E69" w:rsidP="00C01E69" w:rsidRDefault="00C01E69">
      <w:pPr>
        <w:pStyle w:val="NoSpacing"/>
        <w:rPr>
          <w:sz w:val="22"/>
          <w:szCs w:val="22"/>
        </w:rPr>
      </w:pPr>
    </w:p>
    <w:p w:rsidRPr="00A53EBD" w:rsidR="00C01E69" w:rsidP="00C01E69" w:rsidRDefault="00C01E69">
      <w:pPr>
        <w:pStyle w:val="NoSpacing"/>
        <w:rPr>
          <w:b/>
          <w:sz w:val="22"/>
          <w:szCs w:val="22"/>
        </w:rPr>
      </w:pPr>
    </w:p>
    <w:p w:rsidR="00C01E69" w:rsidP="00C01E69" w:rsidRDefault="00C01E69">
      <w:pPr>
        <w:pStyle w:val="Caption"/>
        <w:keepNext/>
      </w:pPr>
      <w:bookmarkStart w:name="_Ref15287570" w:id="4"/>
      <w:r w:rsidRPr="00F0695C">
        <w:rPr>
          <w:b/>
        </w:rPr>
        <w:t xml:space="preserve">Table </w:t>
      </w:r>
      <w:r w:rsidRPr="00F0695C" w:rsidR="00F0695C">
        <w:rPr>
          <w:b/>
        </w:rPr>
        <w:t>A</w:t>
      </w:r>
      <w:r w:rsidRPr="00F0695C">
        <w:rPr>
          <w:b/>
        </w:rPr>
        <w:fldChar w:fldCharType="begin"/>
      </w:r>
      <w:r w:rsidRPr="00F0695C">
        <w:rPr>
          <w:b/>
        </w:rPr>
        <w:instrText xml:space="preserve"> SEQ Table \* ARABIC </w:instrText>
      </w:r>
      <w:r w:rsidRPr="00F0695C">
        <w:rPr>
          <w:b/>
        </w:rPr>
        <w:fldChar w:fldCharType="separate"/>
      </w:r>
      <w:r w:rsidRPr="00F0695C">
        <w:rPr>
          <w:b/>
          <w:noProof/>
        </w:rPr>
        <w:t>2</w:t>
      </w:r>
      <w:r w:rsidRPr="00F0695C">
        <w:rPr>
          <w:b/>
        </w:rPr>
        <w:fldChar w:fldCharType="end"/>
      </w:r>
      <w:bookmarkEnd w:id="4"/>
      <w:r>
        <w:t xml:space="preserve"> Summary of Model 0 to fi</w:t>
      </w:r>
      <w:r w:rsidR="00F0695C">
        <w:t>t</w:t>
      </w:r>
      <w:r>
        <w:t xml:space="preserve"> pilot data. The last row was used to generate the true parameters in Model 2.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1361"/>
        <w:gridCol w:w="1803"/>
        <w:gridCol w:w="1735"/>
        <w:gridCol w:w="1290"/>
        <w:gridCol w:w="965"/>
        <w:gridCol w:w="1051"/>
        <w:gridCol w:w="1172"/>
      </w:tblGrid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Pilot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β</w:t>
            </w:r>
            <w:r w:rsidRPr="004A6AB0">
              <w:rPr>
                <w:rFonts w:cstheme="minorHAnsi"/>
                <w:b/>
                <w:sz w:val="22"/>
                <w:szCs w:val="22"/>
                <w:vertAlign w:val="subscript"/>
              </w:rPr>
              <w:t>0</w:t>
            </w:r>
            <w:r w:rsidRPr="004A6AB0">
              <w:rPr>
                <w:rFonts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cstheme="minorHAnsi"/>
                <w:b/>
                <w:sz w:val="22"/>
                <w:szCs w:val="22"/>
              </w:rPr>
              <w:t>SD</w:t>
            </w:r>
            <w:r w:rsidRPr="004A6AB0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β</w:t>
            </w:r>
            <w:r w:rsidRPr="004A6AB0">
              <w:rPr>
                <w:rFonts w:cstheme="minorHAnsi"/>
                <w:b/>
                <w:sz w:val="22"/>
                <w:szCs w:val="22"/>
                <w:vertAlign w:val="subscript"/>
              </w:rPr>
              <w:t>1</w:t>
            </w:r>
            <w:r w:rsidRPr="004A6AB0">
              <w:rPr>
                <w:rFonts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cstheme="minorHAnsi"/>
                <w:b/>
                <w:sz w:val="22"/>
                <w:szCs w:val="22"/>
              </w:rPr>
              <w:t>SD</w:t>
            </w:r>
            <w:r w:rsidRPr="004A6AB0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90" w:type="dxa"/>
            <w:vAlign w:val="center"/>
          </w:tcPr>
          <w:p w:rsidRPr="00971A1E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Cov(</w:t>
            </w:r>
            <w:r w:rsidRPr="004A6AB0">
              <w:rPr>
                <w:rFonts w:cstheme="minorHAnsi"/>
                <w:b/>
                <w:sz w:val="22"/>
                <w:szCs w:val="22"/>
              </w:rPr>
              <w:t>β</w:t>
            </w:r>
            <w:r>
              <w:rPr>
                <w:rFonts w:cstheme="minorHAnsi"/>
                <w:b/>
                <w:sz w:val="22"/>
                <w:szCs w:val="22"/>
                <w:vertAlign w:val="subscript"/>
              </w:rPr>
              <w:t>0</w:t>
            </w:r>
            <w:r>
              <w:rPr>
                <w:rFonts w:cstheme="minorHAnsi"/>
                <w:b/>
                <w:sz w:val="22"/>
                <w:szCs w:val="22"/>
              </w:rPr>
              <w:t>,</w:t>
            </w:r>
            <w:r w:rsidRPr="004A6AB0">
              <w:rPr>
                <w:rFonts w:cstheme="minorHAnsi"/>
                <w:b/>
                <w:sz w:val="22"/>
                <w:szCs w:val="22"/>
              </w:rPr>
              <w:t xml:space="preserve"> β</w:t>
            </w:r>
            <w:r w:rsidRPr="004A6AB0">
              <w:rPr>
                <w:rFonts w:cstheme="minorHAnsi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Var(</w:t>
            </w:r>
            <w:r w:rsidRPr="004A6AB0">
              <w:rPr>
                <w:rFonts w:cstheme="minorHAnsi"/>
                <w:sz w:val="22"/>
                <w:szCs w:val="22"/>
              </w:rPr>
              <w:t>b</w:t>
            </w:r>
            <w:r w:rsidRPr="004A6AB0">
              <w:rPr>
                <w:rFonts w:cstheme="minorHAnsi"/>
                <w:sz w:val="22"/>
                <w:szCs w:val="22"/>
                <w:vertAlign w:val="subscript"/>
              </w:rPr>
              <w:t>0</w:t>
            </w:r>
            <w:r w:rsidRPr="004A6AB0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Var(</w:t>
            </w:r>
            <w:r w:rsidRPr="004A6AB0">
              <w:rPr>
                <w:rFonts w:cstheme="minorHAnsi"/>
                <w:sz w:val="22"/>
                <w:szCs w:val="22"/>
              </w:rPr>
              <w:t>b</w:t>
            </w:r>
            <w:r w:rsidRPr="004A6AB0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4A6AB0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b/>
                <w:sz w:val="22"/>
                <w:szCs w:val="22"/>
              </w:rPr>
            </w:pPr>
            <w:r w:rsidRPr="004A6AB0">
              <w:rPr>
                <w:rFonts w:cstheme="minorHAnsi"/>
                <w:b/>
                <w:sz w:val="22"/>
                <w:szCs w:val="22"/>
              </w:rPr>
              <w:t>Cov(</w:t>
            </w:r>
            <w:r w:rsidRPr="004A6AB0">
              <w:rPr>
                <w:rFonts w:cstheme="minorHAnsi"/>
                <w:sz w:val="22"/>
                <w:szCs w:val="22"/>
              </w:rPr>
              <w:t>b</w:t>
            </w:r>
            <w:r w:rsidRPr="004A6AB0">
              <w:rPr>
                <w:rFonts w:cstheme="minorHAnsi"/>
                <w:sz w:val="22"/>
                <w:szCs w:val="22"/>
                <w:vertAlign w:val="subscript"/>
              </w:rPr>
              <w:t>0</w:t>
            </w:r>
            <w:r w:rsidRPr="004A6AB0">
              <w:rPr>
                <w:rFonts w:cstheme="minorHAnsi"/>
                <w:sz w:val="22"/>
                <w:szCs w:val="22"/>
              </w:rPr>
              <w:t>, b</w:t>
            </w:r>
            <w:r w:rsidRPr="004A6AB0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4A6AB0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ATL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-3.5244 (0.6356)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0.0296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 xml:space="preserve"> (0.0147)</w:t>
            </w:r>
          </w:p>
        </w:tc>
        <w:tc>
          <w:tcPr>
            <w:tcW w:w="1290" w:type="dxa"/>
            <w:vAlign w:val="center"/>
          </w:tcPr>
          <w:p w:rsidRPr="00BA616A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3C23EB">
              <w:rPr>
                <w:rFonts w:cstheme="minorHAnsi"/>
                <w:sz w:val="22"/>
                <w:szCs w:val="22"/>
                <w:bdr w:val="none" w:color="auto" w:sz="0" w:space="0" w:frame="1"/>
              </w:rPr>
              <w:t>-0.009</w:t>
            </w:r>
            <w:r>
              <w:rPr>
                <w:rFonts w:cstheme="minorHAnsi"/>
                <w:sz w:val="22"/>
                <w:szCs w:val="22"/>
                <w:bdr w:val="none" w:color="auto" w:sz="0" w:space="0" w:frame="1"/>
              </w:rPr>
              <w:t>2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0.7988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0.00018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-0.0122</w:t>
            </w:r>
          </w:p>
        </w:tc>
      </w:tr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PHL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-4.2744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 xml:space="preserve"> (0.7139)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0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.0418 (0.0150)</w:t>
            </w:r>
          </w:p>
        </w:tc>
        <w:tc>
          <w:tcPr>
            <w:tcW w:w="1290" w:type="dxa"/>
            <w:vAlign w:val="center"/>
          </w:tcPr>
          <w:p w:rsidRPr="00BA616A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BA616A">
              <w:rPr>
                <w:rFonts w:cstheme="minorHAnsi"/>
                <w:sz w:val="22"/>
                <w:szCs w:val="22"/>
              </w:rPr>
              <w:t>-0.010</w:t>
            </w: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3.787</w:t>
            </w: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0.00157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-0.076</w:t>
            </w:r>
            <w:r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STRAIN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-4.1686 (.3453)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0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.0403 (0.0477)</w:t>
            </w:r>
          </w:p>
        </w:tc>
        <w:tc>
          <w:tcPr>
            <w:tcW w:w="1290" w:type="dxa"/>
            <w:vAlign w:val="center"/>
          </w:tcPr>
          <w:p w:rsidRPr="00BA616A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BA616A">
              <w:rPr>
                <w:rFonts w:cstheme="minorHAnsi"/>
                <w:sz w:val="22"/>
                <w:szCs w:val="22"/>
              </w:rPr>
              <w:t>-0.002</w:t>
            </w:r>
            <w:r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4.0348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0.00227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-0.09</w:t>
            </w:r>
            <w:r>
              <w:rPr>
                <w:rFonts w:cstheme="minorHAnsi"/>
                <w:sz w:val="22"/>
                <w:szCs w:val="22"/>
              </w:rPr>
              <w:t>30</w:t>
            </w:r>
          </w:p>
        </w:tc>
      </w:tr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NORAH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-5.0672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 xml:space="preserve"> (0.3042)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0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.0619 (0.0071)</w:t>
            </w:r>
          </w:p>
        </w:tc>
        <w:tc>
          <w:tcPr>
            <w:tcW w:w="1290" w:type="dxa"/>
            <w:vAlign w:val="center"/>
          </w:tcPr>
          <w:p w:rsidRPr="00BA616A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BA616A">
              <w:rPr>
                <w:rFonts w:cstheme="minorHAnsi"/>
                <w:sz w:val="22"/>
                <w:szCs w:val="22"/>
              </w:rPr>
              <w:t>-0.0021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2.106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0.00124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C65B75">
              <w:rPr>
                <w:rFonts w:cstheme="minorHAnsi"/>
                <w:sz w:val="22"/>
                <w:szCs w:val="22"/>
              </w:rPr>
              <w:t>-0.047</w:t>
            </w:r>
            <w:r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C01E69" w:rsidTr="00C01E69">
        <w:trPr>
          <w:trHeight w:val="360"/>
        </w:trPr>
        <w:tc>
          <w:tcPr>
            <w:tcW w:w="136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Average</w:t>
            </w:r>
          </w:p>
        </w:tc>
        <w:tc>
          <w:tcPr>
            <w:tcW w:w="1803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-4.2586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 xml:space="preserve"> (0.6328)</w:t>
            </w:r>
          </w:p>
        </w:tc>
        <w:tc>
          <w:tcPr>
            <w:tcW w:w="173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0</w:t>
            </w:r>
            <w:r>
              <w:rPr>
                <w:rStyle w:val="gd15mcfceub"/>
                <w:rFonts w:cstheme="minorHAnsi"/>
                <w:color w:val="000000"/>
                <w:sz w:val="22"/>
                <w:szCs w:val="22"/>
                <w:bdr w:val="none" w:color="auto" w:sz="0" w:space="0" w:frame="1"/>
              </w:rPr>
              <w:t>.0434 (0.0134)</w:t>
            </w:r>
          </w:p>
        </w:tc>
        <w:tc>
          <w:tcPr>
            <w:tcW w:w="1290" w:type="dxa"/>
            <w:vAlign w:val="center"/>
          </w:tcPr>
          <w:p w:rsidRPr="00BA616A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BA616A">
              <w:rPr>
                <w:rFonts w:cstheme="minorHAnsi"/>
                <w:sz w:val="22"/>
                <w:szCs w:val="22"/>
              </w:rPr>
              <w:t>-0.0084</w:t>
            </w:r>
          </w:p>
        </w:tc>
        <w:tc>
          <w:tcPr>
            <w:tcW w:w="965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2.681</w:t>
            </w: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1051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0.00132</w:t>
            </w:r>
          </w:p>
        </w:tc>
        <w:tc>
          <w:tcPr>
            <w:tcW w:w="1172" w:type="dxa"/>
            <w:vAlign w:val="center"/>
          </w:tcPr>
          <w:p w:rsidRPr="004A6AB0" w:rsidR="00C01E69" w:rsidP="00C01E69" w:rsidRDefault="00C01E6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A6AB0">
              <w:rPr>
                <w:rFonts w:cstheme="minorHAnsi"/>
                <w:sz w:val="22"/>
                <w:szCs w:val="22"/>
              </w:rPr>
              <w:t>-0.0573</w:t>
            </w:r>
          </w:p>
        </w:tc>
      </w:tr>
    </w:tbl>
    <w:p w:rsidR="00C01E69" w:rsidP="00C01E69" w:rsidRDefault="00C01E69"/>
    <w:p w:rsidR="000267D6" w:rsidP="000267D6" w:rsidRDefault="000267D6">
      <w:pPr>
        <w:pStyle w:val="L1-FlLSp12"/>
        <w:keepNext/>
      </w:pPr>
      <w:r w:rsidRPr="00F327C5">
        <w:rPr>
          <w:b/>
          <w:noProof/>
          <w:sz w:val="22"/>
          <w:szCs w:val="22"/>
        </w:rPr>
        <w:lastRenderedPageBreak/>
        <w:drawing>
          <wp:inline distT="0" distB="0" distL="0" distR="0" wp14:anchorId="6C5BF158" wp14:editId="1E46AB44">
            <wp:extent cx="2688336" cy="2532888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lot_pawake_type1_om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27C5">
        <w:rPr>
          <w:b/>
          <w:noProof/>
          <w:sz w:val="22"/>
          <w:szCs w:val="22"/>
        </w:rPr>
        <w:drawing>
          <wp:inline distT="0" distB="0" distL="0" distR="0" wp14:anchorId="18251191" wp14:editId="611FB48D">
            <wp:extent cx="2688336" cy="2532888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lot_pawake_type3_om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D6" w:rsidP="000267D6" w:rsidRDefault="000267D6">
      <w:pPr>
        <w:pStyle w:val="Caption"/>
      </w:pPr>
      <w:bookmarkStart w:name="_Ref15028128" w:id="5"/>
      <w:bookmarkStart w:name="_Toc22127669" w:id="6"/>
      <w:r w:rsidRPr="00E23558">
        <w:rPr>
          <w:b/>
        </w:rPr>
        <w:t xml:space="preserve">Figure </w:t>
      </w:r>
      <w:r w:rsidR="00A001D0">
        <w:rPr>
          <w:b/>
        </w:rPr>
        <w:t>A2</w:t>
      </w:r>
      <w:bookmarkEnd w:id="5"/>
      <w:r>
        <w:t xml:space="preserve"> </w:t>
      </w:r>
      <w:r>
        <w:rPr>
          <w:szCs w:val="24"/>
        </w:rPr>
        <w:t xml:space="preserve">Empirical </w:t>
      </w:r>
      <w:r w:rsidRPr="003C23EB">
        <w:rPr>
          <w:szCs w:val="24"/>
        </w:rPr>
        <w:t>95% confidence interval for P(Awake| L</w:t>
      </w:r>
      <w:r w:rsidRPr="003C23EB">
        <w:rPr>
          <w:szCs w:val="24"/>
          <w:vertAlign w:val="subscript"/>
        </w:rPr>
        <w:t>AS,max</w:t>
      </w:r>
      <w:r w:rsidRPr="003C23EB">
        <w:rPr>
          <w:szCs w:val="24"/>
        </w:rPr>
        <w:t xml:space="preserve">) for the medium-high traffic scenario with type </w:t>
      </w:r>
      <w:r>
        <w:rPr>
          <w:szCs w:val="24"/>
        </w:rPr>
        <w:t>I</w:t>
      </w:r>
      <w:r w:rsidRPr="003C23EB">
        <w:rPr>
          <w:szCs w:val="24"/>
        </w:rPr>
        <w:t xml:space="preserve"> random effects (left) and the type II</w:t>
      </w:r>
      <w:r>
        <w:rPr>
          <w:szCs w:val="24"/>
        </w:rPr>
        <w:t>I</w:t>
      </w:r>
      <w:r w:rsidRPr="003C23EB">
        <w:rPr>
          <w:szCs w:val="24"/>
        </w:rPr>
        <w:t xml:space="preserve"> random effects (right).</w:t>
      </w:r>
      <w:bookmarkEnd w:id="6"/>
    </w:p>
    <w:p w:rsidR="000267D6" w:rsidP="00C01E69" w:rsidRDefault="000267D6"/>
    <w:p w:rsidRPr="00C01E69" w:rsidR="000267D6" w:rsidP="00C01E69" w:rsidRDefault="000267D6"/>
    <w:sectPr w:rsidRPr="00C01E69" w:rsidR="00026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65" w:rsidRDefault="00606465" w:rsidP="00AC7487">
      <w:pPr>
        <w:spacing w:after="0" w:line="240" w:lineRule="auto"/>
      </w:pPr>
      <w:r>
        <w:separator/>
      </w:r>
    </w:p>
  </w:endnote>
  <w:endnote w:type="continuationSeparator" w:id="0">
    <w:p w:rsidR="00606465" w:rsidRDefault="00606465" w:rsidP="00AC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65" w:rsidRDefault="00606465" w:rsidP="00AC7487">
      <w:pPr>
        <w:spacing w:after="0" w:line="240" w:lineRule="auto"/>
      </w:pPr>
      <w:r>
        <w:separator/>
      </w:r>
    </w:p>
  </w:footnote>
  <w:footnote w:type="continuationSeparator" w:id="0">
    <w:p w:rsidR="00606465" w:rsidRDefault="00606465" w:rsidP="00AC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6956"/>
    <w:multiLevelType w:val="hybridMultilevel"/>
    <w:tmpl w:val="B1081568"/>
    <w:lvl w:ilvl="0" w:tplc="619ADC7C">
      <w:start w:val="1"/>
      <w:numFmt w:val="upperLetter"/>
      <w:lvlText w:val="Appendix 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B5"/>
    <w:rsid w:val="000267D6"/>
    <w:rsid w:val="00274A65"/>
    <w:rsid w:val="003A256F"/>
    <w:rsid w:val="00451E05"/>
    <w:rsid w:val="004A6D4B"/>
    <w:rsid w:val="00536D88"/>
    <w:rsid w:val="00606465"/>
    <w:rsid w:val="006206BC"/>
    <w:rsid w:val="006562FC"/>
    <w:rsid w:val="006B0CEA"/>
    <w:rsid w:val="006B3EB5"/>
    <w:rsid w:val="008629C2"/>
    <w:rsid w:val="00A001D0"/>
    <w:rsid w:val="00AC7487"/>
    <w:rsid w:val="00C01E69"/>
    <w:rsid w:val="00C57E45"/>
    <w:rsid w:val="00D45FC1"/>
    <w:rsid w:val="00E94DA3"/>
    <w:rsid w:val="00F0695C"/>
    <w:rsid w:val="00F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9C38"/>
  <w15:chartTrackingRefBased/>
  <w15:docId w15:val="{B6ECCDED-6E54-4F5C-AFAC-CDFEDA55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87"/>
    <w:rPr>
      <w:rFonts w:ascii="Garamond" w:hAnsi="Garamond"/>
      <w:sz w:val="24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AC7487"/>
    <w:pPr>
      <w:keepNext/>
      <w:widowControl w:val="0"/>
      <w:autoSpaceDE w:val="0"/>
      <w:autoSpaceDN w:val="0"/>
      <w:adjustRightInd w:val="0"/>
      <w:spacing w:before="240" w:after="60" w:line="36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7487"/>
    <w:pPr>
      <w:spacing w:after="200" w:line="240" w:lineRule="auto"/>
    </w:pPr>
    <w:rPr>
      <w:iCs/>
      <w:sz w:val="20"/>
      <w:szCs w:val="18"/>
    </w:rPr>
  </w:style>
  <w:style w:type="table" w:styleId="TableGrid">
    <w:name w:val="Table Grid"/>
    <w:basedOn w:val="TableNormal"/>
    <w:uiPriority w:val="39"/>
    <w:rsid w:val="006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1E69"/>
    <w:pPr>
      <w:spacing w:after="0" w:line="240" w:lineRule="auto"/>
    </w:pPr>
    <w:rPr>
      <w:sz w:val="24"/>
      <w:szCs w:val="24"/>
    </w:rPr>
  </w:style>
  <w:style w:type="character" w:customStyle="1" w:styleId="gd15mcfceub">
    <w:name w:val="gd15mcfceub"/>
    <w:basedOn w:val="DefaultParagraphFont"/>
    <w:rsid w:val="00C01E69"/>
  </w:style>
  <w:style w:type="paragraph" w:styleId="BalloonText">
    <w:name w:val="Balloon Text"/>
    <w:basedOn w:val="Normal"/>
    <w:link w:val="BalloonTextChar"/>
    <w:uiPriority w:val="99"/>
    <w:semiHidden/>
    <w:unhideWhenUsed/>
    <w:rsid w:val="00C0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7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87"/>
  </w:style>
  <w:style w:type="paragraph" w:styleId="Footer">
    <w:name w:val="footer"/>
    <w:basedOn w:val="Normal"/>
    <w:link w:val="FooterChar"/>
    <w:uiPriority w:val="99"/>
    <w:unhideWhenUsed/>
    <w:rsid w:val="00AC7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87"/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AC74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rsid w:val="00AC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7487"/>
    <w:pPr>
      <w:widowControl w:val="0"/>
      <w:autoSpaceDE w:val="0"/>
      <w:autoSpaceDN w:val="0"/>
      <w:adjustRightInd w:val="0"/>
      <w:spacing w:after="120" w:line="360" w:lineRule="atLeast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487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link w:val="L1-FlLSp12Char"/>
    <w:rsid w:val="000267D6"/>
    <w:pPr>
      <w:tabs>
        <w:tab w:val="left" w:pos="1152"/>
      </w:tabs>
      <w:spacing w:after="120" w:line="360" w:lineRule="atLeast"/>
    </w:pPr>
    <w:rPr>
      <w:rFonts w:eastAsia="Times New Roman" w:cs="Times New Roman"/>
      <w:szCs w:val="20"/>
    </w:rPr>
  </w:style>
  <w:style w:type="character" w:customStyle="1" w:styleId="L1-FlLSp12Char">
    <w:name w:val="L1-FlL Sp&amp;1/2 Char"/>
    <w:link w:val="L1-FlLSp12"/>
    <w:rsid w:val="000267D6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7</cp:revision>
  <dcterms:created xsi:type="dcterms:W3CDTF">2019-10-16T07:41:00Z</dcterms:created>
  <dcterms:modified xsi:type="dcterms:W3CDTF">2019-10-22T13:16:00Z</dcterms:modified>
</cp:coreProperties>
</file>