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BC8" w:rsidP="00D01130" w:rsidRDefault="00380BC8" w14:paraId="6C01FFA3" w14:textId="77777777">
      <w:pPr>
        <w:contextualSpacing/>
        <w:jc w:val="center"/>
        <w:rPr>
          <w:b/>
          <w:bCs/>
          <w:szCs w:val="24"/>
        </w:rPr>
      </w:pPr>
      <w:r>
        <w:rPr>
          <w:b/>
          <w:bCs/>
          <w:szCs w:val="24"/>
        </w:rPr>
        <w:t>DEPARTMENT OF TRANSPORTATION</w:t>
      </w:r>
    </w:p>
    <w:p w:rsidR="00380BC8" w:rsidP="00D01130" w:rsidRDefault="00380BC8" w14:paraId="4635B20C" w14:textId="77777777">
      <w:pPr>
        <w:contextualSpacing/>
        <w:jc w:val="center"/>
        <w:rPr>
          <w:b/>
          <w:bCs/>
          <w:szCs w:val="24"/>
        </w:rPr>
      </w:pPr>
      <w:r>
        <w:rPr>
          <w:b/>
          <w:bCs/>
          <w:szCs w:val="24"/>
        </w:rPr>
        <w:t>INFORMATION COLLECTION</w:t>
      </w:r>
    </w:p>
    <w:p w:rsidRPr="009C32CF" w:rsidR="00603E2D" w:rsidP="00D01130" w:rsidRDefault="00603E2D" w14:paraId="60B18C93" w14:textId="1935F647">
      <w:pPr>
        <w:contextualSpacing/>
        <w:jc w:val="center"/>
        <w:rPr>
          <w:b/>
          <w:bCs/>
          <w:szCs w:val="24"/>
        </w:rPr>
      </w:pPr>
      <w:r w:rsidRPr="009C32CF">
        <w:rPr>
          <w:b/>
          <w:bCs/>
          <w:szCs w:val="24"/>
        </w:rPr>
        <w:t>SUPPORTING STATEMENT</w:t>
      </w:r>
    </w:p>
    <w:p w:rsidR="00603E2D" w:rsidP="00D01130" w:rsidRDefault="00235B97" w14:paraId="1B321F6F" w14:textId="180E6FFC">
      <w:pPr>
        <w:pStyle w:val="Heading1"/>
        <w:contextualSpacing/>
      </w:pPr>
      <w:r>
        <w:t>A</w:t>
      </w:r>
      <w:r w:rsidR="00D01130">
        <w:t>lternative Uses of the Right of Way</w:t>
      </w:r>
    </w:p>
    <w:p w:rsidRPr="00235B97" w:rsidR="00235B97" w:rsidP="00D01130" w:rsidRDefault="00235B97" w14:paraId="7A035F17" w14:textId="5C8D3A45">
      <w:pPr>
        <w:contextualSpacing/>
        <w:jc w:val="center"/>
      </w:pPr>
      <w:bookmarkStart w:name="_Hlk2784197" w:id="0"/>
      <w:r>
        <w:rPr>
          <w:szCs w:val="24"/>
        </w:rPr>
        <w:t xml:space="preserve">OMB Control No. </w:t>
      </w:r>
      <w:r w:rsidR="001D28CE">
        <w:rPr>
          <w:szCs w:val="24"/>
        </w:rPr>
        <w:t>2125-XXXX</w:t>
      </w:r>
    </w:p>
    <w:bookmarkEnd w:id="0"/>
    <w:p w:rsidR="003B4EF0" w:rsidRDefault="003B4EF0" w14:paraId="6CECB0A0" w14:textId="77777777">
      <w:pPr>
        <w:rPr>
          <w:b/>
          <w:bCs/>
          <w:szCs w:val="24"/>
        </w:rPr>
      </w:pPr>
    </w:p>
    <w:p w:rsidRPr="009C32CF" w:rsidR="003B4EF0" w:rsidRDefault="003B4EF0" w14:paraId="4F40D905" w14:textId="77777777">
      <w:pPr>
        <w:rPr>
          <w:szCs w:val="24"/>
        </w:rPr>
      </w:pPr>
    </w:p>
    <w:p w:rsidR="00EC39CE" w:rsidRDefault="00EC39CE" w14:paraId="031C505D" w14:textId="160BBFE4">
      <w:pPr>
        <w:rPr>
          <w:b/>
          <w:bCs/>
          <w:szCs w:val="24"/>
          <w:u w:val="single"/>
        </w:rPr>
      </w:pPr>
      <w:r>
        <w:rPr>
          <w:b/>
          <w:bCs/>
          <w:szCs w:val="24"/>
          <w:u w:val="single"/>
        </w:rPr>
        <w:t>INTRODUCTION</w:t>
      </w:r>
    </w:p>
    <w:p w:rsidRPr="009C32CF" w:rsidR="00603E2D" w:rsidRDefault="00603E2D" w14:paraId="05D26811" w14:textId="3751BC39">
      <w:pPr>
        <w:rPr>
          <w:szCs w:val="24"/>
        </w:rPr>
      </w:pPr>
      <w:r w:rsidRPr="009C32CF">
        <w:rPr>
          <w:szCs w:val="24"/>
        </w:rPr>
        <w:t xml:space="preserve">This </w:t>
      </w:r>
      <w:r w:rsidR="00EC39CE">
        <w:rPr>
          <w:szCs w:val="24"/>
        </w:rPr>
        <w:t xml:space="preserve">is to </w:t>
      </w:r>
      <w:r w:rsidRPr="009C32CF">
        <w:rPr>
          <w:szCs w:val="24"/>
        </w:rPr>
        <w:t xml:space="preserve">request </w:t>
      </w:r>
      <w:r w:rsidR="00EC39CE">
        <w:rPr>
          <w:szCs w:val="24"/>
        </w:rPr>
        <w:t>the Office of Management and Budget’s (</w:t>
      </w:r>
      <w:r w:rsidR="00DE17E8">
        <w:rPr>
          <w:szCs w:val="24"/>
        </w:rPr>
        <w:t>OMB</w:t>
      </w:r>
      <w:r w:rsidR="00EC39CE">
        <w:rPr>
          <w:szCs w:val="24"/>
        </w:rPr>
        <w:t>)</w:t>
      </w:r>
      <w:r w:rsidR="00DE17E8">
        <w:rPr>
          <w:szCs w:val="24"/>
        </w:rPr>
        <w:t xml:space="preserve"> </w:t>
      </w:r>
      <w:r w:rsidRPr="009C32CF">
        <w:rPr>
          <w:szCs w:val="24"/>
        </w:rPr>
        <w:t>approv</w:t>
      </w:r>
      <w:r w:rsidR="00DE17E8">
        <w:rPr>
          <w:szCs w:val="24"/>
        </w:rPr>
        <w:t xml:space="preserve">al </w:t>
      </w:r>
      <w:r w:rsidR="00235B97">
        <w:rPr>
          <w:szCs w:val="24"/>
        </w:rPr>
        <w:t xml:space="preserve">for the </w:t>
      </w:r>
      <w:r w:rsidRPr="009C32CF">
        <w:rPr>
          <w:szCs w:val="24"/>
        </w:rPr>
        <w:t xml:space="preserve">information </w:t>
      </w:r>
      <w:r w:rsidR="00DE17E8">
        <w:rPr>
          <w:szCs w:val="24"/>
        </w:rPr>
        <w:t>collection titled, “</w:t>
      </w:r>
      <w:r w:rsidRPr="00DE17E8" w:rsidR="00DE17E8">
        <w:rPr>
          <w:szCs w:val="24"/>
        </w:rPr>
        <w:t>FHWA Task 693JJ318F000324: Alternative Uses of the Right of Way</w:t>
      </w:r>
      <w:r w:rsidRPr="009C32CF">
        <w:rPr>
          <w:szCs w:val="24"/>
        </w:rPr>
        <w:t xml:space="preserve">.” </w:t>
      </w:r>
    </w:p>
    <w:p w:rsidRPr="009C32CF" w:rsidR="00603E2D" w:rsidP="00826DFF" w:rsidRDefault="00BC5800" w14:paraId="32E31067" w14:textId="74F03FA6">
      <w:pPr>
        <w:pStyle w:val="Heading1"/>
        <w:jc w:val="left"/>
      </w:pPr>
      <w:r>
        <w:t xml:space="preserve">Part </w:t>
      </w:r>
      <w:r w:rsidRPr="009C32CF" w:rsidR="00603E2D">
        <w:t>A.  Justification</w:t>
      </w:r>
    </w:p>
    <w:p w:rsidR="00EE4CEF" w:rsidP="00EE4CEF" w:rsidRDefault="00603E2D" w14:paraId="5B9D8974" w14:textId="45AF185B">
      <w:pPr>
        <w:pStyle w:val="Heading2"/>
        <w:numPr>
          <w:ilvl w:val="0"/>
          <w:numId w:val="8"/>
        </w:numPr>
        <w:tabs>
          <w:tab w:val="clear" w:pos="720"/>
        </w:tabs>
        <w:ind w:left="0" w:firstLine="0"/>
      </w:pPr>
      <w:r w:rsidRPr="005A1B12">
        <w:rPr>
          <w:u w:val="single"/>
        </w:rPr>
        <w:t>Circumstances that make the collection of information necessary</w:t>
      </w:r>
      <w:r w:rsidR="005A1B12">
        <w:rPr>
          <w:u w:val="single"/>
        </w:rPr>
        <w:t>.</w:t>
      </w:r>
      <w:r w:rsidRPr="004A2167" w:rsidR="004A2167">
        <w:t xml:space="preserve"> </w:t>
      </w:r>
    </w:p>
    <w:p w:rsidR="00E03ED8" w:rsidP="00E03ED8" w:rsidRDefault="00E03ED8" w14:paraId="48BA9943" w14:textId="11509748">
      <w:pPr>
        <w:rPr>
          <w:szCs w:val="24"/>
        </w:rPr>
      </w:pPr>
      <w:r w:rsidRPr="00E03ED8">
        <w:rPr>
          <w:szCs w:val="24"/>
        </w:rPr>
        <w:t>Government agencies that acquire real property for a Federal-aid highway project in which Federal funds participated in any phase, are charged with managing the acquired property after the project is completed as described in 23 CFR 710 Subpart D – Real Property Management. As a part of this consideration, any excess or available right-of-way (ROW) for potential disposal must be determined and inventoried</w:t>
      </w:r>
      <w:r w:rsidR="00EE4CEF">
        <w:rPr>
          <w:szCs w:val="24"/>
        </w:rPr>
        <w:t>, as described below</w:t>
      </w:r>
      <w:r w:rsidRPr="00E03ED8">
        <w:rPr>
          <w:szCs w:val="24"/>
        </w:rPr>
        <w:t>.</w:t>
      </w:r>
    </w:p>
    <w:p w:rsidRPr="00E03ED8" w:rsidR="00E03ED8" w:rsidP="00E03ED8" w:rsidRDefault="00E03ED8" w14:paraId="5D9F60C7" w14:textId="77777777">
      <w:pPr>
        <w:pStyle w:val="ListParagraph"/>
        <w:numPr>
          <w:ilvl w:val="0"/>
          <w:numId w:val="1"/>
        </w:numPr>
        <w:rPr>
          <w:szCs w:val="24"/>
        </w:rPr>
      </w:pPr>
      <w:r w:rsidRPr="00E03ED8">
        <w:rPr>
          <w:szCs w:val="24"/>
        </w:rPr>
        <w:t>23 CFR 710.201(e) Record keeping. The acquiring agency shall maintain adequate records of its acquisition and property management activities.</w:t>
      </w:r>
    </w:p>
    <w:p w:rsidR="00E03ED8" w:rsidP="00E03ED8" w:rsidRDefault="00E03ED8" w14:paraId="46509306" w14:textId="77777777">
      <w:pPr>
        <w:pStyle w:val="ListParagraph"/>
        <w:numPr>
          <w:ilvl w:val="0"/>
          <w:numId w:val="1"/>
        </w:numPr>
        <w:rPr>
          <w:szCs w:val="24"/>
        </w:rPr>
      </w:pPr>
      <w:r w:rsidRPr="00E03ED8">
        <w:rPr>
          <w:szCs w:val="24"/>
        </w:rPr>
        <w:t>23 CFR 710.201(e)(2) Property management records shall include inventories of real property interest considered excess to project or program needs, as well as all authorized ROW use agreements for real property acquired with Title 23 funds or incorporated into a program or project that received Title 23 funds.</w:t>
      </w:r>
    </w:p>
    <w:p w:rsidR="00EE4CEF" w:rsidP="00045A5A" w:rsidRDefault="00E03ED8" w14:paraId="5DCEE1AC" w14:textId="77777777">
      <w:pPr>
        <w:rPr>
          <w:szCs w:val="24"/>
        </w:rPr>
      </w:pPr>
      <w:r w:rsidRPr="00E03ED8">
        <w:rPr>
          <w:szCs w:val="24"/>
        </w:rPr>
        <w:t>Each State Department of Transportation (SDOT) must track, manage</w:t>
      </w:r>
      <w:r w:rsidR="00E85604">
        <w:rPr>
          <w:szCs w:val="24"/>
        </w:rPr>
        <w:t>,</w:t>
      </w:r>
      <w:r w:rsidRPr="00E03ED8">
        <w:rPr>
          <w:szCs w:val="24"/>
        </w:rPr>
        <w:t xml:space="preserve"> and update its inventory continually until the property is disposed. SDOTs may use several methods to track and document available ROW. The methods presumably include an electronic method which keeps track of the inventory and tracks any use or disposal of property. Their method should include documentation of any state requirements that influence the disposal process. There has always been interest from private and public entities to use available ROW for alternative uses. This interest has increased in recent years as SDOTs look for new ways to generate revenue and funds that can be used for Title 23 activities.</w:t>
      </w:r>
    </w:p>
    <w:p w:rsidRPr="009C32CF" w:rsidR="00603E2D" w:rsidRDefault="00EE4CEF" w14:paraId="6AAD5AEB" w14:textId="4ED87017">
      <w:pPr>
        <w:rPr>
          <w:szCs w:val="24"/>
        </w:rPr>
      </w:pPr>
      <w:r w:rsidRPr="00EE4CEF">
        <w:rPr>
          <w:szCs w:val="24"/>
        </w:rPr>
        <w:t xml:space="preserve"> This information collection supports the Department of Transportation’s (DOT) accountability strategic goal. The information will help FHWA modernize existing policies and regulations regarding waiver valuations.</w:t>
      </w:r>
      <w:r>
        <w:rPr>
          <w:szCs w:val="24"/>
        </w:rPr>
        <w:t xml:space="preserve"> </w:t>
      </w:r>
      <w:r w:rsidRPr="00EE4CEF">
        <w:rPr>
          <w:szCs w:val="24"/>
        </w:rPr>
        <w:t xml:space="preserve">This survey will collect information that will support analysis of the current state of the practice of alternative uses of the ROW nationwide. The report will identify current processes and tools used by SDOTs to identify and track ROW available for alternative uses, the types of alternative uses requests they receive, and any safety, operational, or legal issues related to alternative uses. The survey will also identify additional opportunities for </w:t>
      </w:r>
      <w:r w:rsidRPr="00EE4CEF">
        <w:rPr>
          <w:szCs w:val="24"/>
        </w:rPr>
        <w:lastRenderedPageBreak/>
        <w:t>improving the existing processes, tools for identifying and tracking ROW that can streamline agencies’ Property Management programs and provide information to states that have shown interest in alternative uses.</w:t>
      </w:r>
    </w:p>
    <w:p w:rsidR="008C1FA9" w:rsidP="008C1FA9" w:rsidRDefault="00603E2D" w14:paraId="1599BA27" w14:textId="45873459">
      <w:pPr>
        <w:pStyle w:val="Heading2"/>
        <w:numPr>
          <w:ilvl w:val="0"/>
          <w:numId w:val="8"/>
        </w:numPr>
        <w:tabs>
          <w:tab w:val="clear" w:pos="720"/>
        </w:tabs>
        <w:ind w:left="720"/>
      </w:pPr>
      <w:r w:rsidRPr="00062FFC">
        <w:rPr>
          <w:u w:val="single"/>
        </w:rPr>
        <w:t>How, by whom, and for what purpose is the information used</w:t>
      </w:r>
      <w:r w:rsidRPr="00062FFC" w:rsidR="00A0254E">
        <w:rPr>
          <w:u w:val="single"/>
        </w:rPr>
        <w:t>.</w:t>
      </w:r>
      <w:r w:rsidR="00A0254E">
        <w:t xml:space="preserve"> </w:t>
      </w:r>
    </w:p>
    <w:p w:rsidR="00C8527D" w:rsidP="004538AA" w:rsidRDefault="00C8527D" w14:paraId="766C4F1F" w14:textId="0475C24A">
      <w:pPr>
        <w:rPr>
          <w:szCs w:val="24"/>
        </w:rPr>
      </w:pPr>
      <w:bookmarkStart w:name="OLE_LINK3" w:id="1"/>
      <w:bookmarkStart w:name="OLE_LINK4" w:id="2"/>
      <w:r>
        <w:rPr>
          <w:szCs w:val="24"/>
        </w:rPr>
        <w:t>Information collection will be done through</w:t>
      </w:r>
      <w:r w:rsidR="004538AA">
        <w:rPr>
          <w:szCs w:val="24"/>
        </w:rPr>
        <w:t xml:space="preserve"> a survey and interviews of SDOTs</w:t>
      </w:r>
      <w:r>
        <w:rPr>
          <w:szCs w:val="24"/>
        </w:rPr>
        <w:t>, by contractors for FHWA. The information collection</w:t>
      </w:r>
      <w:r w:rsidRPr="00E03ED8" w:rsidR="004538AA">
        <w:rPr>
          <w:szCs w:val="24"/>
        </w:rPr>
        <w:t xml:space="preserve"> will </w:t>
      </w:r>
      <w:r w:rsidR="004538AA">
        <w:rPr>
          <w:szCs w:val="24"/>
        </w:rPr>
        <w:t>provide</w:t>
      </w:r>
      <w:r w:rsidRPr="00E03ED8" w:rsidR="004538AA">
        <w:rPr>
          <w:szCs w:val="24"/>
        </w:rPr>
        <w:t xml:space="preserve"> a detailed analysis of the current state of the practice of alternative uses of the ROW nationwide and provid</w:t>
      </w:r>
      <w:r w:rsidR="004538AA">
        <w:rPr>
          <w:szCs w:val="24"/>
        </w:rPr>
        <w:t>e</w:t>
      </w:r>
      <w:r w:rsidRPr="00E03ED8" w:rsidR="004538AA">
        <w:rPr>
          <w:szCs w:val="24"/>
        </w:rPr>
        <w:t xml:space="preserve"> information to states that have shown interest in alternative uses. The </w:t>
      </w:r>
      <w:r>
        <w:rPr>
          <w:szCs w:val="24"/>
        </w:rPr>
        <w:t>information collection effort</w:t>
      </w:r>
      <w:r w:rsidRPr="00E03ED8" w:rsidR="004538AA">
        <w:rPr>
          <w:szCs w:val="24"/>
        </w:rPr>
        <w:t xml:space="preserve"> will identify current processes and tools used by SDOTs to identify and track ROW available for alternative uses, the types of alternative use requests they receive, and any safety, operational, or legal issues related to alternative uses. </w:t>
      </w:r>
      <w:r>
        <w:rPr>
          <w:szCs w:val="24"/>
        </w:rPr>
        <w:t xml:space="preserve">More specifically, the purpose of the information collection will be to: </w:t>
      </w:r>
    </w:p>
    <w:p w:rsidRPr="00C8527D" w:rsidR="00C8527D" w:rsidP="00C8527D" w:rsidRDefault="00C8527D" w14:paraId="34244236" w14:textId="77777777">
      <w:pPr>
        <w:pStyle w:val="ListParagraph"/>
        <w:numPr>
          <w:ilvl w:val="0"/>
          <w:numId w:val="2"/>
        </w:numPr>
        <w:rPr>
          <w:szCs w:val="24"/>
        </w:rPr>
      </w:pPr>
      <w:r w:rsidRPr="00C8527D">
        <w:rPr>
          <w:szCs w:val="24"/>
        </w:rPr>
        <w:t>Document the processes SDOTs currently use to inventory and track ROW/real property subject to Federal requirements.</w:t>
      </w:r>
    </w:p>
    <w:p w:rsidRPr="00C8527D" w:rsidR="00C8527D" w:rsidP="00C8527D" w:rsidRDefault="00C8527D" w14:paraId="6E0CE576" w14:textId="33FFCCAE">
      <w:pPr>
        <w:pStyle w:val="ListParagraph"/>
        <w:numPr>
          <w:ilvl w:val="0"/>
          <w:numId w:val="2"/>
        </w:numPr>
        <w:rPr>
          <w:szCs w:val="24"/>
        </w:rPr>
      </w:pPr>
      <w:r w:rsidRPr="00C8527D">
        <w:rPr>
          <w:szCs w:val="24"/>
        </w:rPr>
        <w:t xml:space="preserve">Document the tools used to inventory and track Federal-aid property, including how much they cost, if they are electronic, </w:t>
      </w:r>
      <w:r w:rsidR="00E85604">
        <w:rPr>
          <w:szCs w:val="24"/>
        </w:rPr>
        <w:t xml:space="preserve">and </w:t>
      </w:r>
      <w:r w:rsidRPr="00C8527D">
        <w:rPr>
          <w:szCs w:val="24"/>
        </w:rPr>
        <w:t>any issues related to their use.</w:t>
      </w:r>
    </w:p>
    <w:p w:rsidRPr="00C8527D" w:rsidR="00C8527D" w:rsidP="00C8527D" w:rsidRDefault="00C8527D" w14:paraId="7FCBC385" w14:textId="77777777">
      <w:pPr>
        <w:pStyle w:val="ListParagraph"/>
        <w:numPr>
          <w:ilvl w:val="0"/>
          <w:numId w:val="2"/>
        </w:numPr>
        <w:rPr>
          <w:szCs w:val="24"/>
        </w:rPr>
      </w:pPr>
      <w:r w:rsidRPr="00C8527D">
        <w:rPr>
          <w:szCs w:val="24"/>
        </w:rPr>
        <w:t>Document the methods used by SDOTs to track ROW Use Agreements.</w:t>
      </w:r>
    </w:p>
    <w:p w:rsidRPr="00C8527D" w:rsidR="00C8527D" w:rsidP="00C8527D" w:rsidRDefault="00C8527D" w14:paraId="4718B5A2" w14:textId="77777777">
      <w:pPr>
        <w:pStyle w:val="ListParagraph"/>
        <w:numPr>
          <w:ilvl w:val="0"/>
          <w:numId w:val="2"/>
        </w:numPr>
        <w:rPr>
          <w:szCs w:val="24"/>
        </w:rPr>
      </w:pPr>
      <w:r w:rsidRPr="00C8527D">
        <w:rPr>
          <w:szCs w:val="24"/>
        </w:rPr>
        <w:t>Document any SDOTs that have identified commercially available “Off the Shelf” (OTS) software that can be used to inventory and track property management activities. Identify the accuracy and effectiveness of these tools.</w:t>
      </w:r>
    </w:p>
    <w:p w:rsidRPr="00C8527D" w:rsidR="00C8527D" w:rsidP="00C8527D" w:rsidRDefault="00C8527D" w14:paraId="19FCEC7C" w14:textId="77777777">
      <w:pPr>
        <w:pStyle w:val="ListParagraph"/>
        <w:numPr>
          <w:ilvl w:val="0"/>
          <w:numId w:val="2"/>
        </w:numPr>
        <w:rPr>
          <w:szCs w:val="24"/>
        </w:rPr>
      </w:pPr>
      <w:r w:rsidRPr="00C8527D">
        <w:rPr>
          <w:szCs w:val="24"/>
        </w:rPr>
        <w:t>Document the average time spent on inventory and identification of ROW available for alternative uses.</w:t>
      </w:r>
    </w:p>
    <w:p w:rsidRPr="00C8527D" w:rsidR="00C8527D" w:rsidP="00C8527D" w:rsidRDefault="00C8527D" w14:paraId="1709025A" w14:textId="77777777">
      <w:pPr>
        <w:pStyle w:val="ListParagraph"/>
        <w:numPr>
          <w:ilvl w:val="0"/>
          <w:numId w:val="2"/>
        </w:numPr>
        <w:rPr>
          <w:szCs w:val="24"/>
        </w:rPr>
      </w:pPr>
      <w:r w:rsidRPr="00C8527D">
        <w:rPr>
          <w:szCs w:val="24"/>
        </w:rPr>
        <w:t>Document which States identify and track ROW available for alternative uses.</w:t>
      </w:r>
    </w:p>
    <w:p w:rsidRPr="00C8527D" w:rsidR="00C8527D" w:rsidP="00C8527D" w:rsidRDefault="00C8527D" w14:paraId="4FABFE1A" w14:textId="76A3C53C">
      <w:pPr>
        <w:pStyle w:val="ListParagraph"/>
        <w:numPr>
          <w:ilvl w:val="0"/>
          <w:numId w:val="2"/>
        </w:numPr>
        <w:rPr>
          <w:szCs w:val="24"/>
        </w:rPr>
      </w:pPr>
      <w:r w:rsidRPr="00C8527D">
        <w:rPr>
          <w:szCs w:val="24"/>
        </w:rPr>
        <w:t>Document the type of alternative use requests SDOTs receive</w:t>
      </w:r>
      <w:r w:rsidR="00A050F8">
        <w:rPr>
          <w:szCs w:val="24"/>
        </w:rPr>
        <w:t>.</w:t>
      </w:r>
    </w:p>
    <w:p w:rsidRPr="00C8527D" w:rsidR="00C8527D" w:rsidP="00C8527D" w:rsidRDefault="00C8527D" w14:paraId="14400942" w14:textId="03D2796D">
      <w:pPr>
        <w:pStyle w:val="ListParagraph"/>
        <w:numPr>
          <w:ilvl w:val="0"/>
          <w:numId w:val="2"/>
        </w:numPr>
        <w:rPr>
          <w:szCs w:val="24"/>
        </w:rPr>
      </w:pPr>
      <w:r w:rsidRPr="00C8527D">
        <w:rPr>
          <w:szCs w:val="24"/>
        </w:rPr>
        <w:t>Document the extent that SDOTs use licenses, permits, leases</w:t>
      </w:r>
      <w:r w:rsidR="00A050F8">
        <w:rPr>
          <w:szCs w:val="24"/>
        </w:rPr>
        <w:t>,</w:t>
      </w:r>
      <w:r w:rsidRPr="00C8527D">
        <w:rPr>
          <w:szCs w:val="24"/>
        </w:rPr>
        <w:t xml:space="preserve"> or other documents for alternative uses.</w:t>
      </w:r>
    </w:p>
    <w:p w:rsidRPr="00C8527D" w:rsidR="00C8527D" w:rsidP="00C8527D" w:rsidRDefault="00C8527D" w14:paraId="77AFEC56" w14:textId="77777777">
      <w:pPr>
        <w:pStyle w:val="ListParagraph"/>
        <w:numPr>
          <w:ilvl w:val="0"/>
          <w:numId w:val="2"/>
        </w:numPr>
        <w:rPr>
          <w:szCs w:val="24"/>
        </w:rPr>
      </w:pPr>
      <w:r w:rsidRPr="00C8527D">
        <w:rPr>
          <w:szCs w:val="24"/>
        </w:rPr>
        <w:t>Document the SDOTs current staffing levels for agency staff dedicated to property management activities related to alternative uses.</w:t>
      </w:r>
    </w:p>
    <w:p w:rsidRPr="00C8527D" w:rsidR="00C8527D" w:rsidP="00C8527D" w:rsidRDefault="00C8527D" w14:paraId="330A8466" w14:textId="65252A5B">
      <w:pPr>
        <w:pStyle w:val="ListParagraph"/>
        <w:numPr>
          <w:ilvl w:val="0"/>
          <w:numId w:val="2"/>
        </w:numPr>
        <w:rPr>
          <w:szCs w:val="24"/>
        </w:rPr>
      </w:pPr>
      <w:r w:rsidRPr="00C8527D">
        <w:rPr>
          <w:szCs w:val="24"/>
        </w:rPr>
        <w:t>Document any safety or operational issues SDOTs have observed related to alternative uses and if/how the issues were address</w:t>
      </w:r>
      <w:r w:rsidR="00BB33FC">
        <w:rPr>
          <w:szCs w:val="24"/>
        </w:rPr>
        <w:t>ed</w:t>
      </w:r>
      <w:r w:rsidRPr="00C8527D">
        <w:rPr>
          <w:szCs w:val="24"/>
        </w:rPr>
        <w:t>.</w:t>
      </w:r>
    </w:p>
    <w:p w:rsidRPr="00C8527D" w:rsidR="00C8527D" w:rsidP="00C8527D" w:rsidRDefault="00C8527D" w14:paraId="3585F8EC" w14:textId="77777777">
      <w:pPr>
        <w:pStyle w:val="ListParagraph"/>
        <w:numPr>
          <w:ilvl w:val="0"/>
          <w:numId w:val="2"/>
        </w:numPr>
        <w:rPr>
          <w:szCs w:val="24"/>
        </w:rPr>
      </w:pPr>
      <w:r w:rsidRPr="00C8527D">
        <w:rPr>
          <w:szCs w:val="24"/>
        </w:rPr>
        <w:t>Identify problems that may have occurred in a SDOT’s Property Management program because of ineffective or inappropriate inventory and tracking methods.</w:t>
      </w:r>
    </w:p>
    <w:p w:rsidRPr="00C8527D" w:rsidR="00C8527D" w:rsidP="00C8527D" w:rsidRDefault="00C8527D" w14:paraId="6FAB5497" w14:textId="13BD96B5">
      <w:pPr>
        <w:pStyle w:val="ListParagraph"/>
        <w:numPr>
          <w:ilvl w:val="0"/>
          <w:numId w:val="2"/>
        </w:numPr>
        <w:rPr>
          <w:szCs w:val="24"/>
        </w:rPr>
      </w:pPr>
      <w:r w:rsidRPr="00C8527D">
        <w:rPr>
          <w:szCs w:val="24"/>
        </w:rPr>
        <w:t xml:space="preserve">Identify processes, methods, or remedies that were begun to correct identified problems (in items above), or that could be used going forward; </w:t>
      </w:r>
      <w:r w:rsidR="001842B6">
        <w:t>FHWA Headquarters Office of Real Estate Services (</w:t>
      </w:r>
      <w:r w:rsidRPr="00DB39E7">
        <w:rPr>
          <w:szCs w:val="24"/>
        </w:rPr>
        <w:t>HEPR</w:t>
      </w:r>
      <w:r w:rsidR="001842B6">
        <w:rPr>
          <w:szCs w:val="24"/>
        </w:rPr>
        <w:t>)</w:t>
      </w:r>
      <w:r w:rsidRPr="00C8527D">
        <w:rPr>
          <w:szCs w:val="24"/>
        </w:rPr>
        <w:t xml:space="preserve"> would also like to know when programs have stumbled in the past, what steps were taken to correct the issues, and which steps were most effective in correcting issues.</w:t>
      </w:r>
    </w:p>
    <w:p w:rsidRPr="00C8527D" w:rsidR="00C8527D" w:rsidP="00C8527D" w:rsidRDefault="00C8527D" w14:paraId="1AD92369" w14:textId="77777777">
      <w:pPr>
        <w:pStyle w:val="ListParagraph"/>
        <w:numPr>
          <w:ilvl w:val="0"/>
          <w:numId w:val="2"/>
        </w:numPr>
        <w:rPr>
          <w:szCs w:val="24"/>
        </w:rPr>
      </w:pPr>
      <w:r w:rsidRPr="00C8527D">
        <w:rPr>
          <w:szCs w:val="24"/>
        </w:rPr>
        <w:t>Identify successful/innovative practices associated with the identification of ROW available for alternative uses and quantify efficient outcomes that resulted.</w:t>
      </w:r>
    </w:p>
    <w:p w:rsidRPr="008C1FA9" w:rsidR="006846D3" w:rsidP="00577988" w:rsidRDefault="00C8527D" w14:paraId="31D57EEE" w14:textId="157A3B83">
      <w:pPr>
        <w:pStyle w:val="ListParagraph"/>
        <w:numPr>
          <w:ilvl w:val="0"/>
          <w:numId w:val="2"/>
        </w:numPr>
        <w:tabs>
          <w:tab w:val="left" w:pos="720"/>
        </w:tabs>
        <w:rPr>
          <w:b/>
          <w:bCs/>
          <w:szCs w:val="24"/>
        </w:rPr>
      </w:pPr>
      <w:r w:rsidRPr="008C1FA9">
        <w:rPr>
          <w:szCs w:val="24"/>
        </w:rPr>
        <w:t>Identify lessons learned, including which alternative uses are most compatible with the transportation purpose, which are not, and why. Identify if those not compatible could be allowed with certain restrictions or in limited circumstances.</w:t>
      </w:r>
      <w:bookmarkEnd w:id="1"/>
      <w:bookmarkEnd w:id="2"/>
    </w:p>
    <w:p w:rsidR="008C1FA9" w:rsidP="008C1FA9" w:rsidRDefault="00603E2D" w14:paraId="65F5C3AD" w14:textId="2060B631">
      <w:pPr>
        <w:pStyle w:val="Heading2"/>
        <w:numPr>
          <w:ilvl w:val="0"/>
          <w:numId w:val="8"/>
        </w:numPr>
        <w:tabs>
          <w:tab w:val="clear" w:pos="720"/>
        </w:tabs>
        <w:ind w:left="720"/>
      </w:pPr>
      <w:r w:rsidRPr="00A10736">
        <w:rPr>
          <w:u w:val="single"/>
        </w:rPr>
        <w:t>Extent of automated information collection</w:t>
      </w:r>
      <w:r w:rsidR="00AB08B0">
        <w:t xml:space="preserve">. </w:t>
      </w:r>
    </w:p>
    <w:p w:rsidRPr="00EE4CEF" w:rsidR="00EE4CEF" w:rsidP="00045A5A" w:rsidRDefault="00EE4CEF" w14:paraId="3008EC0F" w14:textId="08048C4B">
      <w:pPr>
        <w:rPr>
          <w:szCs w:val="24"/>
        </w:rPr>
      </w:pPr>
      <w:r w:rsidRPr="00EE4CEF">
        <w:rPr>
          <w:szCs w:val="24"/>
        </w:rPr>
        <w:t xml:space="preserve">The survey will be conducted electronically. Emails will be sent to State DOT agencies with a </w:t>
      </w:r>
      <w:r w:rsidRPr="00EE4CEF">
        <w:rPr>
          <w:szCs w:val="24"/>
        </w:rPr>
        <w:lastRenderedPageBreak/>
        <w:t xml:space="preserve">link to the electronic survey. The electronic survey instrument will let respondents upload documentation and other supporting material. An email invitation will explain the purpose of the survey, explain the type of data needed to answer the survey questions, provide a link to the electronic survey, and instructions for how to respond to the survey. All respondents will receive the electronic version of the survey; they can receive a paper version of the survey on request. The contractor fielding the survey will provide technical support to each respondent to help them answer the survey questions  </w:t>
      </w:r>
      <w:r>
        <w:rPr>
          <w:szCs w:val="24"/>
        </w:rPr>
        <w:t xml:space="preserve">Follow-up telephone interviews will be conducted with a subset </w:t>
      </w:r>
      <w:r w:rsidR="00045A5A">
        <w:rPr>
          <w:szCs w:val="24"/>
        </w:rPr>
        <w:t xml:space="preserve">(10 or fewer) </w:t>
      </w:r>
      <w:r>
        <w:rPr>
          <w:szCs w:val="24"/>
        </w:rPr>
        <w:t xml:space="preserve">of the respondents to collect detailed information about </w:t>
      </w:r>
      <w:r w:rsidR="00045A5A">
        <w:rPr>
          <w:szCs w:val="24"/>
        </w:rPr>
        <w:t xml:space="preserve">implementation obstacles and solutions. </w:t>
      </w:r>
    </w:p>
    <w:p w:rsidR="00045A5A" w:rsidP="00045A5A" w:rsidRDefault="00EE4CEF" w14:paraId="00C4B4A5" w14:textId="0E58F0B2">
      <w:pPr>
        <w:rPr>
          <w:szCs w:val="24"/>
        </w:rPr>
      </w:pPr>
      <w:r w:rsidRPr="00EE4CEF">
        <w:rPr>
          <w:szCs w:val="24"/>
        </w:rPr>
        <w:t xml:space="preserve">The information is being collected through an electronic survey instrument because it is the easiest, least-cost approach for collecting the information. The electronic survey inexpensive to distribute and track, minimizes the burden on respondents, and facilitate the creation of electronic data sets that will be used to analyze the survey results. </w:t>
      </w:r>
    </w:p>
    <w:p w:rsidR="001D28CE" w:rsidP="00045A5A" w:rsidRDefault="001D28CE" w14:paraId="05168EB8" w14:textId="77777777">
      <w:pPr>
        <w:rPr>
          <w:szCs w:val="24"/>
        </w:rPr>
      </w:pPr>
    </w:p>
    <w:p w:rsidRPr="004A4C4A" w:rsidR="00603E2D" w:rsidP="009E31E6" w:rsidRDefault="00603E2D" w14:paraId="066E9C6F" w14:textId="4F8CD088">
      <w:pPr>
        <w:pStyle w:val="Heading2"/>
        <w:ind w:left="0" w:firstLine="0"/>
        <w:rPr>
          <w:rStyle w:val="IntenseEmphasis"/>
        </w:rPr>
      </w:pPr>
      <w:r w:rsidRPr="009C32CF">
        <w:t>4.</w:t>
      </w:r>
      <w:r w:rsidRPr="009C32CF">
        <w:tab/>
      </w:r>
      <w:r w:rsidR="00F23F68">
        <w:rPr>
          <w:u w:val="single"/>
        </w:rPr>
        <w:t>Describe e</w:t>
      </w:r>
      <w:r w:rsidRPr="009E31E6">
        <w:rPr>
          <w:u w:val="single"/>
        </w:rPr>
        <w:t>fforts to identify duplication</w:t>
      </w:r>
      <w:r w:rsidRPr="009E31E6" w:rsidR="003B3B4C">
        <w:rPr>
          <w:u w:val="single"/>
        </w:rPr>
        <w:t>.</w:t>
      </w:r>
      <w:r w:rsidR="003B3B4C">
        <w:t xml:space="preserve"> </w:t>
      </w:r>
      <w:r w:rsidRPr="00981917" w:rsidR="003B3B4C">
        <w:t xml:space="preserve"> </w:t>
      </w:r>
    </w:p>
    <w:p w:rsidRPr="003E27D4" w:rsidR="003E27D4" w:rsidP="003E27D4" w:rsidRDefault="003E27D4" w14:paraId="6717626E" w14:textId="77777777">
      <w:pPr>
        <w:rPr>
          <w:szCs w:val="24"/>
        </w:rPr>
      </w:pPr>
      <w:r w:rsidRPr="003E27D4">
        <w:rPr>
          <w:szCs w:val="24"/>
        </w:rPr>
        <w:t>To the best of FHWA’s knowledge, up-to-date state-by-state information on alternative uses of the ROW, including common state acquisition practices, catalog systems, and barriers to effective program implementation, is not available from any other source. Some of the specific data collection efforts FHWA considered include the following:</w:t>
      </w:r>
    </w:p>
    <w:p w:rsidRPr="003E27D4" w:rsidR="003E27D4" w:rsidP="00140EDB" w:rsidRDefault="00140EDB" w14:paraId="072808E8" w14:textId="5E3785A4">
      <w:pPr>
        <w:pStyle w:val="ListParagraph"/>
        <w:numPr>
          <w:ilvl w:val="0"/>
          <w:numId w:val="1"/>
        </w:numPr>
        <w:rPr>
          <w:szCs w:val="24"/>
        </w:rPr>
      </w:pPr>
      <w:r w:rsidRPr="00140EDB">
        <w:rPr>
          <w:b/>
          <w:szCs w:val="24"/>
        </w:rPr>
        <w:t>American Association of State Highway and Transportation Officials</w:t>
      </w:r>
      <w:r>
        <w:rPr>
          <w:b/>
          <w:szCs w:val="24"/>
        </w:rPr>
        <w:t xml:space="preserve"> (</w:t>
      </w:r>
      <w:r w:rsidRPr="003E27D4" w:rsidR="003E27D4">
        <w:rPr>
          <w:b/>
          <w:szCs w:val="24"/>
        </w:rPr>
        <w:t>AASHTO</w:t>
      </w:r>
      <w:r>
        <w:rPr>
          <w:b/>
          <w:szCs w:val="24"/>
        </w:rPr>
        <w:t>)</w:t>
      </w:r>
      <w:r w:rsidRPr="003E27D4" w:rsidR="003E27D4">
        <w:rPr>
          <w:b/>
          <w:szCs w:val="24"/>
        </w:rPr>
        <w:t xml:space="preserve"> Special Committee on Research and Innovation (R&amp;I), Research Advisory Committee (RAC) survey results database.</w:t>
      </w:r>
      <w:r w:rsidRPr="003E27D4" w:rsidR="003E27D4">
        <w:rPr>
          <w:szCs w:val="24"/>
        </w:rPr>
        <w:t xml:space="preserve"> AASHTO’s R&amp;I, and its RAC subsidiary, look to support development, technology transfer, and implementation of innovation in the transportation community through research. The database includes surveys distributed to AASHTO transportation agency members. There are two surveys related to this FHWA research project. One is focused on </w:t>
      </w:r>
      <w:hyperlink w:history="1" r:id="rId11">
        <w:r w:rsidRPr="003E27D4" w:rsidR="003E27D4">
          <w:rPr>
            <w:rStyle w:val="Hyperlink"/>
            <w:szCs w:val="24"/>
          </w:rPr>
          <w:t>ROW agent staffing</w:t>
        </w:r>
      </w:hyperlink>
      <w:r w:rsidRPr="003E27D4" w:rsidR="003E27D4">
        <w:rPr>
          <w:szCs w:val="24"/>
        </w:rPr>
        <w:t xml:space="preserve"> but is not nation-wide, and while tangentially related in terms of content, does not include any of the needed information on operations or tracking processes. The other survey is focused on </w:t>
      </w:r>
      <w:hyperlink w:history="1" r:id="rId12">
        <w:r w:rsidRPr="003E27D4" w:rsidR="003E27D4">
          <w:rPr>
            <w:rStyle w:val="Hyperlink"/>
            <w:szCs w:val="24"/>
          </w:rPr>
          <w:t>broadband communications infrastructure in the ROW</w:t>
        </w:r>
      </w:hyperlink>
      <w:r w:rsidRPr="003E27D4" w:rsidR="003E27D4">
        <w:rPr>
          <w:szCs w:val="24"/>
        </w:rPr>
        <w:t xml:space="preserve"> but it is outdated, not comprehensive, and does not include any of the needed information on operations or tracking processes because it is narrowly focused on one alternative use of the ROW. </w:t>
      </w:r>
    </w:p>
    <w:p w:rsidRPr="003E27D4" w:rsidR="003E27D4" w:rsidP="003E27D4" w:rsidRDefault="003E27D4" w14:paraId="25EA51D2" w14:textId="0D1F1A16">
      <w:pPr>
        <w:pStyle w:val="ListParagraph"/>
        <w:numPr>
          <w:ilvl w:val="0"/>
          <w:numId w:val="1"/>
        </w:numPr>
        <w:rPr>
          <w:szCs w:val="24"/>
        </w:rPr>
      </w:pPr>
      <w:r w:rsidRPr="003E27D4">
        <w:rPr>
          <w:b/>
          <w:szCs w:val="24"/>
        </w:rPr>
        <w:t>AASHTO Subcommittee on Right-of-Way, Utilities and Outdoor Advertising Control, Taskforce on Research’s survey database.</w:t>
      </w:r>
      <w:r w:rsidRPr="003E27D4">
        <w:rPr>
          <w:szCs w:val="24"/>
        </w:rPr>
        <w:t xml:space="preserve"> This AASHTO subcommittee conducts research and surveys, many of which are topically related to this FHWA research. However, all surveys except for one are far too outdated. The </w:t>
      </w:r>
      <w:hyperlink w:history="1" r:id="rId13">
        <w:r w:rsidRPr="003E27D4">
          <w:rPr>
            <w:rStyle w:val="Hyperlink"/>
            <w:szCs w:val="24"/>
          </w:rPr>
          <w:t xml:space="preserve">sole non-outdated survey </w:t>
        </w:r>
      </w:hyperlink>
      <w:r w:rsidRPr="003E27D4">
        <w:rPr>
          <w:szCs w:val="24"/>
        </w:rPr>
        <w:t>focuses on management o</w:t>
      </w:r>
      <w:r w:rsidR="00DB39E7">
        <w:rPr>
          <w:szCs w:val="24"/>
        </w:rPr>
        <w:t>f</w:t>
      </w:r>
      <w:r w:rsidRPr="003E27D4">
        <w:rPr>
          <w:szCs w:val="24"/>
        </w:rPr>
        <w:t xml:space="preserve"> ROW departments, but is directed more at the staffing and organizational structure and does not cover any of the needed information on operations or tracking processes.</w:t>
      </w:r>
    </w:p>
    <w:p w:rsidRPr="008C1FA9" w:rsidR="00603E2D" w:rsidP="00C10E49" w:rsidRDefault="003E27D4" w14:paraId="40210688" w14:textId="0FE34B42">
      <w:pPr>
        <w:pStyle w:val="ListParagraph"/>
        <w:numPr>
          <w:ilvl w:val="0"/>
          <w:numId w:val="1"/>
        </w:numPr>
        <w:rPr>
          <w:szCs w:val="24"/>
        </w:rPr>
      </w:pPr>
      <w:r w:rsidRPr="008C1FA9">
        <w:rPr>
          <w:b/>
          <w:szCs w:val="24"/>
        </w:rPr>
        <w:t>State DOT ROW policies and procedures manuals.</w:t>
      </w:r>
      <w:r w:rsidRPr="008C1FA9">
        <w:rPr>
          <w:szCs w:val="24"/>
        </w:rPr>
        <w:t xml:space="preserve"> Some states have policies and procedures manuals that describe forms used to document ROW acquisitions and related items, but no information on management, storage</w:t>
      </w:r>
      <w:r w:rsidRPr="008C1FA9" w:rsidR="00DB39E7">
        <w:rPr>
          <w:szCs w:val="24"/>
        </w:rPr>
        <w:t>,</w:t>
      </w:r>
      <w:r w:rsidRPr="008C1FA9">
        <w:rPr>
          <w:szCs w:val="24"/>
        </w:rPr>
        <w:t xml:space="preserve"> or tracking of these forms. This information is not comprehensive (only some states have public manuals) and varies significantly in detail and the specific information offered.</w:t>
      </w:r>
    </w:p>
    <w:p w:rsidR="008C1FA9" w:rsidP="008C1FA9" w:rsidRDefault="00603E2D" w14:paraId="173B0BA9" w14:textId="4F3B1CB9">
      <w:pPr>
        <w:pStyle w:val="Heading2"/>
        <w:numPr>
          <w:ilvl w:val="0"/>
          <w:numId w:val="8"/>
        </w:numPr>
        <w:ind w:left="720"/>
      </w:pPr>
      <w:r w:rsidRPr="00F54C28">
        <w:rPr>
          <w:u w:val="single"/>
        </w:rPr>
        <w:lastRenderedPageBreak/>
        <w:t>Efforts to minimize burden on small businesses</w:t>
      </w:r>
      <w:r w:rsidRPr="00F54C28" w:rsidR="00A64F4A">
        <w:rPr>
          <w:u w:val="single"/>
        </w:rPr>
        <w:t>.</w:t>
      </w:r>
      <w:r w:rsidR="00A64F4A">
        <w:t xml:space="preserve"> </w:t>
      </w:r>
    </w:p>
    <w:p w:rsidRPr="009C32CF" w:rsidR="00603E2D" w:rsidRDefault="00603E2D" w14:paraId="383A6576" w14:textId="11847CFD">
      <w:pPr>
        <w:rPr>
          <w:szCs w:val="24"/>
        </w:rPr>
      </w:pPr>
      <w:r w:rsidRPr="009C32CF">
        <w:rPr>
          <w:szCs w:val="24"/>
        </w:rPr>
        <w:t>This information collection does not involve small businesses.</w:t>
      </w:r>
    </w:p>
    <w:p w:rsidR="008C1FA9" w:rsidP="008C1FA9" w:rsidRDefault="00603E2D" w14:paraId="6B295C2A" w14:textId="77777777">
      <w:pPr>
        <w:pStyle w:val="ListParagraph"/>
        <w:numPr>
          <w:ilvl w:val="0"/>
          <w:numId w:val="8"/>
        </w:numPr>
        <w:ind w:left="720"/>
      </w:pPr>
      <w:r w:rsidRPr="008C1FA9">
        <w:rPr>
          <w:b/>
          <w:u w:val="single"/>
        </w:rPr>
        <w:t>Impact of less frequent collection of information</w:t>
      </w:r>
      <w:r w:rsidRPr="00F54C28" w:rsidR="00885FE3">
        <w:t>.</w:t>
      </w:r>
      <w:r w:rsidRPr="00F54C28" w:rsidR="001D4004">
        <w:t xml:space="preserve"> </w:t>
      </w:r>
    </w:p>
    <w:p w:rsidRPr="009C32CF" w:rsidR="009B7D82" w:rsidRDefault="000C61C0" w14:paraId="708B0C43" w14:textId="01C699CC">
      <w:pPr>
        <w:rPr>
          <w:szCs w:val="24"/>
        </w:rPr>
      </w:pPr>
      <w:r>
        <w:rPr>
          <w:szCs w:val="24"/>
        </w:rPr>
        <w:t>This information will be collected one</w:t>
      </w:r>
      <w:r w:rsidR="00DB39E7">
        <w:rPr>
          <w:szCs w:val="24"/>
        </w:rPr>
        <w:t xml:space="preserve"> time</w:t>
      </w:r>
      <w:r w:rsidR="00F05221">
        <w:rPr>
          <w:szCs w:val="24"/>
        </w:rPr>
        <w:t xml:space="preserve"> only</w:t>
      </w:r>
      <w:r>
        <w:rPr>
          <w:szCs w:val="24"/>
        </w:rPr>
        <w:t xml:space="preserve">. </w:t>
      </w:r>
      <w:r w:rsidRPr="00F06041" w:rsidR="00F06041">
        <w:rPr>
          <w:szCs w:val="24"/>
        </w:rPr>
        <w:t>Without these data FHWA will not be in a position to properly supp</w:t>
      </w:r>
      <w:r w:rsidR="00F06041">
        <w:rPr>
          <w:szCs w:val="24"/>
        </w:rPr>
        <w:t xml:space="preserve">ort state and regional agencies in tracking alternative ROW uses. </w:t>
      </w:r>
    </w:p>
    <w:p w:rsidR="00045A5A" w:rsidP="006F1C56" w:rsidRDefault="00603E2D" w14:paraId="53CB9186" w14:textId="77777777">
      <w:pPr>
        <w:tabs>
          <w:tab w:val="left" w:pos="540"/>
        </w:tabs>
        <w:rPr>
          <w:b/>
          <w:szCs w:val="24"/>
        </w:rPr>
      </w:pPr>
      <w:r w:rsidRPr="00F54C28">
        <w:rPr>
          <w:b/>
        </w:rPr>
        <w:t>7.</w:t>
      </w:r>
      <w:r w:rsidRPr="009C32CF">
        <w:tab/>
      </w:r>
      <w:r w:rsidRPr="00F54C28" w:rsidR="002F3667">
        <w:rPr>
          <w:b/>
          <w:szCs w:val="24"/>
          <w:u w:val="single"/>
        </w:rPr>
        <w:t>Special Circumstances</w:t>
      </w:r>
      <w:r w:rsidRPr="00F54C28" w:rsidR="002F3667">
        <w:rPr>
          <w:b/>
          <w:szCs w:val="24"/>
        </w:rPr>
        <w:t xml:space="preserve">.  </w:t>
      </w:r>
    </w:p>
    <w:p w:rsidRPr="00045A5A" w:rsidR="00045A5A" w:rsidP="00045A5A" w:rsidRDefault="00045A5A" w14:paraId="32C4AFAB" w14:textId="77777777">
      <w:pPr>
        <w:rPr>
          <w:szCs w:val="24"/>
        </w:rPr>
      </w:pPr>
      <w:r w:rsidRPr="00045A5A">
        <w:rPr>
          <w:szCs w:val="24"/>
        </w:rPr>
        <w:t>This information collection does not:</w:t>
      </w:r>
    </w:p>
    <w:p w:rsidRPr="00045A5A" w:rsidR="00045A5A" w:rsidP="001842B6" w:rsidRDefault="00045A5A" w14:paraId="3E940C10" w14:textId="77777777">
      <w:pPr>
        <w:spacing w:after="120"/>
        <w:ind w:left="907" w:hanging="360"/>
        <w:rPr>
          <w:szCs w:val="24"/>
        </w:rPr>
      </w:pPr>
      <w:r w:rsidRPr="00045A5A">
        <w:rPr>
          <w:szCs w:val="24"/>
        </w:rPr>
        <w:t>•</w:t>
      </w:r>
      <w:r w:rsidRPr="00045A5A">
        <w:rPr>
          <w:szCs w:val="24"/>
        </w:rPr>
        <w:tab/>
        <w:t>Require respondents to report information to the agency more often than quarterly</w:t>
      </w:r>
    </w:p>
    <w:p w:rsidRPr="00045A5A" w:rsidR="00045A5A" w:rsidP="001842B6" w:rsidRDefault="00045A5A" w14:paraId="509F8C97" w14:textId="77777777">
      <w:pPr>
        <w:spacing w:after="120"/>
        <w:ind w:left="907" w:hanging="360"/>
        <w:rPr>
          <w:szCs w:val="24"/>
        </w:rPr>
      </w:pPr>
      <w:r w:rsidRPr="00045A5A">
        <w:rPr>
          <w:szCs w:val="24"/>
        </w:rPr>
        <w:t>•</w:t>
      </w:r>
      <w:r w:rsidRPr="00045A5A">
        <w:rPr>
          <w:szCs w:val="24"/>
        </w:rPr>
        <w:tab/>
        <w:t>Require a written response to a collection of information in fewer than 30 days after receipt of it</w:t>
      </w:r>
    </w:p>
    <w:p w:rsidRPr="00045A5A" w:rsidR="00045A5A" w:rsidP="001842B6" w:rsidRDefault="00045A5A" w14:paraId="13E16156" w14:textId="77777777">
      <w:pPr>
        <w:spacing w:after="120"/>
        <w:ind w:left="907" w:hanging="360"/>
        <w:rPr>
          <w:szCs w:val="24"/>
        </w:rPr>
      </w:pPr>
      <w:r w:rsidRPr="00045A5A">
        <w:rPr>
          <w:szCs w:val="24"/>
        </w:rPr>
        <w:t>•</w:t>
      </w:r>
      <w:r w:rsidRPr="00045A5A">
        <w:rPr>
          <w:szCs w:val="24"/>
        </w:rPr>
        <w:tab/>
        <w:t>Require respondents to submit more than an original and two copies of any document</w:t>
      </w:r>
    </w:p>
    <w:p w:rsidRPr="00045A5A" w:rsidR="00045A5A" w:rsidP="001842B6" w:rsidRDefault="00045A5A" w14:paraId="485FE9F9" w14:textId="77777777">
      <w:pPr>
        <w:spacing w:after="120"/>
        <w:ind w:left="907" w:hanging="360"/>
        <w:rPr>
          <w:szCs w:val="24"/>
        </w:rPr>
      </w:pPr>
      <w:r w:rsidRPr="00045A5A">
        <w:rPr>
          <w:szCs w:val="24"/>
        </w:rPr>
        <w:t>•</w:t>
      </w:r>
      <w:r w:rsidRPr="00045A5A">
        <w:rPr>
          <w:szCs w:val="24"/>
        </w:rPr>
        <w:tab/>
        <w:t xml:space="preserve">Require respondents to retain records for more than three years </w:t>
      </w:r>
    </w:p>
    <w:p w:rsidRPr="00045A5A" w:rsidR="00045A5A" w:rsidP="001842B6" w:rsidRDefault="00045A5A" w14:paraId="229FC51C" w14:textId="50F65C01">
      <w:pPr>
        <w:spacing w:after="120"/>
        <w:ind w:left="907" w:hanging="360"/>
        <w:rPr>
          <w:szCs w:val="24"/>
        </w:rPr>
      </w:pPr>
      <w:r w:rsidRPr="00045A5A">
        <w:rPr>
          <w:szCs w:val="24"/>
        </w:rPr>
        <w:t>•</w:t>
      </w:r>
      <w:r w:rsidRPr="00045A5A">
        <w:rPr>
          <w:szCs w:val="24"/>
        </w:rPr>
        <w:tab/>
        <w:t>Rely on a statistical sample; it is conducting a census and is collecting information from all releva</w:t>
      </w:r>
      <w:r w:rsidR="00CD020F">
        <w:rPr>
          <w:szCs w:val="24"/>
        </w:rPr>
        <w:t>nt SDOTs and federal agencies.</w:t>
      </w:r>
    </w:p>
    <w:p w:rsidRPr="00045A5A" w:rsidR="00045A5A" w:rsidP="001842B6" w:rsidRDefault="00045A5A" w14:paraId="665979DE" w14:textId="289A9A34">
      <w:pPr>
        <w:spacing w:after="120"/>
        <w:ind w:left="907" w:hanging="360"/>
        <w:rPr>
          <w:szCs w:val="24"/>
        </w:rPr>
      </w:pPr>
      <w:r w:rsidRPr="00045A5A">
        <w:rPr>
          <w:szCs w:val="24"/>
        </w:rPr>
        <w:t>•</w:t>
      </w:r>
      <w:r w:rsidRPr="00045A5A">
        <w:rPr>
          <w:szCs w:val="24"/>
        </w:rPr>
        <w:tab/>
        <w:t>Require the use of a statistical data classification that has not bee</w:t>
      </w:r>
      <w:r w:rsidR="00CD020F">
        <w:rPr>
          <w:szCs w:val="24"/>
        </w:rPr>
        <w:t>n reviewed and approved by OMB.</w:t>
      </w:r>
    </w:p>
    <w:p w:rsidRPr="00045A5A" w:rsidR="00045A5A" w:rsidP="001842B6" w:rsidRDefault="00045A5A" w14:paraId="11A52A6B" w14:textId="77777777">
      <w:pPr>
        <w:spacing w:after="120"/>
        <w:ind w:left="907" w:hanging="360"/>
        <w:rPr>
          <w:szCs w:val="24"/>
        </w:rPr>
      </w:pPr>
      <w:r w:rsidRPr="00045A5A">
        <w:rPr>
          <w:szCs w:val="24"/>
        </w:rPr>
        <w:t>•</w:t>
      </w:r>
      <w:r w:rsidRPr="00045A5A">
        <w:rPr>
          <w:szCs w:val="24"/>
        </w:rPr>
        <w:tab/>
        <w:t xml:space="preserve">Promise that the data requested will be kept confidential. </w:t>
      </w:r>
    </w:p>
    <w:p w:rsidRPr="00045A5A" w:rsidR="00045A5A" w:rsidP="001842B6" w:rsidRDefault="00045A5A" w14:paraId="08590C83" w14:textId="77777777">
      <w:pPr>
        <w:spacing w:after="120"/>
        <w:ind w:left="907" w:hanging="360"/>
        <w:rPr>
          <w:szCs w:val="24"/>
        </w:rPr>
      </w:pPr>
      <w:r w:rsidRPr="00045A5A">
        <w:rPr>
          <w:szCs w:val="24"/>
        </w:rPr>
        <w:t>•</w:t>
      </w:r>
      <w:r w:rsidRPr="00045A5A">
        <w:rPr>
          <w:szCs w:val="24"/>
        </w:rPr>
        <w:tab/>
        <w:t xml:space="preserve">Request proprietary trade, secret, or other confidential information.  </w:t>
      </w:r>
    </w:p>
    <w:p w:rsidRPr="009C32CF" w:rsidR="00603E2D" w:rsidP="00045A5A" w:rsidRDefault="00603E2D" w14:paraId="29CE5711" w14:textId="666C64CD">
      <w:pPr>
        <w:rPr>
          <w:szCs w:val="24"/>
        </w:rPr>
      </w:pPr>
      <w:r w:rsidRPr="009C32CF">
        <w:rPr>
          <w:szCs w:val="24"/>
        </w:rPr>
        <w:t>There are no special circumstances associated with this information collection.</w:t>
      </w:r>
    </w:p>
    <w:p w:rsidR="00045A5A" w:rsidP="006F1C56" w:rsidRDefault="00603E2D" w14:paraId="1F1E3608" w14:textId="77777777">
      <w:pPr>
        <w:tabs>
          <w:tab w:val="left" w:pos="540"/>
        </w:tabs>
        <w:rPr>
          <w:szCs w:val="24"/>
        </w:rPr>
      </w:pPr>
      <w:r w:rsidRPr="009B472E">
        <w:rPr>
          <w:b/>
          <w:szCs w:val="24"/>
        </w:rPr>
        <w:t>8.</w:t>
      </w:r>
      <w:r w:rsidRPr="009B472E">
        <w:rPr>
          <w:szCs w:val="24"/>
        </w:rPr>
        <w:tab/>
      </w:r>
      <w:r w:rsidRPr="009B472E">
        <w:rPr>
          <w:b/>
          <w:szCs w:val="24"/>
          <w:u w:val="single"/>
        </w:rPr>
        <w:t>Compliance with 5 CFR 1320.8</w:t>
      </w:r>
      <w:r w:rsidRPr="009B472E" w:rsidR="0053201A">
        <w:rPr>
          <w:b/>
          <w:szCs w:val="24"/>
          <w:u w:val="single"/>
        </w:rPr>
        <w:t>.</w:t>
      </w:r>
      <w:r w:rsidRPr="009B472E" w:rsidR="0053201A">
        <w:rPr>
          <w:szCs w:val="24"/>
        </w:rPr>
        <w:t xml:space="preserve"> </w:t>
      </w:r>
    </w:p>
    <w:p w:rsidRPr="00045A5A" w:rsidR="00045A5A" w:rsidP="00045A5A" w:rsidRDefault="00045A5A" w14:paraId="4A0B2052" w14:textId="47BFEF49">
      <w:pPr>
        <w:rPr>
          <w:szCs w:val="24"/>
        </w:rPr>
      </w:pPr>
      <w:r w:rsidRPr="00045A5A">
        <w:rPr>
          <w:szCs w:val="24"/>
        </w:rPr>
        <w:t>The FHWA published a 60-day Federal Register notice regarding the renewal of</w:t>
      </w:r>
      <w:r w:rsidR="00CD020F">
        <w:rPr>
          <w:szCs w:val="24"/>
        </w:rPr>
        <w:t xml:space="preserve"> this information collection on June 4, 2019</w:t>
      </w:r>
      <w:r w:rsidRPr="00045A5A">
        <w:rPr>
          <w:szCs w:val="24"/>
        </w:rPr>
        <w:t>, Vol</w:t>
      </w:r>
      <w:r w:rsidRPr="001D28CE">
        <w:rPr>
          <w:szCs w:val="24"/>
        </w:rPr>
        <w:t xml:space="preserve">. </w:t>
      </w:r>
      <w:r w:rsidRPr="001D28CE" w:rsidR="00CD020F">
        <w:rPr>
          <w:szCs w:val="24"/>
        </w:rPr>
        <w:t>84</w:t>
      </w:r>
      <w:r w:rsidRPr="001D28CE" w:rsidR="001D28CE">
        <w:rPr>
          <w:szCs w:val="24"/>
        </w:rPr>
        <w:t>,</w:t>
      </w:r>
      <w:r w:rsidRPr="00045A5A">
        <w:rPr>
          <w:szCs w:val="24"/>
        </w:rPr>
        <w:t xml:space="preserve"> </w:t>
      </w:r>
      <w:r w:rsidR="00CD020F">
        <w:rPr>
          <w:szCs w:val="24"/>
        </w:rPr>
        <w:t>page 25898</w:t>
      </w:r>
      <w:r w:rsidRPr="00045A5A">
        <w:rPr>
          <w:szCs w:val="24"/>
        </w:rPr>
        <w:t xml:space="preserve">. </w:t>
      </w:r>
      <w:r w:rsidRPr="00CD020F">
        <w:rPr>
          <w:szCs w:val="24"/>
        </w:rPr>
        <w:t>No comments were received</w:t>
      </w:r>
      <w:r w:rsidRPr="00045A5A">
        <w:rPr>
          <w:szCs w:val="24"/>
        </w:rPr>
        <w:t xml:space="preserve">.  </w:t>
      </w:r>
    </w:p>
    <w:p w:rsidR="00045A5A" w:rsidP="009B472E" w:rsidRDefault="00603E2D" w14:paraId="0A4F0253" w14:textId="77777777">
      <w:pPr>
        <w:pStyle w:val="Heading2"/>
        <w:ind w:left="0" w:firstLine="0"/>
        <w:rPr/>
      </w:pPr>
      <w:bookmarkStart w:name="_GoBack" w:id="5"/>
      <w:bookmarkEnd w:id="5"/>
      <w:r w:rsidRPr="000A42CB">
        <w:t>9.</w:t>
      </w:r>
      <w:r w:rsidRPr="000A42CB">
        <w:tab/>
      </w:r>
      <w:r w:rsidRPr="009B472E">
        <w:rPr>
          <w:u w:val="single"/>
        </w:rPr>
        <w:t>Payment of gifts to respondents</w:t>
      </w:r>
      <w:r w:rsidRPr="009B472E" w:rsidR="000F15F9">
        <w:rPr>
          <w:u w:val="single"/>
        </w:rPr>
        <w:t>.</w:t>
      </w:r>
      <w:r w:rsidR="000F15F9">
        <w:t xml:space="preserve"> </w:t>
      </w:r>
    </w:p>
    <w:p w:rsidRPr="009C32CF" w:rsidR="00603E2D" w:rsidRDefault="00603E2D" w14:paraId="2F09A26B" w14:textId="7B33DB27">
      <w:pPr>
        <w:rPr>
          <w:szCs w:val="24"/>
        </w:rPr>
      </w:pPr>
      <w:r w:rsidRPr="009C32CF">
        <w:rPr>
          <w:szCs w:val="24"/>
        </w:rPr>
        <w:t xml:space="preserve">No payments or gifts </w:t>
      </w:r>
      <w:r w:rsidR="006B521C">
        <w:rPr>
          <w:szCs w:val="24"/>
        </w:rPr>
        <w:t>will be</w:t>
      </w:r>
      <w:r w:rsidRPr="009C32CF" w:rsidR="006B521C">
        <w:rPr>
          <w:szCs w:val="24"/>
        </w:rPr>
        <w:t xml:space="preserve"> </w:t>
      </w:r>
      <w:r w:rsidRPr="009C32CF">
        <w:rPr>
          <w:szCs w:val="24"/>
        </w:rPr>
        <w:t>provided to respondents.</w:t>
      </w:r>
    </w:p>
    <w:p w:rsidR="00045A5A" w:rsidP="009B472E" w:rsidRDefault="00603E2D" w14:paraId="68425B67" w14:textId="77777777">
      <w:pPr>
        <w:pStyle w:val="Heading2"/>
        <w:ind w:left="0" w:firstLine="0"/>
      </w:pPr>
      <w:r w:rsidRPr="009C32CF">
        <w:t>10.</w:t>
      </w:r>
      <w:r w:rsidRPr="009C32CF">
        <w:tab/>
      </w:r>
      <w:r w:rsidRPr="009B472E">
        <w:rPr>
          <w:u w:val="single"/>
        </w:rPr>
        <w:t>Assurance of confidentiality</w:t>
      </w:r>
      <w:r w:rsidR="0086139E">
        <w:t xml:space="preserve">. </w:t>
      </w:r>
    </w:p>
    <w:p w:rsidRPr="009C32CF" w:rsidR="00603E2D" w:rsidRDefault="00603E2D" w14:paraId="4FBA63F7" w14:textId="77777777">
      <w:pPr>
        <w:rPr>
          <w:szCs w:val="24"/>
        </w:rPr>
      </w:pPr>
      <w:r w:rsidRPr="009C32CF">
        <w:rPr>
          <w:szCs w:val="24"/>
        </w:rPr>
        <w:t>None of the informati</w:t>
      </w:r>
      <w:r w:rsidR="000C61C0">
        <w:rPr>
          <w:szCs w:val="24"/>
        </w:rPr>
        <w:t>on is considered confidential</w:t>
      </w:r>
      <w:r w:rsidRPr="009C32CF">
        <w:rPr>
          <w:szCs w:val="24"/>
        </w:rPr>
        <w:t>.</w:t>
      </w:r>
    </w:p>
    <w:p w:rsidR="00045A5A" w:rsidP="00A0311D" w:rsidRDefault="00603E2D" w14:paraId="696F8020" w14:textId="77777777">
      <w:pPr>
        <w:tabs>
          <w:tab w:val="left" w:pos="540"/>
        </w:tabs>
        <w:rPr>
          <w:szCs w:val="24"/>
        </w:rPr>
      </w:pPr>
      <w:r w:rsidRPr="009B472E">
        <w:rPr>
          <w:b/>
          <w:szCs w:val="24"/>
        </w:rPr>
        <w:t>11.</w:t>
      </w:r>
      <w:r w:rsidRPr="009B472E">
        <w:rPr>
          <w:szCs w:val="24"/>
        </w:rPr>
        <w:tab/>
      </w:r>
      <w:r w:rsidRPr="009B472E">
        <w:rPr>
          <w:b/>
          <w:szCs w:val="24"/>
          <w:u w:val="single"/>
        </w:rPr>
        <w:t>Justification for collection sensitive information</w:t>
      </w:r>
      <w:r w:rsidRPr="009B472E" w:rsidR="00BB590E">
        <w:rPr>
          <w:b/>
          <w:szCs w:val="24"/>
          <w:u w:val="single"/>
        </w:rPr>
        <w:t>.</w:t>
      </w:r>
      <w:r w:rsidRPr="009B472E" w:rsidR="00BB590E">
        <w:rPr>
          <w:szCs w:val="24"/>
        </w:rPr>
        <w:t xml:space="preserve"> </w:t>
      </w:r>
    </w:p>
    <w:p w:rsidRPr="009C32CF" w:rsidR="00603E2D" w:rsidRDefault="00603E2D" w14:paraId="71AF5D79" w14:textId="77777777">
      <w:pPr>
        <w:rPr>
          <w:szCs w:val="24"/>
        </w:rPr>
      </w:pPr>
      <w:r w:rsidRPr="009C32CF">
        <w:rPr>
          <w:szCs w:val="24"/>
        </w:rPr>
        <w:t>None of the information required is of a sensitive or private nature.</w:t>
      </w:r>
    </w:p>
    <w:p w:rsidR="00045A5A" w:rsidP="00305536" w:rsidRDefault="00603E2D" w14:paraId="2A13CC44" w14:textId="77777777">
      <w:pPr>
        <w:tabs>
          <w:tab w:val="left" w:pos="540"/>
        </w:tabs>
        <w:rPr>
          <w:b/>
          <w:szCs w:val="24"/>
          <w:u w:val="single"/>
        </w:rPr>
      </w:pPr>
      <w:r w:rsidRPr="009B472E">
        <w:rPr>
          <w:b/>
          <w:szCs w:val="24"/>
        </w:rPr>
        <w:t>12.</w:t>
      </w:r>
      <w:r w:rsidRPr="009B472E">
        <w:rPr>
          <w:b/>
          <w:szCs w:val="24"/>
          <w:u w:val="single"/>
        </w:rPr>
        <w:tab/>
        <w:t xml:space="preserve">Estimate of burden hours for information </w:t>
      </w:r>
      <w:r w:rsidR="00334927">
        <w:rPr>
          <w:b/>
          <w:szCs w:val="24"/>
          <w:u w:val="single"/>
        </w:rPr>
        <w:t xml:space="preserve">requested. </w:t>
      </w:r>
    </w:p>
    <w:p w:rsidRPr="009C32CF" w:rsidR="001D4720" w:rsidP="00045A5A" w:rsidRDefault="00045A5A" w14:paraId="3E6D7BCD" w14:textId="0C875F22">
      <w:r w:rsidRPr="00045A5A">
        <w:t xml:space="preserve">Each State and the District of Columbia are requested to provide information. The annual </w:t>
      </w:r>
      <w:r w:rsidRPr="00045A5A">
        <w:lastRenderedPageBreak/>
        <w:t>number of burden hours (professional and clerical staff) per respondent for preparation of the data required to answer the survey and to fill out th</w:t>
      </w:r>
      <w:r w:rsidR="00CD020F">
        <w:t xml:space="preserve">e questionnaire is 4 </w:t>
      </w:r>
      <w:r w:rsidRPr="00045A5A">
        <w:t>hours. The total annual burden for State respondents is estimated to be 204 burden hours (4 burden hours per respondent times 51 respondents).</w:t>
      </w:r>
      <w:r w:rsidR="001D4720">
        <w:t xml:space="preserve"> </w:t>
      </w:r>
      <w:r w:rsidRPr="00045A5A">
        <w:t>This annual burden consists of staff time of each respondent to the information requested by the survey (up to 3 hours) and the time to fill in the survey instrument (up to 1 hour).</w:t>
      </w:r>
    </w:p>
    <w:p w:rsidR="008C1FA9" w:rsidP="00E40C94" w:rsidRDefault="00603E2D" w14:paraId="7A37F27A" w14:textId="77777777">
      <w:pPr>
        <w:tabs>
          <w:tab w:val="left" w:pos="540"/>
        </w:tabs>
        <w:rPr>
          <w:szCs w:val="24"/>
        </w:rPr>
      </w:pPr>
      <w:r w:rsidRPr="009B472E">
        <w:rPr>
          <w:b/>
          <w:szCs w:val="24"/>
        </w:rPr>
        <w:t>13.</w:t>
      </w:r>
      <w:r w:rsidRPr="009B472E">
        <w:rPr>
          <w:szCs w:val="24"/>
        </w:rPr>
        <w:tab/>
      </w:r>
      <w:r w:rsidRPr="009B472E">
        <w:rPr>
          <w:b/>
          <w:szCs w:val="24"/>
          <w:u w:val="single"/>
        </w:rPr>
        <w:t xml:space="preserve">Estimate of total annual </w:t>
      </w:r>
      <w:r w:rsidRPr="005A640A">
        <w:rPr>
          <w:b/>
          <w:szCs w:val="24"/>
          <w:u w:val="single"/>
        </w:rPr>
        <w:t>costs</w:t>
      </w:r>
      <w:r w:rsidRPr="005A640A" w:rsidR="00334927">
        <w:rPr>
          <w:szCs w:val="24"/>
          <w:u w:val="single"/>
        </w:rPr>
        <w:t xml:space="preserve"> </w:t>
      </w:r>
      <w:r w:rsidRPr="005A640A" w:rsidR="00334927">
        <w:rPr>
          <w:b/>
          <w:szCs w:val="24"/>
          <w:u w:val="single"/>
        </w:rPr>
        <w:t>burden</w:t>
      </w:r>
      <w:r w:rsidRPr="009B472E" w:rsidR="00334927">
        <w:rPr>
          <w:b/>
          <w:szCs w:val="24"/>
        </w:rPr>
        <w:t>.</w:t>
      </w:r>
      <w:r w:rsidR="00E40C94">
        <w:rPr>
          <w:szCs w:val="24"/>
        </w:rPr>
        <w:t xml:space="preserve"> </w:t>
      </w:r>
    </w:p>
    <w:p w:rsidR="00684AB2" w:rsidP="00684AB2" w:rsidRDefault="000324AD" w14:paraId="7AC7F0AC" w14:textId="76D4F6FB">
      <w:pPr>
        <w:pStyle w:val="BodyTextIndent"/>
        <w:ind w:left="0"/>
      </w:pPr>
      <w:bookmarkStart w:name="_Hlk2855580" w:id="6"/>
      <w:r w:rsidRPr="00A466E1">
        <w:t xml:space="preserve">The survey should require no costs to the agencies responding, other than the time needed to respond to the survey. </w:t>
      </w:r>
      <w:bookmarkStart w:name="_Hlk2852765" w:id="7"/>
      <w:r>
        <w:t xml:space="preserve">Respondents will be asked to answer the survey one time. </w:t>
      </w:r>
      <w:r w:rsidRPr="00A466E1" w:rsidR="00684AB2">
        <w:t xml:space="preserve">The survey should require no costs to the agencies responding, other than the time needed to respond to the survey. </w:t>
      </w:r>
      <w:r w:rsidR="00684AB2">
        <w:t xml:space="preserve">Respondents will be asked to answer the survey one time. </w:t>
      </w:r>
      <w:r w:rsidR="00201F07">
        <w:t xml:space="preserve">We use average of the </w:t>
      </w:r>
      <w:r w:rsidR="00684AB2">
        <w:rPr>
          <w:rStyle w:val="normaltextrun1"/>
        </w:rPr>
        <w:t xml:space="preserve">Bureau of Labor Statistics’ median hourly rates for </w:t>
      </w:r>
      <w:hyperlink w:history="1" r:id="rId14">
        <w:r w:rsidRPr="00201F07" w:rsidR="00201F07">
          <w:rPr>
            <w:rStyle w:val="Hyperlink"/>
          </w:rPr>
          <w:t>General and Operations Managers</w:t>
        </w:r>
      </w:hyperlink>
      <w:r w:rsidRPr="00201F07" w:rsidR="00201F07">
        <w:t xml:space="preserve"> </w:t>
      </w:r>
      <w:r w:rsidR="00201F07">
        <w:t xml:space="preserve">($42.48), </w:t>
      </w:r>
      <w:hyperlink w:tgtFrame="_blank" w:history="1" r:id="rId15">
        <w:r w:rsidR="00684AB2">
          <w:rPr>
            <w:rStyle w:val="normaltextrun1"/>
            <w:color w:val="0000FF"/>
            <w:u w:val="single"/>
          </w:rPr>
          <w:t>Civil Engineers</w:t>
        </w:r>
      </w:hyperlink>
      <w:r w:rsidR="00684AB2">
        <w:rPr>
          <w:rStyle w:val="normaltextrun1"/>
        </w:rPr>
        <w:t xml:space="preserve"> ($</w:t>
      </w:r>
      <w:r w:rsidR="00201F07">
        <w:rPr>
          <w:rStyle w:val="normaltextrun1"/>
        </w:rPr>
        <w:t>40.75</w:t>
      </w:r>
      <w:r w:rsidR="00684AB2">
        <w:rPr>
          <w:rStyle w:val="normaltextrun1"/>
        </w:rPr>
        <w:t xml:space="preserve">), and </w:t>
      </w:r>
      <w:hyperlink w:tgtFrame="_blank" w:history="1" r:id="rId16">
        <w:r w:rsidR="00684AB2">
          <w:rPr>
            <w:rStyle w:val="normaltextrun1"/>
            <w:color w:val="0000FF"/>
            <w:u w:val="single"/>
          </w:rPr>
          <w:t>Management Analysts</w:t>
        </w:r>
      </w:hyperlink>
      <w:r w:rsidR="00684AB2">
        <w:rPr>
          <w:rStyle w:val="normaltextrun1"/>
        </w:rPr>
        <w:t xml:space="preserve"> ($39.</w:t>
      </w:r>
      <w:r w:rsidR="00201F07">
        <w:rPr>
          <w:rStyle w:val="normaltextrun1"/>
        </w:rPr>
        <w:t>64</w:t>
      </w:r>
      <w:r w:rsidR="00684AB2">
        <w:rPr>
          <w:rStyle w:val="normaltextrun1"/>
        </w:rPr>
        <w:t>), rounded up to the nearest whole dollar</w:t>
      </w:r>
      <w:r w:rsidR="000C163B">
        <w:rPr>
          <w:rStyle w:val="normaltextrun1"/>
        </w:rPr>
        <w:t xml:space="preserve"> ($41)</w:t>
      </w:r>
      <w:r w:rsidR="00684AB2">
        <w:rPr>
          <w:rStyle w:val="normaltextrun1"/>
        </w:rPr>
        <w:t xml:space="preserve">. </w:t>
      </w:r>
    </w:p>
    <w:bookmarkEnd w:id="6"/>
    <w:p w:rsidR="000324AD" w:rsidP="000324AD" w:rsidRDefault="000324AD" w14:paraId="25BC4600" w14:textId="366B5DBE">
      <w:pPr>
        <w:pStyle w:val="BodyTextIndent"/>
        <w:ind w:left="0"/>
      </w:pPr>
      <w:r>
        <w:t>The annual hourly burden and costs are shown below.</w:t>
      </w:r>
    </w:p>
    <w:bookmarkEnd w:id="7"/>
    <w:tbl>
      <w:tblPr>
        <w:tblStyle w:val="TableGrid"/>
        <w:tblW w:w="0" w:type="auto"/>
        <w:tblInd w:w="720" w:type="dxa"/>
        <w:tblLook w:val="04A0" w:firstRow="1" w:lastRow="0" w:firstColumn="1" w:lastColumn="0" w:noHBand="0" w:noVBand="1"/>
      </w:tblPr>
      <w:tblGrid>
        <w:gridCol w:w="2145"/>
        <w:gridCol w:w="1728"/>
      </w:tblGrid>
      <w:tr w:rsidRPr="003079D1" w:rsidR="000324AD" w:rsidTr="000561F7" w14:paraId="207320B6" w14:textId="77777777">
        <w:tc>
          <w:tcPr>
            <w:tcW w:w="2145" w:type="dxa"/>
            <w:vAlign w:val="bottom"/>
          </w:tcPr>
          <w:p w:rsidRPr="003079D1" w:rsidR="000324AD" w:rsidP="000561F7" w:rsidRDefault="000324AD" w14:paraId="6C5D961E" w14:textId="77777777">
            <w:pPr>
              <w:pStyle w:val="BodyTextIndent"/>
              <w:spacing w:after="0"/>
              <w:ind w:left="0"/>
            </w:pPr>
          </w:p>
        </w:tc>
        <w:tc>
          <w:tcPr>
            <w:tcW w:w="1728" w:type="dxa"/>
            <w:vAlign w:val="bottom"/>
          </w:tcPr>
          <w:p w:rsidRPr="003079D1" w:rsidR="000324AD" w:rsidP="000561F7" w:rsidRDefault="000324AD" w14:paraId="5D54FCCD" w14:textId="77777777">
            <w:pPr>
              <w:pStyle w:val="BodyTextIndent"/>
              <w:spacing w:after="0"/>
              <w:ind w:left="0"/>
              <w:jc w:val="right"/>
            </w:pPr>
            <w:r w:rsidRPr="003079D1">
              <w:t>State Departments of Transportation</w:t>
            </w:r>
          </w:p>
        </w:tc>
      </w:tr>
      <w:tr w:rsidRPr="003079D1" w:rsidR="000324AD" w:rsidTr="00360624" w14:paraId="0D9559BB" w14:textId="77777777">
        <w:tc>
          <w:tcPr>
            <w:tcW w:w="2145" w:type="dxa"/>
            <w:vAlign w:val="center"/>
          </w:tcPr>
          <w:p w:rsidRPr="003079D1" w:rsidR="000324AD" w:rsidP="00557B85" w:rsidRDefault="000324AD" w14:paraId="7BBAB098" w14:textId="77777777">
            <w:pPr>
              <w:pStyle w:val="BodyTextIndent"/>
              <w:spacing w:after="0"/>
              <w:ind w:left="0"/>
            </w:pPr>
            <w:r w:rsidRPr="003079D1">
              <w:t>Hours</w:t>
            </w:r>
          </w:p>
        </w:tc>
        <w:tc>
          <w:tcPr>
            <w:tcW w:w="1728" w:type="dxa"/>
            <w:vAlign w:val="center"/>
          </w:tcPr>
          <w:p w:rsidRPr="003079D1" w:rsidR="000324AD" w:rsidP="00557B85" w:rsidRDefault="000324AD" w14:paraId="4415A630" w14:textId="77777777">
            <w:pPr>
              <w:pStyle w:val="BodyTextIndent"/>
              <w:spacing w:after="0"/>
              <w:ind w:left="0"/>
              <w:jc w:val="right"/>
            </w:pPr>
            <w:r w:rsidRPr="003079D1">
              <w:t>204</w:t>
            </w:r>
          </w:p>
        </w:tc>
      </w:tr>
      <w:tr w:rsidRPr="003079D1" w:rsidR="000C163B" w:rsidTr="001B3AC3" w14:paraId="45265334" w14:textId="77777777">
        <w:tc>
          <w:tcPr>
            <w:tcW w:w="2145" w:type="dxa"/>
            <w:vAlign w:val="center"/>
          </w:tcPr>
          <w:p w:rsidRPr="003079D1" w:rsidR="000C163B" w:rsidP="000C163B" w:rsidRDefault="000C163B" w14:paraId="35A009B1" w14:textId="77777777">
            <w:pPr>
              <w:pStyle w:val="BodyTextIndent"/>
              <w:spacing w:after="0"/>
              <w:ind w:left="0"/>
            </w:pPr>
            <w:r w:rsidRPr="003079D1">
              <w:t>Direct Labor Costs</w:t>
            </w:r>
          </w:p>
        </w:tc>
        <w:tc>
          <w:tcPr>
            <w:tcW w:w="1728" w:type="dxa"/>
            <w:vAlign w:val="bottom"/>
          </w:tcPr>
          <w:p w:rsidRPr="003079D1" w:rsidR="000C163B" w:rsidP="000C163B" w:rsidRDefault="000C163B" w14:paraId="57A08BF6" w14:textId="40B67F46">
            <w:pPr>
              <w:pStyle w:val="BodyTextIndent"/>
              <w:spacing w:after="0"/>
              <w:ind w:left="0"/>
              <w:jc w:val="right"/>
            </w:pPr>
            <w:r w:rsidRPr="003079D1">
              <w:rPr>
                <w:color w:val="000000"/>
              </w:rPr>
              <w:t>$8,364</w:t>
            </w:r>
          </w:p>
        </w:tc>
      </w:tr>
      <w:tr w:rsidRPr="003079D1" w:rsidR="000C163B" w:rsidTr="001B3AC3" w14:paraId="3051F11B" w14:textId="77777777">
        <w:tc>
          <w:tcPr>
            <w:tcW w:w="2145" w:type="dxa"/>
            <w:vAlign w:val="center"/>
          </w:tcPr>
          <w:p w:rsidRPr="003079D1" w:rsidR="000C163B" w:rsidP="000C163B" w:rsidRDefault="000C163B" w14:paraId="6A52CEE0" w14:textId="12E220A5">
            <w:pPr>
              <w:pStyle w:val="BodyTextIndent"/>
              <w:spacing w:after="0"/>
              <w:ind w:left="0"/>
            </w:pPr>
            <w:r w:rsidRPr="003079D1">
              <w:t xml:space="preserve">Overhead (20%) </w:t>
            </w:r>
          </w:p>
        </w:tc>
        <w:tc>
          <w:tcPr>
            <w:tcW w:w="1728" w:type="dxa"/>
            <w:vAlign w:val="bottom"/>
          </w:tcPr>
          <w:p w:rsidRPr="003079D1" w:rsidR="000C163B" w:rsidP="000C163B" w:rsidRDefault="000C163B" w14:paraId="05D7512D" w14:textId="343D64D7">
            <w:pPr>
              <w:pStyle w:val="BodyTextIndent"/>
              <w:spacing w:after="0"/>
              <w:ind w:left="0"/>
              <w:jc w:val="right"/>
            </w:pPr>
            <w:r w:rsidRPr="003079D1">
              <w:rPr>
                <w:color w:val="000000"/>
              </w:rPr>
              <w:t>$1,673</w:t>
            </w:r>
          </w:p>
        </w:tc>
      </w:tr>
      <w:tr w:rsidRPr="003079D1" w:rsidR="000C163B" w:rsidTr="004A4C4A" w14:paraId="6E80DF32" w14:textId="77777777">
        <w:tc>
          <w:tcPr>
            <w:tcW w:w="2145" w:type="dxa"/>
            <w:tcBorders>
              <w:bottom w:val="single" w:color="auto" w:sz="4" w:space="0"/>
            </w:tcBorders>
            <w:vAlign w:val="center"/>
          </w:tcPr>
          <w:p w:rsidRPr="003079D1" w:rsidR="000C163B" w:rsidP="000C163B" w:rsidRDefault="000C163B" w14:paraId="529B76C5" w14:textId="77777777">
            <w:pPr>
              <w:pStyle w:val="BodyTextIndent"/>
              <w:spacing w:after="0"/>
              <w:ind w:left="0"/>
            </w:pPr>
            <w:r w:rsidRPr="003079D1">
              <w:t>Total</w:t>
            </w:r>
          </w:p>
        </w:tc>
        <w:tc>
          <w:tcPr>
            <w:tcW w:w="1728" w:type="dxa"/>
            <w:tcBorders>
              <w:bottom w:val="single" w:color="auto" w:sz="4" w:space="0"/>
            </w:tcBorders>
            <w:vAlign w:val="bottom"/>
          </w:tcPr>
          <w:p w:rsidRPr="003079D1" w:rsidR="000C163B" w:rsidP="000C163B" w:rsidRDefault="000C163B" w14:paraId="312834DD" w14:textId="32525FBA">
            <w:pPr>
              <w:pStyle w:val="BodyTextIndent"/>
              <w:spacing w:after="0"/>
              <w:ind w:left="0"/>
              <w:jc w:val="right"/>
            </w:pPr>
            <w:r w:rsidRPr="003079D1">
              <w:rPr>
                <w:color w:val="000000"/>
              </w:rPr>
              <w:t>$10,037</w:t>
            </w:r>
          </w:p>
        </w:tc>
      </w:tr>
      <w:tr w:rsidRPr="003079D1" w:rsidR="004A4C4A" w:rsidTr="004A4C4A" w14:paraId="75106A80" w14:textId="77777777">
        <w:tc>
          <w:tcPr>
            <w:tcW w:w="2145" w:type="dxa"/>
            <w:tcBorders>
              <w:left w:val="nil"/>
              <w:bottom w:val="nil"/>
              <w:right w:val="nil"/>
            </w:tcBorders>
            <w:vAlign w:val="center"/>
          </w:tcPr>
          <w:p w:rsidRPr="003079D1" w:rsidR="004A4C4A" w:rsidP="000C163B" w:rsidRDefault="004A4C4A" w14:paraId="7312545B" w14:textId="77777777">
            <w:pPr>
              <w:pStyle w:val="BodyTextIndent"/>
              <w:spacing w:after="0"/>
              <w:ind w:left="0"/>
            </w:pPr>
          </w:p>
        </w:tc>
        <w:tc>
          <w:tcPr>
            <w:tcW w:w="1728" w:type="dxa"/>
            <w:tcBorders>
              <w:left w:val="nil"/>
              <w:bottom w:val="nil"/>
              <w:right w:val="nil"/>
            </w:tcBorders>
            <w:vAlign w:val="bottom"/>
          </w:tcPr>
          <w:p w:rsidRPr="003079D1" w:rsidR="004A4C4A" w:rsidP="000C163B" w:rsidRDefault="004A4C4A" w14:paraId="213B253D" w14:textId="77777777">
            <w:pPr>
              <w:pStyle w:val="BodyTextIndent"/>
              <w:spacing w:after="0"/>
              <w:ind w:left="0"/>
              <w:jc w:val="right"/>
              <w:rPr>
                <w:color w:val="000000"/>
              </w:rPr>
            </w:pPr>
          </w:p>
        </w:tc>
      </w:tr>
    </w:tbl>
    <w:p w:rsidR="008C1FA9" w:rsidP="009B472E" w:rsidRDefault="00603E2D" w14:paraId="5DDA7BD6" w14:textId="77777777">
      <w:pPr>
        <w:tabs>
          <w:tab w:val="left" w:pos="540"/>
        </w:tabs>
        <w:rPr>
          <w:szCs w:val="24"/>
        </w:rPr>
      </w:pPr>
      <w:r w:rsidRPr="009B472E">
        <w:rPr>
          <w:b/>
          <w:szCs w:val="24"/>
        </w:rPr>
        <w:t>14.</w:t>
      </w:r>
      <w:r w:rsidRPr="004C593B">
        <w:rPr>
          <w:szCs w:val="24"/>
        </w:rPr>
        <w:tab/>
      </w:r>
      <w:r w:rsidRPr="009B472E">
        <w:rPr>
          <w:b/>
          <w:szCs w:val="24"/>
          <w:u w:val="single"/>
        </w:rPr>
        <w:t>Estimate of cost</w:t>
      </w:r>
      <w:r w:rsidR="004C593B">
        <w:rPr>
          <w:b/>
          <w:szCs w:val="24"/>
          <w:u w:val="single"/>
        </w:rPr>
        <w:t>s</w:t>
      </w:r>
      <w:r w:rsidRPr="009B472E">
        <w:rPr>
          <w:b/>
          <w:szCs w:val="24"/>
          <w:u w:val="single"/>
        </w:rPr>
        <w:t xml:space="preserve"> to the Federal Government</w:t>
      </w:r>
      <w:r w:rsidRPr="009B472E" w:rsidR="004C593B">
        <w:rPr>
          <w:b/>
          <w:szCs w:val="24"/>
          <w:u w:val="single"/>
        </w:rPr>
        <w:t>.</w:t>
      </w:r>
      <w:r w:rsidRPr="004C593B" w:rsidR="004C593B">
        <w:rPr>
          <w:szCs w:val="24"/>
        </w:rPr>
        <w:t xml:space="preserve"> </w:t>
      </w:r>
    </w:p>
    <w:p w:rsidRPr="009C32CF" w:rsidR="008D5054" w:rsidP="008D5054" w:rsidRDefault="008D5054" w14:paraId="051CCEFB" w14:textId="77777777">
      <w:pPr>
        <w:rPr>
          <w:szCs w:val="24"/>
        </w:rPr>
      </w:pPr>
      <w:r w:rsidRPr="001842B6">
        <w:rPr>
          <w:szCs w:val="24"/>
        </w:rPr>
        <w:t xml:space="preserve">Federal and contractor costs are based on the estimated level of effort required to complete the data collection, multiplied by the hourly rate of the contractor staff. </w:t>
      </w:r>
      <w:r w:rsidRPr="009C32CF">
        <w:rPr>
          <w:szCs w:val="24"/>
        </w:rPr>
        <w:tab/>
      </w:r>
    </w:p>
    <w:p w:rsidR="008D5054" w:rsidP="008D5054" w:rsidRDefault="008C1FA9" w14:paraId="247C5991" w14:textId="0780622D">
      <w:pPr>
        <w:rPr>
          <w:szCs w:val="24"/>
        </w:rPr>
      </w:pPr>
      <w:r w:rsidRPr="001842B6">
        <w:rPr>
          <w:szCs w:val="24"/>
        </w:rPr>
        <w:t xml:space="preserve">The cost to the Federal Government consists of the staff time and related expenses for the development of the survey instrument and outreach to SDOTs to encourage their participation in the survey. </w:t>
      </w:r>
      <w:r w:rsidR="008D5054">
        <w:rPr>
          <w:szCs w:val="24"/>
        </w:rPr>
        <w:t>It is</w:t>
      </w:r>
      <w:r w:rsidR="00CD020F">
        <w:rPr>
          <w:szCs w:val="24"/>
        </w:rPr>
        <w:t xml:space="preserve"> assumed FHWA staff will spend 20</w:t>
      </w:r>
      <w:r w:rsidR="008D5054">
        <w:rPr>
          <w:szCs w:val="24"/>
        </w:rPr>
        <w:t xml:space="preserve"> hours on data</w:t>
      </w:r>
      <w:r w:rsidR="00CD020F">
        <w:rPr>
          <w:szCs w:val="24"/>
        </w:rPr>
        <w:t xml:space="preserve"> collection. Hourly costs are $50</w:t>
      </w:r>
      <w:r w:rsidR="008D5054">
        <w:rPr>
          <w:szCs w:val="24"/>
        </w:rPr>
        <w:t xml:space="preserve"> and overhead is assumed to be 2</w:t>
      </w:r>
      <w:r w:rsidR="00CD020F">
        <w:rPr>
          <w:szCs w:val="24"/>
        </w:rPr>
        <w:t>0 percent, for an hourly cost $60</w:t>
      </w:r>
      <w:r w:rsidR="008D5054">
        <w:rPr>
          <w:szCs w:val="24"/>
        </w:rPr>
        <w:t>. The cost is:</w:t>
      </w:r>
    </w:p>
    <w:p w:rsidR="008D5054" w:rsidP="004A4C4A" w:rsidRDefault="00CD020F" w14:paraId="288C2BE3" w14:textId="24B40C9C">
      <w:pPr>
        <w:ind w:firstLine="720"/>
        <w:rPr>
          <w:szCs w:val="24"/>
        </w:rPr>
      </w:pPr>
      <w:r>
        <w:rPr>
          <w:szCs w:val="24"/>
        </w:rPr>
        <w:t>20</w:t>
      </w:r>
      <w:r w:rsidR="008D5054">
        <w:rPr>
          <w:szCs w:val="24"/>
        </w:rPr>
        <w:t xml:space="preserve"> FH</w:t>
      </w:r>
      <w:r>
        <w:rPr>
          <w:szCs w:val="24"/>
        </w:rPr>
        <w:t>WA Headquarters Staff Hours @ $60 per hour = $1,200</w:t>
      </w:r>
      <w:r w:rsidR="008D5054">
        <w:rPr>
          <w:szCs w:val="24"/>
        </w:rPr>
        <w:t>.</w:t>
      </w:r>
    </w:p>
    <w:p w:rsidRPr="001842B6" w:rsidR="008C1FA9" w:rsidP="008D5054" w:rsidRDefault="008C1FA9" w14:paraId="4B94011E" w14:textId="476FB271">
      <w:pPr>
        <w:rPr>
          <w:szCs w:val="24"/>
        </w:rPr>
      </w:pPr>
      <w:r w:rsidRPr="001842B6">
        <w:rPr>
          <w:szCs w:val="24"/>
        </w:rPr>
        <w:t xml:space="preserve">Contractors will support the federal government’s data collection effort. Contractors will develop the survey instrument, deliver the survey, and collect the data. In summary: </w:t>
      </w:r>
    </w:p>
    <w:tbl>
      <w:tblPr>
        <w:tblStyle w:val="TableGrid"/>
        <w:tblW w:w="0" w:type="auto"/>
        <w:tblInd w:w="1548" w:type="dxa"/>
        <w:tblLook w:val="04A0" w:firstRow="1" w:lastRow="0" w:firstColumn="1" w:lastColumn="0" w:noHBand="0" w:noVBand="1"/>
      </w:tblPr>
      <w:tblGrid>
        <w:gridCol w:w="3492"/>
        <w:gridCol w:w="1567"/>
        <w:gridCol w:w="1519"/>
        <w:gridCol w:w="1224"/>
      </w:tblGrid>
      <w:tr w:rsidRPr="003079D1" w:rsidR="001842B6" w:rsidTr="001842B6" w14:paraId="44B6CF21" w14:textId="510B17FF">
        <w:tc>
          <w:tcPr>
            <w:tcW w:w="3617" w:type="dxa"/>
            <w:vAlign w:val="bottom"/>
          </w:tcPr>
          <w:p w:rsidRPr="003079D1" w:rsidR="001842B6" w:rsidP="0072721F" w:rsidRDefault="001842B6" w14:paraId="07FBC70D" w14:textId="77777777">
            <w:pPr>
              <w:spacing w:after="0"/>
              <w:rPr>
                <w:szCs w:val="24"/>
              </w:rPr>
            </w:pPr>
            <w:r w:rsidRPr="003079D1">
              <w:rPr>
                <w:szCs w:val="24"/>
              </w:rPr>
              <w:t>Cost Component</w:t>
            </w:r>
          </w:p>
        </w:tc>
        <w:tc>
          <w:tcPr>
            <w:tcW w:w="1611" w:type="dxa"/>
            <w:vAlign w:val="bottom"/>
          </w:tcPr>
          <w:p w:rsidRPr="003079D1" w:rsidR="001842B6" w:rsidP="0072721F" w:rsidRDefault="001842B6" w14:paraId="610FE775" w14:textId="77777777">
            <w:pPr>
              <w:spacing w:after="0"/>
              <w:jc w:val="right"/>
              <w:rPr>
                <w:szCs w:val="24"/>
              </w:rPr>
            </w:pPr>
            <w:r w:rsidRPr="003079D1">
              <w:rPr>
                <w:szCs w:val="24"/>
              </w:rPr>
              <w:t>Federal Agency Costs</w:t>
            </w:r>
          </w:p>
        </w:tc>
        <w:tc>
          <w:tcPr>
            <w:tcW w:w="1539" w:type="dxa"/>
            <w:vAlign w:val="bottom"/>
          </w:tcPr>
          <w:p w:rsidRPr="003079D1" w:rsidR="001842B6" w:rsidP="0072721F" w:rsidRDefault="001842B6" w14:paraId="3A2F5403" w14:textId="77777777">
            <w:pPr>
              <w:spacing w:after="0"/>
              <w:jc w:val="right"/>
              <w:rPr>
                <w:szCs w:val="24"/>
              </w:rPr>
            </w:pPr>
            <w:r w:rsidRPr="003079D1">
              <w:rPr>
                <w:szCs w:val="24"/>
              </w:rPr>
              <w:t>Contractor Costs</w:t>
            </w:r>
          </w:p>
        </w:tc>
        <w:tc>
          <w:tcPr>
            <w:tcW w:w="1261" w:type="dxa"/>
            <w:vAlign w:val="bottom"/>
          </w:tcPr>
          <w:p w:rsidRPr="003079D1" w:rsidR="001842B6" w:rsidP="001842B6" w:rsidRDefault="001842B6" w14:paraId="31A483C1" w14:textId="0AB44921">
            <w:pPr>
              <w:spacing w:after="0"/>
              <w:jc w:val="right"/>
              <w:rPr>
                <w:szCs w:val="24"/>
              </w:rPr>
            </w:pPr>
            <w:r w:rsidRPr="003079D1">
              <w:rPr>
                <w:szCs w:val="24"/>
              </w:rPr>
              <w:t>Total</w:t>
            </w:r>
          </w:p>
        </w:tc>
      </w:tr>
      <w:tr w:rsidRPr="003079D1" w:rsidR="001842B6" w:rsidTr="001842B6" w14:paraId="0D507226" w14:textId="3C7E26AE">
        <w:tc>
          <w:tcPr>
            <w:tcW w:w="3617" w:type="dxa"/>
          </w:tcPr>
          <w:p w:rsidRPr="003079D1" w:rsidR="001842B6" w:rsidP="008C1FA9" w:rsidRDefault="001842B6" w14:paraId="34350F3D" w14:textId="77777777">
            <w:pPr>
              <w:spacing w:after="0"/>
              <w:rPr>
                <w:szCs w:val="24"/>
              </w:rPr>
            </w:pPr>
            <w:r w:rsidRPr="003079D1">
              <w:rPr>
                <w:szCs w:val="24"/>
              </w:rPr>
              <w:t>Direct salary</w:t>
            </w:r>
          </w:p>
        </w:tc>
        <w:tc>
          <w:tcPr>
            <w:tcW w:w="1611" w:type="dxa"/>
          </w:tcPr>
          <w:p w:rsidRPr="003079D1" w:rsidR="001842B6" w:rsidP="008C1FA9" w:rsidRDefault="001842B6" w14:paraId="7296605D" w14:textId="77777777">
            <w:pPr>
              <w:spacing w:after="0"/>
              <w:jc w:val="right"/>
              <w:rPr>
                <w:szCs w:val="24"/>
              </w:rPr>
            </w:pPr>
          </w:p>
        </w:tc>
        <w:tc>
          <w:tcPr>
            <w:tcW w:w="1539" w:type="dxa"/>
            <w:vAlign w:val="bottom"/>
          </w:tcPr>
          <w:p w:rsidRPr="003079D1" w:rsidR="001842B6" w:rsidP="008C1FA9" w:rsidRDefault="000C163B" w14:paraId="0DFBBB63" w14:textId="74B922F4">
            <w:pPr>
              <w:spacing w:after="0"/>
              <w:jc w:val="right"/>
              <w:rPr>
                <w:szCs w:val="24"/>
              </w:rPr>
            </w:pPr>
            <w:r w:rsidRPr="003079D1">
              <w:rPr>
                <w:color w:val="000000"/>
                <w:szCs w:val="24"/>
              </w:rPr>
              <w:t>$</w:t>
            </w:r>
            <w:r w:rsidRPr="003079D1" w:rsidR="00504F5A">
              <w:rPr>
                <w:color w:val="000000"/>
                <w:szCs w:val="24"/>
              </w:rPr>
              <w:t>58</w:t>
            </w:r>
            <w:r w:rsidRPr="003079D1" w:rsidR="001842B6">
              <w:rPr>
                <w:color w:val="000000"/>
                <w:szCs w:val="24"/>
              </w:rPr>
              <w:t>,000</w:t>
            </w:r>
          </w:p>
        </w:tc>
        <w:tc>
          <w:tcPr>
            <w:tcW w:w="1261" w:type="dxa"/>
          </w:tcPr>
          <w:p w:rsidRPr="003079D1" w:rsidR="001842B6" w:rsidP="008C1FA9" w:rsidRDefault="001842B6" w14:paraId="4E9EB6DA" w14:textId="77777777">
            <w:pPr>
              <w:spacing w:after="0"/>
              <w:jc w:val="right"/>
              <w:rPr>
                <w:color w:val="000000"/>
                <w:szCs w:val="24"/>
              </w:rPr>
            </w:pPr>
          </w:p>
        </w:tc>
      </w:tr>
      <w:tr w:rsidRPr="003079D1" w:rsidR="001842B6" w:rsidTr="001842B6" w14:paraId="11556EF6" w14:textId="706E7F7F">
        <w:tc>
          <w:tcPr>
            <w:tcW w:w="3617" w:type="dxa"/>
            <w:tcBorders>
              <w:top w:val="single" w:color="auto" w:sz="2" w:space="0"/>
              <w:left w:val="single" w:color="auto" w:sz="2" w:space="0"/>
              <w:bottom w:val="single" w:color="auto" w:sz="18" w:space="0"/>
              <w:right w:val="single" w:color="auto" w:sz="2" w:space="0"/>
            </w:tcBorders>
          </w:tcPr>
          <w:p w:rsidRPr="003079D1" w:rsidR="001842B6" w:rsidP="008C1FA9" w:rsidRDefault="001842B6" w14:paraId="6237E396" w14:textId="77777777">
            <w:pPr>
              <w:spacing w:after="0"/>
              <w:rPr>
                <w:szCs w:val="24"/>
              </w:rPr>
            </w:pPr>
            <w:r w:rsidRPr="003079D1">
              <w:rPr>
                <w:szCs w:val="24"/>
              </w:rPr>
              <w:t>Overhead/fringe benefits (at 33%)</w:t>
            </w:r>
          </w:p>
        </w:tc>
        <w:tc>
          <w:tcPr>
            <w:tcW w:w="1611" w:type="dxa"/>
            <w:tcBorders>
              <w:top w:val="single" w:color="auto" w:sz="2" w:space="0"/>
              <w:left w:val="single" w:color="auto" w:sz="2" w:space="0"/>
              <w:bottom w:val="single" w:color="auto" w:sz="18" w:space="0"/>
              <w:right w:val="single" w:color="auto" w:sz="2" w:space="0"/>
            </w:tcBorders>
          </w:tcPr>
          <w:p w:rsidRPr="003079D1" w:rsidR="001842B6" w:rsidP="008C1FA9" w:rsidRDefault="001842B6" w14:paraId="1522CBC9" w14:textId="77777777">
            <w:pPr>
              <w:spacing w:after="0"/>
              <w:jc w:val="right"/>
              <w:rPr>
                <w:szCs w:val="24"/>
              </w:rPr>
            </w:pPr>
          </w:p>
        </w:tc>
        <w:tc>
          <w:tcPr>
            <w:tcW w:w="1539" w:type="dxa"/>
            <w:tcBorders>
              <w:top w:val="single" w:color="auto" w:sz="2" w:space="0"/>
              <w:left w:val="single" w:color="auto" w:sz="2" w:space="0"/>
              <w:bottom w:val="single" w:color="auto" w:sz="18" w:space="0"/>
              <w:right w:val="single" w:color="auto" w:sz="2" w:space="0"/>
            </w:tcBorders>
            <w:vAlign w:val="bottom"/>
          </w:tcPr>
          <w:p w:rsidRPr="003079D1" w:rsidR="001842B6" w:rsidP="008C1FA9" w:rsidRDefault="000C163B" w14:paraId="72F08CC6" w14:textId="062A1311">
            <w:pPr>
              <w:spacing w:after="0"/>
              <w:jc w:val="right"/>
              <w:rPr>
                <w:szCs w:val="24"/>
              </w:rPr>
            </w:pPr>
            <w:r w:rsidRPr="003079D1">
              <w:rPr>
                <w:color w:val="000000"/>
                <w:szCs w:val="24"/>
              </w:rPr>
              <w:t>$</w:t>
            </w:r>
            <w:r w:rsidRPr="003079D1" w:rsidR="001842B6">
              <w:rPr>
                <w:color w:val="000000"/>
                <w:szCs w:val="24"/>
              </w:rPr>
              <w:t>2</w:t>
            </w:r>
            <w:r w:rsidRPr="003079D1" w:rsidR="00504F5A">
              <w:rPr>
                <w:color w:val="000000"/>
                <w:szCs w:val="24"/>
              </w:rPr>
              <w:t>0</w:t>
            </w:r>
            <w:r w:rsidRPr="003079D1" w:rsidR="001842B6">
              <w:rPr>
                <w:color w:val="000000"/>
                <w:szCs w:val="24"/>
              </w:rPr>
              <w:t>,000</w:t>
            </w:r>
          </w:p>
        </w:tc>
        <w:tc>
          <w:tcPr>
            <w:tcW w:w="1261" w:type="dxa"/>
            <w:tcBorders>
              <w:top w:val="single" w:color="auto" w:sz="2" w:space="0"/>
              <w:left w:val="single" w:color="auto" w:sz="2" w:space="0"/>
              <w:bottom w:val="single" w:color="auto" w:sz="18" w:space="0"/>
              <w:right w:val="single" w:color="auto" w:sz="2" w:space="0"/>
            </w:tcBorders>
          </w:tcPr>
          <w:p w:rsidRPr="003079D1" w:rsidR="001842B6" w:rsidP="008C1FA9" w:rsidRDefault="001842B6" w14:paraId="5A1E22A5" w14:textId="77777777">
            <w:pPr>
              <w:spacing w:after="0"/>
              <w:jc w:val="right"/>
              <w:rPr>
                <w:color w:val="000000"/>
                <w:szCs w:val="24"/>
              </w:rPr>
            </w:pPr>
          </w:p>
        </w:tc>
      </w:tr>
      <w:tr w:rsidRPr="003079D1" w:rsidR="001842B6" w:rsidTr="001842B6" w14:paraId="465FC4AD" w14:textId="67071EAB">
        <w:tc>
          <w:tcPr>
            <w:tcW w:w="3617" w:type="dxa"/>
            <w:tcBorders>
              <w:top w:val="single" w:color="auto" w:sz="18" w:space="0"/>
            </w:tcBorders>
          </w:tcPr>
          <w:p w:rsidRPr="003079D1" w:rsidR="001842B6" w:rsidP="008C1FA9" w:rsidRDefault="001842B6" w14:paraId="158E7D8E" w14:textId="77777777">
            <w:pPr>
              <w:spacing w:after="0"/>
              <w:rPr>
                <w:i/>
                <w:szCs w:val="24"/>
              </w:rPr>
            </w:pPr>
            <w:r w:rsidRPr="003079D1">
              <w:rPr>
                <w:i/>
                <w:szCs w:val="24"/>
              </w:rPr>
              <w:t>Total cost:</w:t>
            </w:r>
          </w:p>
        </w:tc>
        <w:tc>
          <w:tcPr>
            <w:tcW w:w="1611" w:type="dxa"/>
            <w:tcBorders>
              <w:top w:val="single" w:color="auto" w:sz="18" w:space="0"/>
            </w:tcBorders>
          </w:tcPr>
          <w:p w:rsidRPr="003079D1" w:rsidR="001842B6" w:rsidP="008C1FA9" w:rsidRDefault="001842B6" w14:paraId="16736E2E" w14:textId="77777777">
            <w:pPr>
              <w:spacing w:after="0"/>
              <w:jc w:val="right"/>
              <w:rPr>
                <w:szCs w:val="24"/>
                <w:u w:val="single"/>
              </w:rPr>
            </w:pPr>
          </w:p>
        </w:tc>
        <w:tc>
          <w:tcPr>
            <w:tcW w:w="1539" w:type="dxa"/>
            <w:tcBorders>
              <w:top w:val="single" w:color="auto" w:sz="18" w:space="0"/>
            </w:tcBorders>
            <w:vAlign w:val="bottom"/>
          </w:tcPr>
          <w:p w:rsidRPr="003079D1" w:rsidR="001842B6" w:rsidP="008C1FA9" w:rsidRDefault="00504F5A" w14:paraId="65569A06" w14:textId="3D9EB93F">
            <w:pPr>
              <w:spacing w:after="0"/>
              <w:jc w:val="right"/>
              <w:rPr>
                <w:szCs w:val="24"/>
              </w:rPr>
            </w:pPr>
            <w:r w:rsidRPr="003079D1">
              <w:rPr>
                <w:color w:val="000000"/>
                <w:szCs w:val="24"/>
              </w:rPr>
              <w:t>$</w:t>
            </w:r>
            <w:r w:rsidRPr="003079D1" w:rsidR="008D5054">
              <w:rPr>
                <w:color w:val="000000"/>
                <w:szCs w:val="24"/>
              </w:rPr>
              <w:t>7</w:t>
            </w:r>
            <w:r w:rsidRPr="003079D1" w:rsidR="001842B6">
              <w:rPr>
                <w:color w:val="000000"/>
                <w:szCs w:val="24"/>
              </w:rPr>
              <w:t>8,000</w:t>
            </w:r>
          </w:p>
        </w:tc>
        <w:tc>
          <w:tcPr>
            <w:tcW w:w="1261" w:type="dxa"/>
            <w:tcBorders>
              <w:top w:val="single" w:color="auto" w:sz="18" w:space="0"/>
            </w:tcBorders>
          </w:tcPr>
          <w:p w:rsidRPr="003079D1" w:rsidR="001842B6" w:rsidP="008C1FA9" w:rsidRDefault="001842B6" w14:paraId="17306B34" w14:textId="77777777">
            <w:pPr>
              <w:spacing w:after="0"/>
              <w:jc w:val="right"/>
              <w:rPr>
                <w:color w:val="000000"/>
                <w:szCs w:val="24"/>
              </w:rPr>
            </w:pPr>
          </w:p>
        </w:tc>
      </w:tr>
    </w:tbl>
    <w:p w:rsidRPr="001842B6" w:rsidR="008C1FA9" w:rsidP="008C1FA9" w:rsidRDefault="008C1FA9" w14:paraId="6308FB49" w14:textId="77777777">
      <w:pPr>
        <w:rPr>
          <w:szCs w:val="24"/>
        </w:rPr>
      </w:pPr>
    </w:p>
    <w:p w:rsidR="008C1FA9" w:rsidP="009B472E" w:rsidRDefault="00603E2D" w14:paraId="4D8F1506" w14:textId="77777777">
      <w:pPr>
        <w:pStyle w:val="Heading2"/>
        <w:ind w:left="0" w:firstLine="0"/>
      </w:pPr>
      <w:r w:rsidRPr="009C32CF">
        <w:t>15.</w:t>
      </w:r>
      <w:r w:rsidRPr="009C32CF">
        <w:tab/>
      </w:r>
      <w:r w:rsidRPr="009B472E">
        <w:rPr>
          <w:u w:val="single"/>
        </w:rPr>
        <w:t>Explanation of program changes or adjustments</w:t>
      </w:r>
      <w:r w:rsidRPr="009B472E" w:rsidR="00270FAB">
        <w:rPr>
          <w:u w:val="single"/>
        </w:rPr>
        <w:t>.</w:t>
      </w:r>
      <w:r w:rsidR="00270FAB">
        <w:t xml:space="preserve"> </w:t>
      </w:r>
    </w:p>
    <w:p w:rsidRPr="009C32CF" w:rsidR="00603E2D" w:rsidP="00147698" w:rsidRDefault="004A2545" w14:paraId="54CB0237" w14:textId="77777777">
      <w:pPr>
        <w:rPr>
          <w:szCs w:val="24"/>
        </w:rPr>
      </w:pPr>
      <w:r>
        <w:rPr>
          <w:szCs w:val="24"/>
        </w:rPr>
        <w:t>There are no program changes or adjustments</w:t>
      </w:r>
      <w:r w:rsidRPr="009C32CF" w:rsidR="00603E2D">
        <w:rPr>
          <w:szCs w:val="24"/>
        </w:rPr>
        <w:t>.</w:t>
      </w:r>
    </w:p>
    <w:p w:rsidR="008C1FA9" w:rsidP="009B472E" w:rsidRDefault="00603E2D" w14:paraId="4DCFDC1B" w14:textId="77777777">
      <w:pPr>
        <w:pStyle w:val="Heading2"/>
        <w:ind w:left="0" w:firstLine="0"/>
      </w:pPr>
      <w:r w:rsidRPr="009C32CF">
        <w:t>16.</w:t>
      </w:r>
      <w:r w:rsidRPr="009C32CF">
        <w:tab/>
      </w:r>
      <w:r w:rsidRPr="009B472E">
        <w:rPr>
          <w:u w:val="single"/>
        </w:rPr>
        <w:t>Publication of results of data collection</w:t>
      </w:r>
      <w:r w:rsidRPr="009B472E" w:rsidR="00FB073C">
        <w:rPr>
          <w:u w:val="single"/>
        </w:rPr>
        <w:t>.</w:t>
      </w:r>
      <w:r w:rsidR="00FB073C">
        <w:t xml:space="preserve"> </w:t>
      </w:r>
    </w:p>
    <w:p w:rsidR="00787599" w:rsidP="00787599" w:rsidRDefault="00787599" w14:paraId="5FE6E98A" w14:textId="77777777">
      <w:pPr>
        <w:rPr>
          <w:szCs w:val="24"/>
        </w:rPr>
      </w:pPr>
      <w:r>
        <w:rPr>
          <w:szCs w:val="24"/>
        </w:rPr>
        <w:t>The data will be collected during the summer of 2019 and published in 2020. The survey and interview results will be published in a technical report and PowerPoint presentation.</w:t>
      </w:r>
      <w:r w:rsidRPr="008D701C">
        <w:rPr>
          <w:szCs w:val="24"/>
        </w:rPr>
        <w:t xml:space="preserve"> </w:t>
      </w:r>
      <w:r>
        <w:rPr>
          <w:szCs w:val="24"/>
        </w:rPr>
        <w:t>The report will summarize the responses to the survey questions. Complex analytical techniques will not be used. The proposed schedule is below:</w:t>
      </w:r>
    </w:p>
    <w:tbl>
      <w:tblPr>
        <w:tblW w:w="6350" w:type="dxa"/>
        <w:tblInd w:w="108" w:type="dxa"/>
        <w:tblLook w:val="04A0" w:firstRow="1" w:lastRow="0" w:firstColumn="1" w:lastColumn="0" w:noHBand="0" w:noVBand="1"/>
      </w:tblPr>
      <w:tblGrid>
        <w:gridCol w:w="5670"/>
        <w:gridCol w:w="1310"/>
      </w:tblGrid>
      <w:tr w:rsidRPr="001842B6" w:rsidR="00787599" w:rsidTr="001842B6" w14:paraId="49D6F5CE"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53183923" w14:textId="77777777">
            <w:pPr>
              <w:widowControl/>
              <w:autoSpaceDE/>
              <w:autoSpaceDN/>
              <w:adjustRightInd/>
              <w:spacing w:after="0"/>
              <w:rPr>
                <w:color w:val="000000"/>
                <w:szCs w:val="24"/>
              </w:rPr>
            </w:pPr>
            <w:r w:rsidRPr="001842B6">
              <w:rPr>
                <w:color w:val="000000"/>
                <w:szCs w:val="24"/>
              </w:rPr>
              <w:t>Project initiation and planning</w:t>
            </w:r>
          </w:p>
        </w:tc>
        <w:tc>
          <w:tcPr>
            <w:tcW w:w="680" w:type="dxa"/>
            <w:tcBorders>
              <w:top w:val="nil"/>
              <w:left w:val="nil"/>
              <w:bottom w:val="nil"/>
              <w:right w:val="nil"/>
            </w:tcBorders>
            <w:shd w:val="clear" w:color="auto" w:fill="auto"/>
            <w:noWrap/>
            <w:vAlign w:val="bottom"/>
            <w:hideMark/>
          </w:tcPr>
          <w:p w:rsidRPr="001842B6" w:rsidR="00787599" w:rsidP="00787599" w:rsidRDefault="00787599" w14:paraId="6354DE09" w14:textId="77777777">
            <w:pPr>
              <w:widowControl/>
              <w:autoSpaceDE/>
              <w:autoSpaceDN/>
              <w:adjustRightInd/>
              <w:spacing w:after="0"/>
              <w:jc w:val="right"/>
              <w:rPr>
                <w:color w:val="000000"/>
                <w:szCs w:val="24"/>
              </w:rPr>
            </w:pPr>
            <w:r w:rsidRPr="001842B6">
              <w:rPr>
                <w:color w:val="000000"/>
                <w:szCs w:val="24"/>
              </w:rPr>
              <w:t>9/13/2018</w:t>
            </w:r>
          </w:p>
        </w:tc>
      </w:tr>
      <w:tr w:rsidRPr="001842B6" w:rsidR="00787599" w:rsidTr="001842B6" w14:paraId="523D56CE"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56A0C750" w14:textId="77777777">
            <w:pPr>
              <w:widowControl/>
              <w:autoSpaceDE/>
              <w:autoSpaceDN/>
              <w:adjustRightInd/>
              <w:spacing w:after="0"/>
              <w:rPr>
                <w:color w:val="000000"/>
                <w:szCs w:val="24"/>
              </w:rPr>
            </w:pPr>
            <w:r w:rsidRPr="001842B6">
              <w:rPr>
                <w:color w:val="000000"/>
                <w:szCs w:val="24"/>
              </w:rPr>
              <w:t>Draft investigative questions and survey instrument</w:t>
            </w:r>
          </w:p>
        </w:tc>
        <w:tc>
          <w:tcPr>
            <w:tcW w:w="680" w:type="dxa"/>
            <w:tcBorders>
              <w:top w:val="nil"/>
              <w:left w:val="nil"/>
              <w:bottom w:val="nil"/>
              <w:right w:val="nil"/>
            </w:tcBorders>
            <w:shd w:val="clear" w:color="auto" w:fill="auto"/>
            <w:noWrap/>
            <w:vAlign w:val="bottom"/>
            <w:hideMark/>
          </w:tcPr>
          <w:p w:rsidRPr="001842B6" w:rsidR="00787599" w:rsidP="00787599" w:rsidRDefault="00787599" w14:paraId="710B1BFB" w14:textId="77777777">
            <w:pPr>
              <w:widowControl/>
              <w:autoSpaceDE/>
              <w:autoSpaceDN/>
              <w:adjustRightInd/>
              <w:spacing w:after="0"/>
              <w:jc w:val="right"/>
              <w:rPr>
                <w:color w:val="000000"/>
                <w:szCs w:val="24"/>
              </w:rPr>
            </w:pPr>
            <w:r w:rsidRPr="001842B6">
              <w:rPr>
                <w:color w:val="000000"/>
                <w:szCs w:val="24"/>
              </w:rPr>
              <w:t>10/26/2018</w:t>
            </w:r>
          </w:p>
        </w:tc>
      </w:tr>
      <w:tr w:rsidRPr="001842B6" w:rsidR="00787599" w:rsidTr="001842B6" w14:paraId="2012E108"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163808F6" w14:textId="77777777">
            <w:pPr>
              <w:widowControl/>
              <w:autoSpaceDE/>
              <w:autoSpaceDN/>
              <w:adjustRightInd/>
              <w:spacing w:after="0"/>
              <w:rPr>
                <w:color w:val="000000"/>
                <w:szCs w:val="24"/>
              </w:rPr>
            </w:pPr>
            <w:r w:rsidRPr="001842B6">
              <w:rPr>
                <w:color w:val="000000"/>
                <w:szCs w:val="24"/>
              </w:rPr>
              <w:t>Survey approval</w:t>
            </w:r>
          </w:p>
        </w:tc>
        <w:tc>
          <w:tcPr>
            <w:tcW w:w="680" w:type="dxa"/>
            <w:tcBorders>
              <w:top w:val="nil"/>
              <w:left w:val="nil"/>
              <w:bottom w:val="nil"/>
              <w:right w:val="nil"/>
            </w:tcBorders>
            <w:shd w:val="clear" w:color="auto" w:fill="auto"/>
            <w:noWrap/>
            <w:vAlign w:val="bottom"/>
            <w:hideMark/>
          </w:tcPr>
          <w:p w:rsidRPr="001842B6" w:rsidR="00787599" w:rsidP="00787599" w:rsidRDefault="00260E7F" w14:paraId="7EBC7CF6" w14:textId="2E338709">
            <w:pPr>
              <w:widowControl/>
              <w:autoSpaceDE/>
              <w:autoSpaceDN/>
              <w:adjustRightInd/>
              <w:spacing w:after="0"/>
              <w:jc w:val="right"/>
              <w:rPr>
                <w:color w:val="000000"/>
                <w:szCs w:val="24"/>
              </w:rPr>
            </w:pPr>
            <w:r>
              <w:rPr>
                <w:color w:val="000000"/>
                <w:szCs w:val="24"/>
              </w:rPr>
              <w:t>1/2/2020</w:t>
            </w:r>
          </w:p>
        </w:tc>
      </w:tr>
      <w:tr w:rsidRPr="001842B6" w:rsidR="00787599" w:rsidTr="001842B6" w14:paraId="0EA68E3B"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0F4FA688" w14:textId="77777777">
            <w:pPr>
              <w:widowControl/>
              <w:autoSpaceDE/>
              <w:autoSpaceDN/>
              <w:adjustRightInd/>
              <w:spacing w:after="0"/>
              <w:rPr>
                <w:color w:val="000000"/>
                <w:szCs w:val="24"/>
              </w:rPr>
            </w:pPr>
            <w:r w:rsidRPr="001842B6">
              <w:rPr>
                <w:color w:val="000000"/>
                <w:szCs w:val="24"/>
              </w:rPr>
              <w:t>Analysis of survey results and follow-up interviews</w:t>
            </w:r>
          </w:p>
        </w:tc>
        <w:tc>
          <w:tcPr>
            <w:tcW w:w="680" w:type="dxa"/>
            <w:tcBorders>
              <w:top w:val="nil"/>
              <w:left w:val="nil"/>
              <w:bottom w:val="nil"/>
              <w:right w:val="nil"/>
            </w:tcBorders>
            <w:shd w:val="clear" w:color="auto" w:fill="auto"/>
            <w:noWrap/>
            <w:vAlign w:val="bottom"/>
            <w:hideMark/>
          </w:tcPr>
          <w:p w:rsidRPr="001842B6" w:rsidR="00787599" w:rsidP="00787599" w:rsidRDefault="00260E7F" w14:paraId="7DB472D7" w14:textId="7D784522">
            <w:pPr>
              <w:widowControl/>
              <w:autoSpaceDE/>
              <w:autoSpaceDN/>
              <w:adjustRightInd/>
              <w:spacing w:after="0"/>
              <w:jc w:val="right"/>
              <w:rPr>
                <w:color w:val="000000"/>
                <w:szCs w:val="24"/>
              </w:rPr>
            </w:pPr>
            <w:r>
              <w:rPr>
                <w:color w:val="000000"/>
                <w:szCs w:val="24"/>
              </w:rPr>
              <w:t>2/16/2020</w:t>
            </w:r>
          </w:p>
        </w:tc>
      </w:tr>
      <w:tr w:rsidRPr="001842B6" w:rsidR="00787599" w:rsidTr="001842B6" w14:paraId="43BB92B1"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26AB251B" w14:textId="77777777">
            <w:pPr>
              <w:widowControl/>
              <w:autoSpaceDE/>
              <w:autoSpaceDN/>
              <w:adjustRightInd/>
              <w:spacing w:after="0"/>
              <w:rPr>
                <w:color w:val="000000"/>
                <w:szCs w:val="24"/>
              </w:rPr>
            </w:pPr>
            <w:r w:rsidRPr="001842B6">
              <w:rPr>
                <w:color w:val="000000"/>
                <w:szCs w:val="24"/>
              </w:rPr>
              <w:t>Draft report</w:t>
            </w:r>
          </w:p>
        </w:tc>
        <w:tc>
          <w:tcPr>
            <w:tcW w:w="680" w:type="dxa"/>
            <w:tcBorders>
              <w:top w:val="nil"/>
              <w:left w:val="nil"/>
              <w:bottom w:val="nil"/>
              <w:right w:val="nil"/>
            </w:tcBorders>
            <w:shd w:val="clear" w:color="auto" w:fill="auto"/>
            <w:noWrap/>
            <w:vAlign w:val="bottom"/>
            <w:hideMark/>
          </w:tcPr>
          <w:p w:rsidRPr="001842B6" w:rsidR="00787599" w:rsidP="00787599" w:rsidRDefault="00260E7F" w14:paraId="0EBB5514" w14:textId="5736AF80">
            <w:pPr>
              <w:widowControl/>
              <w:autoSpaceDE/>
              <w:autoSpaceDN/>
              <w:adjustRightInd/>
              <w:spacing w:after="0"/>
              <w:jc w:val="right"/>
              <w:rPr>
                <w:color w:val="000000"/>
                <w:szCs w:val="24"/>
              </w:rPr>
            </w:pPr>
            <w:r>
              <w:rPr>
                <w:color w:val="000000"/>
                <w:szCs w:val="24"/>
              </w:rPr>
              <w:t>1/18/2021</w:t>
            </w:r>
          </w:p>
        </w:tc>
      </w:tr>
      <w:tr w:rsidRPr="001842B6" w:rsidR="00787599" w:rsidTr="001842B6" w14:paraId="33B12B79"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0DF77382" w14:textId="77777777">
            <w:pPr>
              <w:widowControl/>
              <w:autoSpaceDE/>
              <w:autoSpaceDN/>
              <w:adjustRightInd/>
              <w:spacing w:after="0"/>
              <w:rPr>
                <w:color w:val="000000"/>
                <w:szCs w:val="24"/>
              </w:rPr>
            </w:pPr>
            <w:r w:rsidRPr="001842B6">
              <w:rPr>
                <w:color w:val="000000"/>
                <w:szCs w:val="24"/>
              </w:rPr>
              <w:t>Final report</w:t>
            </w:r>
          </w:p>
        </w:tc>
        <w:tc>
          <w:tcPr>
            <w:tcW w:w="680" w:type="dxa"/>
            <w:tcBorders>
              <w:top w:val="nil"/>
              <w:left w:val="nil"/>
              <w:bottom w:val="nil"/>
              <w:right w:val="nil"/>
            </w:tcBorders>
            <w:shd w:val="clear" w:color="auto" w:fill="auto"/>
            <w:noWrap/>
            <w:vAlign w:val="bottom"/>
            <w:hideMark/>
          </w:tcPr>
          <w:p w:rsidRPr="001842B6" w:rsidR="00787599" w:rsidP="00787599" w:rsidRDefault="00260E7F" w14:paraId="69170895" w14:textId="69769DCA">
            <w:pPr>
              <w:widowControl/>
              <w:autoSpaceDE/>
              <w:autoSpaceDN/>
              <w:adjustRightInd/>
              <w:spacing w:after="0"/>
              <w:jc w:val="right"/>
              <w:rPr>
                <w:color w:val="000000"/>
                <w:szCs w:val="24"/>
              </w:rPr>
            </w:pPr>
            <w:r>
              <w:rPr>
                <w:color w:val="000000"/>
                <w:szCs w:val="24"/>
              </w:rPr>
              <w:t>4</w:t>
            </w:r>
            <w:r w:rsidRPr="001842B6" w:rsidR="00787599">
              <w:rPr>
                <w:color w:val="000000"/>
                <w:szCs w:val="24"/>
              </w:rPr>
              <w:t>/25/202</w:t>
            </w:r>
            <w:r>
              <w:rPr>
                <w:color w:val="000000"/>
                <w:szCs w:val="24"/>
              </w:rPr>
              <w:t>1</w:t>
            </w:r>
          </w:p>
        </w:tc>
      </w:tr>
      <w:tr w:rsidRPr="001842B6" w:rsidR="00787599" w:rsidTr="001842B6" w14:paraId="1FC253A4"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2EDD97A7" w14:textId="77777777">
            <w:pPr>
              <w:widowControl/>
              <w:autoSpaceDE/>
              <w:autoSpaceDN/>
              <w:adjustRightInd/>
              <w:spacing w:after="0"/>
              <w:rPr>
                <w:color w:val="000000"/>
                <w:szCs w:val="24"/>
              </w:rPr>
            </w:pPr>
            <w:r w:rsidRPr="001842B6">
              <w:rPr>
                <w:color w:val="000000"/>
                <w:szCs w:val="24"/>
              </w:rPr>
              <w:t>PowerPoint presentation summarizing study</w:t>
            </w:r>
          </w:p>
        </w:tc>
        <w:tc>
          <w:tcPr>
            <w:tcW w:w="680" w:type="dxa"/>
            <w:tcBorders>
              <w:top w:val="nil"/>
              <w:left w:val="nil"/>
              <w:bottom w:val="nil"/>
              <w:right w:val="nil"/>
            </w:tcBorders>
            <w:shd w:val="clear" w:color="auto" w:fill="auto"/>
            <w:noWrap/>
            <w:vAlign w:val="bottom"/>
            <w:hideMark/>
          </w:tcPr>
          <w:p w:rsidRPr="001842B6" w:rsidR="00787599" w:rsidP="00787599" w:rsidRDefault="00260E7F" w14:paraId="060F9B37" w14:textId="37E62956">
            <w:pPr>
              <w:widowControl/>
              <w:autoSpaceDE/>
              <w:autoSpaceDN/>
              <w:adjustRightInd/>
              <w:spacing w:after="0"/>
              <w:jc w:val="right"/>
              <w:rPr>
                <w:color w:val="000000"/>
                <w:szCs w:val="24"/>
              </w:rPr>
            </w:pPr>
            <w:r>
              <w:rPr>
                <w:color w:val="000000"/>
                <w:szCs w:val="24"/>
              </w:rPr>
              <w:t>5</w:t>
            </w:r>
            <w:r w:rsidRPr="001842B6" w:rsidR="00787599">
              <w:rPr>
                <w:color w:val="000000"/>
                <w:szCs w:val="24"/>
              </w:rPr>
              <w:t>/16/202</w:t>
            </w:r>
            <w:r>
              <w:rPr>
                <w:color w:val="000000"/>
                <w:szCs w:val="24"/>
              </w:rPr>
              <w:t>1</w:t>
            </w:r>
          </w:p>
        </w:tc>
      </w:tr>
      <w:tr w:rsidRPr="001842B6" w:rsidR="00787599" w:rsidTr="001842B6" w14:paraId="201319DF" w14:textId="77777777">
        <w:trPr>
          <w:trHeight w:val="300"/>
        </w:trPr>
        <w:tc>
          <w:tcPr>
            <w:tcW w:w="5670" w:type="dxa"/>
            <w:tcBorders>
              <w:top w:val="nil"/>
              <w:left w:val="nil"/>
              <w:bottom w:val="nil"/>
              <w:right w:val="nil"/>
            </w:tcBorders>
            <w:shd w:val="clear" w:color="auto" w:fill="auto"/>
            <w:noWrap/>
            <w:vAlign w:val="bottom"/>
            <w:hideMark/>
          </w:tcPr>
          <w:p w:rsidRPr="001842B6" w:rsidR="00787599" w:rsidP="00787599" w:rsidRDefault="00787599" w14:paraId="7D0F7911" w14:textId="77777777">
            <w:pPr>
              <w:widowControl/>
              <w:autoSpaceDE/>
              <w:autoSpaceDN/>
              <w:adjustRightInd/>
              <w:spacing w:after="0"/>
              <w:rPr>
                <w:color w:val="000000"/>
                <w:szCs w:val="24"/>
              </w:rPr>
            </w:pPr>
            <w:r w:rsidRPr="001842B6">
              <w:rPr>
                <w:color w:val="000000"/>
                <w:szCs w:val="24"/>
              </w:rPr>
              <w:t>Final strategy and next steps</w:t>
            </w:r>
          </w:p>
        </w:tc>
        <w:tc>
          <w:tcPr>
            <w:tcW w:w="680" w:type="dxa"/>
            <w:tcBorders>
              <w:top w:val="nil"/>
              <w:left w:val="nil"/>
              <w:bottom w:val="nil"/>
              <w:right w:val="nil"/>
            </w:tcBorders>
            <w:shd w:val="clear" w:color="auto" w:fill="auto"/>
            <w:noWrap/>
            <w:vAlign w:val="bottom"/>
            <w:hideMark/>
          </w:tcPr>
          <w:p w:rsidRPr="001842B6" w:rsidR="00787599" w:rsidP="00787599" w:rsidRDefault="00260E7F" w14:paraId="55A46DBF" w14:textId="0E67C82F">
            <w:pPr>
              <w:widowControl/>
              <w:autoSpaceDE/>
              <w:autoSpaceDN/>
              <w:adjustRightInd/>
              <w:spacing w:after="0"/>
              <w:jc w:val="right"/>
              <w:rPr>
                <w:color w:val="000000"/>
                <w:szCs w:val="24"/>
              </w:rPr>
            </w:pPr>
            <w:r>
              <w:rPr>
                <w:color w:val="000000"/>
                <w:szCs w:val="24"/>
              </w:rPr>
              <w:t>6</w:t>
            </w:r>
            <w:r w:rsidRPr="001842B6" w:rsidR="00787599">
              <w:rPr>
                <w:color w:val="000000"/>
                <w:szCs w:val="24"/>
              </w:rPr>
              <w:t>/20/202</w:t>
            </w:r>
            <w:r>
              <w:rPr>
                <w:color w:val="000000"/>
                <w:szCs w:val="24"/>
              </w:rPr>
              <w:t>1</w:t>
            </w:r>
          </w:p>
        </w:tc>
      </w:tr>
    </w:tbl>
    <w:p w:rsidR="00787599" w:rsidP="00787599" w:rsidRDefault="00787599" w14:paraId="55AB49A0" w14:textId="77777777">
      <w:pPr>
        <w:rPr>
          <w:szCs w:val="24"/>
          <w:highlight w:val="yellow"/>
        </w:rPr>
      </w:pPr>
    </w:p>
    <w:p w:rsidR="008C1FA9" w:rsidP="00D62ED6" w:rsidRDefault="00603E2D" w14:paraId="273978B3" w14:textId="77777777">
      <w:pPr>
        <w:tabs>
          <w:tab w:val="left" w:pos="540"/>
        </w:tabs>
      </w:pPr>
      <w:r w:rsidRPr="009B472E">
        <w:rPr>
          <w:b/>
        </w:rPr>
        <w:t>17.</w:t>
      </w:r>
      <w:r w:rsidRPr="009B472E">
        <w:tab/>
      </w:r>
      <w:r w:rsidRPr="009B472E">
        <w:rPr>
          <w:b/>
          <w:u w:val="single"/>
        </w:rPr>
        <w:t>Approval for not displaying the expiration date for OMB approval</w:t>
      </w:r>
      <w:r w:rsidRPr="009B472E" w:rsidR="004068B7">
        <w:rPr>
          <w:b/>
          <w:u w:val="single"/>
        </w:rPr>
        <w:t>.</w:t>
      </w:r>
      <w:r w:rsidRPr="009B472E" w:rsidR="004068B7">
        <w:t xml:space="preserve"> </w:t>
      </w:r>
    </w:p>
    <w:p w:rsidRPr="009C32CF" w:rsidR="00603E2D" w:rsidRDefault="00603E2D" w14:paraId="2B75F68E" w14:textId="77777777">
      <w:pPr>
        <w:rPr>
          <w:szCs w:val="24"/>
        </w:rPr>
      </w:pPr>
      <w:r w:rsidRPr="009C32CF">
        <w:rPr>
          <w:szCs w:val="24"/>
        </w:rPr>
        <w:t>Approval for not displaying the expiration date is not being requested.</w:t>
      </w:r>
    </w:p>
    <w:p w:rsidR="008C1FA9" w:rsidP="009B472E" w:rsidRDefault="00603E2D" w14:paraId="53330F99" w14:textId="77777777">
      <w:pPr>
        <w:pStyle w:val="Heading2"/>
        <w:ind w:left="0" w:firstLine="0"/>
      </w:pPr>
      <w:r w:rsidRPr="00214DD3">
        <w:t>18.</w:t>
      </w:r>
      <w:r w:rsidRPr="009C32CF">
        <w:tab/>
        <w:t>Exceptions to certification statement</w:t>
      </w:r>
      <w:r w:rsidR="00CE251C">
        <w:t xml:space="preserve">. </w:t>
      </w:r>
    </w:p>
    <w:p w:rsidRPr="009C32CF" w:rsidR="00603E2D" w:rsidRDefault="00603E2D" w14:paraId="758556AD" w14:textId="77777777">
      <w:pPr>
        <w:rPr>
          <w:szCs w:val="24"/>
        </w:rPr>
      </w:pPr>
      <w:r w:rsidRPr="009C32CF">
        <w:rPr>
          <w:szCs w:val="24"/>
        </w:rPr>
        <w:t>There are no exceptions to the certification statement for this information collection.</w:t>
      </w:r>
    </w:p>
    <w:p w:rsidRPr="009B472E" w:rsidR="000E5758" w:rsidP="000E5758" w:rsidRDefault="000E5758" w14:paraId="54643F44" w14:textId="77777777">
      <w:pPr>
        <w:rPr>
          <w:b/>
          <w:szCs w:val="24"/>
        </w:rPr>
      </w:pPr>
      <w:r w:rsidRPr="009B472E">
        <w:rPr>
          <w:b/>
          <w:szCs w:val="24"/>
        </w:rPr>
        <w:t>Part B. Collections of Information Employing Statistical Methods.</w:t>
      </w:r>
    </w:p>
    <w:p w:rsidRPr="005959D2" w:rsidR="005959D2" w:rsidP="005959D2" w:rsidRDefault="005959D2" w14:paraId="600E8DF0" w14:textId="77777777">
      <w:pPr>
        <w:rPr>
          <w:szCs w:val="24"/>
        </w:rPr>
      </w:pPr>
      <w:r w:rsidRPr="005959D2">
        <w:rPr>
          <w:szCs w:val="24"/>
        </w:rPr>
        <w:t xml:space="preserve">The survey does not rely on a statistical method. </w:t>
      </w:r>
    </w:p>
    <w:p w:rsidRPr="009C32CF" w:rsidR="009C32CF" w:rsidRDefault="009C32CF" w14:paraId="1DDA7721" w14:textId="77777777">
      <w:pPr>
        <w:rPr>
          <w:szCs w:val="24"/>
        </w:rPr>
      </w:pPr>
    </w:p>
    <w:sectPr w:rsidRPr="009C32CF" w:rsidR="009C32CF" w:rsidSect="001F113C">
      <w:headerReference w:type="default" r:id="rId17"/>
      <w:footerReference w:type="default" r:id="rId18"/>
      <w:footnotePr>
        <w:numRestart w:val="eachSect"/>
      </w:footnotePr>
      <w:endnotePr>
        <w:numFmt w:val="decimal"/>
      </w:endnotePr>
      <w:type w:val="continuous"/>
      <w:pgSz w:w="12240" w:h="15840"/>
      <w:pgMar w:top="1296"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66AD3" w14:textId="77777777" w:rsidR="000E6EE3" w:rsidRDefault="000E6EE3">
      <w:r>
        <w:separator/>
      </w:r>
    </w:p>
  </w:endnote>
  <w:endnote w:type="continuationSeparator" w:id="0">
    <w:p w14:paraId="2025358F" w14:textId="77777777" w:rsidR="000E6EE3" w:rsidRDefault="000E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A614" w14:textId="615F2961" w:rsidR="00603E2D" w:rsidRDefault="00603E2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1058A">
      <w:rPr>
        <w:rStyle w:val="PageNumber"/>
        <w:noProof/>
      </w:rPr>
      <w:t>5</w:t>
    </w:r>
    <w:r>
      <w:rPr>
        <w:rStyle w:val="PageNumber"/>
      </w:rPr>
      <w:fldChar w:fldCharType="end"/>
    </w:r>
  </w:p>
  <w:p w14:paraId="04134574" w14:textId="77777777" w:rsidR="00603E2D" w:rsidRDefault="00603E2D" w:rsidP="001F1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ECBF9" w14:textId="77777777" w:rsidR="000E6EE3" w:rsidRDefault="000E6EE3">
      <w:r>
        <w:separator/>
      </w:r>
    </w:p>
  </w:footnote>
  <w:footnote w:type="continuationSeparator" w:id="0">
    <w:p w14:paraId="036902A3" w14:textId="77777777" w:rsidR="000E6EE3" w:rsidRDefault="000E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A1DC" w14:textId="0A1AF20F" w:rsidR="00324C10" w:rsidRPr="00324C10" w:rsidRDefault="00324C10">
    <w:pPr>
      <w:pStyle w:val="Header"/>
      <w:rPr>
        <w:b/>
      </w:rPr>
    </w:pPr>
    <w:r w:rsidRPr="00324C10">
      <w:rPr>
        <w:b/>
      </w:rPr>
      <w:tab/>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08C6"/>
    <w:multiLevelType w:val="hybridMultilevel"/>
    <w:tmpl w:val="24A08BA4"/>
    <w:lvl w:ilvl="0" w:tplc="B32E6146">
      <w:start w:val="14"/>
      <w:numFmt w:val="bullet"/>
      <w:lvlText w:val="•"/>
      <w:lvlJc w:val="left"/>
      <w:pPr>
        <w:ind w:left="576" w:hanging="216"/>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AE6EDC"/>
    <w:multiLevelType w:val="hybridMultilevel"/>
    <w:tmpl w:val="880A7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90532"/>
    <w:multiLevelType w:val="hybridMultilevel"/>
    <w:tmpl w:val="EA0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114FF"/>
    <w:multiLevelType w:val="hybridMultilevel"/>
    <w:tmpl w:val="45FE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5480B"/>
    <w:multiLevelType w:val="hybridMultilevel"/>
    <w:tmpl w:val="065EC30A"/>
    <w:lvl w:ilvl="0" w:tplc="D4147F2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3D09DB"/>
    <w:multiLevelType w:val="hybridMultilevel"/>
    <w:tmpl w:val="525C1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Krop">
    <w15:presenceInfo w15:providerId="AD" w15:userId="S-1-5-21-1244020187-519449412-911163043-4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69"/>
    <w:rsid w:val="000071B5"/>
    <w:rsid w:val="000072D9"/>
    <w:rsid w:val="00007E5A"/>
    <w:rsid w:val="00017B11"/>
    <w:rsid w:val="00021283"/>
    <w:rsid w:val="000324AD"/>
    <w:rsid w:val="00041615"/>
    <w:rsid w:val="000426BE"/>
    <w:rsid w:val="00045A5A"/>
    <w:rsid w:val="00052330"/>
    <w:rsid w:val="00052FD3"/>
    <w:rsid w:val="000561F7"/>
    <w:rsid w:val="00062FFC"/>
    <w:rsid w:val="000A42CB"/>
    <w:rsid w:val="000B77D7"/>
    <w:rsid w:val="000C163B"/>
    <w:rsid w:val="000C61C0"/>
    <w:rsid w:val="000D3A34"/>
    <w:rsid w:val="000D6225"/>
    <w:rsid w:val="000E5758"/>
    <w:rsid w:val="000E6EE3"/>
    <w:rsid w:val="000F15F9"/>
    <w:rsid w:val="00140EDB"/>
    <w:rsid w:val="00144C13"/>
    <w:rsid w:val="00147698"/>
    <w:rsid w:val="00152EAD"/>
    <w:rsid w:val="00155EE2"/>
    <w:rsid w:val="001842B6"/>
    <w:rsid w:val="001872E6"/>
    <w:rsid w:val="00187CFD"/>
    <w:rsid w:val="00190D35"/>
    <w:rsid w:val="001A23B7"/>
    <w:rsid w:val="001A45BB"/>
    <w:rsid w:val="001D28CE"/>
    <w:rsid w:val="001D4004"/>
    <w:rsid w:val="001D4720"/>
    <w:rsid w:val="001E57F0"/>
    <w:rsid w:val="001F113C"/>
    <w:rsid w:val="00201F07"/>
    <w:rsid w:val="00214ACB"/>
    <w:rsid w:val="00214B17"/>
    <w:rsid w:val="00214DD3"/>
    <w:rsid w:val="0022404B"/>
    <w:rsid w:val="00235B97"/>
    <w:rsid w:val="00235FBE"/>
    <w:rsid w:val="00256BF6"/>
    <w:rsid w:val="00260E7F"/>
    <w:rsid w:val="002672CD"/>
    <w:rsid w:val="00270FAB"/>
    <w:rsid w:val="002859A8"/>
    <w:rsid w:val="00292E67"/>
    <w:rsid w:val="002C4F1A"/>
    <w:rsid w:val="002D74F6"/>
    <w:rsid w:val="002F3667"/>
    <w:rsid w:val="002F74D8"/>
    <w:rsid w:val="00305536"/>
    <w:rsid w:val="003079D1"/>
    <w:rsid w:val="00324C10"/>
    <w:rsid w:val="00334927"/>
    <w:rsid w:val="003700B4"/>
    <w:rsid w:val="00380BC8"/>
    <w:rsid w:val="003B3B4C"/>
    <w:rsid w:val="003B4EF0"/>
    <w:rsid w:val="003B62A6"/>
    <w:rsid w:val="003C0FC4"/>
    <w:rsid w:val="003E27D4"/>
    <w:rsid w:val="003E3733"/>
    <w:rsid w:val="003F000A"/>
    <w:rsid w:val="00405A61"/>
    <w:rsid w:val="004068B7"/>
    <w:rsid w:val="00427CAF"/>
    <w:rsid w:val="00430B75"/>
    <w:rsid w:val="004371F8"/>
    <w:rsid w:val="00443C70"/>
    <w:rsid w:val="00444129"/>
    <w:rsid w:val="004538AA"/>
    <w:rsid w:val="00453E8B"/>
    <w:rsid w:val="00494474"/>
    <w:rsid w:val="004A2167"/>
    <w:rsid w:val="004A2545"/>
    <w:rsid w:val="004A4C4A"/>
    <w:rsid w:val="004C0860"/>
    <w:rsid w:val="004C593B"/>
    <w:rsid w:val="004C6838"/>
    <w:rsid w:val="004D6FCF"/>
    <w:rsid w:val="004F4E04"/>
    <w:rsid w:val="00504F5A"/>
    <w:rsid w:val="0053201A"/>
    <w:rsid w:val="00557B85"/>
    <w:rsid w:val="00564BDF"/>
    <w:rsid w:val="005959D2"/>
    <w:rsid w:val="005A1B12"/>
    <w:rsid w:val="005A1E5F"/>
    <w:rsid w:val="005A640A"/>
    <w:rsid w:val="005A7BEB"/>
    <w:rsid w:val="005B5E1D"/>
    <w:rsid w:val="005E7DF3"/>
    <w:rsid w:val="00603E2D"/>
    <w:rsid w:val="00622251"/>
    <w:rsid w:val="0065554F"/>
    <w:rsid w:val="006846D3"/>
    <w:rsid w:val="00684AB2"/>
    <w:rsid w:val="006B521C"/>
    <w:rsid w:val="006B5709"/>
    <w:rsid w:val="006C3294"/>
    <w:rsid w:val="006C60C7"/>
    <w:rsid w:val="006D1B54"/>
    <w:rsid w:val="006D6D52"/>
    <w:rsid w:val="006E1997"/>
    <w:rsid w:val="006E2614"/>
    <w:rsid w:val="006E4336"/>
    <w:rsid w:val="006F1C56"/>
    <w:rsid w:val="006F3AE8"/>
    <w:rsid w:val="00712D55"/>
    <w:rsid w:val="00717EFC"/>
    <w:rsid w:val="0073212A"/>
    <w:rsid w:val="00732904"/>
    <w:rsid w:val="00744291"/>
    <w:rsid w:val="00752EC5"/>
    <w:rsid w:val="00756185"/>
    <w:rsid w:val="007849DF"/>
    <w:rsid w:val="00787599"/>
    <w:rsid w:val="00791AF9"/>
    <w:rsid w:val="007B0678"/>
    <w:rsid w:val="007B2092"/>
    <w:rsid w:val="007C4A5B"/>
    <w:rsid w:val="007C5857"/>
    <w:rsid w:val="007D51B4"/>
    <w:rsid w:val="007D6D50"/>
    <w:rsid w:val="007F26A4"/>
    <w:rsid w:val="00826DFF"/>
    <w:rsid w:val="008570BC"/>
    <w:rsid w:val="0086139E"/>
    <w:rsid w:val="008736FC"/>
    <w:rsid w:val="00875EB6"/>
    <w:rsid w:val="00880748"/>
    <w:rsid w:val="00883978"/>
    <w:rsid w:val="00885FE3"/>
    <w:rsid w:val="0088751E"/>
    <w:rsid w:val="0089460C"/>
    <w:rsid w:val="008C1E23"/>
    <w:rsid w:val="008C1FA9"/>
    <w:rsid w:val="008D5054"/>
    <w:rsid w:val="009065FB"/>
    <w:rsid w:val="0092132B"/>
    <w:rsid w:val="00934952"/>
    <w:rsid w:val="0093755D"/>
    <w:rsid w:val="00937595"/>
    <w:rsid w:val="0095029D"/>
    <w:rsid w:val="009842F2"/>
    <w:rsid w:val="009A2B36"/>
    <w:rsid w:val="009B2B98"/>
    <w:rsid w:val="009B472E"/>
    <w:rsid w:val="009B7531"/>
    <w:rsid w:val="009B7D82"/>
    <w:rsid w:val="009C32CF"/>
    <w:rsid w:val="009C41B5"/>
    <w:rsid w:val="009C4A43"/>
    <w:rsid w:val="009E31E6"/>
    <w:rsid w:val="00A0254E"/>
    <w:rsid w:val="00A028A9"/>
    <w:rsid w:val="00A0311D"/>
    <w:rsid w:val="00A050F8"/>
    <w:rsid w:val="00A10736"/>
    <w:rsid w:val="00A644F0"/>
    <w:rsid w:val="00A64F4A"/>
    <w:rsid w:val="00A71B50"/>
    <w:rsid w:val="00A9385B"/>
    <w:rsid w:val="00AB08B0"/>
    <w:rsid w:val="00B0015A"/>
    <w:rsid w:val="00B57B60"/>
    <w:rsid w:val="00B61D91"/>
    <w:rsid w:val="00B64EF1"/>
    <w:rsid w:val="00B729EC"/>
    <w:rsid w:val="00B91057"/>
    <w:rsid w:val="00BB33FC"/>
    <w:rsid w:val="00BB590E"/>
    <w:rsid w:val="00BC5800"/>
    <w:rsid w:val="00BF56B4"/>
    <w:rsid w:val="00C20D08"/>
    <w:rsid w:val="00C226D7"/>
    <w:rsid w:val="00C228AA"/>
    <w:rsid w:val="00C25F1D"/>
    <w:rsid w:val="00C274B3"/>
    <w:rsid w:val="00C378ED"/>
    <w:rsid w:val="00C637AA"/>
    <w:rsid w:val="00C8527D"/>
    <w:rsid w:val="00CC7459"/>
    <w:rsid w:val="00CD020F"/>
    <w:rsid w:val="00CD5753"/>
    <w:rsid w:val="00CE251C"/>
    <w:rsid w:val="00CE2633"/>
    <w:rsid w:val="00CE3315"/>
    <w:rsid w:val="00CF3F06"/>
    <w:rsid w:val="00D01130"/>
    <w:rsid w:val="00D0300A"/>
    <w:rsid w:val="00D31E87"/>
    <w:rsid w:val="00D561A6"/>
    <w:rsid w:val="00D62ED6"/>
    <w:rsid w:val="00D6328E"/>
    <w:rsid w:val="00D80759"/>
    <w:rsid w:val="00DA50A4"/>
    <w:rsid w:val="00DB39E7"/>
    <w:rsid w:val="00DD3B4B"/>
    <w:rsid w:val="00DE1321"/>
    <w:rsid w:val="00DE17E8"/>
    <w:rsid w:val="00E03ED8"/>
    <w:rsid w:val="00E10F29"/>
    <w:rsid w:val="00E14F86"/>
    <w:rsid w:val="00E3538D"/>
    <w:rsid w:val="00E40C94"/>
    <w:rsid w:val="00E75FA4"/>
    <w:rsid w:val="00E8222B"/>
    <w:rsid w:val="00E85604"/>
    <w:rsid w:val="00E85E4D"/>
    <w:rsid w:val="00E93C15"/>
    <w:rsid w:val="00EB4711"/>
    <w:rsid w:val="00EB4B5D"/>
    <w:rsid w:val="00EC1E07"/>
    <w:rsid w:val="00EC2608"/>
    <w:rsid w:val="00EC39CE"/>
    <w:rsid w:val="00ED4125"/>
    <w:rsid w:val="00EE4CEF"/>
    <w:rsid w:val="00EE56E9"/>
    <w:rsid w:val="00EF5388"/>
    <w:rsid w:val="00F05221"/>
    <w:rsid w:val="00F06041"/>
    <w:rsid w:val="00F1058A"/>
    <w:rsid w:val="00F23F68"/>
    <w:rsid w:val="00F35FDD"/>
    <w:rsid w:val="00F42D2F"/>
    <w:rsid w:val="00F51088"/>
    <w:rsid w:val="00F54C28"/>
    <w:rsid w:val="00F7045C"/>
    <w:rsid w:val="00FB073C"/>
    <w:rsid w:val="00FB0918"/>
    <w:rsid w:val="00FB182E"/>
    <w:rsid w:val="00FC310C"/>
    <w:rsid w:val="00FC3869"/>
    <w:rsid w:val="00FC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0D90EE"/>
  <w15:docId w15:val="{9ADC6CE0-B37F-4F7B-A874-6280189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45A5A"/>
    <w:pPr>
      <w:widowControl w:val="0"/>
      <w:autoSpaceDE w:val="0"/>
      <w:autoSpaceDN w:val="0"/>
      <w:adjustRightInd w:val="0"/>
      <w:spacing w:after="240"/>
    </w:pPr>
    <w:rPr>
      <w:sz w:val="24"/>
    </w:rPr>
  </w:style>
  <w:style w:type="paragraph" w:styleId="Heading1">
    <w:name w:val="heading 1"/>
    <w:basedOn w:val="Normal"/>
    <w:next w:val="Normal"/>
    <w:qFormat/>
    <w:rsid w:val="00826DFF"/>
    <w:pPr>
      <w:jc w:val="center"/>
      <w:outlineLvl w:val="0"/>
    </w:pPr>
    <w:rPr>
      <w:b/>
      <w:bCs/>
      <w:szCs w:val="24"/>
    </w:rPr>
  </w:style>
  <w:style w:type="paragraph" w:styleId="Heading2">
    <w:name w:val="heading 2"/>
    <w:basedOn w:val="Normal"/>
    <w:next w:val="Normal"/>
    <w:qFormat/>
    <w:rsid w:val="00826DFF"/>
    <w:pPr>
      <w:tabs>
        <w:tab w:val="left" w:pos="720"/>
      </w:tabs>
      <w:ind w:left="720" w:hanging="72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caps/>
      <w:szCs w:val="24"/>
    </w:rPr>
  </w:style>
  <w:style w:type="paragraph" w:styleId="BodyTextIndent">
    <w:name w:val="Body Text Indent"/>
    <w:basedOn w:val="Normal"/>
    <w:pPr>
      <w:ind w:left="720"/>
    </w:pPr>
    <w:rPr>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uiPriority w:val="99"/>
    <w:rsid w:val="00EC1E07"/>
    <w:rPr>
      <w:sz w:val="16"/>
      <w:szCs w:val="16"/>
    </w:rPr>
  </w:style>
  <w:style w:type="paragraph" w:styleId="CommentText">
    <w:name w:val="annotation text"/>
    <w:basedOn w:val="Normal"/>
    <w:link w:val="CommentTextChar"/>
    <w:uiPriority w:val="99"/>
    <w:rsid w:val="00EC1E07"/>
  </w:style>
  <w:style w:type="character" w:customStyle="1" w:styleId="CommentTextChar">
    <w:name w:val="Comment Text Char"/>
    <w:basedOn w:val="DefaultParagraphFont"/>
    <w:link w:val="CommentText"/>
    <w:uiPriority w:val="99"/>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 w:type="character" w:styleId="Hyperlink">
    <w:name w:val="Hyperlink"/>
    <w:basedOn w:val="DefaultParagraphFont"/>
    <w:unhideWhenUsed/>
    <w:rsid w:val="007849DF"/>
    <w:rPr>
      <w:color w:val="0000FF" w:themeColor="hyperlink"/>
      <w:u w:val="single"/>
    </w:rPr>
  </w:style>
  <w:style w:type="character" w:customStyle="1" w:styleId="UnresolvedMention">
    <w:name w:val="Unresolved Mention"/>
    <w:basedOn w:val="DefaultParagraphFont"/>
    <w:uiPriority w:val="99"/>
    <w:semiHidden/>
    <w:unhideWhenUsed/>
    <w:rsid w:val="007849DF"/>
    <w:rPr>
      <w:color w:val="808080"/>
      <w:shd w:val="clear" w:color="auto" w:fill="E6E6E6"/>
    </w:rPr>
  </w:style>
  <w:style w:type="paragraph" w:styleId="ListParagraph">
    <w:name w:val="List Paragraph"/>
    <w:basedOn w:val="Normal"/>
    <w:uiPriority w:val="34"/>
    <w:qFormat/>
    <w:rsid w:val="00E03ED8"/>
    <w:pPr>
      <w:ind w:left="720"/>
      <w:contextualSpacing/>
    </w:pPr>
  </w:style>
  <w:style w:type="character" w:styleId="FollowedHyperlink">
    <w:name w:val="FollowedHyperlink"/>
    <w:basedOn w:val="DefaultParagraphFont"/>
    <w:semiHidden/>
    <w:unhideWhenUsed/>
    <w:rsid w:val="00DB39E7"/>
    <w:rPr>
      <w:color w:val="800080" w:themeColor="followedHyperlink"/>
      <w:u w:val="single"/>
    </w:rPr>
  </w:style>
  <w:style w:type="character" w:styleId="IntenseEmphasis">
    <w:name w:val="Intense Emphasis"/>
    <w:basedOn w:val="DefaultParagraphFont"/>
    <w:uiPriority w:val="21"/>
    <w:qFormat/>
    <w:rsid w:val="00E8222B"/>
    <w:rPr>
      <w:i/>
      <w:iCs/>
      <w:color w:val="4F81BD" w:themeColor="accent1"/>
    </w:rPr>
  </w:style>
  <w:style w:type="character" w:customStyle="1" w:styleId="normaltextrun1">
    <w:name w:val="normaltextrun1"/>
    <w:basedOn w:val="DefaultParagraphFont"/>
    <w:rsid w:val="0068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5826">
      <w:bodyDiv w:val="1"/>
      <w:marLeft w:val="0"/>
      <w:marRight w:val="0"/>
      <w:marTop w:val="0"/>
      <w:marBottom w:val="0"/>
      <w:divBdr>
        <w:top w:val="none" w:sz="0" w:space="0" w:color="auto"/>
        <w:left w:val="none" w:sz="0" w:space="0" w:color="auto"/>
        <w:bottom w:val="none" w:sz="0" w:space="0" w:color="auto"/>
        <w:right w:val="none" w:sz="0" w:space="0" w:color="auto"/>
      </w:divBdr>
    </w:div>
    <w:div w:id="55277185">
      <w:bodyDiv w:val="1"/>
      <w:marLeft w:val="0"/>
      <w:marRight w:val="0"/>
      <w:marTop w:val="0"/>
      <w:marBottom w:val="0"/>
      <w:divBdr>
        <w:top w:val="none" w:sz="0" w:space="0" w:color="auto"/>
        <w:left w:val="none" w:sz="0" w:space="0" w:color="auto"/>
        <w:bottom w:val="none" w:sz="0" w:space="0" w:color="auto"/>
        <w:right w:val="none" w:sz="0" w:space="0" w:color="auto"/>
      </w:divBdr>
    </w:div>
    <w:div w:id="134419297">
      <w:bodyDiv w:val="1"/>
      <w:marLeft w:val="0"/>
      <w:marRight w:val="0"/>
      <w:marTop w:val="0"/>
      <w:marBottom w:val="0"/>
      <w:divBdr>
        <w:top w:val="none" w:sz="0" w:space="0" w:color="auto"/>
        <w:left w:val="none" w:sz="0" w:space="0" w:color="auto"/>
        <w:bottom w:val="none" w:sz="0" w:space="0" w:color="auto"/>
        <w:right w:val="none" w:sz="0" w:space="0" w:color="auto"/>
      </w:divBdr>
    </w:div>
    <w:div w:id="273560828">
      <w:bodyDiv w:val="1"/>
      <w:marLeft w:val="0"/>
      <w:marRight w:val="0"/>
      <w:marTop w:val="0"/>
      <w:marBottom w:val="0"/>
      <w:divBdr>
        <w:top w:val="none" w:sz="0" w:space="0" w:color="auto"/>
        <w:left w:val="none" w:sz="0" w:space="0" w:color="auto"/>
        <w:bottom w:val="none" w:sz="0" w:space="0" w:color="auto"/>
        <w:right w:val="none" w:sz="0" w:space="0" w:color="auto"/>
      </w:divBdr>
    </w:div>
    <w:div w:id="515535311">
      <w:bodyDiv w:val="1"/>
      <w:marLeft w:val="0"/>
      <w:marRight w:val="0"/>
      <w:marTop w:val="0"/>
      <w:marBottom w:val="0"/>
      <w:divBdr>
        <w:top w:val="none" w:sz="0" w:space="0" w:color="auto"/>
        <w:left w:val="none" w:sz="0" w:space="0" w:color="auto"/>
        <w:bottom w:val="none" w:sz="0" w:space="0" w:color="auto"/>
        <w:right w:val="none" w:sz="0" w:space="0" w:color="auto"/>
      </w:divBdr>
    </w:div>
    <w:div w:id="1051884413">
      <w:bodyDiv w:val="1"/>
      <w:marLeft w:val="0"/>
      <w:marRight w:val="0"/>
      <w:marTop w:val="0"/>
      <w:marBottom w:val="0"/>
      <w:divBdr>
        <w:top w:val="none" w:sz="0" w:space="0" w:color="auto"/>
        <w:left w:val="none" w:sz="0" w:space="0" w:color="auto"/>
        <w:bottom w:val="none" w:sz="0" w:space="0" w:color="auto"/>
        <w:right w:val="none" w:sz="0" w:space="0" w:color="auto"/>
      </w:divBdr>
    </w:div>
    <w:div w:id="1103769414">
      <w:bodyDiv w:val="1"/>
      <w:marLeft w:val="0"/>
      <w:marRight w:val="0"/>
      <w:marTop w:val="0"/>
      <w:marBottom w:val="0"/>
      <w:divBdr>
        <w:top w:val="none" w:sz="0" w:space="0" w:color="auto"/>
        <w:left w:val="none" w:sz="0" w:space="0" w:color="auto"/>
        <w:bottom w:val="none" w:sz="0" w:space="0" w:color="auto"/>
        <w:right w:val="none" w:sz="0" w:space="0" w:color="auto"/>
      </w:divBdr>
    </w:div>
    <w:div w:id="1118600659">
      <w:bodyDiv w:val="1"/>
      <w:marLeft w:val="0"/>
      <w:marRight w:val="0"/>
      <w:marTop w:val="0"/>
      <w:marBottom w:val="0"/>
      <w:divBdr>
        <w:top w:val="none" w:sz="0" w:space="0" w:color="auto"/>
        <w:left w:val="none" w:sz="0" w:space="0" w:color="auto"/>
        <w:bottom w:val="none" w:sz="0" w:space="0" w:color="auto"/>
        <w:right w:val="none" w:sz="0" w:space="0" w:color="auto"/>
      </w:divBdr>
    </w:div>
    <w:div w:id="1694764569">
      <w:bodyDiv w:val="1"/>
      <w:marLeft w:val="0"/>
      <w:marRight w:val="0"/>
      <w:marTop w:val="0"/>
      <w:marBottom w:val="0"/>
      <w:divBdr>
        <w:top w:val="none" w:sz="0" w:space="0" w:color="auto"/>
        <w:left w:val="none" w:sz="0" w:space="0" w:color="auto"/>
        <w:bottom w:val="none" w:sz="0" w:space="0" w:color="auto"/>
        <w:right w:val="none" w:sz="0" w:space="0" w:color="auto"/>
      </w:divBdr>
    </w:div>
    <w:div w:id="2074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ghtofway.transportation.org/Documents/Surveys/OR%20Management%20Classification%20and%20Allocation_06-30-1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transportation.org/rac-survey-detail/?survey_id=21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131111.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transportation.org/rac-survey-detail/?survey_id=268" TargetMode="External"/><Relationship Id="rId5" Type="http://schemas.openxmlformats.org/officeDocument/2006/relationships/numbering" Target="numbering.xml"/><Relationship Id="rId15" Type="http://schemas.openxmlformats.org/officeDocument/2006/relationships/hyperlink" Target="https://www.bls.gov/oes/current/oes172051.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2017/may/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976DCE68C7D418078A33EFA3A85A6" ma:contentTypeVersion="2" ma:contentTypeDescription="Create a new document." ma:contentTypeScope="" ma:versionID="dfac8681a3fddbf8540f123469290878">
  <xsd:schema xmlns:xsd="http://www.w3.org/2001/XMLSchema" xmlns:xs="http://www.w3.org/2001/XMLSchema" xmlns:p="http://schemas.microsoft.com/office/2006/metadata/properties" xmlns:ns2="e56ee9a6-572a-416d-afbe-421c05a92365" targetNamespace="http://schemas.microsoft.com/office/2006/metadata/properties" ma:root="true" ma:fieldsID="d798a1e08b9c7dea2aa716457cb0bb39" ns2:_="">
    <xsd:import namespace="e56ee9a6-572a-416d-afbe-421c05a923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ee9a6-572a-416d-afbe-421c05a92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CFC5-0AF6-485C-B5C6-762E92E0EA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56ee9a6-572a-416d-afbe-421c05a92365"/>
    <ds:schemaRef ds:uri="http://www.w3.org/XML/1998/namespace"/>
    <ds:schemaRef ds:uri="http://purl.org/dc/dcmitype/"/>
  </ds:schemaRefs>
</ds:datastoreItem>
</file>

<file path=customXml/itemProps2.xml><?xml version="1.0" encoding="utf-8"?>
<ds:datastoreItem xmlns:ds="http://schemas.openxmlformats.org/officeDocument/2006/customXml" ds:itemID="{4754D780-AB54-408C-8C32-B877A1366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ee9a6-572a-416d-afbe-421c05a92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4B038-3EC5-4C8E-8D4E-AA9019003B62}">
  <ds:schemaRefs>
    <ds:schemaRef ds:uri="http://schemas.microsoft.com/sharepoint/v3/contenttype/forms"/>
  </ds:schemaRefs>
</ds:datastoreItem>
</file>

<file path=customXml/itemProps4.xml><?xml version="1.0" encoding="utf-8"?>
<ds:datastoreItem xmlns:ds="http://schemas.openxmlformats.org/officeDocument/2006/customXml" ds:itemID="{A4000A08-EC51-4B2F-9E57-59368C6D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DynCorp</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Tony Solury</dc:creator>
  <cp:lastModifiedBy>Howell, Michael (FHWA)</cp:lastModifiedBy>
  <cp:revision>2</cp:revision>
  <cp:lastPrinted>2017-10-05T14:46:00Z</cp:lastPrinted>
  <dcterms:created xsi:type="dcterms:W3CDTF">2020-06-10T12:55:00Z</dcterms:created>
  <dcterms:modified xsi:type="dcterms:W3CDTF">2020-06-10T12:55:00Z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0x010100CC5976DCE68C7D418078A33EFA3A85A6</vt:lpwstr>
  </property>
  <property fmtid="{D5CDD505-2E9C-101B-9397-08002B2CF9AE}" pid="3" name="_DocHome">
    <vt:i4>-1909826116</vt:i4>
  </property>
</Properties>
</file>