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E69" w:rsidP="000C4DAB" w:rsidRDefault="00DD62F2" w14:paraId="1AEFF843" w14:textId="5D18B9FA">
      <w:pPr>
        <w:pStyle w:val="Heading1"/>
      </w:pPr>
      <w:bookmarkStart w:name="_GoBack" w:id="0"/>
      <w:bookmarkEnd w:id="0"/>
      <w:r>
        <w:t xml:space="preserve">FMCSA Beyond Compliance Draft </w:t>
      </w:r>
      <w:r w:rsidR="00FA38FE">
        <w:t>Online Video Instructions</w:t>
      </w:r>
    </w:p>
    <w:p w:rsidR="00DD62F2" w:rsidP="00FA38FE" w:rsidRDefault="00DD62F2" w14:paraId="5C67BCCE" w14:textId="0B09C6E3">
      <w:pPr>
        <w:pStyle w:val="Heading2"/>
      </w:pPr>
      <w:r>
        <w:t>Overview</w:t>
      </w:r>
    </w:p>
    <w:p w:rsidRPr="00311C74" w:rsidR="00FA38FE" w:rsidP="00311C74" w:rsidRDefault="00311C74" w14:paraId="087E0596" w14:textId="3FC28AC9">
      <w:pPr>
        <w:spacing w:after="120"/>
        <w:rPr>
          <w:rFonts w:ascii="Times New Roman" w:hAnsi="Times New Roman"/>
          <w:iCs/>
        </w:rPr>
      </w:pPr>
      <w:r>
        <w:rPr>
          <w:rFonts w:ascii="Times New Roman" w:hAnsi="Times New Roman"/>
        </w:rPr>
        <w:t xml:space="preserve">The purpose of today’s meeting is to provide you a brief overview of FMCSA’s Beyond Compliance study and to also provide instructions for completing the associated survey. </w:t>
      </w:r>
      <w:r w:rsidRPr="004949AC" w:rsidR="00FA38FE">
        <w:rPr>
          <w:rFonts w:ascii="Times New Roman" w:hAnsi="Times New Roman"/>
        </w:rPr>
        <w:t xml:space="preserve">The purpose of </w:t>
      </w:r>
      <w:r>
        <w:rPr>
          <w:rFonts w:ascii="Times New Roman" w:hAnsi="Times New Roman"/>
        </w:rPr>
        <w:t>the Beyond Compliance</w:t>
      </w:r>
      <w:r w:rsidRPr="004949AC" w:rsidR="00FA38FE">
        <w:rPr>
          <w:rFonts w:ascii="Times New Roman" w:hAnsi="Times New Roman"/>
        </w:rPr>
        <w:t xml:space="preserve"> study is to gauge the relative importance of various motor carrier safety program elements that lead to safe operations.  </w:t>
      </w:r>
      <w:r w:rsidRPr="004949AC">
        <w:rPr>
          <w:rFonts w:ascii="Times New Roman" w:hAnsi="Times New Roman"/>
          <w:iCs/>
        </w:rPr>
        <w:t>You are being asked to take part in this research study because you were identified as a motor carrier with operations that are among the safest in the industry.</w:t>
      </w:r>
      <w:r>
        <w:rPr>
          <w:rFonts w:ascii="Times New Roman" w:hAnsi="Times New Roman"/>
          <w:iCs/>
        </w:rPr>
        <w:t xml:space="preserve"> </w:t>
      </w:r>
      <w:r w:rsidRPr="004949AC" w:rsidR="00FA38FE">
        <w:rPr>
          <w:rFonts w:ascii="Times New Roman" w:hAnsi="Times New Roman"/>
        </w:rPr>
        <w:t>This information will help FMCSA to determine those safety program tools, policies, and practices that lead to operations that go beyond compliance.</w:t>
      </w:r>
    </w:p>
    <w:p w:rsidRPr="004949AC" w:rsidR="00FA38FE" w:rsidP="00FA38FE" w:rsidRDefault="00FA38FE" w14:paraId="65A8F992" w14:textId="6770BF68">
      <w:pPr>
        <w:pStyle w:val="BodyText"/>
        <w:spacing w:after="0"/>
        <w:rPr>
          <w:rFonts w:ascii="Times New Roman" w:hAnsi="Times New Roman"/>
          <w:color w:val="FF0000"/>
        </w:rPr>
      </w:pPr>
      <w:r w:rsidRPr="004949AC">
        <w:rPr>
          <w:rFonts w:ascii="Times New Roman" w:hAnsi="Times New Roman"/>
        </w:rPr>
        <w:t>You will be asked to</w:t>
      </w:r>
      <w:r w:rsidRPr="004949AC">
        <w:rPr>
          <w:rFonts w:ascii="Times New Roman" w:hAnsi="Times New Roman"/>
          <w:color w:val="FF0000"/>
        </w:rPr>
        <w:t xml:space="preserve"> </w:t>
      </w:r>
      <w:r w:rsidRPr="004949AC">
        <w:rPr>
          <w:rFonts w:ascii="Times New Roman" w:hAnsi="Times New Roman"/>
        </w:rPr>
        <w:t>complete a survey as part of this research effort</w:t>
      </w:r>
      <w:r w:rsidR="00311C74">
        <w:rPr>
          <w:rFonts w:ascii="Times New Roman" w:hAnsi="Times New Roman"/>
        </w:rPr>
        <w:t xml:space="preserve"> and will receive a link to access the survey after this webinar</w:t>
      </w:r>
      <w:r w:rsidRPr="004949AC">
        <w:rPr>
          <w:rFonts w:ascii="Times New Roman" w:hAnsi="Times New Roman"/>
        </w:rPr>
        <w:t xml:space="preserve">.  We expect that </w:t>
      </w:r>
      <w:r w:rsidR="00311C74">
        <w:rPr>
          <w:rFonts w:ascii="Times New Roman" w:hAnsi="Times New Roman"/>
        </w:rPr>
        <w:t>it will take you</w:t>
      </w:r>
      <w:r w:rsidRPr="004949AC">
        <w:rPr>
          <w:rFonts w:ascii="Times New Roman" w:hAnsi="Times New Roman"/>
        </w:rPr>
        <w:t xml:space="preserve"> 30 minutes</w:t>
      </w:r>
      <w:r w:rsidR="00311C74">
        <w:rPr>
          <w:rFonts w:ascii="Times New Roman" w:hAnsi="Times New Roman"/>
        </w:rPr>
        <w:t xml:space="preserve"> to complete the survey</w:t>
      </w:r>
      <w:r w:rsidRPr="004949AC">
        <w:rPr>
          <w:rFonts w:ascii="Times New Roman" w:hAnsi="Times New Roman"/>
        </w:rPr>
        <w:t>. There is no risk to participating in this research. The main benefit of participation is that you are helping FMCSA to guide the development of a Beyond Compliance program which will provide incentives to motor carriers that do more than the basic requirements for transportation safety.</w:t>
      </w:r>
    </w:p>
    <w:p w:rsidR="007D3101" w:rsidP="00FA38FE" w:rsidRDefault="007D3101" w14:paraId="6009DD99" w14:textId="77777777">
      <w:pPr>
        <w:spacing w:after="120"/>
        <w:rPr>
          <w:rFonts w:ascii="Times New Roman" w:hAnsi="Times New Roman"/>
          <w:iCs/>
        </w:rPr>
      </w:pPr>
    </w:p>
    <w:p w:rsidRPr="007D3101" w:rsidR="007D3101" w:rsidP="007D3101" w:rsidRDefault="00311C74" w14:paraId="6D9D46BB" w14:textId="188C9C35">
      <w:pPr>
        <w:spacing w:after="120"/>
        <w:rPr>
          <w:rFonts w:ascii="Times New Roman" w:hAnsi="Times New Roman"/>
          <w:iCs/>
        </w:rPr>
      </w:pPr>
      <w:r>
        <w:rPr>
          <w:rFonts w:ascii="Times New Roman" w:hAnsi="Times New Roman"/>
          <w:iCs/>
        </w:rPr>
        <w:t>Next, we will go over the instructions for completing the survey</w:t>
      </w:r>
      <w:r w:rsidR="004D6D82">
        <w:rPr>
          <w:rFonts w:ascii="Times New Roman" w:hAnsi="Times New Roman"/>
          <w:iCs/>
        </w:rPr>
        <w:t xml:space="preserve"> and provide a few examples.</w:t>
      </w:r>
    </w:p>
    <w:p w:rsidR="00DD62F2" w:rsidP="00796B64" w:rsidRDefault="00DD62F2" w14:paraId="3B5D75FF" w14:textId="7D59E721">
      <w:pPr>
        <w:pStyle w:val="Heading2"/>
      </w:pPr>
      <w:r>
        <w:t>Instructions</w:t>
      </w:r>
      <w:r w:rsidR="002B6E19">
        <w:t xml:space="preserve"> for Completing the Survey</w:t>
      </w:r>
    </w:p>
    <w:p w:rsidRPr="004949AC" w:rsidR="00796B64" w:rsidP="00796B64" w:rsidRDefault="00796B64" w14:paraId="1979BF00" w14:textId="4C47F52A">
      <w:pPr>
        <w:pStyle w:val="BodyText"/>
        <w:rPr>
          <w:rFonts w:ascii="Times New Roman" w:hAnsi="Times New Roman"/>
          <w:bCs/>
        </w:rPr>
      </w:pPr>
      <w:r>
        <w:t xml:space="preserve">The survey is divided into two </w:t>
      </w:r>
      <w:r w:rsidR="004D6D82">
        <w:t xml:space="preserve">parts. The first part asks you to make a series of pairwise comparisons between potential elements of a safety program. </w:t>
      </w:r>
      <w:r w:rsidRPr="004949AC">
        <w:rPr>
          <w:rFonts w:ascii="Times New Roman" w:hAnsi="Times New Roman"/>
        </w:rPr>
        <w:t>Each question asks you to evaluate the importance of one safety program element relative to another. The purpose of these questions is to identify which safety program elements are most important for achieving safe operations. Seven safety program areas are evaluated in this survey. They are: (1) Advanced Safety Equipment, (2) Fatigue Management, (3) Driver Training, (4) Hiring Practices, (5) Data Analytics, (6) Safety Culture, and (7) Safety Incentives/ Discipline.</w:t>
      </w:r>
      <w:r w:rsidR="00F6373C">
        <w:rPr>
          <w:rFonts w:ascii="Times New Roman" w:hAnsi="Times New Roman"/>
        </w:rPr>
        <w:t xml:space="preserve"> More information on these safety program areas are provided in the survey.</w:t>
      </w:r>
    </w:p>
    <w:p w:rsidRPr="004949AC" w:rsidR="00796B64" w:rsidP="00796B64" w:rsidRDefault="00796B64" w14:paraId="6EA11559" w14:textId="7A266F1C">
      <w:pPr>
        <w:pStyle w:val="BodyText"/>
        <w:rPr>
          <w:rFonts w:ascii="Times New Roman" w:hAnsi="Times New Roman"/>
          <w:bCs/>
        </w:rPr>
      </w:pPr>
      <w:r w:rsidRPr="004949AC">
        <w:rPr>
          <w:rFonts w:ascii="Times New Roman" w:hAnsi="Times New Roman"/>
          <w:bCs/>
        </w:rPr>
        <w:t xml:space="preserve">Read each table from left to right. If Factor 1 is more important than factor 2, select a value of </w:t>
      </w:r>
      <w:r w:rsidR="00DE6AF5">
        <w:rPr>
          <w:rFonts w:ascii="Times New Roman" w:hAnsi="Times New Roman"/>
          <w:bCs/>
        </w:rPr>
        <w:t>“</w:t>
      </w:r>
      <w:proofErr w:type="gramStart"/>
      <w:r w:rsidR="00DE6AF5">
        <w:rPr>
          <w:rFonts w:ascii="Times New Roman" w:hAnsi="Times New Roman"/>
          <w:bCs/>
        </w:rPr>
        <w:t>Absolutely more</w:t>
      </w:r>
      <w:proofErr w:type="gramEnd"/>
      <w:r w:rsidR="00DE6AF5">
        <w:rPr>
          <w:rFonts w:ascii="Times New Roman" w:hAnsi="Times New Roman"/>
          <w:bCs/>
        </w:rPr>
        <w:t xml:space="preserve"> important”</w:t>
      </w:r>
      <w:r w:rsidRPr="004949AC">
        <w:rPr>
          <w:rFonts w:ascii="Times New Roman" w:hAnsi="Times New Roman"/>
          <w:bCs/>
        </w:rPr>
        <w:t xml:space="preserve">, </w:t>
      </w:r>
      <w:r w:rsidR="00DE6AF5">
        <w:rPr>
          <w:rFonts w:ascii="Times New Roman" w:hAnsi="Times New Roman"/>
          <w:bCs/>
        </w:rPr>
        <w:t>“Strongly more important”</w:t>
      </w:r>
      <w:r w:rsidRPr="004949AC">
        <w:rPr>
          <w:rFonts w:ascii="Times New Roman" w:hAnsi="Times New Roman"/>
          <w:bCs/>
        </w:rPr>
        <w:t xml:space="preserve">, </w:t>
      </w:r>
      <w:r w:rsidR="00DE6AF5">
        <w:rPr>
          <w:rFonts w:ascii="Times New Roman" w:hAnsi="Times New Roman"/>
          <w:bCs/>
        </w:rPr>
        <w:t>“More important”</w:t>
      </w:r>
      <w:r w:rsidRPr="004949AC">
        <w:rPr>
          <w:rFonts w:ascii="Times New Roman" w:hAnsi="Times New Roman"/>
          <w:bCs/>
        </w:rPr>
        <w:t xml:space="preserve">, or </w:t>
      </w:r>
      <w:r w:rsidR="00DE6AF5">
        <w:rPr>
          <w:rFonts w:ascii="Times New Roman" w:hAnsi="Times New Roman"/>
          <w:bCs/>
        </w:rPr>
        <w:t>“Slightly more important”</w:t>
      </w:r>
      <w:r w:rsidRPr="004949AC">
        <w:rPr>
          <w:rFonts w:ascii="Times New Roman" w:hAnsi="Times New Roman"/>
          <w:bCs/>
        </w:rPr>
        <w:t xml:space="preserve"> in the appropriate column on the left-hand side of the screen. If Factor 1 is less important than Factor 2, select a value of</w:t>
      </w:r>
      <w:r w:rsidR="00DE6AF5">
        <w:rPr>
          <w:rFonts w:ascii="Times New Roman" w:hAnsi="Times New Roman"/>
          <w:bCs/>
        </w:rPr>
        <w:t xml:space="preserve"> “</w:t>
      </w:r>
      <w:proofErr w:type="gramStart"/>
      <w:r w:rsidR="00DE6AF5">
        <w:rPr>
          <w:rFonts w:ascii="Times New Roman" w:hAnsi="Times New Roman"/>
          <w:bCs/>
        </w:rPr>
        <w:t>Absolutely less</w:t>
      </w:r>
      <w:proofErr w:type="gramEnd"/>
      <w:r w:rsidR="00DE6AF5">
        <w:rPr>
          <w:rFonts w:ascii="Times New Roman" w:hAnsi="Times New Roman"/>
          <w:bCs/>
        </w:rPr>
        <w:t xml:space="preserve"> important”</w:t>
      </w:r>
      <w:r w:rsidRPr="004949AC" w:rsidR="00DE6AF5">
        <w:rPr>
          <w:rFonts w:ascii="Times New Roman" w:hAnsi="Times New Roman"/>
          <w:bCs/>
        </w:rPr>
        <w:t xml:space="preserve">, </w:t>
      </w:r>
      <w:r w:rsidR="00DE6AF5">
        <w:rPr>
          <w:rFonts w:ascii="Times New Roman" w:hAnsi="Times New Roman"/>
          <w:bCs/>
        </w:rPr>
        <w:t>“Strongly less important”</w:t>
      </w:r>
      <w:r w:rsidRPr="004949AC" w:rsidR="00DE6AF5">
        <w:rPr>
          <w:rFonts w:ascii="Times New Roman" w:hAnsi="Times New Roman"/>
          <w:bCs/>
        </w:rPr>
        <w:t xml:space="preserve">, </w:t>
      </w:r>
      <w:r w:rsidR="00DE6AF5">
        <w:rPr>
          <w:rFonts w:ascii="Times New Roman" w:hAnsi="Times New Roman"/>
          <w:bCs/>
        </w:rPr>
        <w:t>“Less important”</w:t>
      </w:r>
      <w:r w:rsidRPr="004949AC" w:rsidR="00DE6AF5">
        <w:rPr>
          <w:rFonts w:ascii="Times New Roman" w:hAnsi="Times New Roman"/>
          <w:bCs/>
        </w:rPr>
        <w:t xml:space="preserve">, or </w:t>
      </w:r>
      <w:r w:rsidR="00DE6AF5">
        <w:rPr>
          <w:rFonts w:ascii="Times New Roman" w:hAnsi="Times New Roman"/>
          <w:bCs/>
        </w:rPr>
        <w:t>“Slightly less important”</w:t>
      </w:r>
      <w:r w:rsidRPr="004949AC">
        <w:rPr>
          <w:rFonts w:ascii="Times New Roman" w:hAnsi="Times New Roman"/>
          <w:bCs/>
        </w:rPr>
        <w:t xml:space="preserve"> on the right-hand side of the screen. If you consider both factors to be equally important, select a value of </w:t>
      </w:r>
      <w:r w:rsidR="00DE6AF5">
        <w:rPr>
          <w:rFonts w:ascii="Times New Roman" w:hAnsi="Times New Roman"/>
          <w:bCs/>
        </w:rPr>
        <w:t>“Equally important”</w:t>
      </w:r>
      <w:r w:rsidRPr="004949AC">
        <w:rPr>
          <w:rFonts w:ascii="Times New Roman" w:hAnsi="Times New Roman"/>
          <w:bCs/>
        </w:rPr>
        <w:t>. You may enter only one value per line.</w:t>
      </w:r>
    </w:p>
    <w:p w:rsidR="00796B64" w:rsidP="00796B64" w:rsidRDefault="00B81796" w14:paraId="34BCF9EF" w14:textId="6AEF5A5C">
      <w:pPr>
        <w:pStyle w:val="BodyText"/>
        <w:rPr>
          <w:rFonts w:ascii="Times New Roman" w:hAnsi="Times New Roman"/>
          <w:bCs/>
        </w:rPr>
      </w:pPr>
      <w:r>
        <w:rPr>
          <w:rFonts w:ascii="Times New Roman" w:hAnsi="Times New Roman"/>
          <w:bCs/>
        </w:rPr>
        <w:t xml:space="preserve">As an example, we will rate the effectiveness of Advanced Safety Equipment relative to Data Analytics. </w:t>
      </w:r>
      <w:r w:rsidR="00B26558">
        <w:rPr>
          <w:rFonts w:ascii="Times New Roman" w:hAnsi="Times New Roman"/>
          <w:bCs/>
        </w:rPr>
        <w:t xml:space="preserve">If based on your professional opinion, Advanced Safety Equipment </w:t>
      </w:r>
      <w:proofErr w:type="gramStart"/>
      <w:r w:rsidR="00B26558">
        <w:rPr>
          <w:rFonts w:ascii="Times New Roman" w:hAnsi="Times New Roman"/>
          <w:bCs/>
        </w:rPr>
        <w:t>is considered to be</w:t>
      </w:r>
      <w:proofErr w:type="gramEnd"/>
      <w:r w:rsidR="00B26558">
        <w:rPr>
          <w:rFonts w:ascii="Times New Roman" w:hAnsi="Times New Roman"/>
          <w:bCs/>
        </w:rPr>
        <w:t xml:space="preserve"> clearly a much more effective tool for improving safety than Data Analytics, you would select </w:t>
      </w:r>
      <w:r w:rsidR="00515631">
        <w:rPr>
          <w:rFonts w:ascii="Times New Roman" w:hAnsi="Times New Roman"/>
          <w:bCs/>
          <w:i/>
        </w:rPr>
        <w:t>A</w:t>
      </w:r>
      <w:r w:rsidRPr="004949AC" w:rsidR="00796B64">
        <w:rPr>
          <w:rFonts w:ascii="Times New Roman" w:hAnsi="Times New Roman"/>
          <w:bCs/>
          <w:i/>
        </w:rPr>
        <w:t>bsolutely more important</w:t>
      </w:r>
      <w:r w:rsidRPr="004949AC" w:rsidR="00796B64">
        <w:rPr>
          <w:rFonts w:ascii="Times New Roman" w:hAnsi="Times New Roman"/>
          <w:bCs/>
        </w:rPr>
        <w:t>.</w:t>
      </w:r>
      <w:r w:rsidR="001025DB">
        <w:rPr>
          <w:rFonts w:ascii="Times New Roman" w:hAnsi="Times New Roman"/>
          <w:bCs/>
        </w:rPr>
        <w:t xml:space="preserve"> Again, your answers to these questions are simply based on your professional opinion and do not require you to perform any type of analysis of your company’s data.</w:t>
      </w:r>
    </w:p>
    <w:p w:rsidR="000A141B" w:rsidP="00796B64" w:rsidRDefault="000A141B" w14:paraId="7B6A6285" w14:textId="3B52861F">
      <w:pPr>
        <w:pStyle w:val="BodyText"/>
        <w:rPr>
          <w:rFonts w:ascii="Times New Roman" w:hAnsi="Times New Roman"/>
          <w:bCs/>
        </w:rPr>
      </w:pPr>
    </w:p>
    <w:p w:rsidRPr="004949AC" w:rsidR="000A141B" w:rsidP="00796B64" w:rsidRDefault="000A141B" w14:paraId="67F02C33" w14:textId="77777777">
      <w:pPr>
        <w:pStyle w:val="BodyText"/>
        <w:rPr>
          <w:rFonts w:ascii="Times New Roman" w:hAnsi="Times New Roman"/>
          <w:bCs/>
        </w:rPr>
      </w:pPr>
    </w:p>
    <w:tbl>
      <w:tblPr>
        <w:tblStyle w:val="TableGrid"/>
        <w:tblW w:w="5000" w:type="pct"/>
        <w:tblLook w:val="04A0" w:firstRow="1" w:lastRow="0" w:firstColumn="1" w:lastColumn="0" w:noHBand="0" w:noVBand="1"/>
      </w:tblPr>
      <w:tblGrid>
        <w:gridCol w:w="1065"/>
        <w:gridCol w:w="825"/>
        <w:gridCol w:w="811"/>
        <w:gridCol w:w="811"/>
        <w:gridCol w:w="811"/>
        <w:gridCol w:w="811"/>
        <w:gridCol w:w="811"/>
        <w:gridCol w:w="811"/>
        <w:gridCol w:w="811"/>
        <w:gridCol w:w="825"/>
        <w:gridCol w:w="958"/>
      </w:tblGrid>
      <w:tr w:rsidRPr="004949AC" w:rsidR="00796B64" w:rsidTr="00796B64" w14:paraId="1B39C08F" w14:textId="77777777">
        <w:tc>
          <w:tcPr>
            <w:tcW w:w="832" w:type="dxa"/>
            <w:tcBorders>
              <w:bottom w:val="single" w:color="auto" w:sz="4" w:space="0"/>
            </w:tcBorders>
          </w:tcPr>
          <w:p w:rsidRPr="004949AC" w:rsidR="00796B64" w:rsidP="00C44962" w:rsidRDefault="00796B64" w14:paraId="50CD1061" w14:textId="77777777">
            <w:pPr>
              <w:pStyle w:val="BodyText"/>
              <w:rPr>
                <w:rFonts w:ascii="Times New Roman" w:hAnsi="Times New Roman"/>
              </w:rPr>
            </w:pPr>
            <w:r w:rsidRPr="004949AC">
              <w:rPr>
                <w:rFonts w:ascii="Times New Roman" w:hAnsi="Times New Roman"/>
                <w:noProof/>
              </w:rPr>
              <w:lastRenderedPageBreak/>
              <mc:AlternateContent>
                <mc:Choice Requires="wps">
                  <w:drawing>
                    <wp:anchor distT="0" distB="0" distL="114300" distR="114300" simplePos="0" relativeHeight="251659264" behindDoc="0" locked="0" layoutInCell="1" allowOverlap="1" wp14:editId="6F09A4C4" wp14:anchorId="2ED6FB23">
                      <wp:simplePos x="0" y="0"/>
                      <wp:positionH relativeFrom="column">
                        <wp:posOffset>433070</wp:posOffset>
                      </wp:positionH>
                      <wp:positionV relativeFrom="paragraph">
                        <wp:posOffset>327025</wp:posOffset>
                      </wp:positionV>
                      <wp:extent cx="4972050" cy="371475"/>
                      <wp:effectExtent l="0" t="114300" r="19050" b="28575"/>
                      <wp:wrapNone/>
                      <wp:docPr id="8" name="Rounded Rectangular Callout 2"/>
                      <wp:cNvGraphicFramePr/>
                      <a:graphic xmlns:a="http://schemas.openxmlformats.org/drawingml/2006/main">
                        <a:graphicData uri="http://schemas.microsoft.com/office/word/2010/wordprocessingShape">
                          <wps:wsp>
                            <wps:cNvSpPr/>
                            <wps:spPr>
                              <a:xfrm>
                                <a:off x="0" y="0"/>
                                <a:ext cx="4972050" cy="371475"/>
                              </a:xfrm>
                              <a:prstGeom prst="wedgeRoundRectCallout">
                                <a:avLst>
                                  <a:gd name="adj1" fmla="val -3792"/>
                                  <a:gd name="adj2" fmla="val -79948"/>
                                  <a:gd name="adj3" fmla="val 16667"/>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id="_x0000_t62" coordsize="21600,21600" o:spt="62" adj="1350,25920" path="m3600,qx,3600l0@8@12@24,0@9,,18000qy3600,21600l@6,21600@15@27@7,21600,18000,21600qx21600,18000l21600@9@18@30,21600@8,21600,3600qy18000,l@7,0@21@33@6,xe" w14:anchorId="6D96D686">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textboxrect="791,791,20809,20809" o:connecttype="custom" o:connectlocs="10800,0;0,10800;10800,21600;21600,10800;@34,@35"/>
                      <v:handles>
                        <v:h position="#0,#1"/>
                      </v:handles>
                    </v:shapetype>
                    <v:shape id="Rounded Rectangular Callout 2" style="position:absolute;margin-left:34.1pt;margin-top:25.75pt;width:391.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color="red" strokeweight="1.5pt" type="#_x0000_t62" adj="9981,-6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"/>
                  </w:pict>
                </mc:Fallback>
              </mc:AlternateContent>
            </w:r>
          </w:p>
        </w:tc>
        <w:tc>
          <w:tcPr>
            <w:tcW w:w="7685" w:type="dxa"/>
            <w:gridSpan w:val="9"/>
            <w:tcBorders>
              <w:bottom w:val="single" w:color="auto" w:sz="4" w:space="0"/>
            </w:tcBorders>
          </w:tcPr>
          <w:p w:rsidRPr="004949AC" w:rsidR="00796B64" w:rsidP="00C44962" w:rsidRDefault="00515631" w14:paraId="65FA28CF" w14:textId="271A450B">
            <w:pPr>
              <w:pStyle w:val="BodyText"/>
              <w:jc w:val="center"/>
              <w:rPr>
                <w:rFonts w:ascii="Times New Roman" w:hAnsi="Times New Roman"/>
                <w:b/>
              </w:rPr>
            </w:pPr>
            <w:r w:rsidRPr="00C70484">
              <w:rPr>
                <w:rFonts w:ascii="Times New Roman" w:hAnsi="Times New Roman"/>
                <w:b/>
                <w:sz w:val="20"/>
                <w:szCs w:val="20"/>
              </w:rPr>
              <w:t>Advanced Safety Equipment</w:t>
            </w:r>
            <w:r w:rsidRPr="00C70484" w:rsidR="00796B64">
              <w:rPr>
                <w:rFonts w:ascii="Times New Roman" w:hAnsi="Times New Roman"/>
                <w:b/>
                <w:sz w:val="20"/>
                <w:szCs w:val="20"/>
              </w:rPr>
              <w:t xml:space="preserve"> is               …                 than </w:t>
            </w:r>
            <w:r w:rsidRPr="00C70484">
              <w:rPr>
                <w:rFonts w:ascii="Times New Roman" w:hAnsi="Times New Roman"/>
                <w:b/>
                <w:sz w:val="20"/>
                <w:szCs w:val="20"/>
              </w:rPr>
              <w:t>Data Analytics</w:t>
            </w:r>
            <w:r w:rsidRPr="004949AC" w:rsidR="00796B64">
              <w:rPr>
                <w:rFonts w:ascii="Times New Roman" w:hAnsi="Times New Roman"/>
                <w:b/>
              </w:rPr>
              <w:t>.</w:t>
            </w:r>
          </w:p>
        </w:tc>
        <w:tc>
          <w:tcPr>
            <w:tcW w:w="833" w:type="dxa"/>
            <w:tcBorders>
              <w:bottom w:val="single" w:color="auto" w:sz="4" w:space="0"/>
            </w:tcBorders>
          </w:tcPr>
          <w:p w:rsidRPr="004949AC" w:rsidR="00796B64" w:rsidP="00C44962" w:rsidRDefault="00796B64" w14:paraId="48FC89A8" w14:textId="77777777">
            <w:pPr>
              <w:pStyle w:val="BodyText"/>
              <w:rPr>
                <w:rFonts w:ascii="Times New Roman" w:hAnsi="Times New Roman"/>
              </w:rPr>
            </w:pPr>
          </w:p>
        </w:tc>
      </w:tr>
      <w:tr w:rsidRPr="004949AC" w:rsidR="00C70484" w:rsidTr="00796B64" w14:paraId="69B8D8EA" w14:textId="77777777">
        <w:trPr>
          <w:trHeight w:val="215"/>
        </w:trPr>
        <w:tc>
          <w:tcPr>
            <w:tcW w:w="832" w:type="dxa"/>
            <w:tcBorders>
              <w:top w:val="nil"/>
              <w:left w:val="single" w:color="auto" w:sz="4" w:space="0"/>
              <w:bottom w:val="single" w:color="auto" w:sz="4" w:space="0"/>
              <w:right w:val="single" w:color="auto" w:sz="4" w:space="0"/>
            </w:tcBorders>
          </w:tcPr>
          <w:p w:rsidRPr="004949AC" w:rsidR="00796B64" w:rsidP="00C44962" w:rsidRDefault="00796B64" w14:paraId="43F8D4AB" w14:textId="77777777">
            <w:pPr>
              <w:pStyle w:val="BodyText"/>
              <w:rPr>
                <w:rFonts w:ascii="Times New Roman" w:hAnsi="Times New Roman"/>
              </w:rPr>
            </w:pPr>
          </w:p>
        </w:tc>
        <w:tc>
          <w:tcPr>
            <w:tcW w:w="858" w:type="dxa"/>
            <w:tcBorders>
              <w:top w:val="nil"/>
              <w:left w:val="single" w:color="auto" w:sz="4" w:space="0"/>
              <w:bottom w:val="single" w:color="auto" w:sz="4" w:space="0"/>
              <w:right w:val="nil"/>
            </w:tcBorders>
            <w:vAlign w:val="bottom"/>
          </w:tcPr>
          <w:p w:rsidRPr="004949AC" w:rsidR="00796B64" w:rsidP="00C44962" w:rsidRDefault="00796B64" w14:paraId="3C037797" w14:textId="77777777">
            <w:pPr>
              <w:jc w:val="center"/>
              <w:rPr>
                <w:rFonts w:ascii="Times New Roman" w:hAnsi="Times New Roman"/>
                <w:b/>
                <w:bCs/>
                <w:i/>
                <w:iCs/>
                <w:color w:val="000000"/>
                <w:sz w:val="14"/>
                <w:szCs w:val="14"/>
              </w:rPr>
            </w:pPr>
            <w:r w:rsidRPr="004949AC">
              <w:rPr>
                <w:rFonts w:ascii="Times New Roman" w:hAnsi="Times New Roman"/>
                <w:b/>
                <w:bCs/>
                <w:i/>
                <w:iCs/>
                <w:color w:val="000000"/>
                <w:sz w:val="14"/>
                <w:szCs w:val="14"/>
              </w:rPr>
              <w:t>(</w:t>
            </w:r>
            <w:proofErr w:type="gramStart"/>
            <w:r w:rsidRPr="004949AC">
              <w:rPr>
                <w:rFonts w:ascii="Times New Roman" w:hAnsi="Times New Roman"/>
                <w:b/>
                <w:bCs/>
                <w:i/>
                <w:iCs/>
                <w:color w:val="000000"/>
                <w:sz w:val="14"/>
                <w:szCs w:val="14"/>
              </w:rPr>
              <w:t>absolutely more</w:t>
            </w:r>
            <w:proofErr w:type="gramEnd"/>
            <w:r w:rsidRPr="004949AC">
              <w:rPr>
                <w:rFonts w:ascii="Times New Roman" w:hAnsi="Times New Roman"/>
                <w:b/>
                <w:bCs/>
                <w:i/>
                <w:iCs/>
                <w:color w:val="000000"/>
                <w:sz w:val="14"/>
                <w:szCs w:val="14"/>
              </w:rPr>
              <w:t xml:space="preserve"> important)</w:t>
            </w:r>
          </w:p>
        </w:tc>
        <w:tc>
          <w:tcPr>
            <w:tcW w:w="853" w:type="dxa"/>
            <w:tcBorders>
              <w:top w:val="nil"/>
              <w:left w:val="nil"/>
              <w:bottom w:val="single" w:color="auto" w:sz="4" w:space="0"/>
              <w:right w:val="nil"/>
            </w:tcBorders>
            <w:vAlign w:val="bottom"/>
          </w:tcPr>
          <w:p w:rsidRPr="004949AC" w:rsidR="00796B64" w:rsidP="00C44962" w:rsidRDefault="00796B64" w14:paraId="6C0FC308" w14:textId="77777777">
            <w:pPr>
              <w:jc w:val="center"/>
              <w:rPr>
                <w:rFonts w:ascii="Times New Roman" w:hAnsi="Times New Roman"/>
                <w:b/>
                <w:bCs/>
                <w:i/>
                <w:iCs/>
                <w:color w:val="000000"/>
                <w:sz w:val="14"/>
                <w:szCs w:val="14"/>
              </w:rPr>
            </w:pPr>
            <w:r w:rsidRPr="004949AC">
              <w:rPr>
                <w:rFonts w:ascii="Times New Roman" w:hAnsi="Times New Roman"/>
                <w:b/>
                <w:bCs/>
                <w:i/>
                <w:iCs/>
                <w:color w:val="000000"/>
                <w:sz w:val="14"/>
                <w:szCs w:val="14"/>
              </w:rPr>
              <w:t>(strongly more important)</w:t>
            </w:r>
          </w:p>
        </w:tc>
        <w:tc>
          <w:tcPr>
            <w:tcW w:w="852" w:type="dxa"/>
            <w:tcBorders>
              <w:top w:val="nil"/>
              <w:left w:val="nil"/>
              <w:bottom w:val="single" w:color="auto" w:sz="4" w:space="0"/>
              <w:right w:val="nil"/>
            </w:tcBorders>
            <w:vAlign w:val="bottom"/>
          </w:tcPr>
          <w:p w:rsidRPr="004949AC" w:rsidR="00796B64" w:rsidP="00C44962" w:rsidRDefault="00796B64" w14:paraId="33B9E851" w14:textId="77777777">
            <w:pPr>
              <w:jc w:val="center"/>
              <w:rPr>
                <w:rFonts w:ascii="Times New Roman" w:hAnsi="Times New Roman"/>
                <w:b/>
                <w:bCs/>
                <w:i/>
                <w:iCs/>
                <w:color w:val="000000"/>
                <w:sz w:val="14"/>
                <w:szCs w:val="14"/>
              </w:rPr>
            </w:pPr>
            <w:r w:rsidRPr="004949AC">
              <w:rPr>
                <w:rFonts w:ascii="Times New Roman" w:hAnsi="Times New Roman"/>
                <w:b/>
                <w:bCs/>
                <w:i/>
                <w:iCs/>
                <w:color w:val="000000"/>
                <w:sz w:val="14"/>
                <w:szCs w:val="14"/>
              </w:rPr>
              <w:t>(more important)</w:t>
            </w:r>
          </w:p>
        </w:tc>
        <w:tc>
          <w:tcPr>
            <w:tcW w:w="852" w:type="dxa"/>
            <w:tcBorders>
              <w:top w:val="nil"/>
              <w:left w:val="nil"/>
              <w:bottom w:val="single" w:color="auto" w:sz="4" w:space="0"/>
              <w:right w:val="nil"/>
            </w:tcBorders>
            <w:vAlign w:val="bottom"/>
          </w:tcPr>
          <w:p w:rsidRPr="004949AC" w:rsidR="00796B64" w:rsidP="00C44962" w:rsidRDefault="00796B64" w14:paraId="7E12402B" w14:textId="77777777">
            <w:pPr>
              <w:jc w:val="center"/>
              <w:rPr>
                <w:rFonts w:ascii="Times New Roman" w:hAnsi="Times New Roman"/>
                <w:b/>
                <w:bCs/>
                <w:i/>
                <w:iCs/>
                <w:color w:val="000000"/>
                <w:sz w:val="14"/>
                <w:szCs w:val="14"/>
              </w:rPr>
            </w:pPr>
            <w:r w:rsidRPr="004949AC">
              <w:rPr>
                <w:rFonts w:ascii="Times New Roman" w:hAnsi="Times New Roman"/>
                <w:b/>
                <w:bCs/>
                <w:i/>
                <w:iCs/>
                <w:color w:val="000000"/>
                <w:sz w:val="14"/>
                <w:szCs w:val="14"/>
              </w:rPr>
              <w:t>(slightly more important)</w:t>
            </w:r>
          </w:p>
        </w:tc>
        <w:tc>
          <w:tcPr>
            <w:tcW w:w="853" w:type="dxa"/>
            <w:tcBorders>
              <w:top w:val="nil"/>
              <w:left w:val="nil"/>
              <w:bottom w:val="single" w:color="auto" w:sz="4" w:space="0"/>
              <w:right w:val="nil"/>
            </w:tcBorders>
            <w:vAlign w:val="bottom"/>
          </w:tcPr>
          <w:p w:rsidRPr="004949AC" w:rsidR="00796B64" w:rsidP="00C44962" w:rsidRDefault="00796B64" w14:paraId="1D349C2C" w14:textId="77777777">
            <w:pPr>
              <w:jc w:val="center"/>
              <w:rPr>
                <w:rFonts w:ascii="Times New Roman" w:hAnsi="Times New Roman"/>
                <w:b/>
                <w:bCs/>
                <w:i/>
                <w:iCs/>
                <w:color w:val="000000"/>
                <w:sz w:val="14"/>
                <w:szCs w:val="14"/>
              </w:rPr>
            </w:pPr>
            <w:r w:rsidRPr="004949AC">
              <w:rPr>
                <w:rFonts w:ascii="Times New Roman" w:hAnsi="Times New Roman"/>
                <w:b/>
                <w:bCs/>
                <w:i/>
                <w:iCs/>
                <w:color w:val="000000"/>
                <w:sz w:val="14"/>
                <w:szCs w:val="14"/>
              </w:rPr>
              <w:t>(equally important)</w:t>
            </w:r>
          </w:p>
        </w:tc>
        <w:tc>
          <w:tcPr>
            <w:tcW w:w="853" w:type="dxa"/>
            <w:tcBorders>
              <w:top w:val="nil"/>
              <w:left w:val="nil"/>
              <w:bottom w:val="single" w:color="auto" w:sz="4" w:space="0"/>
              <w:right w:val="nil"/>
            </w:tcBorders>
            <w:vAlign w:val="bottom"/>
          </w:tcPr>
          <w:p w:rsidRPr="004949AC" w:rsidR="00796B64" w:rsidP="00C44962" w:rsidRDefault="00796B64" w14:paraId="065802DA" w14:textId="77777777">
            <w:pPr>
              <w:jc w:val="center"/>
              <w:rPr>
                <w:rFonts w:ascii="Times New Roman" w:hAnsi="Times New Roman"/>
                <w:b/>
                <w:bCs/>
                <w:i/>
                <w:iCs/>
                <w:color w:val="000000"/>
                <w:sz w:val="14"/>
                <w:szCs w:val="14"/>
              </w:rPr>
            </w:pPr>
            <w:r w:rsidRPr="004949AC">
              <w:rPr>
                <w:rFonts w:ascii="Times New Roman" w:hAnsi="Times New Roman"/>
                <w:b/>
                <w:bCs/>
                <w:i/>
                <w:iCs/>
                <w:color w:val="000000"/>
                <w:sz w:val="14"/>
                <w:szCs w:val="14"/>
              </w:rPr>
              <w:t>(slightly less important)</w:t>
            </w:r>
          </w:p>
        </w:tc>
        <w:tc>
          <w:tcPr>
            <w:tcW w:w="853" w:type="dxa"/>
            <w:tcBorders>
              <w:top w:val="nil"/>
              <w:left w:val="nil"/>
              <w:bottom w:val="single" w:color="auto" w:sz="4" w:space="0"/>
              <w:right w:val="nil"/>
            </w:tcBorders>
            <w:vAlign w:val="bottom"/>
          </w:tcPr>
          <w:p w:rsidRPr="004949AC" w:rsidR="00796B64" w:rsidP="00C44962" w:rsidRDefault="00796B64" w14:paraId="797227E1" w14:textId="77777777">
            <w:pPr>
              <w:jc w:val="center"/>
              <w:rPr>
                <w:rFonts w:ascii="Times New Roman" w:hAnsi="Times New Roman"/>
                <w:b/>
                <w:bCs/>
                <w:i/>
                <w:iCs/>
                <w:color w:val="000000"/>
                <w:sz w:val="14"/>
                <w:szCs w:val="14"/>
              </w:rPr>
            </w:pPr>
            <w:r w:rsidRPr="004949AC">
              <w:rPr>
                <w:rFonts w:ascii="Times New Roman" w:hAnsi="Times New Roman"/>
                <w:b/>
                <w:bCs/>
                <w:i/>
                <w:iCs/>
                <w:color w:val="000000"/>
                <w:sz w:val="14"/>
                <w:szCs w:val="14"/>
              </w:rPr>
              <w:t>(less important)</w:t>
            </w:r>
          </w:p>
        </w:tc>
        <w:tc>
          <w:tcPr>
            <w:tcW w:w="853" w:type="dxa"/>
            <w:tcBorders>
              <w:top w:val="nil"/>
              <w:left w:val="nil"/>
              <w:bottom w:val="single" w:color="auto" w:sz="4" w:space="0"/>
              <w:right w:val="nil"/>
            </w:tcBorders>
            <w:vAlign w:val="bottom"/>
          </w:tcPr>
          <w:p w:rsidRPr="004949AC" w:rsidR="00796B64" w:rsidP="00C44962" w:rsidRDefault="00796B64" w14:paraId="2B70D5E8" w14:textId="77777777">
            <w:pPr>
              <w:jc w:val="center"/>
              <w:rPr>
                <w:rFonts w:ascii="Times New Roman" w:hAnsi="Times New Roman"/>
                <w:b/>
                <w:bCs/>
                <w:i/>
                <w:iCs/>
                <w:color w:val="000000"/>
                <w:sz w:val="14"/>
                <w:szCs w:val="14"/>
              </w:rPr>
            </w:pPr>
            <w:r w:rsidRPr="004949AC">
              <w:rPr>
                <w:rFonts w:ascii="Times New Roman" w:hAnsi="Times New Roman"/>
                <w:b/>
                <w:bCs/>
                <w:i/>
                <w:iCs/>
                <w:color w:val="000000"/>
                <w:sz w:val="14"/>
                <w:szCs w:val="14"/>
              </w:rPr>
              <w:t>(strongly less important)</w:t>
            </w:r>
          </w:p>
        </w:tc>
        <w:tc>
          <w:tcPr>
            <w:tcW w:w="858" w:type="dxa"/>
            <w:tcBorders>
              <w:top w:val="nil"/>
              <w:left w:val="nil"/>
              <w:bottom w:val="single" w:color="auto" w:sz="4" w:space="0"/>
              <w:right w:val="single" w:color="auto" w:sz="4" w:space="0"/>
            </w:tcBorders>
            <w:vAlign w:val="bottom"/>
          </w:tcPr>
          <w:p w:rsidRPr="004949AC" w:rsidR="00796B64" w:rsidP="00C44962" w:rsidRDefault="00796B64" w14:paraId="22CADFCD" w14:textId="77777777">
            <w:pPr>
              <w:jc w:val="center"/>
              <w:rPr>
                <w:rFonts w:ascii="Times New Roman" w:hAnsi="Times New Roman"/>
                <w:b/>
                <w:bCs/>
                <w:i/>
                <w:iCs/>
                <w:color w:val="000000"/>
                <w:sz w:val="14"/>
                <w:szCs w:val="14"/>
              </w:rPr>
            </w:pPr>
            <w:r w:rsidRPr="004949AC">
              <w:rPr>
                <w:rFonts w:ascii="Times New Roman" w:hAnsi="Times New Roman"/>
                <w:b/>
                <w:bCs/>
                <w:i/>
                <w:iCs/>
                <w:color w:val="000000"/>
                <w:sz w:val="14"/>
                <w:szCs w:val="14"/>
              </w:rPr>
              <w:t>(</w:t>
            </w:r>
            <w:proofErr w:type="gramStart"/>
            <w:r w:rsidRPr="004949AC">
              <w:rPr>
                <w:rFonts w:ascii="Times New Roman" w:hAnsi="Times New Roman"/>
                <w:b/>
                <w:bCs/>
                <w:i/>
                <w:iCs/>
                <w:color w:val="000000"/>
                <w:sz w:val="14"/>
                <w:szCs w:val="14"/>
              </w:rPr>
              <w:t>absolutely less</w:t>
            </w:r>
            <w:proofErr w:type="gramEnd"/>
            <w:r w:rsidRPr="004949AC">
              <w:rPr>
                <w:rFonts w:ascii="Times New Roman" w:hAnsi="Times New Roman"/>
                <w:b/>
                <w:bCs/>
                <w:i/>
                <w:iCs/>
                <w:color w:val="000000"/>
                <w:sz w:val="14"/>
                <w:szCs w:val="14"/>
              </w:rPr>
              <w:t xml:space="preserve"> important)</w:t>
            </w:r>
          </w:p>
        </w:tc>
        <w:tc>
          <w:tcPr>
            <w:tcW w:w="833" w:type="dxa"/>
            <w:tcBorders>
              <w:top w:val="nil"/>
              <w:left w:val="single" w:color="auto" w:sz="4" w:space="0"/>
              <w:bottom w:val="single" w:color="auto" w:sz="4" w:space="0"/>
              <w:right w:val="single" w:color="auto" w:sz="4" w:space="0"/>
            </w:tcBorders>
          </w:tcPr>
          <w:p w:rsidRPr="004949AC" w:rsidR="00796B64" w:rsidP="00C44962" w:rsidRDefault="00796B64" w14:paraId="5BF88FFE" w14:textId="77777777">
            <w:pPr>
              <w:pStyle w:val="BodyText"/>
              <w:rPr>
                <w:rFonts w:ascii="Times New Roman" w:hAnsi="Times New Roman"/>
              </w:rPr>
            </w:pPr>
          </w:p>
        </w:tc>
      </w:tr>
      <w:tr w:rsidRPr="004949AC" w:rsidR="00C70484" w:rsidTr="00796B64" w14:paraId="79D502F1" w14:textId="77777777">
        <w:trPr>
          <w:trHeight w:val="692"/>
        </w:trPr>
        <w:tc>
          <w:tcPr>
            <w:tcW w:w="832" w:type="dxa"/>
            <w:tcBorders>
              <w:top w:val="single" w:color="auto" w:sz="4" w:space="0"/>
            </w:tcBorders>
            <w:vAlign w:val="bottom"/>
          </w:tcPr>
          <w:p w:rsidRPr="00C70484" w:rsidR="00796B64" w:rsidP="00C44962" w:rsidRDefault="00C70484" w14:paraId="73667A72" w14:textId="05330D01">
            <w:pPr>
              <w:pStyle w:val="BodyText"/>
              <w:jc w:val="center"/>
              <w:rPr>
                <w:rFonts w:ascii="Times New Roman" w:hAnsi="Times New Roman"/>
                <w:sz w:val="20"/>
                <w:szCs w:val="20"/>
              </w:rPr>
            </w:pPr>
            <w:r w:rsidRPr="00C70484">
              <w:rPr>
                <w:rFonts w:ascii="Times New Roman" w:hAnsi="Times New Roman"/>
                <w:sz w:val="20"/>
                <w:szCs w:val="20"/>
              </w:rPr>
              <w:t>Advanced Safety Equipment</w:t>
            </w:r>
          </w:p>
        </w:tc>
        <w:tc>
          <w:tcPr>
            <w:tcW w:w="858" w:type="dxa"/>
            <w:tcBorders>
              <w:top w:val="single" w:color="auto" w:sz="4" w:space="0"/>
            </w:tcBorders>
            <w:vAlign w:val="bottom"/>
          </w:tcPr>
          <w:p w:rsidRPr="004949AC" w:rsidR="00796B64" w:rsidP="00C44962" w:rsidRDefault="00796B64" w14:paraId="3D7467C4" w14:textId="77777777">
            <w:pPr>
              <w:pStyle w:val="BodyText"/>
              <w:jc w:val="center"/>
              <w:rPr>
                <w:rFonts w:ascii="Times New Roman" w:hAnsi="Times New Roman"/>
              </w:rPr>
            </w:pPr>
            <w:r w:rsidRPr="004949AC">
              <w:rPr>
                <w:rFonts w:ascii="Times New Roman" w:hAnsi="Times New Roman"/>
              </w:rPr>
              <w:sym w:font="Wingdings 2" w:char="F051"/>
            </w:r>
          </w:p>
        </w:tc>
        <w:tc>
          <w:tcPr>
            <w:tcW w:w="853" w:type="dxa"/>
            <w:tcBorders>
              <w:top w:val="single" w:color="auto" w:sz="4" w:space="0"/>
            </w:tcBorders>
            <w:vAlign w:val="bottom"/>
          </w:tcPr>
          <w:p w:rsidRPr="004949AC" w:rsidR="00796B64" w:rsidP="00C44962" w:rsidRDefault="00796B64" w14:paraId="35BDA9E3" w14:textId="77777777">
            <w:pPr>
              <w:pStyle w:val="BodyText"/>
              <w:jc w:val="center"/>
              <w:rPr>
                <w:rFonts w:ascii="Times New Roman" w:hAnsi="Times New Roman"/>
              </w:rPr>
            </w:pPr>
            <w:r w:rsidRPr="004949AC">
              <w:rPr>
                <w:rFonts w:ascii="Times New Roman" w:hAnsi="Times New Roman"/>
              </w:rPr>
              <w:sym w:font="Wingdings 2" w:char="F0A3"/>
            </w:r>
          </w:p>
        </w:tc>
        <w:tc>
          <w:tcPr>
            <w:tcW w:w="852" w:type="dxa"/>
            <w:tcBorders>
              <w:top w:val="single" w:color="auto" w:sz="4" w:space="0"/>
            </w:tcBorders>
            <w:vAlign w:val="bottom"/>
          </w:tcPr>
          <w:p w:rsidRPr="004949AC" w:rsidR="00796B64" w:rsidP="00C44962" w:rsidRDefault="00796B64" w14:paraId="482B4195" w14:textId="77777777">
            <w:pPr>
              <w:pStyle w:val="BodyText"/>
              <w:jc w:val="center"/>
              <w:rPr>
                <w:rFonts w:ascii="Times New Roman" w:hAnsi="Times New Roman"/>
              </w:rPr>
            </w:pPr>
            <w:r w:rsidRPr="004949AC">
              <w:rPr>
                <w:rFonts w:ascii="Times New Roman" w:hAnsi="Times New Roman"/>
              </w:rPr>
              <w:sym w:font="Wingdings 2" w:char="F0A3"/>
            </w:r>
          </w:p>
        </w:tc>
        <w:tc>
          <w:tcPr>
            <w:tcW w:w="852" w:type="dxa"/>
            <w:tcBorders>
              <w:top w:val="single" w:color="auto" w:sz="4" w:space="0"/>
            </w:tcBorders>
            <w:vAlign w:val="bottom"/>
          </w:tcPr>
          <w:p w:rsidRPr="004949AC" w:rsidR="00796B64" w:rsidP="00C44962" w:rsidRDefault="00796B64" w14:paraId="3E7FBBFC" w14:textId="77777777">
            <w:pPr>
              <w:pStyle w:val="BodyText"/>
              <w:jc w:val="center"/>
              <w:rPr>
                <w:rFonts w:ascii="Times New Roman" w:hAnsi="Times New Roman"/>
              </w:rPr>
            </w:pPr>
            <w:r w:rsidRPr="004949AC">
              <w:rPr>
                <w:rFonts w:ascii="Times New Roman" w:hAnsi="Times New Roman"/>
              </w:rPr>
              <w:sym w:font="Wingdings 2" w:char="F0A3"/>
            </w:r>
          </w:p>
        </w:tc>
        <w:tc>
          <w:tcPr>
            <w:tcW w:w="853" w:type="dxa"/>
            <w:tcBorders>
              <w:top w:val="single" w:color="auto" w:sz="4" w:space="0"/>
            </w:tcBorders>
            <w:vAlign w:val="bottom"/>
          </w:tcPr>
          <w:p w:rsidRPr="004949AC" w:rsidR="00796B64" w:rsidP="00C44962" w:rsidRDefault="00796B64" w14:paraId="455B77A1" w14:textId="77777777">
            <w:pPr>
              <w:pStyle w:val="BodyText"/>
              <w:jc w:val="center"/>
              <w:rPr>
                <w:rFonts w:ascii="Times New Roman" w:hAnsi="Times New Roman"/>
              </w:rPr>
            </w:pPr>
            <w:r w:rsidRPr="004949AC">
              <w:rPr>
                <w:rFonts w:ascii="Times New Roman" w:hAnsi="Times New Roman"/>
              </w:rPr>
              <w:sym w:font="Wingdings 2" w:char="F0A3"/>
            </w:r>
          </w:p>
        </w:tc>
        <w:tc>
          <w:tcPr>
            <w:tcW w:w="853" w:type="dxa"/>
            <w:tcBorders>
              <w:top w:val="single" w:color="auto" w:sz="4" w:space="0"/>
            </w:tcBorders>
            <w:vAlign w:val="bottom"/>
          </w:tcPr>
          <w:p w:rsidRPr="004949AC" w:rsidR="00796B64" w:rsidP="00C44962" w:rsidRDefault="00796B64" w14:paraId="61094775" w14:textId="77777777">
            <w:pPr>
              <w:pStyle w:val="BodyText"/>
              <w:jc w:val="center"/>
              <w:rPr>
                <w:rFonts w:ascii="Times New Roman" w:hAnsi="Times New Roman"/>
              </w:rPr>
            </w:pPr>
            <w:r w:rsidRPr="004949AC">
              <w:rPr>
                <w:rFonts w:ascii="Times New Roman" w:hAnsi="Times New Roman"/>
              </w:rPr>
              <w:sym w:font="Wingdings 2" w:char="F0A3"/>
            </w:r>
          </w:p>
        </w:tc>
        <w:tc>
          <w:tcPr>
            <w:tcW w:w="853" w:type="dxa"/>
            <w:tcBorders>
              <w:top w:val="single" w:color="auto" w:sz="4" w:space="0"/>
            </w:tcBorders>
            <w:vAlign w:val="bottom"/>
          </w:tcPr>
          <w:p w:rsidRPr="004949AC" w:rsidR="00796B64" w:rsidP="00C44962" w:rsidRDefault="00796B64" w14:paraId="3C0749E4" w14:textId="77777777">
            <w:pPr>
              <w:pStyle w:val="BodyText"/>
              <w:jc w:val="center"/>
              <w:rPr>
                <w:rFonts w:ascii="Times New Roman" w:hAnsi="Times New Roman"/>
              </w:rPr>
            </w:pPr>
            <w:r w:rsidRPr="004949AC">
              <w:rPr>
                <w:rFonts w:ascii="Times New Roman" w:hAnsi="Times New Roman"/>
              </w:rPr>
              <w:sym w:font="Wingdings 2" w:char="F0A3"/>
            </w:r>
          </w:p>
        </w:tc>
        <w:tc>
          <w:tcPr>
            <w:tcW w:w="853" w:type="dxa"/>
            <w:tcBorders>
              <w:top w:val="single" w:color="auto" w:sz="4" w:space="0"/>
            </w:tcBorders>
            <w:vAlign w:val="bottom"/>
          </w:tcPr>
          <w:p w:rsidRPr="004949AC" w:rsidR="00796B64" w:rsidP="00C44962" w:rsidRDefault="00796B64" w14:paraId="7EAA895D" w14:textId="77777777">
            <w:pPr>
              <w:pStyle w:val="BodyText"/>
              <w:jc w:val="center"/>
              <w:rPr>
                <w:rFonts w:ascii="Times New Roman" w:hAnsi="Times New Roman"/>
              </w:rPr>
            </w:pPr>
            <w:r w:rsidRPr="004949AC">
              <w:rPr>
                <w:rFonts w:ascii="Times New Roman" w:hAnsi="Times New Roman"/>
              </w:rPr>
              <w:sym w:font="Wingdings 2" w:char="F0A3"/>
            </w:r>
          </w:p>
        </w:tc>
        <w:tc>
          <w:tcPr>
            <w:tcW w:w="858" w:type="dxa"/>
            <w:tcBorders>
              <w:top w:val="single" w:color="auto" w:sz="4" w:space="0"/>
            </w:tcBorders>
            <w:vAlign w:val="bottom"/>
          </w:tcPr>
          <w:p w:rsidRPr="004949AC" w:rsidR="00796B64" w:rsidP="00C44962" w:rsidRDefault="00796B64" w14:paraId="6F64B74F" w14:textId="77777777">
            <w:pPr>
              <w:pStyle w:val="BodyText"/>
              <w:jc w:val="center"/>
              <w:rPr>
                <w:rFonts w:ascii="Times New Roman" w:hAnsi="Times New Roman"/>
              </w:rPr>
            </w:pPr>
            <w:r w:rsidRPr="004949AC">
              <w:rPr>
                <w:rFonts w:ascii="Times New Roman" w:hAnsi="Times New Roman"/>
              </w:rPr>
              <w:sym w:font="Wingdings 2" w:char="F0A3"/>
            </w:r>
          </w:p>
        </w:tc>
        <w:tc>
          <w:tcPr>
            <w:tcW w:w="833" w:type="dxa"/>
            <w:tcBorders>
              <w:top w:val="single" w:color="auto" w:sz="4" w:space="0"/>
            </w:tcBorders>
            <w:vAlign w:val="bottom"/>
          </w:tcPr>
          <w:p w:rsidRPr="00C70484" w:rsidR="00796B64" w:rsidP="00C44962" w:rsidRDefault="00C70484" w14:paraId="05D93BBA" w14:textId="610596B3">
            <w:pPr>
              <w:pStyle w:val="BodyText"/>
              <w:jc w:val="center"/>
              <w:rPr>
                <w:rFonts w:ascii="Times New Roman" w:hAnsi="Times New Roman"/>
                <w:sz w:val="20"/>
                <w:szCs w:val="20"/>
              </w:rPr>
            </w:pPr>
            <w:r w:rsidRPr="00C70484">
              <w:rPr>
                <w:rFonts w:ascii="Times New Roman" w:hAnsi="Times New Roman"/>
                <w:sz w:val="20"/>
                <w:szCs w:val="20"/>
              </w:rPr>
              <w:t>Data Analytics</w:t>
            </w:r>
          </w:p>
        </w:tc>
      </w:tr>
    </w:tbl>
    <w:p w:rsidRPr="004949AC" w:rsidR="00796B64" w:rsidP="00796B64" w:rsidRDefault="00796B64" w14:paraId="7BDED67A" w14:textId="77777777">
      <w:pPr>
        <w:pStyle w:val="BodyText"/>
        <w:rPr>
          <w:rFonts w:ascii="Times New Roman" w:hAnsi="Times New Roman"/>
        </w:rPr>
      </w:pPr>
      <w:r w:rsidRPr="004949AC">
        <w:rPr>
          <w:rFonts w:ascii="Times New Roman" w:hAnsi="Times New Roman"/>
        </w:rPr>
        <w:t xml:space="preserve">  </w:t>
      </w:r>
    </w:p>
    <w:p w:rsidR="00796B64" w:rsidP="00796B64" w:rsidRDefault="000C760D" w14:paraId="49994F08" w14:textId="65AFF93E">
      <w:pPr>
        <w:pStyle w:val="BodyText"/>
      </w:pPr>
      <w:r>
        <w:t>These quick-response, pairwise comparisons of potential safety program elements comprise the bulk of the survey.</w:t>
      </w:r>
    </w:p>
    <w:p w:rsidR="00533694" w:rsidP="00533694" w:rsidRDefault="007D20EB" w14:paraId="3196EAED" w14:textId="10AFE6CB">
      <w:pPr>
        <w:pStyle w:val="BodyText"/>
        <w:rPr>
          <w:rFonts w:ascii="Times New Roman" w:hAnsi="Times New Roman"/>
          <w:bCs/>
        </w:rPr>
      </w:pPr>
      <w:r>
        <w:t>The second part of the</w:t>
      </w:r>
      <w:r w:rsidR="00533694">
        <w:rPr>
          <w:rFonts w:ascii="Times New Roman" w:hAnsi="Times New Roman"/>
          <w:bCs/>
        </w:rPr>
        <w:t xml:space="preserve"> </w:t>
      </w:r>
      <w:r w:rsidRPr="004949AC" w:rsidR="00533694">
        <w:rPr>
          <w:rFonts w:ascii="Times New Roman" w:hAnsi="Times New Roman"/>
          <w:bCs/>
        </w:rPr>
        <w:t>survey</w:t>
      </w:r>
      <w:r w:rsidR="00533694">
        <w:rPr>
          <w:rFonts w:ascii="Times New Roman" w:hAnsi="Times New Roman"/>
          <w:bCs/>
        </w:rPr>
        <w:t xml:space="preserve"> asks </w:t>
      </w:r>
      <w:r w:rsidR="000C4DAB">
        <w:rPr>
          <w:rFonts w:ascii="Times New Roman" w:hAnsi="Times New Roman"/>
          <w:bCs/>
        </w:rPr>
        <w:t xml:space="preserve">that </w:t>
      </w:r>
      <w:r w:rsidR="00533694">
        <w:rPr>
          <w:rFonts w:ascii="Times New Roman" w:hAnsi="Times New Roman"/>
          <w:bCs/>
        </w:rPr>
        <w:t xml:space="preserve">you </w:t>
      </w:r>
      <w:r>
        <w:rPr>
          <w:rFonts w:ascii="Times New Roman" w:hAnsi="Times New Roman"/>
          <w:bCs/>
        </w:rPr>
        <w:t xml:space="preserve">to </w:t>
      </w:r>
      <w:r w:rsidR="00533694">
        <w:rPr>
          <w:rFonts w:ascii="Times New Roman" w:hAnsi="Times New Roman"/>
          <w:bCs/>
        </w:rPr>
        <w:t xml:space="preserve">provide information on what measures of effectiveness </w:t>
      </w:r>
      <w:r w:rsidRPr="000C4DAB" w:rsidR="00533694">
        <w:rPr>
          <w:rFonts w:ascii="Times New Roman" w:hAnsi="Times New Roman"/>
          <w:bCs/>
          <w:i/>
          <w:iCs/>
        </w:rPr>
        <w:t>your</w:t>
      </w:r>
      <w:r w:rsidR="00533694">
        <w:rPr>
          <w:rFonts w:ascii="Times New Roman" w:hAnsi="Times New Roman"/>
          <w:bCs/>
        </w:rPr>
        <w:t xml:space="preserve"> company uses to determine safety performance and regulatory compliance</w:t>
      </w:r>
      <w:r w:rsidRPr="004949AC" w:rsidR="00533694">
        <w:rPr>
          <w:rFonts w:ascii="Times New Roman" w:hAnsi="Times New Roman"/>
          <w:bCs/>
        </w:rPr>
        <w:t>.</w:t>
      </w:r>
      <w:r w:rsidR="00533694">
        <w:rPr>
          <w:rFonts w:ascii="Times New Roman" w:hAnsi="Times New Roman"/>
          <w:bCs/>
        </w:rPr>
        <w:t xml:space="preserve">  Based on those measures of effectiveness, the survey also asks that you provide information on what technologies and business practices your company </w:t>
      </w:r>
      <w:r w:rsidR="000C4DAB">
        <w:rPr>
          <w:rFonts w:ascii="Times New Roman" w:hAnsi="Times New Roman"/>
          <w:bCs/>
        </w:rPr>
        <w:t xml:space="preserve">uses to </w:t>
      </w:r>
      <w:r w:rsidR="00533694">
        <w:rPr>
          <w:rFonts w:ascii="Times New Roman" w:hAnsi="Times New Roman"/>
          <w:bCs/>
        </w:rPr>
        <w:t>implement</w:t>
      </w:r>
      <w:r w:rsidR="000C4DAB">
        <w:rPr>
          <w:rFonts w:ascii="Times New Roman" w:hAnsi="Times New Roman"/>
          <w:bCs/>
        </w:rPr>
        <w:t xml:space="preserve"> those measures</w:t>
      </w:r>
      <w:r w:rsidR="00533694">
        <w:rPr>
          <w:rFonts w:ascii="Times New Roman" w:hAnsi="Times New Roman"/>
          <w:bCs/>
        </w:rPr>
        <w:t xml:space="preserve"> </w:t>
      </w:r>
      <w:r w:rsidR="000C4DAB">
        <w:rPr>
          <w:rFonts w:ascii="Times New Roman" w:hAnsi="Times New Roman"/>
          <w:bCs/>
        </w:rPr>
        <w:t>and</w:t>
      </w:r>
      <w:r w:rsidR="00533694">
        <w:rPr>
          <w:rFonts w:ascii="Times New Roman" w:hAnsi="Times New Roman"/>
          <w:bCs/>
        </w:rPr>
        <w:t xml:space="preserve"> to improve regulatory compliance performance.</w:t>
      </w:r>
      <w:r w:rsidR="000C4DAB">
        <w:rPr>
          <w:rFonts w:ascii="Times New Roman" w:hAnsi="Times New Roman"/>
          <w:bCs/>
        </w:rPr>
        <w:t xml:space="preserve"> The purpose of this portion of the survey is to better understand what performance measures, business practices, and technologies that motor carriers are </w:t>
      </w:r>
      <w:proofErr w:type="gramStart"/>
      <w:r w:rsidR="000C4DAB">
        <w:rPr>
          <w:rFonts w:ascii="Times New Roman" w:hAnsi="Times New Roman"/>
          <w:bCs/>
        </w:rPr>
        <w:t>actually using</w:t>
      </w:r>
      <w:proofErr w:type="gramEnd"/>
      <w:r w:rsidR="000C4DAB">
        <w:rPr>
          <w:rFonts w:ascii="Times New Roman" w:hAnsi="Times New Roman"/>
          <w:bCs/>
        </w:rPr>
        <w:t>. For example, this question asks that you identify all the safety measures of effectiveness that your company uses in its safety program.</w:t>
      </w:r>
    </w:p>
    <w:p w:rsidRPr="000C4DAB" w:rsidR="000C4DAB" w:rsidP="000C4DAB" w:rsidRDefault="000C4DAB" w14:paraId="20E9A71E" w14:textId="77777777">
      <w:pPr>
        <w:pStyle w:val="BodyText"/>
        <w:rPr>
          <w:rFonts w:ascii="Times New Roman" w:hAnsi="Times New Roman"/>
          <w:b/>
          <w:bCs/>
        </w:rPr>
      </w:pPr>
      <w:r w:rsidRPr="000C4DAB">
        <w:rPr>
          <w:rFonts w:ascii="Times New Roman" w:hAnsi="Times New Roman"/>
          <w:b/>
          <w:bCs/>
        </w:rPr>
        <w:t>What safety measures of effectiveness do you track (check all that apply):</w:t>
      </w:r>
    </w:p>
    <w:tbl>
      <w:tblPr>
        <w:tblStyle w:val="TableGrid"/>
        <w:tblW w:w="5000" w:type="pct"/>
        <w:tblLook w:val="04A0" w:firstRow="1" w:lastRow="0" w:firstColumn="1" w:lastColumn="0" w:noHBand="0" w:noVBand="1"/>
      </w:tblPr>
      <w:tblGrid>
        <w:gridCol w:w="9350"/>
      </w:tblGrid>
      <w:tr w:rsidRPr="002B499C" w:rsidR="000C4DAB" w:rsidTr="00FC4167" w14:paraId="6F7CB26C" w14:textId="77777777">
        <w:tc>
          <w:tcPr>
            <w:tcW w:w="5000" w:type="pct"/>
            <w:vAlign w:val="center"/>
          </w:tcPr>
          <w:p w:rsidRPr="002B499C" w:rsidR="000C4DAB" w:rsidP="00FC4167" w:rsidRDefault="000C4DAB" w14:paraId="3EBCE3D2" w14:textId="77777777">
            <w:pPr>
              <w:pStyle w:val="BodyText"/>
              <w:jc w:val="left"/>
              <w:rPr>
                <w:rFonts w:ascii="Times New Roman" w:hAnsi="Times New Roman"/>
              </w:rPr>
            </w:pPr>
            <w:r w:rsidRPr="002B499C">
              <w:rPr>
                <w:rFonts w:ascii="Times New Roman" w:hAnsi="Times New Roman"/>
              </w:rPr>
              <w:t>□ Crash rates</w:t>
            </w:r>
          </w:p>
        </w:tc>
      </w:tr>
      <w:tr w:rsidRPr="002B499C" w:rsidR="000C4DAB" w:rsidTr="00FC4167" w14:paraId="2E937FFD" w14:textId="77777777">
        <w:tc>
          <w:tcPr>
            <w:tcW w:w="5000" w:type="pct"/>
            <w:vAlign w:val="center"/>
          </w:tcPr>
          <w:p w:rsidRPr="002B499C" w:rsidR="000C4DAB" w:rsidP="00FC4167" w:rsidRDefault="000C4DAB" w14:paraId="1DD5CFD9" w14:textId="77777777">
            <w:pPr>
              <w:pStyle w:val="BodyText"/>
              <w:jc w:val="left"/>
              <w:rPr>
                <w:rFonts w:ascii="Times New Roman" w:hAnsi="Times New Roman"/>
              </w:rPr>
            </w:pPr>
            <w:r w:rsidRPr="002B499C">
              <w:rPr>
                <w:rFonts w:ascii="Times New Roman" w:hAnsi="Times New Roman"/>
              </w:rPr>
              <w:t>□ Preventable crash rates</w:t>
            </w:r>
          </w:p>
        </w:tc>
      </w:tr>
      <w:tr w:rsidRPr="002B499C" w:rsidR="000C4DAB" w:rsidTr="00FC4167" w14:paraId="3CA84ABA" w14:textId="77777777">
        <w:tc>
          <w:tcPr>
            <w:tcW w:w="5000" w:type="pct"/>
            <w:vAlign w:val="center"/>
          </w:tcPr>
          <w:p w:rsidRPr="002B499C" w:rsidR="000C4DAB" w:rsidP="00FC4167" w:rsidRDefault="000C4DAB" w14:paraId="6BA1E3AD" w14:textId="77777777">
            <w:pPr>
              <w:pStyle w:val="BodyText"/>
              <w:jc w:val="left"/>
              <w:rPr>
                <w:rFonts w:ascii="Times New Roman" w:hAnsi="Times New Roman"/>
              </w:rPr>
            </w:pPr>
            <w:r w:rsidRPr="002B499C">
              <w:rPr>
                <w:rFonts w:ascii="Times New Roman" w:hAnsi="Times New Roman"/>
              </w:rPr>
              <w:t>□ DOT Recordable crash rates</w:t>
            </w:r>
          </w:p>
        </w:tc>
      </w:tr>
      <w:tr w:rsidRPr="002B499C" w:rsidR="000C4DAB" w:rsidTr="00FC4167" w14:paraId="15A6C4E9" w14:textId="77777777">
        <w:tc>
          <w:tcPr>
            <w:tcW w:w="5000" w:type="pct"/>
            <w:vAlign w:val="center"/>
          </w:tcPr>
          <w:p w:rsidRPr="002B499C" w:rsidR="000C4DAB" w:rsidP="00FC4167" w:rsidRDefault="000C4DAB" w14:paraId="1F47842F" w14:textId="77777777">
            <w:pPr>
              <w:pStyle w:val="BodyText"/>
              <w:jc w:val="left"/>
              <w:rPr>
                <w:rFonts w:ascii="Times New Roman" w:hAnsi="Times New Roman"/>
              </w:rPr>
            </w:pPr>
            <w:r w:rsidRPr="002B499C">
              <w:rPr>
                <w:rFonts w:ascii="Times New Roman" w:hAnsi="Times New Roman"/>
              </w:rPr>
              <w:t>□ Preventable DOT Recordable crash rates</w:t>
            </w:r>
          </w:p>
        </w:tc>
      </w:tr>
      <w:tr w:rsidRPr="002B499C" w:rsidR="000C4DAB" w:rsidTr="00FC4167" w14:paraId="691F2DCB" w14:textId="77777777">
        <w:tc>
          <w:tcPr>
            <w:tcW w:w="5000" w:type="pct"/>
            <w:vAlign w:val="center"/>
          </w:tcPr>
          <w:p w:rsidRPr="002B499C" w:rsidR="000C4DAB" w:rsidP="00FC4167" w:rsidRDefault="000C4DAB" w14:paraId="39DCDD36" w14:textId="77777777">
            <w:pPr>
              <w:pStyle w:val="BodyText"/>
              <w:jc w:val="left"/>
              <w:rPr>
                <w:rFonts w:ascii="Times New Roman" w:hAnsi="Times New Roman"/>
              </w:rPr>
            </w:pPr>
            <w:r w:rsidRPr="002B499C">
              <w:rPr>
                <w:rFonts w:ascii="Times New Roman" w:hAnsi="Times New Roman"/>
              </w:rPr>
              <w:t>□ Critical events (e.g., hard braking, aggressive driving, speeding, motorist complaint calls, etc.)</w:t>
            </w:r>
          </w:p>
        </w:tc>
      </w:tr>
    </w:tbl>
    <w:p w:rsidR="000C4DAB" w:rsidP="000C4DAB" w:rsidRDefault="000C4DAB" w14:paraId="6C2CA208" w14:textId="77777777">
      <w:pPr>
        <w:pStyle w:val="BodyText"/>
      </w:pPr>
    </w:p>
    <w:p w:rsidR="00DD62F2" w:rsidP="00796B64" w:rsidRDefault="00DD62F2" w14:paraId="7BB2F47C" w14:textId="0F86B34D">
      <w:pPr>
        <w:pStyle w:val="Heading2"/>
      </w:pPr>
      <w:r>
        <w:t>Next Steps</w:t>
      </w:r>
    </w:p>
    <w:p w:rsidR="00DD62F2" w:rsidP="00E26B6A" w:rsidRDefault="002B6E19" w14:paraId="3D994340" w14:textId="43F15D3C">
      <w:pPr>
        <w:pStyle w:val="BodyText"/>
        <w:rPr>
          <w:rFonts w:ascii="Times New Roman" w:hAnsi="Times New Roman"/>
        </w:rPr>
      </w:pPr>
      <w:r>
        <w:t>Now that you have completed this webinar, y</w:t>
      </w:r>
      <w:r w:rsidR="00622535">
        <w:t xml:space="preserve">ou will receive a unique link to </w:t>
      </w:r>
      <w:r>
        <w:t>access</w:t>
      </w:r>
      <w:r w:rsidR="00622535">
        <w:t xml:space="preserve"> the survey.</w:t>
      </w:r>
      <w:r w:rsidR="000A141B">
        <w:t xml:space="preserve"> As we previously mentioned, the survey will only take about 30 minutes of your time so we encourage you to complete it. Your input is critical for </w:t>
      </w:r>
      <w:r w:rsidRPr="004949AC" w:rsidR="000A141B">
        <w:rPr>
          <w:rFonts w:ascii="Times New Roman" w:hAnsi="Times New Roman"/>
        </w:rPr>
        <w:t>helping FMCSA to develop a Beyond Compliance program</w:t>
      </w:r>
      <w:r w:rsidR="000A141B">
        <w:rPr>
          <w:rFonts w:ascii="Times New Roman" w:hAnsi="Times New Roman"/>
        </w:rPr>
        <w:t>.</w:t>
      </w:r>
    </w:p>
    <w:p w:rsidRPr="00E26B6A" w:rsidR="000A141B" w:rsidP="00E26B6A" w:rsidRDefault="000A141B" w14:paraId="0257DD70" w14:textId="5977FB45">
      <w:pPr>
        <w:pStyle w:val="BodyText"/>
      </w:pPr>
      <w:r>
        <w:rPr>
          <w:rFonts w:ascii="Times New Roman" w:hAnsi="Times New Roman"/>
        </w:rPr>
        <w:t>Thank you.</w:t>
      </w:r>
    </w:p>
    <w:sectPr w:rsidRPr="00E26B6A" w:rsidR="000A141B" w:rsidSect="00D33D7E">
      <w:footerReference w:type="default" r:id="rId8"/>
      <w:pgSz w:w="12240" w:h="15840"/>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65C30" w14:textId="77777777" w:rsidR="00B55874" w:rsidRDefault="00B55874" w:rsidP="00D33D7E">
      <w:r>
        <w:separator/>
      </w:r>
    </w:p>
  </w:endnote>
  <w:endnote w:type="continuationSeparator" w:id="0">
    <w:p w14:paraId="41EEB5B2" w14:textId="77777777" w:rsidR="00B55874" w:rsidRDefault="00B55874" w:rsidP="00D33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C9B98" w14:textId="6D45145C" w:rsidR="00507F2A" w:rsidRDefault="00507F2A" w:rsidP="00D33D7E">
    <w:pPr>
      <w:pStyle w:val="Footer"/>
      <w:tabs>
        <w:tab w:val="clear" w:pos="4680"/>
      </w:tabs>
      <w:jc w:val="center"/>
    </w:pPr>
    <w:r>
      <w:t xml:space="preserve">- </w:t>
    </w:r>
    <w:r w:rsidR="00295DD8">
      <w:fldChar w:fldCharType="begin"/>
    </w:r>
    <w:r w:rsidR="002E310C">
      <w:instrText xml:space="preserve"> PAGE   \* MERGEFORMAT </w:instrText>
    </w:r>
    <w:r w:rsidR="00295DD8">
      <w:fldChar w:fldCharType="separate"/>
    </w:r>
    <w:r w:rsidR="00262E2C">
      <w:rPr>
        <w:noProof/>
      </w:rPr>
      <w:t>2</w:t>
    </w:r>
    <w:r w:rsidR="00295DD8">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88B34" w14:textId="77777777" w:rsidR="00B55874" w:rsidRDefault="00B55874" w:rsidP="00D33D7E">
      <w:r>
        <w:separator/>
      </w:r>
    </w:p>
  </w:footnote>
  <w:footnote w:type="continuationSeparator" w:id="0">
    <w:p w14:paraId="6F14D512" w14:textId="77777777" w:rsidR="00B55874" w:rsidRDefault="00B55874" w:rsidP="00D33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61878B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2E52DCE"/>
    <w:multiLevelType w:val="singleLevel"/>
    <w:tmpl w:val="C52CE2DA"/>
    <w:lvl w:ilvl="0">
      <w:start w:val="1"/>
      <w:numFmt w:val="bullet"/>
      <w:pStyle w:val="ListBullet1"/>
      <w:lvlText w:val=""/>
      <w:lvlJc w:val="left"/>
      <w:pPr>
        <w:tabs>
          <w:tab w:val="num" w:pos="360"/>
        </w:tabs>
        <w:ind w:left="360" w:hanging="360"/>
      </w:pPr>
      <w:rPr>
        <w:rFonts w:ascii="Symbol" w:hAnsi="Symbol" w:hint="default"/>
      </w:rPr>
    </w:lvl>
  </w:abstractNum>
  <w:abstractNum w:abstractNumId="2" w15:restartNumberingAfterBreak="0">
    <w:nsid w:val="506D2EF8"/>
    <w:multiLevelType w:val="singleLevel"/>
    <w:tmpl w:val="6ED0A11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63F16D08"/>
    <w:multiLevelType w:val="singleLevel"/>
    <w:tmpl w:val="9E98C5BC"/>
    <w:lvl w:ilvl="0">
      <w:start w:val="1"/>
      <w:numFmt w:val="bullet"/>
      <w:pStyle w:val="ListDash"/>
      <w:lvlText w:val="-"/>
      <w:lvlJc w:val="left"/>
      <w:pPr>
        <w:tabs>
          <w:tab w:val="num" w:pos="720"/>
        </w:tabs>
        <w:ind w:left="720" w:hanging="360"/>
      </w:pPr>
      <w:rPr>
        <w:rFonts w:ascii="Courier New" w:hAnsi="Courier New" w:hint="default"/>
      </w:rPr>
    </w:lvl>
  </w:abstractNum>
  <w:num w:numId="1">
    <w:abstractNumId w:val="1"/>
  </w:num>
  <w:num w:numId="2">
    <w:abstractNumId w:val="0"/>
  </w:num>
  <w:num w:numId="3">
    <w:abstractNumId w:val="2"/>
  </w:num>
  <w:num w:numId="4">
    <w:abstractNumId w:val="3"/>
  </w:num>
  <w:num w:numId="5">
    <w:abstractNumId w:val="2"/>
  </w:num>
  <w:num w:numId="6">
    <w:abstractNumId w:val="1"/>
  </w:num>
  <w:num w:numId="7">
    <w:abstractNumId w:val="3"/>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2F2"/>
    <w:rsid w:val="00004565"/>
    <w:rsid w:val="00010B5C"/>
    <w:rsid w:val="000270CF"/>
    <w:rsid w:val="00057114"/>
    <w:rsid w:val="00084118"/>
    <w:rsid w:val="000919F0"/>
    <w:rsid w:val="00092834"/>
    <w:rsid w:val="000A141B"/>
    <w:rsid w:val="000B009A"/>
    <w:rsid w:val="000C4DAB"/>
    <w:rsid w:val="000C760D"/>
    <w:rsid w:val="000D1669"/>
    <w:rsid w:val="000D711E"/>
    <w:rsid w:val="000E3DDF"/>
    <w:rsid w:val="000E6835"/>
    <w:rsid w:val="000F7DFB"/>
    <w:rsid w:val="001025DB"/>
    <w:rsid w:val="001160F1"/>
    <w:rsid w:val="00122586"/>
    <w:rsid w:val="00124850"/>
    <w:rsid w:val="00147C03"/>
    <w:rsid w:val="00151B5A"/>
    <w:rsid w:val="0016086D"/>
    <w:rsid w:val="001828B0"/>
    <w:rsid w:val="001830FF"/>
    <w:rsid w:val="00192A43"/>
    <w:rsid w:val="001D1915"/>
    <w:rsid w:val="001E39ED"/>
    <w:rsid w:val="001E770B"/>
    <w:rsid w:val="001E7CD4"/>
    <w:rsid w:val="002177CE"/>
    <w:rsid w:val="0022025A"/>
    <w:rsid w:val="00222872"/>
    <w:rsid w:val="00227963"/>
    <w:rsid w:val="002446D6"/>
    <w:rsid w:val="0025799B"/>
    <w:rsid w:val="00261432"/>
    <w:rsid w:val="00262E2C"/>
    <w:rsid w:val="00295DD8"/>
    <w:rsid w:val="002B37C5"/>
    <w:rsid w:val="002B6E19"/>
    <w:rsid w:val="002E310C"/>
    <w:rsid w:val="002E42ED"/>
    <w:rsid w:val="002F2F9F"/>
    <w:rsid w:val="00311C74"/>
    <w:rsid w:val="00331C01"/>
    <w:rsid w:val="0033664A"/>
    <w:rsid w:val="0035298F"/>
    <w:rsid w:val="003C6525"/>
    <w:rsid w:val="003F440B"/>
    <w:rsid w:val="003F651C"/>
    <w:rsid w:val="003F6AF5"/>
    <w:rsid w:val="004064BD"/>
    <w:rsid w:val="00421882"/>
    <w:rsid w:val="00422ABE"/>
    <w:rsid w:val="00427431"/>
    <w:rsid w:val="00441636"/>
    <w:rsid w:val="004445CB"/>
    <w:rsid w:val="00457BE5"/>
    <w:rsid w:val="00475C5D"/>
    <w:rsid w:val="004A3656"/>
    <w:rsid w:val="004A37CF"/>
    <w:rsid w:val="004B502E"/>
    <w:rsid w:val="004D37AE"/>
    <w:rsid w:val="004D6D82"/>
    <w:rsid w:val="004F1171"/>
    <w:rsid w:val="004F36E3"/>
    <w:rsid w:val="00507F2A"/>
    <w:rsid w:val="00510232"/>
    <w:rsid w:val="00515631"/>
    <w:rsid w:val="00533694"/>
    <w:rsid w:val="00543E69"/>
    <w:rsid w:val="00553B65"/>
    <w:rsid w:val="00557585"/>
    <w:rsid w:val="00565346"/>
    <w:rsid w:val="00572830"/>
    <w:rsid w:val="00584042"/>
    <w:rsid w:val="005852E7"/>
    <w:rsid w:val="005B21B8"/>
    <w:rsid w:val="005B5B8C"/>
    <w:rsid w:val="005C1E07"/>
    <w:rsid w:val="005D0983"/>
    <w:rsid w:val="005D4CB9"/>
    <w:rsid w:val="005F1037"/>
    <w:rsid w:val="006201A6"/>
    <w:rsid w:val="00622535"/>
    <w:rsid w:val="006865C9"/>
    <w:rsid w:val="006952B2"/>
    <w:rsid w:val="006A65A0"/>
    <w:rsid w:val="006A695C"/>
    <w:rsid w:val="006B5960"/>
    <w:rsid w:val="006C17DD"/>
    <w:rsid w:val="006C6EBF"/>
    <w:rsid w:val="006C7CE6"/>
    <w:rsid w:val="006D155D"/>
    <w:rsid w:val="006D2C8E"/>
    <w:rsid w:val="006D7EAC"/>
    <w:rsid w:val="006E5CA9"/>
    <w:rsid w:val="006E66C4"/>
    <w:rsid w:val="00731A0B"/>
    <w:rsid w:val="00741E07"/>
    <w:rsid w:val="00747891"/>
    <w:rsid w:val="00754352"/>
    <w:rsid w:val="00762A0D"/>
    <w:rsid w:val="00796B64"/>
    <w:rsid w:val="007A3173"/>
    <w:rsid w:val="007C0514"/>
    <w:rsid w:val="007C5FBB"/>
    <w:rsid w:val="007D20EB"/>
    <w:rsid w:val="007D3101"/>
    <w:rsid w:val="007E03D8"/>
    <w:rsid w:val="007F68CB"/>
    <w:rsid w:val="00807843"/>
    <w:rsid w:val="00845B95"/>
    <w:rsid w:val="00853D1C"/>
    <w:rsid w:val="008670F7"/>
    <w:rsid w:val="008A3C29"/>
    <w:rsid w:val="008C3052"/>
    <w:rsid w:val="008D2925"/>
    <w:rsid w:val="008E0FC7"/>
    <w:rsid w:val="008F2D69"/>
    <w:rsid w:val="0094496E"/>
    <w:rsid w:val="00954705"/>
    <w:rsid w:val="00980D51"/>
    <w:rsid w:val="009A0AA1"/>
    <w:rsid w:val="009A5DA4"/>
    <w:rsid w:val="009B3F72"/>
    <w:rsid w:val="009E2320"/>
    <w:rsid w:val="009F20D3"/>
    <w:rsid w:val="009F77AF"/>
    <w:rsid w:val="00A0655B"/>
    <w:rsid w:val="00A0678D"/>
    <w:rsid w:val="00A14835"/>
    <w:rsid w:val="00A1604F"/>
    <w:rsid w:val="00A617B6"/>
    <w:rsid w:val="00A620E1"/>
    <w:rsid w:val="00A764CD"/>
    <w:rsid w:val="00AA3EC6"/>
    <w:rsid w:val="00AC06C3"/>
    <w:rsid w:val="00AC120B"/>
    <w:rsid w:val="00AC4DF6"/>
    <w:rsid w:val="00AC7B07"/>
    <w:rsid w:val="00AF671F"/>
    <w:rsid w:val="00B15079"/>
    <w:rsid w:val="00B16CA6"/>
    <w:rsid w:val="00B26558"/>
    <w:rsid w:val="00B30BDE"/>
    <w:rsid w:val="00B36DE5"/>
    <w:rsid w:val="00B41ABF"/>
    <w:rsid w:val="00B4226E"/>
    <w:rsid w:val="00B55874"/>
    <w:rsid w:val="00B56BB6"/>
    <w:rsid w:val="00B81137"/>
    <w:rsid w:val="00B81796"/>
    <w:rsid w:val="00BE352D"/>
    <w:rsid w:val="00C129D4"/>
    <w:rsid w:val="00C22C47"/>
    <w:rsid w:val="00C448F5"/>
    <w:rsid w:val="00C70484"/>
    <w:rsid w:val="00C95BE8"/>
    <w:rsid w:val="00C9693A"/>
    <w:rsid w:val="00CA5B95"/>
    <w:rsid w:val="00D20CA0"/>
    <w:rsid w:val="00D27991"/>
    <w:rsid w:val="00D333C3"/>
    <w:rsid w:val="00D33943"/>
    <w:rsid w:val="00D33D7E"/>
    <w:rsid w:val="00D35704"/>
    <w:rsid w:val="00D71E4B"/>
    <w:rsid w:val="00DB241E"/>
    <w:rsid w:val="00DC1543"/>
    <w:rsid w:val="00DC3BB0"/>
    <w:rsid w:val="00DC3EEE"/>
    <w:rsid w:val="00DD62F2"/>
    <w:rsid w:val="00DE2095"/>
    <w:rsid w:val="00DE6AF5"/>
    <w:rsid w:val="00DF6455"/>
    <w:rsid w:val="00E0307D"/>
    <w:rsid w:val="00E04F00"/>
    <w:rsid w:val="00E1466A"/>
    <w:rsid w:val="00E26B6A"/>
    <w:rsid w:val="00E464F0"/>
    <w:rsid w:val="00E53977"/>
    <w:rsid w:val="00E62661"/>
    <w:rsid w:val="00E744E5"/>
    <w:rsid w:val="00EA5BFF"/>
    <w:rsid w:val="00EB17E0"/>
    <w:rsid w:val="00EC3AA1"/>
    <w:rsid w:val="00EC7C29"/>
    <w:rsid w:val="00EE4DB3"/>
    <w:rsid w:val="00EF0C96"/>
    <w:rsid w:val="00EF3E11"/>
    <w:rsid w:val="00F27228"/>
    <w:rsid w:val="00F30BE6"/>
    <w:rsid w:val="00F44863"/>
    <w:rsid w:val="00F6373C"/>
    <w:rsid w:val="00F721B5"/>
    <w:rsid w:val="00F8511A"/>
    <w:rsid w:val="00F92A14"/>
    <w:rsid w:val="00FA38FE"/>
    <w:rsid w:val="00FB5AF1"/>
    <w:rsid w:val="00FC1132"/>
    <w:rsid w:val="00FD6FCA"/>
    <w:rsid w:val="00FF6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C56E19C"/>
  <w15:chartTrackingRefBased/>
  <w15:docId w15:val="{D6FF2716-3EE7-4641-8D76-88B15E09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C7CE6"/>
    <w:pPr>
      <w:spacing w:after="0" w:line="240" w:lineRule="auto"/>
      <w:jc w:val="both"/>
    </w:pPr>
    <w:rPr>
      <w:rFonts w:ascii="Book Antiqua" w:hAnsi="Book Antiqua"/>
    </w:rPr>
  </w:style>
  <w:style w:type="paragraph" w:styleId="Heading1">
    <w:name w:val="heading 1"/>
    <w:basedOn w:val="Normal"/>
    <w:next w:val="BodyText"/>
    <w:link w:val="Heading1Char"/>
    <w:qFormat/>
    <w:rsid w:val="006A695C"/>
    <w:pPr>
      <w:keepNext/>
      <w:spacing w:after="600"/>
      <w:jc w:val="center"/>
      <w:outlineLvl w:val="0"/>
    </w:pPr>
    <w:rPr>
      <w:b/>
      <w:kern w:val="28"/>
      <w:sz w:val="30"/>
    </w:rPr>
  </w:style>
  <w:style w:type="paragraph" w:styleId="Heading2">
    <w:name w:val="heading 2"/>
    <w:basedOn w:val="Normal"/>
    <w:next w:val="BodyText"/>
    <w:link w:val="Heading2Char"/>
    <w:qFormat/>
    <w:rsid w:val="006A695C"/>
    <w:pPr>
      <w:keepNext/>
      <w:spacing w:before="240" w:after="360"/>
      <w:jc w:val="left"/>
      <w:outlineLvl w:val="1"/>
    </w:pPr>
    <w:rPr>
      <w:b/>
      <w:sz w:val="26"/>
    </w:rPr>
  </w:style>
  <w:style w:type="paragraph" w:styleId="Heading3">
    <w:name w:val="heading 3"/>
    <w:basedOn w:val="Normal"/>
    <w:next w:val="BodyText"/>
    <w:link w:val="Heading3Char"/>
    <w:qFormat/>
    <w:rsid w:val="006A695C"/>
    <w:pPr>
      <w:keepNext/>
      <w:spacing w:before="120" w:after="240"/>
      <w:jc w:val="left"/>
      <w:outlineLvl w:val="2"/>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695C"/>
    <w:rPr>
      <w:rFonts w:ascii="Book Antiqua" w:hAnsi="Book Antiqua"/>
      <w:b/>
      <w:kern w:val="28"/>
      <w:sz w:val="30"/>
    </w:rPr>
  </w:style>
  <w:style w:type="paragraph" w:styleId="BodyText">
    <w:name w:val="Body Text"/>
    <w:basedOn w:val="Normal"/>
    <w:link w:val="BodyTextChar"/>
    <w:qFormat/>
    <w:rsid w:val="00B41ABF"/>
    <w:pPr>
      <w:spacing w:after="240"/>
    </w:pPr>
  </w:style>
  <w:style w:type="character" w:customStyle="1" w:styleId="BodyTextChar">
    <w:name w:val="Body Text Char"/>
    <w:basedOn w:val="DefaultParagraphFont"/>
    <w:link w:val="BodyText"/>
    <w:rsid w:val="00B41ABF"/>
  </w:style>
  <w:style w:type="paragraph" w:customStyle="1" w:styleId="Heading1to2">
    <w:name w:val="Heading 1 to 2"/>
    <w:basedOn w:val="Heading1"/>
    <w:next w:val="Heading2"/>
    <w:qFormat/>
    <w:rsid w:val="006A695C"/>
    <w:pPr>
      <w:spacing w:after="360"/>
    </w:pPr>
  </w:style>
  <w:style w:type="character" w:customStyle="1" w:styleId="Heading2Char">
    <w:name w:val="Heading 2 Char"/>
    <w:basedOn w:val="DefaultParagraphFont"/>
    <w:link w:val="Heading2"/>
    <w:rsid w:val="006A695C"/>
    <w:rPr>
      <w:rFonts w:ascii="Book Antiqua" w:hAnsi="Book Antiqua"/>
      <w:b/>
      <w:sz w:val="26"/>
    </w:rPr>
  </w:style>
  <w:style w:type="paragraph" w:customStyle="1" w:styleId="Heading2to3">
    <w:name w:val="Heading 2 to 3"/>
    <w:basedOn w:val="Heading2"/>
    <w:next w:val="Heading3"/>
    <w:qFormat/>
    <w:rsid w:val="006A695C"/>
    <w:pPr>
      <w:spacing w:after="240"/>
    </w:pPr>
  </w:style>
  <w:style w:type="character" w:customStyle="1" w:styleId="Heading3Char">
    <w:name w:val="Heading 3 Char"/>
    <w:basedOn w:val="DefaultParagraphFont"/>
    <w:link w:val="Heading3"/>
    <w:rsid w:val="006A695C"/>
    <w:rPr>
      <w:rFonts w:ascii="Book Antiqua" w:hAnsi="Book Antiqua"/>
      <w:b/>
      <w:i/>
      <w:sz w:val="24"/>
    </w:rPr>
  </w:style>
  <w:style w:type="paragraph" w:customStyle="1" w:styleId="ListBullet1">
    <w:name w:val="List Bullet 1"/>
    <w:basedOn w:val="Normal"/>
    <w:qFormat/>
    <w:rsid w:val="00B41ABF"/>
    <w:pPr>
      <w:numPr>
        <w:numId w:val="6"/>
      </w:numPr>
      <w:spacing w:after="120"/>
    </w:pPr>
  </w:style>
  <w:style w:type="paragraph" w:styleId="ListBullet">
    <w:name w:val="List Bullet"/>
    <w:basedOn w:val="Normal"/>
    <w:qFormat/>
    <w:rsid w:val="006A695C"/>
    <w:pPr>
      <w:numPr>
        <w:numId w:val="5"/>
      </w:numPr>
      <w:spacing w:after="240"/>
    </w:pPr>
  </w:style>
  <w:style w:type="paragraph" w:customStyle="1" w:styleId="ListDash">
    <w:name w:val="List Dash"/>
    <w:basedOn w:val="Normal"/>
    <w:qFormat/>
    <w:rsid w:val="00EC7C29"/>
    <w:pPr>
      <w:numPr>
        <w:numId w:val="8"/>
      </w:numPr>
      <w:spacing w:after="120"/>
    </w:pPr>
  </w:style>
  <w:style w:type="table" w:styleId="TableGrid">
    <w:name w:val="Table Grid"/>
    <w:basedOn w:val="TableNormal"/>
    <w:rsid w:val="00B41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Text">
    <w:name w:val="TableBodyText"/>
    <w:basedOn w:val="Normal"/>
    <w:qFormat/>
    <w:rsid w:val="004B502E"/>
    <w:pPr>
      <w:spacing w:after="240"/>
      <w:jc w:val="left"/>
    </w:pPr>
    <w:rPr>
      <w:sz w:val="20"/>
    </w:rPr>
  </w:style>
  <w:style w:type="paragraph" w:customStyle="1" w:styleId="TableNormal0">
    <w:name w:val="TableNormal"/>
    <w:basedOn w:val="Normal"/>
    <w:qFormat/>
    <w:rsid w:val="004B502E"/>
    <w:pPr>
      <w:jc w:val="left"/>
    </w:pPr>
    <w:rPr>
      <w:sz w:val="20"/>
    </w:rPr>
  </w:style>
  <w:style w:type="paragraph" w:styleId="Header">
    <w:name w:val="header"/>
    <w:basedOn w:val="Normal"/>
    <w:link w:val="HeaderChar"/>
    <w:uiPriority w:val="99"/>
    <w:semiHidden/>
    <w:unhideWhenUsed/>
    <w:rsid w:val="00D33D7E"/>
    <w:pPr>
      <w:tabs>
        <w:tab w:val="center" w:pos="4680"/>
        <w:tab w:val="right" w:pos="9360"/>
      </w:tabs>
    </w:pPr>
  </w:style>
  <w:style w:type="character" w:customStyle="1" w:styleId="HeaderChar">
    <w:name w:val="Header Char"/>
    <w:basedOn w:val="DefaultParagraphFont"/>
    <w:link w:val="Header"/>
    <w:uiPriority w:val="99"/>
    <w:semiHidden/>
    <w:rsid w:val="00D33D7E"/>
  </w:style>
  <w:style w:type="paragraph" w:styleId="Footer">
    <w:name w:val="footer"/>
    <w:basedOn w:val="Normal"/>
    <w:link w:val="FooterChar"/>
    <w:uiPriority w:val="99"/>
    <w:semiHidden/>
    <w:unhideWhenUsed/>
    <w:rsid w:val="00D33D7E"/>
    <w:pPr>
      <w:tabs>
        <w:tab w:val="center" w:pos="4680"/>
        <w:tab w:val="right" w:pos="9360"/>
      </w:tabs>
    </w:pPr>
  </w:style>
  <w:style w:type="character" w:customStyle="1" w:styleId="FooterChar">
    <w:name w:val="Footer Char"/>
    <w:basedOn w:val="DefaultParagraphFont"/>
    <w:link w:val="Footer"/>
    <w:uiPriority w:val="99"/>
    <w:semiHidden/>
    <w:rsid w:val="00D33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s_report_colors">
      <a:dk1>
        <a:sysClr val="windowText" lastClr="000000"/>
      </a:dk1>
      <a:lt1>
        <a:sysClr val="window" lastClr="FFFFFF"/>
      </a:lt1>
      <a:dk2>
        <a:srgbClr val="1F497D"/>
      </a:dk2>
      <a:lt2>
        <a:srgbClr val="EEECE1"/>
      </a:lt2>
      <a:accent1>
        <a:srgbClr val="0F2887"/>
      </a:accent1>
      <a:accent2>
        <a:srgbClr val="B9D5C9"/>
      </a:accent2>
      <a:accent3>
        <a:srgbClr val="C19722"/>
      </a:accent3>
      <a:accent4>
        <a:srgbClr val="D5DAE9"/>
      </a:accent4>
      <a:accent5>
        <a:srgbClr val="206B5C"/>
      </a:accent5>
      <a:accent6>
        <a:srgbClr val="C2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34E93-063E-49B3-8617-6F1F408A7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733</Words>
  <Characters>4179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Lindsey</dc:creator>
  <cp:keywords/>
  <dc:description/>
  <cp:lastModifiedBy>Oliver, Roxane (FMCSA)</cp:lastModifiedBy>
  <cp:revision>2</cp:revision>
  <dcterms:created xsi:type="dcterms:W3CDTF">2020-06-26T00:09:00Z</dcterms:created>
  <dcterms:modified xsi:type="dcterms:W3CDTF">2020-06-26T00:09:00Z</dcterms:modified>
</cp:coreProperties>
</file>