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71052F" w:rsidR="0071052F" w:rsidP="00F42703" w:rsidRDefault="00A43991">
      <w:pPr>
        <w:jc w:val="center"/>
        <w:rPr>
          <w:rFonts w:ascii="Times New Roman" w:hAnsi="Times New Roman"/>
          <w:b/>
          <w:bCs/>
        </w:rPr>
      </w:pPr>
      <w:r>
        <w:rPr>
          <w:rFonts w:ascii="Times New Roman" w:hAnsi="Times New Roman"/>
          <w:b/>
          <w:bCs/>
        </w:rPr>
        <w:t>PROCEDURES FOR MONITORING BANK SECRECY ACT COMPLIANCE</w:t>
      </w:r>
    </w:p>
    <w:p w:rsidRPr="004A5959" w:rsidR="004A5959" w:rsidP="0071052F" w:rsidRDefault="00A43991">
      <w:pPr>
        <w:jc w:val="center"/>
        <w:rPr>
          <w:rFonts w:ascii="Times New Roman" w:hAnsi="Times New Roman"/>
          <w:b/>
        </w:rPr>
      </w:pPr>
      <w:r>
        <w:rPr>
          <w:rFonts w:ascii="Times New Roman" w:hAnsi="Times New Roman"/>
          <w:b/>
          <w:bCs/>
        </w:rPr>
        <w:t>(OMB No. 3064-0087</w:t>
      </w:r>
      <w:r w:rsidR="0071052F">
        <w:rPr>
          <w:rFonts w:ascii="Times New Roman" w:hAnsi="Times New Roman"/>
          <w:b/>
          <w:bCs/>
        </w:rPr>
        <w:t>)</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4C250D">
      <w:pPr>
        <w:rPr>
          <w:rFonts w:ascii="Times New Roman" w:hAnsi="Times New Roman"/>
        </w:rPr>
      </w:pPr>
      <w:r w:rsidRPr="004C250D">
        <w:rPr>
          <w:rFonts w:ascii="Times New Roman" w:hAnsi="Times New Roman" w:eastAsia="Calibri"/>
          <w:snapToGrid/>
          <w:spacing w:val="-3"/>
          <w:szCs w:val="24"/>
        </w:rPr>
        <w:t>The Federal Deposit Insurance Corporation (FDIC) is requesting OMB approval of a three-year extension without change of the information collection entitled “</w:t>
      </w:r>
      <w:r w:rsidR="00961ADD">
        <w:rPr>
          <w:rFonts w:ascii="Times New Roman" w:hAnsi="Times New Roman" w:eastAsia="Calibri"/>
          <w:snapToGrid/>
          <w:spacing w:val="-3"/>
          <w:szCs w:val="24"/>
        </w:rPr>
        <w:t xml:space="preserve">Procedures for Monitoring </w:t>
      </w:r>
      <w:r w:rsidR="00F80F29">
        <w:rPr>
          <w:rFonts w:ascii="Times New Roman" w:hAnsi="Times New Roman" w:eastAsia="Calibri"/>
          <w:snapToGrid/>
          <w:spacing w:val="-3"/>
          <w:szCs w:val="24"/>
        </w:rPr>
        <w:t>Bank</w:t>
      </w:r>
      <w:r w:rsidR="00961ADD">
        <w:rPr>
          <w:rFonts w:ascii="Times New Roman" w:hAnsi="Times New Roman" w:eastAsia="Calibri"/>
          <w:snapToGrid/>
          <w:spacing w:val="-3"/>
          <w:szCs w:val="24"/>
        </w:rPr>
        <w:t xml:space="preserve"> Secrecy Act Compliance” (OMB Control No. 3064-0087</w:t>
      </w:r>
      <w:r w:rsidRPr="004C250D">
        <w:rPr>
          <w:rFonts w:ascii="Times New Roman" w:hAnsi="Times New Roman" w:eastAsia="Calibri"/>
          <w:snapToGrid/>
          <w:spacing w:val="-3"/>
          <w:szCs w:val="24"/>
        </w:rPr>
        <w:t xml:space="preserve">).  This information collection consists of </w:t>
      </w:r>
      <w:r w:rsidR="00961ADD">
        <w:rPr>
          <w:rFonts w:ascii="Times New Roman" w:hAnsi="Times New Roman" w:eastAsia="Calibri"/>
          <w:snapToGrid/>
          <w:spacing w:val="-3"/>
          <w:szCs w:val="24"/>
        </w:rPr>
        <w:t>recordkeeping requirements contained in subsections</w:t>
      </w:r>
      <w:r w:rsidR="00961ADD">
        <w:rPr>
          <w:rFonts w:ascii="Times New Roman" w:hAnsi="Times New Roman"/>
        </w:rPr>
        <w:t xml:space="preserve"> 326.8(b)(1) and (c) of FDIC's regulation 12 C.F.R. </w:t>
      </w:r>
      <w:r w:rsidR="00961ADD">
        <w:rPr>
          <w:rFonts w:ascii="Times New Roman" w:hAnsi="Times New Roman"/>
        </w:rPr>
        <w:t xml:space="preserve">Part </w:t>
      </w:r>
      <w:r w:rsidR="00961ADD">
        <w:rPr>
          <w:rFonts w:ascii="Times New Roman" w:hAnsi="Times New Roman"/>
        </w:rPr>
        <w:t>326.</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Pr="00961ADD" w:rsidR="00961ADD" w:rsidP="00961ADD" w:rsidRDefault="00961ADD">
      <w:pPr>
        <w:ind w:left="720"/>
        <w:rPr>
          <w:rFonts w:ascii="Times New Roman" w:hAnsi="Times New Roman"/>
        </w:rPr>
      </w:pPr>
      <w:r w:rsidRPr="00961ADD">
        <w:rPr>
          <w:rFonts w:ascii="Times New Roman" w:hAnsi="Times New Roman"/>
        </w:rPr>
        <w:t xml:space="preserve">As required by Section 8(s) of the Federal Deposit Insurance Act (12 U.S.C. § 1818(s)), the FDIC’s 12 C.F.R. § 326.8(b) (1) and (c), requires all insured nonmember banks to establish and maintain procedures designed to assure and monitor their compliance with the requirements of the Bank Secrecy Act (31 U.S.C. 5311 </w:t>
      </w:r>
      <w:r w:rsidRPr="00961ADD">
        <w:rPr>
          <w:rFonts w:ascii="Times New Roman" w:hAnsi="Times New Roman"/>
          <w:u w:val="single"/>
        </w:rPr>
        <w:t>et</w:t>
      </w:r>
      <w:r w:rsidRPr="00961ADD">
        <w:rPr>
          <w:rFonts w:ascii="Times New Roman" w:hAnsi="Times New Roman"/>
        </w:rPr>
        <w:t xml:space="preserve"> </w:t>
      </w:r>
      <w:r w:rsidRPr="00961ADD">
        <w:rPr>
          <w:rFonts w:ascii="Times New Roman" w:hAnsi="Times New Roman"/>
          <w:u w:val="single"/>
        </w:rPr>
        <w:t>seq</w:t>
      </w:r>
      <w:r w:rsidRPr="00961ADD">
        <w:rPr>
          <w:rFonts w:ascii="Times New Roman" w:hAnsi="Times New Roman"/>
        </w:rPr>
        <w:t>.) and the Treasury’s implementing regulations at 31 C.F.R. Chapter X.</w:t>
      </w:r>
    </w:p>
    <w:p w:rsidRPr="00961ADD" w:rsidR="00961ADD" w:rsidP="00961ADD" w:rsidRDefault="00961ADD">
      <w:pPr>
        <w:ind w:left="1800"/>
        <w:rPr>
          <w:rFonts w:ascii="Times New Roman" w:hAnsi="Times New Roman"/>
        </w:rPr>
      </w:pPr>
    </w:p>
    <w:p w:rsidRPr="00834179" w:rsidR="00834179" w:rsidP="00961ADD" w:rsidRDefault="00961ADD">
      <w:pPr>
        <w:ind w:left="720"/>
        <w:rPr>
          <w:rFonts w:ascii="Times New Roman" w:hAnsi="Times New Roman"/>
          <w:szCs w:val="24"/>
        </w:rPr>
      </w:pPr>
      <w:r w:rsidRPr="00961ADD">
        <w:rPr>
          <w:rFonts w:ascii="Times New Roman" w:hAnsi="Times New Roman"/>
        </w:rPr>
        <w:t>An institution's compliance program must be reduced to writing, approved by the institution's board of directors and noted in the minutes of the board meeting. The compliance program must consist of a system of internal controls to assure ongoing compliance and provide for independent testing for compliance to be conducted by bank personnel or by an outside party.  The bank must also designate an individual or individuals responsible for compliance, and provide for the training of appropriate personnel.</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7B6C63" w:rsidP="005307A3" w:rsidRDefault="005307A3">
      <w:pPr>
        <w:ind w:left="720"/>
        <w:rPr>
          <w:rFonts w:ascii="Times New Roman" w:hAnsi="Times New Roman"/>
        </w:rPr>
      </w:pPr>
      <w:r>
        <w:rPr>
          <w:rFonts w:ascii="Times New Roman" w:hAnsi="Times New Roman"/>
        </w:rPr>
        <w:t>The information is reviewed by the FDIC during the course of bank examinations to verify compliance with statutory and regulatory requirements.  The agency report of examination will describe any problem with the compliance program, including the procedures followed by an insured bank.</w:t>
      </w:r>
    </w:p>
    <w:p w:rsidR="005F2F35" w:rsidP="005F2F35" w:rsidRDefault="005F2F35">
      <w:pPr>
        <w:ind w:left="720"/>
        <w:rPr>
          <w:rFonts w:ascii="Times New Roman" w:hAnsi="Times New Roman"/>
        </w:rPr>
      </w:pPr>
    </w:p>
    <w:p w:rsidR="007B6C63" w:rsidP="00990A9E" w:rsidRDefault="007B6C63">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rsidRDefault="007B6C63">
      <w:pPr>
        <w:keepNext/>
        <w:rPr>
          <w:rFonts w:ascii="Times New Roman" w:hAnsi="Times New Roman"/>
        </w:rPr>
      </w:pPr>
    </w:p>
    <w:p w:rsidR="007B6C63" w:rsidP="005307A3" w:rsidRDefault="005307A3">
      <w:pPr>
        <w:spacing w:after="200"/>
        <w:ind w:left="720"/>
        <w:contextualSpacing/>
        <w:rPr>
          <w:rFonts w:ascii="Times New Roman" w:hAnsi="Times New Roman"/>
        </w:rPr>
      </w:pPr>
      <w:r>
        <w:rPr>
          <w:rFonts w:ascii="Times New Roman" w:hAnsi="Times New Roman"/>
        </w:rPr>
        <w:t>B</w:t>
      </w:r>
      <w:r>
        <w:rPr>
          <w:rFonts w:ascii="Times New Roman" w:hAnsi="Times New Roman"/>
        </w:rPr>
        <w:t xml:space="preserve">anks may use any appropriate technology to prepare and maintain their written </w:t>
      </w:r>
      <w:r w:rsidRPr="00913CBA">
        <w:rPr>
          <w:rFonts w:ascii="Times New Roman" w:hAnsi="Times New Roman"/>
        </w:rPr>
        <w:t>procedures.  However, the applied technology must not impede the examination process.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007B6C63" w:rsidP="000B0581" w:rsidRDefault="005A6C6D">
      <w:pPr>
        <w:ind w:left="720"/>
        <w:rPr>
          <w:rFonts w:ascii="Times New Roman" w:hAnsi="Times New Roman"/>
        </w:rPr>
      </w:pPr>
      <w:r w:rsidRPr="00E7318E">
        <w:rPr>
          <w:rFonts w:ascii="Times New Roman" w:hAnsi="Times New Roman"/>
          <w:szCs w:val="24"/>
        </w:rPr>
        <w:t xml:space="preserve">The information collected </w:t>
      </w:r>
      <w:r w:rsidR="00F33B5F">
        <w:rPr>
          <w:rFonts w:ascii="Times New Roman" w:hAnsi="Times New Roman"/>
          <w:szCs w:val="24"/>
        </w:rPr>
        <w:t xml:space="preserve">is unique to each institution and </w:t>
      </w:r>
      <w:r w:rsidRPr="00E7318E">
        <w:rPr>
          <w:rFonts w:ascii="Times New Roman" w:hAnsi="Times New Roman"/>
          <w:szCs w:val="24"/>
        </w:rPr>
        <w:t>does not duplicate information existing elsewhere.</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F33B5F" w:rsidRDefault="00F33B5F">
      <w:pPr>
        <w:ind w:left="720"/>
        <w:rPr>
          <w:rFonts w:ascii="Times New Roman" w:hAnsi="Times New Roman"/>
        </w:rPr>
      </w:pPr>
      <w:r>
        <w:rPr>
          <w:rFonts w:ascii="Times New Roman" w:hAnsi="Times New Roman"/>
        </w:rPr>
        <w:t xml:space="preserve">All banks are subject to the same requirement to prepare and maintain written procedures as part of this program to assure and monitor compliance with the Bank Secrecy Act (31 U.S.C. 5311 </w:t>
      </w:r>
      <w:r w:rsidRPr="00F33B5F">
        <w:rPr>
          <w:rFonts w:ascii="Times New Roman" w:hAnsi="Times New Roman"/>
        </w:rPr>
        <w:t>et</w:t>
      </w:r>
      <w:r>
        <w:rPr>
          <w:rFonts w:ascii="Times New Roman" w:hAnsi="Times New Roman"/>
        </w:rPr>
        <w:t xml:space="preserve"> </w:t>
      </w:r>
      <w:r w:rsidRPr="00F33B5F">
        <w:rPr>
          <w:rFonts w:ascii="Times New Roman" w:hAnsi="Times New Roman"/>
        </w:rPr>
        <w:t>seq</w:t>
      </w:r>
      <w:r>
        <w:rPr>
          <w:rFonts w:ascii="Times New Roman" w:hAnsi="Times New Roman"/>
        </w:rPr>
        <w:t>.) and the Treasury’s implementing regulations at 31 C.F.R. Chapter X.  The burden in preparing and maintaining written</w:t>
      </w:r>
      <w:r>
        <w:rPr>
          <w:rFonts w:ascii="Times New Roman" w:hAnsi="Times New Roman"/>
        </w:rPr>
        <w:t xml:space="preserve"> procedure is</w:t>
      </w:r>
      <w:r>
        <w:rPr>
          <w:rFonts w:ascii="Times New Roman" w:hAnsi="Times New Roman"/>
        </w:rPr>
        <w:t xml:space="preserve"> proportionate to the size and complexity of the bank’s operations.</w:t>
      </w:r>
    </w:p>
    <w:p w:rsidR="007B6C63" w:rsidRDefault="007B6C63">
      <w:pPr>
        <w:rPr>
          <w:rFonts w:ascii="Times New Roman" w:hAnsi="Times New Roman"/>
        </w:rPr>
      </w:pPr>
    </w:p>
    <w:p w:rsidRPr="00FC41DF" w:rsidR="007B6C63" w:rsidP="007522EF" w:rsidRDefault="007B6C63">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7522EF" w:rsidRDefault="005A25A8">
      <w:pPr>
        <w:ind w:left="720"/>
        <w:rPr>
          <w:rFonts w:ascii="Times New Roman" w:hAnsi="Times New Roman"/>
        </w:rPr>
      </w:pPr>
      <w:r>
        <w:rPr>
          <w:rFonts w:ascii="Times New Roman" w:hAnsi="Times New Roman"/>
        </w:rPr>
        <w:t>B</w:t>
      </w:r>
      <w:r w:rsidRPr="007522EF">
        <w:rPr>
          <w:rFonts w:ascii="Times New Roman" w:hAnsi="Times New Roman"/>
        </w:rPr>
        <w:t xml:space="preserve">anks are expected to collect relevant information as frequently as is necessary to keep abreast of </w:t>
      </w:r>
      <w:r>
        <w:rPr>
          <w:rFonts w:ascii="Times New Roman" w:hAnsi="Times New Roman"/>
        </w:rPr>
        <w:t>its operating</w:t>
      </w:r>
      <w:r w:rsidRPr="007522EF">
        <w:rPr>
          <w:rFonts w:ascii="Times New Roman" w:hAnsi="Times New Roman"/>
        </w:rPr>
        <w:t xml:space="preserve"> condition.  </w:t>
      </w:r>
      <w:r>
        <w:rPr>
          <w:rFonts w:ascii="Times New Roman" w:hAnsi="Times New Roman"/>
        </w:rPr>
        <w:t>Non-compliance with Bank Secrecy Act requirements</w:t>
      </w:r>
      <w:r w:rsidRPr="007522EF">
        <w:rPr>
          <w:rFonts w:ascii="Times New Roman" w:hAnsi="Times New Roman"/>
        </w:rPr>
        <w:t xml:space="preserve"> </w:t>
      </w:r>
      <w:r>
        <w:rPr>
          <w:rFonts w:ascii="Times New Roman" w:hAnsi="Times New Roman"/>
        </w:rPr>
        <w:t>exposes</w:t>
      </w:r>
      <w:r w:rsidRPr="007522EF">
        <w:rPr>
          <w:rFonts w:ascii="Times New Roman" w:hAnsi="Times New Roman"/>
        </w:rPr>
        <w:t xml:space="preserve"> bank</w:t>
      </w:r>
      <w:r>
        <w:rPr>
          <w:rFonts w:ascii="Times New Roman" w:hAnsi="Times New Roman"/>
        </w:rPr>
        <w:t>s</w:t>
      </w:r>
      <w:r w:rsidRPr="007522EF">
        <w:rPr>
          <w:rFonts w:ascii="Times New Roman" w:hAnsi="Times New Roman"/>
        </w:rPr>
        <w:t xml:space="preserve"> to </w:t>
      </w:r>
      <w:r>
        <w:rPr>
          <w:rFonts w:ascii="Times New Roman" w:hAnsi="Times New Roman"/>
        </w:rPr>
        <w:t xml:space="preserve">statutory penalties, fines and sanctions. Less frequent collection of this information would hinder the agency’s ability to assess </w:t>
      </w:r>
      <w:r>
        <w:rPr>
          <w:rFonts w:ascii="Times New Roman" w:hAnsi="Times New Roman"/>
        </w:rPr>
        <w:t>the safety and soundness of FDIC-supervised institutions.</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AF614A" w:rsidP="00624A74"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15D89" w:rsidR="00DE2D0B">
        <w:rPr>
          <w:rFonts w:ascii="Times New Roman" w:hAnsi="Times New Roman"/>
          <w:i/>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624A74">
        <w:rPr>
          <w:rFonts w:ascii="Times New Roman" w:hAnsi="Times New Roman"/>
        </w:rPr>
        <w:t>June 2</w:t>
      </w:r>
      <w:r w:rsidR="001305D1">
        <w:rPr>
          <w:rFonts w:ascii="Times New Roman" w:hAnsi="Times New Roman"/>
        </w:rPr>
        <w:t>,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624A74">
        <w:rPr>
          <w:rFonts w:ascii="Times New Roman" w:hAnsi="Times New Roman"/>
        </w:rPr>
        <w:t>33667</w:t>
      </w:r>
      <w:r w:rsidR="00DE2D0B">
        <w:rPr>
          <w:rFonts w:ascii="Times New Roman" w:hAnsi="Times New Roman"/>
        </w:rPr>
        <w:t>)</w:t>
      </w:r>
      <w:r>
        <w:rPr>
          <w:rFonts w:ascii="Times New Roman" w:hAnsi="Times New Roman"/>
        </w:rPr>
        <w:t xml:space="preserve">.  </w:t>
      </w:r>
      <w:r w:rsidR="00624A74">
        <w:rPr>
          <w:rFonts w:ascii="Times New Roman" w:hAnsi="Times New Roman"/>
        </w:rPr>
        <w:t>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P="00437618" w:rsidRDefault="007B6C63">
      <w:pPr>
        <w:keepNext/>
        <w:ind w:left="720" w:firstLine="720"/>
        <w:rPr>
          <w:rFonts w:ascii="Times New Roman" w:hAnsi="Times New Roman"/>
        </w:rPr>
      </w:pPr>
    </w:p>
    <w:p w:rsidR="007B6C63" w:rsidP="00437618" w:rsidRDefault="007B6C63">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rsidRDefault="007B6C63">
      <w:pPr>
        <w:keepNext/>
        <w:rPr>
          <w:rFonts w:ascii="Times New Roman" w:hAnsi="Times New Roman"/>
        </w:rPr>
      </w:pPr>
    </w:p>
    <w:p w:rsidR="00881712" w:rsidP="00437618" w:rsidRDefault="003566BB">
      <w:pPr>
        <w:keepNext/>
        <w:ind w:left="720"/>
        <w:rPr>
          <w:rFonts w:ascii="Times New Roman" w:hAnsi="Times New Roman"/>
        </w:rPr>
      </w:pPr>
      <w:r w:rsidRPr="00E7318E">
        <w:rPr>
          <w:rFonts w:ascii="Times New Roman" w:hAnsi="Times New Roman"/>
          <w:szCs w:val="24"/>
        </w:rPr>
        <w:t xml:space="preserve">The information will be kept </w:t>
      </w:r>
      <w:r w:rsidRPr="00E7318E">
        <w:rPr>
          <w:rFonts w:ascii="Times New Roman" w:hAnsi="Times New Roman"/>
          <w:bCs/>
          <w:szCs w:val="24"/>
        </w:rPr>
        <w:t>private</w:t>
      </w:r>
      <w:r w:rsidRPr="00E7318E">
        <w:rPr>
          <w:rFonts w:ascii="Times New Roman" w:hAnsi="Times New Roman"/>
          <w:szCs w:val="24"/>
        </w:rPr>
        <w:t xml:space="preserve"> to the extent provided by law.</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sidR="00881712">
        <w:rPr>
          <w:rFonts w:ascii="Times New Roman" w:hAnsi="Times New Roman"/>
          <w:b/>
          <w:bCs/>
          <w:iCs/>
          <w:u w:val="single"/>
        </w:rPr>
        <w:t>Justification</w:t>
      </w:r>
      <w:r w:rsidRPr="00846A1A" w:rsidR="00881712">
        <w:rPr>
          <w:rFonts w:ascii="Times New Roman" w:hAnsi="Times New Roman"/>
          <w:b/>
          <w:bCs/>
          <w:spacing w:val="-1"/>
          <w:szCs w:val="24"/>
          <w:u w:val="single"/>
        </w:rPr>
        <w:t xml:space="preserve"> </w:t>
      </w:r>
      <w:r w:rsidRPr="00846A1A" w:rsidR="00881712">
        <w:rPr>
          <w:rFonts w:ascii="Times New Roman" w:hAnsi="Times New Roman"/>
          <w:b/>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Pr="0018494E" w:rsidR="0018494E" w:rsidP="0018494E" w:rsidRDefault="00CC0F60">
      <w:pPr>
        <w:ind w:left="720"/>
        <w:rPr>
          <w:rFonts w:ascii="Times New Roman" w:hAnsi="Times New Roman"/>
          <w:spacing w:val="-1"/>
          <w:szCs w:val="24"/>
        </w:rPr>
      </w:pPr>
      <w:r>
        <w:rPr>
          <w:rFonts w:ascii="Times New Roman" w:hAnsi="Times New Roman"/>
          <w:spacing w:val="-1"/>
          <w:szCs w:val="24"/>
        </w:rPr>
        <w:t xml:space="preserve">Not </w:t>
      </w:r>
      <w:r w:rsidRPr="000B0581">
        <w:rPr>
          <w:rFonts w:ascii="Times New Roman" w:hAnsi="Times New Roman"/>
        </w:rPr>
        <w:t>applicable</w:t>
      </w:r>
      <w:r>
        <w:rPr>
          <w:rFonts w:ascii="Times New Roman" w:hAnsi="Times New Roman"/>
          <w:spacing w:val="-1"/>
          <w:szCs w:val="24"/>
        </w:rPr>
        <w:t>. No sensitive information is collected.</w:t>
      </w:r>
    </w:p>
    <w:p w:rsidR="0018494E" w:rsidRDefault="0018494E">
      <w:pPr>
        <w:widowControl/>
        <w:rPr>
          <w:rFonts w:ascii="Times New Roman" w:hAnsi="Times New Roman"/>
        </w:rPr>
      </w:pPr>
      <w:r>
        <w:rPr>
          <w:rFonts w:ascii="Times New Roman" w:hAnsi="Times New Roman"/>
        </w:rPr>
        <w:br w:type="page"/>
      </w:r>
    </w:p>
    <w:p w:rsidR="00615BAD" w:rsidRDefault="00615BAD">
      <w:pPr>
        <w:rPr>
          <w:rFonts w:ascii="Times New Roman" w:hAnsi="Times New Roman"/>
        </w:rPr>
      </w:pP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18494E" w:rsidP="0018494E" w:rsidRDefault="0018494E">
      <w:pPr>
        <w:widowControl/>
        <w:rPr>
          <w:rFonts w:ascii="Times New Roman" w:hAnsi="Times New Roman"/>
          <w:snapToGrid/>
          <w:szCs w:val="24"/>
        </w:rPr>
      </w:pPr>
    </w:p>
    <w:p w:rsidRPr="0018494E" w:rsidR="0018494E" w:rsidP="0018494E" w:rsidRDefault="0018494E">
      <w:pPr>
        <w:widowControl/>
        <w:ind w:left="720"/>
        <w:rPr>
          <w:rFonts w:ascii="Times New Roman" w:hAnsi="Times New Roman"/>
          <w:snapToGrid/>
        </w:rPr>
      </w:pPr>
      <w:r w:rsidRPr="0018494E">
        <w:rPr>
          <w:rFonts w:ascii="Times New Roman" w:hAnsi="Times New Roman"/>
          <w:snapToGrid/>
        </w:rPr>
        <w:t>The FDIC estimates that the annual recordkeeping burden of approximately 3,</w:t>
      </w:r>
      <w:r w:rsidR="004B5423">
        <w:rPr>
          <w:rFonts w:ascii="Times New Roman" w:hAnsi="Times New Roman"/>
          <w:snapToGrid/>
        </w:rPr>
        <w:t>344 FDIC supervised</w:t>
      </w:r>
      <w:r w:rsidRPr="0018494E">
        <w:rPr>
          <w:rFonts w:ascii="Times New Roman" w:hAnsi="Times New Roman"/>
          <w:snapToGrid/>
        </w:rPr>
        <w:t xml:space="preserve"> institutions will vary, depending on the size, complexity, and type of bank.  The burden is calculated as f</w:t>
      </w:r>
      <w:bookmarkStart w:name="_GoBack" w:id="0"/>
      <w:bookmarkEnd w:id="0"/>
      <w:r w:rsidRPr="0018494E">
        <w:rPr>
          <w:rFonts w:ascii="Times New Roman" w:hAnsi="Times New Roman"/>
          <w:snapToGrid/>
        </w:rPr>
        <w:t>ollows:</w:t>
      </w:r>
    </w:p>
    <w:p w:rsidRPr="0018494E" w:rsidR="0018494E" w:rsidP="0018494E" w:rsidRDefault="0018494E">
      <w:pPr>
        <w:widowControl/>
        <w:ind w:left="1440"/>
        <w:rPr>
          <w:rFonts w:ascii="Times New Roman" w:hAnsi="Times New Roman"/>
          <w:snapToGrid/>
        </w:rPr>
      </w:pPr>
    </w:p>
    <w:tbl>
      <w:tblPr>
        <w:tblpPr w:leftFromText="180" w:rightFromText="180" w:vertAnchor="text" w:horzAnchor="margin" w:tblpXSpec="center" w:tblpY="81"/>
        <w:tblW w:w="9710" w:type="dxa"/>
        <w:tblLayout w:type="fixed"/>
        <w:tblLook w:val="04A0" w:firstRow="1" w:lastRow="0" w:firstColumn="1" w:lastColumn="0" w:noHBand="0" w:noVBand="1"/>
      </w:tblPr>
      <w:tblGrid>
        <w:gridCol w:w="3053"/>
        <w:gridCol w:w="1347"/>
        <w:gridCol w:w="1080"/>
        <w:gridCol w:w="1170"/>
        <w:gridCol w:w="990"/>
        <w:gridCol w:w="990"/>
        <w:gridCol w:w="1080"/>
      </w:tblGrid>
      <w:tr w:rsidRPr="004B5423" w:rsidR="004B5423" w:rsidTr="004B5423">
        <w:trPr>
          <w:trHeight w:val="537"/>
        </w:trPr>
        <w:tc>
          <w:tcPr>
            <w:tcW w:w="971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4B5423" w:rsidR="004B5423" w:rsidP="004B5423" w:rsidRDefault="004B5423">
            <w:pPr>
              <w:widowControl/>
              <w:jc w:val="center"/>
              <w:rPr>
                <w:rFonts w:ascii="Times New Roman" w:hAnsi="Times New Roman"/>
                <w:b/>
                <w:bCs/>
                <w:snapToGrid/>
                <w:color w:val="000000"/>
                <w:sz w:val="16"/>
                <w:szCs w:val="16"/>
              </w:rPr>
            </w:pPr>
            <w:r w:rsidRPr="004B5423">
              <w:rPr>
                <w:rFonts w:ascii="Times New Roman" w:hAnsi="Times New Roman"/>
                <w:snapToGrid/>
                <w:szCs w:val="24"/>
                <w:u w:val="single"/>
              </w:rPr>
              <w:br w:type="page"/>
            </w:r>
            <w:r w:rsidRPr="004B5423">
              <w:rPr>
                <w:rFonts w:ascii="Times New Roman" w:hAnsi="Times New Roman"/>
                <w:b/>
                <w:bCs/>
                <w:snapToGrid/>
                <w:color w:val="000000"/>
                <w:sz w:val="16"/>
                <w:szCs w:val="16"/>
              </w:rPr>
              <w:t xml:space="preserve">Summary of Annual Burden </w:t>
            </w:r>
          </w:p>
        </w:tc>
      </w:tr>
      <w:tr w:rsidRPr="004B5423" w:rsidR="004B5423" w:rsidTr="004B5423">
        <w:trPr>
          <w:trHeight w:val="923"/>
        </w:trPr>
        <w:tc>
          <w:tcPr>
            <w:tcW w:w="3053" w:type="dxa"/>
            <w:tcBorders>
              <w:top w:val="nil"/>
              <w:left w:val="single" w:color="auto" w:sz="4" w:space="0"/>
              <w:bottom w:val="single" w:color="auto" w:sz="4" w:space="0"/>
              <w:right w:val="single" w:color="auto" w:sz="4" w:space="0"/>
            </w:tcBorders>
            <w:shd w:val="clear" w:color="auto" w:fill="auto"/>
            <w:noWrap/>
            <w:vAlign w:val="center"/>
            <w:hideMark/>
          </w:tcPr>
          <w:p w:rsidRPr="004B5423" w:rsidR="004B5423" w:rsidP="004B5423" w:rsidRDefault="004B5423">
            <w:pPr>
              <w:widowControl/>
              <w:jc w:val="center"/>
              <w:rPr>
                <w:rFonts w:ascii="Times New Roman" w:hAnsi="Times New Roman"/>
                <w:b/>
                <w:bCs/>
                <w:snapToGrid/>
                <w:color w:val="000000"/>
                <w:sz w:val="16"/>
                <w:szCs w:val="16"/>
              </w:rPr>
            </w:pPr>
            <w:r w:rsidRPr="004B5423">
              <w:rPr>
                <w:rFonts w:ascii="Times New Roman" w:hAnsi="Times New Roman"/>
                <w:b/>
                <w:bCs/>
                <w:snapToGrid/>
                <w:color w:val="000000"/>
                <w:sz w:val="18"/>
                <w:szCs w:val="16"/>
              </w:rPr>
              <w:t>Information Collection  Description</w:t>
            </w:r>
          </w:p>
        </w:tc>
        <w:tc>
          <w:tcPr>
            <w:tcW w:w="1347"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Type of Burden</w:t>
            </w:r>
          </w:p>
        </w:tc>
        <w:tc>
          <w:tcPr>
            <w:tcW w:w="108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Obligation to Respond</w:t>
            </w:r>
          </w:p>
        </w:tc>
        <w:tc>
          <w:tcPr>
            <w:tcW w:w="117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Number of Respondents</w:t>
            </w:r>
          </w:p>
        </w:tc>
        <w:tc>
          <w:tcPr>
            <w:tcW w:w="99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Frequency of Responses</w:t>
            </w:r>
          </w:p>
        </w:tc>
        <w:tc>
          <w:tcPr>
            <w:tcW w:w="99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Time per Response (Hours)</w:t>
            </w:r>
          </w:p>
        </w:tc>
        <w:tc>
          <w:tcPr>
            <w:tcW w:w="108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Annual Burden (Hours)</w:t>
            </w:r>
          </w:p>
        </w:tc>
      </w:tr>
      <w:tr w:rsidRPr="004B5423" w:rsidR="004B5423" w:rsidTr="004B5423">
        <w:trPr>
          <w:trHeight w:val="953"/>
        </w:trPr>
        <w:tc>
          <w:tcPr>
            <w:tcW w:w="3053" w:type="dxa"/>
            <w:tcBorders>
              <w:top w:val="nil"/>
              <w:left w:val="single" w:color="auto" w:sz="4" w:space="0"/>
              <w:bottom w:val="single" w:color="auto" w:sz="4" w:space="0"/>
              <w:right w:val="single" w:color="auto" w:sz="4" w:space="0"/>
            </w:tcBorders>
            <w:shd w:val="clear" w:color="auto" w:fill="auto"/>
            <w:vAlign w:val="center"/>
            <w:hideMark/>
          </w:tcPr>
          <w:p w:rsidRPr="004B5423" w:rsidR="004B5423" w:rsidP="004B5423" w:rsidRDefault="004B5423">
            <w:pPr>
              <w:widowControl/>
              <w:rPr>
                <w:rFonts w:ascii="Times New Roman" w:hAnsi="Times New Roman"/>
                <w:b/>
                <w:bCs/>
                <w:i/>
                <w:snapToGrid/>
                <w:color w:val="000000"/>
                <w:sz w:val="18"/>
                <w:szCs w:val="18"/>
              </w:rPr>
            </w:pPr>
            <w:r w:rsidRPr="004B5423">
              <w:rPr>
                <w:rFonts w:ascii="Times New Roman" w:hAnsi="Times New Roman"/>
                <w:b/>
                <w:bCs/>
                <w:snapToGrid/>
                <w:color w:val="000000"/>
                <w:sz w:val="18"/>
                <w:szCs w:val="18"/>
              </w:rPr>
              <w:t xml:space="preserve">Procedures for Monitoring BSA Compliance – </w:t>
            </w:r>
            <w:r w:rsidRPr="004B5423">
              <w:rPr>
                <w:rFonts w:ascii="Times New Roman" w:hAnsi="Times New Roman"/>
                <w:b/>
                <w:bCs/>
                <w:i/>
                <w:snapToGrid/>
                <w:color w:val="000000"/>
                <w:sz w:val="18"/>
                <w:szCs w:val="18"/>
              </w:rPr>
              <w:t>Small Institutions</w:t>
            </w:r>
          </w:p>
          <w:p w:rsidRPr="004B5423" w:rsidR="004B5423" w:rsidP="004B5423" w:rsidRDefault="004B5423">
            <w:pPr>
              <w:widowControl/>
              <w:rPr>
                <w:rFonts w:ascii="Times New Roman" w:hAnsi="Times New Roman"/>
                <w:b/>
                <w:bCs/>
                <w:i/>
                <w:snapToGrid/>
                <w:color w:val="000000"/>
                <w:sz w:val="18"/>
                <w:szCs w:val="18"/>
              </w:rPr>
            </w:pPr>
          </w:p>
          <w:p w:rsidRPr="004B5423" w:rsidR="004B5423" w:rsidP="004B5423" w:rsidRDefault="004B5423">
            <w:pPr>
              <w:widowControl/>
              <w:rPr>
                <w:rFonts w:ascii="Times New Roman" w:hAnsi="Times New Roman"/>
                <w:snapToGrid/>
                <w:color w:val="000000"/>
                <w:sz w:val="18"/>
                <w:szCs w:val="18"/>
              </w:rPr>
            </w:pPr>
            <w:r w:rsidRPr="004B5423">
              <w:rPr>
                <w:rFonts w:ascii="Times New Roman" w:hAnsi="Times New Roman"/>
                <w:b/>
                <w:bCs/>
                <w:i/>
                <w:snapToGrid/>
                <w:color w:val="000000"/>
                <w:sz w:val="18"/>
                <w:szCs w:val="18"/>
              </w:rPr>
              <w:t>(Less than $500 million)</w:t>
            </w:r>
          </w:p>
        </w:tc>
        <w:tc>
          <w:tcPr>
            <w:tcW w:w="1347"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Recordkeeping</w:t>
            </w:r>
          </w:p>
        </w:tc>
        <w:tc>
          <w:tcPr>
            <w:tcW w:w="108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Mandatory</w:t>
            </w:r>
          </w:p>
        </w:tc>
        <w:tc>
          <w:tcPr>
            <w:tcW w:w="117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2,523</w:t>
            </w:r>
          </w:p>
        </w:tc>
        <w:tc>
          <w:tcPr>
            <w:tcW w:w="99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On Occasion</w:t>
            </w:r>
          </w:p>
        </w:tc>
        <w:tc>
          <w:tcPr>
            <w:tcW w:w="990" w:type="dxa"/>
            <w:tcBorders>
              <w:top w:val="nil"/>
              <w:left w:val="nil"/>
              <w:bottom w:val="single" w:color="auto" w:sz="4" w:space="0"/>
              <w:right w:val="single" w:color="auto" w:sz="4" w:space="0"/>
            </w:tcBorders>
            <w:shd w:val="clear" w:color="auto" w:fill="auto"/>
            <w:vAlign w:val="center"/>
            <w:hideMark/>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35</w:t>
            </w:r>
          </w:p>
        </w:tc>
        <w:tc>
          <w:tcPr>
            <w:tcW w:w="108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88,305</w:t>
            </w:r>
          </w:p>
        </w:tc>
      </w:tr>
      <w:tr w:rsidRPr="004B5423" w:rsidR="004B5423" w:rsidTr="004B5423">
        <w:trPr>
          <w:trHeight w:val="953"/>
        </w:trPr>
        <w:tc>
          <w:tcPr>
            <w:tcW w:w="3053" w:type="dxa"/>
            <w:tcBorders>
              <w:top w:val="nil"/>
              <w:left w:val="single" w:color="auto" w:sz="4" w:space="0"/>
              <w:bottom w:val="single" w:color="auto" w:sz="4" w:space="0"/>
              <w:right w:val="single" w:color="auto" w:sz="4" w:space="0"/>
            </w:tcBorders>
            <w:shd w:val="clear" w:color="auto" w:fill="auto"/>
            <w:vAlign w:val="center"/>
          </w:tcPr>
          <w:p w:rsidRPr="004B5423" w:rsidR="004B5423" w:rsidP="004B5423" w:rsidRDefault="004B5423">
            <w:pPr>
              <w:widowControl/>
              <w:rPr>
                <w:rFonts w:ascii="Times New Roman" w:hAnsi="Times New Roman"/>
                <w:b/>
                <w:bCs/>
                <w:i/>
                <w:snapToGrid/>
                <w:color w:val="000000"/>
                <w:sz w:val="18"/>
                <w:szCs w:val="18"/>
              </w:rPr>
            </w:pPr>
            <w:r w:rsidRPr="004B5423">
              <w:rPr>
                <w:rFonts w:ascii="Times New Roman" w:hAnsi="Times New Roman"/>
                <w:b/>
                <w:bCs/>
                <w:snapToGrid/>
                <w:color w:val="000000"/>
                <w:sz w:val="18"/>
                <w:szCs w:val="18"/>
              </w:rPr>
              <w:t xml:space="preserve">Procedures for Monitoring BSA Compliance – </w:t>
            </w:r>
            <w:r w:rsidRPr="004B5423">
              <w:rPr>
                <w:rFonts w:ascii="Times New Roman" w:hAnsi="Times New Roman"/>
                <w:b/>
                <w:bCs/>
                <w:i/>
                <w:snapToGrid/>
                <w:color w:val="000000"/>
                <w:sz w:val="18"/>
                <w:szCs w:val="18"/>
              </w:rPr>
              <w:t>Medium Institutions</w:t>
            </w:r>
          </w:p>
          <w:p w:rsidRPr="004B5423" w:rsidR="004B5423" w:rsidP="004B5423" w:rsidRDefault="004B5423">
            <w:pPr>
              <w:widowControl/>
              <w:rPr>
                <w:rFonts w:ascii="Times New Roman" w:hAnsi="Times New Roman"/>
                <w:b/>
                <w:bCs/>
                <w:i/>
                <w:snapToGrid/>
                <w:color w:val="000000"/>
                <w:sz w:val="18"/>
                <w:szCs w:val="18"/>
              </w:rPr>
            </w:pPr>
          </w:p>
          <w:p w:rsidRPr="004B5423" w:rsidR="004B5423" w:rsidP="004B5423" w:rsidRDefault="004B5423">
            <w:pPr>
              <w:widowControl/>
              <w:rPr>
                <w:rFonts w:ascii="Times New Roman" w:hAnsi="Times New Roman"/>
                <w:snapToGrid/>
                <w:color w:val="000000"/>
                <w:sz w:val="18"/>
                <w:szCs w:val="18"/>
              </w:rPr>
            </w:pPr>
            <w:r w:rsidRPr="004B5423">
              <w:rPr>
                <w:rFonts w:ascii="Times New Roman" w:hAnsi="Times New Roman"/>
                <w:b/>
                <w:bCs/>
                <w:i/>
                <w:snapToGrid/>
                <w:color w:val="000000"/>
                <w:sz w:val="18"/>
                <w:szCs w:val="18"/>
              </w:rPr>
              <w:t>($500 million -$10 billion)</w:t>
            </w:r>
          </w:p>
        </w:tc>
        <w:tc>
          <w:tcPr>
            <w:tcW w:w="1347"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Recordkeeping</w:t>
            </w:r>
          </w:p>
        </w:tc>
        <w:tc>
          <w:tcPr>
            <w:tcW w:w="108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Mandatory</w:t>
            </w:r>
          </w:p>
        </w:tc>
        <w:tc>
          <w:tcPr>
            <w:tcW w:w="117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774</w:t>
            </w:r>
          </w:p>
        </w:tc>
        <w:tc>
          <w:tcPr>
            <w:tcW w:w="99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On Occasion</w:t>
            </w:r>
          </w:p>
        </w:tc>
        <w:tc>
          <w:tcPr>
            <w:tcW w:w="99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250</w:t>
            </w:r>
          </w:p>
        </w:tc>
        <w:tc>
          <w:tcPr>
            <w:tcW w:w="108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193,500</w:t>
            </w:r>
          </w:p>
        </w:tc>
      </w:tr>
      <w:tr w:rsidRPr="004B5423" w:rsidR="004B5423" w:rsidTr="004B5423">
        <w:trPr>
          <w:trHeight w:val="953"/>
        </w:trPr>
        <w:tc>
          <w:tcPr>
            <w:tcW w:w="3053" w:type="dxa"/>
            <w:tcBorders>
              <w:top w:val="nil"/>
              <w:left w:val="single" w:color="auto" w:sz="4" w:space="0"/>
              <w:bottom w:val="single" w:color="auto" w:sz="4" w:space="0"/>
              <w:right w:val="single" w:color="auto" w:sz="4" w:space="0"/>
            </w:tcBorders>
            <w:shd w:val="clear" w:color="auto" w:fill="auto"/>
            <w:vAlign w:val="center"/>
          </w:tcPr>
          <w:p w:rsidRPr="004B5423" w:rsidR="004B5423" w:rsidP="004B5423" w:rsidRDefault="004B5423">
            <w:pPr>
              <w:widowControl/>
              <w:rPr>
                <w:rFonts w:ascii="Times New Roman" w:hAnsi="Times New Roman"/>
                <w:b/>
                <w:bCs/>
                <w:i/>
                <w:snapToGrid/>
                <w:color w:val="000000"/>
                <w:sz w:val="18"/>
                <w:szCs w:val="18"/>
              </w:rPr>
            </w:pPr>
            <w:r w:rsidRPr="004B5423">
              <w:rPr>
                <w:rFonts w:ascii="Times New Roman" w:hAnsi="Times New Roman"/>
                <w:b/>
                <w:bCs/>
                <w:snapToGrid/>
                <w:color w:val="000000"/>
                <w:sz w:val="18"/>
                <w:szCs w:val="18"/>
              </w:rPr>
              <w:t xml:space="preserve">Procedures for Monitoring BSA Compliance – </w:t>
            </w:r>
            <w:r w:rsidRPr="004B5423">
              <w:rPr>
                <w:rFonts w:ascii="Times New Roman" w:hAnsi="Times New Roman"/>
                <w:b/>
                <w:bCs/>
                <w:i/>
                <w:snapToGrid/>
                <w:color w:val="000000"/>
                <w:sz w:val="18"/>
                <w:szCs w:val="18"/>
              </w:rPr>
              <w:t>Large Institutions</w:t>
            </w:r>
          </w:p>
          <w:p w:rsidRPr="004B5423" w:rsidR="004B5423" w:rsidP="004B5423" w:rsidRDefault="004B5423">
            <w:pPr>
              <w:widowControl/>
              <w:rPr>
                <w:rFonts w:ascii="Times New Roman" w:hAnsi="Times New Roman"/>
                <w:b/>
                <w:bCs/>
                <w:i/>
                <w:snapToGrid/>
                <w:color w:val="000000"/>
                <w:sz w:val="18"/>
                <w:szCs w:val="18"/>
              </w:rPr>
            </w:pPr>
          </w:p>
          <w:p w:rsidRPr="004B5423" w:rsidR="004B5423" w:rsidP="004B5423" w:rsidRDefault="004B5423">
            <w:pPr>
              <w:widowControl/>
              <w:rPr>
                <w:rFonts w:ascii="Times New Roman" w:hAnsi="Times New Roman"/>
                <w:snapToGrid/>
                <w:color w:val="000000"/>
                <w:sz w:val="18"/>
                <w:szCs w:val="18"/>
              </w:rPr>
            </w:pPr>
            <w:r w:rsidRPr="004B5423">
              <w:rPr>
                <w:rFonts w:ascii="Times New Roman" w:hAnsi="Times New Roman"/>
                <w:b/>
                <w:bCs/>
                <w:i/>
                <w:snapToGrid/>
                <w:color w:val="000000"/>
                <w:sz w:val="18"/>
                <w:szCs w:val="18"/>
              </w:rPr>
              <w:t>(0ver $10 billion)</w:t>
            </w:r>
          </w:p>
        </w:tc>
        <w:tc>
          <w:tcPr>
            <w:tcW w:w="1347"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Recordkeeping</w:t>
            </w:r>
          </w:p>
        </w:tc>
        <w:tc>
          <w:tcPr>
            <w:tcW w:w="108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Mandatory</w:t>
            </w:r>
          </w:p>
        </w:tc>
        <w:tc>
          <w:tcPr>
            <w:tcW w:w="117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47</w:t>
            </w:r>
          </w:p>
        </w:tc>
        <w:tc>
          <w:tcPr>
            <w:tcW w:w="99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On Occasion</w:t>
            </w:r>
          </w:p>
        </w:tc>
        <w:tc>
          <w:tcPr>
            <w:tcW w:w="99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450</w:t>
            </w:r>
          </w:p>
        </w:tc>
        <w:tc>
          <w:tcPr>
            <w:tcW w:w="1080" w:type="dxa"/>
            <w:tcBorders>
              <w:top w:val="nil"/>
              <w:left w:val="nil"/>
              <w:bottom w:val="single" w:color="auto" w:sz="4" w:space="0"/>
              <w:right w:val="single" w:color="auto" w:sz="4" w:space="0"/>
            </w:tcBorders>
            <w:shd w:val="clear" w:color="auto" w:fill="auto"/>
            <w:vAlign w:val="center"/>
          </w:tcPr>
          <w:p w:rsidRPr="004B5423" w:rsidR="004B5423" w:rsidP="004B5423" w:rsidRDefault="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21,150</w:t>
            </w:r>
          </w:p>
        </w:tc>
      </w:tr>
      <w:tr w:rsidRPr="004B5423" w:rsidR="004B5423" w:rsidTr="004B5423">
        <w:trPr>
          <w:trHeight w:val="738"/>
        </w:trPr>
        <w:tc>
          <w:tcPr>
            <w:tcW w:w="7640" w:type="dxa"/>
            <w:gridSpan w:val="5"/>
            <w:tcBorders>
              <w:top w:val="single" w:color="auto" w:sz="4" w:space="0"/>
            </w:tcBorders>
            <w:shd w:val="clear" w:color="auto" w:fill="auto"/>
            <w:vAlign w:val="center"/>
            <w:hideMark/>
          </w:tcPr>
          <w:p w:rsidRPr="004B5423" w:rsidR="004B5423" w:rsidP="004B5423" w:rsidRDefault="004B5423">
            <w:pPr>
              <w:widowControl/>
              <w:rPr>
                <w:rFonts w:ascii="Times New Roman" w:hAnsi="Times New Roman"/>
                <w:b/>
                <w:bCs/>
                <w:snapToGrid/>
                <w:color w:val="000000"/>
                <w:sz w:val="18"/>
                <w:szCs w:val="16"/>
              </w:rPr>
            </w:pPr>
            <w:r w:rsidRPr="004B5423">
              <w:rPr>
                <w:rFonts w:ascii="Times New Roman" w:hAnsi="Times New Roman"/>
                <w:b/>
                <w:bCs/>
                <w:snapToGrid/>
                <w:color w:val="000000"/>
                <w:sz w:val="20"/>
                <w:szCs w:val="16"/>
              </w:rPr>
              <w:t>Total Estimated Annual Burden</w:t>
            </w:r>
          </w:p>
          <w:p w:rsidRPr="004B5423" w:rsidR="004B5423" w:rsidP="004B5423" w:rsidRDefault="004B5423">
            <w:pPr>
              <w:widowControl/>
              <w:rPr>
                <w:rFonts w:ascii="Times New Roman" w:hAnsi="Times New Roman"/>
                <w:snapToGrid/>
                <w:color w:val="000000"/>
                <w:sz w:val="16"/>
                <w:szCs w:val="16"/>
              </w:rPr>
            </w:pPr>
            <w:r w:rsidRPr="004B5423">
              <w:rPr>
                <w:rFonts w:ascii="Times New Roman" w:hAnsi="Times New Roman"/>
                <w:snapToGrid/>
                <w:color w:val="000000"/>
                <w:sz w:val="16"/>
                <w:szCs w:val="16"/>
              </w:rPr>
              <w:t> </w:t>
            </w:r>
          </w:p>
        </w:tc>
        <w:tc>
          <w:tcPr>
            <w:tcW w:w="2070" w:type="dxa"/>
            <w:gridSpan w:val="2"/>
            <w:tcBorders>
              <w:top w:val="single" w:color="auto" w:sz="4" w:space="0"/>
            </w:tcBorders>
            <w:shd w:val="clear" w:color="auto" w:fill="auto"/>
            <w:noWrap/>
            <w:vAlign w:val="center"/>
            <w:hideMark/>
          </w:tcPr>
          <w:p w:rsidRPr="004B5423" w:rsidR="004B5423" w:rsidP="004B5423" w:rsidRDefault="004B5423">
            <w:pPr>
              <w:widowControl/>
              <w:jc w:val="right"/>
              <w:rPr>
                <w:rFonts w:ascii="Times New Roman" w:hAnsi="Times New Roman"/>
                <w:b/>
                <w:snapToGrid/>
                <w:color w:val="000000"/>
                <w:sz w:val="16"/>
                <w:szCs w:val="16"/>
              </w:rPr>
            </w:pPr>
            <w:r w:rsidRPr="004B5423">
              <w:rPr>
                <w:rFonts w:ascii="Times New Roman" w:hAnsi="Times New Roman"/>
                <w:b/>
                <w:snapToGrid/>
                <w:color w:val="000000"/>
                <w:sz w:val="20"/>
                <w:szCs w:val="16"/>
              </w:rPr>
              <w:t>302,955 hours</w:t>
            </w:r>
          </w:p>
        </w:tc>
      </w:tr>
    </w:tbl>
    <w:p w:rsidR="00B75F0F" w:rsidRDefault="00B75F0F">
      <w:pPr>
        <w:rPr>
          <w:rFonts w:ascii="Times New Roman" w:hAnsi="Times New Roman"/>
        </w:rPr>
      </w:pPr>
    </w:p>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Pr="007B75C8" w:rsidR="007B75C8" w:rsidP="007B75C8" w:rsidRDefault="007B75C8">
      <w:pPr>
        <w:keepNext/>
        <w:ind w:left="720"/>
        <w:rPr>
          <w:rFonts w:ascii="Times New Roman" w:hAnsi="Times New Roman"/>
          <w:snapToGrid/>
          <w:szCs w:val="24"/>
        </w:rPr>
      </w:pPr>
      <w:r>
        <w:rPr>
          <w:rFonts w:ascii="Times New Roman" w:hAnsi="Times New Roman"/>
          <w:snapToGrid/>
          <w:szCs w:val="24"/>
        </w:rPr>
        <w:t xml:space="preserve">FDIC </w:t>
      </w:r>
      <w:r w:rsidRPr="007B75C8">
        <w:rPr>
          <w:rFonts w:ascii="Times New Roman" w:hAnsi="Times New Roman"/>
          <w:snapToGrid/>
          <w:szCs w:val="24"/>
        </w:rPr>
        <w:t>estimate</w:t>
      </w:r>
      <w:r>
        <w:rPr>
          <w:rFonts w:ascii="Times New Roman" w:hAnsi="Times New Roman"/>
          <w:snapToGrid/>
          <w:szCs w:val="24"/>
        </w:rPr>
        <w:t>s</w:t>
      </w:r>
      <w:r w:rsidRPr="007B75C8">
        <w:rPr>
          <w:rFonts w:ascii="Times New Roman" w:hAnsi="Times New Roman"/>
          <w:snapToGrid/>
          <w:szCs w:val="24"/>
        </w:rPr>
        <w:t xml:space="preserve"> that 70 percent of the recordkeeping </w:t>
      </w:r>
      <w:r>
        <w:rPr>
          <w:rFonts w:ascii="Times New Roman" w:hAnsi="Times New Roman"/>
          <w:snapToGrid/>
          <w:szCs w:val="24"/>
        </w:rPr>
        <w:t>work related to this information collection</w:t>
      </w:r>
      <w:r w:rsidRPr="007B75C8">
        <w:rPr>
          <w:rFonts w:ascii="Times New Roman" w:hAnsi="Times New Roman"/>
          <w:snapToGrid/>
          <w:szCs w:val="24"/>
        </w:rPr>
        <w:t xml:space="preserve"> will be performed by Clerical personnel, 29 percent will be performed by Compliance Officers, and 1 percent will be performed by Executives and Managers. Based on recent Bureau of Labor Standards (BLS) estimates of wages for these professions, the average hourly compliance cost for </w:t>
      </w:r>
      <w:r w:rsidR="00E37F0E">
        <w:rPr>
          <w:rFonts w:ascii="Times New Roman" w:hAnsi="Times New Roman"/>
          <w:snapToGrid/>
          <w:szCs w:val="24"/>
        </w:rPr>
        <w:t>respondents to this information collection</w:t>
      </w:r>
      <w:r w:rsidRPr="007B75C8">
        <w:rPr>
          <w:rFonts w:ascii="Times New Roman" w:hAnsi="Times New Roman"/>
          <w:snapToGrid/>
          <w:szCs w:val="24"/>
        </w:rPr>
        <w:t xml:space="preserve"> is $43.00.</w:t>
      </w:r>
      <w:r w:rsidRPr="007B75C8">
        <w:rPr>
          <w:rFonts w:ascii="Times New Roman" w:hAnsi="Times New Roman"/>
          <w:snapToGrid/>
          <w:szCs w:val="24"/>
          <w:vertAlign w:val="superscript"/>
        </w:rPr>
        <w:footnoteReference w:id="1"/>
      </w:r>
      <w:r w:rsidRPr="007B75C8">
        <w:rPr>
          <w:rFonts w:ascii="Times New Roman" w:hAnsi="Times New Roman"/>
          <w:snapToGrid/>
          <w:szCs w:val="24"/>
        </w:rPr>
        <w:t xml:space="preserve"> </w:t>
      </w:r>
    </w:p>
    <w:p w:rsidRPr="002A5F6B" w:rsidR="00856473" w:rsidP="002A5F6B" w:rsidRDefault="00856473">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DB2FBD" w:rsidRDefault="00A26153">
      <w:pPr>
        <w:widowControl/>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E37F0E">
        <w:rPr>
          <w:rFonts w:ascii="Times New Roman" w:hAnsi="Times New Roman"/>
          <w:snapToGrid/>
          <w:szCs w:val="24"/>
        </w:rPr>
        <w:t>302,955</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E37F0E">
        <w:rPr>
          <w:rFonts w:ascii="Times New Roman" w:hAnsi="Times New Roman"/>
          <w:snapToGrid/>
          <w:szCs w:val="24"/>
        </w:rPr>
        <w:t>43</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E37F0E">
        <w:rPr>
          <w:rFonts w:ascii="Times New Roman" w:hAnsi="Times New Roman"/>
          <w:snapToGrid/>
          <w:szCs w:val="24"/>
        </w:rPr>
        <w:t>13,027,065</w:t>
      </w:r>
      <w:r w:rsidRPr="002A5F6B" w:rsidR="002A5F6B">
        <w:rPr>
          <w:rFonts w:ascii="Times New Roman" w:hAnsi="Times New Roman"/>
          <w:snapToGrid/>
          <w:szCs w:val="24"/>
        </w:rPr>
        <w:t xml:space="preserve"> 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w:t>
      </w:r>
      <w:r w:rsidR="004D7214">
        <w:rPr>
          <w:rFonts w:ascii="Times New Roman" w:hAnsi="Times New Roman"/>
        </w:rPr>
        <w:t xml:space="preserve"> </w:t>
      </w:r>
      <w:r w:rsidR="00D71C2D">
        <w:rPr>
          <w:rFonts w:ascii="Times New Roman" w:hAnsi="Times New Roman"/>
        </w:rPr>
        <w:t>443-hour decrease in burden from 305,185 hours to 302,955 hours</w:t>
      </w:r>
      <w:r w:rsidR="004D7214">
        <w:rPr>
          <w:rFonts w:ascii="Times New Roman" w:hAnsi="Times New Roman"/>
        </w:rPr>
        <w:t xml:space="preserve"> </w:t>
      </w:r>
      <w:r w:rsidR="00243D0C">
        <w:rPr>
          <w:rFonts w:ascii="Times New Roman" w:hAnsi="Times New Roman"/>
        </w:rPr>
        <w:t>is due</w:t>
      </w:r>
      <w:r w:rsidR="000B5588">
        <w:rPr>
          <w:rFonts w:ascii="Times New Roman" w:hAnsi="Times New Roman"/>
        </w:rPr>
        <w:t xml:space="preserve"> solely to </w:t>
      </w:r>
      <w:r w:rsidR="00D71C2D">
        <w:rPr>
          <w:rFonts w:ascii="Times New Roman" w:hAnsi="Times New Roman"/>
        </w:rPr>
        <w:t>the reduction in the estimated number of responses due to a reduction in the number of FDIC-supervised institutions</w:t>
      </w:r>
      <w:r w:rsidR="000B5588">
        <w:rPr>
          <w:rFonts w:ascii="Times New Roman" w:hAnsi="Times New Roman"/>
        </w:rPr>
        <w:t xml:space="preserve">. </w:t>
      </w:r>
      <w:r w:rsidR="00125A5D">
        <w:rPr>
          <w:rFonts w:ascii="Times New Roman" w:hAnsi="Times New Roman"/>
          <w:snapToGrid/>
          <w:szCs w:val="24"/>
        </w:rPr>
        <w:t xml:space="preserve">The </w:t>
      </w:r>
      <w:r w:rsidR="004D7214">
        <w:rPr>
          <w:rFonts w:ascii="Times New Roman" w:hAnsi="Times New Roman"/>
          <w:snapToGrid/>
          <w:szCs w:val="24"/>
        </w:rPr>
        <w:t xml:space="preserve">estimated </w:t>
      </w:r>
      <w:r w:rsidR="00D71C2D">
        <w:rPr>
          <w:rFonts w:ascii="Times New Roman" w:hAnsi="Times New Roman"/>
          <w:snapToGrid/>
          <w:szCs w:val="24"/>
        </w:rPr>
        <w:t>hourly burden per response</w:t>
      </w:r>
      <w:r w:rsidR="004D7214">
        <w:rPr>
          <w:rFonts w:ascii="Times New Roman" w:hAnsi="Times New Roman"/>
          <w:snapToGrid/>
          <w:szCs w:val="24"/>
        </w:rPr>
        <w:t xml:space="preserve"> </w:t>
      </w:r>
      <w:r w:rsidR="00125A5D">
        <w:rPr>
          <w:rFonts w:ascii="Times New Roman" w:hAnsi="Times New Roman"/>
          <w:snapToGrid/>
          <w:szCs w:val="24"/>
        </w:rPr>
        <w:t>remains the same.</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637FBA">
      <w:pPr>
        <w:ind w:left="720"/>
        <w:rPr>
          <w:rFonts w:ascii="Times New Roman" w:hAnsi="Times New Roman"/>
        </w:rPr>
      </w:pPr>
      <w:r w:rsidRPr="00EA1531">
        <w:rPr>
          <w:rFonts w:ascii="Times New Roman" w:hAnsi="Times New Roman"/>
          <w:spacing w:val="-3"/>
          <w:szCs w:val="24"/>
        </w:rPr>
        <w:t>The information is not published.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637FBA" w:rsidR="00637FBA">
        <w:rPr>
          <w:rFonts w:ascii="Times New Roman" w:hAnsi="Times New Roman"/>
          <w:b/>
          <w:u w:val="single"/>
        </w:rPr>
        <w:t xml:space="preserve">Exceptions to </w:t>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5119ED" w:rsidRDefault="00637FBA">
      <w:pPr>
        <w:ind w:left="720"/>
        <w:rPr>
          <w:rFonts w:ascii="Times New Roman" w:hAnsi="Times New Roman"/>
          <w:szCs w:val="24"/>
        </w:rPr>
      </w:pPr>
      <w:r>
        <w:rPr>
          <w:rFonts w:ascii="Times New Roman" w:hAnsi="Times New Roman"/>
        </w:rPr>
        <w:t>None.</w:t>
      </w:r>
    </w:p>
    <w:p w:rsidR="005119ED" w:rsidRDefault="005119ED">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715C41"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pPr>
        <w:keepNext/>
        <w:rPr>
          <w:rFonts w:ascii="Times New Roman" w:hAnsi="Times New Roman"/>
        </w:rPr>
      </w:pPr>
    </w:p>
    <w:p w:rsidR="007B6C63" w:rsidP="00715C41" w:rsidRDefault="007B6C63">
      <w:pPr>
        <w:keepNext/>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14" w:rsidRDefault="00C37C14">
      <w:r>
        <w:separator/>
      </w:r>
    </w:p>
  </w:endnote>
  <w:endnote w:type="continuationSeparator" w:id="0">
    <w:p w:rsidR="00C37C14" w:rsidRDefault="00C3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80F29">
      <w:rPr>
        <w:rFonts w:ascii="Times New Roman" w:hAnsi="Times New Roman"/>
        <w:noProof/>
      </w:rPr>
      <w:t>4</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14" w:rsidRDefault="00C37C14">
      <w:r>
        <w:separator/>
      </w:r>
    </w:p>
  </w:footnote>
  <w:footnote w:type="continuationSeparator" w:id="0">
    <w:p w:rsidR="00C37C14" w:rsidRDefault="00C37C14">
      <w:r>
        <w:continuationSeparator/>
      </w:r>
    </w:p>
  </w:footnote>
  <w:footnote w:id="1">
    <w:p w:rsidR="007B75C8" w:rsidRDefault="007B75C8" w:rsidP="007B75C8">
      <w:pPr>
        <w:pStyle w:val="FootnoteText"/>
      </w:pPr>
      <w:r w:rsidRPr="007B75C8">
        <w:rPr>
          <w:rStyle w:val="FootnoteReference"/>
          <w:rFonts w:ascii="Times New Roman" w:hAnsi="Times New Roman"/>
          <w:vertAlign w:val="superscript"/>
        </w:rPr>
        <w:footnoteRef/>
      </w:r>
      <w:r w:rsidRPr="007B75C8">
        <w:rPr>
          <w:rFonts w:ascii="Times New Roman" w:hAnsi="Times New Roman"/>
          <w:vertAlign w:val="superscript"/>
        </w:rPr>
        <w:t xml:space="preserve"> </w:t>
      </w:r>
      <w:r w:rsidRPr="007B75C8">
        <w:rPr>
          <w:rFonts w:ascii="Times New Roman" w:hAnsi="Times New Roman"/>
        </w:rPr>
        <w:t>The estimate includes the May 2018 75</w:t>
      </w:r>
      <w:r w:rsidRPr="007B75C8">
        <w:rPr>
          <w:rFonts w:ascii="Times New Roman" w:hAnsi="Times New Roman"/>
          <w:vertAlign w:val="superscript"/>
        </w:rPr>
        <w:t>th</w:t>
      </w:r>
      <w:r w:rsidRPr="007B75C8">
        <w:rPr>
          <w:rFonts w:ascii="Times New Roman" w:hAnsi="Times New Roman"/>
        </w:rPr>
        <w:t xml:space="preserve"> percentile hourly wage rate for Management Occupations ($78.25), Compliance Officers ($42.00), and Office and Administrative Support Occupations ($20.92) reported by the Bureau of Labor Statistics, National Industry-Specific Occupational Employment, and Wage Estimates. These wage rates have been adjusted for changes in the Consumer Price Index for all Urban Consumers between May 2018 and December 2019 (3.11 percent) and grossed up by 51 percent to account for non-monetary compensation as reported by the December 2019 Employer Costs for Employee Compensation Data. The calculation assumes that Management Occupations would conduct 1 percent of the hourly burden associated with this collection, Compliance Officers would conduct 29 percent, and Office and Administrative Support Occupations would conduct 70 percent. The hourly cost estimate is calculated as (0.01*$121.88 + 0.29*$65.42 + 0.70*$32.59 = $43.00).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539"/>
    <w:multiLevelType w:val="hybridMultilevel"/>
    <w:tmpl w:val="99B432C6"/>
    <w:lvl w:ilvl="0" w:tplc="37B0ECFC">
      <w:start w:val="1"/>
      <w:numFmt w:val="decimal"/>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D2F0A"/>
    <w:multiLevelType w:val="hybridMultilevel"/>
    <w:tmpl w:val="84E49C2C"/>
    <w:lvl w:ilvl="0" w:tplc="C4F21308">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97F7C56"/>
    <w:multiLevelType w:val="hybridMultilevel"/>
    <w:tmpl w:val="8A3C806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AA22678"/>
    <w:multiLevelType w:val="hybridMultilevel"/>
    <w:tmpl w:val="F4B0C6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5D89"/>
    <w:rsid w:val="000171AA"/>
    <w:rsid w:val="00030152"/>
    <w:rsid w:val="00076A5B"/>
    <w:rsid w:val="000855E4"/>
    <w:rsid w:val="00093D0F"/>
    <w:rsid w:val="000B0581"/>
    <w:rsid w:val="000B5588"/>
    <w:rsid w:val="000F7E08"/>
    <w:rsid w:val="00125A5D"/>
    <w:rsid w:val="001305D1"/>
    <w:rsid w:val="00175893"/>
    <w:rsid w:val="00177720"/>
    <w:rsid w:val="001778A3"/>
    <w:rsid w:val="00182279"/>
    <w:rsid w:val="0018494E"/>
    <w:rsid w:val="001D01DE"/>
    <w:rsid w:val="001D78D3"/>
    <w:rsid w:val="00220586"/>
    <w:rsid w:val="002331BC"/>
    <w:rsid w:val="00234383"/>
    <w:rsid w:val="00234F5A"/>
    <w:rsid w:val="00240097"/>
    <w:rsid w:val="00243D0C"/>
    <w:rsid w:val="00245E41"/>
    <w:rsid w:val="00246351"/>
    <w:rsid w:val="00254B08"/>
    <w:rsid w:val="0025784A"/>
    <w:rsid w:val="002668A9"/>
    <w:rsid w:val="00266C54"/>
    <w:rsid w:val="00273C3A"/>
    <w:rsid w:val="00276213"/>
    <w:rsid w:val="00285D59"/>
    <w:rsid w:val="002A35F4"/>
    <w:rsid w:val="002A5F6B"/>
    <w:rsid w:val="002B1AFA"/>
    <w:rsid w:val="002F26D8"/>
    <w:rsid w:val="00304C3E"/>
    <w:rsid w:val="003253C8"/>
    <w:rsid w:val="003566BB"/>
    <w:rsid w:val="003570A0"/>
    <w:rsid w:val="00371017"/>
    <w:rsid w:val="00386C94"/>
    <w:rsid w:val="003A055C"/>
    <w:rsid w:val="003B3219"/>
    <w:rsid w:val="003E3404"/>
    <w:rsid w:val="003E5901"/>
    <w:rsid w:val="003F0288"/>
    <w:rsid w:val="003F2FF8"/>
    <w:rsid w:val="00405B4A"/>
    <w:rsid w:val="00414ECF"/>
    <w:rsid w:val="00435A15"/>
    <w:rsid w:val="00437618"/>
    <w:rsid w:val="00454007"/>
    <w:rsid w:val="00470B79"/>
    <w:rsid w:val="0048245A"/>
    <w:rsid w:val="004A5959"/>
    <w:rsid w:val="004B2F21"/>
    <w:rsid w:val="004B5423"/>
    <w:rsid w:val="004C250D"/>
    <w:rsid w:val="004C364E"/>
    <w:rsid w:val="004C5B45"/>
    <w:rsid w:val="004D7214"/>
    <w:rsid w:val="005119ED"/>
    <w:rsid w:val="00523B22"/>
    <w:rsid w:val="005307A3"/>
    <w:rsid w:val="0054621E"/>
    <w:rsid w:val="00563449"/>
    <w:rsid w:val="005709AF"/>
    <w:rsid w:val="0059161E"/>
    <w:rsid w:val="005A25A8"/>
    <w:rsid w:val="005A6C6D"/>
    <w:rsid w:val="005B79C4"/>
    <w:rsid w:val="005C5B63"/>
    <w:rsid w:val="005D08E2"/>
    <w:rsid w:val="005E62DB"/>
    <w:rsid w:val="005F2F35"/>
    <w:rsid w:val="00615BAD"/>
    <w:rsid w:val="00624A74"/>
    <w:rsid w:val="00630C5C"/>
    <w:rsid w:val="0063734B"/>
    <w:rsid w:val="00637FBA"/>
    <w:rsid w:val="00653821"/>
    <w:rsid w:val="00655078"/>
    <w:rsid w:val="006823E7"/>
    <w:rsid w:val="00686F68"/>
    <w:rsid w:val="006B0048"/>
    <w:rsid w:val="006B3465"/>
    <w:rsid w:val="0071052F"/>
    <w:rsid w:val="00715C41"/>
    <w:rsid w:val="00717C67"/>
    <w:rsid w:val="007522EF"/>
    <w:rsid w:val="007562B8"/>
    <w:rsid w:val="007729D8"/>
    <w:rsid w:val="00796D18"/>
    <w:rsid w:val="007B6C63"/>
    <w:rsid w:val="007B75C8"/>
    <w:rsid w:val="0080546E"/>
    <w:rsid w:val="00820F79"/>
    <w:rsid w:val="0082575F"/>
    <w:rsid w:val="00826F32"/>
    <w:rsid w:val="008332CE"/>
    <w:rsid w:val="00834179"/>
    <w:rsid w:val="00844536"/>
    <w:rsid w:val="00846A1A"/>
    <w:rsid w:val="00856473"/>
    <w:rsid w:val="008565C5"/>
    <w:rsid w:val="00862421"/>
    <w:rsid w:val="00863A45"/>
    <w:rsid w:val="00881712"/>
    <w:rsid w:val="008A7B8F"/>
    <w:rsid w:val="008B2102"/>
    <w:rsid w:val="008C525B"/>
    <w:rsid w:val="009104FE"/>
    <w:rsid w:val="00913902"/>
    <w:rsid w:val="00921EFB"/>
    <w:rsid w:val="00937218"/>
    <w:rsid w:val="009557A1"/>
    <w:rsid w:val="0096157F"/>
    <w:rsid w:val="00961ADD"/>
    <w:rsid w:val="00990A9E"/>
    <w:rsid w:val="0099247D"/>
    <w:rsid w:val="009A3180"/>
    <w:rsid w:val="009B62D9"/>
    <w:rsid w:val="009B7A15"/>
    <w:rsid w:val="009C2BFF"/>
    <w:rsid w:val="009C759A"/>
    <w:rsid w:val="009F3C7D"/>
    <w:rsid w:val="00A0001C"/>
    <w:rsid w:val="00A1019D"/>
    <w:rsid w:val="00A152B6"/>
    <w:rsid w:val="00A21CE3"/>
    <w:rsid w:val="00A249E9"/>
    <w:rsid w:val="00A26153"/>
    <w:rsid w:val="00A270BF"/>
    <w:rsid w:val="00A43991"/>
    <w:rsid w:val="00A47463"/>
    <w:rsid w:val="00A81BD7"/>
    <w:rsid w:val="00AB0163"/>
    <w:rsid w:val="00AF3A4A"/>
    <w:rsid w:val="00AF614A"/>
    <w:rsid w:val="00B06BE7"/>
    <w:rsid w:val="00B1017D"/>
    <w:rsid w:val="00B13760"/>
    <w:rsid w:val="00B17BBF"/>
    <w:rsid w:val="00B17F71"/>
    <w:rsid w:val="00B36309"/>
    <w:rsid w:val="00B37DD6"/>
    <w:rsid w:val="00B61AD2"/>
    <w:rsid w:val="00B64991"/>
    <w:rsid w:val="00B66881"/>
    <w:rsid w:val="00B75F0F"/>
    <w:rsid w:val="00B76DC2"/>
    <w:rsid w:val="00B977B5"/>
    <w:rsid w:val="00BA2182"/>
    <w:rsid w:val="00BA551E"/>
    <w:rsid w:val="00BD64F8"/>
    <w:rsid w:val="00BD7F95"/>
    <w:rsid w:val="00BF3B99"/>
    <w:rsid w:val="00BF7AE1"/>
    <w:rsid w:val="00C06C77"/>
    <w:rsid w:val="00C14D80"/>
    <w:rsid w:val="00C15DEE"/>
    <w:rsid w:val="00C24049"/>
    <w:rsid w:val="00C37C14"/>
    <w:rsid w:val="00C46E88"/>
    <w:rsid w:val="00C66621"/>
    <w:rsid w:val="00C750AB"/>
    <w:rsid w:val="00C772BC"/>
    <w:rsid w:val="00C8275D"/>
    <w:rsid w:val="00C858DF"/>
    <w:rsid w:val="00CB1E4E"/>
    <w:rsid w:val="00CB2ED5"/>
    <w:rsid w:val="00CC0F60"/>
    <w:rsid w:val="00CC7A55"/>
    <w:rsid w:val="00CF2C13"/>
    <w:rsid w:val="00D0274E"/>
    <w:rsid w:val="00D14890"/>
    <w:rsid w:val="00D1720C"/>
    <w:rsid w:val="00D35001"/>
    <w:rsid w:val="00D50321"/>
    <w:rsid w:val="00D50914"/>
    <w:rsid w:val="00D55074"/>
    <w:rsid w:val="00D55987"/>
    <w:rsid w:val="00D5697B"/>
    <w:rsid w:val="00D65C01"/>
    <w:rsid w:val="00D71C2D"/>
    <w:rsid w:val="00D746BF"/>
    <w:rsid w:val="00D765D6"/>
    <w:rsid w:val="00D804A5"/>
    <w:rsid w:val="00DA5092"/>
    <w:rsid w:val="00DB2FBD"/>
    <w:rsid w:val="00DD29EA"/>
    <w:rsid w:val="00DE2D0B"/>
    <w:rsid w:val="00DE506D"/>
    <w:rsid w:val="00E37F0E"/>
    <w:rsid w:val="00E50911"/>
    <w:rsid w:val="00E76A29"/>
    <w:rsid w:val="00EC3226"/>
    <w:rsid w:val="00EC335B"/>
    <w:rsid w:val="00F01C6F"/>
    <w:rsid w:val="00F040F7"/>
    <w:rsid w:val="00F33B5F"/>
    <w:rsid w:val="00F34CBE"/>
    <w:rsid w:val="00F42703"/>
    <w:rsid w:val="00F568B8"/>
    <w:rsid w:val="00F80F29"/>
    <w:rsid w:val="00F90EAE"/>
    <w:rsid w:val="00F9430B"/>
    <w:rsid w:val="00FB759A"/>
    <w:rsid w:val="00FC0FB9"/>
    <w:rsid w:val="00FC41DF"/>
    <w:rsid w:val="00FC6915"/>
    <w:rsid w:val="00FC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FD9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Style 39,Style 14,Style 6,Footnote Reference Superscript,SUPERS,BVI fnr,Footnote symbol,Footnote,(Footnote Reference),Footnote reference number,note TESI,EN Footnote Reference,Voetnootverwijzing"/>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qFormat/>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paragraph" w:styleId="ListParagraph">
    <w:name w:val="List Paragraph"/>
    <w:basedOn w:val="Normal"/>
    <w:uiPriority w:val="34"/>
    <w:qFormat/>
    <w:rsid w:val="004C250D"/>
    <w:pPr>
      <w:spacing w:after="200" w:line="276" w:lineRule="auto"/>
      <w:ind w:left="720"/>
      <w:contextualSpacing/>
    </w:pPr>
    <w:rPr>
      <w:rFonts w:asciiTheme="minorHAnsi" w:eastAsiaTheme="minorHAnsi" w:hAnsiTheme="minorHAnsi" w:cstheme="minorBidi"/>
      <w:snapToGrid/>
      <w:sz w:val="22"/>
      <w:szCs w:val="22"/>
    </w:rPr>
  </w:style>
  <w:style w:type="paragraph" w:styleId="NoSpacing">
    <w:name w:val="No Spacing"/>
    <w:uiPriority w:val="1"/>
    <w:qFormat/>
    <w:rsid w:val="004C250D"/>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F36A-ED99-41B1-A587-4F7C5D86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2020-08-03T12:39:00Z</dcterms:created>
  <dcterms:modified xsi:type="dcterms:W3CDTF">2020-08-03T14:01:00Z</dcterms:modified>
</cp:coreProperties>
</file>