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1D2" w:rsidRDefault="00201790" w14:paraId="17E354C9" w14:textId="77777777">
      <w:pPr>
        <w:widowControl/>
        <w:jc w:val="center"/>
        <w:rPr>
          <w:rFonts w:ascii="Arial" w:hAnsi="Arial" w:cs="Arial"/>
          <w:sz w:val="22"/>
          <w:szCs w:val="22"/>
        </w:rPr>
      </w:pPr>
      <w:r>
        <w:rPr>
          <w:rFonts w:ascii="Arial" w:hAnsi="Arial" w:cs="Arial"/>
          <w:sz w:val="22"/>
          <w:szCs w:val="22"/>
        </w:rPr>
        <w:t xml:space="preserve">JUSTIFICATION FOR EMERGENCY CLEARANCE FOR </w:t>
      </w:r>
    </w:p>
    <w:p w:rsidR="00BB21D2" w:rsidRDefault="00201790" w14:paraId="07386EC7" w14:textId="77777777">
      <w:pPr>
        <w:widowControl/>
        <w:jc w:val="center"/>
        <w:rPr>
          <w:rFonts w:ascii="Arial" w:hAnsi="Arial" w:cs="Arial"/>
          <w:sz w:val="22"/>
          <w:szCs w:val="22"/>
        </w:rPr>
      </w:pPr>
      <w:r>
        <w:rPr>
          <w:rFonts w:ascii="Arial" w:hAnsi="Arial" w:cs="Arial"/>
          <w:sz w:val="22"/>
          <w:szCs w:val="22"/>
        </w:rPr>
        <w:t>NRC ONLINE FORM, “</w:t>
      </w:r>
      <w:bookmarkStart w:name="_Hlk42857155" w:id="0"/>
      <w:r>
        <w:rPr>
          <w:rFonts w:ascii="Arial" w:hAnsi="Arial" w:cs="Arial"/>
          <w:sz w:val="22"/>
          <w:szCs w:val="22"/>
        </w:rPr>
        <w:t>REQUEST FOR ALTERNATIVE UNDER 10 CFR Part 50.55a(z)(1) and (2)”</w:t>
      </w:r>
      <w:bookmarkEnd w:id="0"/>
    </w:p>
    <w:p w:rsidR="00BB21D2" w:rsidRDefault="00BB21D2" w14:paraId="1AFE6DE9" w14:textId="77777777">
      <w:pPr>
        <w:widowControl/>
        <w:jc w:val="center"/>
        <w:rPr>
          <w:rFonts w:ascii="Arial" w:hAnsi="Arial" w:cs="Arial"/>
          <w:sz w:val="22"/>
          <w:szCs w:val="22"/>
        </w:rPr>
      </w:pPr>
    </w:p>
    <w:p w:rsidR="00BB21D2" w:rsidRDefault="00201790" w14:paraId="2DCB3E2A" w14:textId="77777777">
      <w:pPr>
        <w:widowControl/>
        <w:jc w:val="center"/>
        <w:rPr>
          <w:rFonts w:ascii="Arial" w:hAnsi="Arial" w:cs="Arial"/>
          <w:sz w:val="22"/>
          <w:szCs w:val="22"/>
        </w:rPr>
      </w:pPr>
      <w:r>
        <w:rPr>
          <w:rFonts w:ascii="Arial" w:hAnsi="Arial" w:cs="Arial"/>
          <w:sz w:val="22"/>
          <w:szCs w:val="22"/>
        </w:rPr>
        <w:t>(3150-XXXX)</w:t>
      </w:r>
    </w:p>
    <w:p w:rsidR="00BB21D2" w:rsidRDefault="00BB21D2" w14:paraId="691CA5C6" w14:textId="77777777">
      <w:pPr>
        <w:widowControl/>
        <w:jc w:val="center"/>
        <w:rPr>
          <w:rFonts w:ascii="Arial" w:hAnsi="Arial" w:cs="Arial"/>
          <w:sz w:val="22"/>
          <w:szCs w:val="22"/>
        </w:rPr>
      </w:pPr>
    </w:p>
    <w:p w:rsidR="00BB21D2" w:rsidRDefault="00201790" w14:paraId="0B1098F1" w14:textId="77777777">
      <w:pPr>
        <w:widowControl/>
        <w:jc w:val="center"/>
        <w:rPr>
          <w:rFonts w:ascii="Arial" w:hAnsi="Arial" w:cs="Arial"/>
          <w:sz w:val="22"/>
          <w:szCs w:val="22"/>
        </w:rPr>
      </w:pPr>
      <w:r>
        <w:rPr>
          <w:rFonts w:ascii="Arial" w:hAnsi="Arial" w:cs="Arial"/>
          <w:sz w:val="22"/>
          <w:szCs w:val="22"/>
        </w:rPr>
        <w:t>NEW</w:t>
      </w:r>
    </w:p>
    <w:p w:rsidR="00BB21D2" w:rsidRDefault="00BB21D2" w14:paraId="16C7FA45" w14:textId="77777777">
      <w:pPr>
        <w:widowControl/>
        <w:rPr>
          <w:rFonts w:ascii="Arial" w:hAnsi="Arial" w:cs="Arial"/>
          <w:sz w:val="22"/>
          <w:szCs w:val="22"/>
        </w:rPr>
      </w:pPr>
    </w:p>
    <w:p w:rsidR="00BB21D2" w:rsidRDefault="00BB21D2" w14:paraId="10D8DCB2" w14:textId="77777777">
      <w:pPr>
        <w:widowControl/>
        <w:rPr>
          <w:rFonts w:ascii="Arial" w:hAnsi="Arial" w:cs="Arial"/>
          <w:sz w:val="22"/>
          <w:szCs w:val="22"/>
        </w:rPr>
      </w:pPr>
    </w:p>
    <w:p w:rsidR="00BB21D2" w:rsidRDefault="00201790" w14:paraId="6A9751E8" w14:textId="77777777">
      <w:pPr>
        <w:widowControl/>
        <w:rPr>
          <w:rFonts w:ascii="Arial" w:hAnsi="Arial" w:cs="Arial"/>
          <w:sz w:val="22"/>
          <w:szCs w:val="22"/>
          <w:u w:val="single"/>
        </w:rPr>
      </w:pPr>
      <w:r>
        <w:rPr>
          <w:rFonts w:ascii="Arial" w:hAnsi="Arial" w:cs="Arial"/>
          <w:sz w:val="22"/>
          <w:szCs w:val="22"/>
          <w:u w:val="single"/>
        </w:rPr>
        <w:t>DESCRIPTION OF THE INFORMATION COLLECTION</w:t>
      </w:r>
    </w:p>
    <w:p w:rsidR="00BB21D2" w:rsidRDefault="00BB21D2" w14:paraId="4A2E28CB" w14:textId="77777777">
      <w:pPr>
        <w:widowControl/>
        <w:rPr>
          <w:rFonts w:ascii="Arial" w:hAnsi="Arial" w:cs="Arial"/>
          <w:sz w:val="22"/>
          <w:szCs w:val="22"/>
        </w:rPr>
      </w:pPr>
    </w:p>
    <w:p w:rsidR="00BB21D2" w:rsidRDefault="00201790" w14:paraId="67DFC2B8" w14:textId="77777777">
      <w:pPr>
        <w:widowControl/>
        <w:rPr>
          <w:rFonts w:ascii="Arial" w:hAnsi="Arial" w:cs="Arial"/>
          <w:sz w:val="22"/>
          <w:szCs w:val="22"/>
        </w:rPr>
      </w:pPr>
      <w:r>
        <w:rPr>
          <w:rFonts w:ascii="Arial" w:hAnsi="Arial" w:cs="Arial"/>
          <w:sz w:val="22"/>
          <w:szCs w:val="22"/>
        </w:rPr>
        <w:t>10 CFR 50.55a incorporates by reference Division 1 rules of Section III, "Rules for Construction of Nuclear Power Plant Components," and Section XI, "Rules for Inservice Inspection of Nuclear Power Plant Components," of the American Society of Mechanical E</w:t>
      </w:r>
      <w:r>
        <w:rPr>
          <w:rFonts w:ascii="Arial" w:hAnsi="Arial" w:cs="Arial"/>
          <w:sz w:val="22"/>
          <w:szCs w:val="22"/>
        </w:rPr>
        <w:t>ngineers (ASME) Boiler and Pressure Vessel Code (B&amp;PV Code); and the rules of the ASME “Code for Operation and Maintenance of Nuclear Power Plants” (OM Code).  These rules of the ASME B&amp;PV and OM Codes set forth the requirements to which nuclear power plan</w:t>
      </w:r>
      <w:r>
        <w:rPr>
          <w:rFonts w:ascii="Arial" w:hAnsi="Arial" w:cs="Arial"/>
          <w:sz w:val="22"/>
          <w:szCs w:val="22"/>
        </w:rPr>
        <w:t xml:space="preserve">t components are designed, constructed, tested, repaired, and inspected.  </w:t>
      </w:r>
    </w:p>
    <w:p w:rsidR="00BB21D2" w:rsidRDefault="00BB21D2" w14:paraId="0E3DF7EB" w14:textId="77777777">
      <w:pPr>
        <w:widowControl/>
        <w:rPr>
          <w:rFonts w:ascii="Arial" w:hAnsi="Arial" w:cs="Arial"/>
          <w:sz w:val="22"/>
          <w:szCs w:val="22"/>
          <w:lang w:val="en"/>
        </w:rPr>
      </w:pPr>
    </w:p>
    <w:p w:rsidR="00BB21D2" w:rsidRDefault="00201790" w14:paraId="7A5CBB7F" w14:textId="243FF6A3">
      <w:pPr>
        <w:widowControl/>
        <w:rPr>
          <w:rFonts w:ascii="Arial" w:hAnsi="Arial" w:cs="Arial"/>
          <w:sz w:val="22"/>
          <w:szCs w:val="22"/>
          <w:lang w:val="en"/>
        </w:rPr>
      </w:pPr>
      <w:r>
        <w:rPr>
          <w:rFonts w:ascii="Arial" w:hAnsi="Arial" w:cs="Arial"/>
          <w:sz w:val="22"/>
          <w:szCs w:val="22"/>
          <w:lang w:val="en"/>
        </w:rPr>
        <w:t>The ability of licensed facilities to comply with these requirements may be negatively impacted by the Coronavirus Disease 2019 (COVID-19) Public Health Emergency (PHE)</w:t>
      </w:r>
      <w:r>
        <w:rPr>
          <w:rFonts w:ascii="Arial" w:hAnsi="Arial" w:cs="Arial"/>
          <w:sz w:val="22"/>
          <w:szCs w:val="22"/>
          <w:lang w:val="en"/>
        </w:rPr>
        <w:t xml:space="preserve"> </w:t>
      </w:r>
      <w:r>
        <w:rPr>
          <w:rFonts w:ascii="Arial" w:hAnsi="Arial" w:cs="Arial"/>
          <w:sz w:val="22"/>
          <w:szCs w:val="22"/>
          <w:lang w:val="en"/>
        </w:rPr>
        <w:t>in order to</w:t>
      </w:r>
      <w:r>
        <w:rPr>
          <w:rFonts w:ascii="Arial" w:hAnsi="Arial" w:cs="Arial"/>
          <w:sz w:val="22"/>
          <w:szCs w:val="22"/>
          <w:lang w:val="en"/>
        </w:rPr>
        <w:t xml:space="preserve"> </w:t>
      </w:r>
      <w:r>
        <w:rPr>
          <w:rFonts w:ascii="Arial" w:hAnsi="Arial" w:cs="Arial"/>
          <w:sz w:val="22"/>
          <w:szCs w:val="22"/>
          <w:lang w:val="en"/>
        </w:rPr>
        <w:t>not conflict with practices recommended by the Centers for Disease Control and Prevention (CDC) to limit the spread of COVID-19</w:t>
      </w:r>
      <w:r>
        <w:rPr>
          <w:rFonts w:ascii="Arial" w:hAnsi="Arial" w:cs="Arial"/>
          <w:sz w:val="22"/>
          <w:szCs w:val="22"/>
          <w:lang w:val="en"/>
        </w:rPr>
        <w:t xml:space="preserve"> (e.g., social distancing)</w:t>
      </w:r>
      <w:r>
        <w:rPr>
          <w:rFonts w:ascii="Arial" w:hAnsi="Arial" w:cs="Arial"/>
          <w:sz w:val="22"/>
          <w:szCs w:val="22"/>
          <w:lang w:val="en"/>
        </w:rPr>
        <w:t xml:space="preserve"> </w:t>
      </w:r>
      <w:r w:rsidR="00D87C49">
        <w:rPr>
          <w:rFonts w:ascii="Arial" w:hAnsi="Arial" w:cs="Arial"/>
          <w:sz w:val="22"/>
          <w:szCs w:val="22"/>
          <w:lang w:val="en"/>
        </w:rPr>
        <w:t>while performing</w:t>
      </w:r>
      <w:r>
        <w:rPr>
          <w:rFonts w:ascii="Arial" w:hAnsi="Arial" w:cs="Arial"/>
          <w:sz w:val="22"/>
          <w:szCs w:val="22"/>
          <w:lang w:val="en"/>
        </w:rPr>
        <w:t xml:space="preserve"> in-service testing and inspections</w:t>
      </w:r>
      <w:r>
        <w:rPr>
          <w:rFonts w:ascii="Arial" w:hAnsi="Arial" w:cs="Arial"/>
          <w:sz w:val="22"/>
          <w:szCs w:val="22"/>
          <w:lang w:val="en"/>
        </w:rPr>
        <w:t>.  The regulations under</w:t>
      </w:r>
      <w:r>
        <w:rPr>
          <w:rFonts w:ascii="Arial" w:hAnsi="Arial" w:cs="Arial"/>
          <w:sz w:val="22"/>
          <w:szCs w:val="22"/>
        </w:rPr>
        <w:t>10 CFR 50.55a(z) allow</w:t>
      </w:r>
      <w:r>
        <w:rPr>
          <w:rFonts w:ascii="Arial" w:hAnsi="Arial" w:cs="Arial"/>
          <w:sz w:val="22"/>
          <w:szCs w:val="22"/>
        </w:rPr>
        <w:t xml:space="preserve"> applicants to use alternatives to the requirements of </w:t>
      </w:r>
      <w:bookmarkStart w:name="_Hlk42863364" w:id="1"/>
      <w:r>
        <w:rPr>
          <w:rFonts w:ascii="Arial" w:hAnsi="Arial" w:cs="Arial"/>
          <w:sz w:val="22"/>
          <w:szCs w:val="22"/>
        </w:rPr>
        <w:t>10 CFR 50.55a paragraphs (b) through (h) when authorized by the NRC</w:t>
      </w:r>
      <w:bookmarkEnd w:id="1"/>
      <w:r>
        <w:rPr>
          <w:rFonts w:ascii="Arial" w:hAnsi="Arial" w:cs="Arial"/>
          <w:sz w:val="22"/>
          <w:szCs w:val="22"/>
        </w:rPr>
        <w:t xml:space="preserve">.  </w:t>
      </w:r>
      <w:r>
        <w:rPr>
          <w:rFonts w:ascii="Arial" w:hAnsi="Arial" w:cs="Arial"/>
          <w:sz w:val="22"/>
          <w:szCs w:val="22"/>
        </w:rPr>
        <w:t>NRC currently collects information related to requests for alternatives under 10 CFR Part 50.55</w:t>
      </w:r>
      <w:r>
        <w:rPr>
          <w:rFonts w:ascii="Arial" w:hAnsi="Arial" w:cs="Arial"/>
          <w:sz w:val="22"/>
          <w:szCs w:val="22"/>
        </w:rPr>
        <w:t>a</w:t>
      </w:r>
      <w:r>
        <w:rPr>
          <w:rFonts w:ascii="Arial" w:hAnsi="Arial" w:cs="Arial"/>
          <w:sz w:val="22"/>
          <w:szCs w:val="22"/>
        </w:rPr>
        <w:t xml:space="preserve"> through the</w:t>
      </w:r>
      <w:r>
        <w:rPr>
          <w:rFonts w:ascii="Arial" w:hAnsi="Arial" w:cs="Arial"/>
          <w:sz w:val="22"/>
          <w:szCs w:val="22"/>
        </w:rPr>
        <w:t xml:space="preserve"> information collection covered by OMB Control No. 3150-</w:t>
      </w:r>
      <w:r>
        <w:rPr>
          <w:rFonts w:ascii="Arial" w:hAnsi="Arial" w:cs="Arial"/>
          <w:sz w:val="22"/>
          <w:szCs w:val="22"/>
        </w:rPr>
        <w:t>0011</w:t>
      </w:r>
      <w:r>
        <w:rPr>
          <w:rFonts w:ascii="Arial" w:hAnsi="Arial" w:cs="Arial"/>
          <w:sz w:val="22"/>
          <w:szCs w:val="22"/>
        </w:rPr>
        <w:t xml:space="preserve">. </w:t>
      </w:r>
      <w:r>
        <w:rPr>
          <w:rFonts w:ascii="Arial" w:hAnsi="Arial" w:cs="Arial"/>
          <w:sz w:val="22"/>
          <w:szCs w:val="22"/>
          <w:lang w:val="en"/>
        </w:rPr>
        <w:t>To facilitate licensees’ requests for alternatives to the requirements in the above regulations, the NRC is providing a</w:t>
      </w:r>
      <w:r>
        <w:rPr>
          <w:rFonts w:ascii="Arial" w:hAnsi="Arial" w:cs="Arial"/>
          <w:sz w:val="22"/>
          <w:szCs w:val="22"/>
          <w:lang w:val="en"/>
        </w:rPr>
        <w:t xml:space="preserve"> </w:t>
      </w:r>
      <w:r>
        <w:rPr>
          <w:rFonts w:ascii="Arial" w:hAnsi="Arial" w:cs="Arial"/>
          <w:sz w:val="22"/>
          <w:szCs w:val="22"/>
          <w:lang w:val="en"/>
        </w:rPr>
        <w:t>n</w:t>
      </w:r>
      <w:r>
        <w:rPr>
          <w:rFonts w:ascii="Arial" w:hAnsi="Arial" w:cs="Arial"/>
          <w:sz w:val="22"/>
          <w:szCs w:val="22"/>
          <w:lang w:val="en"/>
        </w:rPr>
        <w:t>ew</w:t>
      </w:r>
      <w:r>
        <w:rPr>
          <w:rFonts w:ascii="Arial" w:hAnsi="Arial" w:cs="Arial"/>
          <w:sz w:val="22"/>
          <w:szCs w:val="22"/>
          <w:lang w:val="en"/>
        </w:rPr>
        <w:t xml:space="preserve"> online form to submit the required information for a specific alternative request under 10 CFR 50.55a(z).</w:t>
      </w:r>
      <w:r>
        <w:rPr>
          <w:rFonts w:ascii="Arial" w:hAnsi="Arial" w:cs="Arial"/>
          <w:sz w:val="22"/>
          <w:szCs w:val="22"/>
          <w:lang w:val="en"/>
        </w:rPr>
        <w:t xml:space="preserve"> </w:t>
      </w:r>
      <w:bookmarkStart w:name="_GoBack" w:id="2"/>
      <w:bookmarkEnd w:id="2"/>
      <w:r>
        <w:rPr>
          <w:rFonts w:ascii="Arial" w:hAnsi="Arial" w:cs="Arial"/>
          <w:sz w:val="22"/>
          <w:szCs w:val="22"/>
          <w:lang w:val="en"/>
        </w:rPr>
        <w:t>This online form would supplement the existing submission mechanisms for this information collection.</w:t>
      </w:r>
    </w:p>
    <w:p w:rsidR="00BB21D2" w:rsidRDefault="00BB21D2" w14:paraId="52920221" w14:textId="77777777">
      <w:pPr>
        <w:widowControl/>
        <w:rPr>
          <w:rFonts w:ascii="Arial" w:hAnsi="Arial" w:cs="Arial"/>
          <w:sz w:val="22"/>
          <w:szCs w:val="22"/>
          <w:lang w:val="en"/>
        </w:rPr>
      </w:pPr>
    </w:p>
    <w:p w:rsidR="00BB21D2" w:rsidRDefault="00201790" w14:paraId="466883BB" w14:textId="27E359F9">
      <w:pPr>
        <w:widowControl/>
        <w:rPr>
          <w:rFonts w:ascii="Arial" w:hAnsi="Arial" w:cs="Arial"/>
          <w:sz w:val="22"/>
          <w:szCs w:val="22"/>
          <w:lang w:val="en"/>
        </w:rPr>
      </w:pPr>
      <w:r>
        <w:rPr>
          <w:rFonts w:ascii="Arial" w:hAnsi="Arial" w:cs="Arial"/>
          <w:sz w:val="22"/>
          <w:szCs w:val="22"/>
          <w:lang w:val="en"/>
        </w:rPr>
        <w:t>The NRC is requesting emergency review of the</w:t>
      </w:r>
      <w:r>
        <w:rPr>
          <w:rFonts w:ascii="Arial" w:hAnsi="Arial" w:cs="Arial"/>
          <w:sz w:val="22"/>
          <w:szCs w:val="22"/>
          <w:lang w:val="en"/>
        </w:rPr>
        <w:t xml:space="preserve"> information collection because this information is essential to the mission of the agency and is needed before the expiration of the normal time limits under the Office of Management and Budget’s regulations at 5 CFR 1320 that implement the provisions of </w:t>
      </w:r>
      <w:r>
        <w:rPr>
          <w:rFonts w:ascii="Arial" w:hAnsi="Arial" w:cs="Arial"/>
          <w:sz w:val="22"/>
          <w:szCs w:val="22"/>
          <w:lang w:val="en"/>
        </w:rPr>
        <w:t>the Paperwork Reduction Act of 1995.  The NRC cannot reasonably comply with the normal clearance procedures because an unanticipated event (COVID-19 PHE) has occurred</w:t>
      </w:r>
      <w:r>
        <w:rPr>
          <w:rFonts w:ascii="Arial" w:hAnsi="Arial" w:cs="Arial"/>
          <w:sz w:val="22"/>
          <w:szCs w:val="22"/>
          <w:lang w:val="en"/>
        </w:rPr>
        <w:t xml:space="preserve">, which </w:t>
      </w:r>
      <w:r>
        <w:rPr>
          <w:rFonts w:ascii="Arial" w:hAnsi="Arial" w:cs="Arial"/>
          <w:sz w:val="22"/>
          <w:szCs w:val="22"/>
          <w:lang w:val="en"/>
        </w:rPr>
        <w:t xml:space="preserve">has </w:t>
      </w:r>
      <w:r>
        <w:rPr>
          <w:rFonts w:ascii="Arial" w:hAnsi="Arial" w:cs="Arial"/>
          <w:sz w:val="22"/>
          <w:szCs w:val="22"/>
          <w:lang w:val="en"/>
        </w:rPr>
        <w:t>necessitate</w:t>
      </w:r>
      <w:r>
        <w:rPr>
          <w:rFonts w:ascii="Arial" w:hAnsi="Arial" w:cs="Arial"/>
          <w:sz w:val="22"/>
          <w:szCs w:val="22"/>
          <w:lang w:val="en"/>
        </w:rPr>
        <w:t>d</w:t>
      </w:r>
      <w:r>
        <w:rPr>
          <w:rFonts w:ascii="Arial" w:hAnsi="Arial" w:cs="Arial"/>
          <w:sz w:val="22"/>
          <w:szCs w:val="22"/>
          <w:lang w:val="en"/>
        </w:rPr>
        <w:t xml:space="preserve"> </w:t>
      </w:r>
      <w:r>
        <w:rPr>
          <w:rFonts w:ascii="Arial" w:hAnsi="Arial" w:cs="Arial"/>
          <w:sz w:val="22"/>
          <w:szCs w:val="22"/>
          <w:lang w:val="en"/>
        </w:rPr>
        <w:t xml:space="preserve">the </w:t>
      </w:r>
      <w:r>
        <w:rPr>
          <w:rFonts w:ascii="Arial" w:hAnsi="Arial" w:cs="Arial"/>
          <w:sz w:val="22"/>
          <w:szCs w:val="22"/>
          <w:lang w:val="en"/>
        </w:rPr>
        <w:t xml:space="preserve">accelerated </w:t>
      </w:r>
      <w:r>
        <w:rPr>
          <w:rFonts w:ascii="Arial" w:hAnsi="Arial" w:cs="Arial"/>
          <w:sz w:val="22"/>
          <w:szCs w:val="22"/>
          <w:lang w:val="en"/>
        </w:rPr>
        <w:t xml:space="preserve">development </w:t>
      </w:r>
      <w:r>
        <w:rPr>
          <w:rFonts w:ascii="Arial" w:hAnsi="Arial" w:cs="Arial"/>
          <w:sz w:val="22"/>
          <w:szCs w:val="22"/>
          <w:lang w:val="en"/>
        </w:rPr>
        <w:t>of a method</w:t>
      </w:r>
      <w:r>
        <w:rPr>
          <w:rFonts w:ascii="Arial" w:hAnsi="Arial" w:cs="Arial"/>
          <w:sz w:val="22"/>
          <w:szCs w:val="22"/>
          <w:lang w:val="en"/>
        </w:rPr>
        <w:t xml:space="preserve"> to allow licensees to sub</w:t>
      </w:r>
      <w:r>
        <w:rPr>
          <w:rFonts w:ascii="Arial" w:hAnsi="Arial" w:cs="Arial"/>
          <w:sz w:val="22"/>
          <w:szCs w:val="22"/>
          <w:lang w:val="en"/>
        </w:rPr>
        <w:t>mit alternative requests in a streamlined manner.</w:t>
      </w:r>
      <w:r>
        <w:rPr>
          <w:rFonts w:ascii="Arial" w:hAnsi="Arial" w:cs="Arial"/>
          <w:sz w:val="22"/>
          <w:szCs w:val="22"/>
          <w:lang w:val="en"/>
        </w:rPr>
        <w:t xml:space="preserve">  </w:t>
      </w:r>
    </w:p>
    <w:p w:rsidR="00BB21D2" w:rsidRDefault="00BB21D2" w14:paraId="32926B4F" w14:textId="77777777">
      <w:pPr>
        <w:widowControl/>
        <w:rPr>
          <w:rFonts w:ascii="Arial" w:hAnsi="Arial" w:cs="Arial"/>
          <w:sz w:val="22"/>
          <w:szCs w:val="22"/>
          <w:lang w:val="en"/>
        </w:rPr>
      </w:pPr>
    </w:p>
    <w:p w:rsidR="00BB21D2" w:rsidRDefault="00201790" w14:paraId="362B8F64" w14:textId="77777777">
      <w:pPr>
        <w:widowControl/>
        <w:rPr>
          <w:rFonts w:ascii="Arial" w:hAnsi="Arial" w:cs="Arial"/>
          <w:sz w:val="22"/>
          <w:szCs w:val="22"/>
          <w:lang w:val="en"/>
        </w:rPr>
      </w:pPr>
      <w:r>
        <w:rPr>
          <w:rFonts w:ascii="Arial" w:hAnsi="Arial" w:cs="Arial"/>
          <w:sz w:val="22"/>
          <w:szCs w:val="22"/>
          <w:lang w:val="en"/>
        </w:rPr>
        <w:t xml:space="preserve">The NRC is requesting OMB approval of this new information collection for a period of 6 months.  </w:t>
      </w:r>
      <w:r>
        <w:rPr>
          <w:rFonts w:ascii="Arial" w:hAnsi="Arial" w:cs="Arial"/>
          <w:sz w:val="22"/>
          <w:szCs w:val="22"/>
        </w:rPr>
        <w:t xml:space="preserve">The development of alternative requests </w:t>
      </w:r>
      <w:r>
        <w:rPr>
          <w:rFonts w:ascii="Arial" w:hAnsi="Arial" w:cs="Arial"/>
          <w:sz w:val="22"/>
          <w:szCs w:val="22"/>
        </w:rPr>
        <w:t>under 10 CFR Part 50.55</w:t>
      </w:r>
      <w:r>
        <w:rPr>
          <w:rFonts w:ascii="Arial" w:hAnsi="Arial" w:cs="Arial"/>
          <w:sz w:val="22"/>
          <w:szCs w:val="22"/>
        </w:rPr>
        <w:t>a</w:t>
      </w:r>
      <w:r>
        <w:rPr>
          <w:rFonts w:ascii="Arial" w:hAnsi="Arial" w:cs="Arial"/>
          <w:sz w:val="22"/>
          <w:szCs w:val="22"/>
        </w:rPr>
        <w:t xml:space="preserve"> </w:t>
      </w:r>
      <w:r>
        <w:rPr>
          <w:rFonts w:ascii="Arial" w:hAnsi="Arial" w:cs="Arial"/>
          <w:sz w:val="22"/>
          <w:szCs w:val="22"/>
        </w:rPr>
        <w:t xml:space="preserve">is </w:t>
      </w:r>
      <w:r>
        <w:rPr>
          <w:rFonts w:ascii="Arial" w:hAnsi="Arial" w:cs="Arial"/>
          <w:sz w:val="22"/>
          <w:szCs w:val="22"/>
          <w:lang w:val="en"/>
        </w:rPr>
        <w:t xml:space="preserve">covered by existing information collections.  This information collection only addresses the burden to complete and submit the </w:t>
      </w:r>
      <w:r>
        <w:rPr>
          <w:rFonts w:ascii="Arial" w:hAnsi="Arial" w:cs="Arial"/>
          <w:sz w:val="22"/>
          <w:szCs w:val="22"/>
          <w:lang w:val="en"/>
        </w:rPr>
        <w:t xml:space="preserve">new </w:t>
      </w:r>
      <w:r>
        <w:rPr>
          <w:rFonts w:ascii="Arial" w:hAnsi="Arial" w:cs="Arial"/>
          <w:sz w:val="22"/>
          <w:szCs w:val="22"/>
          <w:lang w:val="en"/>
        </w:rPr>
        <w:t>online form.</w:t>
      </w:r>
    </w:p>
    <w:p w:rsidR="00BB21D2" w:rsidRDefault="00BB21D2" w14:paraId="4028B310" w14:textId="77777777">
      <w:pPr>
        <w:widowControl/>
        <w:rPr>
          <w:rFonts w:ascii="Arial" w:hAnsi="Arial" w:cs="Arial"/>
          <w:sz w:val="22"/>
          <w:szCs w:val="22"/>
        </w:rPr>
      </w:pPr>
    </w:p>
    <w:p w:rsidR="00BB21D2" w:rsidRDefault="00201790" w14:paraId="746A4E71" w14:textId="77777777">
      <w:pPr>
        <w:pStyle w:val="ListParagraph"/>
        <w:autoSpaceDE w:val="0"/>
        <w:autoSpaceDN w:val="0"/>
        <w:adjustRightInd w:val="0"/>
        <w:ind w:left="0"/>
        <w:rPr>
          <w:rFonts w:cs="Arial"/>
          <w:szCs w:val="22"/>
        </w:rPr>
      </w:pPr>
      <w:r>
        <w:rPr>
          <w:rFonts w:cs="Arial"/>
        </w:rPr>
        <w:t xml:space="preserve">This information collection applies to </w:t>
      </w:r>
      <w:bookmarkStart w:name="_Hlk42862785" w:id="3"/>
      <w:r>
        <w:rPr>
          <w:rFonts w:cs="Arial"/>
        </w:rPr>
        <w:t>all holders of, and certain applicants for, nuclear power plant construc</w:t>
      </w:r>
      <w:r>
        <w:rPr>
          <w:rFonts w:cs="Arial"/>
        </w:rPr>
        <w:t xml:space="preserve">tion permits and operating licenses under the provisions of 10 CFR Part 50, “Domestic Licensing of Production and Utilization Facilities” who use alternatives to the requirements of 10 CFR 50.55a paragraphs (b) through (h) when authorized by the NRC. </w:t>
      </w:r>
      <w:bookmarkEnd w:id="3"/>
    </w:p>
    <w:p w:rsidR="00BB21D2" w:rsidRDefault="00201790" w14:paraId="2D5038E4" w14:textId="77777777">
      <w:pPr>
        <w:pStyle w:val="ListParagraph"/>
        <w:autoSpaceDE w:val="0"/>
        <w:autoSpaceDN w:val="0"/>
        <w:adjustRightInd w:val="0"/>
        <w:ind w:left="0"/>
        <w:rPr>
          <w:rFonts w:cs="Arial"/>
          <w:szCs w:val="22"/>
        </w:rPr>
      </w:pPr>
      <w:r>
        <w:rPr>
          <w:rFonts w:cs="Arial"/>
          <w:szCs w:val="22"/>
        </w:rPr>
        <w:lastRenderedPageBreak/>
        <w:t>A.</w:t>
      </w:r>
      <w:r>
        <w:rPr>
          <w:rFonts w:cs="Arial"/>
          <w:szCs w:val="22"/>
        </w:rPr>
        <w:tab/>
        <w:t>J</w:t>
      </w:r>
      <w:r>
        <w:rPr>
          <w:rFonts w:cs="Arial"/>
          <w:szCs w:val="22"/>
        </w:rPr>
        <w:t>USTIFICATION</w:t>
      </w:r>
    </w:p>
    <w:p w:rsidR="00BB21D2" w:rsidRDefault="00BB21D2" w14:paraId="79A355C5" w14:textId="77777777">
      <w:pPr>
        <w:widowControl/>
        <w:rPr>
          <w:rFonts w:ascii="Arial" w:hAnsi="Arial" w:cs="Arial"/>
          <w:sz w:val="22"/>
          <w:szCs w:val="22"/>
        </w:rPr>
      </w:pPr>
    </w:p>
    <w:p w:rsidR="00BB21D2" w:rsidRDefault="00201790" w14:paraId="0A1E69B2" w14:textId="77777777">
      <w:pPr>
        <w:widowControl/>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BB21D2" w:rsidRDefault="00BB21D2" w14:paraId="4BC98058" w14:textId="77777777">
      <w:pPr>
        <w:widowControl/>
        <w:rPr>
          <w:rFonts w:ascii="Arial" w:hAnsi="Arial" w:cs="Arial"/>
          <w:sz w:val="22"/>
          <w:szCs w:val="22"/>
        </w:rPr>
      </w:pPr>
    </w:p>
    <w:p w:rsidR="00BB21D2" w:rsidRDefault="00201790" w14:paraId="0C4D9008" w14:textId="57FF68D1">
      <w:pPr>
        <w:widowControl/>
        <w:ind w:left="720"/>
        <w:rPr>
          <w:rFonts w:ascii="Arial" w:hAnsi="Arial" w:cs="Arial"/>
          <w:sz w:val="22"/>
          <w:szCs w:val="22"/>
        </w:rPr>
      </w:pPr>
      <w:r>
        <w:rPr>
          <w:rFonts w:ascii="Arial" w:hAnsi="Arial" w:cs="Arial"/>
          <w:sz w:val="22"/>
          <w:szCs w:val="22"/>
        </w:rPr>
        <w:t>10 CFR Part 50.55a incorporates by reference the ASME B&amp;PV and OM Codes that set forth the requirements to which nuclear power plant components are designed, constructed, tes</w:t>
      </w:r>
      <w:r>
        <w:rPr>
          <w:rFonts w:ascii="Arial" w:hAnsi="Arial" w:cs="Arial"/>
          <w:sz w:val="22"/>
          <w:szCs w:val="22"/>
        </w:rPr>
        <w:t>ted, repaired, and inspected.  Due to the impacts of the COVID-19 PHE, the NRC is prepared to authorize, upon request from individual licensees, requests for alternatives to requirements in the ASME B&amp;PV and OM Codes. Through this emergency request, NRC is</w:t>
      </w:r>
      <w:r>
        <w:rPr>
          <w:rFonts w:ascii="Arial" w:hAnsi="Arial" w:cs="Arial"/>
          <w:sz w:val="22"/>
          <w:szCs w:val="22"/>
        </w:rPr>
        <w:t xml:space="preserve"> introducing a</w:t>
      </w:r>
      <w:r>
        <w:rPr>
          <w:rFonts w:ascii="Arial" w:hAnsi="Arial" w:cs="Arial"/>
          <w:sz w:val="22"/>
          <w:szCs w:val="22"/>
        </w:rPr>
        <w:t xml:space="preserve"> </w:t>
      </w:r>
      <w:r>
        <w:rPr>
          <w:rFonts w:ascii="Arial" w:hAnsi="Arial" w:cs="Arial"/>
          <w:sz w:val="22"/>
          <w:szCs w:val="22"/>
        </w:rPr>
        <w:t>n</w:t>
      </w:r>
      <w:r>
        <w:rPr>
          <w:rFonts w:ascii="Arial" w:hAnsi="Arial" w:cs="Arial"/>
          <w:sz w:val="22"/>
          <w:szCs w:val="22"/>
        </w:rPr>
        <w:t>ew,</w:t>
      </w:r>
      <w:r>
        <w:rPr>
          <w:rFonts w:ascii="Arial" w:hAnsi="Arial" w:cs="Arial"/>
          <w:sz w:val="22"/>
          <w:szCs w:val="22"/>
        </w:rPr>
        <w:t xml:space="preserve"> optional online form to simplify filing and reduce burden </w:t>
      </w:r>
      <w:r>
        <w:rPr>
          <w:rFonts w:ascii="Arial" w:hAnsi="Arial" w:cs="Arial"/>
          <w:sz w:val="22"/>
          <w:szCs w:val="22"/>
        </w:rPr>
        <w:t>for licensees under current conditions.</w:t>
      </w:r>
      <w:r>
        <w:rPr>
          <w:rFonts w:ascii="Arial" w:hAnsi="Arial" w:cs="Arial"/>
          <w:sz w:val="22"/>
          <w:szCs w:val="22"/>
        </w:rPr>
        <w:t xml:space="preserve"> Licensees will retain the option to file applications using the existing</w:t>
      </w:r>
      <w:r>
        <w:rPr>
          <w:rFonts w:ascii="Arial" w:hAnsi="Arial" w:cs="Arial"/>
          <w:sz w:val="22"/>
          <w:szCs w:val="22"/>
        </w:rPr>
        <w:t xml:space="preserve"> mechanisms, should they so choose.</w:t>
      </w:r>
    </w:p>
    <w:p w:rsidR="00BB21D2" w:rsidRDefault="00BB21D2" w14:paraId="169B3124" w14:textId="77777777">
      <w:pPr>
        <w:widowControl/>
        <w:rPr>
          <w:rFonts w:ascii="Arial" w:hAnsi="Arial" w:cs="Arial"/>
          <w:sz w:val="22"/>
          <w:szCs w:val="22"/>
        </w:rPr>
      </w:pPr>
    </w:p>
    <w:p w:rsidR="00BB21D2" w:rsidRDefault="00201790" w14:paraId="5AB8E853" w14:textId="7C64FF13">
      <w:pPr>
        <w:widowControl/>
        <w:ind w:left="720"/>
        <w:rPr>
          <w:rFonts w:ascii="Arial" w:hAnsi="Arial" w:cs="Arial"/>
          <w:sz w:val="22"/>
          <w:szCs w:val="22"/>
        </w:rPr>
      </w:pPr>
      <w:r>
        <w:rPr>
          <w:rFonts w:ascii="Arial" w:hAnsi="Arial" w:cs="Arial"/>
          <w:sz w:val="22"/>
          <w:szCs w:val="22"/>
        </w:rPr>
        <w:t xml:space="preserve">The information collected by the online form is the minimum needed by NRC to </w:t>
      </w:r>
      <w:proofErr w:type="gramStart"/>
      <w:r>
        <w:rPr>
          <w:rFonts w:ascii="Arial" w:hAnsi="Arial" w:cs="Arial"/>
          <w:sz w:val="22"/>
          <w:szCs w:val="22"/>
        </w:rPr>
        <w:t>make a determination</w:t>
      </w:r>
      <w:proofErr w:type="gramEnd"/>
      <w:r>
        <w:rPr>
          <w:rFonts w:ascii="Arial" w:hAnsi="Arial" w:cs="Arial"/>
          <w:sz w:val="22"/>
          <w:szCs w:val="22"/>
        </w:rPr>
        <w:t xml:space="preserve"> on the acceptability of the licensee’s request f</w:t>
      </w:r>
      <w:r>
        <w:rPr>
          <w:rFonts w:ascii="Arial" w:hAnsi="Arial" w:cs="Arial"/>
          <w:sz w:val="22"/>
          <w:szCs w:val="22"/>
        </w:rPr>
        <w:t>or an alternative.</w:t>
      </w:r>
      <w:r>
        <w:rPr>
          <w:rFonts w:ascii="Arial" w:hAnsi="Arial" w:cs="Arial"/>
          <w:sz w:val="22"/>
          <w:szCs w:val="22"/>
        </w:rPr>
        <w:t xml:space="preserve">  The information being collected by the online form is the same as the information that licensees </w:t>
      </w:r>
      <w:r>
        <w:rPr>
          <w:rFonts w:ascii="Arial" w:hAnsi="Arial" w:cs="Arial"/>
          <w:sz w:val="22"/>
          <w:szCs w:val="22"/>
        </w:rPr>
        <w:t>currently submit when they file requests for alternatives under 10 CFR Part 50.55</w:t>
      </w:r>
      <w:r>
        <w:rPr>
          <w:rFonts w:ascii="Arial" w:hAnsi="Arial" w:cs="Arial"/>
          <w:sz w:val="22"/>
          <w:szCs w:val="22"/>
        </w:rPr>
        <w:t>a</w:t>
      </w:r>
      <w:r>
        <w:rPr>
          <w:rFonts w:ascii="Arial" w:hAnsi="Arial" w:cs="Arial"/>
          <w:sz w:val="22"/>
          <w:szCs w:val="22"/>
        </w:rPr>
        <w:t xml:space="preserve">. </w:t>
      </w:r>
      <w:r>
        <w:rPr>
          <w:rFonts w:ascii="Arial" w:hAnsi="Arial" w:cs="Arial"/>
          <w:sz w:val="22"/>
          <w:szCs w:val="22"/>
        </w:rPr>
        <w:t xml:space="preserve"> In addition to the online form, licensees can </w:t>
      </w:r>
      <w:r>
        <w:rPr>
          <w:rFonts w:ascii="Arial" w:hAnsi="Arial" w:cs="Arial"/>
          <w:sz w:val="22"/>
          <w:szCs w:val="22"/>
        </w:rPr>
        <w:t>currentl</w:t>
      </w:r>
      <w:r>
        <w:rPr>
          <w:rFonts w:ascii="Arial" w:hAnsi="Arial" w:cs="Arial"/>
          <w:sz w:val="22"/>
          <w:szCs w:val="22"/>
        </w:rPr>
        <w:t>y</w:t>
      </w:r>
      <w:r>
        <w:rPr>
          <w:rFonts w:ascii="Arial" w:hAnsi="Arial" w:cs="Arial"/>
          <w:sz w:val="22"/>
          <w:szCs w:val="22"/>
        </w:rPr>
        <w:t xml:space="preserve"> </w:t>
      </w:r>
      <w:r>
        <w:rPr>
          <w:rFonts w:ascii="Arial" w:hAnsi="Arial" w:cs="Arial"/>
          <w:sz w:val="22"/>
          <w:szCs w:val="22"/>
        </w:rPr>
        <w:t xml:space="preserve">submit their alternative requests through the NRC’s Electronic Information Exchange or by </w:t>
      </w:r>
      <w:r>
        <w:rPr>
          <w:rFonts w:ascii="Arial" w:hAnsi="Arial" w:cs="Arial"/>
          <w:sz w:val="22"/>
          <w:szCs w:val="22"/>
        </w:rPr>
        <w:t>mail.</w:t>
      </w:r>
    </w:p>
    <w:p w:rsidR="00BB21D2" w:rsidRDefault="00BB21D2" w14:paraId="02B5A57A" w14:textId="77777777">
      <w:pPr>
        <w:widowControl/>
        <w:rPr>
          <w:rFonts w:ascii="Arial" w:hAnsi="Arial" w:cs="Arial"/>
          <w:sz w:val="22"/>
          <w:szCs w:val="22"/>
        </w:rPr>
      </w:pPr>
    </w:p>
    <w:p w:rsidR="00BB21D2" w:rsidRDefault="00201790" w14:paraId="0D99ED53" w14:textId="77777777">
      <w:pPr>
        <w:keepNext/>
        <w:keepLines/>
        <w:widowControl/>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BB21D2" w:rsidRDefault="00BB21D2" w14:paraId="65323EE0" w14:textId="77777777">
      <w:pPr>
        <w:keepNext/>
        <w:keepLines/>
        <w:widowControl/>
        <w:rPr>
          <w:rFonts w:ascii="Arial" w:hAnsi="Arial" w:cs="Arial"/>
          <w:sz w:val="22"/>
          <w:szCs w:val="22"/>
        </w:rPr>
      </w:pPr>
    </w:p>
    <w:p w:rsidR="00BB21D2" w:rsidRDefault="00201790" w14:paraId="53A31148" w14:textId="77777777">
      <w:pPr>
        <w:pStyle w:val="Level1"/>
        <w:widowControl/>
        <w:ind w:left="720" w:firstLine="0"/>
        <w:outlineLvl w:val="9"/>
        <w:rPr>
          <w:rFonts w:ascii="Arial" w:hAnsi="Arial" w:cs="Arial"/>
          <w:sz w:val="22"/>
          <w:szCs w:val="22"/>
        </w:rPr>
      </w:pPr>
      <w:r>
        <w:rPr>
          <w:rFonts w:ascii="Arial" w:hAnsi="Arial" w:cs="Arial"/>
          <w:sz w:val="22"/>
          <w:szCs w:val="22"/>
        </w:rPr>
        <w:t>The NRC uses the information collected by this form to determine that licensees’ relief requests are authorized by law a</w:t>
      </w:r>
      <w:r>
        <w:rPr>
          <w:rFonts w:ascii="Arial" w:hAnsi="Arial" w:cs="Arial"/>
          <w:sz w:val="22"/>
          <w:szCs w:val="22"/>
        </w:rPr>
        <w:t>nd will not endanger life or property or the common defense and security and are otherwise in the public interest.</w:t>
      </w:r>
      <w:r>
        <w:rPr>
          <w:rFonts w:ascii="Arial" w:hAnsi="Arial" w:cs="Arial"/>
          <w:sz w:val="22"/>
          <w:szCs w:val="22"/>
        </w:rPr>
        <w:t xml:space="preserve">  The NRC will evaluate the information collected by this form in the same way that it evaluates information that licensees currently submit w</w:t>
      </w:r>
      <w:r>
        <w:rPr>
          <w:rFonts w:ascii="Arial" w:hAnsi="Arial" w:cs="Arial"/>
          <w:sz w:val="22"/>
          <w:szCs w:val="22"/>
        </w:rPr>
        <w:t>hen they file requests for alternatives under 10 CFR Part 50.55</w:t>
      </w:r>
      <w:r>
        <w:rPr>
          <w:rFonts w:ascii="Arial" w:hAnsi="Arial" w:cs="Arial"/>
          <w:sz w:val="22"/>
          <w:szCs w:val="22"/>
        </w:rPr>
        <w:t>a</w:t>
      </w:r>
      <w:r>
        <w:rPr>
          <w:rFonts w:ascii="Arial" w:hAnsi="Arial" w:cs="Arial"/>
          <w:sz w:val="22"/>
          <w:szCs w:val="22"/>
        </w:rPr>
        <w:t>.</w:t>
      </w:r>
    </w:p>
    <w:p w:rsidR="00BB21D2" w:rsidRDefault="00BB21D2" w14:paraId="31DAE54D" w14:textId="77777777">
      <w:pPr>
        <w:pStyle w:val="Level1"/>
        <w:widowControl/>
        <w:ind w:left="0" w:firstLine="0"/>
        <w:outlineLvl w:val="9"/>
        <w:rPr>
          <w:rFonts w:ascii="Arial" w:hAnsi="Arial" w:cs="Arial"/>
          <w:sz w:val="22"/>
          <w:szCs w:val="22"/>
        </w:rPr>
      </w:pPr>
    </w:p>
    <w:p w:rsidR="00BB21D2" w:rsidRDefault="00201790" w14:paraId="359B9543" w14:textId="77777777">
      <w:pPr>
        <w:keepNext/>
        <w:keepLines/>
        <w:widowControl/>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u w:val="single"/>
        </w:rPr>
        <w:t>Reduction of Burden through Information Technology</w:t>
      </w:r>
    </w:p>
    <w:p w:rsidR="00BB21D2" w:rsidRDefault="00BB21D2" w14:paraId="2CBA0076" w14:textId="77777777">
      <w:pPr>
        <w:keepNext/>
        <w:keepLines/>
        <w:widowControl/>
        <w:rPr>
          <w:rFonts w:ascii="Arial" w:hAnsi="Arial" w:cs="Arial"/>
          <w:sz w:val="22"/>
          <w:szCs w:val="22"/>
        </w:rPr>
      </w:pPr>
    </w:p>
    <w:p w:rsidR="00BB21D2" w:rsidRDefault="00201790" w14:paraId="76B06F87" w14:textId="77777777">
      <w:pPr>
        <w:widowControl/>
        <w:ind w:left="720"/>
        <w:rPr>
          <w:rFonts w:ascii="Arial" w:hAnsi="Arial" w:cs="Arial"/>
          <w:sz w:val="22"/>
          <w:szCs w:val="22"/>
        </w:rPr>
      </w:pPr>
      <w:r>
        <w:rPr>
          <w:rFonts w:ascii="Arial" w:hAnsi="Arial" w:cs="Arial"/>
          <w:sz w:val="22"/>
          <w:szCs w:val="22"/>
        </w:rPr>
        <w:t xml:space="preserve">The requested information will be submitted via a web-based electronic form.  It is estimated that approximately 100 percent of the </w:t>
      </w:r>
      <w:r>
        <w:rPr>
          <w:rFonts w:ascii="Arial" w:hAnsi="Arial" w:cs="Arial"/>
          <w:sz w:val="22"/>
          <w:szCs w:val="22"/>
        </w:rPr>
        <w:t>responses will be filed electronically.</w:t>
      </w:r>
    </w:p>
    <w:p w:rsidR="00BB21D2" w:rsidRDefault="00BB21D2" w14:paraId="69B384E1" w14:textId="77777777">
      <w:pPr>
        <w:widowControl/>
        <w:rPr>
          <w:rFonts w:ascii="Arial" w:hAnsi="Arial" w:cs="Arial"/>
          <w:sz w:val="22"/>
          <w:szCs w:val="22"/>
        </w:rPr>
      </w:pPr>
    </w:p>
    <w:p w:rsidR="00BB21D2" w:rsidRDefault="00201790" w14:paraId="26FD88E0" w14:textId="77777777">
      <w:pPr>
        <w:widowControl/>
        <w:ind w:left="450" w:hanging="450"/>
        <w:rPr>
          <w:rFonts w:ascii="Arial" w:hAnsi="Arial" w:cs="Arial"/>
          <w:sz w:val="22"/>
          <w:szCs w:val="22"/>
          <w:u w:val="single"/>
        </w:rPr>
      </w:pPr>
      <w:r>
        <w:rPr>
          <w:rFonts w:ascii="Arial" w:hAnsi="Arial" w:cs="Arial"/>
          <w:sz w:val="22"/>
          <w:szCs w:val="22"/>
        </w:rPr>
        <w:t>4.</w:t>
      </w:r>
      <w:r>
        <w:rPr>
          <w:rFonts w:ascii="Arial" w:hAnsi="Arial" w:cs="Arial"/>
          <w:sz w:val="22"/>
          <w:szCs w:val="22"/>
        </w:rPr>
        <w:tab/>
      </w:r>
      <w:r>
        <w:rPr>
          <w:rFonts w:ascii="Arial" w:hAnsi="Arial" w:cs="Arial"/>
          <w:sz w:val="22"/>
          <w:szCs w:val="22"/>
        </w:rPr>
        <w:tab/>
      </w:r>
      <w:r>
        <w:rPr>
          <w:rFonts w:ascii="Arial" w:hAnsi="Arial" w:cs="Arial"/>
          <w:sz w:val="22"/>
          <w:szCs w:val="22"/>
          <w:u w:val="single"/>
        </w:rPr>
        <w:t>Efforts to Identify Duplication and Use Similar Information</w:t>
      </w:r>
    </w:p>
    <w:p w:rsidR="00BB21D2" w:rsidRDefault="00BB21D2" w14:paraId="6778CABF" w14:textId="77777777">
      <w:pPr>
        <w:widowControl/>
        <w:ind w:left="450" w:hanging="450"/>
        <w:rPr>
          <w:rFonts w:ascii="Arial" w:hAnsi="Arial" w:cs="Arial"/>
          <w:sz w:val="22"/>
          <w:szCs w:val="22"/>
        </w:rPr>
      </w:pPr>
    </w:p>
    <w:p w:rsidR="00BB21D2" w:rsidP="00D87C49" w:rsidRDefault="00201790" w14:paraId="2006E545" w14:textId="77777777">
      <w:pPr>
        <w:widowControl/>
        <w:ind w:left="720"/>
        <w:rPr>
          <w:rFonts w:ascii="Arial" w:hAnsi="Arial" w:cs="Arial"/>
          <w:sz w:val="22"/>
          <w:szCs w:val="22"/>
        </w:rPr>
      </w:pPr>
      <w:r>
        <w:rPr>
          <w:rFonts w:ascii="Arial" w:hAnsi="Arial" w:cs="Arial"/>
          <w:sz w:val="22"/>
          <w:szCs w:val="22"/>
        </w:rPr>
        <w:t>No sources of similar information are available.  There is no duplication of requirements.</w:t>
      </w:r>
    </w:p>
    <w:p w:rsidR="00BB21D2" w:rsidRDefault="00BB21D2" w14:paraId="4396406A" w14:textId="77777777">
      <w:pPr>
        <w:widowControl/>
        <w:rPr>
          <w:rFonts w:ascii="Arial" w:hAnsi="Arial" w:cs="Arial"/>
          <w:sz w:val="22"/>
          <w:szCs w:val="22"/>
        </w:rPr>
      </w:pPr>
    </w:p>
    <w:p w:rsidR="00BB21D2" w:rsidRDefault="00201790" w14:paraId="7631ECC2" w14:textId="77777777">
      <w:pPr>
        <w:keepNext/>
        <w:keepLines/>
        <w:widowControl/>
        <w:ind w:left="450" w:hanging="450"/>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u w:val="single"/>
        </w:rPr>
        <w:t>Effort to Reduce Small Business Burden</w:t>
      </w:r>
    </w:p>
    <w:p w:rsidR="00BB21D2" w:rsidRDefault="00BB21D2" w14:paraId="7454CEE7" w14:textId="77777777">
      <w:pPr>
        <w:keepNext/>
        <w:keepLines/>
        <w:widowControl/>
        <w:rPr>
          <w:rFonts w:ascii="Arial" w:hAnsi="Arial" w:cs="Arial"/>
          <w:sz w:val="22"/>
          <w:szCs w:val="22"/>
        </w:rPr>
      </w:pPr>
    </w:p>
    <w:p w:rsidR="00BB21D2" w:rsidRDefault="00201790" w14:paraId="74925AA4" w14:textId="77777777">
      <w:pPr>
        <w:keepLines/>
        <w:widowControl/>
        <w:ind w:left="720"/>
        <w:rPr>
          <w:rFonts w:ascii="Arial" w:hAnsi="Arial" w:cs="Arial"/>
          <w:sz w:val="22"/>
          <w:szCs w:val="22"/>
        </w:rPr>
      </w:pPr>
      <w:r>
        <w:rPr>
          <w:rFonts w:ascii="Arial" w:hAnsi="Arial" w:cs="Arial"/>
          <w:sz w:val="22"/>
          <w:szCs w:val="22"/>
        </w:rPr>
        <w:t xml:space="preserve">The use of </w:t>
      </w:r>
      <w:r>
        <w:rPr>
          <w:rFonts w:ascii="Arial" w:hAnsi="Arial" w:cs="Arial"/>
          <w:sz w:val="22"/>
          <w:szCs w:val="22"/>
        </w:rPr>
        <w:t xml:space="preserve">an online form will reduce the burden related to the submission of an alternative request for all respondents, including small businesses.  The information collected is the minimum necessary to for NRC staff to </w:t>
      </w:r>
      <w:proofErr w:type="gramStart"/>
      <w:r>
        <w:rPr>
          <w:rFonts w:ascii="Arial" w:hAnsi="Arial" w:cs="Arial"/>
          <w:sz w:val="22"/>
          <w:szCs w:val="22"/>
        </w:rPr>
        <w:t>make a determination</w:t>
      </w:r>
      <w:proofErr w:type="gramEnd"/>
      <w:r>
        <w:rPr>
          <w:rFonts w:ascii="Arial" w:hAnsi="Arial" w:cs="Arial"/>
          <w:sz w:val="22"/>
          <w:szCs w:val="22"/>
        </w:rPr>
        <w:t xml:space="preserve"> regarding an alternative</w:t>
      </w:r>
      <w:r>
        <w:rPr>
          <w:rFonts w:ascii="Arial" w:hAnsi="Arial" w:cs="Arial"/>
          <w:sz w:val="22"/>
          <w:szCs w:val="22"/>
        </w:rPr>
        <w:t xml:space="preserve"> request and cannot be further reduced for small businesses.  NRC staff estimates that 0% of respondents will be small businesses.</w:t>
      </w:r>
    </w:p>
    <w:p w:rsidR="00BB21D2" w:rsidRDefault="00BB21D2" w14:paraId="2DAC46FB" w14:textId="77777777">
      <w:pPr>
        <w:widowControl/>
        <w:rPr>
          <w:rFonts w:ascii="Arial" w:hAnsi="Arial" w:cs="Arial"/>
          <w:sz w:val="22"/>
          <w:szCs w:val="22"/>
        </w:rPr>
      </w:pPr>
    </w:p>
    <w:p w:rsidR="00BB21D2" w:rsidRDefault="00201790" w14:paraId="452BD955" w14:textId="77777777">
      <w:pPr>
        <w:widowControl/>
        <w:ind w:left="720" w:hanging="72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u w:val="single"/>
        </w:rPr>
        <w:t>Consequences to Federal Programs or Policy Activities if the Collection is Not Conducted or is Collected Less Frequently</w:t>
      </w:r>
    </w:p>
    <w:p w:rsidR="00BB21D2" w:rsidRDefault="00BB21D2" w14:paraId="3E3D7D07" w14:textId="77777777">
      <w:pPr>
        <w:widowControl/>
        <w:rPr>
          <w:rFonts w:ascii="Arial" w:hAnsi="Arial" w:cs="Arial"/>
          <w:sz w:val="22"/>
          <w:szCs w:val="22"/>
        </w:rPr>
      </w:pPr>
    </w:p>
    <w:p w:rsidR="00BB21D2" w:rsidRDefault="00201790" w14:paraId="57F245A4" w14:textId="499A8459">
      <w:pPr>
        <w:widowControl/>
        <w:rPr>
          <w:rFonts w:ascii="Arial" w:hAnsi="Arial" w:cs="Arial"/>
          <w:sz w:val="22"/>
          <w:szCs w:val="22"/>
        </w:rPr>
      </w:pPr>
      <w:r>
        <w:rPr>
          <w:rFonts w:ascii="Arial" w:hAnsi="Arial" w:cs="Arial"/>
          <w:sz w:val="22"/>
          <w:szCs w:val="22"/>
        </w:rPr>
        <w:lastRenderedPageBreak/>
        <w:t>If the collection were not conducted, licensees would not be able to submit alternative requests in a timely manner</w:t>
      </w:r>
      <w:r>
        <w:rPr>
          <w:rFonts w:ascii="Arial" w:hAnsi="Arial" w:cs="Arial"/>
          <w:sz w:val="22"/>
          <w:szCs w:val="22"/>
        </w:rPr>
        <w:t xml:space="preserve"> because there would not be an online form to supplement the existing reporting mechanisms.</w:t>
      </w:r>
      <w:r>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If the online form is not available to license</w:t>
      </w:r>
      <w:r>
        <w:rPr>
          <w:rFonts w:ascii="Arial" w:hAnsi="Arial" w:cs="Arial"/>
          <w:sz w:val="22"/>
          <w:szCs w:val="22"/>
        </w:rPr>
        <w:t xml:space="preserve">es to use to submit their requests, there may be greater burden on the licensees, in terms of time and resources, to submit requests through existing methods.  </w:t>
      </w:r>
    </w:p>
    <w:p w:rsidR="00BB21D2" w:rsidRDefault="00BB21D2" w14:paraId="04668517" w14:textId="77777777">
      <w:pPr>
        <w:widowControl/>
        <w:rPr>
          <w:rFonts w:ascii="Arial" w:hAnsi="Arial" w:cs="Arial"/>
          <w:sz w:val="22"/>
          <w:szCs w:val="22"/>
        </w:rPr>
      </w:pPr>
    </w:p>
    <w:p w:rsidR="00BB21D2" w:rsidRDefault="00201790" w14:paraId="6C0C7508" w14:textId="77777777">
      <w:pPr>
        <w:widowControl/>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u w:val="single"/>
        </w:rPr>
        <w:t>Circumstances which Justify Variation from OMB Guidelines</w:t>
      </w:r>
    </w:p>
    <w:p w:rsidR="00BB21D2" w:rsidRDefault="00BB21D2" w14:paraId="34F29E28" w14:textId="77777777">
      <w:pPr>
        <w:widowControl/>
        <w:rPr>
          <w:rFonts w:ascii="Arial" w:hAnsi="Arial" w:cs="Arial"/>
          <w:sz w:val="22"/>
          <w:szCs w:val="22"/>
        </w:rPr>
      </w:pPr>
    </w:p>
    <w:p w:rsidR="00BB21D2" w:rsidRDefault="00201790" w14:paraId="5AAA2DE2" w14:textId="77777777">
      <w:pPr>
        <w:widowControl/>
        <w:ind w:firstLine="720"/>
        <w:rPr>
          <w:rFonts w:ascii="Arial" w:hAnsi="Arial" w:cs="Arial"/>
          <w:sz w:val="22"/>
          <w:szCs w:val="22"/>
        </w:rPr>
      </w:pPr>
      <w:bookmarkStart w:name="_Hlk38353208" w:id="4"/>
      <w:r>
        <w:rPr>
          <w:rFonts w:ascii="Arial" w:hAnsi="Arial" w:cs="Arial"/>
          <w:sz w:val="22"/>
          <w:szCs w:val="22"/>
        </w:rPr>
        <w:t>Not applicable</w:t>
      </w:r>
      <w:r>
        <w:rPr>
          <w:rFonts w:ascii="Arial" w:hAnsi="Arial" w:cs="Arial"/>
          <w:sz w:val="22"/>
          <w:szCs w:val="22"/>
        </w:rPr>
        <w:tab/>
      </w:r>
    </w:p>
    <w:bookmarkEnd w:id="4"/>
    <w:p w:rsidR="00BB21D2" w:rsidRDefault="00BB21D2" w14:paraId="4DAF30A2" w14:textId="77777777">
      <w:pPr>
        <w:widowControl/>
        <w:rPr>
          <w:rFonts w:ascii="Arial" w:hAnsi="Arial" w:cs="Arial"/>
          <w:sz w:val="22"/>
          <w:szCs w:val="22"/>
        </w:rPr>
      </w:pPr>
    </w:p>
    <w:p w:rsidR="00BB21D2" w:rsidRDefault="00201790" w14:paraId="54E9A884" w14:textId="77777777">
      <w:pPr>
        <w:keepNext/>
        <w:widowControl/>
        <w:ind w:left="450" w:hanging="45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rPr>
        <w:tab/>
      </w:r>
      <w:r>
        <w:rPr>
          <w:rFonts w:ascii="Arial" w:hAnsi="Arial" w:cs="Arial"/>
          <w:sz w:val="22"/>
          <w:szCs w:val="22"/>
          <w:u w:val="single"/>
        </w:rPr>
        <w:t>Consultatio</w:t>
      </w:r>
      <w:r>
        <w:rPr>
          <w:rFonts w:ascii="Arial" w:hAnsi="Arial" w:cs="Arial"/>
          <w:sz w:val="22"/>
          <w:szCs w:val="22"/>
          <w:u w:val="single"/>
        </w:rPr>
        <w:t>ns Outside the NRC</w:t>
      </w:r>
    </w:p>
    <w:p w:rsidR="00BB21D2" w:rsidRDefault="00BB21D2" w14:paraId="22F2BED9" w14:textId="77777777">
      <w:pPr>
        <w:keepNext/>
        <w:widowControl/>
        <w:rPr>
          <w:rFonts w:ascii="Arial" w:hAnsi="Arial" w:cs="Arial"/>
          <w:sz w:val="22"/>
          <w:szCs w:val="22"/>
        </w:rPr>
      </w:pPr>
    </w:p>
    <w:p w:rsidR="00BB21D2" w:rsidRDefault="00201790" w14:paraId="55905E14" w14:textId="77777777">
      <w:pPr>
        <w:widowControl/>
        <w:ind w:firstLine="720"/>
        <w:rPr>
          <w:rFonts w:ascii="Arial" w:hAnsi="Arial" w:cs="Arial"/>
          <w:sz w:val="22"/>
          <w:szCs w:val="22"/>
        </w:rPr>
      </w:pPr>
      <w:r>
        <w:rPr>
          <w:rFonts w:ascii="Arial" w:hAnsi="Arial" w:cs="Arial"/>
          <w:sz w:val="22"/>
          <w:szCs w:val="22"/>
        </w:rPr>
        <w:t>Not applicable</w:t>
      </w:r>
      <w:r>
        <w:rPr>
          <w:rFonts w:ascii="Arial" w:hAnsi="Arial" w:cs="Arial"/>
          <w:sz w:val="22"/>
          <w:szCs w:val="22"/>
        </w:rPr>
        <w:tab/>
      </w:r>
    </w:p>
    <w:p w:rsidR="00BB21D2" w:rsidRDefault="00BB21D2" w14:paraId="1E75F78A" w14:textId="77777777">
      <w:pPr>
        <w:keepNext/>
        <w:widowControl/>
        <w:ind w:left="450" w:hanging="450"/>
        <w:rPr>
          <w:rFonts w:ascii="Arial" w:hAnsi="Arial" w:cs="Arial"/>
          <w:sz w:val="22"/>
          <w:szCs w:val="22"/>
        </w:rPr>
      </w:pPr>
    </w:p>
    <w:p w:rsidR="00BB21D2" w:rsidRDefault="00201790" w14:paraId="2EA62D8B" w14:textId="77777777">
      <w:pPr>
        <w:keepNext/>
        <w:widowControl/>
        <w:ind w:left="450" w:hanging="45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u w:val="single"/>
        </w:rPr>
        <w:t>Payment or Gift to Respondents</w:t>
      </w:r>
    </w:p>
    <w:p w:rsidR="00BB21D2" w:rsidRDefault="00BB21D2" w14:paraId="382E011E" w14:textId="77777777">
      <w:pPr>
        <w:keepNext/>
        <w:widowControl/>
        <w:rPr>
          <w:rFonts w:ascii="Arial" w:hAnsi="Arial" w:cs="Arial"/>
          <w:sz w:val="22"/>
          <w:szCs w:val="22"/>
        </w:rPr>
      </w:pPr>
    </w:p>
    <w:p w:rsidR="00BB21D2" w:rsidRDefault="00201790" w14:paraId="57EDAAA6" w14:textId="77777777">
      <w:pPr>
        <w:keepNext/>
        <w:widowControl/>
        <w:ind w:firstLine="720"/>
        <w:rPr>
          <w:rFonts w:ascii="Arial" w:hAnsi="Arial" w:cs="Arial"/>
          <w:sz w:val="22"/>
          <w:szCs w:val="22"/>
        </w:rPr>
      </w:pPr>
      <w:r>
        <w:rPr>
          <w:rFonts w:ascii="Arial" w:hAnsi="Arial" w:cs="Arial"/>
          <w:sz w:val="22"/>
          <w:szCs w:val="22"/>
        </w:rPr>
        <w:t>Not applicable.</w:t>
      </w:r>
    </w:p>
    <w:p w:rsidR="00BB21D2" w:rsidRDefault="00BB21D2" w14:paraId="53B87879" w14:textId="77777777">
      <w:pPr>
        <w:widowControl/>
        <w:rPr>
          <w:rFonts w:ascii="Arial" w:hAnsi="Arial" w:cs="Arial"/>
          <w:sz w:val="22"/>
          <w:szCs w:val="22"/>
        </w:rPr>
      </w:pPr>
    </w:p>
    <w:p w:rsidR="00BB21D2" w:rsidRDefault="00201790" w14:paraId="66F28F73" w14:textId="77777777">
      <w:pPr>
        <w:keepNext/>
        <w:keepLines/>
        <w:widowControl/>
        <w:ind w:left="450" w:hanging="45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sz w:val="22"/>
          <w:szCs w:val="22"/>
        </w:rPr>
        <w:tab/>
      </w:r>
      <w:r>
        <w:rPr>
          <w:rFonts w:ascii="Arial" w:hAnsi="Arial" w:cs="Arial"/>
          <w:sz w:val="22"/>
          <w:szCs w:val="22"/>
          <w:u w:val="single"/>
        </w:rPr>
        <w:t>Confidentiality of the Information</w:t>
      </w:r>
    </w:p>
    <w:p w:rsidR="00BB21D2" w:rsidRDefault="00BB21D2" w14:paraId="02761249" w14:textId="77777777">
      <w:pPr>
        <w:keepNext/>
        <w:keepLines/>
        <w:widowControl/>
        <w:rPr>
          <w:rFonts w:ascii="Arial" w:hAnsi="Arial" w:cs="Arial"/>
          <w:sz w:val="22"/>
          <w:szCs w:val="22"/>
        </w:rPr>
      </w:pPr>
    </w:p>
    <w:p w:rsidR="00BB21D2" w:rsidRDefault="00201790" w14:paraId="06A83664" w14:textId="77777777">
      <w:pPr>
        <w:widowControl/>
        <w:ind w:left="720"/>
        <w:rPr>
          <w:rFonts w:ascii="Arial" w:hAnsi="Arial" w:cs="Arial"/>
          <w:sz w:val="22"/>
          <w:szCs w:val="22"/>
        </w:rPr>
      </w:pPr>
      <w:r>
        <w:rPr>
          <w:rFonts w:ascii="Arial" w:hAnsi="Arial" w:cs="Arial"/>
          <w:sz w:val="22"/>
          <w:szCs w:val="22"/>
        </w:rPr>
        <w:t xml:space="preserve">Confidential and proprietary information is protected in accordance with NRC regulations at 10 CFR 9.17(a) and 10 </w:t>
      </w:r>
      <w:r>
        <w:rPr>
          <w:rFonts w:ascii="Arial" w:hAnsi="Arial" w:cs="Arial"/>
          <w:sz w:val="22"/>
          <w:szCs w:val="22"/>
        </w:rPr>
        <w:t>CFR 2.390(b).</w:t>
      </w:r>
    </w:p>
    <w:p w:rsidR="00BB21D2" w:rsidRDefault="00BB21D2" w14:paraId="7E3B52D3" w14:textId="77777777">
      <w:pPr>
        <w:widowControl/>
        <w:rPr>
          <w:rFonts w:ascii="Arial" w:hAnsi="Arial" w:cs="Arial"/>
          <w:sz w:val="22"/>
          <w:szCs w:val="22"/>
        </w:rPr>
      </w:pPr>
    </w:p>
    <w:p w:rsidR="00BB21D2" w:rsidRDefault="00201790" w14:paraId="44E557D6" w14:textId="77777777">
      <w:pPr>
        <w:widowControl/>
        <w:ind w:left="446" w:hanging="446"/>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rPr>
        <w:tab/>
      </w:r>
      <w:r>
        <w:rPr>
          <w:rFonts w:ascii="Arial" w:hAnsi="Arial" w:cs="Arial"/>
          <w:sz w:val="22"/>
          <w:szCs w:val="22"/>
          <w:u w:val="single"/>
        </w:rPr>
        <w:t>Justification for Sensitive Questions</w:t>
      </w:r>
    </w:p>
    <w:p w:rsidR="00BB21D2" w:rsidRDefault="00BB21D2" w14:paraId="2D678CBA" w14:textId="77777777">
      <w:pPr>
        <w:keepNext/>
        <w:widowControl/>
        <w:rPr>
          <w:rFonts w:ascii="Arial" w:hAnsi="Arial" w:cs="Arial"/>
          <w:sz w:val="22"/>
          <w:szCs w:val="22"/>
        </w:rPr>
      </w:pPr>
    </w:p>
    <w:p w:rsidR="00BB21D2" w:rsidRDefault="00201790" w14:paraId="788E8931" w14:textId="77777777">
      <w:pPr>
        <w:ind w:left="720"/>
        <w:rPr>
          <w:rFonts w:ascii="Arial" w:hAnsi="Arial" w:cs="Arial"/>
          <w:sz w:val="22"/>
          <w:szCs w:val="22"/>
        </w:rPr>
      </w:pPr>
      <w:r>
        <w:rPr>
          <w:rFonts w:ascii="Arial" w:hAnsi="Arial" w:cs="Arial"/>
          <w:sz w:val="22"/>
          <w:szCs w:val="22"/>
        </w:rPr>
        <w:t xml:space="preserve">No sensitive information is requested. If sensitive information is provided by licensees within these submittals there are processes for appropriate marking them non-public for security reasons or </w:t>
      </w:r>
      <w:r>
        <w:rPr>
          <w:rFonts w:ascii="Arial" w:hAnsi="Arial" w:cs="Arial"/>
          <w:sz w:val="22"/>
          <w:szCs w:val="22"/>
        </w:rPr>
        <w:t>marking sections as “proprietary” per 10 CFR 2.390(b).</w:t>
      </w:r>
    </w:p>
    <w:p w:rsidR="00BB21D2" w:rsidRDefault="00BB21D2" w14:paraId="0F3223E6" w14:textId="77777777">
      <w:pPr>
        <w:rPr>
          <w:rFonts w:cs="Arial"/>
          <w:szCs w:val="22"/>
        </w:rPr>
      </w:pPr>
    </w:p>
    <w:p w:rsidR="00BB21D2" w:rsidRDefault="00201790" w14:paraId="1197F537" w14:textId="77777777">
      <w:pPr>
        <w:keepNext/>
        <w:ind w:left="450" w:hanging="450"/>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rPr>
        <w:tab/>
      </w:r>
      <w:r>
        <w:rPr>
          <w:rFonts w:ascii="Arial" w:hAnsi="Arial" w:cs="Arial"/>
          <w:sz w:val="22"/>
          <w:szCs w:val="22"/>
          <w:u w:val="single"/>
        </w:rPr>
        <w:t>Estimate of Industry Burden and Costs</w:t>
      </w:r>
    </w:p>
    <w:p w:rsidR="00BB21D2" w:rsidRDefault="00BB21D2" w14:paraId="0DA6FD79" w14:textId="77777777">
      <w:pPr>
        <w:widowControl/>
        <w:rPr>
          <w:rFonts w:ascii="Arial" w:hAnsi="Arial" w:cs="Arial"/>
          <w:sz w:val="22"/>
          <w:szCs w:val="22"/>
        </w:rPr>
      </w:pPr>
    </w:p>
    <w:p w:rsidR="00BB21D2" w:rsidRDefault="00201790" w14:paraId="5A56D12A" w14:textId="47D41B54">
      <w:pPr>
        <w:widowControl/>
        <w:ind w:left="720"/>
        <w:rPr>
          <w:rFonts w:ascii="Arial" w:hAnsi="Arial" w:cs="Arial"/>
          <w:sz w:val="22"/>
          <w:szCs w:val="22"/>
        </w:rPr>
      </w:pPr>
      <w:r>
        <w:rPr>
          <w:rFonts w:ascii="Arial" w:hAnsi="Arial" w:cs="Arial"/>
          <w:sz w:val="22"/>
          <w:szCs w:val="22"/>
        </w:rPr>
        <w:t xml:space="preserve">The estimate to </w:t>
      </w:r>
      <w:r>
        <w:rPr>
          <w:rFonts w:ascii="Arial" w:hAnsi="Arial" w:cs="Arial"/>
          <w:sz w:val="22"/>
          <w:szCs w:val="22"/>
        </w:rPr>
        <w:t xml:space="preserve">submit the alternative request </w:t>
      </w:r>
      <w:r>
        <w:rPr>
          <w:rFonts w:ascii="Arial" w:hAnsi="Arial" w:cs="Arial"/>
          <w:sz w:val="22"/>
          <w:szCs w:val="22"/>
        </w:rPr>
        <w:t>using</w:t>
      </w:r>
      <w:r>
        <w:rPr>
          <w:rFonts w:ascii="Arial" w:hAnsi="Arial" w:cs="Arial"/>
          <w:sz w:val="22"/>
          <w:szCs w:val="22"/>
        </w:rPr>
        <w:t xml:space="preserve"> the online</w:t>
      </w:r>
      <w:r>
        <w:rPr>
          <w:rFonts w:ascii="Arial" w:hAnsi="Arial" w:cs="Arial"/>
          <w:sz w:val="22"/>
          <w:szCs w:val="22"/>
        </w:rPr>
        <w:t xml:space="preserve"> </w:t>
      </w:r>
      <w:r>
        <w:rPr>
          <w:rFonts w:ascii="Arial" w:hAnsi="Arial" w:cs="Arial"/>
          <w:sz w:val="22"/>
          <w:szCs w:val="22"/>
        </w:rPr>
        <w:t>form is 2 hours</w:t>
      </w:r>
      <w:r>
        <w:rPr>
          <w:rFonts w:ascii="Arial" w:hAnsi="Arial" w:cs="Arial"/>
          <w:sz w:val="22"/>
          <w:szCs w:val="22"/>
        </w:rPr>
        <w:t xml:space="preserve">. </w:t>
      </w:r>
      <w:r>
        <w:rPr>
          <w:rFonts w:ascii="Arial" w:hAnsi="Arial" w:cs="Arial"/>
          <w:sz w:val="22"/>
          <w:szCs w:val="22"/>
        </w:rPr>
        <w:t xml:space="preserve">The use of the online </w:t>
      </w:r>
      <w:r>
        <w:rPr>
          <w:rFonts w:ascii="Arial" w:hAnsi="Arial" w:cs="Arial"/>
          <w:sz w:val="22"/>
          <w:szCs w:val="22"/>
        </w:rPr>
        <w:t xml:space="preserve">form </w:t>
      </w:r>
      <w:r>
        <w:rPr>
          <w:rFonts w:ascii="Arial" w:hAnsi="Arial" w:cs="Arial"/>
          <w:sz w:val="22"/>
          <w:szCs w:val="22"/>
        </w:rPr>
        <w:t>is e</w:t>
      </w:r>
      <w:r>
        <w:rPr>
          <w:rFonts w:ascii="Arial" w:hAnsi="Arial" w:cs="Arial"/>
          <w:sz w:val="22"/>
          <w:szCs w:val="22"/>
        </w:rPr>
        <w:t>xpected to</w:t>
      </w:r>
      <w:r>
        <w:rPr>
          <w:rFonts w:ascii="Arial" w:hAnsi="Arial" w:cs="Arial"/>
          <w:sz w:val="22"/>
          <w:szCs w:val="22"/>
        </w:rPr>
        <w:t xml:space="preserve"> streamline the </w:t>
      </w:r>
      <w:r>
        <w:rPr>
          <w:rFonts w:ascii="Arial" w:hAnsi="Arial" w:cs="Arial"/>
          <w:sz w:val="22"/>
          <w:szCs w:val="22"/>
        </w:rPr>
        <w:t>alternative request submission process</w:t>
      </w:r>
      <w:r>
        <w:rPr>
          <w:rFonts w:ascii="Arial" w:hAnsi="Arial" w:cs="Arial"/>
          <w:sz w:val="22"/>
          <w:szCs w:val="22"/>
        </w:rPr>
        <w:t xml:space="preserve"> and </w:t>
      </w:r>
      <w:r>
        <w:rPr>
          <w:rFonts w:ascii="Arial" w:hAnsi="Arial" w:cs="Arial"/>
          <w:sz w:val="22"/>
          <w:szCs w:val="22"/>
        </w:rPr>
        <w:t xml:space="preserve">potentially </w:t>
      </w:r>
      <w:r>
        <w:rPr>
          <w:rFonts w:ascii="Arial" w:hAnsi="Arial" w:cs="Arial"/>
          <w:sz w:val="22"/>
          <w:szCs w:val="22"/>
        </w:rPr>
        <w:t>reduce the burden</w:t>
      </w:r>
      <w:r>
        <w:rPr>
          <w:rFonts w:ascii="Arial" w:hAnsi="Arial" w:cs="Arial"/>
          <w:sz w:val="22"/>
          <w:szCs w:val="22"/>
        </w:rPr>
        <w:t xml:space="preserve"> to submit a request. </w:t>
      </w:r>
      <w:r>
        <w:rPr>
          <w:rFonts w:ascii="Arial" w:hAnsi="Arial" w:cs="Arial"/>
          <w:sz w:val="22"/>
          <w:szCs w:val="22"/>
        </w:rPr>
        <w:t xml:space="preserve"> </w:t>
      </w:r>
      <w:r>
        <w:rPr>
          <w:rFonts w:ascii="Arial" w:hAnsi="Arial" w:cs="Arial"/>
          <w:sz w:val="22"/>
          <w:szCs w:val="22"/>
        </w:rPr>
        <w:t xml:space="preserve">The NRC estimates 120 requests annually from power reactor licensees.  The total annual burden for NRC licensees 240 hours (120 requests x 2 hours per </w:t>
      </w:r>
      <w:r>
        <w:rPr>
          <w:rFonts w:ascii="Arial" w:hAnsi="Arial" w:cs="Arial"/>
          <w:sz w:val="22"/>
          <w:szCs w:val="22"/>
        </w:rPr>
        <w:t>request) at a cost of $66,720 (240 hours x $278/</w:t>
      </w:r>
      <w:proofErr w:type="spellStart"/>
      <w:r>
        <w:rPr>
          <w:rFonts w:ascii="Arial" w:hAnsi="Arial" w:cs="Arial"/>
          <w:sz w:val="22"/>
          <w:szCs w:val="22"/>
        </w:rPr>
        <w:t>hr</w:t>
      </w:r>
      <w:proofErr w:type="spellEnd"/>
      <w:r>
        <w:rPr>
          <w:rFonts w:ascii="Arial" w:hAnsi="Arial" w:cs="Arial"/>
          <w:sz w:val="22"/>
          <w:szCs w:val="22"/>
        </w:rPr>
        <w:t>).</w:t>
      </w:r>
    </w:p>
    <w:p w:rsidR="00BB21D2" w:rsidRDefault="00BB21D2" w14:paraId="4FA319AA" w14:textId="77777777">
      <w:pPr>
        <w:widowControl/>
        <w:autoSpaceDE/>
        <w:autoSpaceDN/>
        <w:adjustRightInd/>
        <w:rPr>
          <w:rFonts w:ascii="Arial" w:hAnsi="Arial" w:cs="Arial"/>
          <w:sz w:val="22"/>
          <w:szCs w:val="22"/>
        </w:rPr>
      </w:pPr>
    </w:p>
    <w:p w:rsidR="00BB21D2" w:rsidRDefault="00201790" w14:paraId="3F1C6DB1" w14:textId="77777777">
      <w:pPr>
        <w:widowControl/>
        <w:autoSpaceDE/>
        <w:autoSpaceDN/>
        <w:adjustRightInd/>
        <w:ind w:left="720"/>
        <w:rPr>
          <w:rFonts w:ascii="Arial" w:hAnsi="Arial" w:cs="Arial"/>
          <w:sz w:val="22"/>
          <w:szCs w:val="22"/>
        </w:rPr>
      </w:pPr>
      <w:r>
        <w:rPr>
          <w:rFonts w:ascii="Arial" w:hAnsi="Arial" w:cs="Arial"/>
          <w:sz w:val="22"/>
          <w:szCs w:val="22"/>
        </w:rPr>
        <w:t xml:space="preserve">The $278 hourly rate used in the burden estimates is based on the Nuclear Regulatory Commission’s fee for hourly rates as noted in 10 CFR 170.20 “Average cost per professional staff-hour.”  For more information </w:t>
      </w:r>
      <w:proofErr w:type="gramStart"/>
      <w:r>
        <w:rPr>
          <w:rFonts w:ascii="Arial" w:hAnsi="Arial" w:cs="Arial"/>
          <w:sz w:val="22"/>
          <w:szCs w:val="22"/>
        </w:rPr>
        <w:t>on the basis of</w:t>
      </w:r>
      <w:proofErr w:type="gramEnd"/>
      <w:r>
        <w:rPr>
          <w:rFonts w:ascii="Arial" w:hAnsi="Arial" w:cs="Arial"/>
          <w:sz w:val="22"/>
          <w:szCs w:val="22"/>
        </w:rPr>
        <w:t xml:space="preserve"> this rate, see the Revision o</w:t>
      </w:r>
      <w:r>
        <w:rPr>
          <w:rFonts w:ascii="Arial" w:hAnsi="Arial" w:cs="Arial"/>
          <w:sz w:val="22"/>
          <w:szCs w:val="22"/>
        </w:rPr>
        <w:t xml:space="preserve">f Fee Schedules; Fee Recovery for Fiscal Year 2019 (84 FR 22331, May 17, 2019). </w:t>
      </w:r>
    </w:p>
    <w:p w:rsidR="00BB21D2" w:rsidRDefault="00BB21D2" w14:paraId="40A8FE76" w14:textId="77777777">
      <w:pPr>
        <w:widowControl/>
        <w:autoSpaceDE/>
        <w:autoSpaceDN/>
        <w:adjustRightInd/>
        <w:jc w:val="center"/>
        <w:rPr>
          <w:rFonts w:ascii="Arial" w:hAnsi="Arial" w:cs="Arial"/>
          <w:sz w:val="22"/>
          <w:szCs w:val="22"/>
        </w:rPr>
      </w:pPr>
    </w:p>
    <w:p w:rsidR="00BB21D2" w:rsidRDefault="00201790" w14:paraId="2E36C292" w14:textId="77777777">
      <w:pPr>
        <w:widowControl/>
        <w:autoSpaceDE/>
        <w:autoSpaceDN/>
        <w:adjustRightInd/>
        <w:rPr>
          <w:rFonts w:ascii="Arial" w:hAnsi="Arial" w:cs="Arial"/>
          <w:sz w:val="22"/>
          <w:szCs w:val="22"/>
          <w:u w:val="single"/>
        </w:rPr>
      </w:pPr>
      <w:r>
        <w:rPr>
          <w:rFonts w:ascii="Arial" w:hAnsi="Arial" w:cs="Arial"/>
          <w:sz w:val="22"/>
          <w:szCs w:val="22"/>
        </w:rPr>
        <w:t>13.</w:t>
      </w:r>
      <w:r>
        <w:rPr>
          <w:rFonts w:ascii="Arial" w:hAnsi="Arial" w:cs="Arial"/>
          <w:sz w:val="22"/>
          <w:szCs w:val="22"/>
        </w:rPr>
        <w:tab/>
      </w:r>
      <w:r>
        <w:rPr>
          <w:rFonts w:ascii="Arial" w:hAnsi="Arial" w:cs="Arial"/>
          <w:sz w:val="22"/>
          <w:szCs w:val="22"/>
          <w:u w:val="single"/>
        </w:rPr>
        <w:t>Estimates of Other Additional Costs</w:t>
      </w:r>
    </w:p>
    <w:p w:rsidR="00BB21D2" w:rsidRDefault="00BB21D2" w14:paraId="05D31C61" w14:textId="77777777">
      <w:pPr>
        <w:widowControl/>
        <w:autoSpaceDE/>
        <w:autoSpaceDN/>
        <w:adjustRightInd/>
        <w:rPr>
          <w:rFonts w:ascii="Arial" w:hAnsi="Arial" w:cs="Arial"/>
          <w:sz w:val="22"/>
          <w:szCs w:val="22"/>
        </w:rPr>
      </w:pPr>
    </w:p>
    <w:p w:rsidR="00BB21D2" w:rsidRDefault="00201790" w14:paraId="0EF477B4" w14:textId="77777777">
      <w:pPr>
        <w:widowControl/>
        <w:ind w:firstLine="720"/>
        <w:rPr>
          <w:rFonts w:ascii="Arial" w:hAnsi="Arial" w:cs="Arial"/>
          <w:sz w:val="22"/>
          <w:szCs w:val="22"/>
        </w:rPr>
      </w:pPr>
      <w:r>
        <w:rPr>
          <w:rFonts w:ascii="Arial" w:hAnsi="Arial" w:cs="Arial"/>
          <w:sz w:val="22"/>
          <w:szCs w:val="22"/>
        </w:rPr>
        <w:t>There are no additional costs.</w:t>
      </w:r>
    </w:p>
    <w:p w:rsidR="00BB21D2" w:rsidRDefault="00BB21D2" w14:paraId="53A0EC49" w14:textId="77777777">
      <w:pPr>
        <w:widowControl/>
        <w:rPr>
          <w:rFonts w:ascii="Arial" w:hAnsi="Arial" w:cs="Arial"/>
          <w:sz w:val="22"/>
          <w:szCs w:val="22"/>
        </w:rPr>
      </w:pPr>
    </w:p>
    <w:p w:rsidR="00BB21D2" w:rsidRDefault="00201790" w14:paraId="5F9599B0" w14:textId="77777777">
      <w:pPr>
        <w:keepNext/>
        <w:keepLines/>
        <w:widowControl/>
        <w:ind w:left="450" w:hanging="450"/>
        <w:rPr>
          <w:rFonts w:ascii="Arial" w:hAnsi="Arial" w:cs="Arial"/>
          <w:sz w:val="22"/>
          <w:szCs w:val="22"/>
        </w:rPr>
      </w:pPr>
      <w:r>
        <w:rPr>
          <w:rFonts w:ascii="Arial" w:hAnsi="Arial" w:cs="Arial"/>
          <w:sz w:val="22"/>
          <w:szCs w:val="22"/>
        </w:rPr>
        <w:lastRenderedPageBreak/>
        <w:t>14.</w:t>
      </w:r>
      <w:r>
        <w:rPr>
          <w:rFonts w:ascii="Arial" w:hAnsi="Arial" w:cs="Arial"/>
          <w:sz w:val="22"/>
          <w:szCs w:val="22"/>
        </w:rPr>
        <w:tab/>
      </w:r>
      <w:r>
        <w:rPr>
          <w:rFonts w:ascii="Arial" w:hAnsi="Arial" w:cs="Arial"/>
          <w:sz w:val="22"/>
          <w:szCs w:val="22"/>
        </w:rPr>
        <w:tab/>
      </w:r>
      <w:r>
        <w:rPr>
          <w:rFonts w:ascii="Arial" w:hAnsi="Arial" w:cs="Arial"/>
          <w:sz w:val="22"/>
          <w:szCs w:val="22"/>
          <w:u w:val="single"/>
        </w:rPr>
        <w:t>Estimated Annualized Cost to the Federal Government</w:t>
      </w:r>
    </w:p>
    <w:p w:rsidR="00BB21D2" w:rsidRDefault="00BB21D2" w14:paraId="0935E7BB" w14:textId="77777777">
      <w:pPr>
        <w:keepNext/>
        <w:keepLines/>
        <w:widowControl/>
        <w:ind w:left="450" w:hanging="450"/>
        <w:rPr>
          <w:rFonts w:ascii="Arial" w:hAnsi="Arial" w:cs="Arial"/>
          <w:sz w:val="22"/>
          <w:szCs w:val="22"/>
        </w:rPr>
      </w:pPr>
    </w:p>
    <w:p w:rsidR="00BB21D2" w:rsidRDefault="00201790" w14:paraId="7407AEE5" w14:textId="77777777">
      <w:pPr>
        <w:keepNext/>
        <w:keepLines/>
        <w:widowControl/>
        <w:ind w:left="720"/>
        <w:rPr>
          <w:rFonts w:ascii="Arial" w:hAnsi="Arial" w:cs="Arial"/>
          <w:sz w:val="22"/>
          <w:szCs w:val="22"/>
        </w:rPr>
      </w:pPr>
      <w:r>
        <w:rPr>
          <w:rFonts w:ascii="Arial" w:hAnsi="Arial" w:cs="Arial"/>
          <w:sz w:val="22"/>
          <w:szCs w:val="22"/>
        </w:rPr>
        <w:t>The estimated annual cost to the Federal Go</w:t>
      </w:r>
      <w:r>
        <w:rPr>
          <w:rFonts w:ascii="Arial" w:hAnsi="Arial" w:cs="Arial"/>
          <w:sz w:val="22"/>
          <w:szCs w:val="22"/>
        </w:rPr>
        <w:t>vernment in reviewing the technical and regulatory adequacy of the alternative request is 2400 hours (120 requests x 20 hours/report) x $278 per hour = $667,200.</w:t>
      </w:r>
    </w:p>
    <w:p w:rsidR="00BB21D2" w:rsidRDefault="00BB21D2" w14:paraId="65CD8FB5" w14:textId="77777777">
      <w:pPr>
        <w:keepNext/>
        <w:keepLines/>
        <w:widowControl/>
        <w:ind w:left="720"/>
        <w:rPr>
          <w:rFonts w:ascii="Arial" w:hAnsi="Arial" w:cs="Arial"/>
          <w:sz w:val="22"/>
          <w:szCs w:val="22"/>
        </w:rPr>
      </w:pPr>
    </w:p>
    <w:p w:rsidR="00BB21D2" w:rsidRDefault="00201790" w14:paraId="1A0F1129" w14:textId="77777777">
      <w:pPr>
        <w:keepNext/>
        <w:keepLines/>
        <w:widowControl/>
        <w:ind w:left="450" w:hanging="450"/>
        <w:rPr>
          <w:rFonts w:ascii="Arial" w:hAnsi="Arial" w:cs="Arial"/>
          <w:sz w:val="22"/>
          <w:szCs w:val="22"/>
        </w:rPr>
      </w:pPr>
      <w:r>
        <w:rPr>
          <w:rFonts w:ascii="Arial" w:hAnsi="Arial" w:cs="Arial"/>
          <w:sz w:val="22"/>
          <w:szCs w:val="22"/>
        </w:rPr>
        <w:t>15.</w:t>
      </w:r>
      <w:r>
        <w:rPr>
          <w:rFonts w:ascii="Arial" w:hAnsi="Arial" w:cs="Arial"/>
          <w:sz w:val="22"/>
          <w:szCs w:val="22"/>
        </w:rPr>
        <w:tab/>
      </w:r>
      <w:r>
        <w:rPr>
          <w:rFonts w:ascii="Arial" w:hAnsi="Arial" w:cs="Arial"/>
          <w:sz w:val="22"/>
          <w:szCs w:val="22"/>
          <w:u w:val="single"/>
        </w:rPr>
        <w:t>Reasons for Change in Burden or Cost</w:t>
      </w:r>
    </w:p>
    <w:p w:rsidR="00BB21D2" w:rsidRDefault="00BB21D2" w14:paraId="4F1215C7" w14:textId="77777777">
      <w:pPr>
        <w:keepNext/>
        <w:keepLines/>
        <w:widowControl/>
        <w:rPr>
          <w:rFonts w:ascii="Arial" w:hAnsi="Arial" w:cs="Arial"/>
          <w:sz w:val="22"/>
          <w:szCs w:val="22"/>
        </w:rPr>
      </w:pPr>
    </w:p>
    <w:p w:rsidR="00BB21D2" w:rsidP="00D87C49" w:rsidRDefault="00201790" w14:paraId="6C0F7D84" w14:textId="77777777">
      <w:pPr>
        <w:widowControl/>
        <w:ind w:firstLine="450"/>
        <w:rPr>
          <w:rFonts w:ascii="Arial" w:hAnsi="Arial" w:eastAsia="Times New Roman" w:cs="Arial"/>
          <w:sz w:val="22"/>
          <w:szCs w:val="22"/>
        </w:rPr>
      </w:pPr>
      <w:r>
        <w:rPr>
          <w:rFonts w:ascii="Arial" w:hAnsi="Arial" w:eastAsia="Times New Roman" w:cs="Arial"/>
          <w:sz w:val="22"/>
          <w:szCs w:val="22"/>
        </w:rPr>
        <w:t>This is a new clearance.</w:t>
      </w:r>
    </w:p>
    <w:p w:rsidR="00BB21D2" w:rsidRDefault="00BB21D2" w14:paraId="294F2ADD" w14:textId="77777777">
      <w:pPr>
        <w:widowControl/>
        <w:rPr>
          <w:rFonts w:ascii="Arial" w:hAnsi="Arial" w:eastAsia="Times New Roman" w:cs="Arial"/>
          <w:sz w:val="22"/>
          <w:szCs w:val="22"/>
        </w:rPr>
      </w:pPr>
    </w:p>
    <w:p w:rsidR="00BB21D2" w:rsidRDefault="00201790" w14:paraId="5D2C2824" w14:textId="77777777">
      <w:pPr>
        <w:keepNext/>
        <w:keepLines/>
        <w:widowControl/>
        <w:tabs>
          <w:tab w:val="left" w:pos="450"/>
        </w:tabs>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BB21D2" w:rsidRDefault="00BB21D2" w14:paraId="020CCE57" w14:textId="77777777">
      <w:pPr>
        <w:keepNext/>
        <w:keepLines/>
        <w:widowControl/>
        <w:rPr>
          <w:rFonts w:ascii="Arial" w:hAnsi="Arial" w:cs="Arial"/>
          <w:sz w:val="22"/>
          <w:szCs w:val="22"/>
        </w:rPr>
      </w:pPr>
    </w:p>
    <w:p w:rsidR="00BB21D2" w:rsidRDefault="00201790" w14:paraId="40548A3D" w14:textId="77777777">
      <w:pPr>
        <w:keepNext/>
        <w:keepLines/>
        <w:widowControl/>
        <w:ind w:firstLine="450"/>
        <w:rPr>
          <w:rFonts w:ascii="Arial" w:hAnsi="Arial" w:cs="Arial"/>
          <w:sz w:val="22"/>
          <w:szCs w:val="22"/>
        </w:rPr>
      </w:pPr>
      <w:r>
        <w:rPr>
          <w:rFonts w:ascii="Arial" w:hAnsi="Arial" w:cs="Arial"/>
          <w:sz w:val="22"/>
          <w:szCs w:val="22"/>
        </w:rPr>
        <w:t>None.</w:t>
      </w:r>
    </w:p>
    <w:p w:rsidR="00BB21D2" w:rsidRDefault="00BB21D2" w14:paraId="06482D91" w14:textId="77777777">
      <w:pPr>
        <w:widowControl/>
        <w:rPr>
          <w:rFonts w:ascii="Arial" w:hAnsi="Arial" w:cs="Arial"/>
          <w:sz w:val="22"/>
          <w:szCs w:val="22"/>
        </w:rPr>
      </w:pPr>
    </w:p>
    <w:p w:rsidR="00BB21D2" w:rsidRDefault="00201790" w14:paraId="1A08D145" w14:textId="77777777">
      <w:pPr>
        <w:keepNext/>
        <w:widowControl/>
        <w:ind w:left="450" w:hanging="450"/>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sz w:val="22"/>
          <w:szCs w:val="22"/>
          <w:u w:val="single"/>
        </w:rPr>
        <w:t xml:space="preserve">Reasons for </w:t>
      </w:r>
      <w:r>
        <w:rPr>
          <w:rFonts w:ascii="Arial" w:hAnsi="Arial" w:cs="Arial"/>
          <w:sz w:val="22"/>
          <w:szCs w:val="22"/>
          <w:u w:val="single"/>
        </w:rPr>
        <w:t>Not Displaying the Expiration Date</w:t>
      </w:r>
    </w:p>
    <w:p w:rsidR="00BB21D2" w:rsidRDefault="00BB21D2" w14:paraId="5F510361" w14:textId="77777777">
      <w:pPr>
        <w:widowControl/>
        <w:rPr>
          <w:rFonts w:ascii="Arial" w:hAnsi="Arial" w:cs="Arial"/>
          <w:sz w:val="22"/>
          <w:szCs w:val="22"/>
        </w:rPr>
      </w:pPr>
    </w:p>
    <w:p w:rsidR="00BB21D2" w:rsidRDefault="00201790" w14:paraId="41FB8CBC" w14:textId="77777777">
      <w:pPr>
        <w:widowControl/>
        <w:ind w:firstLine="450"/>
        <w:rPr>
          <w:rFonts w:ascii="Arial" w:hAnsi="Arial" w:cs="Arial"/>
          <w:sz w:val="22"/>
          <w:szCs w:val="22"/>
        </w:rPr>
      </w:pPr>
      <w:r>
        <w:rPr>
          <w:rFonts w:ascii="Arial" w:hAnsi="Arial" w:cs="Arial"/>
          <w:sz w:val="22"/>
          <w:szCs w:val="22"/>
        </w:rPr>
        <w:t>The expiration date is displayed on the online form.</w:t>
      </w:r>
    </w:p>
    <w:p w:rsidR="00BB21D2" w:rsidRDefault="00BB21D2" w14:paraId="6A52E2BC" w14:textId="77777777">
      <w:pPr>
        <w:keepNext/>
        <w:keepLines/>
        <w:widowControl/>
        <w:ind w:left="450" w:hanging="450"/>
        <w:rPr>
          <w:rFonts w:ascii="Arial" w:hAnsi="Arial" w:cs="Arial"/>
          <w:sz w:val="22"/>
          <w:szCs w:val="22"/>
        </w:rPr>
      </w:pPr>
    </w:p>
    <w:p w:rsidR="00BB21D2" w:rsidRDefault="00201790" w14:paraId="08D1295B" w14:textId="77777777">
      <w:pPr>
        <w:keepNext/>
        <w:keepLines/>
        <w:widowControl/>
        <w:ind w:left="450" w:hanging="450"/>
        <w:rPr>
          <w:rFonts w:ascii="Arial" w:hAnsi="Arial" w:cs="Arial"/>
          <w:sz w:val="22"/>
          <w:szCs w:val="22"/>
        </w:rPr>
      </w:pPr>
      <w:r>
        <w:rPr>
          <w:rFonts w:ascii="Arial" w:hAnsi="Arial" w:cs="Arial"/>
          <w:sz w:val="22"/>
          <w:szCs w:val="22"/>
        </w:rPr>
        <w:t>18.</w:t>
      </w:r>
      <w:r>
        <w:rPr>
          <w:rFonts w:ascii="Arial" w:hAnsi="Arial" w:cs="Arial"/>
          <w:sz w:val="22"/>
          <w:szCs w:val="22"/>
        </w:rPr>
        <w:tab/>
      </w:r>
      <w:r>
        <w:rPr>
          <w:rFonts w:ascii="Arial" w:hAnsi="Arial" w:cs="Arial"/>
          <w:sz w:val="22"/>
          <w:szCs w:val="22"/>
          <w:u w:val="single"/>
        </w:rPr>
        <w:t>Exceptions to the Certification Statement</w:t>
      </w:r>
    </w:p>
    <w:p w:rsidR="00BB21D2" w:rsidRDefault="00BB21D2" w14:paraId="5B2C407A" w14:textId="77777777">
      <w:pPr>
        <w:keepNext/>
        <w:keepLines/>
        <w:widowControl/>
        <w:rPr>
          <w:rFonts w:ascii="Arial" w:hAnsi="Arial" w:cs="Arial"/>
          <w:sz w:val="22"/>
          <w:szCs w:val="22"/>
        </w:rPr>
      </w:pPr>
    </w:p>
    <w:p w:rsidR="00BB21D2" w:rsidRDefault="00201790" w14:paraId="4BB27FE8" w14:textId="77777777">
      <w:pPr>
        <w:keepLines/>
        <w:widowControl/>
        <w:ind w:firstLine="450"/>
        <w:rPr>
          <w:rFonts w:ascii="Arial" w:hAnsi="Arial" w:cs="Arial"/>
          <w:sz w:val="22"/>
          <w:szCs w:val="22"/>
        </w:rPr>
      </w:pPr>
      <w:r>
        <w:rPr>
          <w:rFonts w:ascii="Arial" w:hAnsi="Arial" w:cs="Arial"/>
          <w:sz w:val="22"/>
          <w:szCs w:val="22"/>
        </w:rPr>
        <w:t xml:space="preserve">There are no exceptions to the certification statement.  </w:t>
      </w:r>
    </w:p>
    <w:p w:rsidR="00BB21D2" w:rsidRDefault="00BB21D2" w14:paraId="19E1BD3A" w14:textId="77777777">
      <w:pPr>
        <w:widowControl/>
        <w:rPr>
          <w:rFonts w:ascii="Arial" w:hAnsi="Arial" w:cs="Arial"/>
          <w:sz w:val="22"/>
          <w:szCs w:val="22"/>
        </w:rPr>
      </w:pPr>
    </w:p>
    <w:p w:rsidR="00BB21D2" w:rsidRDefault="00201790" w14:paraId="04251AAA" w14:textId="77777777">
      <w:pPr>
        <w:keepNext/>
        <w:keepLines/>
        <w:widowControl/>
        <w:ind w:left="45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Collection of Information Employing Statistical Methods</w:t>
      </w:r>
    </w:p>
    <w:p w:rsidR="00BB21D2" w:rsidRDefault="00BB21D2" w14:paraId="1E7C8EE7" w14:textId="77777777">
      <w:pPr>
        <w:keepNext/>
        <w:keepLines/>
        <w:widowControl/>
        <w:rPr>
          <w:rFonts w:ascii="Arial" w:hAnsi="Arial" w:cs="Arial"/>
          <w:sz w:val="22"/>
          <w:szCs w:val="22"/>
        </w:rPr>
      </w:pPr>
    </w:p>
    <w:p w:rsidR="00BB21D2" w:rsidRDefault="00201790" w14:paraId="2B82EEAA" w14:textId="77777777">
      <w:pPr>
        <w:keepNext/>
        <w:keepLines/>
        <w:widowControl/>
        <w:ind w:firstLine="450"/>
        <w:rPr>
          <w:rFonts w:ascii="Arial" w:hAnsi="Arial" w:cs="Arial"/>
          <w:sz w:val="22"/>
          <w:szCs w:val="22"/>
        </w:rPr>
      </w:pPr>
      <w:r>
        <w:rPr>
          <w:rFonts w:ascii="Arial" w:hAnsi="Arial" w:cs="Arial"/>
          <w:sz w:val="22"/>
          <w:szCs w:val="22"/>
        </w:rPr>
        <w:t xml:space="preserve">Statistical methods have not been used in this collection of information. </w:t>
      </w:r>
    </w:p>
    <w:p w:rsidR="00BB21D2" w:rsidRDefault="00BB21D2" w14:paraId="590AB2D1" w14:textId="77777777">
      <w:pPr>
        <w:widowControl/>
        <w:rPr>
          <w:rFonts w:ascii="Arial" w:hAnsi="Arial" w:cs="Arial"/>
          <w:sz w:val="22"/>
          <w:szCs w:val="22"/>
        </w:rPr>
      </w:pPr>
    </w:p>
    <w:p w:rsidR="00BB21D2" w:rsidRDefault="00BB21D2" w14:paraId="0A7AEB93" w14:textId="77777777">
      <w:pPr>
        <w:keepLines/>
        <w:widowControl/>
        <w:rPr>
          <w:rFonts w:ascii="Arial" w:hAnsi="Arial" w:cs="Arial"/>
          <w:sz w:val="22"/>
          <w:szCs w:val="22"/>
        </w:rPr>
      </w:pPr>
    </w:p>
    <w:p w:rsidR="00BB21D2" w:rsidRDefault="00BB21D2" w14:paraId="28AC0C3E" w14:textId="77777777">
      <w:pPr>
        <w:widowControl/>
        <w:jc w:val="center"/>
        <w:rPr>
          <w:rFonts w:ascii="Arial" w:hAnsi="Arial" w:cs="Arial"/>
          <w:sz w:val="22"/>
          <w:szCs w:val="22"/>
        </w:rPr>
      </w:pPr>
    </w:p>
    <w:sectPr w:rsidR="00BB21D2">
      <w:footerReference w:type="default" r:id="rId11"/>
      <w:pgSz w:w="12240" w:h="15840" w:code="1"/>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3EE43" w14:textId="77777777" w:rsidR="00201790" w:rsidRDefault="00201790">
      <w:r>
        <w:separator/>
      </w:r>
    </w:p>
  </w:endnote>
  <w:endnote w:type="continuationSeparator" w:id="0">
    <w:p w14:paraId="3FD56327" w14:textId="77777777" w:rsidR="00201790" w:rsidRDefault="00201790">
      <w:r>
        <w:continuationSeparator/>
      </w:r>
    </w:p>
  </w:endnote>
  <w:endnote w:type="continuationNotice" w:id="1">
    <w:p w14:paraId="3E301487" w14:textId="77777777" w:rsidR="00201790" w:rsidRDefault="00201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65CD" w14:textId="77777777" w:rsidR="00BB21D2" w:rsidRDefault="00201790">
    <w:pPr>
      <w:pStyle w:val="Footer"/>
      <w:spacing w:before="120"/>
      <w:rPr>
        <w:rFonts w:ascii="Arial" w:hAnsi="Arial" w:cs="Arial"/>
        <w:sz w:val="22"/>
        <w:szCs w:val="22"/>
      </w:rPr>
    </w:pPr>
    <w:r>
      <w:rPr>
        <w:rFonts w:ascii="Arial" w:hAnsi="Arial" w:cs="Arial"/>
        <w:sz w:val="22"/>
        <w:szCs w:val="22"/>
      </w:rPr>
      <w:tab/>
    </w:r>
    <w:sdt>
      <w:sdtPr>
        <w:rPr>
          <w:rFonts w:ascii="Arial" w:hAnsi="Arial" w:cs="Arial"/>
          <w:sz w:val="22"/>
          <w:szCs w:val="22"/>
        </w:rPr>
        <w:id w:val="71707048"/>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4</w:t>
        </w:r>
        <w:r>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A3087" w14:textId="77777777" w:rsidR="00201790" w:rsidRDefault="00201790">
      <w:r>
        <w:separator/>
      </w:r>
    </w:p>
  </w:footnote>
  <w:footnote w:type="continuationSeparator" w:id="0">
    <w:p w14:paraId="7DB50523" w14:textId="77777777" w:rsidR="00201790" w:rsidRDefault="00201790">
      <w:r>
        <w:continuationSeparator/>
      </w:r>
    </w:p>
  </w:footnote>
  <w:footnote w:type="continuationNotice" w:id="1">
    <w:p w14:paraId="37218FC7" w14:textId="77777777" w:rsidR="00201790" w:rsidRDefault="002017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A4D9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461B63"/>
    <w:multiLevelType w:val="hybridMultilevel"/>
    <w:tmpl w:val="8164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11574"/>
    <w:multiLevelType w:val="hybridMultilevel"/>
    <w:tmpl w:val="224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F01CA"/>
    <w:multiLevelType w:val="hybridMultilevel"/>
    <w:tmpl w:val="B5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66BD0"/>
    <w:multiLevelType w:val="hybridMultilevel"/>
    <w:tmpl w:val="D0AA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53A13"/>
    <w:multiLevelType w:val="hybridMultilevel"/>
    <w:tmpl w:val="37E6FF0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15:restartNumberingAfterBreak="0">
    <w:nsid w:val="0B0B50FA"/>
    <w:multiLevelType w:val="hybridMultilevel"/>
    <w:tmpl w:val="B9A0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60620"/>
    <w:multiLevelType w:val="hybridMultilevel"/>
    <w:tmpl w:val="A228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F0BD4"/>
    <w:multiLevelType w:val="hybridMultilevel"/>
    <w:tmpl w:val="E5C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374A2"/>
    <w:multiLevelType w:val="hybridMultilevel"/>
    <w:tmpl w:val="8324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F3346"/>
    <w:multiLevelType w:val="hybridMultilevel"/>
    <w:tmpl w:val="D65AE920"/>
    <w:lvl w:ilvl="0" w:tplc="5F98C6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6BC4E64"/>
    <w:multiLevelType w:val="hybridMultilevel"/>
    <w:tmpl w:val="3ED2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96365"/>
    <w:multiLevelType w:val="hybridMultilevel"/>
    <w:tmpl w:val="D31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F5A91"/>
    <w:multiLevelType w:val="hybridMultilevel"/>
    <w:tmpl w:val="6D4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612F8"/>
    <w:multiLevelType w:val="hybridMultilevel"/>
    <w:tmpl w:val="B708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B6177"/>
    <w:multiLevelType w:val="hybridMultilevel"/>
    <w:tmpl w:val="59881536"/>
    <w:lvl w:ilvl="0" w:tplc="04090001">
      <w:start w:val="1"/>
      <w:numFmt w:val="bullet"/>
      <w:lvlText w:val=""/>
      <w:lvlJc w:val="left"/>
      <w:pPr>
        <w:ind w:left="720" w:hanging="360"/>
      </w:pPr>
      <w:rPr>
        <w:rFonts w:ascii="Symbol" w:hAnsi="Symbol" w:hint="default"/>
      </w:rPr>
    </w:lvl>
    <w:lvl w:ilvl="1" w:tplc="271CD42E">
      <w:numFmt w:val="bullet"/>
      <w:lvlText w:val="•"/>
      <w:lvlJc w:val="left"/>
      <w:pPr>
        <w:ind w:left="1536" w:hanging="45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44AF0"/>
    <w:multiLevelType w:val="hybridMultilevel"/>
    <w:tmpl w:val="0A24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845F4C"/>
    <w:multiLevelType w:val="hybridMultilevel"/>
    <w:tmpl w:val="A9C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918C5"/>
    <w:multiLevelType w:val="hybridMultilevel"/>
    <w:tmpl w:val="A00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441D1"/>
    <w:multiLevelType w:val="hybridMultilevel"/>
    <w:tmpl w:val="854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A24F5"/>
    <w:multiLevelType w:val="hybridMultilevel"/>
    <w:tmpl w:val="7D082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86844"/>
    <w:multiLevelType w:val="hybridMultilevel"/>
    <w:tmpl w:val="A256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533697"/>
    <w:multiLevelType w:val="hybridMultilevel"/>
    <w:tmpl w:val="064E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2505BC"/>
    <w:multiLevelType w:val="hybridMultilevel"/>
    <w:tmpl w:val="4D9CDD2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6" w15:restartNumberingAfterBreak="0">
    <w:nsid w:val="24D65531"/>
    <w:multiLevelType w:val="hybridMultilevel"/>
    <w:tmpl w:val="DA0A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36392E"/>
    <w:multiLevelType w:val="hybridMultilevel"/>
    <w:tmpl w:val="C67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0D5280"/>
    <w:multiLevelType w:val="hybridMultilevel"/>
    <w:tmpl w:val="97C6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217A4C"/>
    <w:multiLevelType w:val="hybridMultilevel"/>
    <w:tmpl w:val="46A0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D4212"/>
    <w:multiLevelType w:val="hybridMultilevel"/>
    <w:tmpl w:val="FD2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4E1DC5"/>
    <w:multiLevelType w:val="hybridMultilevel"/>
    <w:tmpl w:val="35C4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D3AB0"/>
    <w:multiLevelType w:val="hybridMultilevel"/>
    <w:tmpl w:val="71C8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267589"/>
    <w:multiLevelType w:val="hybridMultilevel"/>
    <w:tmpl w:val="BFD8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230BC6"/>
    <w:multiLevelType w:val="hybridMultilevel"/>
    <w:tmpl w:val="499A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DE3F30"/>
    <w:multiLevelType w:val="hybridMultilevel"/>
    <w:tmpl w:val="C6E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387590"/>
    <w:multiLevelType w:val="hybridMultilevel"/>
    <w:tmpl w:val="A506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B1D91"/>
    <w:multiLevelType w:val="hybridMultilevel"/>
    <w:tmpl w:val="D1A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D3551A"/>
    <w:multiLevelType w:val="hybridMultilevel"/>
    <w:tmpl w:val="3A6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CE62C2"/>
    <w:multiLevelType w:val="hybridMultilevel"/>
    <w:tmpl w:val="7138F194"/>
    <w:lvl w:ilvl="0" w:tplc="73529F22">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0F64E78"/>
    <w:multiLevelType w:val="hybridMultilevel"/>
    <w:tmpl w:val="25C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273A7A"/>
    <w:multiLevelType w:val="hybridMultilevel"/>
    <w:tmpl w:val="A420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5B071C"/>
    <w:multiLevelType w:val="hybridMultilevel"/>
    <w:tmpl w:val="C93C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B62E22"/>
    <w:multiLevelType w:val="hybridMultilevel"/>
    <w:tmpl w:val="07C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EF2E29"/>
    <w:multiLevelType w:val="hybridMultilevel"/>
    <w:tmpl w:val="4712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858C1"/>
    <w:multiLevelType w:val="hybridMultilevel"/>
    <w:tmpl w:val="486A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D3FDE"/>
    <w:multiLevelType w:val="hybridMultilevel"/>
    <w:tmpl w:val="F4C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F18EE"/>
    <w:multiLevelType w:val="hybridMultilevel"/>
    <w:tmpl w:val="533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9D209C"/>
    <w:multiLevelType w:val="hybridMultilevel"/>
    <w:tmpl w:val="DD4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3257B0"/>
    <w:multiLevelType w:val="hybridMultilevel"/>
    <w:tmpl w:val="BC8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6600F2"/>
    <w:multiLevelType w:val="hybridMultilevel"/>
    <w:tmpl w:val="29F4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DA3C4A"/>
    <w:multiLevelType w:val="hybridMultilevel"/>
    <w:tmpl w:val="402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EE6E12"/>
    <w:multiLevelType w:val="hybridMultilevel"/>
    <w:tmpl w:val="E48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FA4860"/>
    <w:multiLevelType w:val="hybridMultilevel"/>
    <w:tmpl w:val="BED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DC173E"/>
    <w:multiLevelType w:val="hybridMultilevel"/>
    <w:tmpl w:val="102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6D0BD0"/>
    <w:multiLevelType w:val="hybridMultilevel"/>
    <w:tmpl w:val="7FC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026FFB"/>
    <w:multiLevelType w:val="hybridMultilevel"/>
    <w:tmpl w:val="7716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A53883"/>
    <w:multiLevelType w:val="hybridMultilevel"/>
    <w:tmpl w:val="842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E00084"/>
    <w:multiLevelType w:val="hybridMultilevel"/>
    <w:tmpl w:val="48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AB5951"/>
    <w:multiLevelType w:val="hybridMultilevel"/>
    <w:tmpl w:val="AB5C9314"/>
    <w:lvl w:ilvl="0" w:tplc="E1868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505AF3"/>
    <w:multiLevelType w:val="hybridMultilevel"/>
    <w:tmpl w:val="5B9A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C271CA"/>
    <w:multiLevelType w:val="hybridMultilevel"/>
    <w:tmpl w:val="612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2D5D10"/>
    <w:multiLevelType w:val="hybridMultilevel"/>
    <w:tmpl w:val="B1B4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88074A"/>
    <w:multiLevelType w:val="hybridMultilevel"/>
    <w:tmpl w:val="6F8A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F21C96"/>
    <w:multiLevelType w:val="hybridMultilevel"/>
    <w:tmpl w:val="AC46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3A7B09"/>
    <w:multiLevelType w:val="hybridMultilevel"/>
    <w:tmpl w:val="F62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6A33BB"/>
    <w:multiLevelType w:val="hybridMultilevel"/>
    <w:tmpl w:val="6F36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E1E30"/>
    <w:multiLevelType w:val="hybridMultilevel"/>
    <w:tmpl w:val="5F4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A1213"/>
    <w:multiLevelType w:val="hybridMultilevel"/>
    <w:tmpl w:val="C8A0361A"/>
    <w:lvl w:ilvl="0" w:tplc="6958B978">
      <w:start w:val="10"/>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982A45"/>
    <w:multiLevelType w:val="hybridMultilevel"/>
    <w:tmpl w:val="607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961DE8"/>
    <w:multiLevelType w:val="hybridMultilevel"/>
    <w:tmpl w:val="5354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E46339"/>
    <w:multiLevelType w:val="hybridMultilevel"/>
    <w:tmpl w:val="B9D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00077E"/>
    <w:multiLevelType w:val="hybridMultilevel"/>
    <w:tmpl w:val="74DC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25DCB"/>
    <w:multiLevelType w:val="hybridMultilevel"/>
    <w:tmpl w:val="172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021D3A"/>
    <w:multiLevelType w:val="hybridMultilevel"/>
    <w:tmpl w:val="D59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A352E5"/>
    <w:multiLevelType w:val="hybridMultilevel"/>
    <w:tmpl w:val="B420C5B0"/>
    <w:lvl w:ilvl="0" w:tplc="4E56A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88753C"/>
    <w:multiLevelType w:val="hybridMultilevel"/>
    <w:tmpl w:val="B138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243A13"/>
    <w:multiLevelType w:val="hybridMultilevel"/>
    <w:tmpl w:val="527E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630438"/>
    <w:multiLevelType w:val="hybridMultilevel"/>
    <w:tmpl w:val="13E4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881776"/>
    <w:multiLevelType w:val="hybridMultilevel"/>
    <w:tmpl w:val="FA7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D34A93"/>
    <w:multiLevelType w:val="hybridMultilevel"/>
    <w:tmpl w:val="F2D6935E"/>
    <w:lvl w:ilvl="0" w:tplc="4AB096B4">
      <w:start w:val="10"/>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EC6E59"/>
    <w:multiLevelType w:val="hybridMultilevel"/>
    <w:tmpl w:val="CAF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275539"/>
    <w:multiLevelType w:val="hybridMultilevel"/>
    <w:tmpl w:val="5A7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6"/>
  </w:num>
  <w:num w:numId="7">
    <w:abstractNumId w:val="75"/>
  </w:num>
  <w:num w:numId="8">
    <w:abstractNumId w:val="36"/>
  </w:num>
  <w:num w:numId="9">
    <w:abstractNumId w:val="56"/>
  </w:num>
  <w:num w:numId="10">
    <w:abstractNumId w:val="59"/>
  </w:num>
  <w:num w:numId="11">
    <w:abstractNumId w:val="22"/>
  </w:num>
  <w:num w:numId="12">
    <w:abstractNumId w:val="18"/>
  </w:num>
  <w:num w:numId="13">
    <w:abstractNumId w:val="53"/>
  </w:num>
  <w:num w:numId="14">
    <w:abstractNumId w:val="77"/>
  </w:num>
  <w:num w:numId="15">
    <w:abstractNumId w:val="17"/>
  </w:num>
  <w:num w:numId="16">
    <w:abstractNumId w:val="57"/>
  </w:num>
  <w:num w:numId="17">
    <w:abstractNumId w:val="5"/>
  </w:num>
  <w:num w:numId="18">
    <w:abstractNumId w:val="52"/>
  </w:num>
  <w:num w:numId="19">
    <w:abstractNumId w:val="15"/>
  </w:num>
  <w:num w:numId="20">
    <w:abstractNumId w:val="82"/>
  </w:num>
  <w:num w:numId="21">
    <w:abstractNumId w:val="73"/>
  </w:num>
  <w:num w:numId="22">
    <w:abstractNumId w:val="19"/>
  </w:num>
  <w:num w:numId="23">
    <w:abstractNumId w:val="11"/>
  </w:num>
  <w:num w:numId="24">
    <w:abstractNumId w:val="62"/>
  </w:num>
  <w:num w:numId="25">
    <w:abstractNumId w:val="54"/>
  </w:num>
  <w:num w:numId="26">
    <w:abstractNumId w:val="20"/>
  </w:num>
  <w:num w:numId="27">
    <w:abstractNumId w:val="79"/>
  </w:num>
  <w:num w:numId="28">
    <w:abstractNumId w:val="29"/>
  </w:num>
  <w:num w:numId="29">
    <w:abstractNumId w:val="8"/>
  </w:num>
  <w:num w:numId="30">
    <w:abstractNumId w:val="69"/>
  </w:num>
  <w:num w:numId="31">
    <w:abstractNumId w:val="9"/>
  </w:num>
  <w:num w:numId="32">
    <w:abstractNumId w:val="46"/>
  </w:num>
  <w:num w:numId="33">
    <w:abstractNumId w:val="26"/>
  </w:num>
  <w:num w:numId="34">
    <w:abstractNumId w:val="31"/>
  </w:num>
  <w:num w:numId="35">
    <w:abstractNumId w:val="48"/>
  </w:num>
  <w:num w:numId="36">
    <w:abstractNumId w:val="44"/>
  </w:num>
  <w:num w:numId="37">
    <w:abstractNumId w:val="6"/>
  </w:num>
  <w:num w:numId="38">
    <w:abstractNumId w:val="74"/>
  </w:num>
  <w:num w:numId="39">
    <w:abstractNumId w:val="76"/>
  </w:num>
  <w:num w:numId="40">
    <w:abstractNumId w:val="64"/>
  </w:num>
  <w:num w:numId="41">
    <w:abstractNumId w:val="58"/>
  </w:num>
  <w:num w:numId="42">
    <w:abstractNumId w:val="66"/>
  </w:num>
  <w:num w:numId="43">
    <w:abstractNumId w:val="21"/>
  </w:num>
  <w:num w:numId="44">
    <w:abstractNumId w:val="34"/>
  </w:num>
  <w:num w:numId="45">
    <w:abstractNumId w:val="23"/>
  </w:num>
  <w:num w:numId="46">
    <w:abstractNumId w:val="38"/>
  </w:num>
  <w:num w:numId="47">
    <w:abstractNumId w:val="78"/>
  </w:num>
  <w:num w:numId="48">
    <w:abstractNumId w:val="65"/>
  </w:num>
  <w:num w:numId="49">
    <w:abstractNumId w:val="55"/>
  </w:num>
  <w:num w:numId="50">
    <w:abstractNumId w:val="32"/>
  </w:num>
  <w:num w:numId="51">
    <w:abstractNumId w:val="37"/>
  </w:num>
  <w:num w:numId="52">
    <w:abstractNumId w:val="63"/>
  </w:num>
  <w:num w:numId="53">
    <w:abstractNumId w:val="67"/>
  </w:num>
  <w:num w:numId="54">
    <w:abstractNumId w:val="41"/>
  </w:num>
  <w:num w:numId="55">
    <w:abstractNumId w:val="47"/>
  </w:num>
  <w:num w:numId="56">
    <w:abstractNumId w:val="60"/>
  </w:num>
  <w:num w:numId="57">
    <w:abstractNumId w:val="50"/>
  </w:num>
  <w:num w:numId="58">
    <w:abstractNumId w:val="10"/>
  </w:num>
  <w:num w:numId="59">
    <w:abstractNumId w:val="27"/>
  </w:num>
  <w:num w:numId="60">
    <w:abstractNumId w:val="51"/>
  </w:num>
  <w:num w:numId="61">
    <w:abstractNumId w:val="4"/>
  </w:num>
  <w:num w:numId="62">
    <w:abstractNumId w:val="72"/>
  </w:num>
  <w:num w:numId="63">
    <w:abstractNumId w:val="40"/>
  </w:num>
  <w:num w:numId="64">
    <w:abstractNumId w:val="24"/>
  </w:num>
  <w:num w:numId="65">
    <w:abstractNumId w:val="71"/>
  </w:num>
  <w:num w:numId="66">
    <w:abstractNumId w:val="13"/>
  </w:num>
  <w:num w:numId="67">
    <w:abstractNumId w:val="70"/>
  </w:num>
  <w:num w:numId="68">
    <w:abstractNumId w:val="14"/>
  </w:num>
  <w:num w:numId="69">
    <w:abstractNumId w:val="35"/>
  </w:num>
  <w:num w:numId="70">
    <w:abstractNumId w:val="61"/>
  </w:num>
  <w:num w:numId="71">
    <w:abstractNumId w:val="28"/>
  </w:num>
  <w:num w:numId="72">
    <w:abstractNumId w:val="81"/>
  </w:num>
  <w:num w:numId="73">
    <w:abstractNumId w:val="43"/>
  </w:num>
  <w:num w:numId="74">
    <w:abstractNumId w:val="45"/>
  </w:num>
  <w:num w:numId="75">
    <w:abstractNumId w:val="49"/>
  </w:num>
  <w:num w:numId="76">
    <w:abstractNumId w:val="3"/>
  </w:num>
  <w:num w:numId="77">
    <w:abstractNumId w:val="68"/>
  </w:num>
  <w:num w:numId="78">
    <w:abstractNumId w:val="39"/>
  </w:num>
  <w:num w:numId="79">
    <w:abstractNumId w:val="80"/>
  </w:num>
  <w:num w:numId="80">
    <w:abstractNumId w:val="12"/>
  </w:num>
  <w:num w:numId="81">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D2"/>
    <w:rsid w:val="00201790"/>
    <w:rsid w:val="004D060D"/>
    <w:rsid w:val="00BB21D2"/>
    <w:rsid w:val="00D0671F"/>
    <w:rsid w:val="00D8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1CE99"/>
  <w15:docId w15:val="{1B7925EC-D877-4F42-833C-2D5DE041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uiPriority w:val="99"/>
    <w:pPr>
      <w:ind w:left="450" w:hanging="450"/>
      <w:outlineLvl w:val="0"/>
    </w:pPr>
  </w:style>
  <w:style w:type="paragraph" w:customStyle="1" w:styleId="Level2">
    <w:name w:val="Level 2"/>
    <w:basedOn w:val="Normal"/>
    <w:uiPriority w:val="99"/>
    <w:pPr>
      <w:ind w:left="810" w:hanging="360"/>
    </w:pPr>
  </w:style>
  <w:style w:type="character" w:customStyle="1" w:styleId="Hypertext">
    <w:name w:val="Hypertext"/>
    <w:rPr>
      <w:color w:val="0000FF"/>
      <w:u w:val="single"/>
    </w:rPr>
  </w:style>
  <w:style w:type="character" w:styleId="Hyperlink">
    <w:name w:val="Hyperlink"/>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ListParagraph">
    <w:name w:val="List Paragraph"/>
    <w:basedOn w:val="Normal"/>
    <w:uiPriority w:val="34"/>
    <w:qFormat/>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Pr>
      <w:rFonts w:eastAsia="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EndnoteText">
    <w:name w:val="endnote text"/>
    <w:basedOn w:val="Normal"/>
    <w:link w:val="EndnoteTextChar"/>
    <w:uiPriority w:val="99"/>
    <w:rPr>
      <w:rFonts w:eastAsia="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styleId="EndnoteReference">
    <w:name w:val="endnote reference"/>
    <w:basedOn w:val="DefaultParagraphFon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pPr>
      <w:numPr>
        <w:numId w:val="4"/>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924">
      <w:bodyDiv w:val="1"/>
      <w:marLeft w:val="0"/>
      <w:marRight w:val="0"/>
      <w:marTop w:val="0"/>
      <w:marBottom w:val="0"/>
      <w:divBdr>
        <w:top w:val="none" w:sz="0" w:space="0" w:color="auto"/>
        <w:left w:val="none" w:sz="0" w:space="0" w:color="auto"/>
        <w:bottom w:val="none" w:sz="0" w:space="0" w:color="auto"/>
        <w:right w:val="none" w:sz="0" w:space="0" w:color="auto"/>
      </w:divBdr>
    </w:div>
    <w:div w:id="23605511">
      <w:bodyDiv w:val="1"/>
      <w:marLeft w:val="0"/>
      <w:marRight w:val="0"/>
      <w:marTop w:val="0"/>
      <w:marBottom w:val="0"/>
      <w:divBdr>
        <w:top w:val="none" w:sz="0" w:space="0" w:color="auto"/>
        <w:left w:val="none" w:sz="0" w:space="0" w:color="auto"/>
        <w:bottom w:val="none" w:sz="0" w:space="0" w:color="auto"/>
        <w:right w:val="none" w:sz="0" w:space="0" w:color="auto"/>
      </w:divBdr>
    </w:div>
    <w:div w:id="62531009">
      <w:bodyDiv w:val="1"/>
      <w:marLeft w:val="0"/>
      <w:marRight w:val="0"/>
      <w:marTop w:val="0"/>
      <w:marBottom w:val="0"/>
      <w:divBdr>
        <w:top w:val="none" w:sz="0" w:space="0" w:color="auto"/>
        <w:left w:val="none" w:sz="0" w:space="0" w:color="auto"/>
        <w:bottom w:val="none" w:sz="0" w:space="0" w:color="auto"/>
        <w:right w:val="none" w:sz="0" w:space="0" w:color="auto"/>
      </w:divBdr>
    </w:div>
    <w:div w:id="184906104">
      <w:bodyDiv w:val="1"/>
      <w:marLeft w:val="0"/>
      <w:marRight w:val="0"/>
      <w:marTop w:val="0"/>
      <w:marBottom w:val="0"/>
      <w:divBdr>
        <w:top w:val="none" w:sz="0" w:space="0" w:color="auto"/>
        <w:left w:val="none" w:sz="0" w:space="0" w:color="auto"/>
        <w:bottom w:val="none" w:sz="0" w:space="0" w:color="auto"/>
        <w:right w:val="none" w:sz="0" w:space="0" w:color="auto"/>
      </w:divBdr>
    </w:div>
    <w:div w:id="495726620">
      <w:bodyDiv w:val="1"/>
      <w:marLeft w:val="0"/>
      <w:marRight w:val="0"/>
      <w:marTop w:val="0"/>
      <w:marBottom w:val="0"/>
      <w:divBdr>
        <w:top w:val="none" w:sz="0" w:space="0" w:color="auto"/>
        <w:left w:val="none" w:sz="0" w:space="0" w:color="auto"/>
        <w:bottom w:val="none" w:sz="0" w:space="0" w:color="auto"/>
        <w:right w:val="none" w:sz="0" w:space="0" w:color="auto"/>
      </w:divBdr>
    </w:div>
    <w:div w:id="672072590">
      <w:bodyDiv w:val="1"/>
      <w:marLeft w:val="0"/>
      <w:marRight w:val="0"/>
      <w:marTop w:val="0"/>
      <w:marBottom w:val="0"/>
      <w:divBdr>
        <w:top w:val="none" w:sz="0" w:space="0" w:color="auto"/>
        <w:left w:val="none" w:sz="0" w:space="0" w:color="auto"/>
        <w:bottom w:val="none" w:sz="0" w:space="0" w:color="auto"/>
        <w:right w:val="none" w:sz="0" w:space="0" w:color="auto"/>
      </w:divBdr>
    </w:div>
    <w:div w:id="838231892">
      <w:bodyDiv w:val="1"/>
      <w:marLeft w:val="0"/>
      <w:marRight w:val="0"/>
      <w:marTop w:val="0"/>
      <w:marBottom w:val="0"/>
      <w:divBdr>
        <w:top w:val="none" w:sz="0" w:space="0" w:color="auto"/>
        <w:left w:val="none" w:sz="0" w:space="0" w:color="auto"/>
        <w:bottom w:val="none" w:sz="0" w:space="0" w:color="auto"/>
        <w:right w:val="none" w:sz="0" w:space="0" w:color="auto"/>
      </w:divBdr>
      <w:divsChild>
        <w:div w:id="741148560">
          <w:marLeft w:val="0"/>
          <w:marRight w:val="0"/>
          <w:marTop w:val="0"/>
          <w:marBottom w:val="0"/>
          <w:divBdr>
            <w:top w:val="none" w:sz="0" w:space="0" w:color="auto"/>
            <w:left w:val="none" w:sz="0" w:space="0" w:color="auto"/>
            <w:bottom w:val="none" w:sz="0" w:space="0" w:color="auto"/>
            <w:right w:val="none" w:sz="0" w:space="0" w:color="auto"/>
          </w:divBdr>
          <w:divsChild>
            <w:div w:id="526017744">
              <w:marLeft w:val="0"/>
              <w:marRight w:val="0"/>
              <w:marTop w:val="0"/>
              <w:marBottom w:val="0"/>
              <w:divBdr>
                <w:top w:val="none" w:sz="0" w:space="0" w:color="auto"/>
                <w:left w:val="none" w:sz="0" w:space="0" w:color="auto"/>
                <w:bottom w:val="none" w:sz="0" w:space="0" w:color="auto"/>
                <w:right w:val="none" w:sz="0" w:space="0" w:color="auto"/>
              </w:divBdr>
              <w:divsChild>
                <w:div w:id="1944264080">
                  <w:marLeft w:val="0"/>
                  <w:marRight w:val="0"/>
                  <w:marTop w:val="0"/>
                  <w:marBottom w:val="0"/>
                  <w:divBdr>
                    <w:top w:val="none" w:sz="0" w:space="0" w:color="auto"/>
                    <w:left w:val="none" w:sz="0" w:space="0" w:color="auto"/>
                    <w:bottom w:val="none" w:sz="0" w:space="0" w:color="auto"/>
                    <w:right w:val="none" w:sz="0" w:space="0" w:color="auto"/>
                  </w:divBdr>
                  <w:divsChild>
                    <w:div w:id="853884615">
                      <w:marLeft w:val="0"/>
                      <w:marRight w:val="0"/>
                      <w:marTop w:val="0"/>
                      <w:marBottom w:val="0"/>
                      <w:divBdr>
                        <w:top w:val="none" w:sz="0" w:space="0" w:color="auto"/>
                        <w:left w:val="none" w:sz="0" w:space="0" w:color="auto"/>
                        <w:bottom w:val="none" w:sz="0" w:space="0" w:color="auto"/>
                        <w:right w:val="none" w:sz="0" w:space="0" w:color="auto"/>
                      </w:divBdr>
                      <w:divsChild>
                        <w:div w:id="81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27283">
      <w:bodyDiv w:val="1"/>
      <w:marLeft w:val="0"/>
      <w:marRight w:val="0"/>
      <w:marTop w:val="0"/>
      <w:marBottom w:val="0"/>
      <w:divBdr>
        <w:top w:val="none" w:sz="0" w:space="0" w:color="auto"/>
        <w:left w:val="none" w:sz="0" w:space="0" w:color="auto"/>
        <w:bottom w:val="none" w:sz="0" w:space="0" w:color="auto"/>
        <w:right w:val="none" w:sz="0" w:space="0" w:color="auto"/>
      </w:divBdr>
    </w:div>
    <w:div w:id="988899827">
      <w:bodyDiv w:val="1"/>
      <w:marLeft w:val="0"/>
      <w:marRight w:val="0"/>
      <w:marTop w:val="0"/>
      <w:marBottom w:val="0"/>
      <w:divBdr>
        <w:top w:val="none" w:sz="0" w:space="0" w:color="auto"/>
        <w:left w:val="none" w:sz="0" w:space="0" w:color="auto"/>
        <w:bottom w:val="none" w:sz="0" w:space="0" w:color="auto"/>
        <w:right w:val="none" w:sz="0" w:space="0" w:color="auto"/>
      </w:divBdr>
    </w:div>
    <w:div w:id="1162233889">
      <w:bodyDiv w:val="1"/>
      <w:marLeft w:val="0"/>
      <w:marRight w:val="0"/>
      <w:marTop w:val="0"/>
      <w:marBottom w:val="0"/>
      <w:divBdr>
        <w:top w:val="none" w:sz="0" w:space="0" w:color="auto"/>
        <w:left w:val="none" w:sz="0" w:space="0" w:color="auto"/>
        <w:bottom w:val="none" w:sz="0" w:space="0" w:color="auto"/>
        <w:right w:val="none" w:sz="0" w:space="0" w:color="auto"/>
      </w:divBdr>
    </w:div>
    <w:div w:id="1174078002">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 w:id="20984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bb7ed5730fad065904ffcfc7f432cd4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ce475ec4c0ebd1567a39681dcacb8acb"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B1D2A-DD59-4593-A8CA-867578BBA477}">
  <ds:schemaRefs>
    <ds:schemaRef ds:uri="http://schemas.microsoft.com/sharepoint/v3/contenttype/forms"/>
  </ds:schemaRefs>
</ds:datastoreItem>
</file>

<file path=customXml/itemProps2.xml><?xml version="1.0" encoding="utf-8"?>
<ds:datastoreItem xmlns:ds="http://schemas.openxmlformats.org/officeDocument/2006/customXml" ds:itemID="{A97C8DA2-AC4F-4815-B10C-01D8094E4C1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79EB86B-60CE-4C5B-A4C9-5EB1C0C49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ACE72-8A4F-4CE7-AE3B-E9219197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Cullison, David</dc:creator>
  <cp:lastModifiedBy>Cullison, David</cp:lastModifiedBy>
  <cp:revision>3</cp:revision>
  <dcterms:created xsi:type="dcterms:W3CDTF">2020-06-19T11:45:00Z</dcterms:created>
  <dcterms:modified xsi:type="dcterms:W3CDTF">2020-06-19T11:46:00Z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