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D7DB5" w14:textId="618E5E3D" w:rsidR="006E3944" w:rsidRDefault="006E3944" w:rsidP="00525EDF">
      <w:pPr>
        <w:pStyle w:val="CM10"/>
        <w:jc w:val="center"/>
        <w:rPr>
          <w:b/>
          <w:bCs/>
          <w:color w:val="000000"/>
        </w:rPr>
      </w:pPr>
      <w:bookmarkStart w:id="0" w:name="_GoBack"/>
      <w:bookmarkEnd w:id="0"/>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NFRM</w:t>
      </w:r>
    </w:p>
    <w:p w14:paraId="04AC3FAE" w14:textId="77777777" w:rsidR="006E3944" w:rsidRDefault="006E3944" w:rsidP="00525EDF">
      <w:pPr>
        <w:pStyle w:val="CM10"/>
        <w:jc w:val="center"/>
        <w:rPr>
          <w:b/>
          <w:bCs/>
          <w:color w:val="000000"/>
        </w:rPr>
      </w:pPr>
    </w:p>
    <w:p w14:paraId="52C2A45F" w14:textId="77777777" w:rsidR="00525EDF" w:rsidRPr="00BF04B4" w:rsidRDefault="00525EDF" w:rsidP="00525EDF">
      <w:pPr>
        <w:pStyle w:val="CM10"/>
        <w:jc w:val="center"/>
        <w:rPr>
          <w:b/>
          <w:bCs/>
          <w:color w:val="000000"/>
        </w:rPr>
      </w:pPr>
      <w:r w:rsidRPr="00BF04B4">
        <w:rPr>
          <w:b/>
          <w:bCs/>
          <w:color w:val="000000"/>
        </w:rPr>
        <w:t>CONSUMER FINANCIAL PROTECTION BUREAU</w:t>
      </w:r>
    </w:p>
    <w:p w14:paraId="1028B67E" w14:textId="77777777" w:rsidR="00525EDF" w:rsidRPr="00BF04B4" w:rsidRDefault="00525EDF" w:rsidP="00525EDF">
      <w:pPr>
        <w:pStyle w:val="CM10"/>
        <w:jc w:val="center"/>
        <w:rPr>
          <w:b/>
          <w:bCs/>
          <w:color w:val="000000"/>
        </w:rPr>
      </w:pPr>
      <w:r w:rsidRPr="00BF04B4">
        <w:rPr>
          <w:b/>
          <w:bCs/>
          <w:color w:val="000000"/>
        </w:rPr>
        <w:t>INFORMATION COLLECTION REQUEST – SUPPORTING STATEMENT</w:t>
      </w:r>
    </w:p>
    <w:p w14:paraId="04EDBB6C" w14:textId="77777777" w:rsidR="00525EDF" w:rsidRPr="00BF04B4" w:rsidRDefault="00525EDF" w:rsidP="00525EDF">
      <w:pPr>
        <w:pStyle w:val="CM10"/>
        <w:jc w:val="center"/>
        <w:rPr>
          <w:b/>
          <w:bCs/>
          <w:color w:val="000000"/>
        </w:rPr>
      </w:pPr>
      <w:r w:rsidRPr="00BF04B4">
        <w:rPr>
          <w:b/>
          <w:bCs/>
          <w:color w:val="000000"/>
        </w:rPr>
        <w:t>ELECTRONIC FUND TRANSFER ACT (REGULATION E) 12 CFR 1005</w:t>
      </w:r>
    </w:p>
    <w:p w14:paraId="2F3BC1D4" w14:textId="2D50A624" w:rsidR="00525EDF" w:rsidRPr="00BF04B4" w:rsidRDefault="00525EDF" w:rsidP="00525EDF">
      <w:pPr>
        <w:pStyle w:val="Default"/>
        <w:jc w:val="center"/>
        <w:rPr>
          <w:b/>
        </w:rPr>
      </w:pPr>
      <w:r w:rsidRPr="00BF04B4">
        <w:rPr>
          <w:b/>
        </w:rPr>
        <w:t>(OMB CONTROL NUMBER:  3170-0014 / RIN 3170-AA22 – FINAL RULE)</w:t>
      </w:r>
    </w:p>
    <w:p w14:paraId="2287A035" w14:textId="77777777" w:rsidR="00525EDF" w:rsidRPr="00BF04B4" w:rsidRDefault="00525EDF" w:rsidP="00525EDF">
      <w:pPr>
        <w:pStyle w:val="Default"/>
      </w:pPr>
    </w:p>
    <w:p w14:paraId="4819E1F4" w14:textId="3FDD37A8" w:rsidR="00525EDF" w:rsidRPr="00BF04B4" w:rsidRDefault="00525EDF" w:rsidP="00525E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rPr>
          <w:rFonts w:ascii="Times New Roman" w:hAnsi="Times New Roman"/>
          <w:sz w:val="24"/>
          <w:szCs w:val="24"/>
        </w:rPr>
      </w:pPr>
      <w:r w:rsidRPr="00BF04B4">
        <w:rPr>
          <w:rFonts w:ascii="Times New Roman" w:hAnsi="Times New Roman"/>
          <w:b/>
          <w:sz w:val="24"/>
          <w:szCs w:val="24"/>
          <w:u w:val="single"/>
        </w:rPr>
        <w:t>OMB TERMS OF CLEARANCE</w:t>
      </w:r>
      <w:r w:rsidRPr="00525EDF">
        <w:rPr>
          <w:rFonts w:ascii="Times New Roman" w:hAnsi="Times New Roman"/>
          <w:sz w:val="24"/>
        </w:rPr>
        <w:t>:</w:t>
      </w:r>
      <w:r w:rsidRPr="00BF04B4">
        <w:rPr>
          <w:rFonts w:ascii="Times New Roman" w:hAnsi="Times New Roman"/>
          <w:sz w:val="24"/>
          <w:szCs w:val="24"/>
        </w:rPr>
        <w:t xml:space="preserve">  </w:t>
      </w:r>
      <w:r w:rsidR="001A1B43">
        <w:rPr>
          <w:rFonts w:ascii="Times New Roman" w:hAnsi="Times New Roman"/>
          <w:sz w:val="24"/>
          <w:szCs w:val="24"/>
        </w:rPr>
        <w:t>On June 25, 2013</w:t>
      </w:r>
      <w:r w:rsidR="00155B88">
        <w:rPr>
          <w:rFonts w:ascii="Times New Roman" w:hAnsi="Times New Roman"/>
          <w:sz w:val="24"/>
          <w:szCs w:val="24"/>
        </w:rPr>
        <w:t>,</w:t>
      </w:r>
      <w:r w:rsidR="001A1B43">
        <w:rPr>
          <w:rFonts w:ascii="Times New Roman" w:hAnsi="Times New Roman"/>
          <w:sz w:val="24"/>
          <w:szCs w:val="24"/>
        </w:rPr>
        <w:t xml:space="preserve"> OMB approved this collection with the following conditions: “</w:t>
      </w:r>
      <w:r w:rsidRPr="00525EDF">
        <w:rPr>
          <w:rFonts w:ascii="Times New Roman" w:hAnsi="Times New Roman"/>
          <w:sz w:val="24"/>
        </w:rPr>
        <w:t>Once the rulemaking for other portions of Regulation E is complete, the burden numbers in the next renewal for this collection should be based on CFPB analysis, not on those inherited from other agencies.</w:t>
      </w:r>
      <w:r w:rsidR="001A1B43">
        <w:rPr>
          <w:rFonts w:ascii="Times New Roman" w:hAnsi="Times New Roman"/>
          <w:sz w:val="24"/>
        </w:rPr>
        <w:t>”</w:t>
      </w:r>
    </w:p>
    <w:p w14:paraId="23FE192C" w14:textId="3B9A9D32" w:rsidR="00525EDF" w:rsidRDefault="00525EDF" w:rsidP="00525E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rPr>
          <w:rFonts w:ascii="Times New Roman" w:hAnsi="Times New Roman"/>
          <w:sz w:val="24"/>
          <w:szCs w:val="24"/>
        </w:rPr>
      </w:pPr>
      <w:r w:rsidRPr="00BF04B4">
        <w:rPr>
          <w:rFonts w:ascii="Times New Roman" w:hAnsi="Times New Roman"/>
          <w:sz w:val="24"/>
          <w:szCs w:val="24"/>
        </w:rPr>
        <w:t>Since OMB imposed the terms of clearance, the Bureau has engaged in research on the costs of regulatory compliance and continues to study these costs.  The Bureau has also conducted industry outreach and analysis regarding the costs of compliance with the below requirements under Regulation E.  The burden numbers for the below requirements reflect the Bureau’s research, outreach and analysis.</w:t>
      </w:r>
    </w:p>
    <w:p w14:paraId="6A2FEBC4" w14:textId="3943450B" w:rsidR="001A1B43" w:rsidRDefault="00147125" w:rsidP="001A1B43">
      <w:pPr>
        <w:autoSpaceDE w:val="0"/>
        <w:autoSpaceDN w:val="0"/>
        <w:adjustRightInd w:val="0"/>
        <w:spacing w:after="0" w:line="240" w:lineRule="auto"/>
        <w:rPr>
          <w:rFonts w:ascii="ArialMT" w:hAnsi="ArialMT" w:cs="ArialMT"/>
          <w:sz w:val="20"/>
          <w:szCs w:val="20"/>
        </w:rPr>
      </w:pPr>
      <w:r>
        <w:rPr>
          <w:rFonts w:ascii="Times New Roman" w:hAnsi="Times New Roman"/>
          <w:sz w:val="24"/>
          <w:szCs w:val="24"/>
        </w:rPr>
        <w:t>Further</w:t>
      </w:r>
      <w:r w:rsidR="00CD5A8D">
        <w:rPr>
          <w:rFonts w:ascii="Times New Roman" w:hAnsi="Times New Roman"/>
          <w:sz w:val="24"/>
          <w:szCs w:val="24"/>
        </w:rPr>
        <w:t>,</w:t>
      </w:r>
      <w:r>
        <w:rPr>
          <w:rFonts w:ascii="Times New Roman" w:hAnsi="Times New Roman"/>
          <w:sz w:val="24"/>
          <w:szCs w:val="24"/>
        </w:rPr>
        <w:t xml:space="preserve"> on February</w:t>
      </w:r>
      <w:r w:rsidR="006E7DFC">
        <w:rPr>
          <w:rFonts w:ascii="Times New Roman" w:hAnsi="Times New Roman"/>
          <w:sz w:val="24"/>
          <w:szCs w:val="24"/>
        </w:rPr>
        <w:t xml:space="preserve"> </w:t>
      </w:r>
      <w:r>
        <w:rPr>
          <w:rFonts w:ascii="Times New Roman" w:hAnsi="Times New Roman"/>
          <w:sz w:val="24"/>
          <w:szCs w:val="24"/>
        </w:rPr>
        <w:t xml:space="preserve">11, 2015, </w:t>
      </w:r>
      <w:r w:rsidR="001A1B43">
        <w:rPr>
          <w:rFonts w:ascii="Times New Roman" w:hAnsi="Times New Roman"/>
          <w:sz w:val="24"/>
          <w:szCs w:val="24"/>
        </w:rPr>
        <w:t xml:space="preserve">OMB filed a comment on </w:t>
      </w:r>
      <w:r w:rsidR="00155B88">
        <w:rPr>
          <w:rFonts w:ascii="Times New Roman" w:hAnsi="Times New Roman"/>
          <w:sz w:val="24"/>
          <w:szCs w:val="24"/>
        </w:rPr>
        <w:t xml:space="preserve">our </w:t>
      </w:r>
      <w:r w:rsidR="001A1B43">
        <w:rPr>
          <w:rFonts w:ascii="Times New Roman" w:hAnsi="Times New Roman"/>
          <w:sz w:val="24"/>
          <w:szCs w:val="24"/>
        </w:rPr>
        <w:t>proposed rule noting:  “</w:t>
      </w:r>
      <w:r w:rsidR="001A1B43" w:rsidRPr="001A1B43">
        <w:rPr>
          <w:rFonts w:ascii="Times New Roman" w:hAnsi="Times New Roman"/>
          <w:sz w:val="24"/>
          <w:szCs w:val="24"/>
        </w:rPr>
        <w:t>Terms of the previous clearance remain in effect. Pursuant to 5 CFR 1320.11(c), OMB file</w:t>
      </w:r>
      <w:r w:rsidR="001A1B43">
        <w:rPr>
          <w:rFonts w:ascii="Times New Roman" w:hAnsi="Times New Roman"/>
          <w:sz w:val="24"/>
          <w:szCs w:val="24"/>
        </w:rPr>
        <w:t>s</w:t>
      </w:r>
      <w:r w:rsidR="00155B88">
        <w:rPr>
          <w:rFonts w:ascii="Times New Roman" w:hAnsi="Times New Roman"/>
          <w:sz w:val="24"/>
          <w:szCs w:val="24"/>
        </w:rPr>
        <w:t xml:space="preserve"> </w:t>
      </w:r>
      <w:r w:rsidR="001A1B43" w:rsidRPr="001A1B43">
        <w:rPr>
          <w:rFonts w:ascii="Times New Roman" w:hAnsi="Times New Roman"/>
          <w:sz w:val="24"/>
          <w:szCs w:val="24"/>
        </w:rPr>
        <w:t>this comment on this information collection request (ICR</w:t>
      </w:r>
      <w:r w:rsidR="00CB66C9">
        <w:rPr>
          <w:rFonts w:ascii="Times New Roman" w:hAnsi="Times New Roman"/>
          <w:sz w:val="24"/>
          <w:szCs w:val="24"/>
        </w:rPr>
        <w:t>)</w:t>
      </w:r>
      <w:r w:rsidR="001A1B43" w:rsidRPr="001A1B43">
        <w:rPr>
          <w:rFonts w:ascii="Times New Roman" w:hAnsi="Times New Roman"/>
          <w:sz w:val="24"/>
          <w:szCs w:val="24"/>
        </w:rPr>
        <w:t>. The agency shall examine public</w:t>
      </w:r>
      <w:r w:rsidR="00155B88">
        <w:rPr>
          <w:rFonts w:ascii="Times New Roman" w:hAnsi="Times New Roman"/>
          <w:sz w:val="24"/>
          <w:szCs w:val="24"/>
        </w:rPr>
        <w:t xml:space="preserve"> </w:t>
      </w:r>
      <w:r w:rsidR="001A1B43" w:rsidRPr="001A1B43">
        <w:rPr>
          <w:rFonts w:ascii="Times New Roman" w:hAnsi="Times New Roman"/>
          <w:sz w:val="24"/>
          <w:szCs w:val="24"/>
        </w:rPr>
        <w:t>comment in response to the NPRM and will describe in the supporting statement of its next</w:t>
      </w:r>
      <w:r w:rsidR="00155B88">
        <w:rPr>
          <w:rFonts w:ascii="Times New Roman" w:hAnsi="Times New Roman"/>
          <w:sz w:val="24"/>
          <w:szCs w:val="24"/>
        </w:rPr>
        <w:t xml:space="preserve"> </w:t>
      </w:r>
      <w:r w:rsidR="001A1B43" w:rsidRPr="001A1B43">
        <w:rPr>
          <w:rFonts w:ascii="Times New Roman" w:hAnsi="Times New Roman"/>
          <w:sz w:val="24"/>
          <w:szCs w:val="24"/>
        </w:rPr>
        <w:t>collection any public comments received regarding the collection as well as why (or why it did</w:t>
      </w:r>
      <w:r w:rsidR="00155B88">
        <w:rPr>
          <w:rFonts w:ascii="Times New Roman" w:hAnsi="Times New Roman"/>
          <w:sz w:val="24"/>
          <w:szCs w:val="24"/>
        </w:rPr>
        <w:t xml:space="preserve"> </w:t>
      </w:r>
      <w:r w:rsidR="001A1B43" w:rsidRPr="001A1B43">
        <w:rPr>
          <w:rFonts w:ascii="Times New Roman" w:hAnsi="Times New Roman"/>
          <w:sz w:val="24"/>
          <w:szCs w:val="24"/>
        </w:rPr>
        <w:t>not) incorporate the commenter’s recommendation. The next submission to OMB must include</w:t>
      </w:r>
      <w:r w:rsidR="00155B88">
        <w:rPr>
          <w:rFonts w:ascii="Times New Roman" w:hAnsi="Times New Roman"/>
          <w:sz w:val="24"/>
          <w:szCs w:val="24"/>
        </w:rPr>
        <w:t xml:space="preserve"> </w:t>
      </w:r>
      <w:r w:rsidR="001A1B43" w:rsidRPr="001A1B43">
        <w:rPr>
          <w:rFonts w:ascii="Times New Roman" w:hAnsi="Times New Roman"/>
          <w:sz w:val="24"/>
          <w:szCs w:val="24"/>
        </w:rPr>
        <w:t>the draft final rule</w:t>
      </w:r>
      <w:r w:rsidR="00155B88">
        <w:rPr>
          <w:rFonts w:ascii="Times New Roman" w:hAnsi="Times New Roman"/>
          <w:sz w:val="24"/>
          <w:szCs w:val="24"/>
        </w:rPr>
        <w:t>.”</w:t>
      </w:r>
      <w:r w:rsidR="001A1B43">
        <w:rPr>
          <w:rFonts w:ascii="ArialMT" w:hAnsi="ArialMT" w:cs="ArialMT"/>
          <w:sz w:val="20"/>
          <w:szCs w:val="20"/>
        </w:rPr>
        <w:t xml:space="preserve"> </w:t>
      </w:r>
    </w:p>
    <w:p w14:paraId="2690567A" w14:textId="77777777" w:rsidR="001A1B43" w:rsidRDefault="001A1B43" w:rsidP="001A1B43">
      <w:pPr>
        <w:autoSpaceDE w:val="0"/>
        <w:autoSpaceDN w:val="0"/>
        <w:adjustRightInd w:val="0"/>
        <w:spacing w:after="0" w:line="240" w:lineRule="auto"/>
        <w:rPr>
          <w:rFonts w:ascii="ArialMT" w:hAnsi="ArialMT" w:cs="ArialMT"/>
          <w:sz w:val="20"/>
          <w:szCs w:val="20"/>
        </w:rPr>
      </w:pPr>
    </w:p>
    <w:p w14:paraId="0A525932" w14:textId="33192AB9" w:rsidR="001A1B43" w:rsidRPr="001A1B43" w:rsidRDefault="001A1B43" w:rsidP="001A1B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Bureau has complied with both of these requests.</w:t>
      </w:r>
    </w:p>
    <w:p w14:paraId="02A792BF" w14:textId="1E510DEF" w:rsidR="001A1B43" w:rsidRPr="001A1B43" w:rsidRDefault="001A1B43" w:rsidP="001A1B43">
      <w:pPr>
        <w:autoSpaceDE w:val="0"/>
        <w:autoSpaceDN w:val="0"/>
        <w:adjustRightInd w:val="0"/>
        <w:spacing w:after="0" w:line="240" w:lineRule="auto"/>
        <w:rPr>
          <w:rFonts w:ascii="ArialMT" w:hAnsi="ArialMT" w:cs="ArialMT"/>
          <w:sz w:val="20"/>
          <w:szCs w:val="20"/>
        </w:rPr>
      </w:pPr>
    </w:p>
    <w:p w14:paraId="6618640E" w14:textId="301E9E26" w:rsidR="00525EDF" w:rsidRDefault="00525EDF" w:rsidP="00525EDF">
      <w:pPr>
        <w:pStyle w:val="CM10"/>
        <w:spacing w:after="240"/>
      </w:pPr>
      <w:r w:rsidRPr="00BF04B4">
        <w:rPr>
          <w:b/>
          <w:u w:val="single"/>
        </w:rPr>
        <w:t>ABSTRACT</w:t>
      </w:r>
      <w:r w:rsidRPr="009D1CA5">
        <w:rPr>
          <w:b/>
        </w:rPr>
        <w:t xml:space="preserve">:  </w:t>
      </w:r>
      <w:r w:rsidRPr="00525EDF">
        <w:t xml:space="preserve">The Electronic Fund Transfer Act (EFTA), 15 U.S.C. 1693 et seq., requires accurate disclosure of the costs, terms, and rights relating to electronic fund transfer (EFT) services and remittance transfer services to consumers. </w:t>
      </w:r>
      <w:r w:rsidRPr="009D1CA5">
        <w:t xml:space="preserve"> </w:t>
      </w:r>
      <w:r w:rsidRPr="00525EDF">
        <w:t xml:space="preserve">Entities offering EFT services must provide consumers with full and accurate information regarding consumers' rights and responsibilities in connection with EFT services. </w:t>
      </w:r>
      <w:r w:rsidRPr="009D1CA5">
        <w:t xml:space="preserve"> </w:t>
      </w:r>
      <w:r w:rsidRPr="00525EDF">
        <w:t xml:space="preserve">These disclosures are intended to protect the rights of consumers using EFT services, such as automated teller machine (ATM) transfers, telephone bill-payment services, point-of-sale transfers at retail establishments, electronic check conversion, payroll cards, and preauthorized transfers from or to a consumer's account. </w:t>
      </w:r>
      <w:r w:rsidRPr="009D1CA5">
        <w:t xml:space="preserve"> </w:t>
      </w:r>
      <w:r w:rsidRPr="00525EDF">
        <w:t xml:space="preserve">EFTA also establishes error resolution procedures and limits consumer liability for unauthorized transfers in connection with EFT services.  EFTA and Regulation E impose disclosure and other requirements on issuers and sellers of gift cards, gift certificates, and general-use prepaid cards. Further, EFTA and Regulation E provide protections for consumers in the United States who send remittance transfers to persons in a foreign country. </w:t>
      </w:r>
      <w:r w:rsidRPr="009D1CA5">
        <w:t xml:space="preserve"> On </w:t>
      </w:r>
      <w:r>
        <w:t>November 22</w:t>
      </w:r>
      <w:r w:rsidRPr="009D1CA5">
        <w:t xml:space="preserve">, 2016, the Bureau </w:t>
      </w:r>
      <w:r>
        <w:t>published</w:t>
      </w:r>
      <w:r w:rsidRPr="009D1CA5">
        <w:t xml:space="preserve"> a final rule that amends Regulation E </w:t>
      </w:r>
      <w:r w:rsidR="00D957AF">
        <w:t>as well as</w:t>
      </w:r>
      <w:r w:rsidR="001D0D07">
        <w:t xml:space="preserve"> </w:t>
      </w:r>
      <w:r w:rsidRPr="009D1CA5">
        <w:t xml:space="preserve">Regulation Z, which implements the Truth in Lending Act, and the official interpretations to the regulations, to provide comprehensive protections for consumers who use “prepaid accounts.” In addition, it modifies general Regulation E requirements to create tailored provisions governing disclosures, limited liability and error resolution, and periodic statements, and adds new requirements regarding the posting of account agreements.  Additionally, the final rule amends Regulations E and Z to </w:t>
      </w:r>
      <w:r w:rsidRPr="009D1CA5">
        <w:lastRenderedPageBreak/>
        <w:t xml:space="preserve">regulate overdraft credit features offered in connection with prepaid accounts.  </w:t>
      </w:r>
      <w:r w:rsidRPr="00525EDF">
        <w:t xml:space="preserve">Federal agencies and private litigants use the records to ascertain whether accurate and complete disclosures of EFT services and other services covered under Regulation E have been provided and other required actions (for example, error resolution and limitation of consumer liability for unauthorized transfers) have been taken. </w:t>
      </w:r>
      <w:r w:rsidRPr="009D1CA5">
        <w:t xml:space="preserve"> </w:t>
      </w:r>
      <w:r w:rsidRPr="00525EDF">
        <w:t xml:space="preserve">This information will provide the primary evidence of law violations in EFTA enforcement actions brought by the CFPB and other Federal agencies. Without recordkeeping requirements of Regulation E, the Federal agencies' ability to enforce the EFTA would be significantly impaired. Consumers rely on the disclosures required by EFTA and Regulation E to facilitate informed EFT, gift card, and remittance transfer decision making. Without this information, consumers would be severely hindered in their ability to assess the true costs and terms of the transactions offered. </w:t>
      </w:r>
      <w:r w:rsidRPr="009D1CA5">
        <w:t xml:space="preserve"> </w:t>
      </w:r>
      <w:r w:rsidRPr="00525EDF">
        <w:t xml:space="preserve">Also, without the special error resolution and limitation of consumer liability provisions, consumers would be unable to detect and correct unauthorized transfers and errors in their EFT and remittance transfer transactions. These disclosures and provisions are also necessary for the agencies to enforce EFTA and Regulation E.  </w:t>
      </w:r>
    </w:p>
    <w:p w14:paraId="09EB6A6F" w14:textId="68E95E58" w:rsidR="006D74BA" w:rsidRDefault="00D957AF" w:rsidP="006D74BA">
      <w:pPr>
        <w:pStyle w:val="Default"/>
      </w:pPr>
      <w:r>
        <w:t>The Bureau extended the effective date of the final rule and made other amendments in 2017 and 2018 final rules, as discussed below. The Bureau concluded that neither of these amendments materially affected the information collections or burden estimates associated with the Prepaid Account Final Rule and therefore the Bureau made no changes to the information collections or burden estimates contained in this document.</w:t>
      </w:r>
    </w:p>
    <w:p w14:paraId="24F22E43" w14:textId="77777777" w:rsidR="006D74BA" w:rsidRPr="006D74BA" w:rsidRDefault="006D74BA" w:rsidP="006D74BA">
      <w:pPr>
        <w:pStyle w:val="Default"/>
      </w:pPr>
    </w:p>
    <w:p w14:paraId="29C11A4C" w14:textId="77777777" w:rsidR="000F70F5" w:rsidRPr="00BF04B4" w:rsidRDefault="000F70F5" w:rsidP="00BF04B4">
      <w:pPr>
        <w:pStyle w:val="Default"/>
        <w:spacing w:after="240"/>
        <w:rPr>
          <w:b/>
          <w:u w:val="single"/>
        </w:rPr>
      </w:pPr>
      <w:r w:rsidRPr="00BF04B4">
        <w:rPr>
          <w:b/>
          <w:u w:val="single"/>
        </w:rPr>
        <w:t>A. JUSTIFICATION</w:t>
      </w:r>
    </w:p>
    <w:p w14:paraId="48FDB524" w14:textId="77777777" w:rsidR="000F70F5" w:rsidRPr="00BF04B4" w:rsidRDefault="000F70F5" w:rsidP="00BF04B4">
      <w:pPr>
        <w:pStyle w:val="CM12"/>
        <w:spacing w:after="240"/>
        <w:rPr>
          <w:color w:val="000000"/>
        </w:rPr>
      </w:pPr>
      <w:r w:rsidRPr="00BF04B4">
        <w:rPr>
          <w:b/>
          <w:bCs/>
          <w:color w:val="000000"/>
        </w:rPr>
        <w:t>1.</w:t>
      </w:r>
      <w:r w:rsidR="00850B99" w:rsidRPr="00BF04B4">
        <w:rPr>
          <w:b/>
          <w:bCs/>
          <w:color w:val="000000"/>
        </w:rPr>
        <w:t xml:space="preserve"> </w:t>
      </w:r>
      <w:r w:rsidRPr="00BF04B4">
        <w:rPr>
          <w:b/>
          <w:bCs/>
          <w:color w:val="000000"/>
          <w:u w:val="single"/>
        </w:rPr>
        <w:t>Circumstances Necessitating the Data Collection</w:t>
      </w:r>
    </w:p>
    <w:p w14:paraId="4FDB6067" w14:textId="14E74377" w:rsidR="00BF505C" w:rsidRPr="00BF04B4" w:rsidRDefault="00BF505C" w:rsidP="00BF04B4">
      <w:pPr>
        <w:pStyle w:val="CM10"/>
        <w:spacing w:after="240"/>
        <w:ind w:right="190" w:firstLine="720"/>
        <w:rPr>
          <w:color w:val="000000"/>
        </w:rPr>
      </w:pPr>
      <w:r w:rsidRPr="00BF04B4">
        <w:rPr>
          <w:color w:val="000000"/>
        </w:rPr>
        <w:t>The</w:t>
      </w:r>
      <w:r w:rsidR="000F70F5" w:rsidRPr="00BF04B4">
        <w:rPr>
          <w:color w:val="000000"/>
        </w:rPr>
        <w:t xml:space="preserve"> Electronic Fund Transfer Act (EFTA</w:t>
      </w:r>
      <w:r w:rsidRPr="00BF04B4">
        <w:rPr>
          <w:color w:val="000000"/>
        </w:rPr>
        <w:t xml:space="preserve">), 15 U.S.C. 1693 </w:t>
      </w:r>
      <w:r w:rsidRPr="00BF04B4">
        <w:rPr>
          <w:i/>
          <w:iCs/>
          <w:color w:val="000000"/>
        </w:rPr>
        <w:t>et seq</w:t>
      </w:r>
      <w:r w:rsidRPr="00BF04B4">
        <w:rPr>
          <w:color w:val="000000"/>
        </w:rPr>
        <w:t>., requires accurate disclosure of the costs, terms</w:t>
      </w:r>
      <w:r w:rsidR="00EA3F1C" w:rsidRPr="00BF04B4">
        <w:rPr>
          <w:color w:val="000000"/>
        </w:rPr>
        <w:t>,</w:t>
      </w:r>
      <w:r w:rsidRPr="00BF04B4">
        <w:rPr>
          <w:color w:val="000000"/>
        </w:rPr>
        <w:t xml:space="preserve"> and rights relatin</w:t>
      </w:r>
      <w:r w:rsidR="000F70F5" w:rsidRPr="00BF04B4">
        <w:rPr>
          <w:color w:val="000000"/>
        </w:rPr>
        <w:t>g to electronic fund transfer (EFT</w:t>
      </w:r>
      <w:r w:rsidRPr="00BF04B4">
        <w:rPr>
          <w:color w:val="000000"/>
        </w:rPr>
        <w:t xml:space="preserve">) services </w:t>
      </w:r>
      <w:r w:rsidR="00282A2E" w:rsidRPr="00BF04B4">
        <w:rPr>
          <w:color w:val="000000"/>
        </w:rPr>
        <w:t xml:space="preserve">and remittance transfer services </w:t>
      </w:r>
      <w:r w:rsidRPr="00BF04B4">
        <w:rPr>
          <w:color w:val="000000"/>
        </w:rPr>
        <w:t>to consumers.  Entities offering EFT services must provide consumers with full and accurate information regarding consumers</w:t>
      </w:r>
      <w:r w:rsidR="00A24603" w:rsidRPr="00BF04B4">
        <w:rPr>
          <w:color w:val="000000"/>
        </w:rPr>
        <w:t>’</w:t>
      </w:r>
      <w:r w:rsidRPr="00BF04B4">
        <w:rPr>
          <w:color w:val="000000"/>
        </w:rPr>
        <w:t xml:space="preserve"> rights and responsibilities in connection with EFT services. </w:t>
      </w:r>
      <w:r w:rsidR="00E7598C" w:rsidRPr="00BF04B4">
        <w:rPr>
          <w:color w:val="000000"/>
        </w:rPr>
        <w:t xml:space="preserve"> </w:t>
      </w:r>
      <w:r w:rsidRPr="00BF04B4">
        <w:rPr>
          <w:color w:val="000000"/>
        </w:rPr>
        <w:t>These disclosures are intended to protect the rights of consumers using EFT services, such as automated teller machine (ATM) transfers, telephone bill-payment services, point-of-sale transfers at retail establishments, electronic check conversion, and preauthorized transfers from or to a consumer</w:t>
      </w:r>
      <w:r w:rsidR="005B51B3" w:rsidRPr="00BF04B4">
        <w:rPr>
          <w:color w:val="000000"/>
        </w:rPr>
        <w:t>’</w:t>
      </w:r>
      <w:r w:rsidRPr="00BF04B4">
        <w:rPr>
          <w:color w:val="000000"/>
        </w:rPr>
        <w:t>s account.  The EFTA also establishes error resolution procedures and limits consumer liability for unauthorized transfers in connection with EFT services.</w:t>
      </w:r>
      <w:r w:rsidR="0009323F" w:rsidRPr="00BF04B4">
        <w:rPr>
          <w:color w:val="000000"/>
        </w:rPr>
        <w:t xml:space="preserve">  </w:t>
      </w:r>
      <w:r w:rsidR="005B51B3" w:rsidRPr="00BF04B4">
        <w:rPr>
          <w:color w:val="000000"/>
        </w:rPr>
        <w:t>T</w:t>
      </w:r>
      <w:r w:rsidR="0009323F" w:rsidRPr="00BF04B4">
        <w:rPr>
          <w:color w:val="000000"/>
        </w:rPr>
        <w:t>he EFTA and Regul</w:t>
      </w:r>
      <w:r w:rsidR="00764395" w:rsidRPr="00BF04B4">
        <w:rPr>
          <w:color w:val="000000"/>
        </w:rPr>
        <w:t>ation E impose disclosure and other requirements on issuers and sellers of gift cards, gift certificates, and general-use prepaid cards.</w:t>
      </w:r>
      <w:r w:rsidR="005B51B3" w:rsidRPr="00BF04B4">
        <w:rPr>
          <w:color w:val="000000"/>
        </w:rPr>
        <w:t xml:space="preserve">  </w:t>
      </w:r>
      <w:r w:rsidR="00D7287B" w:rsidRPr="00BF04B4">
        <w:rPr>
          <w:color w:val="000000"/>
        </w:rPr>
        <w:t>The</w:t>
      </w:r>
      <w:r w:rsidR="005B51B3" w:rsidRPr="00BF04B4">
        <w:rPr>
          <w:color w:val="000000"/>
        </w:rPr>
        <w:t xml:space="preserve"> EFTA and Regulation E </w:t>
      </w:r>
      <w:r w:rsidR="00D7287B" w:rsidRPr="00BF04B4">
        <w:rPr>
          <w:color w:val="000000"/>
        </w:rPr>
        <w:t xml:space="preserve">also </w:t>
      </w:r>
      <w:r w:rsidR="005B51B3" w:rsidRPr="00BF04B4">
        <w:rPr>
          <w:color w:val="000000"/>
        </w:rPr>
        <w:t xml:space="preserve">provide protections for consumers </w:t>
      </w:r>
      <w:r w:rsidR="00282A2E" w:rsidRPr="00BF04B4">
        <w:rPr>
          <w:color w:val="000000"/>
        </w:rPr>
        <w:t xml:space="preserve">in the United States </w:t>
      </w:r>
      <w:r w:rsidR="005B51B3" w:rsidRPr="00BF04B4">
        <w:rPr>
          <w:color w:val="000000"/>
        </w:rPr>
        <w:t>who send remittance transfers to persons in a foreign country.</w:t>
      </w:r>
    </w:p>
    <w:p w14:paraId="2E0E358C" w14:textId="5C9BC4A4" w:rsidR="007B0849" w:rsidRPr="00BF04B4" w:rsidRDefault="00732A75" w:rsidP="00BF04B4">
      <w:pPr>
        <w:pStyle w:val="CM10"/>
        <w:spacing w:after="240"/>
        <w:ind w:right="75" w:firstLine="720"/>
        <w:rPr>
          <w:color w:val="000000"/>
        </w:rPr>
      </w:pPr>
      <w:r w:rsidRPr="00BF04B4">
        <w:rPr>
          <w:color w:val="000000"/>
        </w:rPr>
        <w:t xml:space="preserve">Historically, the EFTA was implemented in Regulation E </w:t>
      </w:r>
      <w:r w:rsidR="00A24603" w:rsidRPr="00BF04B4">
        <w:rPr>
          <w:color w:val="000000"/>
        </w:rPr>
        <w:t>by</w:t>
      </w:r>
      <w:r w:rsidRPr="00BF04B4">
        <w:rPr>
          <w:color w:val="000000"/>
        </w:rPr>
        <w:t xml:space="preserve"> the Board of Governors of the Federal Reserve System (Board), 12 CFR Part 205.  The Dodd-Frank Wall Street Reform and Consumer Protection Act (Dodd-Frank Act)</w:t>
      </w:r>
      <w:r w:rsidR="00E7598C" w:rsidRPr="00BF04B4">
        <w:rPr>
          <w:color w:val="000000"/>
        </w:rPr>
        <w:t>, Pub. L. 111-</w:t>
      </w:r>
      <w:r w:rsidR="00BF505C" w:rsidRPr="00BF04B4">
        <w:rPr>
          <w:color w:val="000000"/>
        </w:rPr>
        <w:t>203,124 Stat. 1376 (2010)</w:t>
      </w:r>
      <w:r w:rsidRPr="00BF04B4">
        <w:rPr>
          <w:color w:val="000000"/>
        </w:rPr>
        <w:t xml:space="preserve"> transferred rulemaking authority for the EFTA to the Bureau of Consumer Financial Protection (</w:t>
      </w:r>
      <w:r w:rsidR="000F70F5" w:rsidRPr="00BF04B4">
        <w:rPr>
          <w:color w:val="000000"/>
        </w:rPr>
        <w:t>CFPB</w:t>
      </w:r>
      <w:r w:rsidR="0053690C" w:rsidRPr="00BF04B4">
        <w:rPr>
          <w:color w:val="000000"/>
        </w:rPr>
        <w:t xml:space="preserve"> or the Bureau</w:t>
      </w:r>
      <w:r w:rsidRPr="00BF04B4">
        <w:rPr>
          <w:color w:val="000000"/>
        </w:rPr>
        <w:t xml:space="preserve">), effective July 21, 2011.  </w:t>
      </w:r>
      <w:r w:rsidR="002316BC" w:rsidRPr="00BF04B4">
        <w:rPr>
          <w:color w:val="000000"/>
        </w:rPr>
        <w:t xml:space="preserve">On December 27, 2011, the CFPB republished Regulation E in 12 CFR </w:t>
      </w:r>
      <w:r w:rsidR="00584E4E" w:rsidRPr="00BF04B4">
        <w:rPr>
          <w:color w:val="000000"/>
        </w:rPr>
        <w:t xml:space="preserve">part </w:t>
      </w:r>
      <w:r w:rsidR="002316BC" w:rsidRPr="00BF04B4">
        <w:rPr>
          <w:color w:val="000000"/>
        </w:rPr>
        <w:t xml:space="preserve">1005, making technical and conforming changes to reflect the transfer of authority and certain other changes made by the Dodd-Frank Act.  </w:t>
      </w:r>
      <w:r w:rsidR="00462740" w:rsidRPr="00BF04B4">
        <w:rPr>
          <w:color w:val="000000"/>
        </w:rPr>
        <w:t xml:space="preserve">Section 1073 of </w:t>
      </w:r>
      <w:r w:rsidR="00462740" w:rsidRPr="00BF04B4">
        <w:rPr>
          <w:color w:val="000000"/>
        </w:rPr>
        <w:lastRenderedPageBreak/>
        <w:t xml:space="preserve">the </w:t>
      </w:r>
      <w:r w:rsidR="005B6823" w:rsidRPr="00BF04B4">
        <w:rPr>
          <w:color w:val="000000"/>
        </w:rPr>
        <w:t>Dodd-Frank Act</w:t>
      </w:r>
      <w:r w:rsidR="0061140A" w:rsidRPr="00BF04B4">
        <w:rPr>
          <w:color w:val="000000"/>
        </w:rPr>
        <w:t xml:space="preserve"> </w:t>
      </w:r>
      <w:r w:rsidR="00001990" w:rsidRPr="00BF04B4">
        <w:rPr>
          <w:color w:val="000000"/>
        </w:rPr>
        <w:t>gave</w:t>
      </w:r>
      <w:r w:rsidR="0061140A" w:rsidRPr="00BF04B4">
        <w:rPr>
          <w:color w:val="000000"/>
        </w:rPr>
        <w:t xml:space="preserve"> the </w:t>
      </w:r>
      <w:r w:rsidR="005B6823" w:rsidRPr="00BF04B4">
        <w:rPr>
          <w:color w:val="000000"/>
        </w:rPr>
        <w:t>CFPB</w:t>
      </w:r>
      <w:r w:rsidR="0061140A" w:rsidRPr="00BF04B4">
        <w:rPr>
          <w:color w:val="000000"/>
        </w:rPr>
        <w:t xml:space="preserve"> a statutory deadline</w:t>
      </w:r>
      <w:r w:rsidR="005B6823" w:rsidRPr="00BF04B4">
        <w:rPr>
          <w:color w:val="000000"/>
        </w:rPr>
        <w:t xml:space="preserve"> </w:t>
      </w:r>
      <w:r w:rsidR="00001990" w:rsidRPr="00BF04B4">
        <w:rPr>
          <w:color w:val="000000"/>
        </w:rPr>
        <w:t xml:space="preserve">to </w:t>
      </w:r>
      <w:r w:rsidR="007645A0" w:rsidRPr="00BF04B4">
        <w:rPr>
          <w:color w:val="000000"/>
        </w:rPr>
        <w:t>issue a final rule implementing the amendments to EFTA concerning remittance transfers</w:t>
      </w:r>
      <w:r w:rsidR="00282A2E" w:rsidRPr="00BF04B4">
        <w:rPr>
          <w:color w:val="000000"/>
        </w:rPr>
        <w:t xml:space="preserve">.  </w:t>
      </w:r>
      <w:r w:rsidR="00001990" w:rsidRPr="00BF04B4">
        <w:rPr>
          <w:color w:val="000000"/>
        </w:rPr>
        <w:t xml:space="preserve">This final rule </w:t>
      </w:r>
      <w:r w:rsidR="00EA3F1C" w:rsidRPr="00BF04B4">
        <w:rPr>
          <w:color w:val="000000"/>
        </w:rPr>
        <w:t xml:space="preserve">was </w:t>
      </w:r>
      <w:r w:rsidR="00001990" w:rsidRPr="00BF04B4">
        <w:rPr>
          <w:color w:val="000000"/>
        </w:rPr>
        <w:t xml:space="preserve">published in the </w:t>
      </w:r>
      <w:r w:rsidR="00001990" w:rsidRPr="00BF04B4">
        <w:rPr>
          <w:i/>
          <w:color w:val="000000"/>
        </w:rPr>
        <w:t xml:space="preserve">Federal Register </w:t>
      </w:r>
      <w:r w:rsidR="00001990" w:rsidRPr="00BF04B4">
        <w:rPr>
          <w:color w:val="000000"/>
        </w:rPr>
        <w:t xml:space="preserve">on February 7, 2012 (February Final Rule).  </w:t>
      </w:r>
      <w:r w:rsidR="009C6AE6" w:rsidRPr="00BF04B4">
        <w:t xml:space="preserve">On August 20, 2012, the Bureau published a supplemental </w:t>
      </w:r>
      <w:r w:rsidR="00462740" w:rsidRPr="00BF04B4">
        <w:t xml:space="preserve">final </w:t>
      </w:r>
      <w:r w:rsidR="009C6AE6" w:rsidRPr="00BF04B4">
        <w:t>rule adopting a safe harbor</w:t>
      </w:r>
      <w:r w:rsidR="008B54CA" w:rsidRPr="00BF04B4">
        <w:t xml:space="preserve"> for</w:t>
      </w:r>
      <w:r w:rsidR="009C6AE6" w:rsidRPr="00BF04B4">
        <w:t xml:space="preserve"> determining which companies</w:t>
      </w:r>
      <w:r w:rsidR="00F855DE" w:rsidRPr="00BF04B4">
        <w:t xml:space="preserve"> do not send remittance transfers in the normal course of business</w:t>
      </w:r>
      <w:r w:rsidR="008E37C5" w:rsidRPr="00BF04B4">
        <w:t xml:space="preserve"> and addressing remittance transfers scheduled before the date of transfer</w:t>
      </w:r>
      <w:r w:rsidR="00F21937" w:rsidRPr="00BF04B4">
        <w:t xml:space="preserve"> </w:t>
      </w:r>
      <w:r w:rsidR="009C6AE6" w:rsidRPr="00BF04B4">
        <w:t xml:space="preserve">(August Final Rule, and collectively with the February Final Rule, the </w:t>
      </w:r>
      <w:r w:rsidR="00462740" w:rsidRPr="00BF04B4">
        <w:t xml:space="preserve">2012 </w:t>
      </w:r>
      <w:r w:rsidR="009C6AE6" w:rsidRPr="00BF04B4">
        <w:t xml:space="preserve">Final Rule).  </w:t>
      </w:r>
      <w:r w:rsidR="00E61862">
        <w:t>On May 22, 2013, the Bureau published a rule (the 2013 Final Rule) which</w:t>
      </w:r>
      <w:r w:rsidR="00E61862" w:rsidRPr="00E61862">
        <w:t xml:space="preserve"> modifie</w:t>
      </w:r>
      <w:r w:rsidR="00E61862">
        <w:t>d</w:t>
      </w:r>
      <w:r w:rsidR="00E61862" w:rsidRPr="00E61862">
        <w:t xml:space="preserve"> the 2012 Final Rule</w:t>
      </w:r>
      <w:r w:rsidR="00E61862">
        <w:t xml:space="preserve"> to make optional, </w:t>
      </w:r>
      <w:r w:rsidR="00E61862" w:rsidRPr="00E61862">
        <w:t>in certain circumstances, the requirement to disclose fees imposed by a designated recipient's institution</w:t>
      </w:r>
      <w:r w:rsidR="00E61862">
        <w:t xml:space="preserve"> and taxes collected </w:t>
      </w:r>
      <w:r w:rsidR="00E61862" w:rsidRPr="00E61862">
        <w:t>by a person other than the remittance transfer provider</w:t>
      </w:r>
      <w:r w:rsidR="00E61862">
        <w:t xml:space="preserve">, and to instead require disclaimers to the 2012 Final Rule’s disclosures indicating that the recipient may receive less than the disclosed total.  The 2013 Final Rule also </w:t>
      </w:r>
      <w:r w:rsidR="007276B8" w:rsidRPr="007276B8">
        <w:t>revise</w:t>
      </w:r>
      <w:r w:rsidR="007276B8">
        <w:t>d</w:t>
      </w:r>
      <w:r w:rsidR="007276B8" w:rsidRPr="007276B8">
        <w:t xml:space="preserve"> the error resolution provisions that apply when a remittance transfer is not delivered to a designated recipient</w:t>
      </w:r>
      <w:r w:rsidR="007276B8">
        <w:t xml:space="preserve"> in certain situations.  </w:t>
      </w:r>
      <w:r w:rsidR="009C6AE6" w:rsidRPr="00BF04B4">
        <w:t xml:space="preserve">The CFPB </w:t>
      </w:r>
      <w:r w:rsidR="00CA72AE" w:rsidRPr="00BF04B4">
        <w:t xml:space="preserve">has </w:t>
      </w:r>
      <w:r w:rsidR="00E31871">
        <w:t xml:space="preserve">subsequently </w:t>
      </w:r>
      <w:r w:rsidR="00CA72AE" w:rsidRPr="00BF04B4">
        <w:t xml:space="preserve">amended </w:t>
      </w:r>
      <w:r w:rsidR="00A108EB" w:rsidRPr="00BF04B4">
        <w:t xml:space="preserve">subpart B of Regulation E </w:t>
      </w:r>
      <w:r w:rsidR="00CA72AE" w:rsidRPr="00BF04B4">
        <w:t xml:space="preserve">on several </w:t>
      </w:r>
      <w:r w:rsidR="00E31871">
        <w:t xml:space="preserve">other </w:t>
      </w:r>
      <w:r w:rsidR="00CA72AE" w:rsidRPr="00BF04B4">
        <w:t>occasions</w:t>
      </w:r>
      <w:r w:rsidR="00F21937" w:rsidRPr="00BF04B4">
        <w:t>.</w:t>
      </w:r>
      <w:r w:rsidR="00CA72AE" w:rsidRPr="00BF04B4">
        <w:t xml:space="preserve">  </w:t>
      </w:r>
    </w:p>
    <w:p w14:paraId="72290570" w14:textId="77777777" w:rsidR="00BF505C" w:rsidRPr="00BF04B4" w:rsidRDefault="002A7D01" w:rsidP="00BF04B4">
      <w:pPr>
        <w:pStyle w:val="CM10"/>
        <w:spacing w:after="240"/>
        <w:ind w:right="75" w:firstLine="720"/>
        <w:rPr>
          <w:color w:val="000000"/>
        </w:rPr>
      </w:pPr>
      <w:r w:rsidRPr="00BF04B4">
        <w:t xml:space="preserve">Under the Dodd-Frank Act, in addition to the transfer of rulemaking authority, the CFPB received certain enforcement authorities with respect to the EFTA.  </w:t>
      </w:r>
      <w:r w:rsidR="00BF505C" w:rsidRPr="00BF04B4">
        <w:rPr>
          <w:color w:val="000000"/>
        </w:rPr>
        <w:t xml:space="preserve">The EFTA also contains a private right of action with a one-year statute of limitations for aggrieved consumers. </w:t>
      </w:r>
    </w:p>
    <w:p w14:paraId="2AC281C4" w14:textId="77777777" w:rsidR="00BF505C" w:rsidRPr="00BF04B4" w:rsidRDefault="00BF505C" w:rsidP="00BF04B4">
      <w:pPr>
        <w:pStyle w:val="CM10"/>
        <w:spacing w:after="240"/>
        <w:ind w:firstLine="720"/>
        <w:rPr>
          <w:color w:val="000000"/>
        </w:rPr>
      </w:pPr>
      <w:r w:rsidRPr="00BF04B4">
        <w:rPr>
          <w:color w:val="000000"/>
        </w:rPr>
        <w:t xml:space="preserve">Recordkeeping </w:t>
      </w:r>
    </w:p>
    <w:p w14:paraId="02F8FB39" w14:textId="1192511E" w:rsidR="00BF505C" w:rsidRPr="00BF04B4" w:rsidRDefault="00BF505C" w:rsidP="00BF04B4">
      <w:pPr>
        <w:pStyle w:val="CM10"/>
        <w:spacing w:after="240"/>
        <w:ind w:firstLine="720"/>
        <w:rPr>
          <w:color w:val="000000"/>
        </w:rPr>
      </w:pPr>
      <w:r w:rsidRPr="00BF04B4">
        <w:rPr>
          <w:color w:val="000000"/>
        </w:rPr>
        <w:t xml:space="preserve">Section </w:t>
      </w:r>
      <w:r w:rsidR="00732A75" w:rsidRPr="00BF04B4">
        <w:rPr>
          <w:color w:val="000000"/>
        </w:rPr>
        <w:t>10</w:t>
      </w:r>
      <w:r w:rsidRPr="00BF04B4">
        <w:rPr>
          <w:color w:val="000000"/>
        </w:rPr>
        <w:t>05.13(</w:t>
      </w:r>
      <w:r w:rsidR="004F6A97" w:rsidRPr="00BF04B4">
        <w:rPr>
          <w:color w:val="000000"/>
        </w:rPr>
        <w:t>b</w:t>
      </w:r>
      <w:r w:rsidRPr="00BF04B4">
        <w:rPr>
          <w:color w:val="000000"/>
        </w:rPr>
        <w:t xml:space="preserve">) of Regulation E requires entities subject to the EFTA to retain evidence of </w:t>
      </w:r>
      <w:r w:rsidR="00EA3F1C" w:rsidRPr="00BF04B4">
        <w:rPr>
          <w:color w:val="000000"/>
        </w:rPr>
        <w:t xml:space="preserve">their </w:t>
      </w:r>
      <w:r w:rsidRPr="00BF04B4">
        <w:rPr>
          <w:color w:val="000000"/>
        </w:rPr>
        <w:t>compliance with the regulation</w:t>
      </w:r>
      <w:r w:rsidR="00001990" w:rsidRPr="00BF04B4">
        <w:rPr>
          <w:color w:val="000000"/>
        </w:rPr>
        <w:t xml:space="preserve"> for </w:t>
      </w:r>
      <w:r w:rsidR="000E308C" w:rsidRPr="00BF04B4">
        <w:rPr>
          <w:color w:val="000000"/>
        </w:rPr>
        <w:t>not less than</w:t>
      </w:r>
      <w:r w:rsidR="00001990" w:rsidRPr="00BF04B4">
        <w:rPr>
          <w:color w:val="000000"/>
        </w:rPr>
        <w:t xml:space="preserve"> two years</w:t>
      </w:r>
      <w:r w:rsidRPr="00BF04B4">
        <w:rPr>
          <w:color w:val="000000"/>
        </w:rPr>
        <w:t xml:space="preserve">.  </w:t>
      </w:r>
      <w:r w:rsidR="00D27A0A" w:rsidRPr="00BF04B4">
        <w:rPr>
          <w:color w:val="000000"/>
        </w:rPr>
        <w:t>It</w:t>
      </w:r>
      <w:r w:rsidRPr="00BF04B4">
        <w:rPr>
          <w:color w:val="000000"/>
        </w:rPr>
        <w:t xml:space="preserve"> also provides that any entity subject to the EFTA that is notified by the </w:t>
      </w:r>
      <w:r w:rsidR="00823B4E" w:rsidRPr="00BF04B4">
        <w:rPr>
          <w:color w:val="000000"/>
        </w:rPr>
        <w:t xml:space="preserve">CFPB </w:t>
      </w:r>
      <w:r w:rsidRPr="00BF04B4">
        <w:rPr>
          <w:color w:val="000000"/>
        </w:rPr>
        <w:t xml:space="preserve">(or other administrative agency) that it is being investigated or is the subject of an enforcement proceeding, or that has been notified of a private or criminal action being filed, shall retain </w:t>
      </w:r>
      <w:r w:rsidR="000E308C" w:rsidRPr="00BF04B4">
        <w:rPr>
          <w:color w:val="000000"/>
        </w:rPr>
        <w:t xml:space="preserve">the records that pertain to the investigation, action, or proceeding </w:t>
      </w:r>
      <w:r w:rsidRPr="00BF04B4">
        <w:rPr>
          <w:color w:val="000000"/>
        </w:rPr>
        <w:t xml:space="preserve">until final disposition of the matter, or such earlier time as allowed by a court or agency order.  The recordkeeping requirement </w:t>
      </w:r>
      <w:r w:rsidR="00D27A0A" w:rsidRPr="00BF04B4">
        <w:rPr>
          <w:color w:val="000000"/>
        </w:rPr>
        <w:t xml:space="preserve">ensures </w:t>
      </w:r>
      <w:r w:rsidRPr="00BF04B4">
        <w:rPr>
          <w:color w:val="000000"/>
        </w:rPr>
        <w:t xml:space="preserve">that records that might contain evidence of violations of the EFTA remain available to </w:t>
      </w:r>
      <w:r w:rsidR="00732A75" w:rsidRPr="00BF04B4">
        <w:rPr>
          <w:color w:val="000000"/>
        </w:rPr>
        <w:t>Federal ag</w:t>
      </w:r>
      <w:r w:rsidRPr="00BF04B4">
        <w:rPr>
          <w:color w:val="000000"/>
        </w:rPr>
        <w:t xml:space="preserve">encies, as well as to private litigants. </w:t>
      </w:r>
    </w:p>
    <w:p w14:paraId="24CA63F8" w14:textId="2109ADF6" w:rsidR="007B0849" w:rsidRPr="00BF04B4" w:rsidRDefault="002316BC" w:rsidP="00BF04B4">
      <w:pPr>
        <w:pStyle w:val="CM4"/>
        <w:spacing w:after="240" w:line="240" w:lineRule="auto"/>
        <w:ind w:firstLine="720"/>
      </w:pPr>
      <w:r w:rsidRPr="00BF04B4">
        <w:t xml:space="preserve">In addition, </w:t>
      </w:r>
      <w:r w:rsidR="00694049" w:rsidRPr="00BF04B4">
        <w:rPr>
          <w:iCs/>
          <w:color w:val="000000"/>
        </w:rPr>
        <w:t>§</w:t>
      </w:r>
      <w:r w:rsidR="00E552E5">
        <w:rPr>
          <w:iCs/>
          <w:color w:val="000000"/>
        </w:rPr>
        <w:t> </w:t>
      </w:r>
      <w:r w:rsidRPr="00BF04B4">
        <w:t>1005.33(g)(2)</w:t>
      </w:r>
      <w:r w:rsidR="00EA3F1C" w:rsidRPr="00BF04B4">
        <w:t xml:space="preserve"> of Regulation E</w:t>
      </w:r>
      <w:r w:rsidRPr="00BF04B4">
        <w:t xml:space="preserve"> requires</w:t>
      </w:r>
      <w:r w:rsidR="00F21937" w:rsidRPr="00BF04B4">
        <w:t xml:space="preserve"> that</w:t>
      </w:r>
      <w:r w:rsidRPr="00BF04B4">
        <w:t xml:space="preserve"> </w:t>
      </w:r>
      <w:r w:rsidR="008500B9" w:rsidRPr="00BF04B4">
        <w:t xml:space="preserve">the policies and </w:t>
      </w:r>
      <w:r w:rsidR="008500B9" w:rsidRPr="00BF04B4">
        <w:rPr>
          <w:color w:val="000000"/>
        </w:rPr>
        <w:t>procedures</w:t>
      </w:r>
      <w:r w:rsidR="008500B9" w:rsidRPr="00BF04B4">
        <w:t xml:space="preserve"> concerning error resolution of remittance transfer providers include provisions regarding the retention of documentation related to error investigations.  Remittance transfer providers must retain evidence of this compliance for two years.</w:t>
      </w:r>
    </w:p>
    <w:p w14:paraId="109C303B" w14:textId="77777777" w:rsidR="00BF505C" w:rsidRPr="00BF04B4" w:rsidRDefault="00BF505C" w:rsidP="00BF04B4">
      <w:pPr>
        <w:pStyle w:val="CM10"/>
        <w:spacing w:after="240"/>
        <w:ind w:firstLine="720"/>
        <w:rPr>
          <w:color w:val="000000"/>
        </w:rPr>
      </w:pPr>
      <w:r w:rsidRPr="00BF04B4">
        <w:rPr>
          <w:color w:val="000000"/>
        </w:rPr>
        <w:t xml:space="preserve">Disclosure </w:t>
      </w:r>
    </w:p>
    <w:p w14:paraId="2E33D5FD" w14:textId="7EBC0A06" w:rsidR="00D27A0A" w:rsidRPr="00BF04B4" w:rsidRDefault="00BF505C" w:rsidP="00BF04B4">
      <w:pPr>
        <w:pStyle w:val="CM4"/>
        <w:spacing w:after="240" w:line="240" w:lineRule="auto"/>
        <w:ind w:firstLine="720"/>
        <w:rPr>
          <w:iCs/>
          <w:color w:val="000000"/>
        </w:rPr>
      </w:pPr>
      <w:r w:rsidRPr="00BF04B4">
        <w:rPr>
          <w:color w:val="000000"/>
        </w:rPr>
        <w:t>The vast majority of Regulation E</w:t>
      </w:r>
      <w:r w:rsidR="00E97E35" w:rsidRPr="00BF04B4">
        <w:rPr>
          <w:color w:val="000000"/>
        </w:rPr>
        <w:t>’</w:t>
      </w:r>
      <w:r w:rsidRPr="00BF04B4">
        <w:rPr>
          <w:color w:val="000000"/>
        </w:rPr>
        <w:t>s disclosure requirements are statutorily mandated by the EFTA.</w:t>
      </w:r>
      <w:r w:rsidR="00E7598C" w:rsidRPr="00BF04B4">
        <w:rPr>
          <w:color w:val="000000"/>
        </w:rPr>
        <w:t xml:space="preserve"> </w:t>
      </w:r>
      <w:r w:rsidRPr="00BF04B4">
        <w:rPr>
          <w:color w:val="000000"/>
        </w:rPr>
        <w:t xml:space="preserve"> </w:t>
      </w:r>
      <w:r w:rsidR="00E04B95" w:rsidRPr="00BF04B4">
        <w:rPr>
          <w:i/>
          <w:iCs/>
          <w:color w:val="000000"/>
        </w:rPr>
        <w:t>See, e.g.</w:t>
      </w:r>
      <w:r w:rsidR="00E04B95" w:rsidRPr="00BF04B4">
        <w:rPr>
          <w:iCs/>
          <w:color w:val="000000"/>
        </w:rPr>
        <w:t>,</w:t>
      </w:r>
      <w:r w:rsidR="00E04B95" w:rsidRPr="00BF04B4">
        <w:rPr>
          <w:color w:val="000000"/>
        </w:rPr>
        <w:t xml:space="preserve"> initial disclosures, 12 CFR 1005.7, 15 U.S.C. 1693c(a), 1005.18(c)(1); change in terms, 12 CFR 1005.8, 15 U.S.C. 1693c(b); receipts at electronic terminals, 12 CFR 1005.9(a), 15 U.S.C. 1693d(a); periodic statements, 12 CFR 1005.9(b), 15 U.S.C. 1693c; certain preauthorized transfer requirements 12 CFR 1005.10, 15 U.S.C. 1693e; certain error resolution requirements, 12 CFR 1005.11, 15 U.S.C. 1693f; and disclosures for remittance transfers, 12 CFR 1005.31, 15 U.S.C. 1693o-1.  </w:t>
      </w:r>
      <w:r w:rsidRPr="00BF04B4">
        <w:rPr>
          <w:color w:val="000000"/>
        </w:rPr>
        <w:t xml:space="preserve">The </w:t>
      </w:r>
      <w:r w:rsidR="00732A75" w:rsidRPr="00BF04B4">
        <w:rPr>
          <w:color w:val="000000"/>
        </w:rPr>
        <w:t xml:space="preserve">CFPB </w:t>
      </w:r>
      <w:r w:rsidRPr="00BF04B4">
        <w:rPr>
          <w:color w:val="000000"/>
        </w:rPr>
        <w:t xml:space="preserve">has issued model forms and clauses that can be used to comply with </w:t>
      </w:r>
      <w:r w:rsidR="00132590" w:rsidRPr="00BF04B4">
        <w:rPr>
          <w:color w:val="000000"/>
        </w:rPr>
        <w:t xml:space="preserve">some of </w:t>
      </w:r>
      <w:r w:rsidRPr="00BF04B4">
        <w:rPr>
          <w:color w:val="000000"/>
        </w:rPr>
        <w:t xml:space="preserve">the written disclosure requirements of the EFTA and Regulation E.  </w:t>
      </w:r>
      <w:r w:rsidRPr="00BF04B4">
        <w:rPr>
          <w:i/>
          <w:iCs/>
          <w:color w:val="000000"/>
        </w:rPr>
        <w:t>See</w:t>
      </w:r>
      <w:r w:rsidRPr="00BF04B4">
        <w:rPr>
          <w:color w:val="000000"/>
        </w:rPr>
        <w:t xml:space="preserve"> Appendix A to Regulation E.  Correct use of these model forms and clauses protects entities from liability for the respective requirements under the EFTA and Regulation E</w:t>
      </w:r>
      <w:r w:rsidR="00AE6F7F" w:rsidRPr="00BF04B4">
        <w:rPr>
          <w:color w:val="000000"/>
        </w:rPr>
        <w:t>, provided that the usage accurately reflect</w:t>
      </w:r>
      <w:r w:rsidR="008021CD" w:rsidRPr="00BF04B4">
        <w:rPr>
          <w:color w:val="000000"/>
        </w:rPr>
        <w:t>s</w:t>
      </w:r>
      <w:r w:rsidR="00AE6F7F" w:rsidRPr="00BF04B4">
        <w:rPr>
          <w:color w:val="000000"/>
        </w:rPr>
        <w:t>, as applicable, an entity’s EFT services and/or remittance transfer services</w:t>
      </w:r>
      <w:r w:rsidRPr="00BF04B4">
        <w:rPr>
          <w:color w:val="000000"/>
        </w:rPr>
        <w:t xml:space="preserve">.  </w:t>
      </w:r>
      <w:r w:rsidRPr="00BF04B4">
        <w:rPr>
          <w:i/>
          <w:iCs/>
          <w:color w:val="000000"/>
        </w:rPr>
        <w:t xml:space="preserve">Id. </w:t>
      </w:r>
      <w:r w:rsidR="00D27A0A" w:rsidRPr="00BF04B4">
        <w:rPr>
          <w:i/>
          <w:iCs/>
          <w:color w:val="000000"/>
        </w:rPr>
        <w:t xml:space="preserve"> </w:t>
      </w:r>
    </w:p>
    <w:p w14:paraId="52831C3F" w14:textId="77777777" w:rsidR="00446DD5" w:rsidRPr="00BF04B4" w:rsidRDefault="00446DD5" w:rsidP="00BF04B4">
      <w:pPr>
        <w:pStyle w:val="CM4"/>
        <w:spacing w:after="240" w:line="240" w:lineRule="auto"/>
        <w:ind w:firstLine="720"/>
        <w:rPr>
          <w:iCs/>
          <w:color w:val="000000"/>
        </w:rPr>
      </w:pPr>
      <w:r w:rsidRPr="00BF04B4">
        <w:rPr>
          <w:iCs/>
          <w:color w:val="000000"/>
        </w:rPr>
        <w:t>2016 Final Rule on Prepaid Accounts</w:t>
      </w:r>
    </w:p>
    <w:p w14:paraId="58F24B4A" w14:textId="5A0A5A21" w:rsidR="00EA01F3" w:rsidRDefault="00EA01F3" w:rsidP="00111BE8">
      <w:pPr>
        <w:pStyle w:val="CM4"/>
        <w:spacing w:after="240" w:line="240" w:lineRule="auto"/>
        <w:ind w:firstLine="720"/>
      </w:pPr>
      <w:r w:rsidRPr="00BF04B4">
        <w:rPr>
          <w:color w:val="000000"/>
        </w:rPr>
        <w:t xml:space="preserve">On </w:t>
      </w:r>
      <w:r w:rsidR="00E809C9">
        <w:t>November 22</w:t>
      </w:r>
      <w:r w:rsidR="00E809C9" w:rsidRPr="009D1CA5">
        <w:t>, 2016</w:t>
      </w:r>
      <w:r w:rsidRPr="00BF04B4">
        <w:rPr>
          <w:color w:val="000000"/>
        </w:rPr>
        <w:t>, the Bureau released a final rule that amends Regulations E and Z and the official interpretations to the regulations to provide protections for consumers who use prepaid accounts (the Prepaid Account Final Rule or final rule).</w:t>
      </w:r>
      <w:r w:rsidR="008963F0">
        <w:rPr>
          <w:rStyle w:val="FootnoteReference"/>
          <w:color w:val="000000"/>
        </w:rPr>
        <w:footnoteReference w:id="2"/>
      </w:r>
      <w:r w:rsidRPr="00BF04B4">
        <w:rPr>
          <w:color w:val="000000"/>
        </w:rPr>
        <w:t xml:space="preserve"> </w:t>
      </w:r>
      <w:r>
        <w:rPr>
          <w:color w:val="000000"/>
        </w:rPr>
        <w:t>The rule adds the term prepaid account to Regulation E and</w:t>
      </w:r>
      <w:r w:rsidRPr="00BF04B4">
        <w:rPr>
          <w:color w:val="000000"/>
        </w:rPr>
        <w:t xml:space="preserve"> </w:t>
      </w:r>
      <w:r>
        <w:rPr>
          <w:color w:val="000000"/>
        </w:rPr>
        <w:t xml:space="preserve">generally </w:t>
      </w:r>
      <w:r w:rsidRPr="00BF04B4">
        <w:rPr>
          <w:color w:val="000000"/>
        </w:rPr>
        <w:t xml:space="preserve">applies existing Regulation E protections to </w:t>
      </w:r>
      <w:r>
        <w:rPr>
          <w:color w:val="000000"/>
        </w:rPr>
        <w:t>prepaid</w:t>
      </w:r>
      <w:r w:rsidRPr="00BF04B4">
        <w:rPr>
          <w:color w:val="000000"/>
        </w:rPr>
        <w:t xml:space="preserve"> accounts</w:t>
      </w:r>
      <w:r>
        <w:rPr>
          <w:color w:val="000000"/>
        </w:rPr>
        <w:t xml:space="preserve"> and also adopts certain tailored provisions for such accounts</w:t>
      </w:r>
      <w:r w:rsidRPr="00BF04B4">
        <w:rPr>
          <w:color w:val="000000"/>
        </w:rPr>
        <w:t xml:space="preserve">. </w:t>
      </w:r>
      <w:r w:rsidRPr="00EA01F3">
        <w:t xml:space="preserve"> </w:t>
      </w:r>
      <w:r>
        <w:t>Prepaid accounts</w:t>
      </w:r>
      <w:r w:rsidRPr="009D1CA5">
        <w:t xml:space="preserve"> </w:t>
      </w:r>
      <w:r>
        <w:t>include</w:t>
      </w:r>
      <w:r w:rsidRPr="009D1CA5">
        <w:t xml:space="preserve"> payroll card accounts and government benefit accounts.  It also includes accounts that are marketed or labeled as “prepaid” and that are redeemable upon presentation at multiple, unaffiliated merchants for goods or services or usable at automated teller machines; and other accounts that are (1) issued on a prepaid basis in a specified amount or not issued on a prepaid basis but capable of being loaded with funds thereafter; and (2) whose primary function is to conduct transactions with multiple, unaffiliated merchants for goods or services, or at automated teller machines, or to conduct person-to-person transfers.  The definition excludes checking accounts, share draft accounts, and negotiable order of withdrawal accounts.</w:t>
      </w:r>
      <w:r>
        <w:t xml:space="preserve">  </w:t>
      </w:r>
    </w:p>
    <w:p w14:paraId="61B2870D" w14:textId="3CB46FA4" w:rsidR="00D315D8" w:rsidRDefault="00CA72AE" w:rsidP="00111BE8">
      <w:pPr>
        <w:pStyle w:val="CM4"/>
        <w:spacing w:after="240" w:line="240" w:lineRule="auto"/>
        <w:ind w:firstLine="720"/>
        <w:rPr>
          <w:color w:val="000000"/>
        </w:rPr>
      </w:pPr>
      <w:r w:rsidRPr="00BF04B4">
        <w:rPr>
          <w:iCs/>
          <w:color w:val="000000"/>
        </w:rPr>
        <w:t xml:space="preserve">The Bureau </w:t>
      </w:r>
      <w:r w:rsidR="00D27A0A" w:rsidRPr="00BF04B4">
        <w:rPr>
          <w:iCs/>
          <w:color w:val="000000"/>
        </w:rPr>
        <w:t xml:space="preserve">adopted </w:t>
      </w:r>
      <w:r w:rsidRPr="00BF04B4">
        <w:rPr>
          <w:iCs/>
          <w:color w:val="000000"/>
        </w:rPr>
        <w:t xml:space="preserve">additional </w:t>
      </w:r>
      <w:r w:rsidR="00D27A0A" w:rsidRPr="00BF04B4">
        <w:rPr>
          <w:iCs/>
          <w:color w:val="000000"/>
        </w:rPr>
        <w:t xml:space="preserve">disclosure </w:t>
      </w:r>
      <w:r w:rsidRPr="00BF04B4">
        <w:rPr>
          <w:iCs/>
          <w:color w:val="000000"/>
        </w:rPr>
        <w:t>requirements for prepaid accounts</w:t>
      </w:r>
      <w:r w:rsidR="00A108EB" w:rsidRPr="00BF04B4">
        <w:rPr>
          <w:iCs/>
          <w:color w:val="000000"/>
        </w:rPr>
        <w:t xml:space="preserve"> pursuant to its authority under the EFTA and the Dodd-Frank Act</w:t>
      </w:r>
      <w:r w:rsidR="00D27A0A" w:rsidRPr="00BF04B4">
        <w:rPr>
          <w:iCs/>
          <w:color w:val="000000"/>
        </w:rPr>
        <w:t xml:space="preserve"> in the Prepaid Account Final Rule</w:t>
      </w:r>
      <w:r w:rsidRPr="00BF04B4">
        <w:rPr>
          <w:iCs/>
          <w:color w:val="000000"/>
        </w:rPr>
        <w:t xml:space="preserve">.  </w:t>
      </w:r>
      <w:r w:rsidR="00A108EB" w:rsidRPr="00BF04B4">
        <w:rPr>
          <w:i/>
          <w:iCs/>
          <w:color w:val="000000"/>
        </w:rPr>
        <w:t xml:space="preserve">See </w:t>
      </w:r>
      <w:r w:rsidR="00446DD5" w:rsidRPr="00BF04B4">
        <w:rPr>
          <w:iCs/>
          <w:color w:val="000000"/>
        </w:rPr>
        <w:t xml:space="preserve">new </w:t>
      </w:r>
      <w:r w:rsidR="00E31871" w:rsidRPr="00BF04B4">
        <w:rPr>
          <w:iCs/>
          <w:color w:val="000000"/>
        </w:rPr>
        <w:t>§</w:t>
      </w:r>
      <w:r w:rsidR="00446DD5" w:rsidRPr="00BF04B4">
        <w:rPr>
          <w:iCs/>
          <w:color w:val="000000"/>
        </w:rPr>
        <w:t>§ </w:t>
      </w:r>
      <w:r w:rsidR="00A108EB" w:rsidRPr="00BF04B4">
        <w:rPr>
          <w:iCs/>
          <w:color w:val="000000"/>
        </w:rPr>
        <w:t xml:space="preserve">1005.15(c) and </w:t>
      </w:r>
      <w:r w:rsidRPr="00BF04B4">
        <w:rPr>
          <w:iCs/>
          <w:color w:val="000000"/>
        </w:rPr>
        <w:t>1005.18(b).</w:t>
      </w:r>
      <w:r w:rsidR="00544D13" w:rsidRPr="00BF04B4">
        <w:rPr>
          <w:iCs/>
          <w:color w:val="000000"/>
        </w:rPr>
        <w:t xml:space="preserve">  </w:t>
      </w:r>
      <w:r w:rsidR="000018A9" w:rsidRPr="00BF04B4">
        <w:t>The Prepaid Account Final Rule adopt</w:t>
      </w:r>
      <w:r w:rsidR="000018A9">
        <w:t>s</w:t>
      </w:r>
      <w:r w:rsidR="000018A9" w:rsidRPr="00BF04B4">
        <w:t xml:space="preserve"> requirements that expand the account opening requirements in </w:t>
      </w:r>
      <w:r w:rsidR="000018A9" w:rsidRPr="00BF04B4">
        <w:rPr>
          <w:color w:val="000000"/>
        </w:rPr>
        <w:t xml:space="preserve">12 CFR 1005.7(b)(5) as applied to prepaid accounts to require the disclosure of all fees </w:t>
      </w:r>
      <w:r w:rsidR="000018A9">
        <w:rPr>
          <w:color w:val="000000"/>
        </w:rPr>
        <w:t>that may be imposed in connection with</w:t>
      </w:r>
      <w:r w:rsidR="000018A9" w:rsidRPr="00BF04B4">
        <w:rPr>
          <w:color w:val="000000"/>
        </w:rPr>
        <w:t xml:space="preserve"> the prepaid account, not just fees for EFTs</w:t>
      </w:r>
      <w:r w:rsidR="000018A9">
        <w:rPr>
          <w:color w:val="000000"/>
        </w:rPr>
        <w:t xml:space="preserve"> or the right to make transfers</w:t>
      </w:r>
      <w:r w:rsidR="000018A9" w:rsidRPr="00BF04B4">
        <w:rPr>
          <w:color w:val="000000"/>
        </w:rPr>
        <w:t xml:space="preserve">. </w:t>
      </w:r>
      <w:r w:rsidR="000018A9" w:rsidRPr="00BF04B4">
        <w:t xml:space="preserve"> </w:t>
      </w:r>
      <w:r w:rsidR="004A7E14" w:rsidRPr="00BF04B4">
        <w:rPr>
          <w:iCs/>
          <w:color w:val="000000"/>
        </w:rPr>
        <w:t xml:space="preserve">Further, the final rule contains new requirements that provide, </w:t>
      </w:r>
      <w:r w:rsidR="004A7E14" w:rsidRPr="00BF04B4">
        <w:t>a</w:t>
      </w:r>
      <w:r w:rsidR="00D27A0A" w:rsidRPr="00BF04B4">
        <w:t xml:space="preserve">mong other things, that financial institutions must </w:t>
      </w:r>
      <w:r w:rsidR="00181C5E" w:rsidRPr="00BF04B4">
        <w:t xml:space="preserve">make </w:t>
      </w:r>
      <w:r w:rsidR="000018A9">
        <w:t xml:space="preserve">certain disclosures </w:t>
      </w:r>
      <w:r w:rsidR="00181C5E" w:rsidRPr="00BF04B4">
        <w:t xml:space="preserve">available to consumers before a consumer agrees to acquire a prepaid account.  </w:t>
      </w:r>
      <w:r w:rsidR="00D27A0A" w:rsidRPr="00BF04B4">
        <w:t>The Prepaid Account Final Rule also adopt</w:t>
      </w:r>
      <w:r w:rsidR="00E31871">
        <w:t>s</w:t>
      </w:r>
      <w:r w:rsidR="00D27A0A" w:rsidRPr="00BF04B4">
        <w:t xml:space="preserve"> </w:t>
      </w:r>
      <w:r w:rsidR="00446DD5" w:rsidRPr="00BF04B4">
        <w:t>new § </w:t>
      </w:r>
      <w:r w:rsidR="00181C5E" w:rsidRPr="00BF04B4">
        <w:t xml:space="preserve">1005.19 </w:t>
      </w:r>
      <w:r w:rsidR="00D27A0A" w:rsidRPr="00BF04B4">
        <w:t xml:space="preserve">to require </w:t>
      </w:r>
      <w:r w:rsidR="00181C5E" w:rsidRPr="00BF04B4">
        <w:t>prepaid</w:t>
      </w:r>
      <w:r w:rsidR="00D27A0A" w:rsidRPr="00BF04B4">
        <w:t xml:space="preserve"> account</w:t>
      </w:r>
      <w:r w:rsidR="00181C5E" w:rsidRPr="00BF04B4">
        <w:t xml:space="preserve"> issuers to post agreements for prepaid accounts on their websites and to submit the agreements to the Bureau.  </w:t>
      </w:r>
      <w:r w:rsidR="000018A9" w:rsidRPr="00BF04B4">
        <w:rPr>
          <w:color w:val="000000"/>
        </w:rPr>
        <w:t xml:space="preserve">The Bureau’s final rule </w:t>
      </w:r>
      <w:r w:rsidR="00B40FC5">
        <w:rPr>
          <w:color w:val="000000"/>
        </w:rPr>
        <w:t>provides an</w:t>
      </w:r>
      <w:r w:rsidR="000018A9" w:rsidRPr="00BF04B4">
        <w:rPr>
          <w:color w:val="000000"/>
        </w:rPr>
        <w:t xml:space="preserve"> alternative method of compliance </w:t>
      </w:r>
      <w:r w:rsidR="00B40FC5">
        <w:rPr>
          <w:color w:val="000000"/>
        </w:rPr>
        <w:t xml:space="preserve">to the periodic statement requirement of Regulation E.  </w:t>
      </w:r>
      <w:r w:rsidR="00B40FC5" w:rsidRPr="00B40FC5">
        <w:rPr>
          <w:i/>
          <w:color w:val="000000"/>
        </w:rPr>
        <w:t>See</w:t>
      </w:r>
      <w:r w:rsidR="00B40FC5">
        <w:rPr>
          <w:color w:val="000000"/>
        </w:rPr>
        <w:t xml:space="preserve"> § 1005.18(c)(1).</w:t>
      </w:r>
    </w:p>
    <w:p w14:paraId="712BAC09" w14:textId="6CA9A7FC" w:rsidR="004331A6" w:rsidRDefault="004331A6" w:rsidP="004331A6">
      <w:pPr>
        <w:pStyle w:val="Default"/>
      </w:pPr>
      <w:r>
        <w:tab/>
        <w:t>2017 Effective Date Delay</w:t>
      </w:r>
    </w:p>
    <w:p w14:paraId="439E6682" w14:textId="310743A4" w:rsidR="004331A6" w:rsidRDefault="004331A6" w:rsidP="004331A6">
      <w:pPr>
        <w:pStyle w:val="Default"/>
      </w:pPr>
    </w:p>
    <w:p w14:paraId="7EBAC936" w14:textId="77E09C3D" w:rsidR="004331A6" w:rsidRDefault="004331A6" w:rsidP="004331A6">
      <w:pPr>
        <w:pStyle w:val="Default"/>
      </w:pPr>
      <w:r>
        <w:tab/>
        <w:t>On April 25, 2017</w:t>
      </w:r>
      <w:r w:rsidR="00871C85">
        <w:t>, the Bureau published a final rule extending the effective date of most of the provisions of the Prepaid Account Final Rule by six months, to April 1, 2018</w:t>
      </w:r>
      <w:r w:rsidR="00D957AF">
        <w:t xml:space="preserve"> (</w:t>
      </w:r>
      <w:r w:rsidR="00D957AF" w:rsidRPr="00C1013E">
        <w:t>82 FR 18975)</w:t>
      </w:r>
      <w:r w:rsidR="00D957AF">
        <w:t xml:space="preserve"> </w:t>
      </w:r>
      <w:r w:rsidR="00A6319D">
        <w:t>(Prepaid Effective Date Final Rule)</w:t>
      </w:r>
      <w:r w:rsidR="001D0D07">
        <w:t>.</w:t>
      </w:r>
    </w:p>
    <w:p w14:paraId="677EB69B" w14:textId="7AF21A25" w:rsidR="00871C85" w:rsidRDefault="00871C85" w:rsidP="004331A6">
      <w:pPr>
        <w:pStyle w:val="Default"/>
      </w:pPr>
    </w:p>
    <w:p w14:paraId="34E20523" w14:textId="053BA9E6" w:rsidR="00871C85" w:rsidRDefault="00871C85" w:rsidP="004331A6">
      <w:pPr>
        <w:pStyle w:val="Default"/>
      </w:pPr>
      <w:r>
        <w:tab/>
        <w:t>2018 Prepaid Account Final Rule Amendments</w:t>
      </w:r>
    </w:p>
    <w:p w14:paraId="5CF18CBB" w14:textId="231E4EA9" w:rsidR="00871C85" w:rsidRDefault="00871C85" w:rsidP="004331A6">
      <w:pPr>
        <w:pStyle w:val="Default"/>
      </w:pPr>
    </w:p>
    <w:p w14:paraId="46D0BDA9" w14:textId="0669938E" w:rsidR="00F01FCD" w:rsidRDefault="00871C85" w:rsidP="004331A6">
      <w:pPr>
        <w:pStyle w:val="Default"/>
      </w:pPr>
      <w:r>
        <w:tab/>
        <w:t>On February 13, 2018, the Bureau published a final rule amending various aspects of the Prepaid Account Final Rule, and extending the effective date of the entire rule to April 1, 2019</w:t>
      </w:r>
      <w:r w:rsidR="00A27828">
        <w:t xml:space="preserve"> </w:t>
      </w:r>
      <w:r w:rsidR="00D957AF">
        <w:t>(</w:t>
      </w:r>
      <w:r w:rsidR="00D957AF" w:rsidRPr="00F502E0">
        <w:t>83 FR 6364)</w:t>
      </w:r>
      <w:r w:rsidR="00D957AF">
        <w:t xml:space="preserve"> </w:t>
      </w:r>
      <w:r w:rsidR="00A27828">
        <w:t>(Prepaid Amendments Final Rule)</w:t>
      </w:r>
      <w:r>
        <w:t>.</w:t>
      </w:r>
      <w:r w:rsidR="00A27828">
        <w:t xml:space="preserve"> </w:t>
      </w:r>
    </w:p>
    <w:p w14:paraId="6D1C2393" w14:textId="77777777" w:rsidR="00F01FCD" w:rsidRDefault="00F01FCD" w:rsidP="004331A6">
      <w:pPr>
        <w:pStyle w:val="Default"/>
      </w:pPr>
    </w:p>
    <w:p w14:paraId="5CBC7692" w14:textId="0273488B" w:rsidR="00871C85" w:rsidRDefault="00A27828" w:rsidP="00F01FCD">
      <w:pPr>
        <w:pStyle w:val="Default"/>
        <w:ind w:firstLine="720"/>
      </w:pPr>
      <w:r w:rsidRPr="00161A6D">
        <w:t xml:space="preserve">In the course of the Bureau’s </w:t>
      </w:r>
      <w:r w:rsidR="00D957AF">
        <w:t>standard</w:t>
      </w:r>
      <w:r w:rsidR="00D957AF" w:rsidRPr="00161A6D">
        <w:t xml:space="preserve"> </w:t>
      </w:r>
      <w:r w:rsidRPr="00161A6D">
        <w:t xml:space="preserve">work to help industry implement the </w:t>
      </w:r>
      <w:r>
        <w:t>Prepaid Account Final Rule</w:t>
      </w:r>
      <w:r w:rsidRPr="00AB3473">
        <w:t>, some industry participants raised concerns about what they described as unanticipated complexities arising from the interaction of certain aspects of the rule with certain business models and practices, including those newly adopted, that industry participants did not fully address in their comment</w:t>
      </w:r>
      <w:r w:rsidR="00B517DA">
        <w:t xml:space="preserve"> letters on the </w:t>
      </w:r>
      <w:r w:rsidR="00F52015">
        <w:t>Bureau’s notice of proposed rulemaking in 2014 governing prepaid accounts (</w:t>
      </w:r>
      <w:r w:rsidR="00F52015" w:rsidRPr="005F577B">
        <w:t>79 FR 77101</w:t>
      </w:r>
      <w:r w:rsidR="00F52015">
        <w:t xml:space="preserve">, Dec. 23, 2014). </w:t>
      </w:r>
      <w:r w:rsidRPr="00AB3473">
        <w:t>They indicated that these issues could complicate implementation and affect consumers</w:t>
      </w:r>
      <w:r w:rsidR="00B517DA">
        <w:t xml:space="preserve">. </w:t>
      </w:r>
      <w:r w:rsidR="00F52015" w:rsidRPr="00F52015">
        <w:t xml:space="preserve"> </w:t>
      </w:r>
      <w:r w:rsidR="00F52015">
        <w:t xml:space="preserve">Because industry participants had not raised these concerns prior to the finalization of the Prepaid Accounts Final Rule, the </w:t>
      </w:r>
      <w:r>
        <w:t>Prepaid Amendments Final Rule was proposed and finalized largely in response to those concerns.</w:t>
      </w:r>
    </w:p>
    <w:p w14:paraId="1DB4729F" w14:textId="122D9C78" w:rsidR="00A27828" w:rsidRDefault="00A27828" w:rsidP="004331A6">
      <w:pPr>
        <w:pStyle w:val="Default"/>
      </w:pPr>
    </w:p>
    <w:p w14:paraId="7AD86E9F" w14:textId="0540B3D8" w:rsidR="00A27828" w:rsidRDefault="00A27828" w:rsidP="004331A6">
      <w:pPr>
        <w:pStyle w:val="Default"/>
      </w:pPr>
      <w:r>
        <w:tab/>
      </w:r>
      <w:r w:rsidR="00A6319D">
        <w:t xml:space="preserve">The Prepaid Amendments Final Rule amended the Prepaid Account Final Rule </w:t>
      </w:r>
      <w:r w:rsidR="00A6319D" w:rsidRPr="00AB3473">
        <w:t xml:space="preserve">to provide that Regulation E’s error resolution and limited liability requirements do not extend to prepaid accounts that have not successfully completed the financial institution’s consumer identification and verification process (i.e., accounts that have not concluded the process, accounts where the process is concluded but the consumer’s identity could not be verified, and accounts in programs for which there is no such process).  </w:t>
      </w:r>
      <w:r w:rsidR="00A6319D">
        <w:t>F</w:t>
      </w:r>
      <w:r w:rsidR="00A6319D" w:rsidRPr="00AB3473">
        <w:t xml:space="preserve">or accounts where the consumer’s identity is later verified, financial institutions </w:t>
      </w:r>
      <w:r w:rsidR="00A6319D">
        <w:t>are not</w:t>
      </w:r>
      <w:r w:rsidR="00A6319D" w:rsidRPr="00AB3473">
        <w:t xml:space="preserve"> required to resolve errors and limit liability with regard to disputed transactions that occurred prior to verification.</w:t>
      </w:r>
      <w:r w:rsidR="00A6319D">
        <w:t xml:space="preserve"> The Bureau also made related changes to model disclosure language.</w:t>
      </w:r>
    </w:p>
    <w:p w14:paraId="727CAECD" w14:textId="0C3864F9" w:rsidR="00A6319D" w:rsidRDefault="00A6319D" w:rsidP="004331A6">
      <w:pPr>
        <w:pStyle w:val="Default"/>
      </w:pPr>
    </w:p>
    <w:p w14:paraId="5BA15006" w14:textId="73EAE6B1" w:rsidR="003A5307" w:rsidRDefault="00A6319D" w:rsidP="004331A6">
      <w:pPr>
        <w:pStyle w:val="Default"/>
      </w:pPr>
      <w:r>
        <w:tab/>
        <w:t xml:space="preserve">In addition, the Bureau made clarifications or minor adjustments to a number of provisions in the rule, in response to feedback received from stakeholders. </w:t>
      </w:r>
      <w:r w:rsidRPr="00B90386">
        <w:t>These clarifications and adjustments cover an exclusion from the definition of prepaid account, several aspects of the rule’s pre-acquisition disclosure requirements, and submission of prepaid account agreements</w:t>
      </w:r>
      <w:r w:rsidR="00EC47CB">
        <w:t xml:space="preserve"> to the Bureau</w:t>
      </w:r>
      <w:r w:rsidRPr="00B90386">
        <w:t xml:space="preserve">.  </w:t>
      </w:r>
    </w:p>
    <w:p w14:paraId="364F1E71" w14:textId="77777777" w:rsidR="003A5307" w:rsidRDefault="003A5307" w:rsidP="004331A6">
      <w:pPr>
        <w:pStyle w:val="Default"/>
      </w:pPr>
    </w:p>
    <w:p w14:paraId="78165A96" w14:textId="132D3570" w:rsidR="00F52015" w:rsidRDefault="00F52015" w:rsidP="00F52015">
      <w:pPr>
        <w:pStyle w:val="Default"/>
        <w:ind w:firstLine="720"/>
      </w:pPr>
      <w:r>
        <w:t xml:space="preserve">While the Prepaid Amendments Final Rule modified certain requirements in the Prepaid Account Final Rule, including with respect to disclosures and other information collections, the Bureau concluded that those modifications do not result in material changes to the information collections or burden estimates discussed in this supporting statement. </w:t>
      </w:r>
    </w:p>
    <w:p w14:paraId="3B79AC28" w14:textId="25851B59" w:rsidR="00A6319D" w:rsidRDefault="00A6319D" w:rsidP="004331A6">
      <w:pPr>
        <w:pStyle w:val="Default"/>
      </w:pPr>
    </w:p>
    <w:p w14:paraId="2C2F4D88" w14:textId="07050360" w:rsidR="00A6319D" w:rsidRDefault="00A6319D" w:rsidP="004331A6">
      <w:pPr>
        <w:pStyle w:val="Default"/>
      </w:pPr>
      <w:r>
        <w:tab/>
        <w:t>Prepaid Account Agreement Technical Specifications</w:t>
      </w:r>
    </w:p>
    <w:p w14:paraId="665F255F" w14:textId="6BEB46BA" w:rsidR="00A6319D" w:rsidRDefault="00A6319D" w:rsidP="004331A6">
      <w:pPr>
        <w:pStyle w:val="Default"/>
      </w:pPr>
    </w:p>
    <w:p w14:paraId="4A946973" w14:textId="147BC7F1" w:rsidR="00F52015" w:rsidRPr="00A6319D" w:rsidRDefault="00A6319D" w:rsidP="00F52015">
      <w:pPr>
        <w:pStyle w:val="Default"/>
      </w:pPr>
      <w:r>
        <w:tab/>
      </w:r>
      <w:r w:rsidR="00F52015">
        <w:t xml:space="preserve">On March 6, 2019, the Bureau published a notice in the </w:t>
      </w:r>
      <w:r w:rsidR="00F52015">
        <w:rPr>
          <w:i/>
        </w:rPr>
        <w:t>Federal Register</w:t>
      </w:r>
      <w:r w:rsidR="00F52015">
        <w:t xml:space="preserve"> containing technical specifications pertaining to the requirement in </w:t>
      </w:r>
      <w:r w:rsidR="00F52015" w:rsidRPr="00BF04B4">
        <w:t>§ 1005.19</w:t>
      </w:r>
      <w:r w:rsidR="00F52015">
        <w:t xml:space="preserve"> that prepaid account issuers submit their prepaid account agreements to the Bureau (</w:t>
      </w:r>
      <w:r w:rsidR="00F52015" w:rsidRPr="001D0D07">
        <w:t>84 FR 7979</w:t>
      </w:r>
      <w:r w:rsidR="00F52015">
        <w:t>)</w:t>
      </w:r>
      <w:r w:rsidR="00F52015" w:rsidRPr="001D0D07">
        <w:t xml:space="preserve"> </w:t>
      </w:r>
      <w:r w:rsidR="00F52015">
        <w:t>(Technical Specifications). The Technical Specifications provide additional details regarding requirements contained in the Prepaid Account Final Rule, including the URL for the website at which issuers (or their designees) submit their prepaid account agreements, information regarding file formats, and the location of compliance resources to help issuers submit their agreements. The Technical Specifications do not add or modify any information collections.</w:t>
      </w:r>
    </w:p>
    <w:p w14:paraId="3C053665" w14:textId="14E3D762" w:rsidR="00A6319D" w:rsidRPr="00A6319D" w:rsidRDefault="00A6319D" w:rsidP="0045110B">
      <w:pPr>
        <w:pStyle w:val="Default"/>
      </w:pPr>
    </w:p>
    <w:p w14:paraId="53793117" w14:textId="77777777" w:rsidR="004331A6" w:rsidRPr="004331A6" w:rsidRDefault="004331A6" w:rsidP="004331A6">
      <w:pPr>
        <w:pStyle w:val="Default"/>
      </w:pPr>
    </w:p>
    <w:p w14:paraId="69101D44" w14:textId="77777777" w:rsidR="000F70F5" w:rsidRPr="00BF04B4" w:rsidRDefault="000F70F5" w:rsidP="00F52015">
      <w:pPr>
        <w:pStyle w:val="CM4"/>
        <w:keepNext/>
        <w:spacing w:after="240" w:line="240" w:lineRule="auto"/>
        <w:ind w:firstLine="720"/>
        <w:rPr>
          <w:b/>
          <w:bCs/>
          <w:u w:val="single"/>
        </w:rPr>
      </w:pPr>
      <w:r w:rsidRPr="00BF04B4">
        <w:rPr>
          <w:b/>
          <w:bCs/>
        </w:rPr>
        <w:t xml:space="preserve">2. </w:t>
      </w:r>
      <w:r w:rsidRPr="00BF04B4">
        <w:rPr>
          <w:b/>
          <w:bCs/>
          <w:u w:val="single"/>
        </w:rPr>
        <w:t>Use of the Information</w:t>
      </w:r>
    </w:p>
    <w:p w14:paraId="67F1804A" w14:textId="77777777" w:rsidR="00BF505C" w:rsidRPr="00BF04B4" w:rsidRDefault="00732A75" w:rsidP="00BF04B4">
      <w:pPr>
        <w:pStyle w:val="CM10"/>
        <w:spacing w:after="240"/>
        <w:ind w:right="-18" w:firstLine="720"/>
      </w:pPr>
      <w:r w:rsidRPr="00BF04B4">
        <w:t xml:space="preserve">Federal agencies </w:t>
      </w:r>
      <w:r w:rsidR="00BF505C" w:rsidRPr="00BF04B4">
        <w:t>and private litigants use the records to ascertain whether accurate and complete disclosures of EFT services</w:t>
      </w:r>
      <w:r w:rsidR="004D16DE" w:rsidRPr="00BF04B4">
        <w:t xml:space="preserve"> and other services covered under Regulation E</w:t>
      </w:r>
      <w:r w:rsidR="00BF505C" w:rsidRPr="00BF04B4">
        <w:t xml:space="preserve"> </w:t>
      </w:r>
      <w:r w:rsidR="007B0849" w:rsidRPr="00BF04B4">
        <w:t xml:space="preserve">have been provided </w:t>
      </w:r>
      <w:r w:rsidR="00BF505C" w:rsidRPr="00BF04B4">
        <w:t xml:space="preserve">and other required actions (for example, error resolution and limitation of consumer liability for unauthorized transfers) have been </w:t>
      </w:r>
      <w:r w:rsidR="007B0849" w:rsidRPr="00BF04B4">
        <w:t>taken</w:t>
      </w:r>
      <w:r w:rsidR="00BF505C" w:rsidRPr="00BF04B4">
        <w:t xml:space="preserve">.  This information </w:t>
      </w:r>
      <w:r w:rsidR="0041058B" w:rsidRPr="00BF04B4">
        <w:t xml:space="preserve">will </w:t>
      </w:r>
      <w:r w:rsidR="00BF505C" w:rsidRPr="00BF04B4">
        <w:t>provide the primary evidence of law violations in EFTA enforcement actions brought by the CFPB</w:t>
      </w:r>
      <w:r w:rsidR="00004D60" w:rsidRPr="00BF04B4">
        <w:t xml:space="preserve"> and other Federal agencies</w:t>
      </w:r>
      <w:r w:rsidR="00BF505C" w:rsidRPr="00BF04B4">
        <w:t>.</w:t>
      </w:r>
      <w:r w:rsidR="00E7598C" w:rsidRPr="00BF04B4">
        <w:t xml:space="preserve"> </w:t>
      </w:r>
      <w:r w:rsidR="00BF505C" w:rsidRPr="00BF04B4">
        <w:t xml:space="preserve"> Without </w:t>
      </w:r>
      <w:r w:rsidR="00EA3F1C" w:rsidRPr="00BF04B4">
        <w:t xml:space="preserve">recordkeeping requirements of </w:t>
      </w:r>
      <w:r w:rsidR="00BF505C" w:rsidRPr="00BF04B4">
        <w:t xml:space="preserve">Regulation E, the </w:t>
      </w:r>
      <w:r w:rsidR="00004D60" w:rsidRPr="00BF04B4">
        <w:t xml:space="preserve">Federal agencies’ </w:t>
      </w:r>
      <w:r w:rsidR="00BF505C" w:rsidRPr="00BF04B4">
        <w:t>abilit</w:t>
      </w:r>
      <w:r w:rsidR="00004D60" w:rsidRPr="00BF04B4">
        <w:t>ies</w:t>
      </w:r>
      <w:r w:rsidR="00BF505C" w:rsidRPr="00BF04B4">
        <w:t xml:space="preserve"> to enforce the EFTA would be significantly impaired. Consumers rely on the disclosures required by the EFTA and Regulation E to facilitate informed EFT decision making.  Without this information, consumers would be severely hindered in their ability to assess the true costs and terms of the </w:t>
      </w:r>
      <w:r w:rsidR="00CF6F4C" w:rsidRPr="00BF04B4">
        <w:t xml:space="preserve">products </w:t>
      </w:r>
      <w:r w:rsidR="00BF505C" w:rsidRPr="00BF04B4">
        <w:t xml:space="preserve">offered.  Also, without the special error resolution and limitation of consumer liability provisions, consumers would be unable to detect and correct </w:t>
      </w:r>
      <w:r w:rsidR="007B0849" w:rsidRPr="00BF04B4">
        <w:t xml:space="preserve">unauthorized transfers and </w:t>
      </w:r>
      <w:r w:rsidR="00BF505C" w:rsidRPr="00BF04B4">
        <w:t>errors in their EFT</w:t>
      </w:r>
      <w:r w:rsidR="004D16DE" w:rsidRPr="00BF04B4">
        <w:t xml:space="preserve"> </w:t>
      </w:r>
      <w:r w:rsidR="00DC70B4" w:rsidRPr="00BF04B4">
        <w:t xml:space="preserve">and remittance transfer </w:t>
      </w:r>
      <w:r w:rsidR="00BF505C" w:rsidRPr="00BF04B4">
        <w:t xml:space="preserve">transactions. </w:t>
      </w:r>
      <w:r w:rsidR="00E7598C" w:rsidRPr="00BF04B4">
        <w:t xml:space="preserve"> </w:t>
      </w:r>
      <w:r w:rsidR="00BF505C" w:rsidRPr="00BF04B4">
        <w:t xml:space="preserve">These disclosures and provisions are </w:t>
      </w:r>
      <w:r w:rsidR="007B0849" w:rsidRPr="00BF04B4">
        <w:t xml:space="preserve">also </w:t>
      </w:r>
      <w:r w:rsidR="00BF505C" w:rsidRPr="00BF04B4">
        <w:t xml:space="preserve">necessary for the </w:t>
      </w:r>
      <w:r w:rsidR="00004D60" w:rsidRPr="00BF04B4">
        <w:t>enforcement agencies</w:t>
      </w:r>
      <w:r w:rsidR="00BF505C" w:rsidRPr="00BF04B4">
        <w:t xml:space="preserve"> to enforce the EFTA and Regulation E. </w:t>
      </w:r>
    </w:p>
    <w:p w14:paraId="36D38C12" w14:textId="77777777" w:rsidR="000F70F5" w:rsidRPr="00BF04B4" w:rsidRDefault="000F70F5" w:rsidP="00BF04B4">
      <w:pPr>
        <w:pStyle w:val="Default"/>
        <w:spacing w:after="240"/>
        <w:rPr>
          <w:b/>
          <w:bCs/>
          <w:u w:val="single"/>
        </w:rPr>
      </w:pPr>
      <w:r w:rsidRPr="00BF04B4">
        <w:rPr>
          <w:b/>
          <w:bCs/>
        </w:rPr>
        <w:t xml:space="preserve">3. </w:t>
      </w:r>
      <w:r w:rsidRPr="00BF04B4">
        <w:rPr>
          <w:b/>
          <w:bCs/>
          <w:u w:val="single"/>
        </w:rPr>
        <w:t>Use of Information Technology</w:t>
      </w:r>
    </w:p>
    <w:p w14:paraId="6D7C9D38" w14:textId="45D37AAF" w:rsidR="00BF505C" w:rsidRPr="00BF04B4" w:rsidRDefault="00C85E12" w:rsidP="00BF04B4">
      <w:pPr>
        <w:pStyle w:val="CM10"/>
        <w:spacing w:after="240"/>
        <w:ind w:firstLine="720"/>
      </w:pPr>
      <w:r w:rsidRPr="00BF04B4">
        <w:t xml:space="preserve">Regulation E provides rules </w:t>
      </w:r>
      <w:r w:rsidR="00BF505C" w:rsidRPr="00BF04B4">
        <w:t>to establish uniform standards for using electronic communication to deliver disclosures required under Regulation E, within the context of the Electronic Signatures in Global and National Commerce Act (ESIGN), 15 U.S.C. 7001</w:t>
      </w:r>
      <w:r w:rsidR="00181C5E" w:rsidRPr="00BF04B4">
        <w:t>(c)</w:t>
      </w:r>
      <w:r w:rsidR="00A24603" w:rsidRPr="00BF04B4">
        <w:t>,</w:t>
      </w:r>
      <w:r w:rsidR="00BF505C" w:rsidRPr="00BF04B4">
        <w:t xml:space="preserve"> </w:t>
      </w:r>
      <w:r w:rsidR="00BF505C" w:rsidRPr="00BF04B4">
        <w:rPr>
          <w:i/>
          <w:iCs/>
        </w:rPr>
        <w:t>et seq</w:t>
      </w:r>
      <w:r w:rsidR="00BF505C" w:rsidRPr="00BF04B4">
        <w:t xml:space="preserve">. 72 FR 63452 (Nov. 9, 2007).  These rules enable businesses to use electronic disclosures, consistent with the requirements of ESIGN, which became effective on Oct. 1, 2000.  Use of such electronic communications is also consistent with the Government Paperwork Elimination Act (GPEA), Title XVII of Pub. L. 105-277, codified at 44 U.S.C. 3504 note.  ESIGN and GPEA serve to reduce businesses’ compliance burden related to federal requirements, including Regulation E, by enabling businesses to utilize more efficient electronic media for disclosures and compliance. </w:t>
      </w:r>
      <w:r w:rsidR="00DC70B4" w:rsidRPr="00BF04B4">
        <w:t xml:space="preserve"> In certain circumstances</w:t>
      </w:r>
      <w:r w:rsidR="001D5378" w:rsidRPr="00BF04B4">
        <w:t xml:space="preserve">, including in the </w:t>
      </w:r>
      <w:r w:rsidR="00AE6F7F" w:rsidRPr="00BF04B4">
        <w:t>Prepaid Account Final Rule</w:t>
      </w:r>
      <w:r w:rsidR="00DC70B4" w:rsidRPr="00BF04B4">
        <w:t xml:space="preserve">, Regulation E </w:t>
      </w:r>
      <w:r w:rsidR="00AE6F7F" w:rsidRPr="00BF04B4">
        <w:t>permits</w:t>
      </w:r>
      <w:r w:rsidR="00A108EB" w:rsidRPr="00BF04B4">
        <w:t xml:space="preserve"> </w:t>
      </w:r>
      <w:r w:rsidR="00DC70B4" w:rsidRPr="00BF04B4">
        <w:t>electronic disclosure in situations that may not be compliant with ESIGN.</w:t>
      </w:r>
    </w:p>
    <w:p w14:paraId="60A85139" w14:textId="77777777" w:rsidR="00BF505C" w:rsidRPr="00BF04B4" w:rsidRDefault="00BF505C" w:rsidP="00BF04B4">
      <w:pPr>
        <w:pStyle w:val="CM10"/>
        <w:spacing w:after="240"/>
        <w:ind w:right="75" w:firstLine="720"/>
      </w:pPr>
      <w:r w:rsidRPr="00BF04B4">
        <w:t xml:space="preserve">Regulation E also permits entities to retain records on </w:t>
      </w:r>
      <w:r w:rsidR="00404B35" w:rsidRPr="00BF04B4">
        <w:t xml:space="preserve">any </w:t>
      </w:r>
      <w:r w:rsidRPr="00BF04B4">
        <w:t>method capable of accurately retaining and reproducing information.  Business entities need only retain evidence demonstrating that their procedures reasonably ensure the consumer</w:t>
      </w:r>
      <w:r w:rsidR="00EA3F1C" w:rsidRPr="00BF04B4">
        <w:t>’</w:t>
      </w:r>
      <w:r w:rsidRPr="00BF04B4">
        <w:t xml:space="preserve">s receipt of required disclosures and documentation; the entity need not retain records </w:t>
      </w:r>
      <w:r w:rsidR="00995089" w:rsidRPr="00BF04B4">
        <w:t xml:space="preserve">that </w:t>
      </w:r>
      <w:r w:rsidRPr="00BF04B4">
        <w:t xml:space="preserve">disclosures and documentation </w:t>
      </w:r>
      <w:r w:rsidR="00995089" w:rsidRPr="00BF04B4">
        <w:t xml:space="preserve">were </w:t>
      </w:r>
      <w:r w:rsidRPr="00BF04B4">
        <w:t xml:space="preserve">given to each consumer.  </w:t>
      </w:r>
      <w:r w:rsidR="00E7598C" w:rsidRPr="00BF04B4">
        <w:t>Comment</w:t>
      </w:r>
      <w:r w:rsidRPr="00BF04B4">
        <w:t xml:space="preserve"> 1005.13(b)-1. </w:t>
      </w:r>
    </w:p>
    <w:p w14:paraId="3440D67E" w14:textId="3C776520" w:rsidR="00BF505C" w:rsidRPr="00BF04B4" w:rsidRDefault="00BF505C" w:rsidP="00BF04B4">
      <w:pPr>
        <w:pStyle w:val="CM6"/>
        <w:spacing w:after="240" w:line="240" w:lineRule="auto"/>
        <w:ind w:right="262" w:firstLine="720"/>
      </w:pPr>
      <w:r w:rsidRPr="00BF04B4">
        <w:t xml:space="preserve">In addition, due to the nature of </w:t>
      </w:r>
      <w:r w:rsidR="00F25559">
        <w:t>EFTs</w:t>
      </w:r>
      <w:r w:rsidRPr="00BF04B4">
        <w:t>, most entities that u</w:t>
      </w:r>
      <w:r w:rsidR="001433A7" w:rsidRPr="00BF04B4">
        <w:t>se</w:t>
      </w:r>
      <w:r w:rsidRPr="00BF04B4">
        <w:t xml:space="preserve"> such transfers and are covered by the EFTA </w:t>
      </w:r>
      <w:r w:rsidR="00404B35" w:rsidRPr="00BF04B4">
        <w:t xml:space="preserve">also </w:t>
      </w:r>
      <w:r w:rsidRPr="00BF04B4">
        <w:t xml:space="preserve">use computer support and various electronic means to facilitate generation of the mandated disclosures, thereby limiting burden. </w:t>
      </w:r>
    </w:p>
    <w:p w14:paraId="3908BC95" w14:textId="77777777" w:rsidR="000F70F5" w:rsidRPr="00BF04B4" w:rsidRDefault="000F70F5" w:rsidP="00BF04B4">
      <w:pPr>
        <w:pStyle w:val="CM12"/>
        <w:spacing w:after="240"/>
        <w:rPr>
          <w:b/>
          <w:bCs/>
          <w:u w:val="single"/>
        </w:rPr>
      </w:pPr>
      <w:r w:rsidRPr="00BF04B4">
        <w:rPr>
          <w:b/>
          <w:bCs/>
        </w:rPr>
        <w:t xml:space="preserve">4. </w:t>
      </w:r>
      <w:r w:rsidRPr="00BF04B4">
        <w:rPr>
          <w:b/>
          <w:bCs/>
          <w:u w:val="single"/>
        </w:rPr>
        <w:t>Efforts to Identify Duplication</w:t>
      </w:r>
    </w:p>
    <w:p w14:paraId="2A863C5A" w14:textId="77777777" w:rsidR="00BF505C" w:rsidRPr="00BF04B4" w:rsidRDefault="00BF505C" w:rsidP="00BF04B4">
      <w:pPr>
        <w:pStyle w:val="CM10"/>
        <w:spacing w:after="240"/>
        <w:ind w:firstLine="720"/>
      </w:pPr>
      <w:r w:rsidRPr="00BF04B4">
        <w:t xml:space="preserve">The recordkeeping requirement of Regulation E preserves the information an affected entity uses in making disclosures and </w:t>
      </w:r>
      <w:r w:rsidR="007B0849" w:rsidRPr="00BF04B4">
        <w:t xml:space="preserve">taking </w:t>
      </w:r>
      <w:r w:rsidRPr="00BF04B4">
        <w:t xml:space="preserve">other required actions regarding EFT </w:t>
      </w:r>
      <w:r w:rsidR="00524430" w:rsidRPr="00BF04B4">
        <w:t xml:space="preserve">and other </w:t>
      </w:r>
      <w:r w:rsidRPr="00BF04B4">
        <w:t>services</w:t>
      </w:r>
      <w:r w:rsidR="00524430" w:rsidRPr="00BF04B4">
        <w:t xml:space="preserve"> covered under Regulation E</w:t>
      </w:r>
      <w:r w:rsidRPr="00BF04B4">
        <w:t>.  The entity is the only source of this information.  No other federal law mandates its retention</w:t>
      </w:r>
      <w:r w:rsidR="00584E4E" w:rsidRPr="00BF04B4">
        <w:t>, although some states may have similar requirements</w:t>
      </w:r>
      <w:r w:rsidRPr="00BF04B4">
        <w:t xml:space="preserve">.  </w:t>
      </w:r>
    </w:p>
    <w:p w14:paraId="7AC60370" w14:textId="272BB209" w:rsidR="00EC2D80" w:rsidRPr="00BF04B4" w:rsidRDefault="00BF505C" w:rsidP="00BF04B4">
      <w:pPr>
        <w:pStyle w:val="CM10"/>
        <w:spacing w:after="240"/>
        <w:ind w:right="-18" w:firstLine="720"/>
      </w:pPr>
      <w:r w:rsidRPr="00BF04B4">
        <w:t xml:space="preserve">Similarly, covered entities are the only source of the information contained in the disclosures required by the EFTA and Regulation E. </w:t>
      </w:r>
      <w:r w:rsidR="00E7598C" w:rsidRPr="00BF04B4">
        <w:t xml:space="preserve"> </w:t>
      </w:r>
      <w:r w:rsidRPr="00BF04B4">
        <w:t>No other federal law mandates these disclosures.</w:t>
      </w:r>
      <w:r w:rsidR="00E7598C" w:rsidRPr="00BF04B4">
        <w:t xml:space="preserve"> </w:t>
      </w:r>
      <w:r w:rsidRPr="00BF04B4">
        <w:t xml:space="preserve"> State laws do not duplicate these requirements, although some states may have other rules applicable to EFT </w:t>
      </w:r>
      <w:r w:rsidR="00524430" w:rsidRPr="00BF04B4">
        <w:t xml:space="preserve">and other </w:t>
      </w:r>
      <w:r w:rsidRPr="00BF04B4">
        <w:t>services</w:t>
      </w:r>
      <w:r w:rsidR="00524430" w:rsidRPr="00BF04B4">
        <w:t xml:space="preserve"> covered under Regulation E</w:t>
      </w:r>
      <w:r w:rsidRPr="00BF04B4">
        <w:t>.</w:t>
      </w:r>
      <w:r w:rsidR="00A108EB" w:rsidRPr="00BF04B4">
        <w:t xml:space="preserve">  There may, however, be financial institutions that are also</w:t>
      </w:r>
      <w:r w:rsidR="00710C3E">
        <w:t xml:space="preserve"> “card</w:t>
      </w:r>
      <w:r w:rsidR="00A108EB" w:rsidRPr="00BF04B4">
        <w:t xml:space="preserve"> issuers</w:t>
      </w:r>
      <w:r w:rsidR="00710C3E">
        <w:t>”</w:t>
      </w:r>
      <w:r w:rsidR="00A108EB" w:rsidRPr="00BF04B4">
        <w:t xml:space="preserve"> under Regulation Z that would be required to submit </w:t>
      </w:r>
      <w:r w:rsidR="009950CD" w:rsidRPr="00BF04B4">
        <w:t xml:space="preserve">prepaid </w:t>
      </w:r>
      <w:r w:rsidR="00A108EB" w:rsidRPr="00BF04B4">
        <w:t xml:space="preserve">account agreements to the Bureau </w:t>
      </w:r>
      <w:r w:rsidR="009950CD" w:rsidRPr="00BF04B4">
        <w:t xml:space="preserve">pursuant to </w:t>
      </w:r>
      <w:r w:rsidR="00B80B19" w:rsidRPr="00BF04B4">
        <w:t>§ </w:t>
      </w:r>
      <w:r w:rsidR="00A108EB" w:rsidRPr="00BF04B4">
        <w:t xml:space="preserve">1005.19(b) </w:t>
      </w:r>
      <w:r w:rsidR="00B80B19" w:rsidRPr="00BF04B4">
        <w:t xml:space="preserve">of the final rule </w:t>
      </w:r>
      <w:r w:rsidR="00A108EB" w:rsidRPr="00BF04B4">
        <w:t xml:space="preserve">and </w:t>
      </w:r>
      <w:r w:rsidR="00710C3E">
        <w:t xml:space="preserve">open-end </w:t>
      </w:r>
      <w:r w:rsidR="009950CD" w:rsidRPr="00BF04B4">
        <w:t xml:space="preserve">credit card account agreements </w:t>
      </w:r>
      <w:r w:rsidR="00A108EB" w:rsidRPr="00BF04B4">
        <w:t xml:space="preserve">pursuant to </w:t>
      </w:r>
      <w:r w:rsidR="00B80B19" w:rsidRPr="00BF04B4">
        <w:t>Regulation Z § </w:t>
      </w:r>
      <w:r w:rsidR="00A108EB" w:rsidRPr="00BF04B4">
        <w:t>1026.58(c).</w:t>
      </w:r>
      <w:r w:rsidR="00EC2D80" w:rsidRPr="00BF04B4">
        <w:t xml:space="preserve">  </w:t>
      </w:r>
      <w:r w:rsidR="009950CD" w:rsidRPr="00BF04B4">
        <w:t>The Bureau notes, however, that it does not believe it is likely that any agreement will constitute both a credit card agreement and a prepaid account agreement</w:t>
      </w:r>
      <w:r w:rsidR="0001450B" w:rsidRPr="00BF04B4">
        <w:t xml:space="preserve">.  As noted above, the final rule </w:t>
      </w:r>
      <w:r w:rsidR="00D315D8" w:rsidRPr="00BF04B4">
        <w:t xml:space="preserve">amends Regulations Z and E to regulate prepaid accounts with credit features.  It </w:t>
      </w:r>
      <w:r w:rsidR="00AF5A57" w:rsidRPr="00BF04B4">
        <w:t xml:space="preserve">generally requires that credit features covered under the final rule be distinct from the asset portion of the prepaid account—structured as a separate credit account or a credit sub-account to the asset account—to facilitate transparency and compliance with various Regulation Z requirements.  </w:t>
      </w:r>
      <w:r w:rsidR="0001450B" w:rsidRPr="00BF04B4">
        <w:t>Accordingly, the Bureau does not believe that an agreement will be</w:t>
      </w:r>
      <w:r w:rsidR="0001450B" w:rsidRPr="00BF04B4">
        <w:rPr>
          <w:color w:val="1F497D"/>
        </w:rPr>
        <w:t xml:space="preserve"> </w:t>
      </w:r>
      <w:r w:rsidR="009950CD" w:rsidRPr="00BF04B4">
        <w:t xml:space="preserve">required to be submitted </w:t>
      </w:r>
      <w:r w:rsidR="0001450B" w:rsidRPr="00BF04B4">
        <w:t>twice (</w:t>
      </w:r>
      <w:r w:rsidR="0001450B" w:rsidRPr="00BF04B4">
        <w:rPr>
          <w:i/>
        </w:rPr>
        <w:t>i.e.</w:t>
      </w:r>
      <w:r w:rsidR="0001450B" w:rsidRPr="00BF04B4">
        <w:t xml:space="preserve">, </w:t>
      </w:r>
      <w:r w:rsidR="009950CD" w:rsidRPr="00BF04B4">
        <w:t xml:space="preserve">under both </w:t>
      </w:r>
      <w:r w:rsidR="00710C3E">
        <w:t xml:space="preserve">Regulation E </w:t>
      </w:r>
      <w:r w:rsidR="009950CD" w:rsidRPr="00BF04B4">
        <w:t>§ 1005.19 and Regulation Z § 1026.58.</w:t>
      </w:r>
      <w:r w:rsidR="0001450B" w:rsidRPr="00BF04B4">
        <w:t>)</w:t>
      </w:r>
      <w:r w:rsidR="009950CD" w:rsidRPr="00BF04B4">
        <w:t xml:space="preserve">  </w:t>
      </w:r>
      <w:r w:rsidR="0001450B" w:rsidRPr="00BF04B4">
        <w:t xml:space="preserve">Prepaid </w:t>
      </w:r>
      <w:r w:rsidR="00710C3E">
        <w:t>account</w:t>
      </w:r>
      <w:r w:rsidR="0001450B" w:rsidRPr="00BF04B4">
        <w:t xml:space="preserve"> issuers that offer </w:t>
      </w:r>
      <w:r w:rsidR="00710C3E">
        <w:t xml:space="preserve">open-end </w:t>
      </w:r>
      <w:r w:rsidR="0001450B" w:rsidRPr="00BF04B4">
        <w:t>overdraft credit features</w:t>
      </w:r>
      <w:r w:rsidR="00710C3E">
        <w:t xml:space="preserve"> accessible by hybrid prepaid-credit cards</w:t>
      </w:r>
      <w:r w:rsidR="00D315D8" w:rsidRPr="00BF04B4">
        <w:t xml:space="preserve">, however, will </w:t>
      </w:r>
      <w:r w:rsidR="0001450B" w:rsidRPr="00BF04B4">
        <w:t xml:space="preserve">have to submit their credit card agreements under Regulation Z and the prepaid account agreements under Regulation E. </w:t>
      </w:r>
      <w:r w:rsidR="004A5E83" w:rsidRPr="00BF04B4">
        <w:t xml:space="preserve"> </w:t>
      </w:r>
    </w:p>
    <w:p w14:paraId="197EC91D" w14:textId="77777777" w:rsidR="000F70F5" w:rsidRPr="00BF04B4" w:rsidRDefault="000F70F5" w:rsidP="00BF04B4">
      <w:pPr>
        <w:pStyle w:val="CM12"/>
        <w:spacing w:after="240"/>
        <w:rPr>
          <w:b/>
          <w:bCs/>
          <w:u w:val="single"/>
        </w:rPr>
      </w:pPr>
      <w:r w:rsidRPr="00BF04B4">
        <w:rPr>
          <w:b/>
          <w:bCs/>
        </w:rPr>
        <w:t xml:space="preserve">5. </w:t>
      </w:r>
      <w:r w:rsidRPr="00BF04B4">
        <w:rPr>
          <w:b/>
          <w:bCs/>
          <w:u w:val="single"/>
        </w:rPr>
        <w:t>Efforts to Minimize Burdens on Small Entities</w:t>
      </w:r>
    </w:p>
    <w:p w14:paraId="113ECC00" w14:textId="274FD2D8" w:rsidR="00BF505C" w:rsidRPr="00BF04B4" w:rsidRDefault="0052188E" w:rsidP="00BF04B4">
      <w:pPr>
        <w:pStyle w:val="CM10"/>
        <w:spacing w:after="240"/>
        <w:ind w:right="75" w:firstLine="720"/>
      </w:pPr>
      <w:r w:rsidRPr="00BF04B4">
        <w:t>As discussed above, t</w:t>
      </w:r>
      <w:r w:rsidR="00BF505C" w:rsidRPr="00BF04B4">
        <w:t xml:space="preserve">he </w:t>
      </w:r>
      <w:r w:rsidR="00AA4417" w:rsidRPr="00BF04B4">
        <w:t xml:space="preserve">Prepaid Account Final Rule imposes </w:t>
      </w:r>
      <w:r w:rsidR="00C553CC" w:rsidRPr="00BF04B4">
        <w:t>the</w:t>
      </w:r>
      <w:r w:rsidR="00BF505C" w:rsidRPr="00BF04B4">
        <w:t xml:space="preserve"> Regulation E recordkeeping and disclosure requirements </w:t>
      </w:r>
      <w:r w:rsidRPr="00BF04B4">
        <w:t xml:space="preserve">that are mandated by EFTA, the Dodd-Frank Act, and Regulation E </w:t>
      </w:r>
      <w:r w:rsidR="00BF505C" w:rsidRPr="00BF04B4">
        <w:t xml:space="preserve">on financial institutions and entities offering EFT </w:t>
      </w:r>
      <w:r w:rsidR="00524430" w:rsidRPr="00BF04B4">
        <w:t xml:space="preserve">and other </w:t>
      </w:r>
      <w:r w:rsidR="00BF505C" w:rsidRPr="00BF04B4">
        <w:t>services</w:t>
      </w:r>
      <w:r w:rsidR="00524430" w:rsidRPr="00BF04B4">
        <w:t xml:space="preserve"> </w:t>
      </w:r>
      <w:r w:rsidR="00C553CC" w:rsidRPr="00BF04B4">
        <w:t xml:space="preserve">in connection with prepaid accounts, which, pursuant to the </w:t>
      </w:r>
      <w:r w:rsidR="00AA4417" w:rsidRPr="00BF04B4">
        <w:t>final rule</w:t>
      </w:r>
      <w:r w:rsidR="00C553CC" w:rsidRPr="00BF04B4">
        <w:t xml:space="preserve">, </w:t>
      </w:r>
      <w:r w:rsidR="00AA4417" w:rsidRPr="00BF04B4">
        <w:t xml:space="preserve">will </w:t>
      </w:r>
      <w:r w:rsidR="00C553CC" w:rsidRPr="00BF04B4">
        <w:t xml:space="preserve">be </w:t>
      </w:r>
      <w:r w:rsidR="00524430" w:rsidRPr="00BF04B4">
        <w:t>covered under Regulation E</w:t>
      </w:r>
      <w:r w:rsidR="00BF505C" w:rsidRPr="00BF04B4">
        <w:t xml:space="preserve">.  The recordkeeping requirement is mandated by Regulation E. </w:t>
      </w:r>
      <w:r w:rsidR="00E7598C" w:rsidRPr="00BF04B4">
        <w:t xml:space="preserve"> </w:t>
      </w:r>
      <w:r w:rsidR="00BF505C" w:rsidRPr="00BF04B4">
        <w:t>The</w:t>
      </w:r>
      <w:r w:rsidR="00C553CC" w:rsidRPr="00BF04B4">
        <w:t xml:space="preserve"> existing</w:t>
      </w:r>
      <w:r w:rsidR="00BF505C" w:rsidRPr="00BF04B4">
        <w:t xml:space="preserve"> disclosure requirements are mandated by</w:t>
      </w:r>
      <w:r w:rsidR="001433A7" w:rsidRPr="00BF04B4">
        <w:t xml:space="preserve"> the EFTA and/or Regulation E.</w:t>
      </w:r>
      <w:r w:rsidR="00C553CC" w:rsidRPr="00BF04B4">
        <w:t xml:space="preserve">  </w:t>
      </w:r>
    </w:p>
    <w:p w14:paraId="3124E74E" w14:textId="7155CD08" w:rsidR="00BF505C" w:rsidRPr="00BF04B4" w:rsidRDefault="00BF505C" w:rsidP="00BF04B4">
      <w:pPr>
        <w:pStyle w:val="CM10"/>
        <w:spacing w:after="240"/>
        <w:ind w:firstLine="720"/>
      </w:pPr>
      <w:r w:rsidRPr="00BF04B4">
        <w:t xml:space="preserve">Most entities </w:t>
      </w:r>
      <w:r w:rsidR="00524430" w:rsidRPr="00BF04B4">
        <w:t xml:space="preserve">offering EFT and other services </w:t>
      </w:r>
      <w:r w:rsidR="00811882" w:rsidRPr="00BF04B4">
        <w:t>in connection with prepaid accounts</w:t>
      </w:r>
      <w:r w:rsidR="00524430" w:rsidRPr="00BF04B4">
        <w:t xml:space="preserve"> </w:t>
      </w:r>
      <w:r w:rsidRPr="00BF04B4">
        <w:t xml:space="preserve">today </w:t>
      </w:r>
      <w:r w:rsidR="00EF0857" w:rsidRPr="00BF04B4">
        <w:t>utilize</w:t>
      </w:r>
      <w:r w:rsidR="00850B99" w:rsidRPr="00BF04B4">
        <w:t xml:space="preserve"> </w:t>
      </w:r>
      <w:r w:rsidRPr="00BF04B4">
        <w:t xml:space="preserve">some degree of computerization in their businesses, which further assists in facilitating compliance with </w:t>
      </w:r>
      <w:r w:rsidR="00EF0857" w:rsidRPr="00BF04B4">
        <w:t>Regulation E</w:t>
      </w:r>
      <w:r w:rsidRPr="00BF04B4">
        <w:t>.  Additionally, as noted above, Regulation E provides</w:t>
      </w:r>
      <w:r w:rsidR="00811882" w:rsidRPr="00BF04B4">
        <w:t xml:space="preserve">, and the </w:t>
      </w:r>
      <w:r w:rsidR="00AA4417" w:rsidRPr="00BF04B4">
        <w:t xml:space="preserve">final rule </w:t>
      </w:r>
      <w:r w:rsidR="00811882" w:rsidRPr="00BF04B4">
        <w:t>also include</w:t>
      </w:r>
      <w:r w:rsidR="00710C3E">
        <w:t>s</w:t>
      </w:r>
      <w:r w:rsidR="00811882" w:rsidRPr="00BF04B4">
        <w:t>,</w:t>
      </w:r>
      <w:r w:rsidRPr="00BF04B4">
        <w:t xml:space="preserve"> model </w:t>
      </w:r>
      <w:r w:rsidR="00DC70B4" w:rsidRPr="00BF04B4">
        <w:t xml:space="preserve">and sample </w:t>
      </w:r>
      <w:r w:rsidRPr="00BF04B4">
        <w:t xml:space="preserve">forms that may be used </w:t>
      </w:r>
      <w:r w:rsidR="00DC70B4" w:rsidRPr="00BF04B4">
        <w:t>to aid</w:t>
      </w:r>
      <w:r w:rsidRPr="00BF04B4">
        <w:t xml:space="preserve"> compliance with </w:t>
      </w:r>
      <w:r w:rsidR="00A24603" w:rsidRPr="00BF04B4">
        <w:t xml:space="preserve">many of </w:t>
      </w:r>
      <w:r w:rsidRPr="00BF04B4">
        <w:t xml:space="preserve">its </w:t>
      </w:r>
      <w:r w:rsidR="00710C3E">
        <w:t xml:space="preserve">disclosure </w:t>
      </w:r>
      <w:r w:rsidRPr="00BF04B4">
        <w:t>requirements</w:t>
      </w:r>
      <w:r w:rsidR="00EF0857" w:rsidRPr="00BF04B4">
        <w:t>.  Correct</w:t>
      </w:r>
      <w:r w:rsidRPr="00BF04B4">
        <w:t xml:space="preserve"> use of </w:t>
      </w:r>
      <w:r w:rsidR="00AA4417" w:rsidRPr="00BF04B4">
        <w:t xml:space="preserve">model </w:t>
      </w:r>
      <w:r w:rsidRPr="00BF04B4">
        <w:t xml:space="preserve">forms insulates a financial entity from liability </w:t>
      </w:r>
      <w:r w:rsidR="00EF0857" w:rsidRPr="00BF04B4">
        <w:t>from</w:t>
      </w:r>
      <w:r w:rsidR="00850B99" w:rsidRPr="00BF04B4">
        <w:t xml:space="preserve"> </w:t>
      </w:r>
      <w:r w:rsidRPr="00BF04B4">
        <w:t>the respective requirements.</w:t>
      </w:r>
    </w:p>
    <w:p w14:paraId="6FCA63DD" w14:textId="77777777" w:rsidR="000F70F5" w:rsidRPr="00BF04B4" w:rsidRDefault="000F70F5" w:rsidP="001977D9">
      <w:pPr>
        <w:pStyle w:val="CM12"/>
        <w:keepNext/>
        <w:spacing w:after="240"/>
        <w:rPr>
          <w:b/>
          <w:bCs/>
          <w:u w:val="single"/>
        </w:rPr>
      </w:pPr>
      <w:r w:rsidRPr="00BF04B4">
        <w:rPr>
          <w:b/>
          <w:bCs/>
        </w:rPr>
        <w:t xml:space="preserve">6. </w:t>
      </w:r>
      <w:r w:rsidRPr="00BF04B4">
        <w:rPr>
          <w:b/>
          <w:bCs/>
          <w:u w:val="single"/>
        </w:rPr>
        <w:t>Consequences of Less Frequent Collection and Obstacles to Burden Reduction</w:t>
      </w:r>
    </w:p>
    <w:p w14:paraId="60563989" w14:textId="77777777" w:rsidR="00291E67" w:rsidRPr="00BF04B4" w:rsidRDefault="00291E67" w:rsidP="00BF04B4">
      <w:pPr>
        <w:pStyle w:val="CM10"/>
        <w:spacing w:after="240"/>
        <w:ind w:right="190" w:firstLine="720"/>
      </w:pPr>
      <w:r w:rsidRPr="00BF04B4">
        <w:t xml:space="preserve">Information collection pursuant to Regulation E is triggered by specific events, and disclosures must be provided to consumers within the time periods established by the law and regulation.  </w:t>
      </w:r>
      <w:r w:rsidR="00BF505C" w:rsidRPr="00BF04B4">
        <w:t xml:space="preserve">The current record retention period of two years supports the one-year statute of limitations for private actions, and the </w:t>
      </w:r>
      <w:r w:rsidR="001433A7" w:rsidRPr="00BF04B4">
        <w:t xml:space="preserve">CFPB’s </w:t>
      </w:r>
      <w:r w:rsidR="00BF505C" w:rsidRPr="00BF04B4">
        <w:t xml:space="preserve">need for sufficient time to bring enforcement actions regarding EFT transactions.  If the retention period were shortened, consumers who sue under the EFTA, and the administrative agencies that enforce the EFTA, might find that the records needed to prove </w:t>
      </w:r>
      <w:r w:rsidR="001433A7" w:rsidRPr="00BF04B4">
        <w:t>EFTA violations no longer exist.</w:t>
      </w:r>
    </w:p>
    <w:p w14:paraId="66EA2E82" w14:textId="527140B2" w:rsidR="00BF505C" w:rsidRPr="00BF04B4" w:rsidRDefault="00BF505C" w:rsidP="00BF04B4">
      <w:pPr>
        <w:pStyle w:val="CM4"/>
        <w:spacing w:after="240" w:line="240" w:lineRule="auto"/>
        <w:ind w:firstLine="720"/>
      </w:pPr>
      <w:r w:rsidRPr="00BF04B4">
        <w:t xml:space="preserve">As noted, the disclosure requirements </w:t>
      </w:r>
      <w:r w:rsidR="00816CC9" w:rsidRPr="00BF04B4">
        <w:t xml:space="preserve">set forth in current Regulation E and the final rule </w:t>
      </w:r>
      <w:r w:rsidRPr="00BF04B4">
        <w:t>are needed to foster informed EFT</w:t>
      </w:r>
      <w:r w:rsidR="00B2795F" w:rsidRPr="00BF04B4">
        <w:t xml:space="preserve"> </w:t>
      </w:r>
      <w:r w:rsidR="002333D8" w:rsidRPr="00BF04B4">
        <w:t>decision-making</w:t>
      </w:r>
      <w:r w:rsidRPr="00BF04B4">
        <w:t xml:space="preserve"> </w:t>
      </w:r>
      <w:r w:rsidR="00E61F59" w:rsidRPr="00BF04B4">
        <w:t>for prepaid accounts</w:t>
      </w:r>
      <w:r w:rsidRPr="00BF04B4">
        <w:t xml:space="preserve"> and to identify errors and unauthorized transfers.  Without these requirements, consumers would not have access to this critical information, their right to sue under the EFTA would be undermined, and the </w:t>
      </w:r>
      <w:r w:rsidR="001433A7" w:rsidRPr="00BF04B4">
        <w:t xml:space="preserve">CFPB </w:t>
      </w:r>
      <w:r w:rsidRPr="00BF04B4">
        <w:t xml:space="preserve">and other administrative agencies charged with enforcing the EFTA could not fulfill their mandates. </w:t>
      </w:r>
    </w:p>
    <w:p w14:paraId="4A736C7B" w14:textId="77777777" w:rsidR="000F70F5" w:rsidRPr="00BF04B4" w:rsidRDefault="000F70F5" w:rsidP="00BF04B4">
      <w:pPr>
        <w:pStyle w:val="Default"/>
        <w:spacing w:after="240"/>
        <w:rPr>
          <w:b/>
          <w:bCs/>
          <w:u w:val="single"/>
        </w:rPr>
      </w:pPr>
      <w:r w:rsidRPr="00BF04B4">
        <w:rPr>
          <w:b/>
          <w:bCs/>
        </w:rPr>
        <w:t xml:space="preserve">7. </w:t>
      </w:r>
      <w:r w:rsidRPr="00BF04B4">
        <w:rPr>
          <w:b/>
          <w:bCs/>
          <w:u w:val="single"/>
        </w:rPr>
        <w:t>Circumstances Requiring Special Information Collection</w:t>
      </w:r>
    </w:p>
    <w:p w14:paraId="5875E6C4" w14:textId="77777777" w:rsidR="00BF505C" w:rsidRPr="00BF04B4" w:rsidRDefault="0055729F" w:rsidP="00BF04B4">
      <w:pPr>
        <w:pStyle w:val="CM10"/>
        <w:spacing w:after="240"/>
        <w:ind w:right="-18" w:firstLine="720"/>
      </w:pPr>
      <w:r w:rsidRPr="00BF04B4">
        <w:t>The collections of information in Regulation E a</w:t>
      </w:r>
      <w:r w:rsidR="00BF505C" w:rsidRPr="00BF04B4">
        <w:t xml:space="preserve">re consistent with the </w:t>
      </w:r>
      <w:r w:rsidR="00EF0857" w:rsidRPr="00BF04B4">
        <w:t xml:space="preserve">applicable </w:t>
      </w:r>
      <w:r w:rsidR="00BF505C" w:rsidRPr="00BF04B4">
        <w:t xml:space="preserve">guidelines contained in 5 CFR 1320.5(d)(2). </w:t>
      </w:r>
    </w:p>
    <w:p w14:paraId="3E22D295" w14:textId="77777777" w:rsidR="00BF505C" w:rsidRPr="00BF04B4" w:rsidRDefault="000F70F5" w:rsidP="00BF04B4">
      <w:pPr>
        <w:pStyle w:val="CM12"/>
        <w:spacing w:after="240"/>
        <w:rPr>
          <w:b/>
          <w:bCs/>
          <w:u w:val="single"/>
        </w:rPr>
      </w:pPr>
      <w:r w:rsidRPr="00BF04B4">
        <w:rPr>
          <w:b/>
          <w:bCs/>
        </w:rPr>
        <w:t xml:space="preserve">8. </w:t>
      </w:r>
      <w:r w:rsidRPr="00BF04B4">
        <w:rPr>
          <w:b/>
          <w:bCs/>
          <w:u w:val="single"/>
        </w:rPr>
        <w:t>Consultation Outside the Agency</w:t>
      </w:r>
    </w:p>
    <w:p w14:paraId="5AA6A6AC" w14:textId="39065755" w:rsidR="0042344E" w:rsidRDefault="00F52015" w:rsidP="006319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ab/>
      </w:r>
      <w:r w:rsidR="0016206D" w:rsidRPr="00BF04B4">
        <w:rPr>
          <w:rFonts w:ascii="Times New Roman" w:hAnsi="Times New Roman"/>
          <w:sz w:val="24"/>
          <w:szCs w:val="24"/>
        </w:rPr>
        <w:t xml:space="preserve">In accordance with 5 CFR 1320.11, </w:t>
      </w:r>
      <w:r w:rsidR="005F577B">
        <w:rPr>
          <w:rFonts w:ascii="Times New Roman" w:hAnsi="Times New Roman"/>
          <w:sz w:val="24"/>
          <w:szCs w:val="24"/>
        </w:rPr>
        <w:t xml:space="preserve">on December </w:t>
      </w:r>
      <w:r w:rsidR="001A1B43">
        <w:rPr>
          <w:rFonts w:ascii="Times New Roman" w:hAnsi="Times New Roman"/>
          <w:sz w:val="24"/>
          <w:szCs w:val="24"/>
        </w:rPr>
        <w:t>23</w:t>
      </w:r>
      <w:r w:rsidR="005F577B">
        <w:rPr>
          <w:rFonts w:ascii="Times New Roman" w:hAnsi="Times New Roman"/>
          <w:sz w:val="24"/>
          <w:szCs w:val="24"/>
        </w:rPr>
        <w:t>, 201</w:t>
      </w:r>
      <w:r w:rsidR="00C458E6">
        <w:rPr>
          <w:rFonts w:ascii="Times New Roman" w:hAnsi="Times New Roman"/>
          <w:sz w:val="24"/>
          <w:szCs w:val="24"/>
        </w:rPr>
        <w:t>4</w:t>
      </w:r>
      <w:r w:rsidR="005F577B">
        <w:rPr>
          <w:rFonts w:ascii="Times New Roman" w:hAnsi="Times New Roman"/>
          <w:sz w:val="24"/>
          <w:szCs w:val="24"/>
        </w:rPr>
        <w:t xml:space="preserve"> </w:t>
      </w:r>
      <w:r w:rsidR="0016206D" w:rsidRPr="00BF04B4">
        <w:rPr>
          <w:rFonts w:ascii="Times New Roman" w:hAnsi="Times New Roman"/>
          <w:sz w:val="24"/>
          <w:szCs w:val="24"/>
        </w:rPr>
        <w:t xml:space="preserve">the Bureau published a notice of proposed rulemaking in the </w:t>
      </w:r>
      <w:r w:rsidR="0016206D" w:rsidRPr="00BF04B4">
        <w:rPr>
          <w:rFonts w:ascii="Times New Roman" w:hAnsi="Times New Roman"/>
          <w:i/>
          <w:iCs/>
          <w:sz w:val="24"/>
          <w:szCs w:val="24"/>
        </w:rPr>
        <w:t>Federal Register</w:t>
      </w:r>
      <w:r w:rsidR="0016206D" w:rsidRPr="00BF04B4">
        <w:rPr>
          <w:rFonts w:ascii="Times New Roman" w:hAnsi="Times New Roman"/>
          <w:sz w:val="24"/>
          <w:szCs w:val="24"/>
        </w:rPr>
        <w:t xml:space="preserve"> </w:t>
      </w:r>
      <w:r w:rsidR="005F577B">
        <w:rPr>
          <w:rFonts w:ascii="Times New Roman" w:hAnsi="Times New Roman"/>
          <w:sz w:val="24"/>
          <w:szCs w:val="24"/>
        </w:rPr>
        <w:t>(</w:t>
      </w:r>
      <w:r w:rsidR="005F577B" w:rsidRPr="005F577B">
        <w:rPr>
          <w:rFonts w:ascii="Times New Roman" w:hAnsi="Times New Roman"/>
          <w:sz w:val="24"/>
          <w:szCs w:val="24"/>
        </w:rPr>
        <w:t>79 FR 7710</w:t>
      </w:r>
      <w:r w:rsidR="00405D55">
        <w:rPr>
          <w:rFonts w:ascii="Times New Roman" w:hAnsi="Times New Roman"/>
          <w:sz w:val="24"/>
          <w:szCs w:val="24"/>
        </w:rPr>
        <w:t>2</w:t>
      </w:r>
      <w:r w:rsidR="005F577B">
        <w:rPr>
          <w:rFonts w:ascii="Times New Roman" w:hAnsi="Times New Roman"/>
          <w:sz w:val="24"/>
          <w:szCs w:val="24"/>
        </w:rPr>
        <w:t xml:space="preserve">) </w:t>
      </w:r>
      <w:r w:rsidR="0016206D" w:rsidRPr="00BF04B4">
        <w:rPr>
          <w:rFonts w:ascii="Times New Roman" w:hAnsi="Times New Roman"/>
          <w:sz w:val="24"/>
          <w:szCs w:val="24"/>
        </w:rPr>
        <w:t xml:space="preserve">inviting the public to comment on the information collection requirements contained in the </w:t>
      </w:r>
      <w:r w:rsidR="00B40FC5">
        <w:rPr>
          <w:rFonts w:ascii="Times New Roman" w:hAnsi="Times New Roman"/>
          <w:sz w:val="24"/>
          <w:szCs w:val="24"/>
        </w:rPr>
        <w:t>proposed</w:t>
      </w:r>
      <w:r w:rsidR="00AA4417" w:rsidRPr="00BF04B4">
        <w:rPr>
          <w:rFonts w:ascii="Times New Roman" w:hAnsi="Times New Roman"/>
          <w:sz w:val="24"/>
          <w:szCs w:val="24"/>
        </w:rPr>
        <w:t xml:space="preserve"> rule</w:t>
      </w:r>
      <w:r w:rsidR="0016206D" w:rsidRPr="00BF04B4">
        <w:rPr>
          <w:rFonts w:ascii="Times New Roman" w:hAnsi="Times New Roman"/>
          <w:sz w:val="24"/>
          <w:szCs w:val="24"/>
        </w:rPr>
        <w:t xml:space="preserve">. Comments received in response to the notice of proposed rulemaking </w:t>
      </w:r>
      <w:r w:rsidR="002539A6" w:rsidRPr="00BF04B4">
        <w:rPr>
          <w:rFonts w:ascii="Times New Roman" w:hAnsi="Times New Roman"/>
          <w:sz w:val="24"/>
          <w:szCs w:val="24"/>
        </w:rPr>
        <w:t xml:space="preserve">are </w:t>
      </w:r>
      <w:r w:rsidR="0016206D" w:rsidRPr="00BF04B4">
        <w:rPr>
          <w:rFonts w:ascii="Times New Roman" w:hAnsi="Times New Roman"/>
          <w:sz w:val="24"/>
          <w:szCs w:val="24"/>
        </w:rPr>
        <w:t xml:space="preserve">addressed in the </w:t>
      </w:r>
      <w:r w:rsidR="002539A6" w:rsidRPr="00BF04B4">
        <w:rPr>
          <w:rFonts w:ascii="Times New Roman" w:hAnsi="Times New Roman"/>
          <w:sz w:val="24"/>
          <w:szCs w:val="24"/>
        </w:rPr>
        <w:t xml:space="preserve">final rule’s Supplementary Information. </w:t>
      </w:r>
    </w:p>
    <w:p w14:paraId="414A9334" w14:textId="6AE193AD" w:rsidR="00631F94" w:rsidRPr="00631F94" w:rsidRDefault="00F52015" w:rsidP="006319AC">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rFonts w:ascii="Times New Roman" w:hAnsi="Times New Roman"/>
          <w:sz w:val="24"/>
          <w:szCs w:val="24"/>
        </w:rPr>
        <w:tab/>
        <w:t xml:space="preserve">The Bureau also published notices of proposed rulemaking in the </w:t>
      </w:r>
      <w:r>
        <w:rPr>
          <w:rFonts w:ascii="Times New Roman" w:hAnsi="Times New Roman"/>
          <w:i/>
          <w:sz w:val="24"/>
          <w:szCs w:val="24"/>
        </w:rPr>
        <w:t>Federal Register</w:t>
      </w:r>
      <w:r>
        <w:rPr>
          <w:rFonts w:ascii="Times New Roman" w:hAnsi="Times New Roman"/>
          <w:sz w:val="24"/>
          <w:szCs w:val="24"/>
        </w:rPr>
        <w:t xml:space="preserve"> prior to finalizing the Prepaid Effective Date Final Rule (</w:t>
      </w:r>
      <w:r w:rsidRPr="001D0D07">
        <w:rPr>
          <w:rFonts w:ascii="Times New Roman" w:hAnsi="Times New Roman"/>
          <w:sz w:val="24"/>
          <w:szCs w:val="24"/>
        </w:rPr>
        <w:t>82 FR 13782</w:t>
      </w:r>
      <w:r>
        <w:rPr>
          <w:rFonts w:ascii="Times New Roman" w:hAnsi="Times New Roman"/>
          <w:sz w:val="24"/>
          <w:szCs w:val="24"/>
        </w:rPr>
        <w:t>,</w:t>
      </w:r>
      <w:r w:rsidRPr="001D0D07">
        <w:rPr>
          <w:rFonts w:ascii="Times New Roman" w:hAnsi="Times New Roman"/>
          <w:sz w:val="24"/>
          <w:szCs w:val="24"/>
        </w:rPr>
        <w:t xml:space="preserve"> Mar. 15, 2017)</w:t>
      </w:r>
      <w:r>
        <w:rPr>
          <w:rFonts w:ascii="Times New Roman" w:hAnsi="Times New Roman"/>
          <w:sz w:val="24"/>
          <w:szCs w:val="24"/>
        </w:rPr>
        <w:t xml:space="preserve"> and the Prepaid Amendments Final Rule (</w:t>
      </w:r>
      <w:r w:rsidRPr="001D0D07">
        <w:rPr>
          <w:rFonts w:ascii="Times New Roman" w:hAnsi="Times New Roman"/>
          <w:sz w:val="24"/>
          <w:szCs w:val="24"/>
        </w:rPr>
        <w:t>82 FR 29630</w:t>
      </w:r>
      <w:r>
        <w:rPr>
          <w:rFonts w:ascii="Times New Roman" w:hAnsi="Times New Roman"/>
          <w:sz w:val="24"/>
          <w:szCs w:val="24"/>
        </w:rPr>
        <w:t xml:space="preserve">, </w:t>
      </w:r>
      <w:r w:rsidRPr="001D0D07">
        <w:rPr>
          <w:rFonts w:ascii="Times New Roman" w:hAnsi="Times New Roman"/>
          <w:sz w:val="24"/>
          <w:szCs w:val="24"/>
        </w:rPr>
        <w:t xml:space="preserve">June </w:t>
      </w:r>
      <w:r>
        <w:rPr>
          <w:rFonts w:ascii="Times New Roman" w:hAnsi="Times New Roman"/>
          <w:sz w:val="24"/>
          <w:szCs w:val="24"/>
        </w:rPr>
        <w:t xml:space="preserve">29, 2017). </w:t>
      </w:r>
      <w:r w:rsidRPr="007B3E1B">
        <w:rPr>
          <w:rFonts w:ascii="Times New Roman" w:hAnsi="Times New Roman"/>
          <w:sz w:val="24"/>
          <w:szCs w:val="24"/>
        </w:rPr>
        <w:t>Comments received in response to the</w:t>
      </w:r>
      <w:r>
        <w:rPr>
          <w:rFonts w:ascii="Times New Roman" w:hAnsi="Times New Roman"/>
          <w:sz w:val="24"/>
          <w:szCs w:val="24"/>
        </w:rPr>
        <w:t>se</w:t>
      </w:r>
      <w:r w:rsidRPr="007B3E1B">
        <w:rPr>
          <w:rFonts w:ascii="Times New Roman" w:hAnsi="Times New Roman"/>
          <w:sz w:val="24"/>
          <w:szCs w:val="24"/>
        </w:rPr>
        <w:t xml:space="preserve"> notice</w:t>
      </w:r>
      <w:r>
        <w:rPr>
          <w:rFonts w:ascii="Times New Roman" w:hAnsi="Times New Roman"/>
          <w:sz w:val="24"/>
          <w:szCs w:val="24"/>
        </w:rPr>
        <w:t>s</w:t>
      </w:r>
      <w:r w:rsidRPr="007B3E1B">
        <w:rPr>
          <w:rFonts w:ascii="Times New Roman" w:hAnsi="Times New Roman"/>
          <w:sz w:val="24"/>
          <w:szCs w:val="24"/>
        </w:rPr>
        <w:t xml:space="preserve"> of proposed rulemaking are addressed in the</w:t>
      </w:r>
      <w:r>
        <w:rPr>
          <w:rFonts w:ascii="Times New Roman" w:hAnsi="Times New Roman"/>
          <w:sz w:val="24"/>
          <w:szCs w:val="24"/>
        </w:rPr>
        <w:t xml:space="preserve"> respective</w:t>
      </w:r>
      <w:r w:rsidRPr="007B3E1B">
        <w:rPr>
          <w:rFonts w:ascii="Times New Roman" w:hAnsi="Times New Roman"/>
          <w:sz w:val="24"/>
          <w:szCs w:val="24"/>
        </w:rPr>
        <w:t xml:space="preserve"> final rule’s Supplementary Information.</w:t>
      </w:r>
      <w:r>
        <w:rPr>
          <w:rFonts w:ascii="Times New Roman" w:hAnsi="Times New Roman"/>
          <w:sz w:val="24"/>
          <w:szCs w:val="24"/>
        </w:rPr>
        <w:t xml:space="preserve">  In both cases, the Bureau did not receive any comments relating to the information collection requirements or burden estimates in response to those proposed rules.</w:t>
      </w:r>
    </w:p>
    <w:p w14:paraId="4654F60A" w14:textId="77777777" w:rsidR="00BF505C" w:rsidRPr="00BF04B4" w:rsidRDefault="000F70F5" w:rsidP="00BF04B4">
      <w:pPr>
        <w:pStyle w:val="Default"/>
        <w:tabs>
          <w:tab w:val="left" w:pos="720"/>
        </w:tabs>
        <w:spacing w:after="240"/>
        <w:rPr>
          <w:b/>
          <w:bCs/>
          <w:color w:val="auto"/>
          <w:u w:val="single"/>
        </w:rPr>
      </w:pPr>
      <w:r w:rsidRPr="00BF04B4">
        <w:rPr>
          <w:b/>
          <w:bCs/>
          <w:color w:val="auto"/>
        </w:rPr>
        <w:t>9</w:t>
      </w:r>
      <w:r w:rsidR="00850B99" w:rsidRPr="00BF04B4">
        <w:rPr>
          <w:b/>
          <w:bCs/>
          <w:color w:val="auto"/>
        </w:rPr>
        <w:t>.</w:t>
      </w:r>
      <w:r w:rsidRPr="00BF04B4">
        <w:rPr>
          <w:b/>
          <w:bCs/>
          <w:color w:val="auto"/>
        </w:rPr>
        <w:t xml:space="preserve"> </w:t>
      </w:r>
      <w:r w:rsidRPr="00BF04B4">
        <w:rPr>
          <w:b/>
          <w:bCs/>
          <w:color w:val="auto"/>
          <w:u w:val="single"/>
        </w:rPr>
        <w:t>Payments or Gifts to Respondents</w:t>
      </w:r>
    </w:p>
    <w:p w14:paraId="0FB88DC9" w14:textId="77777777" w:rsidR="001433A7" w:rsidRPr="00BF04B4" w:rsidRDefault="00BF505C" w:rsidP="00BF04B4">
      <w:pPr>
        <w:pStyle w:val="CM10"/>
        <w:spacing w:after="240"/>
        <w:ind w:left="720"/>
      </w:pPr>
      <w:r w:rsidRPr="00BF04B4">
        <w:t>Not applicable.</w:t>
      </w:r>
    </w:p>
    <w:p w14:paraId="3624001B" w14:textId="77777777" w:rsidR="000F70F5" w:rsidRPr="00BF04B4" w:rsidRDefault="000F70F5" w:rsidP="00710C3E">
      <w:pPr>
        <w:pStyle w:val="Default"/>
        <w:keepNext/>
        <w:spacing w:after="240"/>
        <w:rPr>
          <w:b/>
          <w:bCs/>
          <w:color w:val="auto"/>
          <w:u w:val="single"/>
        </w:rPr>
      </w:pPr>
      <w:r w:rsidRPr="00BF04B4">
        <w:rPr>
          <w:b/>
          <w:bCs/>
          <w:color w:val="auto"/>
        </w:rPr>
        <w:t xml:space="preserve">10. </w:t>
      </w:r>
      <w:r w:rsidR="00FA0447" w:rsidRPr="00BF04B4">
        <w:rPr>
          <w:b/>
          <w:bCs/>
          <w:color w:val="auto"/>
        </w:rPr>
        <w:t xml:space="preserve"> </w:t>
      </w:r>
      <w:r w:rsidRPr="00BF04B4">
        <w:rPr>
          <w:b/>
          <w:bCs/>
          <w:color w:val="auto"/>
          <w:u w:val="single"/>
        </w:rPr>
        <w:t>Assurances of Confidentiality</w:t>
      </w:r>
    </w:p>
    <w:p w14:paraId="09907736" w14:textId="60BCEC6C" w:rsidR="00A96B93" w:rsidRDefault="002D3555" w:rsidP="00BF04B4">
      <w:pPr>
        <w:pStyle w:val="CM10"/>
        <w:spacing w:after="240"/>
        <w:ind w:firstLine="720"/>
      </w:pPr>
      <w:r w:rsidRPr="00BF04B4">
        <w:t>Some of t</w:t>
      </w:r>
      <w:r w:rsidR="00BF505C" w:rsidRPr="00BF04B4">
        <w:t>he required recordkeeping and disclosures contain private financial information about consumers who use EFT services</w:t>
      </w:r>
      <w:r w:rsidR="000E759D" w:rsidRPr="00BF04B4">
        <w:t>.  Such information</w:t>
      </w:r>
      <w:r w:rsidR="00850B99" w:rsidRPr="00BF04B4">
        <w:t xml:space="preserve"> </w:t>
      </w:r>
      <w:r w:rsidR="00BF505C" w:rsidRPr="00BF04B4">
        <w:t xml:space="preserve">is protected by the Right to Financial Privacy Act, 12 U.S.C. 3401 </w:t>
      </w:r>
      <w:r w:rsidR="00BF505C" w:rsidRPr="00BF04B4">
        <w:rPr>
          <w:i/>
          <w:iCs/>
        </w:rPr>
        <w:t>et seq</w:t>
      </w:r>
      <w:r w:rsidR="00BF505C" w:rsidRPr="00BF04B4">
        <w:t xml:space="preserve">. </w:t>
      </w:r>
      <w:r w:rsidR="00E7598C" w:rsidRPr="00BF04B4">
        <w:t xml:space="preserve"> </w:t>
      </w:r>
      <w:r w:rsidR="00BF505C" w:rsidRPr="00BF04B4">
        <w:t>Such records may also constitute confidential customer lists.  Any of these records</w:t>
      </w:r>
      <w:r w:rsidR="00A96B93" w:rsidRPr="00BF04B4">
        <w:t xml:space="preserve"> that contain private financial information that are</w:t>
      </w:r>
      <w:r w:rsidR="00BF505C" w:rsidRPr="00BF04B4">
        <w:t xml:space="preserve"> provided to the </w:t>
      </w:r>
      <w:r w:rsidR="001433A7" w:rsidRPr="00BF04B4">
        <w:t>C</w:t>
      </w:r>
      <w:r w:rsidR="00BF505C" w:rsidRPr="00BF04B4">
        <w:t>F</w:t>
      </w:r>
      <w:r w:rsidR="001433A7" w:rsidRPr="00BF04B4">
        <w:t>PB</w:t>
      </w:r>
      <w:r w:rsidR="00BF505C" w:rsidRPr="00BF04B4">
        <w:t xml:space="preserve"> would be covered by the protections </w:t>
      </w:r>
      <w:r w:rsidR="000E759D" w:rsidRPr="00BF04B4">
        <w:t xml:space="preserve">of 12 CFR 1070.40 </w:t>
      </w:r>
      <w:r w:rsidR="000E759D" w:rsidRPr="00BF04B4">
        <w:rPr>
          <w:i/>
        </w:rPr>
        <w:t>et seq.</w:t>
      </w:r>
      <w:r w:rsidR="000E759D" w:rsidRPr="00BF04B4">
        <w:t>,</w:t>
      </w:r>
      <w:r w:rsidR="00EA3F1C" w:rsidRPr="00BF04B4">
        <w:t xml:space="preserve"> </w:t>
      </w:r>
      <w:r w:rsidR="003A162D" w:rsidRPr="00BF04B4">
        <w:t xml:space="preserve">section </w:t>
      </w:r>
      <w:r w:rsidR="000E759D" w:rsidRPr="00BF04B4">
        <w:t>1022(c) of the Dodd-Frank Act, and by the exemptions</w:t>
      </w:r>
      <w:r w:rsidR="00E7598C" w:rsidRPr="00BF04B4">
        <w:t xml:space="preserve"> </w:t>
      </w:r>
      <w:r w:rsidR="00BF505C" w:rsidRPr="00BF04B4">
        <w:t>of the Freedom of Information Act, 5 U.S.C. 552(b)</w:t>
      </w:r>
      <w:r w:rsidR="000E759D" w:rsidRPr="00BF04B4">
        <w:t>, as applicable.</w:t>
      </w:r>
      <w:r w:rsidR="00A108EB" w:rsidRPr="00BF04B4">
        <w:t xml:space="preserve">  </w:t>
      </w:r>
      <w:r w:rsidR="00A96B93" w:rsidRPr="00BF04B4">
        <w:t>The account agreements</w:t>
      </w:r>
      <w:r w:rsidR="0074346F" w:rsidRPr="00BF04B4">
        <w:t xml:space="preserve"> that </w:t>
      </w:r>
      <w:r w:rsidR="00710C3E">
        <w:t>will</w:t>
      </w:r>
      <w:r w:rsidR="0074346F" w:rsidRPr="00BF04B4">
        <w:t xml:space="preserve"> be</w:t>
      </w:r>
      <w:r w:rsidR="00A96B93" w:rsidRPr="00BF04B4">
        <w:t xml:space="preserve"> collected pursuant to</w:t>
      </w:r>
      <w:r w:rsidR="0074346F" w:rsidRPr="00BF04B4">
        <w:t xml:space="preserve"> </w:t>
      </w:r>
      <w:r w:rsidR="00710C3E">
        <w:t xml:space="preserve">new </w:t>
      </w:r>
      <w:r w:rsidR="00A96B93" w:rsidRPr="00BF04B4">
        <w:t xml:space="preserve">§ 1005.19(b) </w:t>
      </w:r>
      <w:r w:rsidR="002539A6" w:rsidRPr="00BF04B4">
        <w:t>will not</w:t>
      </w:r>
      <w:r w:rsidR="00A108EB" w:rsidRPr="00BF04B4">
        <w:t xml:space="preserve"> </w:t>
      </w:r>
      <w:r w:rsidR="00A96B93" w:rsidRPr="00BF04B4">
        <w:t>contain any confidential information.</w:t>
      </w:r>
    </w:p>
    <w:p w14:paraId="063A0E44" w14:textId="77777777" w:rsidR="00FA0447" w:rsidRPr="00BF04B4" w:rsidRDefault="00FA0447" w:rsidP="00BF04B4">
      <w:pPr>
        <w:pStyle w:val="Default"/>
        <w:spacing w:after="240"/>
        <w:rPr>
          <w:b/>
          <w:bCs/>
          <w:color w:val="auto"/>
          <w:u w:val="single"/>
        </w:rPr>
      </w:pPr>
      <w:r w:rsidRPr="00BF04B4">
        <w:rPr>
          <w:b/>
        </w:rPr>
        <w:t>11.</w:t>
      </w:r>
      <w:r w:rsidRPr="00BF04B4">
        <w:rPr>
          <w:b/>
          <w:bCs/>
          <w:color w:val="auto"/>
          <w:u w:val="single"/>
        </w:rPr>
        <w:t xml:space="preserve"> Justification for Sensitive Questions</w:t>
      </w:r>
    </w:p>
    <w:p w14:paraId="07C623CE" w14:textId="65A5B892" w:rsidR="00291E67" w:rsidRPr="00BF04B4" w:rsidRDefault="00291E67" w:rsidP="00BF04B4">
      <w:pPr>
        <w:pStyle w:val="CM10"/>
        <w:spacing w:after="240"/>
        <w:ind w:firstLine="720"/>
      </w:pPr>
      <w:r w:rsidRPr="00BF04B4">
        <w:t>This information collection contains no questions of a sensitive nature, as defined by OMB guidelines.</w:t>
      </w:r>
    </w:p>
    <w:p w14:paraId="6FA2A382" w14:textId="77777777" w:rsidR="002D3555" w:rsidRPr="00BF04B4" w:rsidRDefault="002D3555" w:rsidP="00202DC0">
      <w:pPr>
        <w:pStyle w:val="BodyText"/>
        <w:keepNext/>
        <w:tabs>
          <w:tab w:val="left" w:pos="360"/>
          <w:tab w:val="left" w:pos="720"/>
        </w:tabs>
        <w:spacing w:after="240"/>
        <w:rPr>
          <w:iCs/>
          <w:szCs w:val="24"/>
          <w:u w:val="single"/>
          <w:lang w:val="en-US"/>
        </w:rPr>
      </w:pPr>
      <w:r w:rsidRPr="00BF04B4">
        <w:rPr>
          <w:iCs/>
          <w:szCs w:val="24"/>
        </w:rPr>
        <w:t xml:space="preserve">12. </w:t>
      </w:r>
      <w:r w:rsidRPr="00BF04B4">
        <w:rPr>
          <w:iCs/>
          <w:szCs w:val="24"/>
          <w:u w:val="single"/>
        </w:rPr>
        <w:t>Estimated Burden of Information Collection</w:t>
      </w:r>
      <w:r w:rsidRPr="00BF04B4">
        <w:rPr>
          <w:iCs/>
          <w:szCs w:val="24"/>
          <w:u w:val="single"/>
          <w:lang w:val="en-US"/>
        </w:rPr>
        <w:t xml:space="preserve"> for Bureau Respondents</w:t>
      </w:r>
    </w:p>
    <w:p w14:paraId="1EBEF181" w14:textId="2A6F0CEB" w:rsidR="00903CF5" w:rsidRPr="00BF04B4" w:rsidRDefault="00903CF5" w:rsidP="00BF04B4">
      <w:pPr>
        <w:widowControl w:val="0"/>
        <w:autoSpaceDE w:val="0"/>
        <w:autoSpaceDN w:val="0"/>
        <w:adjustRightInd w:val="0"/>
        <w:spacing w:after="240" w:line="240" w:lineRule="auto"/>
        <w:rPr>
          <w:rFonts w:ascii="Times New Roman" w:hAnsi="Times New Roman"/>
          <w:sz w:val="24"/>
          <w:szCs w:val="24"/>
        </w:rPr>
      </w:pPr>
      <w:r w:rsidRPr="00BF04B4">
        <w:rPr>
          <w:rFonts w:ascii="Times New Roman" w:hAnsi="Times New Roman"/>
          <w:sz w:val="24"/>
          <w:szCs w:val="24"/>
          <w:u w:val="single"/>
        </w:rPr>
        <w:t>Total Hours</w:t>
      </w:r>
      <w:r w:rsidRPr="00A95F73">
        <w:rPr>
          <w:rFonts w:ascii="Times New Roman" w:hAnsi="Times New Roman"/>
          <w:sz w:val="24"/>
          <w:szCs w:val="24"/>
          <w:u w:val="single"/>
        </w:rPr>
        <w:t>:</w:t>
      </w:r>
      <w:r w:rsidRPr="00A95F73">
        <w:rPr>
          <w:rFonts w:ascii="Times New Roman" w:hAnsi="Times New Roman"/>
          <w:sz w:val="24"/>
          <w:szCs w:val="24"/>
        </w:rPr>
        <w:t xml:space="preserve">  </w:t>
      </w:r>
      <w:r w:rsidR="005F577B" w:rsidRPr="00A95F73">
        <w:rPr>
          <w:rFonts w:ascii="Times New Roman" w:hAnsi="Times New Roman"/>
          <w:sz w:val="24"/>
          <w:szCs w:val="24"/>
        </w:rPr>
        <w:t>3</w:t>
      </w:r>
      <w:r w:rsidR="00A95F73">
        <w:rPr>
          <w:rFonts w:ascii="Times New Roman" w:hAnsi="Times New Roman"/>
          <w:sz w:val="24"/>
          <w:szCs w:val="24"/>
        </w:rPr>
        <w:t>,</w:t>
      </w:r>
      <w:r w:rsidR="005F577B" w:rsidRPr="00A95F73">
        <w:rPr>
          <w:rFonts w:ascii="Times New Roman" w:hAnsi="Times New Roman"/>
          <w:sz w:val="24"/>
          <w:szCs w:val="24"/>
        </w:rPr>
        <w:t>445</w:t>
      </w:r>
      <w:r w:rsidR="00A95F73">
        <w:rPr>
          <w:rFonts w:ascii="Times New Roman" w:hAnsi="Times New Roman"/>
          <w:sz w:val="24"/>
          <w:szCs w:val="24"/>
        </w:rPr>
        <w:t>,</w:t>
      </w:r>
      <w:r w:rsidR="005F577B" w:rsidRPr="00A95F73">
        <w:rPr>
          <w:rFonts w:ascii="Times New Roman" w:hAnsi="Times New Roman"/>
          <w:sz w:val="24"/>
          <w:szCs w:val="24"/>
        </w:rPr>
        <w:t>033</w:t>
      </w:r>
      <w:r w:rsidRPr="00BF04B4">
        <w:rPr>
          <w:rFonts w:ascii="Times New Roman" w:hAnsi="Times New Roman"/>
          <w:sz w:val="24"/>
          <w:szCs w:val="24"/>
          <w:vertAlign w:val="superscript"/>
        </w:rPr>
        <w:footnoteReference w:id="3"/>
      </w:r>
    </w:p>
    <w:p w14:paraId="21D91B60" w14:textId="5DBED211" w:rsidR="00903CF5" w:rsidRPr="00BF04B4" w:rsidRDefault="00903CF5" w:rsidP="00BF04B4">
      <w:pPr>
        <w:widowControl w:val="0"/>
        <w:autoSpaceDE w:val="0"/>
        <w:autoSpaceDN w:val="0"/>
        <w:adjustRightInd w:val="0"/>
        <w:spacing w:after="240" w:line="240" w:lineRule="auto"/>
        <w:rPr>
          <w:rFonts w:ascii="Times New Roman" w:hAnsi="Times New Roman"/>
          <w:sz w:val="24"/>
          <w:szCs w:val="24"/>
        </w:rPr>
      </w:pPr>
      <w:r w:rsidRPr="00BF04B4">
        <w:rPr>
          <w:rFonts w:ascii="Times New Roman" w:hAnsi="Times New Roman"/>
          <w:sz w:val="24"/>
          <w:szCs w:val="24"/>
          <w:u w:val="single"/>
        </w:rPr>
        <w:t>Total Associated Labor Costs:</w:t>
      </w:r>
      <w:r w:rsidRPr="00BF04B4">
        <w:rPr>
          <w:rFonts w:ascii="Times New Roman" w:hAnsi="Times New Roman"/>
          <w:sz w:val="24"/>
          <w:szCs w:val="24"/>
        </w:rPr>
        <w:t xml:space="preserve">  $</w:t>
      </w:r>
      <w:r w:rsidR="005F577B" w:rsidRPr="005F577B">
        <w:rPr>
          <w:rFonts w:ascii="Times New Roman" w:hAnsi="Times New Roman"/>
          <w:sz w:val="24"/>
          <w:szCs w:val="24"/>
        </w:rPr>
        <w:t>102</w:t>
      </w:r>
      <w:r w:rsidR="005F577B">
        <w:rPr>
          <w:rFonts w:ascii="Times New Roman" w:hAnsi="Times New Roman"/>
          <w:sz w:val="24"/>
          <w:szCs w:val="24"/>
        </w:rPr>
        <w:t>,</w:t>
      </w:r>
      <w:r w:rsidR="005F577B" w:rsidRPr="005F577B">
        <w:rPr>
          <w:rFonts w:ascii="Times New Roman" w:hAnsi="Times New Roman"/>
          <w:sz w:val="24"/>
          <w:szCs w:val="24"/>
        </w:rPr>
        <w:t>103</w:t>
      </w:r>
      <w:r w:rsidR="005F577B">
        <w:rPr>
          <w:rFonts w:ascii="Times New Roman" w:hAnsi="Times New Roman"/>
          <w:sz w:val="24"/>
          <w:szCs w:val="24"/>
        </w:rPr>
        <w:t>,</w:t>
      </w:r>
      <w:r w:rsidR="005F577B" w:rsidRPr="005F577B">
        <w:rPr>
          <w:rFonts w:ascii="Times New Roman" w:hAnsi="Times New Roman"/>
          <w:sz w:val="24"/>
          <w:szCs w:val="24"/>
        </w:rPr>
        <w:t>48</w:t>
      </w:r>
      <w:r w:rsidR="00F50318">
        <w:rPr>
          <w:rFonts w:ascii="Times New Roman" w:hAnsi="Times New Roman"/>
          <w:sz w:val="24"/>
          <w:szCs w:val="24"/>
        </w:rPr>
        <w:t>8</w:t>
      </w:r>
      <w:r w:rsidR="005F577B">
        <w:rPr>
          <w:rFonts w:ascii="Times New Roman" w:hAnsi="Times New Roman"/>
          <w:sz w:val="24"/>
          <w:szCs w:val="24"/>
        </w:rPr>
        <w:t xml:space="preserve"> </w:t>
      </w:r>
    </w:p>
    <w:p w14:paraId="7BF64FB7" w14:textId="77777777" w:rsidR="002D3555" w:rsidRPr="00BF04B4" w:rsidRDefault="002D3555" w:rsidP="00BF04B4">
      <w:pPr>
        <w:pStyle w:val="Default"/>
        <w:spacing w:after="240"/>
        <w:rPr>
          <w:iCs/>
          <w:u w:val="single"/>
        </w:rPr>
      </w:pPr>
      <w:r w:rsidRPr="00BF04B4">
        <w:rPr>
          <w:iCs/>
          <w:u w:val="single"/>
        </w:rPr>
        <w:t>CFPB’s burden, By Information Collection</w:t>
      </w:r>
    </w:p>
    <w:tbl>
      <w:tblPr>
        <w:tblW w:w="963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2880"/>
        <w:gridCol w:w="1350"/>
        <w:gridCol w:w="1170"/>
        <w:gridCol w:w="1260"/>
        <w:gridCol w:w="1620"/>
        <w:gridCol w:w="1350"/>
      </w:tblGrid>
      <w:tr w:rsidR="001D0D07" w:rsidRPr="00BF04B4" w14:paraId="348C6726" w14:textId="77777777" w:rsidTr="001D0D07">
        <w:trPr>
          <w:cantSplit/>
        </w:trPr>
        <w:tc>
          <w:tcPr>
            <w:tcW w:w="2880" w:type="dxa"/>
            <w:vAlign w:val="center"/>
          </w:tcPr>
          <w:p w14:paraId="335D1F4F" w14:textId="77777777" w:rsidR="00D252B9" w:rsidRPr="00BF04B4" w:rsidRDefault="00D252B9" w:rsidP="001977D9">
            <w:pPr>
              <w:tabs>
                <w:tab w:val="left" w:pos="-1440"/>
                <w:tab w:val="left" w:pos="-720"/>
                <w:tab w:val="left" w:pos="0"/>
                <w:tab w:val="left" w:pos="240"/>
                <w:tab w:val="left" w:pos="720"/>
                <w:tab w:val="left" w:pos="1440"/>
                <w:tab w:val="left" w:pos="2160"/>
                <w:tab w:val="left" w:pos="2880"/>
                <w:tab w:val="left" w:pos="3600"/>
              </w:tabs>
              <w:spacing w:after="120" w:line="240" w:lineRule="auto"/>
              <w:rPr>
                <w:rFonts w:ascii="Times New Roman" w:hAnsi="Times New Roman"/>
                <w:sz w:val="24"/>
                <w:szCs w:val="24"/>
              </w:rPr>
            </w:pPr>
          </w:p>
        </w:tc>
        <w:tc>
          <w:tcPr>
            <w:tcW w:w="1350" w:type="dxa"/>
            <w:vAlign w:val="center"/>
          </w:tcPr>
          <w:p w14:paraId="51878ED2" w14:textId="0CC52CA3" w:rsidR="00D252B9" w:rsidRPr="001D0D07" w:rsidRDefault="00D252B9" w:rsidP="001977D9">
            <w:pPr>
              <w:tabs>
                <w:tab w:val="left" w:pos="-1440"/>
                <w:tab w:val="left" w:pos="-720"/>
                <w:tab w:val="left" w:pos="0"/>
                <w:tab w:val="left" w:pos="240"/>
                <w:tab w:val="left" w:pos="720"/>
              </w:tabs>
              <w:spacing w:after="120" w:line="240" w:lineRule="auto"/>
              <w:jc w:val="center"/>
              <w:rPr>
                <w:rFonts w:ascii="Times New Roman" w:hAnsi="Times New Roman"/>
              </w:rPr>
            </w:pPr>
            <w:r w:rsidRPr="001D0D07">
              <w:rPr>
                <w:rFonts w:ascii="Times New Roman" w:hAnsi="Times New Roman"/>
                <w:i/>
                <w:color w:val="000000"/>
              </w:rPr>
              <w:t>Number of respondents</w:t>
            </w:r>
          </w:p>
        </w:tc>
        <w:tc>
          <w:tcPr>
            <w:tcW w:w="1170" w:type="dxa"/>
            <w:vAlign w:val="center"/>
          </w:tcPr>
          <w:p w14:paraId="587F0101" w14:textId="77777777" w:rsidR="00D252B9" w:rsidRPr="001D0D07" w:rsidRDefault="00D252B9" w:rsidP="001977D9">
            <w:pPr>
              <w:tabs>
                <w:tab w:val="left" w:pos="-1440"/>
                <w:tab w:val="left" w:pos="-720"/>
                <w:tab w:val="left" w:pos="0"/>
                <w:tab w:val="left" w:pos="240"/>
                <w:tab w:val="left" w:pos="720"/>
              </w:tabs>
              <w:spacing w:after="120" w:line="240" w:lineRule="auto"/>
              <w:jc w:val="center"/>
              <w:rPr>
                <w:rFonts w:ascii="Times New Roman" w:hAnsi="Times New Roman"/>
              </w:rPr>
            </w:pPr>
            <w:r w:rsidRPr="001D0D07">
              <w:rPr>
                <w:rFonts w:ascii="Times New Roman" w:hAnsi="Times New Roman"/>
                <w:i/>
                <w:color w:val="000000"/>
              </w:rPr>
              <w:t>Estimated annual frequency</w:t>
            </w:r>
          </w:p>
        </w:tc>
        <w:tc>
          <w:tcPr>
            <w:tcW w:w="1260" w:type="dxa"/>
            <w:vAlign w:val="center"/>
          </w:tcPr>
          <w:p w14:paraId="11CE6BCC" w14:textId="10C9D12A" w:rsidR="00D252B9" w:rsidRPr="001D0D07" w:rsidRDefault="00D9344E" w:rsidP="001D0D07">
            <w:pPr>
              <w:tabs>
                <w:tab w:val="left" w:pos="-1440"/>
                <w:tab w:val="left" w:pos="-720"/>
                <w:tab w:val="left" w:pos="0"/>
                <w:tab w:val="left" w:pos="240"/>
                <w:tab w:val="left" w:pos="720"/>
              </w:tabs>
              <w:spacing w:after="120" w:line="240" w:lineRule="auto"/>
              <w:jc w:val="center"/>
              <w:rPr>
                <w:rFonts w:ascii="Times New Roman" w:hAnsi="Times New Roman"/>
                <w:i/>
                <w:color w:val="000000"/>
              </w:rPr>
            </w:pPr>
            <w:r w:rsidRPr="001D0D07">
              <w:rPr>
                <w:rFonts w:ascii="Times New Roman" w:hAnsi="Times New Roman"/>
                <w:i/>
                <w:color w:val="000000"/>
              </w:rPr>
              <w:t>A</w:t>
            </w:r>
            <w:r w:rsidR="00D252B9" w:rsidRPr="001D0D07">
              <w:rPr>
                <w:rFonts w:ascii="Times New Roman" w:hAnsi="Times New Roman"/>
                <w:i/>
                <w:color w:val="000000"/>
              </w:rPr>
              <w:t>nnual responses</w:t>
            </w:r>
          </w:p>
        </w:tc>
        <w:tc>
          <w:tcPr>
            <w:tcW w:w="1620" w:type="dxa"/>
            <w:vAlign w:val="center"/>
          </w:tcPr>
          <w:p w14:paraId="5BC97F7C" w14:textId="30A3AA71" w:rsidR="00D252B9" w:rsidRPr="001D0D07" w:rsidRDefault="00D252B9" w:rsidP="001977D9">
            <w:pPr>
              <w:tabs>
                <w:tab w:val="left" w:pos="-1440"/>
                <w:tab w:val="left" w:pos="-720"/>
                <w:tab w:val="left" w:pos="0"/>
                <w:tab w:val="left" w:pos="240"/>
                <w:tab w:val="left" w:pos="720"/>
              </w:tabs>
              <w:spacing w:after="120" w:line="240" w:lineRule="auto"/>
              <w:jc w:val="center"/>
              <w:rPr>
                <w:rFonts w:ascii="Times New Roman" w:hAnsi="Times New Roman"/>
              </w:rPr>
            </w:pPr>
            <w:r w:rsidRPr="001D0D07">
              <w:rPr>
                <w:rFonts w:ascii="Times New Roman" w:hAnsi="Times New Roman"/>
                <w:i/>
                <w:color w:val="000000"/>
              </w:rPr>
              <w:t>Average time per response</w:t>
            </w:r>
          </w:p>
        </w:tc>
        <w:tc>
          <w:tcPr>
            <w:tcW w:w="1350" w:type="dxa"/>
            <w:vAlign w:val="center"/>
          </w:tcPr>
          <w:p w14:paraId="5C2C8F90" w14:textId="41370187" w:rsidR="00D252B9" w:rsidRPr="001D0D07" w:rsidRDefault="00D252B9" w:rsidP="001977D9">
            <w:pPr>
              <w:tabs>
                <w:tab w:val="left" w:pos="-1440"/>
                <w:tab w:val="left" w:pos="-720"/>
                <w:tab w:val="left" w:pos="0"/>
                <w:tab w:val="left" w:pos="240"/>
                <w:tab w:val="left" w:pos="720"/>
              </w:tabs>
              <w:spacing w:after="120" w:line="240" w:lineRule="auto"/>
              <w:jc w:val="center"/>
              <w:rPr>
                <w:rFonts w:ascii="Times New Roman" w:hAnsi="Times New Roman"/>
                <w:i/>
              </w:rPr>
            </w:pPr>
            <w:r w:rsidRPr="001D0D07">
              <w:rPr>
                <w:rFonts w:ascii="Times New Roman" w:hAnsi="Times New Roman"/>
                <w:i/>
              </w:rPr>
              <w:t>Estimated annual burden hours</w:t>
            </w:r>
          </w:p>
        </w:tc>
      </w:tr>
      <w:tr w:rsidR="001D0D07" w:rsidRPr="00BF04B4" w14:paraId="603A215B" w14:textId="77777777" w:rsidTr="001D0D07">
        <w:trPr>
          <w:cantSplit/>
        </w:trPr>
        <w:tc>
          <w:tcPr>
            <w:tcW w:w="2880" w:type="dxa"/>
            <w:vAlign w:val="bottom"/>
          </w:tcPr>
          <w:p w14:paraId="095DDC7F"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Transaction Receipts</w:t>
            </w:r>
          </w:p>
        </w:tc>
        <w:tc>
          <w:tcPr>
            <w:tcW w:w="1350" w:type="dxa"/>
          </w:tcPr>
          <w:p w14:paraId="70E0B6BF"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100,000</w:t>
            </w:r>
          </w:p>
        </w:tc>
        <w:tc>
          <w:tcPr>
            <w:tcW w:w="1170" w:type="dxa"/>
          </w:tcPr>
          <w:p w14:paraId="77CFA995"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40</w:t>
            </w:r>
          </w:p>
        </w:tc>
        <w:tc>
          <w:tcPr>
            <w:tcW w:w="1260" w:type="dxa"/>
          </w:tcPr>
          <w:p w14:paraId="1D804544" w14:textId="7A95C9FF" w:rsidR="00D252B9" w:rsidRPr="00BF04B4" w:rsidRDefault="00D252B9" w:rsidP="00AB2521">
            <w:pPr>
              <w:spacing w:after="120" w:line="240" w:lineRule="auto"/>
              <w:jc w:val="right"/>
              <w:rPr>
                <w:rFonts w:ascii="Times New Roman" w:hAnsi="Times New Roman"/>
                <w:sz w:val="24"/>
                <w:szCs w:val="24"/>
              </w:rPr>
            </w:pPr>
            <w:r>
              <w:rPr>
                <w:rFonts w:ascii="Times New Roman" w:hAnsi="Times New Roman"/>
                <w:sz w:val="24"/>
                <w:szCs w:val="24"/>
              </w:rPr>
              <w:t>4,000,000</w:t>
            </w:r>
          </w:p>
        </w:tc>
        <w:tc>
          <w:tcPr>
            <w:tcW w:w="1620" w:type="dxa"/>
          </w:tcPr>
          <w:p w14:paraId="74A99E0E" w14:textId="370A342C"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1.2 minutes</w:t>
            </w:r>
          </w:p>
        </w:tc>
        <w:tc>
          <w:tcPr>
            <w:tcW w:w="1350" w:type="dxa"/>
          </w:tcPr>
          <w:p w14:paraId="2A2172B4" w14:textId="7022E53C"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80,000</w:t>
            </w:r>
          </w:p>
        </w:tc>
      </w:tr>
      <w:tr w:rsidR="001D0D07" w:rsidRPr="00BF04B4" w14:paraId="5CC2B98C" w14:textId="77777777" w:rsidTr="001D0D07">
        <w:trPr>
          <w:cantSplit/>
        </w:trPr>
        <w:tc>
          <w:tcPr>
            <w:tcW w:w="2880" w:type="dxa"/>
            <w:vAlign w:val="bottom"/>
          </w:tcPr>
          <w:p w14:paraId="311E8237"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 xml:space="preserve">Change in Terms </w:t>
            </w:r>
          </w:p>
        </w:tc>
        <w:tc>
          <w:tcPr>
            <w:tcW w:w="1350" w:type="dxa"/>
          </w:tcPr>
          <w:p w14:paraId="7A764FDE" w14:textId="77777777" w:rsidR="00D252B9" w:rsidRPr="00BF04B4" w:rsidRDefault="00D252B9" w:rsidP="00AB2521">
            <w:pPr>
              <w:tabs>
                <w:tab w:val="left" w:pos="-1440"/>
                <w:tab w:val="left" w:pos="-720"/>
                <w:tab w:val="left" w:pos="0"/>
                <w:tab w:val="left" w:pos="240"/>
                <w:tab w:val="left" w:pos="720"/>
              </w:tabs>
              <w:spacing w:after="120" w:line="240" w:lineRule="auto"/>
              <w:jc w:val="right"/>
              <w:rPr>
                <w:rFonts w:ascii="Times New Roman" w:hAnsi="Times New Roman"/>
                <w:sz w:val="24"/>
                <w:szCs w:val="24"/>
              </w:rPr>
            </w:pPr>
            <w:r w:rsidRPr="00BF04B4">
              <w:rPr>
                <w:rFonts w:ascii="Times New Roman" w:hAnsi="Times New Roman"/>
                <w:snapToGrid w:val="0"/>
                <w:sz w:val="24"/>
                <w:szCs w:val="24"/>
              </w:rPr>
              <w:t>100,000</w:t>
            </w:r>
          </w:p>
        </w:tc>
        <w:tc>
          <w:tcPr>
            <w:tcW w:w="1170" w:type="dxa"/>
          </w:tcPr>
          <w:p w14:paraId="27E2FA53" w14:textId="77777777"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napToGrid w:val="0"/>
                <w:sz w:val="24"/>
                <w:szCs w:val="24"/>
              </w:rPr>
              <w:t>10</w:t>
            </w:r>
          </w:p>
        </w:tc>
        <w:tc>
          <w:tcPr>
            <w:tcW w:w="1260" w:type="dxa"/>
          </w:tcPr>
          <w:p w14:paraId="33984CB5" w14:textId="5F7323DC"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z w:val="24"/>
                <w:szCs w:val="24"/>
              </w:rPr>
            </w:pPr>
            <w:r>
              <w:rPr>
                <w:rFonts w:ascii="Times New Roman" w:hAnsi="Times New Roman"/>
                <w:sz w:val="24"/>
                <w:szCs w:val="24"/>
              </w:rPr>
              <w:t>1,000,000</w:t>
            </w:r>
          </w:p>
        </w:tc>
        <w:tc>
          <w:tcPr>
            <w:tcW w:w="1620" w:type="dxa"/>
          </w:tcPr>
          <w:p w14:paraId="49AA1399" w14:textId="5CEE0DE7"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z w:val="24"/>
                <w:szCs w:val="24"/>
              </w:rPr>
              <w:t>16.5 minutes</w:t>
            </w:r>
          </w:p>
        </w:tc>
        <w:tc>
          <w:tcPr>
            <w:tcW w:w="1350" w:type="dxa"/>
          </w:tcPr>
          <w:p w14:paraId="1CBEBF6F" w14:textId="5BF909FE"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z w:val="24"/>
                <w:szCs w:val="24"/>
              </w:rPr>
              <w:t>275,000</w:t>
            </w:r>
          </w:p>
        </w:tc>
      </w:tr>
      <w:tr w:rsidR="001D0D07" w:rsidRPr="00BF04B4" w14:paraId="1E4E25D0" w14:textId="77777777" w:rsidTr="001D0D07">
        <w:trPr>
          <w:cantSplit/>
        </w:trPr>
        <w:tc>
          <w:tcPr>
            <w:tcW w:w="2880" w:type="dxa"/>
            <w:vAlign w:val="bottom"/>
          </w:tcPr>
          <w:p w14:paraId="355520DA"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Payroll Disclosures</w:t>
            </w:r>
          </w:p>
        </w:tc>
        <w:tc>
          <w:tcPr>
            <w:tcW w:w="1350" w:type="dxa"/>
          </w:tcPr>
          <w:p w14:paraId="1DDA21BD" w14:textId="77777777" w:rsidR="00D252B9" w:rsidRPr="00BF04B4" w:rsidRDefault="00D252B9" w:rsidP="00AB2521">
            <w:pPr>
              <w:tabs>
                <w:tab w:val="left" w:pos="-1440"/>
                <w:tab w:val="left" w:pos="-720"/>
                <w:tab w:val="left" w:pos="0"/>
                <w:tab w:val="left" w:pos="240"/>
                <w:tab w:val="left" w:pos="720"/>
              </w:tabs>
              <w:spacing w:after="120" w:line="240" w:lineRule="auto"/>
              <w:jc w:val="right"/>
              <w:rPr>
                <w:rFonts w:ascii="Times New Roman" w:hAnsi="Times New Roman"/>
                <w:bCs/>
                <w:sz w:val="24"/>
                <w:szCs w:val="24"/>
              </w:rPr>
            </w:pPr>
            <w:r w:rsidRPr="00BF04B4">
              <w:rPr>
                <w:rFonts w:ascii="Times New Roman" w:hAnsi="Times New Roman"/>
                <w:sz w:val="24"/>
                <w:szCs w:val="24"/>
              </w:rPr>
              <w:t>600,000</w:t>
            </w:r>
          </w:p>
        </w:tc>
        <w:tc>
          <w:tcPr>
            <w:tcW w:w="1170" w:type="dxa"/>
          </w:tcPr>
          <w:p w14:paraId="544D21A1" w14:textId="77777777"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0BA8586A" w14:textId="5F33A23C"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Pr>
                <w:rFonts w:ascii="Times New Roman" w:hAnsi="Times New Roman"/>
                <w:snapToGrid w:val="0"/>
                <w:sz w:val="24"/>
                <w:szCs w:val="24"/>
              </w:rPr>
              <w:t>600,000</w:t>
            </w:r>
          </w:p>
        </w:tc>
        <w:tc>
          <w:tcPr>
            <w:tcW w:w="1620" w:type="dxa"/>
          </w:tcPr>
          <w:p w14:paraId="2E1012C1" w14:textId="74C383E8"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napToGrid w:val="0"/>
                <w:sz w:val="24"/>
                <w:szCs w:val="24"/>
              </w:rPr>
              <w:t>90 minutes</w:t>
            </w:r>
          </w:p>
        </w:tc>
        <w:tc>
          <w:tcPr>
            <w:tcW w:w="1350" w:type="dxa"/>
          </w:tcPr>
          <w:p w14:paraId="39AC33DB" w14:textId="55175618" w:rsidR="00D252B9" w:rsidRPr="00BF04B4" w:rsidRDefault="00D252B9" w:rsidP="00AB2521">
            <w:pPr>
              <w:pStyle w:val="Footer"/>
              <w:tabs>
                <w:tab w:val="left" w:pos="-1440"/>
                <w:tab w:val="left" w:pos="-720"/>
                <w:tab w:val="left" w:pos="0"/>
                <w:tab w:val="left" w:pos="240"/>
                <w:tab w:val="left" w:pos="720"/>
              </w:tabs>
              <w:spacing w:after="120"/>
              <w:jc w:val="right"/>
              <w:rPr>
                <w:rFonts w:ascii="Times New Roman" w:hAnsi="Times New Roman"/>
                <w:snapToGrid w:val="0"/>
                <w:sz w:val="24"/>
                <w:szCs w:val="24"/>
              </w:rPr>
            </w:pPr>
            <w:r w:rsidRPr="00BF04B4">
              <w:rPr>
                <w:rFonts w:ascii="Times New Roman" w:hAnsi="Times New Roman"/>
                <w:snapToGrid w:val="0"/>
                <w:sz w:val="24"/>
                <w:szCs w:val="24"/>
              </w:rPr>
              <w:t>900,000</w:t>
            </w:r>
          </w:p>
        </w:tc>
      </w:tr>
      <w:tr w:rsidR="001D0D07" w:rsidRPr="00BF04B4" w14:paraId="5BC8BA42" w14:textId="77777777" w:rsidTr="001D0D07">
        <w:trPr>
          <w:cantSplit/>
        </w:trPr>
        <w:tc>
          <w:tcPr>
            <w:tcW w:w="2880" w:type="dxa"/>
            <w:vAlign w:val="bottom"/>
          </w:tcPr>
          <w:p w14:paraId="370D5A74"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Recordkeeping</w:t>
            </w:r>
          </w:p>
        </w:tc>
        <w:tc>
          <w:tcPr>
            <w:tcW w:w="1350" w:type="dxa"/>
          </w:tcPr>
          <w:p w14:paraId="1653EF55"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600,000</w:t>
            </w:r>
          </w:p>
        </w:tc>
        <w:tc>
          <w:tcPr>
            <w:tcW w:w="1170" w:type="dxa"/>
          </w:tcPr>
          <w:p w14:paraId="2D114587"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4CCBF7B7" w14:textId="5AE3C68A" w:rsidR="00D252B9" w:rsidRPr="00BF04B4" w:rsidRDefault="00D252B9" w:rsidP="00AB2521">
            <w:pPr>
              <w:spacing w:after="120" w:line="240" w:lineRule="auto"/>
              <w:jc w:val="right"/>
              <w:rPr>
                <w:rFonts w:ascii="Times New Roman" w:hAnsi="Times New Roman"/>
                <w:sz w:val="24"/>
                <w:szCs w:val="24"/>
              </w:rPr>
            </w:pPr>
            <w:r>
              <w:rPr>
                <w:rFonts w:ascii="Times New Roman" w:hAnsi="Times New Roman"/>
                <w:sz w:val="24"/>
                <w:szCs w:val="24"/>
              </w:rPr>
              <w:t>600,000</w:t>
            </w:r>
          </w:p>
        </w:tc>
        <w:tc>
          <w:tcPr>
            <w:tcW w:w="1620" w:type="dxa"/>
          </w:tcPr>
          <w:p w14:paraId="0AA527FC" w14:textId="54549B05"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58.3 minutes</w:t>
            </w:r>
          </w:p>
        </w:tc>
        <w:tc>
          <w:tcPr>
            <w:tcW w:w="1350" w:type="dxa"/>
          </w:tcPr>
          <w:p w14:paraId="7CFB9D26" w14:textId="1550EA31"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color w:val="000000"/>
                <w:sz w:val="24"/>
                <w:szCs w:val="24"/>
              </w:rPr>
              <w:t>583,000</w:t>
            </w:r>
          </w:p>
        </w:tc>
      </w:tr>
      <w:tr w:rsidR="001D0D07" w:rsidRPr="00BF04B4" w14:paraId="73FFACCD" w14:textId="77777777" w:rsidTr="001D0D07">
        <w:trPr>
          <w:cantSplit/>
        </w:trPr>
        <w:tc>
          <w:tcPr>
            <w:tcW w:w="2880" w:type="dxa"/>
            <w:vAlign w:val="bottom"/>
          </w:tcPr>
          <w:p w14:paraId="3E9E4EC4"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Error Resolution</w:t>
            </w:r>
          </w:p>
        </w:tc>
        <w:tc>
          <w:tcPr>
            <w:tcW w:w="1350" w:type="dxa"/>
          </w:tcPr>
          <w:p w14:paraId="5A409868"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100,000</w:t>
            </w:r>
          </w:p>
        </w:tc>
        <w:tc>
          <w:tcPr>
            <w:tcW w:w="1170" w:type="dxa"/>
          </w:tcPr>
          <w:p w14:paraId="7B23BA80"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w:t>
            </w:r>
          </w:p>
        </w:tc>
        <w:tc>
          <w:tcPr>
            <w:tcW w:w="1260" w:type="dxa"/>
          </w:tcPr>
          <w:p w14:paraId="1F5364CE" w14:textId="6F4487CD" w:rsidR="00D252B9" w:rsidRPr="00BF04B4" w:rsidRDefault="00D252B9" w:rsidP="00AB2521">
            <w:pPr>
              <w:spacing w:after="120" w:line="240" w:lineRule="auto"/>
              <w:jc w:val="right"/>
              <w:rPr>
                <w:rFonts w:ascii="Times New Roman" w:hAnsi="Times New Roman"/>
                <w:sz w:val="24"/>
                <w:szCs w:val="24"/>
              </w:rPr>
            </w:pPr>
            <w:r>
              <w:rPr>
                <w:rFonts w:ascii="Times New Roman" w:hAnsi="Times New Roman"/>
                <w:sz w:val="24"/>
                <w:szCs w:val="24"/>
              </w:rPr>
              <w:t>1,000,000</w:t>
            </w:r>
          </w:p>
        </w:tc>
        <w:tc>
          <w:tcPr>
            <w:tcW w:w="1620" w:type="dxa"/>
          </w:tcPr>
          <w:p w14:paraId="24B6AFD8" w14:textId="47EB0CB5"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3.96 minutes</w:t>
            </w:r>
          </w:p>
        </w:tc>
        <w:tc>
          <w:tcPr>
            <w:tcW w:w="1350" w:type="dxa"/>
          </w:tcPr>
          <w:p w14:paraId="0F84C82A" w14:textId="7D088EE8" w:rsidR="00D252B9" w:rsidRPr="00BF04B4" w:rsidRDefault="00D252B9" w:rsidP="00AB2521">
            <w:pPr>
              <w:spacing w:after="120" w:line="240" w:lineRule="auto"/>
              <w:jc w:val="right"/>
              <w:rPr>
                <w:rFonts w:ascii="Times New Roman" w:hAnsi="Times New Roman"/>
                <w:sz w:val="24"/>
                <w:szCs w:val="24"/>
                <w:u w:val="single"/>
              </w:rPr>
            </w:pPr>
            <w:r w:rsidRPr="00BF04B4">
              <w:rPr>
                <w:rFonts w:ascii="Times New Roman" w:hAnsi="Times New Roman"/>
                <w:color w:val="000000"/>
                <w:sz w:val="24"/>
                <w:szCs w:val="24"/>
              </w:rPr>
              <w:t>66,000</w:t>
            </w:r>
          </w:p>
        </w:tc>
      </w:tr>
      <w:tr w:rsidR="001D0D07" w:rsidRPr="00BF04B4" w14:paraId="1F20B47D" w14:textId="77777777" w:rsidTr="001D0D07">
        <w:trPr>
          <w:cantSplit/>
        </w:trPr>
        <w:tc>
          <w:tcPr>
            <w:tcW w:w="2880" w:type="dxa"/>
            <w:vAlign w:val="bottom"/>
          </w:tcPr>
          <w:p w14:paraId="3295217F"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Maintenance and Error Resolution, depository institutions (ongoing)</w:t>
            </w:r>
          </w:p>
        </w:tc>
        <w:tc>
          <w:tcPr>
            <w:tcW w:w="1350" w:type="dxa"/>
          </w:tcPr>
          <w:p w14:paraId="1E32C3B4"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153</w:t>
            </w:r>
          </w:p>
        </w:tc>
        <w:tc>
          <w:tcPr>
            <w:tcW w:w="1170" w:type="dxa"/>
          </w:tcPr>
          <w:p w14:paraId="1C8A9D92" w14:textId="28C21549"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3AB1F106" w14:textId="6E787B69" w:rsidR="00D252B9" w:rsidRPr="00BF04B4" w:rsidRDefault="00D252B9" w:rsidP="00AB2521">
            <w:pPr>
              <w:spacing w:after="120" w:line="240" w:lineRule="auto"/>
              <w:jc w:val="right"/>
              <w:rPr>
                <w:rFonts w:ascii="Times New Roman" w:hAnsi="Times New Roman"/>
                <w:sz w:val="24"/>
                <w:szCs w:val="24"/>
              </w:rPr>
            </w:pPr>
            <w:r>
              <w:rPr>
                <w:rFonts w:ascii="Times New Roman" w:hAnsi="Times New Roman"/>
                <w:sz w:val="24"/>
                <w:szCs w:val="24"/>
              </w:rPr>
              <w:t>153</w:t>
            </w:r>
          </w:p>
        </w:tc>
        <w:tc>
          <w:tcPr>
            <w:tcW w:w="1620" w:type="dxa"/>
          </w:tcPr>
          <w:p w14:paraId="0CCBA0F7" w14:textId="5D4EFFA3"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350.75 hours</w:t>
            </w:r>
          </w:p>
        </w:tc>
        <w:tc>
          <w:tcPr>
            <w:tcW w:w="1350" w:type="dxa"/>
          </w:tcPr>
          <w:p w14:paraId="7AEADCAC" w14:textId="7FD76789"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53,664</w:t>
            </w:r>
          </w:p>
        </w:tc>
      </w:tr>
      <w:tr w:rsidR="001D0D07" w:rsidRPr="00BF04B4" w14:paraId="326E3A59" w14:textId="77777777" w:rsidTr="001D0D07">
        <w:trPr>
          <w:cantSplit/>
        </w:trPr>
        <w:tc>
          <w:tcPr>
            <w:tcW w:w="2880" w:type="dxa"/>
            <w:vAlign w:val="bottom"/>
          </w:tcPr>
          <w:p w14:paraId="44B8D895" w14:textId="77777777"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Maintenance and Error Resolution, non-depository institutions (ongoing)</w:t>
            </w:r>
          </w:p>
        </w:tc>
        <w:tc>
          <w:tcPr>
            <w:tcW w:w="1350" w:type="dxa"/>
          </w:tcPr>
          <w:p w14:paraId="02599650"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33,500</w:t>
            </w:r>
          </w:p>
        </w:tc>
        <w:tc>
          <w:tcPr>
            <w:tcW w:w="1170" w:type="dxa"/>
          </w:tcPr>
          <w:p w14:paraId="41E827CB"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3B581FB3" w14:textId="1F236534" w:rsidR="00D252B9" w:rsidRPr="00BF04B4" w:rsidRDefault="00D252B9" w:rsidP="00AB2521">
            <w:pPr>
              <w:spacing w:after="120" w:line="240" w:lineRule="auto"/>
              <w:jc w:val="right"/>
              <w:rPr>
                <w:rFonts w:ascii="Times New Roman" w:hAnsi="Times New Roman"/>
                <w:sz w:val="24"/>
                <w:szCs w:val="24"/>
              </w:rPr>
            </w:pPr>
            <w:r>
              <w:rPr>
                <w:rFonts w:ascii="Times New Roman" w:hAnsi="Times New Roman"/>
                <w:sz w:val="24"/>
                <w:szCs w:val="24"/>
              </w:rPr>
              <w:t>33,500</w:t>
            </w:r>
          </w:p>
        </w:tc>
        <w:tc>
          <w:tcPr>
            <w:tcW w:w="1620" w:type="dxa"/>
          </w:tcPr>
          <w:p w14:paraId="024B8173" w14:textId="577840BB"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41.905 hours</w:t>
            </w:r>
          </w:p>
        </w:tc>
        <w:tc>
          <w:tcPr>
            <w:tcW w:w="1350" w:type="dxa"/>
          </w:tcPr>
          <w:p w14:paraId="25B1D612" w14:textId="2D3992CC"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1,403,818</w:t>
            </w:r>
          </w:p>
        </w:tc>
      </w:tr>
      <w:tr w:rsidR="001D0D07" w:rsidRPr="00BF04B4" w14:paraId="14B5B6F2" w14:textId="77777777" w:rsidTr="001D0D07">
        <w:trPr>
          <w:cantSplit/>
        </w:trPr>
        <w:tc>
          <w:tcPr>
            <w:tcW w:w="2880" w:type="dxa"/>
            <w:vAlign w:val="bottom"/>
          </w:tcPr>
          <w:p w14:paraId="49C12F97" w14:textId="5AAF1A5B"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Short Form</w:t>
            </w:r>
            <w:r>
              <w:rPr>
                <w:rFonts w:ascii="Times New Roman" w:hAnsi="Times New Roman"/>
                <w:sz w:val="24"/>
                <w:szCs w:val="24"/>
              </w:rPr>
              <w:t xml:space="preserve"> Additional Fee Type</w:t>
            </w:r>
            <w:r w:rsidRPr="00BF04B4">
              <w:rPr>
                <w:rFonts w:ascii="Times New Roman" w:hAnsi="Times New Roman"/>
                <w:sz w:val="24"/>
                <w:szCs w:val="24"/>
              </w:rPr>
              <w:t xml:space="preserve"> Disclosure, depository institutions (ongoing)</w:t>
            </w:r>
          </w:p>
        </w:tc>
        <w:tc>
          <w:tcPr>
            <w:tcW w:w="1350" w:type="dxa"/>
          </w:tcPr>
          <w:p w14:paraId="134B83BB"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53096889" w14:textId="20D839FD"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12</w:t>
            </w:r>
          </w:p>
        </w:tc>
        <w:tc>
          <w:tcPr>
            <w:tcW w:w="1260" w:type="dxa"/>
          </w:tcPr>
          <w:p w14:paraId="21EE4372" w14:textId="5EA50C7D"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216</w:t>
            </w:r>
          </w:p>
        </w:tc>
        <w:tc>
          <w:tcPr>
            <w:tcW w:w="1620" w:type="dxa"/>
          </w:tcPr>
          <w:p w14:paraId="2AFC342D" w14:textId="3EC4E0BB"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240 minutes</w:t>
            </w:r>
          </w:p>
        </w:tc>
        <w:tc>
          <w:tcPr>
            <w:tcW w:w="1350" w:type="dxa"/>
          </w:tcPr>
          <w:p w14:paraId="286A651C" w14:textId="5D74D5D6"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864</w:t>
            </w:r>
          </w:p>
        </w:tc>
      </w:tr>
      <w:tr w:rsidR="001D0D07" w:rsidRPr="00BF04B4" w14:paraId="6E698AEA" w14:textId="77777777" w:rsidTr="001D0D07">
        <w:trPr>
          <w:cantSplit/>
        </w:trPr>
        <w:tc>
          <w:tcPr>
            <w:tcW w:w="2880" w:type="dxa"/>
            <w:vAlign w:val="bottom"/>
          </w:tcPr>
          <w:p w14:paraId="1A38183D" w14:textId="0A92F0ED"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Short Form</w:t>
            </w:r>
            <w:r>
              <w:rPr>
                <w:rFonts w:ascii="Times New Roman" w:hAnsi="Times New Roman"/>
                <w:sz w:val="24"/>
                <w:szCs w:val="24"/>
              </w:rPr>
              <w:t xml:space="preserve"> Additional Fee Type</w:t>
            </w:r>
            <w:r w:rsidRPr="00BF04B4">
              <w:rPr>
                <w:rFonts w:ascii="Times New Roman" w:hAnsi="Times New Roman"/>
                <w:sz w:val="24"/>
                <w:szCs w:val="24"/>
              </w:rPr>
              <w:t xml:space="preserve"> Disclosure, non-depository institutions (ongoing)</w:t>
            </w:r>
          </w:p>
        </w:tc>
        <w:tc>
          <w:tcPr>
            <w:tcW w:w="1350" w:type="dxa"/>
          </w:tcPr>
          <w:p w14:paraId="7506AA15"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142</w:t>
            </w:r>
          </w:p>
        </w:tc>
        <w:tc>
          <w:tcPr>
            <w:tcW w:w="1170" w:type="dxa"/>
          </w:tcPr>
          <w:p w14:paraId="1BB7E43D" w14:textId="1B9D46C8"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12</w:t>
            </w:r>
          </w:p>
        </w:tc>
        <w:tc>
          <w:tcPr>
            <w:tcW w:w="1260" w:type="dxa"/>
          </w:tcPr>
          <w:p w14:paraId="6D2E11FA" w14:textId="7CDD0FF7"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1704</w:t>
            </w:r>
          </w:p>
        </w:tc>
        <w:tc>
          <w:tcPr>
            <w:tcW w:w="1620" w:type="dxa"/>
          </w:tcPr>
          <w:p w14:paraId="78BBAE55" w14:textId="4C9E3A44"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120 minutes</w:t>
            </w:r>
          </w:p>
        </w:tc>
        <w:tc>
          <w:tcPr>
            <w:tcW w:w="1350" w:type="dxa"/>
          </w:tcPr>
          <w:p w14:paraId="531BD93B" w14:textId="32C89C80"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3,408</w:t>
            </w:r>
          </w:p>
        </w:tc>
      </w:tr>
      <w:tr w:rsidR="001D0D07" w:rsidRPr="00BF04B4" w14:paraId="0A9E8EA9" w14:textId="77777777" w:rsidTr="001D0D07">
        <w:trPr>
          <w:cantSplit/>
        </w:trPr>
        <w:tc>
          <w:tcPr>
            <w:tcW w:w="2880" w:type="dxa"/>
            <w:vAlign w:val="bottom"/>
          </w:tcPr>
          <w:p w14:paraId="62033515" w14:textId="66152131"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depository institutions (ongoing)</w:t>
            </w:r>
          </w:p>
        </w:tc>
        <w:tc>
          <w:tcPr>
            <w:tcW w:w="1350" w:type="dxa"/>
          </w:tcPr>
          <w:p w14:paraId="30184D0F"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2</w:t>
            </w:r>
          </w:p>
        </w:tc>
        <w:tc>
          <w:tcPr>
            <w:tcW w:w="1170" w:type="dxa"/>
          </w:tcPr>
          <w:p w14:paraId="2F50F78A" w14:textId="530FCE65"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539</w:t>
            </w:r>
          </w:p>
        </w:tc>
        <w:tc>
          <w:tcPr>
            <w:tcW w:w="1260" w:type="dxa"/>
          </w:tcPr>
          <w:p w14:paraId="60084280" w14:textId="5B5EF13C"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1078</w:t>
            </w:r>
          </w:p>
        </w:tc>
        <w:tc>
          <w:tcPr>
            <w:tcW w:w="1620" w:type="dxa"/>
          </w:tcPr>
          <w:p w14:paraId="503540B9" w14:textId="1B748468"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30 minutes</w:t>
            </w:r>
          </w:p>
        </w:tc>
        <w:tc>
          <w:tcPr>
            <w:tcW w:w="1350" w:type="dxa"/>
          </w:tcPr>
          <w:p w14:paraId="2600E003" w14:textId="1336FAD4"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539</w:t>
            </w:r>
          </w:p>
        </w:tc>
      </w:tr>
      <w:tr w:rsidR="001D0D07" w:rsidRPr="00BF04B4" w14:paraId="564FA70D" w14:textId="77777777" w:rsidTr="001D0D07">
        <w:trPr>
          <w:cantSplit/>
        </w:trPr>
        <w:tc>
          <w:tcPr>
            <w:tcW w:w="2880" w:type="dxa"/>
            <w:vAlign w:val="bottom"/>
          </w:tcPr>
          <w:p w14:paraId="7FD3AC60" w14:textId="53A745DE"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non-depository institutions (ongoing)</w:t>
            </w:r>
          </w:p>
        </w:tc>
        <w:tc>
          <w:tcPr>
            <w:tcW w:w="1350" w:type="dxa"/>
          </w:tcPr>
          <w:p w14:paraId="7688EDE9"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7E1BFA67" w14:textId="304C5BEA"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539</w:t>
            </w:r>
          </w:p>
        </w:tc>
        <w:tc>
          <w:tcPr>
            <w:tcW w:w="1260" w:type="dxa"/>
          </w:tcPr>
          <w:p w14:paraId="7705540A" w14:textId="645974E5"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9702</w:t>
            </w:r>
          </w:p>
        </w:tc>
        <w:tc>
          <w:tcPr>
            <w:tcW w:w="1620" w:type="dxa"/>
          </w:tcPr>
          <w:p w14:paraId="12623DE1" w14:textId="37EC1599"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15 minutes</w:t>
            </w:r>
          </w:p>
        </w:tc>
        <w:tc>
          <w:tcPr>
            <w:tcW w:w="1350" w:type="dxa"/>
          </w:tcPr>
          <w:p w14:paraId="5DEC88F9" w14:textId="4612FE1C"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2,426</w:t>
            </w:r>
          </w:p>
        </w:tc>
      </w:tr>
      <w:tr w:rsidR="001D0D07" w:rsidRPr="00BF04B4" w14:paraId="7F65FC73" w14:textId="77777777" w:rsidTr="001D0D07">
        <w:trPr>
          <w:cantSplit/>
        </w:trPr>
        <w:tc>
          <w:tcPr>
            <w:tcW w:w="2880" w:type="dxa"/>
            <w:vAlign w:val="bottom"/>
          </w:tcPr>
          <w:p w14:paraId="48C87B75" w14:textId="53303328" w:rsidR="00D252B9" w:rsidRPr="00BF04B4" w:rsidRDefault="00D252B9" w:rsidP="00313911">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 xml:space="preserve">Prepaid Account </w:t>
            </w:r>
            <w:r w:rsidRPr="00BF04B4">
              <w:rPr>
                <w:rFonts w:ascii="Times New Roman" w:hAnsi="Times New Roman"/>
                <w:sz w:val="24"/>
                <w:szCs w:val="24"/>
              </w:rPr>
              <w:t>Agreements, depository institutions (ongoing)</w:t>
            </w:r>
          </w:p>
        </w:tc>
        <w:tc>
          <w:tcPr>
            <w:tcW w:w="1350" w:type="dxa"/>
          </w:tcPr>
          <w:p w14:paraId="4E351A42"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36</w:t>
            </w:r>
          </w:p>
        </w:tc>
        <w:tc>
          <w:tcPr>
            <w:tcW w:w="1170" w:type="dxa"/>
          </w:tcPr>
          <w:p w14:paraId="663D3F40" w14:textId="48936A15"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5</w:t>
            </w:r>
          </w:p>
        </w:tc>
        <w:tc>
          <w:tcPr>
            <w:tcW w:w="1260" w:type="dxa"/>
          </w:tcPr>
          <w:p w14:paraId="20EEC36A" w14:textId="56E66DD3"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180</w:t>
            </w:r>
          </w:p>
        </w:tc>
        <w:tc>
          <w:tcPr>
            <w:tcW w:w="1620" w:type="dxa"/>
          </w:tcPr>
          <w:p w14:paraId="56B05BF5" w14:textId="2275EC16"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5 minutes</w:t>
            </w:r>
          </w:p>
        </w:tc>
        <w:tc>
          <w:tcPr>
            <w:tcW w:w="1350" w:type="dxa"/>
          </w:tcPr>
          <w:p w14:paraId="46C49A73" w14:textId="0587227B"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15</w:t>
            </w:r>
          </w:p>
        </w:tc>
      </w:tr>
      <w:tr w:rsidR="001D0D07" w:rsidRPr="00BF04B4" w14:paraId="439D2708" w14:textId="77777777" w:rsidTr="001D0D07">
        <w:trPr>
          <w:cantSplit/>
        </w:trPr>
        <w:tc>
          <w:tcPr>
            <w:tcW w:w="2880" w:type="dxa"/>
            <w:vAlign w:val="bottom"/>
          </w:tcPr>
          <w:p w14:paraId="0692BD58" w14:textId="7B2779BE" w:rsidR="00D252B9" w:rsidRPr="00BF04B4" w:rsidRDefault="00D252B9" w:rsidP="003262C5">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 xml:space="preserve">Prepaid Account </w:t>
            </w:r>
            <w:r w:rsidRPr="00BF04B4">
              <w:rPr>
                <w:rFonts w:ascii="Times New Roman" w:hAnsi="Times New Roman"/>
                <w:sz w:val="24"/>
                <w:szCs w:val="24"/>
              </w:rPr>
              <w:t>Agreements, non-depository institutions (ongoing)</w:t>
            </w:r>
          </w:p>
        </w:tc>
        <w:tc>
          <w:tcPr>
            <w:tcW w:w="1350" w:type="dxa"/>
          </w:tcPr>
          <w:p w14:paraId="46768C4B"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w:t>
            </w:r>
          </w:p>
        </w:tc>
        <w:tc>
          <w:tcPr>
            <w:tcW w:w="1170" w:type="dxa"/>
          </w:tcPr>
          <w:p w14:paraId="4CF10358" w14:textId="144442D0"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5</w:t>
            </w:r>
          </w:p>
        </w:tc>
        <w:tc>
          <w:tcPr>
            <w:tcW w:w="1260" w:type="dxa"/>
          </w:tcPr>
          <w:p w14:paraId="515D2E81" w14:textId="6110226C"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50</w:t>
            </w:r>
          </w:p>
        </w:tc>
        <w:tc>
          <w:tcPr>
            <w:tcW w:w="1620" w:type="dxa"/>
          </w:tcPr>
          <w:p w14:paraId="551A2899" w14:textId="02CB6E90"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3 minutes</w:t>
            </w:r>
          </w:p>
        </w:tc>
        <w:tc>
          <w:tcPr>
            <w:tcW w:w="1350" w:type="dxa"/>
          </w:tcPr>
          <w:p w14:paraId="6794696B" w14:textId="0C62F0ED" w:rsidR="00D252B9" w:rsidRPr="00BF04B4" w:rsidRDefault="00D252B9" w:rsidP="00AB2521">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2</w:t>
            </w:r>
          </w:p>
        </w:tc>
      </w:tr>
      <w:tr w:rsidR="001D0D07" w:rsidRPr="00B5746C" w14:paraId="62FE5925" w14:textId="77777777" w:rsidTr="001D0D07">
        <w:trPr>
          <w:cantSplit/>
        </w:trPr>
        <w:tc>
          <w:tcPr>
            <w:tcW w:w="2880" w:type="dxa"/>
            <w:vAlign w:val="bottom"/>
          </w:tcPr>
          <w:p w14:paraId="3B6466BC" w14:textId="347663A9" w:rsidR="00D252B9" w:rsidRPr="00B5746C" w:rsidRDefault="00D252B9" w:rsidP="001977D9">
            <w:pPr>
              <w:spacing w:after="120" w:line="240" w:lineRule="auto"/>
              <w:rPr>
                <w:rFonts w:ascii="Times New Roman" w:hAnsi="Times New Roman"/>
                <w:sz w:val="24"/>
                <w:szCs w:val="24"/>
              </w:rPr>
            </w:pPr>
            <w:r w:rsidRPr="00B5746C">
              <w:rPr>
                <w:rFonts w:ascii="Times New Roman" w:hAnsi="Times New Roman"/>
                <w:sz w:val="24"/>
                <w:szCs w:val="24"/>
              </w:rPr>
              <w:t>Prepaid Account Short Form Disclosure, depository institutions (one time)</w:t>
            </w:r>
          </w:p>
        </w:tc>
        <w:tc>
          <w:tcPr>
            <w:tcW w:w="1350" w:type="dxa"/>
          </w:tcPr>
          <w:p w14:paraId="15C5FCC3"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18</w:t>
            </w:r>
          </w:p>
        </w:tc>
        <w:tc>
          <w:tcPr>
            <w:tcW w:w="1170" w:type="dxa"/>
          </w:tcPr>
          <w:p w14:paraId="677E7CBC"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260" w:type="dxa"/>
          </w:tcPr>
          <w:p w14:paraId="3A41E7C9" w14:textId="43058338" w:rsidR="00D252B9"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620" w:type="dxa"/>
          </w:tcPr>
          <w:p w14:paraId="7A842577" w14:textId="7ECDDA70"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474.9 hours</w:t>
            </w:r>
          </w:p>
        </w:tc>
        <w:tc>
          <w:tcPr>
            <w:tcW w:w="1350" w:type="dxa"/>
          </w:tcPr>
          <w:p w14:paraId="3A9E3905" w14:textId="782DE9E4"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8,548</w:t>
            </w:r>
          </w:p>
        </w:tc>
      </w:tr>
      <w:tr w:rsidR="001D0D07" w:rsidRPr="00B5746C" w14:paraId="03352C27" w14:textId="77777777" w:rsidTr="001D0D07">
        <w:trPr>
          <w:cantSplit/>
        </w:trPr>
        <w:tc>
          <w:tcPr>
            <w:tcW w:w="2880" w:type="dxa"/>
            <w:vAlign w:val="bottom"/>
          </w:tcPr>
          <w:p w14:paraId="52AEC299" w14:textId="3CDA2AFA" w:rsidR="00D252B9" w:rsidRPr="00B5746C" w:rsidRDefault="00D252B9" w:rsidP="001977D9">
            <w:pPr>
              <w:spacing w:after="120" w:line="240" w:lineRule="auto"/>
              <w:rPr>
                <w:rFonts w:ascii="Times New Roman" w:hAnsi="Times New Roman"/>
                <w:sz w:val="24"/>
                <w:szCs w:val="24"/>
              </w:rPr>
            </w:pPr>
            <w:r w:rsidRPr="00B5746C">
              <w:rPr>
                <w:rFonts w:ascii="Times New Roman" w:hAnsi="Times New Roman"/>
                <w:sz w:val="24"/>
                <w:szCs w:val="24"/>
              </w:rPr>
              <w:t>Prepaid Account Short Form Disclosure, non-depository institutions (one time)</w:t>
            </w:r>
          </w:p>
        </w:tc>
        <w:tc>
          <w:tcPr>
            <w:tcW w:w="1350" w:type="dxa"/>
          </w:tcPr>
          <w:p w14:paraId="156C3F7A"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142</w:t>
            </w:r>
          </w:p>
        </w:tc>
        <w:tc>
          <w:tcPr>
            <w:tcW w:w="1170" w:type="dxa"/>
          </w:tcPr>
          <w:p w14:paraId="74CBE144"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260" w:type="dxa"/>
          </w:tcPr>
          <w:p w14:paraId="15D563C6" w14:textId="4587CA18" w:rsidR="00D252B9"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620" w:type="dxa"/>
          </w:tcPr>
          <w:p w14:paraId="4C8DE583" w14:textId="0D65CF7B"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237.5 hours</w:t>
            </w:r>
          </w:p>
        </w:tc>
        <w:tc>
          <w:tcPr>
            <w:tcW w:w="1350" w:type="dxa"/>
          </w:tcPr>
          <w:p w14:paraId="7AAABD82" w14:textId="129E005A"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33,725</w:t>
            </w:r>
          </w:p>
        </w:tc>
      </w:tr>
      <w:tr w:rsidR="001D0D07" w:rsidRPr="00BF04B4" w14:paraId="38A35504" w14:textId="77777777" w:rsidTr="001D0D07">
        <w:trPr>
          <w:cantSplit/>
        </w:trPr>
        <w:tc>
          <w:tcPr>
            <w:tcW w:w="2880" w:type="dxa"/>
            <w:vAlign w:val="bottom"/>
          </w:tcPr>
          <w:p w14:paraId="29EB7450" w14:textId="18AF97D5" w:rsidR="00D252B9" w:rsidRPr="00B5746C" w:rsidRDefault="00D252B9" w:rsidP="001977D9">
            <w:pPr>
              <w:spacing w:after="120" w:line="240" w:lineRule="auto"/>
              <w:rPr>
                <w:rFonts w:ascii="Times New Roman" w:hAnsi="Times New Roman"/>
                <w:sz w:val="24"/>
                <w:szCs w:val="24"/>
              </w:rPr>
            </w:pPr>
            <w:r w:rsidRPr="00B5746C">
              <w:rPr>
                <w:rFonts w:ascii="Times New Roman" w:hAnsi="Times New Roman"/>
                <w:sz w:val="24"/>
                <w:szCs w:val="24"/>
              </w:rPr>
              <w:t>Prepaid Account Long Form Disclosure, depository institutions (one time)</w:t>
            </w:r>
          </w:p>
        </w:tc>
        <w:tc>
          <w:tcPr>
            <w:tcW w:w="1350" w:type="dxa"/>
          </w:tcPr>
          <w:p w14:paraId="48D9F7FB"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18</w:t>
            </w:r>
          </w:p>
        </w:tc>
        <w:tc>
          <w:tcPr>
            <w:tcW w:w="1170" w:type="dxa"/>
          </w:tcPr>
          <w:p w14:paraId="6D0B3DA2" w14:textId="77777777" w:rsidR="00D252B9" w:rsidRPr="00B5746C" w:rsidRDefault="00D252B9"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260" w:type="dxa"/>
          </w:tcPr>
          <w:p w14:paraId="506D57BE" w14:textId="0560D0E4" w:rsidR="00D252B9"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620" w:type="dxa"/>
          </w:tcPr>
          <w:p w14:paraId="63486DCE" w14:textId="36615E59"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95 hours</w:t>
            </w:r>
          </w:p>
        </w:tc>
        <w:tc>
          <w:tcPr>
            <w:tcW w:w="1350" w:type="dxa"/>
          </w:tcPr>
          <w:p w14:paraId="6CA95EB6" w14:textId="1969094F" w:rsidR="00D252B9" w:rsidRPr="00B5746C" w:rsidRDefault="00D252B9" w:rsidP="00AB2521">
            <w:pPr>
              <w:spacing w:after="120" w:line="240" w:lineRule="auto"/>
              <w:jc w:val="right"/>
              <w:rPr>
                <w:rFonts w:ascii="Times New Roman" w:hAnsi="Times New Roman"/>
                <w:sz w:val="24"/>
                <w:szCs w:val="24"/>
              </w:rPr>
            </w:pPr>
            <w:r w:rsidRPr="00B5746C">
              <w:rPr>
                <w:rFonts w:ascii="Times New Roman" w:hAnsi="Times New Roman"/>
                <w:sz w:val="24"/>
                <w:szCs w:val="24"/>
              </w:rPr>
              <w:t>1,710</w:t>
            </w:r>
          </w:p>
        </w:tc>
      </w:tr>
      <w:tr w:rsidR="001D0D07" w:rsidRPr="00BF04B4" w14:paraId="142FCC4C" w14:textId="77777777" w:rsidTr="001D0D07">
        <w:trPr>
          <w:cantSplit/>
        </w:trPr>
        <w:tc>
          <w:tcPr>
            <w:tcW w:w="2880" w:type="dxa"/>
            <w:vAlign w:val="bottom"/>
          </w:tcPr>
          <w:p w14:paraId="6D015FAE" w14:textId="23608625"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Long Form Disclosure, non-depository institutions (one time)</w:t>
            </w:r>
          </w:p>
        </w:tc>
        <w:tc>
          <w:tcPr>
            <w:tcW w:w="1350" w:type="dxa"/>
          </w:tcPr>
          <w:p w14:paraId="68C07F42"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142</w:t>
            </w:r>
          </w:p>
        </w:tc>
        <w:tc>
          <w:tcPr>
            <w:tcW w:w="1170" w:type="dxa"/>
          </w:tcPr>
          <w:p w14:paraId="3BDEFA24"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66E6611F" w14:textId="6E3A69F5"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620" w:type="dxa"/>
          </w:tcPr>
          <w:p w14:paraId="742F17E2" w14:textId="0DCC04F2"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47.5 hours</w:t>
            </w:r>
          </w:p>
        </w:tc>
        <w:tc>
          <w:tcPr>
            <w:tcW w:w="1350" w:type="dxa"/>
          </w:tcPr>
          <w:p w14:paraId="4DB42D04" w14:textId="4D82A3ED"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6,745</w:t>
            </w:r>
          </w:p>
        </w:tc>
      </w:tr>
      <w:tr w:rsidR="001D0D07" w:rsidRPr="00BF04B4" w14:paraId="6174CB70" w14:textId="77777777" w:rsidTr="001D0D07">
        <w:trPr>
          <w:cantSplit/>
        </w:trPr>
        <w:tc>
          <w:tcPr>
            <w:tcW w:w="2880" w:type="dxa"/>
            <w:vAlign w:val="bottom"/>
          </w:tcPr>
          <w:p w14:paraId="08BD2AEC" w14:textId="49070305"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Access to Prepaid Account Information, depository institutions (one time)</w:t>
            </w:r>
          </w:p>
        </w:tc>
        <w:tc>
          <w:tcPr>
            <w:tcW w:w="1350" w:type="dxa"/>
          </w:tcPr>
          <w:p w14:paraId="5C2452C2"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7887D110"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4DF5075E" w14:textId="51FFBF82"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620" w:type="dxa"/>
          </w:tcPr>
          <w:p w14:paraId="0D6C44EF" w14:textId="2F28DEB8"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284.9 hours</w:t>
            </w:r>
          </w:p>
        </w:tc>
        <w:tc>
          <w:tcPr>
            <w:tcW w:w="1350" w:type="dxa"/>
          </w:tcPr>
          <w:p w14:paraId="0D9D2A84" w14:textId="12FE1DEF"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5,128</w:t>
            </w:r>
          </w:p>
        </w:tc>
      </w:tr>
      <w:tr w:rsidR="001D0D07" w:rsidRPr="00BF04B4" w14:paraId="047144E0" w14:textId="77777777" w:rsidTr="001D0D07">
        <w:trPr>
          <w:cantSplit/>
        </w:trPr>
        <w:tc>
          <w:tcPr>
            <w:tcW w:w="2880" w:type="dxa"/>
            <w:vAlign w:val="bottom"/>
          </w:tcPr>
          <w:p w14:paraId="58AD7E73" w14:textId="4308E002" w:rsidR="00D252B9" w:rsidRPr="00BF04B4" w:rsidRDefault="00D252B9" w:rsidP="001977D9">
            <w:pPr>
              <w:spacing w:after="120" w:line="240" w:lineRule="auto"/>
              <w:rPr>
                <w:rFonts w:ascii="Times New Roman" w:hAnsi="Times New Roman"/>
                <w:sz w:val="24"/>
                <w:szCs w:val="24"/>
              </w:rPr>
            </w:pPr>
            <w:r w:rsidRPr="00BF04B4">
              <w:rPr>
                <w:rFonts w:ascii="Times New Roman" w:hAnsi="Times New Roman"/>
                <w:sz w:val="24"/>
                <w:szCs w:val="24"/>
              </w:rPr>
              <w:t>Access to Prepaid  Account Information, non-depository institutions (one time)</w:t>
            </w:r>
          </w:p>
        </w:tc>
        <w:tc>
          <w:tcPr>
            <w:tcW w:w="1350" w:type="dxa"/>
          </w:tcPr>
          <w:p w14:paraId="12D8D7CC"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142</w:t>
            </w:r>
          </w:p>
        </w:tc>
        <w:tc>
          <w:tcPr>
            <w:tcW w:w="1170" w:type="dxa"/>
          </w:tcPr>
          <w:p w14:paraId="23DB74AB"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4A13F5C9" w14:textId="5B62C075"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620" w:type="dxa"/>
          </w:tcPr>
          <w:p w14:paraId="35178981" w14:textId="4C2888C6"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142.45 hours</w:t>
            </w:r>
          </w:p>
        </w:tc>
        <w:tc>
          <w:tcPr>
            <w:tcW w:w="1350" w:type="dxa"/>
          </w:tcPr>
          <w:p w14:paraId="6302FB58" w14:textId="58354985"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20,228</w:t>
            </w:r>
          </w:p>
        </w:tc>
      </w:tr>
      <w:tr w:rsidR="001D0D07" w:rsidRPr="00BF04B4" w14:paraId="78A19D53" w14:textId="77777777" w:rsidTr="001D0D07">
        <w:trPr>
          <w:cantSplit/>
        </w:trPr>
        <w:tc>
          <w:tcPr>
            <w:tcW w:w="2880" w:type="dxa"/>
            <w:vAlign w:val="bottom"/>
          </w:tcPr>
          <w:p w14:paraId="086BFA0E" w14:textId="46867568"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depository institutions (one time)</w:t>
            </w:r>
          </w:p>
        </w:tc>
        <w:tc>
          <w:tcPr>
            <w:tcW w:w="1350" w:type="dxa"/>
          </w:tcPr>
          <w:p w14:paraId="316492CD"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2</w:t>
            </w:r>
          </w:p>
        </w:tc>
        <w:tc>
          <w:tcPr>
            <w:tcW w:w="1170" w:type="dxa"/>
          </w:tcPr>
          <w:p w14:paraId="7A608049"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0C6DEFDB" w14:textId="767E275C"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2</w:t>
            </w:r>
          </w:p>
        </w:tc>
        <w:tc>
          <w:tcPr>
            <w:tcW w:w="1620" w:type="dxa"/>
          </w:tcPr>
          <w:p w14:paraId="63266B1A" w14:textId="7AC90266"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14.9 hours</w:t>
            </w:r>
          </w:p>
        </w:tc>
        <w:tc>
          <w:tcPr>
            <w:tcW w:w="1350" w:type="dxa"/>
          </w:tcPr>
          <w:p w14:paraId="53E7A494" w14:textId="67B6978A"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30</w:t>
            </w:r>
          </w:p>
        </w:tc>
      </w:tr>
      <w:tr w:rsidR="001D0D07" w:rsidRPr="00BF04B4" w14:paraId="365A9595" w14:textId="77777777" w:rsidTr="001D0D07">
        <w:trPr>
          <w:cantSplit/>
        </w:trPr>
        <w:tc>
          <w:tcPr>
            <w:tcW w:w="2880" w:type="dxa"/>
            <w:vAlign w:val="bottom"/>
          </w:tcPr>
          <w:p w14:paraId="6B1D7801" w14:textId="2F52F7F7" w:rsidR="00D252B9" w:rsidRPr="00BF04B4" w:rsidRDefault="00D252B9" w:rsidP="001977D9">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non-depository institutions (one time)</w:t>
            </w:r>
          </w:p>
        </w:tc>
        <w:tc>
          <w:tcPr>
            <w:tcW w:w="1350" w:type="dxa"/>
          </w:tcPr>
          <w:p w14:paraId="6491AC22"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4385723D"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779DB402" w14:textId="60B8F2F9"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620" w:type="dxa"/>
          </w:tcPr>
          <w:p w14:paraId="717C587D" w14:textId="70974E24"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7.45 hours</w:t>
            </w:r>
          </w:p>
        </w:tc>
        <w:tc>
          <w:tcPr>
            <w:tcW w:w="1350" w:type="dxa"/>
          </w:tcPr>
          <w:p w14:paraId="4A5B9471" w14:textId="59804B3E"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134</w:t>
            </w:r>
          </w:p>
        </w:tc>
      </w:tr>
      <w:tr w:rsidR="001D0D07" w:rsidRPr="00BF04B4" w14:paraId="3501FC4D" w14:textId="77777777" w:rsidTr="001D0D07">
        <w:trPr>
          <w:cantSplit/>
        </w:trPr>
        <w:tc>
          <w:tcPr>
            <w:tcW w:w="2880" w:type="dxa"/>
            <w:vAlign w:val="bottom"/>
          </w:tcPr>
          <w:p w14:paraId="4C29497F" w14:textId="76CD2BAA" w:rsidR="00D252B9" w:rsidRPr="00BF04B4" w:rsidRDefault="00D252B9" w:rsidP="00313911">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Prepaid Account Agreements</w:t>
            </w:r>
            <w:r w:rsidRPr="00BF04B4">
              <w:rPr>
                <w:rFonts w:ascii="Times New Roman" w:hAnsi="Times New Roman"/>
                <w:sz w:val="24"/>
                <w:szCs w:val="24"/>
              </w:rPr>
              <w:t>, depository institutions (one time)</w:t>
            </w:r>
          </w:p>
        </w:tc>
        <w:tc>
          <w:tcPr>
            <w:tcW w:w="1350" w:type="dxa"/>
          </w:tcPr>
          <w:p w14:paraId="66F57B34"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36</w:t>
            </w:r>
          </w:p>
        </w:tc>
        <w:tc>
          <w:tcPr>
            <w:tcW w:w="1170" w:type="dxa"/>
          </w:tcPr>
          <w:p w14:paraId="72847392"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0DFAA117" w14:textId="324E32B8"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36</w:t>
            </w:r>
          </w:p>
        </w:tc>
        <w:tc>
          <w:tcPr>
            <w:tcW w:w="1620" w:type="dxa"/>
          </w:tcPr>
          <w:p w14:paraId="5E52A7A4" w14:textId="780FB75F"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2.4 hours</w:t>
            </w:r>
          </w:p>
        </w:tc>
        <w:tc>
          <w:tcPr>
            <w:tcW w:w="1350" w:type="dxa"/>
          </w:tcPr>
          <w:p w14:paraId="23F6254F" w14:textId="2FCB1F1C"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86</w:t>
            </w:r>
          </w:p>
        </w:tc>
      </w:tr>
      <w:tr w:rsidR="001D0D07" w:rsidRPr="00BF04B4" w14:paraId="05B161F6" w14:textId="77777777" w:rsidTr="001D0D07">
        <w:trPr>
          <w:cantSplit/>
        </w:trPr>
        <w:tc>
          <w:tcPr>
            <w:tcW w:w="2880" w:type="dxa"/>
            <w:vAlign w:val="bottom"/>
          </w:tcPr>
          <w:p w14:paraId="2838DD15" w14:textId="02FA46EA" w:rsidR="00D252B9" w:rsidRPr="00BF04B4" w:rsidRDefault="00D252B9" w:rsidP="00313911">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Prepaid Account Agreements</w:t>
            </w:r>
            <w:r w:rsidRPr="00BF04B4">
              <w:rPr>
                <w:rFonts w:ascii="Times New Roman" w:hAnsi="Times New Roman"/>
                <w:sz w:val="24"/>
                <w:szCs w:val="24"/>
              </w:rPr>
              <w:t>, non-depository institutions (one time)</w:t>
            </w:r>
          </w:p>
        </w:tc>
        <w:tc>
          <w:tcPr>
            <w:tcW w:w="1350" w:type="dxa"/>
          </w:tcPr>
          <w:p w14:paraId="28863091"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w:t>
            </w:r>
          </w:p>
        </w:tc>
        <w:tc>
          <w:tcPr>
            <w:tcW w:w="1170" w:type="dxa"/>
          </w:tcPr>
          <w:p w14:paraId="3F01FE85" w14:textId="77777777" w:rsidR="00D252B9" w:rsidRPr="00BF04B4" w:rsidRDefault="00D252B9"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260" w:type="dxa"/>
          </w:tcPr>
          <w:p w14:paraId="76CBDB72" w14:textId="7CFC84C6" w:rsidR="00D252B9"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10</w:t>
            </w:r>
          </w:p>
        </w:tc>
        <w:tc>
          <w:tcPr>
            <w:tcW w:w="1620" w:type="dxa"/>
          </w:tcPr>
          <w:p w14:paraId="4A8E17F9" w14:textId="6302A048"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1.2 hours</w:t>
            </w:r>
          </w:p>
        </w:tc>
        <w:tc>
          <w:tcPr>
            <w:tcW w:w="1350" w:type="dxa"/>
          </w:tcPr>
          <w:p w14:paraId="483A7543" w14:textId="15033C29" w:rsidR="00D252B9" w:rsidRPr="00BF04B4" w:rsidRDefault="00D252B9" w:rsidP="00AB2521">
            <w:pPr>
              <w:spacing w:after="120" w:line="240" w:lineRule="auto"/>
              <w:jc w:val="right"/>
              <w:rPr>
                <w:rFonts w:ascii="Times New Roman" w:hAnsi="Times New Roman"/>
                <w:sz w:val="24"/>
                <w:szCs w:val="24"/>
              </w:rPr>
            </w:pPr>
            <w:r w:rsidRPr="00BF04B4">
              <w:rPr>
                <w:rFonts w:ascii="Times New Roman" w:hAnsi="Times New Roman"/>
                <w:sz w:val="24"/>
                <w:szCs w:val="24"/>
              </w:rPr>
              <w:t>12</w:t>
            </w:r>
          </w:p>
        </w:tc>
      </w:tr>
      <w:tr w:rsidR="001D0D07" w:rsidRPr="00BF04B4" w14:paraId="07FD8151" w14:textId="77777777" w:rsidTr="001D0D07">
        <w:trPr>
          <w:cantSplit/>
          <w:trHeight w:val="593"/>
        </w:trPr>
        <w:tc>
          <w:tcPr>
            <w:tcW w:w="2880" w:type="dxa"/>
            <w:vAlign w:val="bottom"/>
          </w:tcPr>
          <w:p w14:paraId="0107CCF3" w14:textId="77777777" w:rsidR="00D252B9" w:rsidRPr="00BF04B4" w:rsidRDefault="00D252B9" w:rsidP="001977D9">
            <w:pPr>
              <w:spacing w:after="120" w:line="240" w:lineRule="auto"/>
              <w:rPr>
                <w:rFonts w:ascii="Times New Roman" w:hAnsi="Times New Roman"/>
                <w:b/>
                <w:sz w:val="24"/>
                <w:szCs w:val="24"/>
              </w:rPr>
            </w:pPr>
            <w:r w:rsidRPr="00BF04B4">
              <w:rPr>
                <w:rFonts w:ascii="Times New Roman" w:hAnsi="Times New Roman"/>
                <w:b/>
                <w:sz w:val="24"/>
                <w:szCs w:val="24"/>
              </w:rPr>
              <w:t>Total</w:t>
            </w:r>
          </w:p>
        </w:tc>
        <w:tc>
          <w:tcPr>
            <w:tcW w:w="1350" w:type="dxa"/>
          </w:tcPr>
          <w:p w14:paraId="234E2AB2" w14:textId="77777777" w:rsidR="00D252B9" w:rsidRPr="00BF04B4" w:rsidRDefault="00D252B9" w:rsidP="00AB2521">
            <w:pPr>
              <w:pStyle w:val="Footer"/>
              <w:spacing w:after="120"/>
              <w:jc w:val="right"/>
              <w:rPr>
                <w:rFonts w:ascii="Times New Roman" w:hAnsi="Times New Roman"/>
                <w:snapToGrid w:val="0"/>
                <w:sz w:val="24"/>
                <w:szCs w:val="24"/>
              </w:rPr>
            </w:pPr>
          </w:p>
        </w:tc>
        <w:tc>
          <w:tcPr>
            <w:tcW w:w="1170" w:type="dxa"/>
          </w:tcPr>
          <w:p w14:paraId="08C8ACC9" w14:textId="77777777" w:rsidR="00D252B9" w:rsidRPr="00BF04B4" w:rsidRDefault="00D252B9" w:rsidP="00AB2521">
            <w:pPr>
              <w:pStyle w:val="Footer"/>
              <w:spacing w:after="120"/>
              <w:jc w:val="right"/>
              <w:rPr>
                <w:rFonts w:ascii="Times New Roman" w:hAnsi="Times New Roman"/>
                <w:snapToGrid w:val="0"/>
                <w:sz w:val="24"/>
                <w:szCs w:val="24"/>
              </w:rPr>
            </w:pPr>
          </w:p>
        </w:tc>
        <w:tc>
          <w:tcPr>
            <w:tcW w:w="1260" w:type="dxa"/>
          </w:tcPr>
          <w:p w14:paraId="15DD2AF2" w14:textId="30210385" w:rsidR="00D252B9" w:rsidRPr="003D289D" w:rsidRDefault="003D289D" w:rsidP="001D0D07">
            <w:pPr>
              <w:spacing w:after="120" w:line="240" w:lineRule="auto"/>
              <w:jc w:val="right"/>
              <w:rPr>
                <w:rFonts w:ascii="Times New Roman" w:hAnsi="Times New Roman"/>
                <w:b/>
                <w:sz w:val="24"/>
                <w:szCs w:val="24"/>
              </w:rPr>
            </w:pPr>
            <w:r w:rsidRPr="001D0D07">
              <w:rPr>
                <w:rFonts w:ascii="Times New Roman" w:hAnsi="Times New Roman"/>
                <w:b/>
                <w:sz w:val="24"/>
                <w:szCs w:val="24"/>
              </w:rPr>
              <w:t>7,247,128</w:t>
            </w:r>
          </w:p>
        </w:tc>
        <w:tc>
          <w:tcPr>
            <w:tcW w:w="1620" w:type="dxa"/>
          </w:tcPr>
          <w:p w14:paraId="159949E4" w14:textId="05AE96D5" w:rsidR="00D252B9" w:rsidRPr="003D289D" w:rsidRDefault="00D252B9" w:rsidP="001D0D07">
            <w:pPr>
              <w:spacing w:after="120" w:line="240" w:lineRule="auto"/>
              <w:jc w:val="right"/>
              <w:rPr>
                <w:rFonts w:ascii="Times New Roman" w:hAnsi="Times New Roman"/>
                <w:b/>
                <w:sz w:val="24"/>
                <w:szCs w:val="24"/>
              </w:rPr>
            </w:pPr>
          </w:p>
        </w:tc>
        <w:tc>
          <w:tcPr>
            <w:tcW w:w="1350" w:type="dxa"/>
          </w:tcPr>
          <w:p w14:paraId="34B467C3" w14:textId="678877C3" w:rsidR="00D252B9" w:rsidRPr="003D289D" w:rsidRDefault="00D252B9" w:rsidP="00AB2521">
            <w:pPr>
              <w:spacing w:after="120" w:line="240" w:lineRule="auto"/>
              <w:jc w:val="right"/>
              <w:rPr>
                <w:rFonts w:ascii="Times New Roman" w:hAnsi="Times New Roman"/>
                <w:b/>
                <w:color w:val="000000"/>
                <w:sz w:val="24"/>
                <w:szCs w:val="24"/>
              </w:rPr>
            </w:pPr>
            <w:r w:rsidRPr="003D289D">
              <w:rPr>
                <w:rFonts w:ascii="Times New Roman" w:hAnsi="Times New Roman"/>
                <w:b/>
                <w:sz w:val="24"/>
                <w:szCs w:val="24"/>
              </w:rPr>
              <w:t>3,445,033</w:t>
            </w:r>
            <w:r w:rsidRPr="003D289D">
              <w:rPr>
                <w:rStyle w:val="FootnoteReference"/>
                <w:rFonts w:ascii="Times New Roman" w:hAnsi="Times New Roman"/>
                <w:b/>
                <w:sz w:val="24"/>
                <w:szCs w:val="24"/>
              </w:rPr>
              <w:footnoteReference w:id="4"/>
            </w:r>
          </w:p>
        </w:tc>
      </w:tr>
    </w:tbl>
    <w:p w14:paraId="50CEC030" w14:textId="77777777" w:rsidR="002D3555" w:rsidRPr="00BF04B4" w:rsidRDefault="002D3555" w:rsidP="00BF04B4">
      <w:pPr>
        <w:pStyle w:val="Default"/>
        <w:spacing w:after="240"/>
        <w:rPr>
          <w:color w:val="auto"/>
        </w:rPr>
      </w:pPr>
    </w:p>
    <w:p w14:paraId="26AFD1D6" w14:textId="77777777" w:rsidR="002D3555" w:rsidRPr="00BF04B4" w:rsidRDefault="002D3555" w:rsidP="00BF04B4">
      <w:pPr>
        <w:pStyle w:val="Default"/>
        <w:spacing w:after="240"/>
        <w:ind w:firstLine="720"/>
        <w:rPr>
          <w:color w:val="auto"/>
        </w:rPr>
      </w:pPr>
      <w:r w:rsidRPr="00BF04B4">
        <w:rPr>
          <w:color w:val="auto"/>
        </w:rPr>
        <w:t>The CFPB calculated labor costs by applying appropriate hourly cost figures to the burden hours described above.  The hourly rates used are those associated with the burden hours assumed from the other regulatory agencies, which differ by agency.</w:t>
      </w:r>
    </w:p>
    <w:p w14:paraId="3CFA33FD" w14:textId="31548550" w:rsidR="002D3555" w:rsidRPr="00BF04B4" w:rsidRDefault="002D3555" w:rsidP="001977D9">
      <w:pPr>
        <w:pStyle w:val="Default"/>
        <w:spacing w:after="240"/>
        <w:ind w:firstLine="720"/>
      </w:pPr>
      <w:r w:rsidRPr="00BF04B4">
        <w:rPr>
          <w:color w:val="auto"/>
        </w:rPr>
        <w:t>Prior to the passage of the Dodd-Frank Act, the ongoing recordkeeping and disclosure burdens for Regulation</w:t>
      </w:r>
      <w:r w:rsidRPr="00BF04B4">
        <w:t xml:space="preserve"> E allocated to the prudential regulators and the FTC were approximately 5,596,000 hours.</w:t>
      </w:r>
      <w:r w:rsidRPr="00BF04B4">
        <w:rPr>
          <w:rStyle w:val="FootnoteReference"/>
        </w:rPr>
        <w:footnoteReference w:id="5"/>
      </w:r>
      <w:r w:rsidRPr="00BF04B4">
        <w:t xml:space="preserve">  In light of the changes made by the Dodd-Frank Act, the Bureau assumed roughly 1,</w:t>
      </w:r>
      <w:r w:rsidRPr="001977D9">
        <w:rPr>
          <w:color w:val="auto"/>
        </w:rPr>
        <w:t>904</w:t>
      </w:r>
      <w:r w:rsidRPr="00BF04B4">
        <w:t>,000 hours of that burden.  Specifically, CPPB assumed burden for depository institutions with total assets of more than $10 billion and their depository institution affiliates for which the CFPB now has primary enforcement authority with respect to Regulation E.  Because the CFPB and the Federal Trade Commission (FTC) generally both have enforcement authority over non-depository institutions subject to Regulation E, the CFPB also assumed half of the Federal Trade Commission (FTC) burden for non-depository institutions after subtracting the burden which the FTC has attributed to itself for motor vehicle dealers, where applicable.</w:t>
      </w:r>
      <w:r w:rsidRPr="00BF04B4">
        <w:rPr>
          <w:rStyle w:val="FootnoteReference"/>
        </w:rPr>
        <w:footnoteReference w:id="6"/>
      </w:r>
      <w:r w:rsidRPr="00BF04B4">
        <w:t xml:space="preserve">  </w:t>
      </w:r>
    </w:p>
    <w:p w14:paraId="64BE7446" w14:textId="39841F18" w:rsidR="002D3555" w:rsidRPr="006319AC" w:rsidRDefault="00174004" w:rsidP="00313911">
      <w:pPr>
        <w:keepNext/>
        <w:tabs>
          <w:tab w:val="left" w:pos="0"/>
        </w:tabs>
        <w:autoSpaceDE w:val="0"/>
        <w:autoSpaceDN w:val="0"/>
        <w:adjustRightInd w:val="0"/>
        <w:spacing w:after="240" w:line="240" w:lineRule="auto"/>
        <w:rPr>
          <w:rFonts w:ascii="Times New Roman" w:hAnsi="Times New Roman"/>
          <w:i/>
          <w:color w:val="000000"/>
          <w:sz w:val="24"/>
          <w:szCs w:val="24"/>
        </w:rPr>
      </w:pPr>
      <w:r w:rsidRPr="006319AC">
        <w:rPr>
          <w:rFonts w:ascii="Times New Roman" w:hAnsi="Times New Roman"/>
          <w:i/>
          <w:color w:val="000000"/>
          <w:sz w:val="24"/>
          <w:szCs w:val="24"/>
        </w:rPr>
        <w:t xml:space="preserve">2016 Final </w:t>
      </w:r>
      <w:r w:rsidR="002D3555" w:rsidRPr="006319AC">
        <w:rPr>
          <w:rFonts w:ascii="Times New Roman" w:hAnsi="Times New Roman"/>
          <w:i/>
          <w:color w:val="000000"/>
          <w:sz w:val="24"/>
          <w:szCs w:val="24"/>
        </w:rPr>
        <w:t>Rule for Prepaid Accounts</w:t>
      </w:r>
    </w:p>
    <w:p w14:paraId="0EA19577" w14:textId="7F4A5D14" w:rsidR="00B61A62" w:rsidRPr="006319AC" w:rsidRDefault="00B61A62" w:rsidP="006319AC">
      <w:pPr>
        <w:pStyle w:val="Default"/>
        <w:spacing w:after="240"/>
        <w:ind w:firstLine="720"/>
      </w:pPr>
      <w:r w:rsidRPr="006319AC">
        <w:t>The estimated burden on Bureau respondents from the final rule’s changes to Regulation E are summarized below.</w:t>
      </w:r>
      <w:r w:rsidR="00D9344E" w:rsidRPr="006319AC">
        <w:rPr>
          <w:rStyle w:val="FootnoteReference"/>
        </w:rPr>
        <w:footnoteReference w:id="7"/>
      </w:r>
    </w:p>
    <w:tbl>
      <w:tblPr>
        <w:tblW w:w="972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3060"/>
        <w:gridCol w:w="1350"/>
        <w:gridCol w:w="1170"/>
        <w:gridCol w:w="1170"/>
        <w:gridCol w:w="1710"/>
        <w:gridCol w:w="1260"/>
      </w:tblGrid>
      <w:tr w:rsidR="001D0D07" w:rsidRPr="00BF04B4" w14:paraId="156ACCF1" w14:textId="77777777" w:rsidTr="001D0D07">
        <w:trPr>
          <w:cantSplit/>
        </w:trPr>
        <w:tc>
          <w:tcPr>
            <w:tcW w:w="3060" w:type="dxa"/>
            <w:tcBorders>
              <w:top w:val="single" w:sz="4" w:space="0" w:color="auto"/>
              <w:left w:val="single" w:sz="4" w:space="0" w:color="auto"/>
              <w:bottom w:val="single" w:sz="4" w:space="0" w:color="auto"/>
              <w:right w:val="single" w:sz="4" w:space="0" w:color="auto"/>
            </w:tcBorders>
            <w:vAlign w:val="bottom"/>
          </w:tcPr>
          <w:p w14:paraId="14110DFC" w14:textId="77777777" w:rsidR="00D9344E" w:rsidRPr="00BF04B4" w:rsidRDefault="00D9344E" w:rsidP="00D9344E">
            <w:pPr>
              <w:spacing w:after="120" w:line="240" w:lineRule="auto"/>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D522C93" w14:textId="77777777" w:rsidR="00D9344E" w:rsidRPr="001D0D07" w:rsidRDefault="00D9344E" w:rsidP="001D0D07">
            <w:pPr>
              <w:pStyle w:val="Footer"/>
              <w:keepNext/>
              <w:jc w:val="center"/>
              <w:rPr>
                <w:rFonts w:ascii="Times New Roman" w:hAnsi="Times New Roman"/>
                <w:i/>
                <w:snapToGrid w:val="0"/>
              </w:rPr>
            </w:pPr>
            <w:r w:rsidRPr="001D0D07">
              <w:rPr>
                <w:rFonts w:ascii="Times New Roman" w:hAnsi="Times New Roman"/>
                <w:i/>
                <w:snapToGrid w:val="0"/>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14:paraId="0484EDCE" w14:textId="77777777" w:rsidR="00D9344E" w:rsidRPr="001D0D07" w:rsidRDefault="00D9344E" w:rsidP="001D0D07">
            <w:pPr>
              <w:pStyle w:val="Footer"/>
              <w:keepNext/>
              <w:jc w:val="center"/>
              <w:rPr>
                <w:rFonts w:ascii="Times New Roman" w:hAnsi="Times New Roman"/>
                <w:i/>
                <w:snapToGrid w:val="0"/>
              </w:rPr>
            </w:pPr>
            <w:r w:rsidRPr="001D0D07">
              <w:rPr>
                <w:rFonts w:ascii="Times New Roman" w:hAnsi="Times New Roman"/>
                <w:i/>
                <w:snapToGrid w:val="0"/>
              </w:rPr>
              <w:t>Estimated annual frequency</w:t>
            </w:r>
          </w:p>
        </w:tc>
        <w:tc>
          <w:tcPr>
            <w:tcW w:w="1170" w:type="dxa"/>
            <w:tcBorders>
              <w:top w:val="single" w:sz="4" w:space="0" w:color="auto"/>
              <w:left w:val="single" w:sz="4" w:space="0" w:color="auto"/>
              <w:bottom w:val="single" w:sz="4" w:space="0" w:color="auto"/>
              <w:right w:val="single" w:sz="4" w:space="0" w:color="auto"/>
            </w:tcBorders>
            <w:vAlign w:val="center"/>
          </w:tcPr>
          <w:p w14:paraId="7AA3A89C" w14:textId="77777777" w:rsidR="00D9344E" w:rsidRPr="001D0D07" w:rsidRDefault="00D9344E" w:rsidP="001D0D07">
            <w:pPr>
              <w:keepNext/>
              <w:spacing w:after="120" w:line="240" w:lineRule="auto"/>
              <w:jc w:val="center"/>
              <w:rPr>
                <w:rFonts w:ascii="Times New Roman" w:hAnsi="Times New Roman"/>
                <w:i/>
              </w:rPr>
            </w:pPr>
            <w:r w:rsidRPr="001D0D07">
              <w:rPr>
                <w:rFonts w:ascii="Times New Roman" w:hAnsi="Times New Roman"/>
                <w:i/>
              </w:rPr>
              <w:t>Annual responses</w:t>
            </w:r>
          </w:p>
        </w:tc>
        <w:tc>
          <w:tcPr>
            <w:tcW w:w="1710" w:type="dxa"/>
            <w:tcBorders>
              <w:top w:val="single" w:sz="4" w:space="0" w:color="auto"/>
              <w:left w:val="single" w:sz="4" w:space="0" w:color="auto"/>
              <w:bottom w:val="single" w:sz="4" w:space="0" w:color="auto"/>
              <w:right w:val="single" w:sz="4" w:space="0" w:color="auto"/>
            </w:tcBorders>
            <w:vAlign w:val="center"/>
          </w:tcPr>
          <w:p w14:paraId="73887263" w14:textId="77777777" w:rsidR="00D9344E" w:rsidRPr="001D0D07" w:rsidRDefault="00D9344E" w:rsidP="001D0D07">
            <w:pPr>
              <w:keepNext/>
              <w:spacing w:after="120" w:line="240" w:lineRule="auto"/>
              <w:jc w:val="center"/>
              <w:rPr>
                <w:rFonts w:ascii="Times New Roman" w:hAnsi="Times New Roman"/>
                <w:i/>
              </w:rPr>
            </w:pPr>
            <w:r w:rsidRPr="001D0D07">
              <w:rPr>
                <w:rFonts w:ascii="Times New Roman" w:hAnsi="Times New Roman"/>
                <w:i/>
              </w:rPr>
              <w:t>Average time per response</w:t>
            </w:r>
          </w:p>
        </w:tc>
        <w:tc>
          <w:tcPr>
            <w:tcW w:w="1260" w:type="dxa"/>
            <w:tcBorders>
              <w:top w:val="single" w:sz="4" w:space="0" w:color="auto"/>
              <w:left w:val="single" w:sz="4" w:space="0" w:color="auto"/>
              <w:bottom w:val="single" w:sz="4" w:space="0" w:color="auto"/>
              <w:right w:val="single" w:sz="4" w:space="0" w:color="auto"/>
            </w:tcBorders>
            <w:vAlign w:val="center"/>
          </w:tcPr>
          <w:p w14:paraId="54993A9F" w14:textId="77777777" w:rsidR="00D9344E" w:rsidRPr="001D0D07" w:rsidRDefault="00D9344E" w:rsidP="001D0D07">
            <w:pPr>
              <w:keepNext/>
              <w:spacing w:after="120" w:line="240" w:lineRule="auto"/>
              <w:jc w:val="center"/>
              <w:rPr>
                <w:rFonts w:ascii="Times New Roman" w:hAnsi="Times New Roman"/>
                <w:i/>
              </w:rPr>
            </w:pPr>
            <w:r w:rsidRPr="001D0D07">
              <w:rPr>
                <w:rFonts w:ascii="Times New Roman" w:hAnsi="Times New Roman"/>
                <w:i/>
              </w:rPr>
              <w:t>Estimated annual burden hours</w:t>
            </w:r>
          </w:p>
        </w:tc>
      </w:tr>
      <w:tr w:rsidR="001D0D07" w:rsidRPr="00B5746C" w14:paraId="566187E4" w14:textId="77777777" w:rsidTr="001D0D07">
        <w:trPr>
          <w:cantSplit/>
        </w:trPr>
        <w:tc>
          <w:tcPr>
            <w:tcW w:w="3060" w:type="dxa"/>
            <w:vAlign w:val="bottom"/>
          </w:tcPr>
          <w:p w14:paraId="7382C27A" w14:textId="77777777" w:rsidR="00D9344E" w:rsidRPr="00B5746C" w:rsidRDefault="00D9344E" w:rsidP="009D24E7">
            <w:pPr>
              <w:spacing w:after="120" w:line="240" w:lineRule="auto"/>
              <w:rPr>
                <w:rFonts w:ascii="Times New Roman" w:hAnsi="Times New Roman"/>
                <w:sz w:val="24"/>
                <w:szCs w:val="24"/>
              </w:rPr>
            </w:pPr>
            <w:r w:rsidRPr="00B5746C">
              <w:rPr>
                <w:rFonts w:ascii="Times New Roman" w:hAnsi="Times New Roman"/>
                <w:sz w:val="24"/>
                <w:szCs w:val="24"/>
              </w:rPr>
              <w:t>Prepaid Account Short Form Disclosure, depository institutions (one time)</w:t>
            </w:r>
          </w:p>
        </w:tc>
        <w:tc>
          <w:tcPr>
            <w:tcW w:w="1350" w:type="dxa"/>
          </w:tcPr>
          <w:p w14:paraId="7A6BC435"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18</w:t>
            </w:r>
          </w:p>
        </w:tc>
        <w:tc>
          <w:tcPr>
            <w:tcW w:w="1170" w:type="dxa"/>
          </w:tcPr>
          <w:p w14:paraId="13530D7B"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170" w:type="dxa"/>
          </w:tcPr>
          <w:p w14:paraId="339A99A0" w14:textId="3D44F199" w:rsidR="00D9344E"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710" w:type="dxa"/>
          </w:tcPr>
          <w:p w14:paraId="7438F4A2" w14:textId="0F4DB80E"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474.9 hours</w:t>
            </w:r>
          </w:p>
        </w:tc>
        <w:tc>
          <w:tcPr>
            <w:tcW w:w="1260" w:type="dxa"/>
          </w:tcPr>
          <w:p w14:paraId="480DD998" w14:textId="77777777"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8,548</w:t>
            </w:r>
          </w:p>
        </w:tc>
      </w:tr>
      <w:tr w:rsidR="001D0D07" w:rsidRPr="00B5746C" w14:paraId="09182CF9" w14:textId="77777777" w:rsidTr="001D0D07">
        <w:trPr>
          <w:cantSplit/>
        </w:trPr>
        <w:tc>
          <w:tcPr>
            <w:tcW w:w="3060" w:type="dxa"/>
            <w:vAlign w:val="bottom"/>
          </w:tcPr>
          <w:p w14:paraId="76A71057" w14:textId="77777777" w:rsidR="00D9344E" w:rsidRPr="00B5746C" w:rsidRDefault="00D9344E" w:rsidP="009D24E7">
            <w:pPr>
              <w:spacing w:after="120" w:line="240" w:lineRule="auto"/>
              <w:rPr>
                <w:rFonts w:ascii="Times New Roman" w:hAnsi="Times New Roman"/>
                <w:sz w:val="24"/>
                <w:szCs w:val="24"/>
              </w:rPr>
            </w:pPr>
            <w:r w:rsidRPr="00B5746C">
              <w:rPr>
                <w:rFonts w:ascii="Times New Roman" w:hAnsi="Times New Roman"/>
                <w:sz w:val="24"/>
                <w:szCs w:val="24"/>
              </w:rPr>
              <w:t>Prepaid Account Short Form Disclosure, non-depository institutions (one time)</w:t>
            </w:r>
          </w:p>
        </w:tc>
        <w:tc>
          <w:tcPr>
            <w:tcW w:w="1350" w:type="dxa"/>
          </w:tcPr>
          <w:p w14:paraId="022AC3A2"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142</w:t>
            </w:r>
          </w:p>
        </w:tc>
        <w:tc>
          <w:tcPr>
            <w:tcW w:w="1170" w:type="dxa"/>
          </w:tcPr>
          <w:p w14:paraId="3D9FD23A"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170" w:type="dxa"/>
          </w:tcPr>
          <w:p w14:paraId="3905ADE6" w14:textId="18F54F54" w:rsidR="00D9344E"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710" w:type="dxa"/>
          </w:tcPr>
          <w:p w14:paraId="3750D3A4" w14:textId="4D044CDE"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237.5 hours</w:t>
            </w:r>
          </w:p>
        </w:tc>
        <w:tc>
          <w:tcPr>
            <w:tcW w:w="1260" w:type="dxa"/>
          </w:tcPr>
          <w:p w14:paraId="32D3F985" w14:textId="77777777"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33,725</w:t>
            </w:r>
          </w:p>
        </w:tc>
      </w:tr>
      <w:tr w:rsidR="001D0D07" w:rsidRPr="00B5746C" w14:paraId="1073AFFF" w14:textId="77777777" w:rsidTr="001D0D07">
        <w:trPr>
          <w:cantSplit/>
        </w:trPr>
        <w:tc>
          <w:tcPr>
            <w:tcW w:w="3060" w:type="dxa"/>
            <w:vAlign w:val="bottom"/>
          </w:tcPr>
          <w:p w14:paraId="7F821522" w14:textId="77777777" w:rsidR="00D9344E" w:rsidRPr="00B5746C" w:rsidRDefault="00D9344E" w:rsidP="009D24E7">
            <w:pPr>
              <w:spacing w:after="120" w:line="240" w:lineRule="auto"/>
              <w:rPr>
                <w:rFonts w:ascii="Times New Roman" w:hAnsi="Times New Roman"/>
                <w:sz w:val="24"/>
                <w:szCs w:val="24"/>
              </w:rPr>
            </w:pPr>
            <w:r w:rsidRPr="00B5746C">
              <w:rPr>
                <w:rFonts w:ascii="Times New Roman" w:hAnsi="Times New Roman"/>
                <w:sz w:val="24"/>
                <w:szCs w:val="24"/>
              </w:rPr>
              <w:t>Prepaid Account Long Form Disclosure, depository institutions (one time)</w:t>
            </w:r>
          </w:p>
        </w:tc>
        <w:tc>
          <w:tcPr>
            <w:tcW w:w="1350" w:type="dxa"/>
          </w:tcPr>
          <w:p w14:paraId="3C71C0E6"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18</w:t>
            </w:r>
          </w:p>
        </w:tc>
        <w:tc>
          <w:tcPr>
            <w:tcW w:w="1170" w:type="dxa"/>
          </w:tcPr>
          <w:p w14:paraId="730201A8" w14:textId="77777777" w:rsidR="00D9344E" w:rsidRPr="00B5746C" w:rsidRDefault="00D9344E" w:rsidP="00AB2521">
            <w:pPr>
              <w:pStyle w:val="Footer"/>
              <w:spacing w:after="120"/>
              <w:jc w:val="right"/>
              <w:rPr>
                <w:rFonts w:ascii="Times New Roman" w:hAnsi="Times New Roman"/>
                <w:snapToGrid w:val="0"/>
                <w:sz w:val="24"/>
                <w:szCs w:val="24"/>
              </w:rPr>
            </w:pPr>
            <w:r w:rsidRPr="00B5746C">
              <w:rPr>
                <w:rFonts w:ascii="Times New Roman" w:hAnsi="Times New Roman"/>
                <w:snapToGrid w:val="0"/>
                <w:sz w:val="24"/>
                <w:szCs w:val="24"/>
              </w:rPr>
              <w:t>1</w:t>
            </w:r>
          </w:p>
        </w:tc>
        <w:tc>
          <w:tcPr>
            <w:tcW w:w="1170" w:type="dxa"/>
          </w:tcPr>
          <w:p w14:paraId="0C0FC464" w14:textId="15F10DB4" w:rsidR="00D9344E" w:rsidRPr="00B5746C"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710" w:type="dxa"/>
          </w:tcPr>
          <w:p w14:paraId="2F067C86" w14:textId="29ED34CF"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95 hours</w:t>
            </w:r>
          </w:p>
        </w:tc>
        <w:tc>
          <w:tcPr>
            <w:tcW w:w="1260" w:type="dxa"/>
          </w:tcPr>
          <w:p w14:paraId="26E3E923" w14:textId="77777777" w:rsidR="00D9344E" w:rsidRPr="00B5746C" w:rsidRDefault="00D9344E" w:rsidP="00AB2521">
            <w:pPr>
              <w:spacing w:after="120" w:line="240" w:lineRule="auto"/>
              <w:jc w:val="right"/>
              <w:rPr>
                <w:rFonts w:ascii="Times New Roman" w:hAnsi="Times New Roman"/>
                <w:sz w:val="24"/>
                <w:szCs w:val="24"/>
              </w:rPr>
            </w:pPr>
            <w:r w:rsidRPr="00B5746C">
              <w:rPr>
                <w:rFonts w:ascii="Times New Roman" w:hAnsi="Times New Roman"/>
                <w:sz w:val="24"/>
                <w:szCs w:val="24"/>
              </w:rPr>
              <w:t>1,710</w:t>
            </w:r>
          </w:p>
        </w:tc>
      </w:tr>
      <w:tr w:rsidR="001D0D07" w:rsidRPr="00BF04B4" w14:paraId="5C84790C" w14:textId="77777777" w:rsidTr="001D0D07">
        <w:trPr>
          <w:cantSplit/>
        </w:trPr>
        <w:tc>
          <w:tcPr>
            <w:tcW w:w="3060" w:type="dxa"/>
            <w:vAlign w:val="bottom"/>
          </w:tcPr>
          <w:p w14:paraId="413379AA" w14:textId="77777777" w:rsidR="00D9344E" w:rsidRPr="00BF04B4" w:rsidRDefault="00D9344E" w:rsidP="009D24E7">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Long Form Disclosure, non-depository institutions (one time)</w:t>
            </w:r>
          </w:p>
        </w:tc>
        <w:tc>
          <w:tcPr>
            <w:tcW w:w="1350" w:type="dxa"/>
          </w:tcPr>
          <w:p w14:paraId="6ECF5927"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142</w:t>
            </w:r>
          </w:p>
        </w:tc>
        <w:tc>
          <w:tcPr>
            <w:tcW w:w="1170" w:type="dxa"/>
          </w:tcPr>
          <w:p w14:paraId="239C2AAD"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689C83C1" w14:textId="5BA7711B"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710" w:type="dxa"/>
          </w:tcPr>
          <w:p w14:paraId="391DEBEA" w14:textId="53EDE5FA"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47.5 hours</w:t>
            </w:r>
          </w:p>
        </w:tc>
        <w:tc>
          <w:tcPr>
            <w:tcW w:w="1260" w:type="dxa"/>
          </w:tcPr>
          <w:p w14:paraId="4BF04B45"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6,745</w:t>
            </w:r>
          </w:p>
        </w:tc>
      </w:tr>
      <w:tr w:rsidR="001D0D07" w:rsidRPr="00BF04B4" w14:paraId="7B1A08BE" w14:textId="77777777" w:rsidTr="001D0D07">
        <w:trPr>
          <w:cantSplit/>
        </w:trPr>
        <w:tc>
          <w:tcPr>
            <w:tcW w:w="3060" w:type="dxa"/>
            <w:vAlign w:val="bottom"/>
          </w:tcPr>
          <w:p w14:paraId="6124992C" w14:textId="77777777" w:rsidR="00D9344E" w:rsidRPr="00BF04B4" w:rsidRDefault="00D9344E" w:rsidP="009D24E7">
            <w:pPr>
              <w:spacing w:after="120" w:line="240" w:lineRule="auto"/>
              <w:rPr>
                <w:rFonts w:ascii="Times New Roman" w:hAnsi="Times New Roman"/>
                <w:sz w:val="24"/>
                <w:szCs w:val="24"/>
              </w:rPr>
            </w:pPr>
            <w:r w:rsidRPr="00BF04B4">
              <w:rPr>
                <w:rFonts w:ascii="Times New Roman" w:hAnsi="Times New Roman"/>
                <w:sz w:val="24"/>
                <w:szCs w:val="24"/>
              </w:rPr>
              <w:t>Access to Prepaid Account Information, depository institutions (one time)</w:t>
            </w:r>
          </w:p>
        </w:tc>
        <w:tc>
          <w:tcPr>
            <w:tcW w:w="1350" w:type="dxa"/>
          </w:tcPr>
          <w:p w14:paraId="541528B1"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4AC6E3DE"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1E3AB482" w14:textId="41AAF3EC"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710" w:type="dxa"/>
          </w:tcPr>
          <w:p w14:paraId="4B20A61F" w14:textId="57777E72"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284.9 hours</w:t>
            </w:r>
          </w:p>
        </w:tc>
        <w:tc>
          <w:tcPr>
            <w:tcW w:w="1260" w:type="dxa"/>
          </w:tcPr>
          <w:p w14:paraId="3E91D15F"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5,128</w:t>
            </w:r>
          </w:p>
        </w:tc>
      </w:tr>
      <w:tr w:rsidR="001D0D07" w:rsidRPr="00BF04B4" w14:paraId="67B16719" w14:textId="77777777" w:rsidTr="001D0D07">
        <w:trPr>
          <w:cantSplit/>
        </w:trPr>
        <w:tc>
          <w:tcPr>
            <w:tcW w:w="3060" w:type="dxa"/>
            <w:vAlign w:val="bottom"/>
          </w:tcPr>
          <w:p w14:paraId="30CE5C0F" w14:textId="77777777" w:rsidR="00D9344E" w:rsidRPr="00BF04B4" w:rsidRDefault="00D9344E" w:rsidP="009D24E7">
            <w:pPr>
              <w:spacing w:after="120" w:line="240" w:lineRule="auto"/>
              <w:rPr>
                <w:rFonts w:ascii="Times New Roman" w:hAnsi="Times New Roman"/>
                <w:sz w:val="24"/>
                <w:szCs w:val="24"/>
              </w:rPr>
            </w:pPr>
            <w:r w:rsidRPr="00BF04B4">
              <w:rPr>
                <w:rFonts w:ascii="Times New Roman" w:hAnsi="Times New Roman"/>
                <w:sz w:val="24"/>
                <w:szCs w:val="24"/>
              </w:rPr>
              <w:t>Access to Prepaid  Account Information, non-depository institutions (one time)</w:t>
            </w:r>
          </w:p>
        </w:tc>
        <w:tc>
          <w:tcPr>
            <w:tcW w:w="1350" w:type="dxa"/>
          </w:tcPr>
          <w:p w14:paraId="77AE68AA"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142</w:t>
            </w:r>
          </w:p>
        </w:tc>
        <w:tc>
          <w:tcPr>
            <w:tcW w:w="1170" w:type="dxa"/>
          </w:tcPr>
          <w:p w14:paraId="78F22AF4"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1B7CB701" w14:textId="565C79C7"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142</w:t>
            </w:r>
          </w:p>
        </w:tc>
        <w:tc>
          <w:tcPr>
            <w:tcW w:w="1710" w:type="dxa"/>
          </w:tcPr>
          <w:p w14:paraId="7D66D3BD" w14:textId="4D2B9194"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142.45 hours</w:t>
            </w:r>
          </w:p>
        </w:tc>
        <w:tc>
          <w:tcPr>
            <w:tcW w:w="1260" w:type="dxa"/>
          </w:tcPr>
          <w:p w14:paraId="6CD5F8A9"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20,228</w:t>
            </w:r>
          </w:p>
        </w:tc>
      </w:tr>
      <w:tr w:rsidR="001D0D07" w:rsidRPr="00BF04B4" w14:paraId="359913D4" w14:textId="77777777" w:rsidTr="001D0D07">
        <w:trPr>
          <w:cantSplit/>
        </w:trPr>
        <w:tc>
          <w:tcPr>
            <w:tcW w:w="3060" w:type="dxa"/>
            <w:vAlign w:val="bottom"/>
          </w:tcPr>
          <w:p w14:paraId="1BCD2617" w14:textId="77777777" w:rsidR="00D9344E" w:rsidRPr="00BF04B4" w:rsidRDefault="00D9344E" w:rsidP="009D24E7">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depository institutions (one time)</w:t>
            </w:r>
          </w:p>
        </w:tc>
        <w:tc>
          <w:tcPr>
            <w:tcW w:w="1350" w:type="dxa"/>
          </w:tcPr>
          <w:p w14:paraId="283B0B6F"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2</w:t>
            </w:r>
          </w:p>
        </w:tc>
        <w:tc>
          <w:tcPr>
            <w:tcW w:w="1170" w:type="dxa"/>
          </w:tcPr>
          <w:p w14:paraId="7C327B4F"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0B870614" w14:textId="34B8A75A"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2</w:t>
            </w:r>
          </w:p>
        </w:tc>
        <w:tc>
          <w:tcPr>
            <w:tcW w:w="1710" w:type="dxa"/>
          </w:tcPr>
          <w:p w14:paraId="37B18BAC" w14:textId="1A856BD8"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14.9 hours</w:t>
            </w:r>
          </w:p>
        </w:tc>
        <w:tc>
          <w:tcPr>
            <w:tcW w:w="1260" w:type="dxa"/>
          </w:tcPr>
          <w:p w14:paraId="314816A2"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30</w:t>
            </w:r>
          </w:p>
        </w:tc>
      </w:tr>
      <w:tr w:rsidR="001D0D07" w:rsidRPr="00BF04B4" w14:paraId="17EB0124" w14:textId="77777777" w:rsidTr="001D0D07">
        <w:trPr>
          <w:cantSplit/>
        </w:trPr>
        <w:tc>
          <w:tcPr>
            <w:tcW w:w="3060" w:type="dxa"/>
            <w:vAlign w:val="bottom"/>
          </w:tcPr>
          <w:p w14:paraId="4C9A70B9" w14:textId="77777777" w:rsidR="00D9344E" w:rsidRPr="00BF04B4" w:rsidRDefault="00D9344E" w:rsidP="009D24E7">
            <w:pPr>
              <w:spacing w:after="120" w:line="240" w:lineRule="auto"/>
              <w:rPr>
                <w:rFonts w:ascii="Times New Roman" w:hAnsi="Times New Roman"/>
                <w:sz w:val="24"/>
                <w:szCs w:val="24"/>
              </w:rPr>
            </w:pPr>
            <w:r>
              <w:rPr>
                <w:rFonts w:ascii="Times New Roman" w:hAnsi="Times New Roman"/>
                <w:sz w:val="24"/>
                <w:szCs w:val="24"/>
              </w:rPr>
              <w:t>Prepaid Account</w:t>
            </w:r>
            <w:r w:rsidRPr="00BF04B4">
              <w:rPr>
                <w:rFonts w:ascii="Times New Roman" w:hAnsi="Times New Roman"/>
                <w:sz w:val="24"/>
                <w:szCs w:val="24"/>
              </w:rPr>
              <w:t xml:space="preserve"> Error Resolution, non-depository institutions (one time)</w:t>
            </w:r>
          </w:p>
        </w:tc>
        <w:tc>
          <w:tcPr>
            <w:tcW w:w="1350" w:type="dxa"/>
          </w:tcPr>
          <w:p w14:paraId="5BE358B3"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18</w:t>
            </w:r>
          </w:p>
        </w:tc>
        <w:tc>
          <w:tcPr>
            <w:tcW w:w="1170" w:type="dxa"/>
          </w:tcPr>
          <w:p w14:paraId="3BCEAFA8"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7AC90A0C" w14:textId="2AF8FC4A"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18</w:t>
            </w:r>
          </w:p>
        </w:tc>
        <w:tc>
          <w:tcPr>
            <w:tcW w:w="1710" w:type="dxa"/>
          </w:tcPr>
          <w:p w14:paraId="033597B4" w14:textId="5600E11D"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7.45 hours</w:t>
            </w:r>
          </w:p>
        </w:tc>
        <w:tc>
          <w:tcPr>
            <w:tcW w:w="1260" w:type="dxa"/>
          </w:tcPr>
          <w:p w14:paraId="3A09756F"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134</w:t>
            </w:r>
          </w:p>
        </w:tc>
      </w:tr>
      <w:tr w:rsidR="001D0D07" w:rsidRPr="00BF04B4" w14:paraId="3C3AC5AF" w14:textId="77777777" w:rsidTr="001D0D07">
        <w:trPr>
          <w:cantSplit/>
        </w:trPr>
        <w:tc>
          <w:tcPr>
            <w:tcW w:w="3060" w:type="dxa"/>
            <w:vAlign w:val="bottom"/>
          </w:tcPr>
          <w:p w14:paraId="2D977614" w14:textId="77777777" w:rsidR="00D9344E" w:rsidRPr="00BF04B4" w:rsidRDefault="00D9344E" w:rsidP="009D24E7">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Prepaid Account Agreements</w:t>
            </w:r>
            <w:r w:rsidRPr="00BF04B4">
              <w:rPr>
                <w:rFonts w:ascii="Times New Roman" w:hAnsi="Times New Roman"/>
                <w:sz w:val="24"/>
                <w:szCs w:val="24"/>
              </w:rPr>
              <w:t>, depository institutions (one time)</w:t>
            </w:r>
          </w:p>
        </w:tc>
        <w:tc>
          <w:tcPr>
            <w:tcW w:w="1350" w:type="dxa"/>
          </w:tcPr>
          <w:p w14:paraId="2699B95B"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36</w:t>
            </w:r>
          </w:p>
        </w:tc>
        <w:tc>
          <w:tcPr>
            <w:tcW w:w="1170" w:type="dxa"/>
          </w:tcPr>
          <w:p w14:paraId="72689499" w14:textId="77777777"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68DDA053" w14:textId="2CF37F7F"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36</w:t>
            </w:r>
          </w:p>
        </w:tc>
        <w:tc>
          <w:tcPr>
            <w:tcW w:w="1710" w:type="dxa"/>
          </w:tcPr>
          <w:p w14:paraId="3119A8CB" w14:textId="0D935983"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2.4 hours</w:t>
            </w:r>
          </w:p>
        </w:tc>
        <w:tc>
          <w:tcPr>
            <w:tcW w:w="1260" w:type="dxa"/>
          </w:tcPr>
          <w:p w14:paraId="406D4D49" w14:textId="77777777"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86</w:t>
            </w:r>
          </w:p>
        </w:tc>
      </w:tr>
      <w:tr w:rsidR="001D0D07" w:rsidRPr="00BF04B4" w14:paraId="6F70B061" w14:textId="77777777" w:rsidTr="001D0D07">
        <w:trPr>
          <w:cantSplit/>
        </w:trPr>
        <w:tc>
          <w:tcPr>
            <w:tcW w:w="3060" w:type="dxa"/>
            <w:vAlign w:val="bottom"/>
          </w:tcPr>
          <w:p w14:paraId="7800FA04" w14:textId="32D308E0" w:rsidR="00D9344E" w:rsidRPr="00BF04B4" w:rsidRDefault="00D9344E" w:rsidP="009D24E7">
            <w:pPr>
              <w:spacing w:after="120" w:line="240" w:lineRule="auto"/>
              <w:rPr>
                <w:rFonts w:ascii="Times New Roman" w:hAnsi="Times New Roman"/>
                <w:sz w:val="24"/>
                <w:szCs w:val="24"/>
              </w:rPr>
            </w:pPr>
            <w:r w:rsidRPr="00BF04B4">
              <w:rPr>
                <w:rFonts w:ascii="Times New Roman" w:hAnsi="Times New Roman"/>
                <w:sz w:val="24"/>
                <w:szCs w:val="24"/>
              </w:rPr>
              <w:t xml:space="preserve">Submission of </w:t>
            </w:r>
            <w:r>
              <w:rPr>
                <w:rFonts w:ascii="Times New Roman" w:hAnsi="Times New Roman"/>
                <w:sz w:val="24"/>
                <w:szCs w:val="24"/>
              </w:rPr>
              <w:t>Prepaid Account Agreements</w:t>
            </w:r>
            <w:r w:rsidRPr="00BF04B4">
              <w:rPr>
                <w:rFonts w:ascii="Times New Roman" w:hAnsi="Times New Roman"/>
                <w:sz w:val="24"/>
                <w:szCs w:val="24"/>
              </w:rPr>
              <w:t>, non-depository institutions (one time)</w:t>
            </w:r>
          </w:p>
        </w:tc>
        <w:tc>
          <w:tcPr>
            <w:tcW w:w="1350" w:type="dxa"/>
          </w:tcPr>
          <w:p w14:paraId="58845806" w14:textId="6508432D"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10</w:t>
            </w:r>
          </w:p>
        </w:tc>
        <w:tc>
          <w:tcPr>
            <w:tcW w:w="1170" w:type="dxa"/>
          </w:tcPr>
          <w:p w14:paraId="6831BFA9" w14:textId="09061255" w:rsidR="00D9344E" w:rsidRPr="00BF04B4" w:rsidRDefault="00D9344E" w:rsidP="00AB2521">
            <w:pPr>
              <w:pStyle w:val="Footer"/>
              <w:spacing w:after="120"/>
              <w:jc w:val="right"/>
              <w:rPr>
                <w:rFonts w:ascii="Times New Roman" w:hAnsi="Times New Roman"/>
                <w:snapToGrid w:val="0"/>
                <w:sz w:val="24"/>
                <w:szCs w:val="24"/>
              </w:rPr>
            </w:pPr>
            <w:r w:rsidRPr="00BF04B4">
              <w:rPr>
                <w:rFonts w:ascii="Times New Roman" w:hAnsi="Times New Roman"/>
                <w:snapToGrid w:val="0"/>
                <w:sz w:val="24"/>
                <w:szCs w:val="24"/>
              </w:rPr>
              <w:t>1</w:t>
            </w:r>
          </w:p>
        </w:tc>
        <w:tc>
          <w:tcPr>
            <w:tcW w:w="1170" w:type="dxa"/>
          </w:tcPr>
          <w:p w14:paraId="0A5ADB70" w14:textId="146EF219" w:rsidR="00D9344E" w:rsidRPr="00BF04B4" w:rsidRDefault="00D9344E" w:rsidP="00AB2521">
            <w:pPr>
              <w:spacing w:after="120" w:line="240" w:lineRule="auto"/>
              <w:jc w:val="right"/>
              <w:rPr>
                <w:rFonts w:ascii="Times New Roman" w:hAnsi="Times New Roman"/>
                <w:sz w:val="24"/>
                <w:szCs w:val="24"/>
              </w:rPr>
            </w:pPr>
            <w:r>
              <w:rPr>
                <w:rFonts w:ascii="Times New Roman" w:hAnsi="Times New Roman"/>
                <w:sz w:val="24"/>
                <w:szCs w:val="24"/>
              </w:rPr>
              <w:t>10</w:t>
            </w:r>
          </w:p>
        </w:tc>
        <w:tc>
          <w:tcPr>
            <w:tcW w:w="1710" w:type="dxa"/>
          </w:tcPr>
          <w:p w14:paraId="57929C4C" w14:textId="195C70AA"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1.2 hours</w:t>
            </w:r>
          </w:p>
        </w:tc>
        <w:tc>
          <w:tcPr>
            <w:tcW w:w="1260" w:type="dxa"/>
          </w:tcPr>
          <w:p w14:paraId="2E82EAA6" w14:textId="38E3C848" w:rsidR="00D9344E" w:rsidRPr="00BF04B4" w:rsidRDefault="00D9344E" w:rsidP="00AB2521">
            <w:pPr>
              <w:spacing w:after="120" w:line="240" w:lineRule="auto"/>
              <w:jc w:val="right"/>
              <w:rPr>
                <w:rFonts w:ascii="Times New Roman" w:hAnsi="Times New Roman"/>
                <w:sz w:val="24"/>
                <w:szCs w:val="24"/>
              </w:rPr>
            </w:pPr>
            <w:r w:rsidRPr="00BF04B4">
              <w:rPr>
                <w:rFonts w:ascii="Times New Roman" w:hAnsi="Times New Roman"/>
                <w:sz w:val="24"/>
                <w:szCs w:val="24"/>
              </w:rPr>
              <w:t>12</w:t>
            </w:r>
          </w:p>
        </w:tc>
      </w:tr>
      <w:tr w:rsidR="001D0D07" w:rsidRPr="00BF04B4" w14:paraId="1DBF8850" w14:textId="77777777" w:rsidTr="001D0D07">
        <w:trPr>
          <w:cantSplit/>
        </w:trPr>
        <w:tc>
          <w:tcPr>
            <w:tcW w:w="3060" w:type="dxa"/>
            <w:vAlign w:val="bottom"/>
          </w:tcPr>
          <w:p w14:paraId="0CCA90F6" w14:textId="67BC07D8" w:rsidR="00AB2521" w:rsidRPr="00BF04B4" w:rsidRDefault="00AB2521" w:rsidP="00AB2521">
            <w:pPr>
              <w:spacing w:after="120" w:line="240" w:lineRule="auto"/>
              <w:jc w:val="right"/>
              <w:rPr>
                <w:rFonts w:ascii="Times New Roman" w:hAnsi="Times New Roman"/>
                <w:sz w:val="24"/>
                <w:szCs w:val="24"/>
              </w:rPr>
            </w:pPr>
            <w:r>
              <w:rPr>
                <w:rFonts w:ascii="Times New Roman" w:hAnsi="Times New Roman"/>
                <w:b/>
                <w:color w:val="000000"/>
                <w:sz w:val="24"/>
                <w:szCs w:val="24"/>
              </w:rPr>
              <w:t>Total</w:t>
            </w:r>
          </w:p>
        </w:tc>
        <w:tc>
          <w:tcPr>
            <w:tcW w:w="1350" w:type="dxa"/>
          </w:tcPr>
          <w:p w14:paraId="5227E962" w14:textId="77777777" w:rsidR="00AB2521" w:rsidRPr="00BF04B4" w:rsidRDefault="00AB2521" w:rsidP="00AB2521">
            <w:pPr>
              <w:pStyle w:val="Footer"/>
              <w:spacing w:after="120"/>
              <w:jc w:val="right"/>
              <w:rPr>
                <w:rFonts w:ascii="Times New Roman" w:hAnsi="Times New Roman"/>
                <w:snapToGrid w:val="0"/>
                <w:sz w:val="24"/>
                <w:szCs w:val="24"/>
              </w:rPr>
            </w:pPr>
          </w:p>
        </w:tc>
        <w:tc>
          <w:tcPr>
            <w:tcW w:w="1170" w:type="dxa"/>
          </w:tcPr>
          <w:p w14:paraId="60314165" w14:textId="77777777" w:rsidR="00AB2521" w:rsidRPr="00BF04B4" w:rsidRDefault="00AB2521" w:rsidP="00AB2521">
            <w:pPr>
              <w:pStyle w:val="Footer"/>
              <w:spacing w:after="120"/>
              <w:jc w:val="right"/>
              <w:rPr>
                <w:rFonts w:ascii="Times New Roman" w:hAnsi="Times New Roman"/>
                <w:snapToGrid w:val="0"/>
                <w:sz w:val="24"/>
                <w:szCs w:val="24"/>
              </w:rPr>
            </w:pPr>
          </w:p>
        </w:tc>
        <w:tc>
          <w:tcPr>
            <w:tcW w:w="1170" w:type="dxa"/>
          </w:tcPr>
          <w:p w14:paraId="5CA6B600" w14:textId="6BC91D11" w:rsidR="00AB2521" w:rsidRDefault="00AB2521" w:rsidP="00AB2521">
            <w:pPr>
              <w:spacing w:after="120" w:line="240" w:lineRule="auto"/>
              <w:jc w:val="right"/>
              <w:rPr>
                <w:rFonts w:ascii="Times New Roman" w:hAnsi="Times New Roman"/>
                <w:sz w:val="24"/>
                <w:szCs w:val="24"/>
              </w:rPr>
            </w:pPr>
            <w:r>
              <w:rPr>
                <w:rFonts w:ascii="Times New Roman" w:hAnsi="Times New Roman"/>
                <w:b/>
                <w:color w:val="000000"/>
                <w:sz w:val="24"/>
                <w:szCs w:val="24"/>
              </w:rPr>
              <w:t>546</w:t>
            </w:r>
          </w:p>
        </w:tc>
        <w:tc>
          <w:tcPr>
            <w:tcW w:w="1710" w:type="dxa"/>
          </w:tcPr>
          <w:p w14:paraId="02A116F0" w14:textId="77777777" w:rsidR="00AB2521" w:rsidRPr="00BF04B4" w:rsidRDefault="00AB2521" w:rsidP="00AB2521">
            <w:pPr>
              <w:spacing w:after="120" w:line="240" w:lineRule="auto"/>
              <w:jc w:val="right"/>
              <w:rPr>
                <w:rFonts w:ascii="Times New Roman" w:hAnsi="Times New Roman"/>
                <w:sz w:val="24"/>
                <w:szCs w:val="24"/>
              </w:rPr>
            </w:pPr>
          </w:p>
        </w:tc>
        <w:tc>
          <w:tcPr>
            <w:tcW w:w="1260" w:type="dxa"/>
          </w:tcPr>
          <w:p w14:paraId="78F9AF1B" w14:textId="5121A25A" w:rsidR="00AB2521" w:rsidRPr="00BF04B4" w:rsidRDefault="00AB2521" w:rsidP="00AB2521">
            <w:pPr>
              <w:spacing w:after="120" w:line="240" w:lineRule="auto"/>
              <w:jc w:val="right"/>
              <w:rPr>
                <w:rFonts w:ascii="Times New Roman" w:hAnsi="Times New Roman"/>
                <w:sz w:val="24"/>
                <w:szCs w:val="24"/>
              </w:rPr>
            </w:pPr>
            <w:r w:rsidRPr="00702DC5">
              <w:rPr>
                <w:rFonts w:ascii="Times New Roman" w:hAnsi="Times New Roman"/>
                <w:b/>
                <w:color w:val="000000"/>
                <w:sz w:val="24"/>
                <w:szCs w:val="24"/>
              </w:rPr>
              <w:t>76</w:t>
            </w:r>
            <w:r>
              <w:rPr>
                <w:rFonts w:ascii="Times New Roman" w:hAnsi="Times New Roman"/>
                <w:b/>
                <w:color w:val="000000"/>
                <w:sz w:val="24"/>
                <w:szCs w:val="24"/>
              </w:rPr>
              <w:t>,</w:t>
            </w:r>
            <w:r w:rsidRPr="00702DC5">
              <w:rPr>
                <w:rFonts w:ascii="Times New Roman" w:hAnsi="Times New Roman"/>
                <w:b/>
                <w:color w:val="000000"/>
                <w:sz w:val="24"/>
                <w:szCs w:val="24"/>
              </w:rPr>
              <w:t>3</w:t>
            </w:r>
            <w:r>
              <w:rPr>
                <w:rFonts w:ascii="Times New Roman" w:hAnsi="Times New Roman"/>
                <w:b/>
                <w:color w:val="000000"/>
                <w:sz w:val="24"/>
                <w:szCs w:val="24"/>
              </w:rPr>
              <w:t>47</w:t>
            </w:r>
            <w:r>
              <w:rPr>
                <w:rStyle w:val="FootnoteReference"/>
                <w:rFonts w:ascii="Times New Roman" w:hAnsi="Times New Roman"/>
                <w:b/>
                <w:color w:val="000000"/>
                <w:sz w:val="24"/>
                <w:szCs w:val="24"/>
              </w:rPr>
              <w:footnoteReference w:id="8"/>
            </w:r>
          </w:p>
        </w:tc>
      </w:tr>
    </w:tbl>
    <w:p w14:paraId="6E653363" w14:textId="3CA2EB17" w:rsidR="001A1B43" w:rsidRDefault="00D9344E" w:rsidP="001A1B43">
      <w:pPr>
        <w:keepNext/>
        <w:tabs>
          <w:tab w:val="left" w:pos="0"/>
        </w:tabs>
        <w:autoSpaceDE w:val="0"/>
        <w:autoSpaceDN w:val="0"/>
        <w:adjustRightInd w:val="0"/>
        <w:spacing w:after="240" w:line="240" w:lineRule="auto"/>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702DC5">
        <w:rPr>
          <w:rFonts w:ascii="Times New Roman" w:hAnsi="Times New Roman"/>
          <w:b/>
          <w:color w:val="000000"/>
          <w:sz w:val="24"/>
          <w:szCs w:val="24"/>
        </w:rPr>
        <w:tab/>
      </w:r>
      <w:r w:rsidR="00702DC5">
        <w:rPr>
          <w:rFonts w:ascii="Times New Roman" w:hAnsi="Times New Roman"/>
          <w:b/>
          <w:color w:val="000000"/>
          <w:sz w:val="24"/>
          <w:szCs w:val="24"/>
        </w:rPr>
        <w:tab/>
      </w:r>
      <w:r w:rsidR="00702DC5">
        <w:rPr>
          <w:rFonts w:ascii="Times New Roman" w:hAnsi="Times New Roman"/>
          <w:b/>
          <w:color w:val="000000"/>
          <w:sz w:val="24"/>
          <w:szCs w:val="24"/>
        </w:rPr>
        <w:tab/>
      </w:r>
      <w:r w:rsidR="00702DC5">
        <w:rPr>
          <w:rFonts w:ascii="Times New Roman" w:hAnsi="Times New Roman"/>
          <w:b/>
          <w:color w:val="000000"/>
          <w:sz w:val="24"/>
          <w:szCs w:val="24"/>
        </w:rPr>
        <w:tab/>
      </w:r>
      <w:r>
        <w:rPr>
          <w:rFonts w:ascii="Times New Roman" w:hAnsi="Times New Roman"/>
          <w:b/>
          <w:color w:val="000000"/>
          <w:sz w:val="24"/>
          <w:szCs w:val="24"/>
        </w:rPr>
        <w:tab/>
      </w:r>
      <w:r w:rsidR="001A1B43">
        <w:rPr>
          <w:rFonts w:ascii="Times New Roman" w:hAnsi="Times New Roman"/>
          <w:b/>
          <w:color w:val="000000"/>
          <w:sz w:val="24"/>
          <w:szCs w:val="24"/>
        </w:rPr>
        <w:tab/>
        <w:t xml:space="preserve">   </w:t>
      </w:r>
      <w:r w:rsidR="001A1B43">
        <w:rPr>
          <w:rFonts w:ascii="Times New Roman" w:hAnsi="Times New Roman"/>
          <w:b/>
          <w:color w:val="000000"/>
          <w:sz w:val="24"/>
          <w:szCs w:val="24"/>
        </w:rPr>
        <w:tab/>
      </w:r>
      <w:r w:rsidR="001A1B43">
        <w:rPr>
          <w:rFonts w:ascii="Times New Roman" w:hAnsi="Times New Roman"/>
          <w:b/>
          <w:color w:val="000000"/>
          <w:sz w:val="24"/>
          <w:szCs w:val="24"/>
        </w:rPr>
        <w:tab/>
        <w:t xml:space="preserve">       </w:t>
      </w:r>
      <w:r w:rsidR="00AB2521">
        <w:rPr>
          <w:rFonts w:ascii="Times New Roman" w:hAnsi="Times New Roman"/>
          <w:b/>
          <w:color w:val="000000"/>
          <w:sz w:val="24"/>
          <w:szCs w:val="24"/>
        </w:rPr>
        <w:t xml:space="preserve">  </w:t>
      </w:r>
      <w:r w:rsidR="001A1B43">
        <w:rPr>
          <w:rFonts w:ascii="Times New Roman" w:hAnsi="Times New Roman"/>
          <w:b/>
          <w:color w:val="000000"/>
          <w:sz w:val="24"/>
          <w:szCs w:val="24"/>
        </w:rPr>
        <w:t xml:space="preserve">  </w:t>
      </w:r>
    </w:p>
    <w:p w14:paraId="2C2FC627" w14:textId="628327D3" w:rsidR="002D3555" w:rsidRPr="00BF04B4" w:rsidRDefault="00CB66C9" w:rsidP="006319AC">
      <w:pPr>
        <w:tabs>
          <w:tab w:val="left" w:pos="720"/>
        </w:tabs>
        <w:autoSpaceDE w:val="0"/>
        <w:autoSpaceDN w:val="0"/>
        <w:adjustRightInd w:val="0"/>
        <w:spacing w:after="240" w:line="240" w:lineRule="auto"/>
        <w:rPr>
          <w:rFonts w:ascii="Times New Roman" w:hAnsi="Times New Roman"/>
          <w:color w:val="000000"/>
          <w:sz w:val="24"/>
          <w:szCs w:val="24"/>
        </w:rPr>
      </w:pPr>
      <w:r>
        <w:rPr>
          <w:rFonts w:ascii="Times New Roman" w:hAnsi="Times New Roman"/>
          <w:color w:val="000000"/>
          <w:sz w:val="24"/>
          <w:szCs w:val="24"/>
        </w:rPr>
        <w:tab/>
      </w:r>
      <w:r w:rsidR="002D3555" w:rsidRPr="00BF04B4">
        <w:rPr>
          <w:rFonts w:ascii="Times New Roman" w:hAnsi="Times New Roman"/>
          <w:color w:val="000000"/>
          <w:sz w:val="24"/>
          <w:szCs w:val="24"/>
        </w:rPr>
        <w:t xml:space="preserve">The Bureau’s PRA estimation methodology assumes that one-time burden increases with the number of programs </w:t>
      </w:r>
      <w:r w:rsidR="00F16C12" w:rsidRPr="00BF04B4">
        <w:rPr>
          <w:rFonts w:ascii="Times New Roman" w:hAnsi="Times New Roman"/>
          <w:color w:val="000000"/>
          <w:sz w:val="24"/>
          <w:szCs w:val="24"/>
        </w:rPr>
        <w:t xml:space="preserve">and fee schedules </w:t>
      </w:r>
      <w:r w:rsidR="002D3555" w:rsidRPr="00BF04B4">
        <w:rPr>
          <w:rFonts w:ascii="Times New Roman" w:hAnsi="Times New Roman"/>
          <w:color w:val="000000"/>
          <w:sz w:val="24"/>
          <w:szCs w:val="24"/>
        </w:rPr>
        <w:t>operated by a program manager.</w:t>
      </w:r>
      <w:r w:rsidR="002D3555" w:rsidRPr="00BF04B4">
        <w:rPr>
          <w:rFonts w:ascii="Times New Roman" w:hAnsi="Times New Roman"/>
          <w:color w:val="000000"/>
          <w:sz w:val="24"/>
          <w:szCs w:val="24"/>
          <w:vertAlign w:val="superscript"/>
        </w:rPr>
        <w:footnoteReference w:id="9"/>
      </w:r>
      <w:r w:rsidR="002D3555" w:rsidRPr="00BF04B4">
        <w:rPr>
          <w:rFonts w:ascii="Times New Roman" w:hAnsi="Times New Roman"/>
          <w:color w:val="000000"/>
          <w:sz w:val="24"/>
          <w:szCs w:val="24"/>
        </w:rPr>
        <w:t xml:space="preserve">  Ongoing burden may increase with the number of programs,</w:t>
      </w:r>
      <w:r w:rsidR="00F16C12" w:rsidRPr="00BF04B4">
        <w:rPr>
          <w:rFonts w:ascii="Times New Roman" w:hAnsi="Times New Roman"/>
          <w:color w:val="000000"/>
          <w:sz w:val="24"/>
          <w:szCs w:val="24"/>
        </w:rPr>
        <w:t xml:space="preserve"> the number of fee schedules,</w:t>
      </w:r>
      <w:r w:rsidR="002D3555" w:rsidRPr="00BF04B4">
        <w:rPr>
          <w:rFonts w:ascii="Times New Roman" w:hAnsi="Times New Roman"/>
          <w:color w:val="000000"/>
          <w:sz w:val="24"/>
          <w:szCs w:val="24"/>
        </w:rPr>
        <w:t xml:space="preserve"> the number of customers, or </w:t>
      </w:r>
      <w:r w:rsidR="00F24EA4" w:rsidRPr="00BF04B4">
        <w:rPr>
          <w:rFonts w:ascii="Times New Roman" w:hAnsi="Times New Roman"/>
          <w:color w:val="000000"/>
          <w:sz w:val="24"/>
          <w:szCs w:val="24"/>
        </w:rPr>
        <w:t>some combination of the three</w:t>
      </w:r>
      <w:r w:rsidR="002D3555" w:rsidRPr="00BF04B4">
        <w:rPr>
          <w:rFonts w:ascii="Times New Roman" w:hAnsi="Times New Roman"/>
          <w:color w:val="000000"/>
          <w:sz w:val="24"/>
          <w:szCs w:val="24"/>
        </w:rPr>
        <w:t xml:space="preserve">.  However, both one-time and ongoing PRA burden from the </w:t>
      </w:r>
      <w:r w:rsidR="00602C6D" w:rsidRPr="00BF04B4">
        <w:rPr>
          <w:rFonts w:ascii="Times New Roman" w:hAnsi="Times New Roman"/>
          <w:color w:val="000000"/>
          <w:sz w:val="24"/>
          <w:szCs w:val="24"/>
        </w:rPr>
        <w:t xml:space="preserve">final </w:t>
      </w:r>
      <w:r w:rsidR="002D3555" w:rsidRPr="00BF04B4">
        <w:rPr>
          <w:rFonts w:ascii="Times New Roman" w:hAnsi="Times New Roman"/>
          <w:color w:val="000000"/>
          <w:sz w:val="24"/>
          <w:szCs w:val="24"/>
        </w:rPr>
        <w:t xml:space="preserve">rule is minimal.  Most </w:t>
      </w:r>
      <w:r w:rsidR="00F25559">
        <w:rPr>
          <w:rFonts w:ascii="Times New Roman" w:hAnsi="Times New Roman"/>
          <w:color w:val="000000"/>
          <w:sz w:val="24"/>
          <w:szCs w:val="24"/>
        </w:rPr>
        <w:t xml:space="preserve">providers of prepaid accounts </w:t>
      </w:r>
      <w:r w:rsidR="002D3555" w:rsidRPr="00BF04B4">
        <w:rPr>
          <w:rFonts w:ascii="Times New Roman" w:hAnsi="Times New Roman"/>
          <w:color w:val="000000"/>
          <w:sz w:val="24"/>
          <w:szCs w:val="24"/>
        </w:rPr>
        <w:t>already comply with the current requirements of Regulation E, as they apply to payroll card accounts</w:t>
      </w:r>
      <w:r w:rsidR="00F25559">
        <w:rPr>
          <w:rFonts w:ascii="Times New Roman" w:hAnsi="Times New Roman"/>
          <w:color w:val="000000"/>
          <w:sz w:val="24"/>
          <w:szCs w:val="24"/>
        </w:rPr>
        <w:t>, for their prepaid account programs</w:t>
      </w:r>
      <w:r w:rsidR="002D3555" w:rsidRPr="00BF04B4">
        <w:rPr>
          <w:rFonts w:ascii="Times New Roman" w:hAnsi="Times New Roman"/>
          <w:color w:val="000000"/>
          <w:sz w:val="24"/>
          <w:szCs w:val="24"/>
        </w:rPr>
        <w:t xml:space="preserve">.  The additional requirements generally require small extensions or revisions to existing practices.  Finally, there may be several participants in the prepaid account supply chain </w:t>
      </w:r>
      <w:r w:rsidR="00F25559">
        <w:rPr>
          <w:rFonts w:ascii="Times New Roman" w:hAnsi="Times New Roman"/>
          <w:color w:val="000000"/>
          <w:sz w:val="24"/>
          <w:szCs w:val="24"/>
        </w:rPr>
        <w:t xml:space="preserve">for any given prepaid account program </w:t>
      </w:r>
      <w:r w:rsidR="002D3555" w:rsidRPr="00BF04B4">
        <w:rPr>
          <w:rFonts w:ascii="Times New Roman" w:hAnsi="Times New Roman"/>
          <w:color w:val="000000"/>
          <w:sz w:val="24"/>
          <w:szCs w:val="24"/>
        </w:rPr>
        <w:t>and the activities of the participants may vary across prepaid</w:t>
      </w:r>
      <w:r w:rsidR="00F25559">
        <w:rPr>
          <w:rFonts w:ascii="Times New Roman" w:hAnsi="Times New Roman"/>
          <w:color w:val="000000"/>
          <w:sz w:val="24"/>
          <w:szCs w:val="24"/>
        </w:rPr>
        <w:t xml:space="preserve"> account</w:t>
      </w:r>
      <w:r w:rsidR="002D3555" w:rsidRPr="00BF04B4">
        <w:rPr>
          <w:rFonts w:ascii="Times New Roman" w:hAnsi="Times New Roman"/>
          <w:color w:val="000000"/>
          <w:sz w:val="24"/>
          <w:szCs w:val="24"/>
        </w:rPr>
        <w:t xml:space="preserve"> programs.  The Bureau understands that, in general, the respondents for purposes of PRA are program managers, except for the collection required by §</w:t>
      </w:r>
      <w:r w:rsidR="00F25559">
        <w:rPr>
          <w:rFonts w:ascii="Times New Roman" w:hAnsi="Times New Roman"/>
          <w:color w:val="000000"/>
          <w:sz w:val="24"/>
          <w:szCs w:val="24"/>
        </w:rPr>
        <w:t> </w:t>
      </w:r>
      <w:r w:rsidR="002D3555" w:rsidRPr="00BF04B4">
        <w:rPr>
          <w:rFonts w:ascii="Times New Roman" w:hAnsi="Times New Roman"/>
          <w:color w:val="000000"/>
          <w:sz w:val="24"/>
          <w:szCs w:val="24"/>
        </w:rPr>
        <w:t>1005.19 (internet posting of prepaid account agreements and submission to the Bureau), where the respondents will likely be prepaid account issuers.</w:t>
      </w:r>
    </w:p>
    <w:p w14:paraId="64622786" w14:textId="69ACBB23" w:rsidR="002D3555" w:rsidRPr="00BF04B4" w:rsidRDefault="002D355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The Bureau believes that providers of prepaid account</w:t>
      </w:r>
      <w:r w:rsidR="00E75530">
        <w:rPr>
          <w:rFonts w:ascii="Times New Roman" w:hAnsi="Times New Roman"/>
          <w:color w:val="000000"/>
          <w:sz w:val="24"/>
          <w:szCs w:val="24"/>
        </w:rPr>
        <w:t>s</w:t>
      </w:r>
      <w:r w:rsidRPr="00BF04B4">
        <w:rPr>
          <w:rFonts w:ascii="Times New Roman" w:hAnsi="Times New Roman"/>
          <w:color w:val="000000"/>
          <w:sz w:val="24"/>
          <w:szCs w:val="24"/>
        </w:rPr>
        <w:t xml:space="preserve"> generally provide account opening disclosures, </w:t>
      </w:r>
      <w:r w:rsidR="00544D13" w:rsidRPr="00BF04B4">
        <w:rPr>
          <w:rFonts w:ascii="Times New Roman" w:hAnsi="Times New Roman"/>
          <w:color w:val="000000"/>
          <w:sz w:val="24"/>
          <w:szCs w:val="24"/>
        </w:rPr>
        <w:t>change-in-</w:t>
      </w:r>
      <w:r w:rsidRPr="00BF04B4">
        <w:rPr>
          <w:rFonts w:ascii="Times New Roman" w:hAnsi="Times New Roman"/>
          <w:color w:val="000000"/>
          <w:sz w:val="24"/>
          <w:szCs w:val="24"/>
        </w:rPr>
        <w:t xml:space="preserve">terms notices, and annual error resolution notices that meet the current requirements of Regulation E.  </w:t>
      </w:r>
      <w:r w:rsidR="00A24EAE" w:rsidRPr="00A24EAE">
        <w:rPr>
          <w:rFonts w:ascii="Times New Roman" w:hAnsi="Times New Roman"/>
          <w:color w:val="000000"/>
          <w:sz w:val="24"/>
          <w:szCs w:val="24"/>
        </w:rPr>
        <w:t>Final § 1005.18(f)(1) expands the account opening requirements of § 1005.7(b)(5) as applied to prepaid accounts to require the disclosure of all fees, not just fees for EFTs.  However, the Bureau understands that most fees are currently generally disclosed at account opening.  Thus, the one-time and ongoing burden from this requirement should be minimal.</w:t>
      </w:r>
    </w:p>
    <w:p w14:paraId="3B214B29" w14:textId="67775C3B" w:rsidR="002D3555" w:rsidRPr="00BF04B4" w:rsidRDefault="002D355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 xml:space="preserve">Providers offering certain </w:t>
      </w:r>
      <w:r w:rsidR="00F25559">
        <w:rPr>
          <w:rFonts w:ascii="Times New Roman" w:hAnsi="Times New Roman"/>
          <w:color w:val="000000"/>
          <w:sz w:val="24"/>
          <w:szCs w:val="24"/>
        </w:rPr>
        <w:t>EFT</w:t>
      </w:r>
      <w:r w:rsidRPr="00BF04B4">
        <w:rPr>
          <w:rFonts w:ascii="Times New Roman" w:hAnsi="Times New Roman"/>
          <w:color w:val="000000"/>
          <w:sz w:val="24"/>
          <w:szCs w:val="24"/>
        </w:rPr>
        <w:t xml:space="preserve"> services for prepaid accounts </w:t>
      </w:r>
      <w:r w:rsidR="00EB2E70" w:rsidRPr="00BF04B4">
        <w:rPr>
          <w:rFonts w:ascii="Times New Roman" w:hAnsi="Times New Roman"/>
          <w:color w:val="000000"/>
          <w:sz w:val="24"/>
          <w:szCs w:val="24"/>
        </w:rPr>
        <w:t xml:space="preserve">are </w:t>
      </w:r>
      <w:r w:rsidRPr="00BF04B4">
        <w:rPr>
          <w:rFonts w:ascii="Times New Roman" w:hAnsi="Times New Roman"/>
          <w:color w:val="000000"/>
          <w:sz w:val="24"/>
          <w:szCs w:val="24"/>
        </w:rPr>
        <w:t xml:space="preserve">also </w:t>
      </w:r>
      <w:r w:rsidR="00EB2E70" w:rsidRPr="00BF04B4">
        <w:rPr>
          <w:rFonts w:ascii="Times New Roman" w:hAnsi="Times New Roman"/>
          <w:color w:val="000000"/>
          <w:sz w:val="24"/>
          <w:szCs w:val="24"/>
        </w:rPr>
        <w:t xml:space="preserve">required </w:t>
      </w:r>
      <w:r w:rsidRPr="00BF04B4">
        <w:rPr>
          <w:rFonts w:ascii="Times New Roman" w:hAnsi="Times New Roman"/>
          <w:color w:val="000000"/>
          <w:sz w:val="24"/>
          <w:szCs w:val="24"/>
        </w:rPr>
        <w:t>to provide transaction disclosures</w:t>
      </w:r>
      <w:r w:rsidR="00EB2E70" w:rsidRPr="00BF04B4">
        <w:rPr>
          <w:rFonts w:ascii="Times New Roman" w:hAnsi="Times New Roman"/>
          <w:color w:val="000000"/>
          <w:sz w:val="24"/>
          <w:szCs w:val="24"/>
        </w:rPr>
        <w:t xml:space="preserve"> under the final rule</w:t>
      </w:r>
      <w:r w:rsidRPr="00BF04B4">
        <w:rPr>
          <w:rFonts w:ascii="Times New Roman" w:hAnsi="Times New Roman"/>
          <w:color w:val="000000"/>
          <w:sz w:val="24"/>
          <w:szCs w:val="24"/>
        </w:rPr>
        <w:t xml:space="preserve">.  For example, a disclosure </w:t>
      </w:r>
      <w:r w:rsidR="00EB2E70" w:rsidRPr="00BF04B4">
        <w:rPr>
          <w:rFonts w:ascii="Times New Roman" w:hAnsi="Times New Roman"/>
          <w:color w:val="000000"/>
          <w:sz w:val="24"/>
          <w:szCs w:val="24"/>
        </w:rPr>
        <w:t xml:space="preserve">is </w:t>
      </w:r>
      <w:r w:rsidRPr="00BF04B4">
        <w:rPr>
          <w:rFonts w:ascii="Times New Roman" w:hAnsi="Times New Roman"/>
          <w:color w:val="000000"/>
          <w:sz w:val="24"/>
          <w:szCs w:val="24"/>
        </w:rPr>
        <w:t xml:space="preserve">required for transactions conducted at an automated teller machine.  </w:t>
      </w:r>
      <w:r w:rsidR="00A24EAE" w:rsidRPr="00A24EAE">
        <w:rPr>
          <w:rFonts w:ascii="Times New Roman" w:hAnsi="Times New Roman"/>
          <w:color w:val="000000"/>
          <w:sz w:val="24"/>
          <w:szCs w:val="24"/>
        </w:rPr>
        <w:t>The Bureau believes that most or all providers currently give these disclosures.  In the alternative, however, t</w:t>
      </w:r>
      <w:r w:rsidRPr="00BF04B4">
        <w:rPr>
          <w:rFonts w:ascii="Times New Roman" w:hAnsi="Times New Roman"/>
          <w:color w:val="000000"/>
          <w:sz w:val="24"/>
          <w:szCs w:val="24"/>
        </w:rPr>
        <w:t xml:space="preserve">hese disclosures impose minimal burden as they are machine-generated and do not involve an employee of the institution.  For preauthorized transfers to the consumer’s account occurring at least once every 60 days, such as direct deposit, the </w:t>
      </w:r>
      <w:r w:rsidR="007F0D7F">
        <w:rPr>
          <w:rFonts w:ascii="Times New Roman" w:hAnsi="Times New Roman"/>
          <w:color w:val="000000"/>
          <w:sz w:val="24"/>
          <w:szCs w:val="24"/>
        </w:rPr>
        <w:t>prepaid account provider</w:t>
      </w:r>
      <w:r w:rsidR="007F0D7F" w:rsidRPr="00BF04B4">
        <w:rPr>
          <w:rFonts w:ascii="Times New Roman" w:hAnsi="Times New Roman"/>
          <w:color w:val="000000"/>
          <w:sz w:val="24"/>
          <w:szCs w:val="24"/>
        </w:rPr>
        <w:t xml:space="preserve"> </w:t>
      </w:r>
      <w:r w:rsidR="00EB2E70" w:rsidRPr="00BF04B4">
        <w:rPr>
          <w:rFonts w:ascii="Times New Roman" w:hAnsi="Times New Roman"/>
          <w:color w:val="000000"/>
          <w:sz w:val="24"/>
          <w:szCs w:val="24"/>
        </w:rPr>
        <w:t>is</w:t>
      </w:r>
      <w:r w:rsidRPr="00BF04B4">
        <w:rPr>
          <w:rFonts w:ascii="Times New Roman" w:hAnsi="Times New Roman"/>
          <w:color w:val="000000"/>
          <w:sz w:val="24"/>
          <w:szCs w:val="24"/>
        </w:rPr>
        <w:t xml:space="preserve"> required to provide notice as to whether the transfer occurred unless positive notice was provided by the payor.  In lieu of sending a notice of deposit, the </w:t>
      </w:r>
      <w:r w:rsidR="007F0D7F">
        <w:rPr>
          <w:rFonts w:ascii="Times New Roman" w:hAnsi="Times New Roman"/>
          <w:color w:val="000000"/>
          <w:sz w:val="24"/>
          <w:szCs w:val="24"/>
        </w:rPr>
        <w:t>provider</w:t>
      </w:r>
      <w:r w:rsidR="007F0D7F" w:rsidRPr="00BF04B4">
        <w:rPr>
          <w:rFonts w:ascii="Times New Roman" w:hAnsi="Times New Roman"/>
          <w:color w:val="000000"/>
          <w:sz w:val="24"/>
          <w:szCs w:val="24"/>
        </w:rPr>
        <w:t xml:space="preserve"> </w:t>
      </w:r>
      <w:r w:rsidRPr="00BF04B4">
        <w:rPr>
          <w:rFonts w:ascii="Times New Roman" w:hAnsi="Times New Roman"/>
          <w:color w:val="000000"/>
          <w:sz w:val="24"/>
          <w:szCs w:val="24"/>
        </w:rPr>
        <w:t xml:space="preserve">may provide a readily available telephone number that the consumer can call to verify receipt of the deposit.  Thus, the burden of this requirement is also minimal.  For preauthorized transfers from the account, either the </w:t>
      </w:r>
      <w:r w:rsidR="007F0D7F">
        <w:rPr>
          <w:rFonts w:ascii="Times New Roman" w:hAnsi="Times New Roman"/>
          <w:color w:val="000000"/>
          <w:sz w:val="24"/>
          <w:szCs w:val="24"/>
        </w:rPr>
        <w:t>provider</w:t>
      </w:r>
      <w:r w:rsidR="007F0D7F" w:rsidRPr="00BF04B4">
        <w:rPr>
          <w:rFonts w:ascii="Times New Roman" w:hAnsi="Times New Roman"/>
          <w:color w:val="000000"/>
          <w:sz w:val="24"/>
          <w:szCs w:val="24"/>
        </w:rPr>
        <w:t xml:space="preserve"> </w:t>
      </w:r>
      <w:r w:rsidRPr="00BF04B4">
        <w:rPr>
          <w:rFonts w:ascii="Times New Roman" w:hAnsi="Times New Roman"/>
          <w:color w:val="000000"/>
          <w:sz w:val="24"/>
          <w:szCs w:val="24"/>
        </w:rPr>
        <w:t xml:space="preserve">or the payee </w:t>
      </w:r>
      <w:r w:rsidR="00F24EA4"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need to notify the consumer of payment variations.  Because in the vast majority of instances the payee, rather than the account provider, </w:t>
      </w:r>
      <w:r w:rsidR="00F24EA4" w:rsidRPr="00BF04B4">
        <w:rPr>
          <w:rFonts w:ascii="Times New Roman" w:hAnsi="Times New Roman"/>
          <w:color w:val="000000"/>
          <w:sz w:val="24"/>
          <w:szCs w:val="24"/>
        </w:rPr>
        <w:t xml:space="preserve">will </w:t>
      </w:r>
      <w:r w:rsidRPr="00BF04B4">
        <w:rPr>
          <w:rFonts w:ascii="Times New Roman" w:hAnsi="Times New Roman"/>
          <w:color w:val="000000"/>
          <w:sz w:val="24"/>
          <w:szCs w:val="24"/>
        </w:rPr>
        <w:t>satisfy this obligation, the burden on providers is minimal.</w:t>
      </w:r>
    </w:p>
    <w:p w14:paraId="3A773481" w14:textId="1AB58378" w:rsidR="00A24EAE" w:rsidRDefault="002D355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 xml:space="preserve">The Bureau is </w:t>
      </w:r>
      <w:r w:rsidR="00F24EA4" w:rsidRPr="00BF04B4">
        <w:rPr>
          <w:rFonts w:ascii="Times New Roman" w:hAnsi="Times New Roman"/>
          <w:color w:val="000000"/>
          <w:sz w:val="24"/>
          <w:szCs w:val="24"/>
        </w:rPr>
        <w:t xml:space="preserve">requiring </w:t>
      </w:r>
      <w:r w:rsidRPr="00BF04B4">
        <w:rPr>
          <w:rFonts w:ascii="Times New Roman" w:hAnsi="Times New Roman"/>
          <w:color w:val="000000"/>
          <w:sz w:val="24"/>
          <w:szCs w:val="24"/>
        </w:rPr>
        <w:t>that</w:t>
      </w:r>
      <w:r w:rsidR="00544D13" w:rsidRPr="00BF04B4">
        <w:rPr>
          <w:rFonts w:ascii="Times New Roman" w:hAnsi="Times New Roman"/>
          <w:color w:val="000000"/>
          <w:sz w:val="24"/>
          <w:szCs w:val="24"/>
        </w:rPr>
        <w:t xml:space="preserve"> a </w:t>
      </w:r>
      <w:r w:rsidR="007F0D7F">
        <w:rPr>
          <w:rFonts w:ascii="Times New Roman" w:hAnsi="Times New Roman"/>
          <w:color w:val="000000"/>
          <w:sz w:val="24"/>
          <w:szCs w:val="24"/>
        </w:rPr>
        <w:t xml:space="preserve">prepaid account provider </w:t>
      </w:r>
      <w:r w:rsidR="00544D13" w:rsidRPr="00BF04B4">
        <w:rPr>
          <w:rFonts w:ascii="Times New Roman" w:hAnsi="Times New Roman"/>
          <w:color w:val="000000"/>
          <w:sz w:val="24"/>
          <w:szCs w:val="24"/>
        </w:rPr>
        <w:t>makes available to a consumer before the consumer acquires a prepaid account a short form disclosure, pursuant to § 1005.18(b)(2)</w:t>
      </w:r>
      <w:r w:rsidRPr="00BF04B4">
        <w:rPr>
          <w:rFonts w:ascii="Times New Roman" w:hAnsi="Times New Roman"/>
          <w:color w:val="000000"/>
          <w:sz w:val="24"/>
          <w:szCs w:val="24"/>
        </w:rPr>
        <w:t xml:space="preserve">, </w:t>
      </w:r>
      <w:r w:rsidR="00544D13" w:rsidRPr="00BF04B4">
        <w:rPr>
          <w:rFonts w:ascii="Times New Roman" w:hAnsi="Times New Roman"/>
          <w:color w:val="000000"/>
          <w:sz w:val="24"/>
          <w:szCs w:val="24"/>
        </w:rPr>
        <w:t xml:space="preserve">and </w:t>
      </w:r>
      <w:r w:rsidR="00A14BB0">
        <w:rPr>
          <w:rFonts w:ascii="Times New Roman" w:hAnsi="Times New Roman"/>
          <w:color w:val="000000"/>
          <w:sz w:val="24"/>
          <w:szCs w:val="24"/>
        </w:rPr>
        <w:t>,</w:t>
      </w:r>
      <w:r w:rsidR="00544D13" w:rsidRPr="00BF04B4">
        <w:rPr>
          <w:rFonts w:ascii="Times New Roman" w:hAnsi="Times New Roman"/>
          <w:color w:val="000000"/>
          <w:sz w:val="24"/>
          <w:szCs w:val="24"/>
        </w:rPr>
        <w:t xml:space="preserve">subject to </w:t>
      </w:r>
      <w:r w:rsidRPr="00BF04B4">
        <w:rPr>
          <w:rFonts w:ascii="Times New Roman" w:hAnsi="Times New Roman"/>
          <w:color w:val="000000"/>
          <w:sz w:val="24"/>
          <w:szCs w:val="24"/>
        </w:rPr>
        <w:t>certain exceptions provided in § 1005.18(b)(1)</w:t>
      </w:r>
      <w:r w:rsidR="00A14BB0">
        <w:rPr>
          <w:rFonts w:ascii="Times New Roman" w:hAnsi="Times New Roman"/>
          <w:color w:val="000000"/>
          <w:sz w:val="24"/>
          <w:szCs w:val="24"/>
        </w:rPr>
        <w:t>,t</w:t>
      </w:r>
      <w:r w:rsidR="00E57FC4">
        <w:rPr>
          <w:rFonts w:ascii="Times New Roman" w:hAnsi="Times New Roman"/>
          <w:color w:val="000000"/>
          <w:sz w:val="24"/>
          <w:szCs w:val="24"/>
        </w:rPr>
        <w:t xml:space="preserve">he Bureau is requiring that </w:t>
      </w:r>
      <w:r w:rsidRPr="00BF04B4">
        <w:rPr>
          <w:rFonts w:ascii="Times New Roman" w:hAnsi="Times New Roman"/>
          <w:color w:val="000000"/>
          <w:sz w:val="24"/>
          <w:szCs w:val="24"/>
        </w:rPr>
        <w:t xml:space="preserve">a </w:t>
      </w:r>
      <w:r w:rsidR="007F0D7F">
        <w:rPr>
          <w:rFonts w:ascii="Times New Roman" w:hAnsi="Times New Roman"/>
          <w:color w:val="000000"/>
          <w:sz w:val="24"/>
          <w:szCs w:val="24"/>
        </w:rPr>
        <w:t>provider</w:t>
      </w:r>
      <w:r w:rsidR="00E57FC4">
        <w:rPr>
          <w:rFonts w:ascii="Times New Roman" w:hAnsi="Times New Roman"/>
          <w:color w:val="000000"/>
          <w:sz w:val="24"/>
          <w:szCs w:val="24"/>
        </w:rPr>
        <w:t xml:space="preserve"> </w:t>
      </w:r>
      <w:r w:rsidRPr="00BF04B4">
        <w:rPr>
          <w:rFonts w:ascii="Times New Roman" w:hAnsi="Times New Roman"/>
          <w:color w:val="000000"/>
          <w:sz w:val="24"/>
          <w:szCs w:val="24"/>
        </w:rPr>
        <w:t>make available a long form disclosure required by § 1005.18(b)</w:t>
      </w:r>
      <w:r w:rsidR="00544D13" w:rsidRPr="00BF04B4">
        <w:rPr>
          <w:rFonts w:ascii="Times New Roman" w:hAnsi="Times New Roman"/>
          <w:color w:val="000000"/>
          <w:sz w:val="24"/>
          <w:szCs w:val="24"/>
        </w:rPr>
        <w:t>(4)</w:t>
      </w:r>
      <w:r w:rsidR="00DD3E02">
        <w:rPr>
          <w:rFonts w:ascii="Times New Roman" w:hAnsi="Times New Roman"/>
          <w:color w:val="000000"/>
          <w:sz w:val="24"/>
          <w:szCs w:val="24"/>
        </w:rPr>
        <w:t xml:space="preserve"> in advance as well</w:t>
      </w:r>
      <w:r w:rsidR="00544D13" w:rsidRPr="00BF04B4">
        <w:rPr>
          <w:rFonts w:ascii="Times New Roman" w:hAnsi="Times New Roman"/>
          <w:color w:val="000000"/>
          <w:sz w:val="24"/>
          <w:szCs w:val="24"/>
        </w:rPr>
        <w:t xml:space="preserve">.  </w:t>
      </w:r>
      <w:r w:rsidRPr="00BF04B4">
        <w:rPr>
          <w:rFonts w:ascii="Times New Roman" w:hAnsi="Times New Roman"/>
          <w:color w:val="000000"/>
          <w:sz w:val="24"/>
          <w:szCs w:val="24"/>
        </w:rPr>
        <w:t xml:space="preserve">The Bureau estimates that providers, including Bureau respondents, </w:t>
      </w:r>
      <w:r w:rsidR="00F24EA4"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take 40 hours per prepaid account </w:t>
      </w:r>
      <w:r w:rsidR="00F24EA4" w:rsidRPr="00BF04B4">
        <w:rPr>
          <w:rFonts w:ascii="Times New Roman" w:hAnsi="Times New Roman"/>
          <w:color w:val="000000"/>
          <w:sz w:val="24"/>
          <w:szCs w:val="24"/>
        </w:rPr>
        <w:t>fee schedule</w:t>
      </w:r>
      <w:r w:rsidRPr="00BF04B4">
        <w:rPr>
          <w:rFonts w:ascii="Times New Roman" w:hAnsi="Times New Roman"/>
          <w:color w:val="000000"/>
          <w:sz w:val="24"/>
          <w:szCs w:val="24"/>
        </w:rPr>
        <w:t xml:space="preserve">, on average, to develop the short form disclosure and to update systems.  The Bureau understands that each provider has </w:t>
      </w:r>
      <w:r w:rsidR="00F24EA4" w:rsidRPr="00BF04B4">
        <w:rPr>
          <w:rFonts w:ascii="Times New Roman" w:hAnsi="Times New Roman"/>
          <w:color w:val="000000"/>
          <w:sz w:val="24"/>
          <w:szCs w:val="24"/>
        </w:rPr>
        <w:t>1</w:t>
      </w:r>
      <w:r w:rsidR="00A41096" w:rsidRPr="00BF04B4">
        <w:rPr>
          <w:rFonts w:ascii="Times New Roman" w:hAnsi="Times New Roman"/>
          <w:color w:val="000000"/>
          <w:sz w:val="24"/>
          <w:szCs w:val="24"/>
        </w:rPr>
        <w:t>1.9</w:t>
      </w:r>
      <w:r w:rsidRPr="00BF04B4">
        <w:rPr>
          <w:rFonts w:ascii="Times New Roman" w:hAnsi="Times New Roman"/>
          <w:color w:val="000000"/>
          <w:sz w:val="24"/>
          <w:szCs w:val="24"/>
        </w:rPr>
        <w:t xml:space="preserve"> </w:t>
      </w:r>
      <w:r w:rsidR="00F06115" w:rsidRPr="00BF04B4">
        <w:rPr>
          <w:rFonts w:ascii="Times New Roman" w:hAnsi="Times New Roman"/>
          <w:color w:val="000000"/>
          <w:sz w:val="24"/>
          <w:szCs w:val="24"/>
        </w:rPr>
        <w:t xml:space="preserve">fee schedules </w:t>
      </w:r>
      <w:r w:rsidRPr="00BF04B4">
        <w:rPr>
          <w:rFonts w:ascii="Times New Roman" w:hAnsi="Times New Roman"/>
          <w:color w:val="000000"/>
          <w:sz w:val="24"/>
          <w:szCs w:val="24"/>
        </w:rPr>
        <w:t xml:space="preserve">on average, so this activity would take about </w:t>
      </w:r>
      <w:r w:rsidR="00A41096" w:rsidRPr="00BF04B4">
        <w:rPr>
          <w:rFonts w:ascii="Times New Roman" w:hAnsi="Times New Roman"/>
          <w:color w:val="000000"/>
          <w:sz w:val="24"/>
          <w:szCs w:val="24"/>
        </w:rPr>
        <w:t xml:space="preserve">474.9 </w:t>
      </w:r>
      <w:r w:rsidRPr="00BF04B4">
        <w:rPr>
          <w:rFonts w:ascii="Times New Roman" w:hAnsi="Times New Roman"/>
          <w:color w:val="000000"/>
          <w:sz w:val="24"/>
          <w:szCs w:val="24"/>
        </w:rPr>
        <w:t>hours total per provider, of which the Bureau allocates to itself half (</w:t>
      </w:r>
      <w:r w:rsidR="00A41096" w:rsidRPr="00BF04B4">
        <w:rPr>
          <w:rFonts w:ascii="Times New Roman" w:hAnsi="Times New Roman"/>
          <w:color w:val="000000"/>
          <w:sz w:val="24"/>
          <w:szCs w:val="24"/>
        </w:rPr>
        <w:t xml:space="preserve">237.5 </w:t>
      </w:r>
      <w:r w:rsidRPr="00BF04B4">
        <w:rPr>
          <w:rFonts w:ascii="Times New Roman" w:hAnsi="Times New Roman"/>
          <w:color w:val="000000"/>
          <w:sz w:val="24"/>
          <w:szCs w:val="24"/>
        </w:rPr>
        <w:t xml:space="preserve">hours) when the provider is a non-depository institution.  Providers </w:t>
      </w:r>
      <w:r w:rsidR="00EB2E70"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take 8 hours </w:t>
      </w:r>
      <w:r w:rsidR="00DE4B15" w:rsidRPr="00BF04B4">
        <w:rPr>
          <w:rFonts w:ascii="Times New Roman" w:hAnsi="Times New Roman"/>
          <w:color w:val="000000"/>
          <w:sz w:val="24"/>
          <w:szCs w:val="24"/>
        </w:rPr>
        <w:t>every 24 months for each</w:t>
      </w:r>
      <w:r w:rsidRPr="00BF04B4">
        <w:rPr>
          <w:rFonts w:ascii="Times New Roman" w:hAnsi="Times New Roman"/>
          <w:color w:val="000000"/>
          <w:sz w:val="24"/>
          <w:szCs w:val="24"/>
        </w:rPr>
        <w:t xml:space="preserve"> prepaid account </w:t>
      </w:r>
      <w:r w:rsidR="00A41096" w:rsidRPr="00BF04B4">
        <w:rPr>
          <w:rFonts w:ascii="Times New Roman" w:hAnsi="Times New Roman"/>
          <w:color w:val="000000"/>
          <w:sz w:val="24"/>
          <w:szCs w:val="24"/>
        </w:rPr>
        <w:t xml:space="preserve">fee schedule </w:t>
      </w:r>
      <w:r w:rsidRPr="00BF04B4">
        <w:rPr>
          <w:rFonts w:ascii="Times New Roman" w:hAnsi="Times New Roman"/>
          <w:color w:val="000000"/>
          <w:sz w:val="24"/>
          <w:szCs w:val="24"/>
        </w:rPr>
        <w:t>(</w:t>
      </w:r>
      <w:r w:rsidR="00A41096" w:rsidRPr="00BF04B4">
        <w:rPr>
          <w:rFonts w:ascii="Times New Roman" w:hAnsi="Times New Roman"/>
          <w:color w:val="000000"/>
          <w:sz w:val="24"/>
          <w:szCs w:val="24"/>
        </w:rPr>
        <w:t>47.5 hours</w:t>
      </w:r>
      <w:r w:rsidRPr="00BF04B4">
        <w:rPr>
          <w:rFonts w:ascii="Times New Roman" w:hAnsi="Times New Roman"/>
          <w:color w:val="000000"/>
          <w:sz w:val="24"/>
          <w:szCs w:val="24"/>
        </w:rPr>
        <w:t xml:space="preserve"> </w:t>
      </w:r>
      <w:r w:rsidR="00DE4B15" w:rsidRPr="00BF04B4">
        <w:rPr>
          <w:rFonts w:ascii="Times New Roman" w:hAnsi="Times New Roman"/>
          <w:color w:val="000000"/>
          <w:sz w:val="24"/>
          <w:szCs w:val="24"/>
        </w:rPr>
        <w:t xml:space="preserve">annually </w:t>
      </w:r>
      <w:r w:rsidRPr="00BF04B4">
        <w:rPr>
          <w:rFonts w:ascii="Times New Roman" w:hAnsi="Times New Roman"/>
          <w:color w:val="000000"/>
          <w:sz w:val="24"/>
          <w:szCs w:val="24"/>
        </w:rPr>
        <w:t xml:space="preserve">per provider) to evaluate and if necessary update </w:t>
      </w:r>
      <w:r w:rsidR="00DD3E02">
        <w:rPr>
          <w:rFonts w:ascii="Times New Roman" w:hAnsi="Times New Roman"/>
          <w:color w:val="000000"/>
          <w:sz w:val="24"/>
          <w:szCs w:val="24"/>
        </w:rPr>
        <w:t xml:space="preserve">the additional </w:t>
      </w:r>
      <w:r w:rsidRPr="00BF04B4">
        <w:rPr>
          <w:rFonts w:ascii="Times New Roman" w:hAnsi="Times New Roman"/>
          <w:color w:val="000000"/>
          <w:sz w:val="24"/>
          <w:szCs w:val="24"/>
        </w:rPr>
        <w:t>fee</w:t>
      </w:r>
      <w:r w:rsidR="00A41096" w:rsidRPr="00BF04B4">
        <w:rPr>
          <w:rFonts w:ascii="Times New Roman" w:hAnsi="Times New Roman"/>
          <w:color w:val="000000"/>
          <w:sz w:val="24"/>
          <w:szCs w:val="24"/>
        </w:rPr>
        <w:t xml:space="preserve"> type</w:t>
      </w:r>
      <w:r w:rsidRPr="00BF04B4">
        <w:rPr>
          <w:rFonts w:ascii="Times New Roman" w:hAnsi="Times New Roman"/>
          <w:color w:val="000000"/>
          <w:sz w:val="24"/>
          <w:szCs w:val="24"/>
        </w:rPr>
        <w:t xml:space="preserve">s </w:t>
      </w:r>
      <w:r w:rsidR="00DD3E02">
        <w:rPr>
          <w:rFonts w:ascii="Times New Roman" w:hAnsi="Times New Roman"/>
          <w:color w:val="000000"/>
          <w:sz w:val="24"/>
          <w:szCs w:val="24"/>
        </w:rPr>
        <w:t xml:space="preserve">disclosure </w:t>
      </w:r>
      <w:r w:rsidRPr="00BF04B4">
        <w:rPr>
          <w:rFonts w:ascii="Times New Roman" w:hAnsi="Times New Roman"/>
          <w:color w:val="000000"/>
          <w:sz w:val="24"/>
          <w:szCs w:val="24"/>
        </w:rPr>
        <w:t xml:space="preserve">on the short form.  </w:t>
      </w:r>
      <w:r w:rsidR="00A41096" w:rsidRPr="00BF04B4">
        <w:rPr>
          <w:rFonts w:ascii="Times New Roman" w:hAnsi="Times New Roman"/>
          <w:color w:val="000000"/>
          <w:sz w:val="24"/>
          <w:szCs w:val="24"/>
        </w:rPr>
        <w:t>T</w:t>
      </w:r>
      <w:r w:rsidRPr="00BF04B4">
        <w:rPr>
          <w:rFonts w:ascii="Times New Roman" w:hAnsi="Times New Roman"/>
          <w:color w:val="000000"/>
          <w:sz w:val="24"/>
          <w:szCs w:val="24"/>
        </w:rPr>
        <w:t xml:space="preserve">he Bureau allocates to itself half </w:t>
      </w:r>
      <w:r w:rsidR="00A41096" w:rsidRPr="00BF04B4">
        <w:rPr>
          <w:rFonts w:ascii="Times New Roman" w:hAnsi="Times New Roman"/>
          <w:color w:val="000000"/>
          <w:sz w:val="24"/>
          <w:szCs w:val="24"/>
        </w:rPr>
        <w:t xml:space="preserve">of the burden </w:t>
      </w:r>
      <w:r w:rsidRPr="00BF04B4">
        <w:rPr>
          <w:rFonts w:ascii="Times New Roman" w:hAnsi="Times New Roman"/>
          <w:color w:val="000000"/>
          <w:sz w:val="24"/>
          <w:szCs w:val="24"/>
        </w:rPr>
        <w:t>(</w:t>
      </w:r>
      <w:r w:rsidR="00A41096" w:rsidRPr="00BF04B4">
        <w:rPr>
          <w:rFonts w:ascii="Times New Roman" w:hAnsi="Times New Roman"/>
          <w:color w:val="000000"/>
          <w:sz w:val="24"/>
          <w:szCs w:val="24"/>
        </w:rPr>
        <w:t>23.7 hours</w:t>
      </w:r>
      <w:r w:rsidRPr="00BF04B4">
        <w:rPr>
          <w:rFonts w:ascii="Times New Roman" w:hAnsi="Times New Roman"/>
          <w:color w:val="000000"/>
          <w:sz w:val="24"/>
          <w:szCs w:val="24"/>
        </w:rPr>
        <w:t xml:space="preserve">) when the provider is a non-depository institution.  Providers </w:t>
      </w:r>
      <w:r w:rsidR="00F06115"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incur no other ongoing costs for the short form disclosure since they already offer consumers a pre-acquisition disclosure.  The Bureau estimates that providers, including Bureau respondents, </w:t>
      </w:r>
      <w:r w:rsidR="00F06115"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take on average 8 hours per prepaid account </w:t>
      </w:r>
      <w:r w:rsidR="00F06115" w:rsidRPr="00BF04B4">
        <w:rPr>
          <w:rFonts w:ascii="Times New Roman" w:hAnsi="Times New Roman"/>
          <w:color w:val="000000"/>
          <w:sz w:val="24"/>
          <w:szCs w:val="24"/>
        </w:rPr>
        <w:t xml:space="preserve">fee schedule </w:t>
      </w:r>
      <w:r w:rsidRPr="00BF04B4">
        <w:rPr>
          <w:rFonts w:ascii="Times New Roman" w:hAnsi="Times New Roman"/>
          <w:color w:val="000000"/>
          <w:sz w:val="24"/>
          <w:szCs w:val="24"/>
        </w:rPr>
        <w:t>to develop the long form disclosure and update systems.  The long form disclosure is substantially the same as disclosures already provided in prepaid account agreements.</w:t>
      </w:r>
      <w:r w:rsidRPr="00BF04B4">
        <w:rPr>
          <w:rFonts w:ascii="Times New Roman" w:hAnsi="Times New Roman"/>
          <w:color w:val="000000"/>
          <w:sz w:val="24"/>
          <w:szCs w:val="24"/>
          <w:vertAlign w:val="superscript"/>
        </w:rPr>
        <w:footnoteReference w:id="10"/>
      </w:r>
    </w:p>
    <w:p w14:paraId="5C0A1E06" w14:textId="09534EC4" w:rsidR="002D3555" w:rsidRPr="00BF04B4" w:rsidRDefault="00F0611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 xml:space="preserve">Final </w:t>
      </w:r>
      <w:r w:rsidR="002D3555" w:rsidRPr="00BF04B4">
        <w:rPr>
          <w:rFonts w:ascii="Times New Roman" w:hAnsi="Times New Roman"/>
          <w:color w:val="000000"/>
          <w:sz w:val="24"/>
          <w:szCs w:val="24"/>
        </w:rPr>
        <w:t>§ 1005.18(</w:t>
      </w:r>
      <w:r w:rsidR="00544D13" w:rsidRPr="00BF04B4">
        <w:rPr>
          <w:rFonts w:ascii="Times New Roman" w:hAnsi="Times New Roman"/>
          <w:color w:val="000000"/>
          <w:sz w:val="24"/>
          <w:szCs w:val="24"/>
        </w:rPr>
        <w:t>f</w:t>
      </w:r>
      <w:r w:rsidR="002D3555" w:rsidRPr="00BF04B4">
        <w:rPr>
          <w:rFonts w:ascii="Times New Roman" w:hAnsi="Times New Roman"/>
          <w:color w:val="000000"/>
          <w:sz w:val="24"/>
          <w:szCs w:val="24"/>
        </w:rPr>
        <w:t>)</w:t>
      </w:r>
      <w:r w:rsidR="00544D13" w:rsidRPr="00BF04B4">
        <w:rPr>
          <w:rFonts w:ascii="Times New Roman" w:hAnsi="Times New Roman"/>
          <w:color w:val="000000"/>
          <w:sz w:val="24"/>
          <w:szCs w:val="24"/>
        </w:rPr>
        <w:t>(3)</w:t>
      </w:r>
      <w:r w:rsidR="002D3555" w:rsidRPr="00BF04B4">
        <w:rPr>
          <w:rFonts w:ascii="Times New Roman" w:hAnsi="Times New Roman"/>
          <w:color w:val="000000"/>
          <w:sz w:val="24"/>
          <w:szCs w:val="24"/>
        </w:rPr>
        <w:t xml:space="preserve"> require</w:t>
      </w:r>
      <w:r w:rsidRPr="00BF04B4">
        <w:rPr>
          <w:rFonts w:ascii="Times New Roman" w:hAnsi="Times New Roman"/>
          <w:color w:val="000000"/>
          <w:sz w:val="24"/>
          <w:szCs w:val="24"/>
        </w:rPr>
        <w:t>s</w:t>
      </w:r>
      <w:r w:rsidR="002D3555" w:rsidRPr="00BF04B4">
        <w:rPr>
          <w:rFonts w:ascii="Times New Roman" w:hAnsi="Times New Roman"/>
          <w:color w:val="000000"/>
          <w:sz w:val="24"/>
          <w:szCs w:val="24"/>
        </w:rPr>
        <w:t xml:space="preserve"> that certain disclosures be made on the actual prepaid account access device.  These </w:t>
      </w:r>
      <w:r w:rsidR="00544D13" w:rsidRPr="00BF04B4">
        <w:rPr>
          <w:rFonts w:ascii="Times New Roman" w:hAnsi="Times New Roman"/>
          <w:color w:val="000000"/>
          <w:sz w:val="24"/>
          <w:szCs w:val="24"/>
        </w:rPr>
        <w:t xml:space="preserve">disclosures </w:t>
      </w:r>
      <w:r w:rsidR="002D3555" w:rsidRPr="00BF04B4">
        <w:rPr>
          <w:rFonts w:ascii="Times New Roman" w:hAnsi="Times New Roman"/>
          <w:color w:val="000000"/>
          <w:sz w:val="24"/>
          <w:szCs w:val="24"/>
        </w:rPr>
        <w:t>include the name of the financial institution and the</w:t>
      </w:r>
      <w:r w:rsidR="0057351D">
        <w:rPr>
          <w:rFonts w:ascii="Times New Roman" w:hAnsi="Times New Roman"/>
          <w:color w:val="000000"/>
          <w:sz w:val="24"/>
          <w:szCs w:val="24"/>
        </w:rPr>
        <w:t xml:space="preserve"> website</w:t>
      </w:r>
      <w:r w:rsidR="002D3555" w:rsidRPr="00BF04B4">
        <w:rPr>
          <w:rFonts w:ascii="Times New Roman" w:hAnsi="Times New Roman"/>
          <w:color w:val="000000"/>
          <w:sz w:val="24"/>
          <w:szCs w:val="24"/>
        </w:rPr>
        <w:t xml:space="preserve"> URL and a telephone number </w:t>
      </w:r>
      <w:r w:rsidR="0057351D">
        <w:rPr>
          <w:rFonts w:ascii="Times New Roman" w:hAnsi="Times New Roman"/>
          <w:color w:val="000000"/>
          <w:sz w:val="24"/>
          <w:szCs w:val="24"/>
        </w:rPr>
        <w:t>a</w:t>
      </w:r>
      <w:r w:rsidR="002D3555" w:rsidRPr="00BF04B4">
        <w:rPr>
          <w:rFonts w:ascii="Times New Roman" w:hAnsi="Times New Roman"/>
          <w:color w:val="000000"/>
          <w:sz w:val="24"/>
          <w:szCs w:val="24"/>
        </w:rPr>
        <w:t xml:space="preserve"> consumer can use to contact the financial institution about the prepaid account.  The Bureau believes that currently all prepaid account access devices provide these disclosures.</w:t>
      </w:r>
    </w:p>
    <w:p w14:paraId="1708A67A" w14:textId="67DE2AEB" w:rsidR="002D3555" w:rsidRPr="00BF04B4" w:rsidRDefault="002D355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 xml:space="preserve">The Bureau’s </w:t>
      </w:r>
      <w:r w:rsidR="00F06115" w:rsidRPr="00BF04B4">
        <w:rPr>
          <w:rFonts w:ascii="Times New Roman" w:hAnsi="Times New Roman"/>
          <w:color w:val="000000"/>
          <w:sz w:val="24"/>
          <w:szCs w:val="24"/>
        </w:rPr>
        <w:t>final rule</w:t>
      </w:r>
      <w:r w:rsidRPr="00BF04B4">
        <w:rPr>
          <w:rFonts w:ascii="Times New Roman" w:hAnsi="Times New Roman"/>
          <w:color w:val="000000"/>
          <w:sz w:val="24"/>
          <w:szCs w:val="24"/>
        </w:rPr>
        <w:t xml:space="preserve"> require</w:t>
      </w:r>
      <w:r w:rsidR="00F06115" w:rsidRPr="00BF04B4">
        <w:rPr>
          <w:rFonts w:ascii="Times New Roman" w:hAnsi="Times New Roman"/>
          <w:color w:val="000000"/>
          <w:sz w:val="24"/>
          <w:szCs w:val="24"/>
        </w:rPr>
        <w:t>s</w:t>
      </w:r>
      <w:r w:rsidRPr="00BF04B4">
        <w:rPr>
          <w:rFonts w:ascii="Times New Roman" w:hAnsi="Times New Roman"/>
          <w:color w:val="000000"/>
          <w:sz w:val="24"/>
          <w:szCs w:val="24"/>
        </w:rPr>
        <w:t xml:space="preserve"> providers offering prepaid accounts to provide periodic statements unless they use the alternative method of compliance in § 1005.18(c)(1).  The Bureau expects that most providers </w:t>
      </w:r>
      <w:r w:rsidR="00F06115" w:rsidRPr="00BF04B4">
        <w:rPr>
          <w:rFonts w:ascii="Times New Roman" w:hAnsi="Times New Roman"/>
          <w:color w:val="000000"/>
          <w:sz w:val="24"/>
          <w:szCs w:val="24"/>
        </w:rPr>
        <w:t xml:space="preserve">will </w:t>
      </w:r>
      <w:r w:rsidRPr="00BF04B4">
        <w:rPr>
          <w:rFonts w:ascii="Times New Roman" w:hAnsi="Times New Roman"/>
          <w:color w:val="000000"/>
          <w:sz w:val="24"/>
          <w:szCs w:val="24"/>
        </w:rPr>
        <w:t>use the alternative method of compliance.  The Bureau’s Study of Prepaid Account Agreements</w:t>
      </w:r>
      <w:r w:rsidR="00850617">
        <w:rPr>
          <w:rStyle w:val="FootnoteReference"/>
          <w:rFonts w:ascii="Times New Roman" w:hAnsi="Times New Roman"/>
          <w:color w:val="000000"/>
          <w:sz w:val="24"/>
          <w:szCs w:val="24"/>
        </w:rPr>
        <w:footnoteReference w:id="11"/>
      </w:r>
      <w:r w:rsidRPr="00BF04B4">
        <w:rPr>
          <w:rFonts w:ascii="Times New Roman" w:hAnsi="Times New Roman"/>
          <w:color w:val="000000"/>
          <w:sz w:val="24"/>
          <w:szCs w:val="24"/>
        </w:rPr>
        <w:t xml:space="preserve"> and its industry research found that most programs provide electronic access to account information</w:t>
      </w:r>
      <w:r w:rsidR="00F06115" w:rsidRPr="00BF04B4">
        <w:rPr>
          <w:rFonts w:ascii="Times New Roman" w:hAnsi="Times New Roman"/>
          <w:color w:val="000000"/>
          <w:sz w:val="24"/>
          <w:szCs w:val="24"/>
        </w:rPr>
        <w:t>; and while few agreements stated that the program provided at least 12 months of prepaid account transaction history, many programs provided access to account information for much longer time frames than what was listed in the account agreements</w:t>
      </w:r>
      <w:r w:rsidRPr="00BF04B4">
        <w:rPr>
          <w:rFonts w:ascii="Times New Roman" w:hAnsi="Times New Roman"/>
          <w:color w:val="000000"/>
          <w:sz w:val="24"/>
          <w:szCs w:val="24"/>
        </w:rPr>
        <w:t xml:space="preserve">.  </w:t>
      </w:r>
      <w:r w:rsidR="00F06115" w:rsidRPr="00BF04B4">
        <w:rPr>
          <w:rFonts w:ascii="Times New Roman" w:hAnsi="Times New Roman"/>
          <w:color w:val="000000"/>
          <w:sz w:val="24"/>
          <w:szCs w:val="24"/>
        </w:rPr>
        <w:t>In addition, several commenters stated that they provided 12 months of electronic transaction history.  Regarding the requirement to provide a transaction history in writing pursuant to §</w:t>
      </w:r>
      <w:r w:rsidR="0057351D">
        <w:rPr>
          <w:rFonts w:ascii="Times New Roman" w:hAnsi="Times New Roman"/>
          <w:color w:val="000000"/>
          <w:sz w:val="24"/>
          <w:szCs w:val="24"/>
        </w:rPr>
        <w:t> </w:t>
      </w:r>
      <w:r w:rsidR="00F06115" w:rsidRPr="00BF04B4">
        <w:rPr>
          <w:rFonts w:ascii="Times New Roman" w:hAnsi="Times New Roman"/>
          <w:color w:val="000000"/>
          <w:sz w:val="24"/>
          <w:szCs w:val="24"/>
        </w:rPr>
        <w:t>1005.18(c)(1)(iii),</w:t>
      </w:r>
      <w:r w:rsidR="0085092B">
        <w:rPr>
          <w:rFonts w:ascii="Times New Roman" w:hAnsi="Times New Roman"/>
          <w:color w:val="000000"/>
          <w:sz w:val="24"/>
          <w:szCs w:val="24"/>
        </w:rPr>
        <w:t xml:space="preserve"> commenters have indicated that</w:t>
      </w:r>
      <w:r w:rsidR="00F06115" w:rsidRPr="00BF04B4">
        <w:rPr>
          <w:rFonts w:ascii="Times New Roman" w:hAnsi="Times New Roman"/>
          <w:color w:val="000000"/>
          <w:sz w:val="24"/>
          <w:szCs w:val="24"/>
        </w:rPr>
        <w:t xml:space="preserve"> few consumers ever request a written transaction history.  The</w:t>
      </w:r>
      <w:r w:rsidRPr="00BF04B4">
        <w:rPr>
          <w:rFonts w:ascii="Times New Roman" w:hAnsi="Times New Roman"/>
          <w:color w:val="000000"/>
          <w:sz w:val="24"/>
          <w:szCs w:val="24"/>
        </w:rPr>
        <w:t xml:space="preserve"> Bureau understands that prepaid programs generally do not provide a summary total of all fees </w:t>
      </w:r>
      <w:r w:rsidR="00F06115" w:rsidRPr="00BF04B4">
        <w:rPr>
          <w:rFonts w:ascii="Times New Roman" w:hAnsi="Times New Roman"/>
          <w:color w:val="000000"/>
          <w:sz w:val="24"/>
          <w:szCs w:val="24"/>
        </w:rPr>
        <w:t>assessed against</w:t>
      </w:r>
      <w:r w:rsidRPr="00BF04B4">
        <w:rPr>
          <w:rFonts w:ascii="Times New Roman" w:hAnsi="Times New Roman"/>
          <w:color w:val="000000"/>
          <w:sz w:val="24"/>
          <w:szCs w:val="24"/>
        </w:rPr>
        <w:t xml:space="preserve"> the consumer’s prepaid account for the prior calendar month and for the calendar year to date.  </w:t>
      </w:r>
      <w:r w:rsidR="0057351D">
        <w:rPr>
          <w:rFonts w:ascii="Times New Roman" w:hAnsi="Times New Roman"/>
          <w:color w:val="000000"/>
          <w:sz w:val="24"/>
          <w:szCs w:val="24"/>
        </w:rPr>
        <w:t>Under the final rule, t</w:t>
      </w:r>
      <w:r w:rsidR="00F06115" w:rsidRPr="00BF04B4">
        <w:rPr>
          <w:rFonts w:ascii="Times New Roman" w:hAnsi="Times New Roman"/>
          <w:color w:val="000000"/>
          <w:sz w:val="24"/>
          <w:szCs w:val="24"/>
        </w:rPr>
        <w:t xml:space="preserve">his information must be disclosed on any periodic statement and any electronic or written history of account transactions provided.  </w:t>
      </w:r>
      <w:r w:rsidRPr="00BF04B4">
        <w:rPr>
          <w:rFonts w:ascii="Times New Roman" w:hAnsi="Times New Roman"/>
          <w:color w:val="000000"/>
          <w:sz w:val="24"/>
          <w:szCs w:val="24"/>
        </w:rPr>
        <w:t xml:space="preserve">The Bureau estimates that providers </w:t>
      </w:r>
      <w:r w:rsidR="0069168D" w:rsidRPr="00BF04B4">
        <w:rPr>
          <w:rFonts w:ascii="Times New Roman" w:hAnsi="Times New Roman"/>
          <w:color w:val="000000"/>
          <w:sz w:val="24"/>
          <w:szCs w:val="24"/>
        </w:rPr>
        <w:t xml:space="preserve">will </w:t>
      </w:r>
      <w:r w:rsidRPr="00BF04B4">
        <w:rPr>
          <w:rFonts w:ascii="Times New Roman" w:hAnsi="Times New Roman"/>
          <w:color w:val="000000"/>
          <w:sz w:val="24"/>
          <w:szCs w:val="24"/>
        </w:rPr>
        <w:t xml:space="preserve">take on average 24 hours per prepaid account </w:t>
      </w:r>
      <w:r w:rsidR="00DE4B15" w:rsidRPr="00BF04B4">
        <w:rPr>
          <w:rFonts w:ascii="Times New Roman" w:hAnsi="Times New Roman"/>
          <w:color w:val="000000"/>
          <w:sz w:val="24"/>
          <w:szCs w:val="24"/>
        </w:rPr>
        <w:t xml:space="preserve">fee schedule </w:t>
      </w:r>
      <w:r w:rsidRPr="00BF04B4">
        <w:rPr>
          <w:rFonts w:ascii="Times New Roman" w:hAnsi="Times New Roman"/>
          <w:color w:val="000000"/>
          <w:sz w:val="24"/>
          <w:szCs w:val="24"/>
        </w:rPr>
        <w:t>to implement these changes.</w:t>
      </w:r>
    </w:p>
    <w:p w14:paraId="5FD076BF" w14:textId="76C7CEBA" w:rsidR="002D3555" w:rsidRPr="00BF04B4" w:rsidRDefault="0069168D"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The final rule</w:t>
      </w:r>
      <w:r w:rsidR="002D3555" w:rsidRPr="00BF04B4">
        <w:rPr>
          <w:rFonts w:ascii="Times New Roman" w:hAnsi="Times New Roman"/>
          <w:color w:val="000000"/>
          <w:sz w:val="24"/>
          <w:szCs w:val="24"/>
        </w:rPr>
        <w:t xml:space="preserve"> extend</w:t>
      </w:r>
      <w:r w:rsidRPr="00BF04B4">
        <w:rPr>
          <w:rFonts w:ascii="Times New Roman" w:hAnsi="Times New Roman"/>
          <w:color w:val="000000"/>
          <w:sz w:val="24"/>
          <w:szCs w:val="24"/>
        </w:rPr>
        <w:t>s</w:t>
      </w:r>
      <w:r w:rsidR="002D3555" w:rsidRPr="00BF04B4">
        <w:rPr>
          <w:rFonts w:ascii="Times New Roman" w:hAnsi="Times New Roman"/>
          <w:color w:val="000000"/>
          <w:sz w:val="24"/>
          <w:szCs w:val="24"/>
        </w:rPr>
        <w:t xml:space="preserve"> to all prepaid accounts the limited liability and error resolution provisions of Regulation E, as they apply to payroll card accounts.</w:t>
      </w:r>
      <w:r w:rsidR="002D3555" w:rsidRPr="00BF04B4">
        <w:rPr>
          <w:rFonts w:ascii="Times New Roman" w:hAnsi="Times New Roman"/>
          <w:color w:val="000000"/>
          <w:sz w:val="24"/>
          <w:szCs w:val="24"/>
          <w:vertAlign w:val="superscript"/>
        </w:rPr>
        <w:footnoteReference w:id="12"/>
      </w:r>
      <w:r w:rsidR="002D3555" w:rsidRPr="00BF04B4">
        <w:rPr>
          <w:rFonts w:ascii="Times New Roman" w:hAnsi="Times New Roman"/>
          <w:color w:val="000000"/>
          <w:sz w:val="24"/>
          <w:szCs w:val="24"/>
        </w:rPr>
        <w:t xml:space="preserve">  </w:t>
      </w:r>
      <w:r w:rsidR="00B279BA">
        <w:rPr>
          <w:rFonts w:ascii="Times New Roman" w:hAnsi="Times New Roman"/>
          <w:color w:val="000000"/>
          <w:sz w:val="24"/>
          <w:szCs w:val="24"/>
        </w:rPr>
        <w:t>T</w:t>
      </w:r>
      <w:r w:rsidR="002D3555" w:rsidRPr="00BF04B4">
        <w:rPr>
          <w:rFonts w:ascii="Times New Roman" w:hAnsi="Times New Roman"/>
          <w:color w:val="000000"/>
          <w:sz w:val="24"/>
          <w:szCs w:val="24"/>
        </w:rPr>
        <w:t xml:space="preserve">he Bureau’s Study of Prepaid Account Agreements and its industry research found that most providers of prepaid accounts provide limited liability and error resolution protections (including provisional credit) generally consistent with the Regulation E requirements for payroll card accounts.  The Bureau estimates that providers (including Bureau respondents) that do not fully comply with the payroll card rule’s limited liability and error resolution provisions </w:t>
      </w:r>
      <w:r w:rsidRPr="00BF04B4">
        <w:rPr>
          <w:rFonts w:ascii="Times New Roman" w:hAnsi="Times New Roman"/>
          <w:color w:val="000000"/>
          <w:sz w:val="24"/>
          <w:szCs w:val="24"/>
        </w:rPr>
        <w:t xml:space="preserve">will </w:t>
      </w:r>
      <w:r w:rsidR="002D3555" w:rsidRPr="00BF04B4">
        <w:rPr>
          <w:rFonts w:ascii="Times New Roman" w:hAnsi="Times New Roman"/>
          <w:color w:val="000000"/>
          <w:sz w:val="24"/>
          <w:szCs w:val="24"/>
        </w:rPr>
        <w:t xml:space="preserve">require 8 hours per non-compliant program to develop fully compliant limited liability and error resolution procedures.  Regarding ongoing costs, Bureau outreach indicates that providers receive perhaps one call per month per customer who actively uses a card and that 95 percent of those calls are resolved without requiring time from a customer service agent.  Of the remaining five percent, very few calls involve assertions of error, but escalated calls </w:t>
      </w:r>
      <w:r w:rsidR="00EE0BCA" w:rsidRPr="00BF04B4">
        <w:rPr>
          <w:rFonts w:ascii="Times New Roman" w:hAnsi="Times New Roman"/>
          <w:color w:val="000000"/>
          <w:sz w:val="24"/>
          <w:szCs w:val="24"/>
        </w:rPr>
        <w:t xml:space="preserve">can be </w:t>
      </w:r>
      <w:r w:rsidR="002D3555" w:rsidRPr="00BF04B4">
        <w:rPr>
          <w:rFonts w:ascii="Times New Roman" w:hAnsi="Times New Roman"/>
          <w:color w:val="000000"/>
          <w:sz w:val="24"/>
          <w:szCs w:val="24"/>
        </w:rPr>
        <w:t>time consuming and respondents incur an ongoing burden.</w:t>
      </w:r>
    </w:p>
    <w:p w14:paraId="3CC03754" w14:textId="2F09FDC2" w:rsidR="00AD12EA" w:rsidRPr="00BF04B4" w:rsidRDefault="00AD12EA"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 xml:space="preserve">If a </w:t>
      </w:r>
      <w:r w:rsidR="007F0D7F">
        <w:rPr>
          <w:rFonts w:ascii="Times New Roman" w:hAnsi="Times New Roman"/>
          <w:color w:val="000000"/>
          <w:sz w:val="24"/>
          <w:szCs w:val="24"/>
        </w:rPr>
        <w:t>prepaid account provider</w:t>
      </w:r>
      <w:r w:rsidRPr="00BF04B4">
        <w:rPr>
          <w:rFonts w:ascii="Times New Roman" w:hAnsi="Times New Roman"/>
          <w:color w:val="000000"/>
          <w:sz w:val="24"/>
          <w:szCs w:val="24"/>
        </w:rPr>
        <w:t xml:space="preserve"> changes a prepaid account’s terms and conditions as a result of </w:t>
      </w:r>
      <w:r w:rsidR="008117B8">
        <w:rPr>
          <w:rFonts w:ascii="Times New Roman" w:hAnsi="Times New Roman"/>
          <w:color w:val="000000"/>
          <w:sz w:val="24"/>
          <w:szCs w:val="24"/>
        </w:rPr>
        <w:t>the final rule</w:t>
      </w:r>
      <w:r w:rsidRPr="00BF04B4">
        <w:rPr>
          <w:rFonts w:ascii="Times New Roman" w:hAnsi="Times New Roman"/>
          <w:color w:val="000000"/>
          <w:sz w:val="24"/>
          <w:szCs w:val="24"/>
        </w:rPr>
        <w:t xml:space="preserve"> taking effect such that a change-in-terms notice would have been required under §</w:t>
      </w:r>
      <w:r w:rsidR="008117B8">
        <w:rPr>
          <w:rFonts w:ascii="Times New Roman" w:hAnsi="Times New Roman"/>
          <w:color w:val="000000"/>
          <w:sz w:val="24"/>
          <w:szCs w:val="24"/>
        </w:rPr>
        <w:t> </w:t>
      </w:r>
      <w:r w:rsidRPr="00BF04B4">
        <w:rPr>
          <w:rFonts w:ascii="Times New Roman" w:hAnsi="Times New Roman"/>
          <w:color w:val="000000"/>
          <w:sz w:val="24"/>
          <w:szCs w:val="24"/>
        </w:rPr>
        <w:t>1005.8(a) or §</w:t>
      </w:r>
      <w:r w:rsidR="00FD2F0B">
        <w:rPr>
          <w:rFonts w:ascii="Times New Roman" w:hAnsi="Times New Roman"/>
          <w:color w:val="000000"/>
          <w:sz w:val="24"/>
          <w:szCs w:val="24"/>
        </w:rPr>
        <w:t> </w:t>
      </w:r>
      <w:r w:rsidRPr="00BF04B4">
        <w:rPr>
          <w:rFonts w:ascii="Times New Roman" w:hAnsi="Times New Roman"/>
          <w:color w:val="000000"/>
          <w:sz w:val="24"/>
          <w:szCs w:val="24"/>
        </w:rPr>
        <w:t xml:space="preserve">1005.18(f)(2) for existing customers, a </w:t>
      </w:r>
      <w:r w:rsidR="007F0D7F">
        <w:rPr>
          <w:rFonts w:ascii="Times New Roman" w:hAnsi="Times New Roman"/>
          <w:color w:val="000000"/>
          <w:sz w:val="24"/>
          <w:szCs w:val="24"/>
        </w:rPr>
        <w:t>provider</w:t>
      </w:r>
      <w:r w:rsidRPr="00BF04B4">
        <w:rPr>
          <w:rFonts w:ascii="Times New Roman" w:hAnsi="Times New Roman"/>
          <w:color w:val="000000"/>
          <w:sz w:val="24"/>
          <w:szCs w:val="24"/>
        </w:rPr>
        <w:t xml:space="preserve"> must notify consumers with accounts acquired before October 1, 2017 at least 21 days in advance of the change becoming effective, provided the </w:t>
      </w:r>
      <w:r w:rsidR="00B279BA">
        <w:rPr>
          <w:rFonts w:ascii="Times New Roman" w:hAnsi="Times New Roman"/>
          <w:color w:val="000000"/>
          <w:sz w:val="24"/>
          <w:szCs w:val="24"/>
        </w:rPr>
        <w:t>p</w:t>
      </w:r>
      <w:r w:rsidR="007F0D7F">
        <w:rPr>
          <w:rFonts w:ascii="Times New Roman" w:hAnsi="Times New Roman"/>
          <w:color w:val="000000"/>
          <w:sz w:val="24"/>
          <w:szCs w:val="24"/>
        </w:rPr>
        <w:t>rovider</w:t>
      </w:r>
      <w:r w:rsidRPr="00BF04B4">
        <w:rPr>
          <w:rFonts w:ascii="Times New Roman" w:hAnsi="Times New Roman"/>
          <w:color w:val="000000"/>
          <w:sz w:val="24"/>
          <w:szCs w:val="24"/>
        </w:rPr>
        <w:t xml:space="preserve"> has the consumer’s contact information.  If the </w:t>
      </w:r>
      <w:r w:rsidR="00B279BA">
        <w:rPr>
          <w:rFonts w:ascii="Times New Roman" w:hAnsi="Times New Roman"/>
          <w:color w:val="000000"/>
          <w:sz w:val="24"/>
          <w:szCs w:val="24"/>
        </w:rPr>
        <w:t>pro</w:t>
      </w:r>
      <w:r w:rsidR="007F0D7F">
        <w:rPr>
          <w:rFonts w:ascii="Times New Roman" w:hAnsi="Times New Roman"/>
          <w:color w:val="000000"/>
          <w:sz w:val="24"/>
          <w:szCs w:val="24"/>
        </w:rPr>
        <w:t xml:space="preserve">vider </w:t>
      </w:r>
      <w:r w:rsidRPr="00BF04B4">
        <w:rPr>
          <w:rFonts w:ascii="Times New Roman" w:hAnsi="Times New Roman"/>
          <w:color w:val="000000"/>
          <w:sz w:val="24"/>
          <w:szCs w:val="24"/>
        </w:rPr>
        <w:t xml:space="preserve">obtains the consumer’s contact information </w:t>
      </w:r>
      <w:r w:rsidR="008021CD" w:rsidRPr="00BF04B4">
        <w:rPr>
          <w:rFonts w:ascii="Times New Roman" w:hAnsi="Times New Roman"/>
          <w:color w:val="000000"/>
          <w:sz w:val="24"/>
          <w:szCs w:val="24"/>
        </w:rPr>
        <w:t>less</w:t>
      </w:r>
      <w:r w:rsidRPr="00BF04B4">
        <w:rPr>
          <w:rFonts w:ascii="Times New Roman" w:hAnsi="Times New Roman"/>
          <w:color w:val="000000"/>
          <w:sz w:val="24"/>
          <w:szCs w:val="24"/>
        </w:rPr>
        <w:t xml:space="preserve"> than 30 days in advance of the change becoming effective</w:t>
      </w:r>
      <w:r w:rsidR="00FD2F0B">
        <w:rPr>
          <w:rFonts w:ascii="Times New Roman" w:hAnsi="Times New Roman"/>
          <w:color w:val="000000"/>
          <w:sz w:val="24"/>
          <w:szCs w:val="24"/>
        </w:rPr>
        <w:t xml:space="preserve"> or after it has become effective</w:t>
      </w:r>
      <w:r w:rsidRPr="00BF04B4">
        <w:rPr>
          <w:rFonts w:ascii="Times New Roman" w:hAnsi="Times New Roman"/>
          <w:color w:val="000000"/>
          <w:sz w:val="24"/>
          <w:szCs w:val="24"/>
        </w:rPr>
        <w:t xml:space="preserve">, the </w:t>
      </w:r>
      <w:r w:rsidR="00B279BA">
        <w:rPr>
          <w:rFonts w:ascii="Times New Roman" w:hAnsi="Times New Roman"/>
          <w:color w:val="000000"/>
          <w:sz w:val="24"/>
          <w:szCs w:val="24"/>
        </w:rPr>
        <w:t>pro</w:t>
      </w:r>
      <w:r w:rsidR="007F0D7F">
        <w:rPr>
          <w:rFonts w:ascii="Times New Roman" w:hAnsi="Times New Roman"/>
          <w:color w:val="000000"/>
          <w:sz w:val="24"/>
          <w:szCs w:val="24"/>
        </w:rPr>
        <w:t>vider</w:t>
      </w:r>
      <w:r w:rsidRPr="00BF04B4">
        <w:rPr>
          <w:rFonts w:ascii="Times New Roman" w:hAnsi="Times New Roman"/>
          <w:color w:val="000000"/>
          <w:sz w:val="24"/>
          <w:szCs w:val="24"/>
        </w:rPr>
        <w:t xml:space="preserve"> is permitted instead to </w:t>
      </w:r>
      <w:r w:rsidR="00FD2F0B">
        <w:rPr>
          <w:rFonts w:ascii="Times New Roman" w:hAnsi="Times New Roman"/>
          <w:color w:val="000000"/>
          <w:sz w:val="24"/>
          <w:szCs w:val="24"/>
        </w:rPr>
        <w:t>notify the consumer</w:t>
      </w:r>
      <w:r w:rsidRPr="00BF04B4">
        <w:rPr>
          <w:rFonts w:ascii="Times New Roman" w:hAnsi="Times New Roman"/>
          <w:color w:val="000000"/>
          <w:sz w:val="24"/>
          <w:szCs w:val="24"/>
        </w:rPr>
        <w:t xml:space="preserve"> of the change within 30 days of obtaining the consumer’s contact information.  </w:t>
      </w:r>
      <w:r w:rsidR="00556F2F" w:rsidRPr="00556F2F">
        <w:rPr>
          <w:rFonts w:ascii="Times New Roman" w:hAnsi="Times New Roman"/>
          <w:color w:val="000000"/>
          <w:sz w:val="24"/>
          <w:szCs w:val="24"/>
        </w:rPr>
        <w:t>Financial institutions with prepaid accounts that offer overdraft credit features are likely to trigger this requirement.</w:t>
      </w:r>
      <w:r w:rsidR="00556F2F">
        <w:rPr>
          <w:rFonts w:ascii="Times New Roman" w:hAnsi="Times New Roman"/>
          <w:color w:val="000000"/>
          <w:sz w:val="24"/>
          <w:szCs w:val="24"/>
        </w:rPr>
        <w:t xml:space="preserve">  </w:t>
      </w:r>
      <w:r w:rsidRPr="00BF04B4">
        <w:rPr>
          <w:rFonts w:ascii="Times New Roman" w:hAnsi="Times New Roman"/>
          <w:color w:val="000000"/>
          <w:sz w:val="24"/>
          <w:szCs w:val="24"/>
        </w:rPr>
        <w:t>Final §</w:t>
      </w:r>
      <w:r w:rsidR="00FD2F0B">
        <w:rPr>
          <w:rFonts w:ascii="Times New Roman" w:hAnsi="Times New Roman"/>
          <w:color w:val="000000"/>
          <w:sz w:val="24"/>
          <w:szCs w:val="24"/>
        </w:rPr>
        <w:t> </w:t>
      </w:r>
      <w:r w:rsidRPr="00BF04B4">
        <w:rPr>
          <w:rFonts w:ascii="Times New Roman" w:hAnsi="Times New Roman"/>
          <w:color w:val="000000"/>
          <w:sz w:val="24"/>
          <w:szCs w:val="24"/>
        </w:rPr>
        <w:t xml:space="preserve">1005.18(h)(2)(ii) requires that </w:t>
      </w:r>
      <w:r w:rsidR="007F0D7F">
        <w:rPr>
          <w:rFonts w:ascii="Times New Roman" w:hAnsi="Times New Roman"/>
          <w:color w:val="000000"/>
          <w:sz w:val="24"/>
          <w:szCs w:val="24"/>
        </w:rPr>
        <w:t>providers</w:t>
      </w:r>
      <w:r w:rsidRPr="00BF04B4">
        <w:rPr>
          <w:rFonts w:ascii="Times New Roman" w:hAnsi="Times New Roman"/>
          <w:color w:val="000000"/>
          <w:sz w:val="24"/>
          <w:szCs w:val="24"/>
        </w:rPr>
        <w:t xml:space="preserve"> notify any consumer, who acquires a prepaid account </w:t>
      </w:r>
      <w:r w:rsidR="00FD2F0B">
        <w:rPr>
          <w:rFonts w:ascii="Times New Roman" w:hAnsi="Times New Roman"/>
          <w:color w:val="000000"/>
          <w:sz w:val="24"/>
          <w:szCs w:val="24"/>
        </w:rPr>
        <w:t xml:space="preserve">on or </w:t>
      </w:r>
      <w:r w:rsidRPr="00BF04B4">
        <w:rPr>
          <w:rFonts w:ascii="Times New Roman" w:hAnsi="Times New Roman"/>
          <w:color w:val="000000"/>
          <w:sz w:val="24"/>
          <w:szCs w:val="24"/>
        </w:rPr>
        <w:t xml:space="preserve">after </w:t>
      </w:r>
      <w:r w:rsidR="008021CD" w:rsidRPr="00BF04B4">
        <w:rPr>
          <w:rFonts w:ascii="Times New Roman" w:hAnsi="Times New Roman"/>
          <w:color w:val="000000"/>
          <w:sz w:val="24"/>
          <w:szCs w:val="24"/>
        </w:rPr>
        <w:t>October 1, 2017</w:t>
      </w:r>
      <w:r w:rsidRPr="00BF04B4">
        <w:rPr>
          <w:rFonts w:ascii="Times New Roman" w:hAnsi="Times New Roman"/>
          <w:color w:val="000000"/>
          <w:sz w:val="24"/>
          <w:szCs w:val="24"/>
        </w:rPr>
        <w:t xml:space="preserve"> </w:t>
      </w:r>
      <w:r w:rsidR="00FD2F0B">
        <w:rPr>
          <w:rFonts w:ascii="Times New Roman" w:hAnsi="Times New Roman"/>
          <w:color w:val="000000"/>
          <w:sz w:val="24"/>
          <w:szCs w:val="24"/>
        </w:rPr>
        <w:t>via</w:t>
      </w:r>
      <w:r w:rsidRPr="00BF04B4">
        <w:rPr>
          <w:rFonts w:ascii="Times New Roman" w:hAnsi="Times New Roman"/>
          <w:color w:val="000000"/>
          <w:sz w:val="24"/>
          <w:szCs w:val="24"/>
        </w:rPr>
        <w:t xml:space="preserve"> packaging </w:t>
      </w:r>
      <w:r w:rsidR="008021CD" w:rsidRPr="00BF04B4">
        <w:rPr>
          <w:rFonts w:ascii="Times New Roman" w:hAnsi="Times New Roman"/>
          <w:color w:val="000000"/>
          <w:sz w:val="24"/>
          <w:szCs w:val="24"/>
        </w:rPr>
        <w:t>material</w:t>
      </w:r>
      <w:r w:rsidR="00FD2F0B">
        <w:rPr>
          <w:rFonts w:ascii="Times New Roman" w:hAnsi="Times New Roman"/>
          <w:color w:val="000000"/>
          <w:sz w:val="24"/>
          <w:szCs w:val="24"/>
        </w:rPr>
        <w:t>s</w:t>
      </w:r>
      <w:r w:rsidR="008021CD" w:rsidRPr="00BF04B4">
        <w:rPr>
          <w:rFonts w:ascii="Times New Roman" w:hAnsi="Times New Roman"/>
          <w:color w:val="000000"/>
          <w:sz w:val="24"/>
          <w:szCs w:val="24"/>
        </w:rPr>
        <w:t xml:space="preserve"> that were manufactured, printed or otherwise produced </w:t>
      </w:r>
      <w:r w:rsidRPr="00BF04B4">
        <w:rPr>
          <w:rFonts w:ascii="Times New Roman" w:hAnsi="Times New Roman"/>
          <w:color w:val="000000"/>
          <w:sz w:val="24"/>
          <w:szCs w:val="24"/>
        </w:rPr>
        <w:t xml:space="preserve">prior to </w:t>
      </w:r>
      <w:r w:rsidR="008021CD" w:rsidRPr="00BF04B4">
        <w:rPr>
          <w:rFonts w:ascii="Times New Roman" w:hAnsi="Times New Roman"/>
          <w:color w:val="000000"/>
          <w:sz w:val="24"/>
          <w:szCs w:val="24"/>
        </w:rPr>
        <w:t>October 1, 2017</w:t>
      </w:r>
      <w:r w:rsidRPr="00BF04B4">
        <w:rPr>
          <w:rFonts w:ascii="Times New Roman" w:hAnsi="Times New Roman"/>
          <w:color w:val="000000"/>
          <w:sz w:val="24"/>
          <w:szCs w:val="24"/>
        </w:rPr>
        <w:t xml:space="preserve">, of any changes as a result of </w:t>
      </w:r>
      <w:r w:rsidR="00FD2F0B">
        <w:rPr>
          <w:rFonts w:ascii="Times New Roman" w:hAnsi="Times New Roman"/>
          <w:color w:val="000000"/>
          <w:sz w:val="24"/>
          <w:szCs w:val="24"/>
        </w:rPr>
        <w:t>the final rule</w:t>
      </w:r>
      <w:r w:rsidRPr="00BF04B4">
        <w:rPr>
          <w:rFonts w:ascii="Times New Roman" w:hAnsi="Times New Roman"/>
          <w:color w:val="000000"/>
          <w:sz w:val="24"/>
          <w:szCs w:val="24"/>
        </w:rPr>
        <w:t xml:space="preserve"> taking effect such that a change-in-terms notice would have been required under §</w:t>
      </w:r>
      <w:r w:rsidR="00FD2F0B">
        <w:rPr>
          <w:rFonts w:ascii="Times New Roman" w:hAnsi="Times New Roman"/>
          <w:color w:val="000000"/>
          <w:sz w:val="24"/>
          <w:szCs w:val="24"/>
        </w:rPr>
        <w:t> </w:t>
      </w:r>
      <w:r w:rsidRPr="00BF04B4">
        <w:rPr>
          <w:rFonts w:ascii="Times New Roman" w:hAnsi="Times New Roman"/>
          <w:color w:val="000000"/>
          <w:sz w:val="24"/>
          <w:szCs w:val="24"/>
        </w:rPr>
        <w:t>1005.8(a) or §</w:t>
      </w:r>
      <w:r w:rsidR="00FD2F0B">
        <w:rPr>
          <w:rFonts w:ascii="Times New Roman" w:hAnsi="Times New Roman"/>
          <w:color w:val="000000"/>
          <w:sz w:val="24"/>
          <w:szCs w:val="24"/>
        </w:rPr>
        <w:t> </w:t>
      </w:r>
      <w:r w:rsidRPr="00BF04B4">
        <w:rPr>
          <w:rFonts w:ascii="Times New Roman" w:hAnsi="Times New Roman"/>
          <w:color w:val="000000"/>
          <w:sz w:val="24"/>
          <w:szCs w:val="24"/>
        </w:rPr>
        <w:t xml:space="preserve">1005.18(f)(2) for existing customers within 30 days of acquiring the customer’s contact information.  In addition, </w:t>
      </w:r>
      <w:r w:rsidR="00B279BA">
        <w:rPr>
          <w:rFonts w:ascii="Times New Roman" w:hAnsi="Times New Roman"/>
          <w:color w:val="000000"/>
          <w:sz w:val="24"/>
          <w:szCs w:val="24"/>
        </w:rPr>
        <w:t>pro</w:t>
      </w:r>
      <w:r w:rsidR="007F0D7F">
        <w:rPr>
          <w:rFonts w:ascii="Times New Roman" w:hAnsi="Times New Roman"/>
          <w:color w:val="000000"/>
          <w:sz w:val="24"/>
          <w:szCs w:val="24"/>
        </w:rPr>
        <w:t>vider</w:t>
      </w:r>
      <w:r w:rsidR="00B279BA">
        <w:rPr>
          <w:rFonts w:ascii="Times New Roman" w:hAnsi="Times New Roman"/>
          <w:color w:val="000000"/>
          <w:sz w:val="24"/>
          <w:szCs w:val="24"/>
        </w:rPr>
        <w:t>s</w:t>
      </w:r>
      <w:r w:rsidRPr="00BF04B4">
        <w:rPr>
          <w:rFonts w:ascii="Times New Roman" w:hAnsi="Times New Roman"/>
          <w:color w:val="000000"/>
          <w:sz w:val="24"/>
          <w:szCs w:val="24"/>
        </w:rPr>
        <w:t xml:space="preserve"> must also mail or deliver updated initial disclosures pursuant to § 1005.7 and § 1005.18(f)(1) within 30 days of obtaining the consumer’s contact information.  Those </w:t>
      </w:r>
      <w:r w:rsidR="00B279BA">
        <w:rPr>
          <w:rFonts w:ascii="Times New Roman" w:hAnsi="Times New Roman"/>
          <w:color w:val="000000"/>
          <w:sz w:val="24"/>
          <w:szCs w:val="24"/>
        </w:rPr>
        <w:t>p</w:t>
      </w:r>
      <w:r w:rsidR="007F0D7F">
        <w:rPr>
          <w:rFonts w:ascii="Times New Roman" w:hAnsi="Times New Roman"/>
          <w:color w:val="000000"/>
          <w:sz w:val="24"/>
          <w:szCs w:val="24"/>
        </w:rPr>
        <w:t>rovid</w:t>
      </w:r>
      <w:r w:rsidR="00B279BA">
        <w:rPr>
          <w:rFonts w:ascii="Times New Roman" w:hAnsi="Times New Roman"/>
          <w:color w:val="000000"/>
          <w:sz w:val="24"/>
          <w:szCs w:val="24"/>
        </w:rPr>
        <w:t>ers</w:t>
      </w:r>
      <w:r w:rsidRPr="00BF04B4">
        <w:rPr>
          <w:rFonts w:ascii="Times New Roman" w:hAnsi="Times New Roman"/>
          <w:color w:val="000000"/>
          <w:sz w:val="24"/>
          <w:szCs w:val="24"/>
        </w:rPr>
        <w:t xml:space="preserve"> that are affected should not incur significant costs to notify consumers and provide updated initial disclosures.  Consumers who have consented to electronic communication may receive the notices and updated disclosures electronically, at a minimal cost to </w:t>
      </w:r>
      <w:r w:rsidR="00B279BA">
        <w:rPr>
          <w:rFonts w:ascii="Times New Roman" w:hAnsi="Times New Roman"/>
          <w:color w:val="000000"/>
          <w:sz w:val="24"/>
          <w:szCs w:val="24"/>
        </w:rPr>
        <w:t>pro</w:t>
      </w:r>
      <w:r w:rsidR="007F0D7F">
        <w:rPr>
          <w:rFonts w:ascii="Times New Roman" w:hAnsi="Times New Roman"/>
          <w:color w:val="000000"/>
          <w:sz w:val="24"/>
          <w:szCs w:val="24"/>
        </w:rPr>
        <w:t>vid</w:t>
      </w:r>
      <w:r w:rsidR="00B279BA">
        <w:rPr>
          <w:rFonts w:ascii="Times New Roman" w:hAnsi="Times New Roman"/>
          <w:color w:val="000000"/>
          <w:sz w:val="24"/>
          <w:szCs w:val="24"/>
        </w:rPr>
        <w:t>ers</w:t>
      </w:r>
      <w:r w:rsidRPr="00BF04B4">
        <w:rPr>
          <w:rFonts w:ascii="Times New Roman" w:hAnsi="Times New Roman"/>
          <w:color w:val="000000"/>
          <w:sz w:val="24"/>
          <w:szCs w:val="24"/>
        </w:rPr>
        <w:t xml:space="preserve">.  Those consumers who cannot be contacted electronically may receive the notices and updated initial disclosures with another scheduled mailing within the </w:t>
      </w:r>
      <w:r w:rsidR="00FD2F0B">
        <w:rPr>
          <w:rFonts w:ascii="Times New Roman" w:hAnsi="Times New Roman"/>
          <w:color w:val="000000"/>
          <w:sz w:val="24"/>
          <w:szCs w:val="24"/>
        </w:rPr>
        <w:t>specified</w:t>
      </w:r>
      <w:r w:rsidRPr="00BF04B4">
        <w:rPr>
          <w:rFonts w:ascii="Times New Roman" w:hAnsi="Times New Roman"/>
          <w:color w:val="000000"/>
          <w:sz w:val="24"/>
          <w:szCs w:val="24"/>
        </w:rPr>
        <w:t xml:space="preserve"> time period</w:t>
      </w:r>
      <w:r w:rsidR="00FD2F0B">
        <w:rPr>
          <w:rFonts w:ascii="Times New Roman" w:hAnsi="Times New Roman"/>
          <w:color w:val="000000"/>
          <w:sz w:val="24"/>
          <w:szCs w:val="24"/>
        </w:rPr>
        <w:t>s</w:t>
      </w:r>
      <w:r w:rsidRPr="00BF04B4">
        <w:rPr>
          <w:rFonts w:ascii="Times New Roman" w:hAnsi="Times New Roman"/>
          <w:color w:val="000000"/>
          <w:sz w:val="24"/>
          <w:szCs w:val="24"/>
        </w:rPr>
        <w:t xml:space="preserve">.  </w:t>
      </w:r>
      <w:r w:rsidR="00B279BA">
        <w:rPr>
          <w:rFonts w:ascii="Times New Roman" w:hAnsi="Times New Roman"/>
          <w:color w:val="000000"/>
          <w:sz w:val="24"/>
          <w:szCs w:val="24"/>
        </w:rPr>
        <w:t>P</w:t>
      </w:r>
      <w:r w:rsidR="007F0D7F">
        <w:rPr>
          <w:rFonts w:ascii="Times New Roman" w:hAnsi="Times New Roman"/>
          <w:color w:val="000000"/>
          <w:sz w:val="24"/>
          <w:szCs w:val="24"/>
        </w:rPr>
        <w:t>rovid</w:t>
      </w:r>
      <w:r w:rsidR="00B279BA">
        <w:rPr>
          <w:rFonts w:ascii="Times New Roman" w:hAnsi="Times New Roman"/>
          <w:color w:val="000000"/>
          <w:sz w:val="24"/>
          <w:szCs w:val="24"/>
        </w:rPr>
        <w:t>ers</w:t>
      </w:r>
      <w:r w:rsidRPr="00BF04B4">
        <w:rPr>
          <w:rFonts w:ascii="Times New Roman" w:hAnsi="Times New Roman"/>
          <w:color w:val="000000"/>
          <w:sz w:val="24"/>
          <w:szCs w:val="24"/>
        </w:rPr>
        <w:t xml:space="preserve"> will incur small costs to print these notices and disclosures, but it is unlikely that </w:t>
      </w:r>
      <w:r w:rsidR="00B279BA">
        <w:rPr>
          <w:rFonts w:ascii="Times New Roman" w:hAnsi="Times New Roman"/>
          <w:color w:val="000000"/>
          <w:sz w:val="24"/>
          <w:szCs w:val="24"/>
        </w:rPr>
        <w:t>pro</w:t>
      </w:r>
      <w:r w:rsidR="007F0D7F">
        <w:rPr>
          <w:rFonts w:ascii="Times New Roman" w:hAnsi="Times New Roman"/>
          <w:color w:val="000000"/>
          <w:sz w:val="24"/>
          <w:szCs w:val="24"/>
        </w:rPr>
        <w:t>vid</w:t>
      </w:r>
      <w:r w:rsidR="00B279BA">
        <w:rPr>
          <w:rFonts w:ascii="Times New Roman" w:hAnsi="Times New Roman"/>
          <w:color w:val="000000"/>
          <w:sz w:val="24"/>
          <w:szCs w:val="24"/>
        </w:rPr>
        <w:t>ers</w:t>
      </w:r>
      <w:r w:rsidRPr="00BF04B4">
        <w:rPr>
          <w:rFonts w:ascii="Times New Roman" w:hAnsi="Times New Roman"/>
          <w:color w:val="000000"/>
          <w:sz w:val="24"/>
          <w:szCs w:val="24"/>
        </w:rPr>
        <w:t xml:space="preserve"> will incur additional mailing costs.  Any remaining consumers who are not scheduled to receive mailings may be notified</w:t>
      </w:r>
      <w:r w:rsidR="00FD2F0B">
        <w:rPr>
          <w:rFonts w:ascii="Times New Roman" w:hAnsi="Times New Roman"/>
          <w:color w:val="000000"/>
          <w:sz w:val="24"/>
          <w:szCs w:val="24"/>
        </w:rPr>
        <w:t xml:space="preserve"> electronically</w:t>
      </w:r>
      <w:r w:rsidRPr="00BF04B4">
        <w:rPr>
          <w:rFonts w:ascii="Times New Roman" w:hAnsi="Times New Roman"/>
          <w:color w:val="000000"/>
          <w:sz w:val="24"/>
          <w:szCs w:val="24"/>
        </w:rPr>
        <w:t xml:space="preserve"> without regard to the consumer notice and consent requirements of section 101(c) of the E-Sign Act.</w:t>
      </w:r>
    </w:p>
    <w:p w14:paraId="504B36AF" w14:textId="3F702A7A" w:rsidR="002D3555" w:rsidRPr="00BF04B4" w:rsidRDefault="002D3555" w:rsidP="00BF04B4">
      <w:pPr>
        <w:tabs>
          <w:tab w:val="left" w:pos="0"/>
        </w:tabs>
        <w:autoSpaceDE w:val="0"/>
        <w:autoSpaceDN w:val="0"/>
        <w:adjustRightInd w:val="0"/>
        <w:spacing w:after="240" w:line="240" w:lineRule="auto"/>
        <w:ind w:firstLine="720"/>
        <w:rPr>
          <w:rFonts w:ascii="Times New Roman" w:hAnsi="Times New Roman"/>
          <w:color w:val="000000"/>
          <w:sz w:val="24"/>
          <w:szCs w:val="24"/>
        </w:rPr>
      </w:pPr>
      <w:r w:rsidRPr="00BF04B4">
        <w:rPr>
          <w:rFonts w:ascii="Times New Roman" w:hAnsi="Times New Roman"/>
          <w:color w:val="000000"/>
          <w:sz w:val="24"/>
          <w:szCs w:val="24"/>
        </w:rPr>
        <w:t>Final § 1005.19(b) require</w:t>
      </w:r>
      <w:r w:rsidR="0069168D" w:rsidRPr="00BF04B4">
        <w:rPr>
          <w:rFonts w:ascii="Times New Roman" w:hAnsi="Times New Roman"/>
          <w:color w:val="000000"/>
          <w:sz w:val="24"/>
          <w:szCs w:val="24"/>
        </w:rPr>
        <w:t>s</w:t>
      </w:r>
      <w:r w:rsidRPr="00BF04B4">
        <w:rPr>
          <w:rFonts w:ascii="Times New Roman" w:hAnsi="Times New Roman"/>
          <w:color w:val="000000"/>
          <w:sz w:val="24"/>
          <w:szCs w:val="24"/>
        </w:rPr>
        <w:t xml:space="preserve"> </w:t>
      </w:r>
      <w:r w:rsidR="00FD2F0B">
        <w:rPr>
          <w:rFonts w:ascii="Times New Roman" w:hAnsi="Times New Roman"/>
          <w:color w:val="000000"/>
          <w:sz w:val="24"/>
          <w:szCs w:val="24"/>
        </w:rPr>
        <w:t>prepaid account</w:t>
      </w:r>
      <w:r w:rsidR="00FD2F0B" w:rsidRPr="00BF04B4">
        <w:rPr>
          <w:rFonts w:ascii="Times New Roman" w:hAnsi="Times New Roman"/>
          <w:color w:val="000000"/>
          <w:sz w:val="24"/>
          <w:szCs w:val="24"/>
        </w:rPr>
        <w:t xml:space="preserve"> </w:t>
      </w:r>
      <w:r w:rsidRPr="00BF04B4">
        <w:rPr>
          <w:rFonts w:ascii="Times New Roman" w:hAnsi="Times New Roman"/>
          <w:color w:val="000000"/>
          <w:sz w:val="24"/>
          <w:szCs w:val="24"/>
        </w:rPr>
        <w:t xml:space="preserve">issuers to </w:t>
      </w:r>
      <w:r w:rsidR="0069168D" w:rsidRPr="00BF04B4">
        <w:rPr>
          <w:rFonts w:ascii="Times New Roman" w:hAnsi="Times New Roman"/>
          <w:color w:val="000000"/>
          <w:sz w:val="24"/>
          <w:szCs w:val="24"/>
        </w:rPr>
        <w:t xml:space="preserve">submit to </w:t>
      </w:r>
      <w:r w:rsidRPr="00BF04B4">
        <w:rPr>
          <w:rFonts w:ascii="Times New Roman" w:hAnsi="Times New Roman"/>
          <w:color w:val="000000"/>
          <w:sz w:val="24"/>
          <w:szCs w:val="24"/>
        </w:rPr>
        <w:t>the Bureau</w:t>
      </w:r>
      <w:r w:rsidR="0069168D" w:rsidRPr="00BF04B4">
        <w:rPr>
          <w:rFonts w:ascii="Times New Roman" w:hAnsi="Times New Roman"/>
          <w:color w:val="000000"/>
          <w:sz w:val="24"/>
          <w:szCs w:val="24"/>
        </w:rPr>
        <w:t>, on a rolling basis,</w:t>
      </w:r>
      <w:r w:rsidRPr="00BF04B4">
        <w:rPr>
          <w:rFonts w:ascii="Times New Roman" w:hAnsi="Times New Roman"/>
          <w:color w:val="000000"/>
          <w:sz w:val="24"/>
          <w:szCs w:val="24"/>
        </w:rPr>
        <w:t xml:space="preserve"> </w:t>
      </w:r>
      <w:r w:rsidR="0069168D" w:rsidRPr="00BF04B4">
        <w:rPr>
          <w:rFonts w:ascii="Times New Roman" w:hAnsi="Times New Roman"/>
          <w:color w:val="000000"/>
          <w:sz w:val="24"/>
          <w:szCs w:val="24"/>
        </w:rPr>
        <w:t>short form disclosures and prepaid</w:t>
      </w:r>
      <w:r w:rsidRPr="00BF04B4">
        <w:rPr>
          <w:rFonts w:ascii="Times New Roman" w:hAnsi="Times New Roman"/>
          <w:color w:val="000000"/>
          <w:sz w:val="24"/>
          <w:szCs w:val="24"/>
        </w:rPr>
        <w:t xml:space="preserve"> account agreements </w:t>
      </w:r>
      <w:r w:rsidR="00556F2F">
        <w:rPr>
          <w:rFonts w:ascii="Times New Roman" w:hAnsi="Times New Roman"/>
          <w:color w:val="000000"/>
          <w:sz w:val="24"/>
          <w:szCs w:val="24"/>
        </w:rPr>
        <w:t xml:space="preserve">(including fee schedules) </w:t>
      </w:r>
      <w:r w:rsidR="0069168D" w:rsidRPr="00BF04B4">
        <w:rPr>
          <w:rFonts w:ascii="Times New Roman" w:hAnsi="Times New Roman"/>
          <w:color w:val="000000"/>
          <w:sz w:val="24"/>
          <w:szCs w:val="24"/>
        </w:rPr>
        <w:t xml:space="preserve">that </w:t>
      </w:r>
      <w:r w:rsidR="00FD2F0B">
        <w:rPr>
          <w:rFonts w:ascii="Times New Roman" w:hAnsi="Times New Roman"/>
          <w:color w:val="000000"/>
          <w:sz w:val="24"/>
          <w:szCs w:val="24"/>
        </w:rPr>
        <w:t xml:space="preserve">the issuer </w:t>
      </w:r>
      <w:r w:rsidR="0069168D" w:rsidRPr="00BF04B4">
        <w:rPr>
          <w:rFonts w:ascii="Times New Roman" w:hAnsi="Times New Roman"/>
          <w:color w:val="000000"/>
          <w:sz w:val="24"/>
          <w:szCs w:val="24"/>
        </w:rPr>
        <w:t>offer</w:t>
      </w:r>
      <w:r w:rsidR="00FD2F0B">
        <w:rPr>
          <w:rFonts w:ascii="Times New Roman" w:hAnsi="Times New Roman"/>
          <w:color w:val="000000"/>
          <w:sz w:val="24"/>
          <w:szCs w:val="24"/>
        </w:rPr>
        <w:t>s</w:t>
      </w:r>
      <w:r w:rsidR="0069168D" w:rsidRPr="00BF04B4">
        <w:rPr>
          <w:rFonts w:ascii="Times New Roman" w:hAnsi="Times New Roman"/>
          <w:color w:val="000000"/>
          <w:sz w:val="24"/>
          <w:szCs w:val="24"/>
        </w:rPr>
        <w:t xml:space="preserve"> </w:t>
      </w:r>
      <w:r w:rsidR="00FD2F0B">
        <w:rPr>
          <w:rFonts w:ascii="Times New Roman" w:hAnsi="Times New Roman"/>
          <w:color w:val="000000"/>
          <w:sz w:val="24"/>
          <w:szCs w:val="24"/>
        </w:rPr>
        <w:t xml:space="preserve">or has </w:t>
      </w:r>
      <w:r w:rsidR="0069168D" w:rsidRPr="00BF04B4">
        <w:rPr>
          <w:rFonts w:ascii="Times New Roman" w:hAnsi="Times New Roman"/>
          <w:color w:val="000000"/>
          <w:sz w:val="24"/>
          <w:szCs w:val="24"/>
        </w:rPr>
        <w:t>amended</w:t>
      </w:r>
      <w:r w:rsidR="00FD2F0B">
        <w:rPr>
          <w:rFonts w:ascii="Times New Roman" w:hAnsi="Times New Roman"/>
          <w:color w:val="000000"/>
          <w:sz w:val="24"/>
          <w:szCs w:val="24"/>
        </w:rPr>
        <w:t>,</w:t>
      </w:r>
      <w:r w:rsidR="0069168D" w:rsidRPr="00BF04B4">
        <w:rPr>
          <w:rFonts w:ascii="Times New Roman" w:hAnsi="Times New Roman"/>
          <w:color w:val="000000"/>
          <w:sz w:val="24"/>
          <w:szCs w:val="24"/>
        </w:rPr>
        <w:t xml:space="preserve"> or</w:t>
      </w:r>
      <w:r w:rsidR="00FD2F0B">
        <w:rPr>
          <w:rFonts w:ascii="Times New Roman" w:hAnsi="Times New Roman"/>
          <w:color w:val="000000"/>
          <w:sz w:val="24"/>
          <w:szCs w:val="24"/>
        </w:rPr>
        <w:t xml:space="preserve"> notification that the issuer is</w:t>
      </w:r>
      <w:r w:rsidR="0069168D" w:rsidRPr="00BF04B4">
        <w:rPr>
          <w:rFonts w:ascii="Times New Roman" w:hAnsi="Times New Roman"/>
          <w:color w:val="000000"/>
          <w:sz w:val="24"/>
          <w:szCs w:val="24"/>
        </w:rPr>
        <w:t xml:space="preserve"> withdraw</w:t>
      </w:r>
      <w:r w:rsidR="00FD2F0B">
        <w:rPr>
          <w:rFonts w:ascii="Times New Roman" w:hAnsi="Times New Roman"/>
          <w:color w:val="000000"/>
          <w:sz w:val="24"/>
          <w:szCs w:val="24"/>
        </w:rPr>
        <w:t>ing a previously submitted agreement</w:t>
      </w:r>
      <w:r w:rsidRPr="00BF04B4">
        <w:rPr>
          <w:rFonts w:ascii="Times New Roman" w:hAnsi="Times New Roman"/>
          <w:color w:val="000000"/>
          <w:sz w:val="24"/>
          <w:szCs w:val="24"/>
        </w:rPr>
        <w:t xml:space="preserve">.  </w:t>
      </w:r>
      <w:r w:rsidR="0069168D" w:rsidRPr="00BF04B4">
        <w:rPr>
          <w:rFonts w:ascii="Times New Roman" w:hAnsi="Times New Roman"/>
          <w:color w:val="000000"/>
          <w:sz w:val="24"/>
          <w:szCs w:val="24"/>
        </w:rPr>
        <w:t>The Bureau estimates that each issuer will initially take 1 hour to register and spend 5 minutes to upload each of 17 agreements (our estimate of the overall average number of fee schedules per issuer).  Thus the one-time burden is 145 (= 60 + (5*17)) minutes or 2.42 hours per issuer.  There is considerable uncertainty regarding the number of issuers that will offer, amend or withdraw an agreement each year on an ongoing basis and the number of agreements that each issuer will offer, amend or withdraw.  The Bureau’s experience with the submission of credit card agreements pursuant to §</w:t>
      </w:r>
      <w:r w:rsidR="00FD2F0B">
        <w:rPr>
          <w:rFonts w:ascii="Times New Roman" w:hAnsi="Times New Roman"/>
          <w:color w:val="000000"/>
          <w:sz w:val="24"/>
          <w:szCs w:val="24"/>
        </w:rPr>
        <w:t> </w:t>
      </w:r>
      <w:r w:rsidR="0069168D" w:rsidRPr="00BF04B4">
        <w:rPr>
          <w:rFonts w:ascii="Times New Roman" w:hAnsi="Times New Roman"/>
          <w:color w:val="000000"/>
          <w:sz w:val="24"/>
          <w:szCs w:val="24"/>
        </w:rPr>
        <w:t>1026.58 of Regulation Z suggests that issuers who upload agreements will upload at most 5 agreements annually on an ongoing basis.</w:t>
      </w:r>
      <w:r w:rsidR="00556F2F">
        <w:rPr>
          <w:rStyle w:val="FootnoteReference"/>
          <w:rFonts w:ascii="Times New Roman" w:hAnsi="Times New Roman"/>
          <w:color w:val="000000"/>
          <w:sz w:val="24"/>
          <w:szCs w:val="24"/>
        </w:rPr>
        <w:footnoteReference w:id="13"/>
      </w:r>
      <w:r w:rsidR="0069168D" w:rsidRPr="00BF04B4">
        <w:rPr>
          <w:rFonts w:ascii="Times New Roman" w:hAnsi="Times New Roman"/>
          <w:color w:val="000000"/>
          <w:sz w:val="24"/>
          <w:szCs w:val="24"/>
        </w:rPr>
        <w:t xml:space="preserve">  We assume that every issuer uploads 5 agreements annually on an ongoing basis, so our estimate is an upper bound on the burden.</w:t>
      </w:r>
    </w:p>
    <w:p w14:paraId="2430DCF8" w14:textId="77777777" w:rsidR="002D3555" w:rsidRPr="00BF04B4" w:rsidRDefault="002D3555" w:rsidP="00FD2F0B">
      <w:pPr>
        <w:pStyle w:val="CM10"/>
        <w:keepNext/>
        <w:spacing w:after="240"/>
        <w:rPr>
          <w:b/>
          <w:bCs/>
          <w:u w:val="single"/>
        </w:rPr>
      </w:pPr>
      <w:r w:rsidRPr="00BF04B4">
        <w:rPr>
          <w:b/>
          <w:bCs/>
        </w:rPr>
        <w:t xml:space="preserve">13. </w:t>
      </w:r>
      <w:r w:rsidRPr="00BF04B4">
        <w:rPr>
          <w:b/>
          <w:bCs/>
          <w:u w:val="single"/>
        </w:rPr>
        <w:t>Estimated Total Annual Non-Labor / Capital Cost Burden to Respondents or Recordkeepers</w:t>
      </w:r>
    </w:p>
    <w:p w14:paraId="2EC39381" w14:textId="68184BBE" w:rsidR="001977D9" w:rsidRDefault="000D71DC" w:rsidP="00FD2F0B">
      <w:pPr>
        <w:pStyle w:val="CM12"/>
        <w:spacing w:after="240"/>
        <w:ind w:firstLine="720"/>
      </w:pPr>
      <w:r w:rsidRPr="00BF04B4">
        <w:t xml:space="preserve">There are no other costs associated with this information collection other than what is discussed above in </w:t>
      </w:r>
      <w:r w:rsidR="00532ED9">
        <w:t>#</w:t>
      </w:r>
      <w:r w:rsidRPr="00BF04B4">
        <w:t>12.</w:t>
      </w:r>
    </w:p>
    <w:p w14:paraId="09123B73" w14:textId="77777777" w:rsidR="0085065C" w:rsidRPr="00BF04B4" w:rsidRDefault="0085065C" w:rsidP="00BF04B4">
      <w:pPr>
        <w:pStyle w:val="CM12"/>
        <w:spacing w:after="240"/>
        <w:rPr>
          <w:b/>
          <w:bCs/>
          <w:u w:val="single"/>
        </w:rPr>
      </w:pPr>
      <w:r w:rsidRPr="00BF04B4">
        <w:rPr>
          <w:b/>
          <w:bCs/>
        </w:rPr>
        <w:t xml:space="preserve">14. </w:t>
      </w:r>
      <w:r w:rsidRPr="00BF04B4">
        <w:rPr>
          <w:b/>
          <w:bCs/>
          <w:u w:val="single"/>
        </w:rPr>
        <w:t>Estimated Cost to the Federal Government</w:t>
      </w:r>
    </w:p>
    <w:p w14:paraId="7FE84570" w14:textId="1F454A44" w:rsidR="0085065C" w:rsidRPr="00BF04B4" w:rsidRDefault="007714BC" w:rsidP="00BF04B4">
      <w:pPr>
        <w:pStyle w:val="CM10"/>
        <w:spacing w:after="240"/>
        <w:ind w:firstLine="720"/>
      </w:pPr>
      <w:r w:rsidRPr="007714BC">
        <w:t>The Bureau incurs no unique costs as a result of this data collection.</w:t>
      </w:r>
      <w:r>
        <w:t xml:space="preserve"> The collection of prepaid account agreements will be conducted with existing program staff and resources.</w:t>
      </w:r>
    </w:p>
    <w:p w14:paraId="0CBCE2FF" w14:textId="77777777" w:rsidR="0085065C" w:rsidRPr="00BF04B4" w:rsidRDefault="0085065C" w:rsidP="001977D9">
      <w:pPr>
        <w:pStyle w:val="Default"/>
        <w:keepNext/>
        <w:spacing w:after="240"/>
        <w:rPr>
          <w:b/>
          <w:bCs/>
          <w:color w:val="auto"/>
          <w:u w:val="single"/>
        </w:rPr>
      </w:pPr>
      <w:r w:rsidRPr="00BF04B4">
        <w:rPr>
          <w:b/>
          <w:bCs/>
          <w:color w:val="auto"/>
        </w:rPr>
        <w:t xml:space="preserve">15. </w:t>
      </w:r>
      <w:r w:rsidRPr="00BF04B4">
        <w:rPr>
          <w:b/>
          <w:bCs/>
          <w:color w:val="auto"/>
          <w:u w:val="single"/>
        </w:rPr>
        <w:t>Program Changes or Adjustments</w:t>
      </w:r>
    </w:p>
    <w:p w14:paraId="1E7EC6AC" w14:textId="77777777" w:rsidR="00903CF5" w:rsidRPr="00BF04B4" w:rsidRDefault="00903CF5" w:rsidP="001977D9">
      <w:pPr>
        <w:keepNext/>
        <w:spacing w:after="240" w:line="240" w:lineRule="auto"/>
        <w:rPr>
          <w:rFonts w:ascii="Times New Roman" w:hAnsi="Times New Roman"/>
          <w:b/>
          <w:sz w:val="24"/>
          <w:szCs w:val="24"/>
        </w:rPr>
      </w:pPr>
      <w:r w:rsidRPr="00BF04B4">
        <w:rPr>
          <w:rFonts w:ascii="Times New Roman" w:hAnsi="Times New Roman"/>
          <w:b/>
          <w:sz w:val="24"/>
          <w:szCs w:val="24"/>
        </w:rPr>
        <w:t>Summary of Burden Changes</w:t>
      </w:r>
    </w:p>
    <w:tbl>
      <w:tblPr>
        <w:tblW w:w="9473" w:type="dxa"/>
        <w:tblInd w:w="103" w:type="dxa"/>
        <w:tblLook w:val="04A0" w:firstRow="1" w:lastRow="0" w:firstColumn="1" w:lastColumn="0" w:noHBand="0" w:noVBand="1"/>
      </w:tblPr>
      <w:tblGrid>
        <w:gridCol w:w="2481"/>
        <w:gridCol w:w="2300"/>
        <w:gridCol w:w="2300"/>
        <w:gridCol w:w="2392"/>
      </w:tblGrid>
      <w:tr w:rsidR="00903CF5" w:rsidRPr="00BF04B4" w14:paraId="3790B010" w14:textId="77777777" w:rsidTr="009825EE">
        <w:trPr>
          <w:trHeight w:val="315"/>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CFD11" w14:textId="1D2CEE63" w:rsidR="00903CF5" w:rsidRPr="00BF04B4" w:rsidRDefault="00903CF5" w:rsidP="001E7B63">
            <w:pPr>
              <w:keepNext/>
              <w:spacing w:after="120" w:line="240" w:lineRule="auto"/>
              <w:jc w:val="center"/>
              <w:rPr>
                <w:rFonts w:ascii="Times New Roman" w:hAnsi="Times New Roman"/>
                <w:color w:val="000000"/>
                <w:sz w:val="24"/>
                <w:szCs w:val="24"/>
              </w:rPr>
            </w:pP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2E657289" w14:textId="77777777" w:rsidR="00903CF5" w:rsidRPr="00BF04B4" w:rsidRDefault="00903CF5" w:rsidP="001E7B63">
            <w:pPr>
              <w:keepNext/>
              <w:spacing w:after="120" w:line="240" w:lineRule="auto"/>
              <w:jc w:val="center"/>
              <w:rPr>
                <w:rFonts w:ascii="Times New Roman" w:hAnsi="Times New Roman"/>
                <w:b/>
                <w:bCs/>
                <w:color w:val="000000"/>
                <w:sz w:val="24"/>
                <w:szCs w:val="24"/>
              </w:rPr>
            </w:pPr>
            <w:r w:rsidRPr="00BF04B4">
              <w:rPr>
                <w:rFonts w:ascii="Times New Roman" w:hAnsi="Times New Roman"/>
                <w:b/>
                <w:bCs/>
                <w:color w:val="000000"/>
                <w:sz w:val="24"/>
                <w:szCs w:val="24"/>
              </w:rPr>
              <w:t>Annual Responses</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04E7AC4B" w14:textId="77777777" w:rsidR="00903CF5" w:rsidRPr="00BF04B4" w:rsidRDefault="00903CF5" w:rsidP="001E7B63">
            <w:pPr>
              <w:keepNext/>
              <w:spacing w:after="120" w:line="240" w:lineRule="auto"/>
              <w:jc w:val="center"/>
              <w:rPr>
                <w:rFonts w:ascii="Times New Roman" w:hAnsi="Times New Roman"/>
                <w:b/>
                <w:bCs/>
                <w:color w:val="000000"/>
                <w:sz w:val="24"/>
                <w:szCs w:val="24"/>
              </w:rPr>
            </w:pPr>
            <w:r w:rsidRPr="00BF04B4">
              <w:rPr>
                <w:rFonts w:ascii="Times New Roman" w:hAnsi="Times New Roman"/>
                <w:b/>
                <w:bCs/>
                <w:color w:val="000000"/>
                <w:sz w:val="24"/>
                <w:szCs w:val="24"/>
              </w:rPr>
              <w:t>Burden Hours</w:t>
            </w:r>
          </w:p>
        </w:tc>
        <w:tc>
          <w:tcPr>
            <w:tcW w:w="2392" w:type="dxa"/>
            <w:tcBorders>
              <w:top w:val="single" w:sz="4" w:space="0" w:color="auto"/>
              <w:left w:val="nil"/>
              <w:bottom w:val="single" w:sz="4" w:space="0" w:color="auto"/>
              <w:right w:val="single" w:sz="4" w:space="0" w:color="auto"/>
            </w:tcBorders>
            <w:shd w:val="clear" w:color="auto" w:fill="auto"/>
            <w:noWrap/>
            <w:vAlign w:val="bottom"/>
            <w:hideMark/>
          </w:tcPr>
          <w:p w14:paraId="0C2C8AA1" w14:textId="552C3CFF" w:rsidR="001E7B63" w:rsidRDefault="00903CF5" w:rsidP="001E7B63">
            <w:pPr>
              <w:keepNext/>
              <w:spacing w:after="120" w:line="240" w:lineRule="auto"/>
              <w:jc w:val="center"/>
              <w:rPr>
                <w:rFonts w:ascii="Times New Roman" w:hAnsi="Times New Roman"/>
                <w:b/>
                <w:bCs/>
                <w:color w:val="000000"/>
                <w:sz w:val="24"/>
                <w:szCs w:val="24"/>
              </w:rPr>
            </w:pPr>
            <w:r w:rsidRPr="00BF04B4">
              <w:rPr>
                <w:rFonts w:ascii="Times New Roman" w:hAnsi="Times New Roman"/>
                <w:b/>
                <w:bCs/>
                <w:color w:val="000000"/>
                <w:sz w:val="24"/>
                <w:szCs w:val="24"/>
              </w:rPr>
              <w:t>Cost Burden</w:t>
            </w:r>
          </w:p>
          <w:p w14:paraId="46C96767" w14:textId="23CEF225" w:rsidR="00903CF5" w:rsidRPr="00BF04B4" w:rsidRDefault="00903CF5" w:rsidP="001E7B63">
            <w:pPr>
              <w:keepNext/>
              <w:spacing w:after="120" w:line="240" w:lineRule="auto"/>
              <w:jc w:val="center"/>
              <w:rPr>
                <w:rFonts w:ascii="Times New Roman" w:hAnsi="Times New Roman"/>
                <w:b/>
                <w:bCs/>
                <w:color w:val="000000"/>
                <w:sz w:val="24"/>
                <w:szCs w:val="24"/>
              </w:rPr>
            </w:pPr>
            <w:r w:rsidRPr="00BF04B4">
              <w:rPr>
                <w:rFonts w:ascii="Times New Roman" w:hAnsi="Times New Roman"/>
                <w:b/>
                <w:bCs/>
                <w:color w:val="000000"/>
                <w:sz w:val="24"/>
                <w:szCs w:val="24"/>
              </w:rPr>
              <w:t>(O &amp; M)</w:t>
            </w:r>
          </w:p>
        </w:tc>
      </w:tr>
      <w:tr w:rsidR="00903CF5" w:rsidRPr="00BF04B4" w14:paraId="0330AB59" w14:textId="77777777" w:rsidTr="009825EE">
        <w:trPr>
          <w:trHeight w:val="630"/>
        </w:trPr>
        <w:tc>
          <w:tcPr>
            <w:tcW w:w="2481" w:type="dxa"/>
            <w:tcBorders>
              <w:top w:val="nil"/>
              <w:left w:val="single" w:sz="4" w:space="0" w:color="auto"/>
              <w:bottom w:val="single" w:sz="4" w:space="0" w:color="auto"/>
              <w:right w:val="single" w:sz="4" w:space="0" w:color="auto"/>
            </w:tcBorders>
            <w:shd w:val="clear" w:color="auto" w:fill="auto"/>
            <w:vAlign w:val="bottom"/>
            <w:hideMark/>
          </w:tcPr>
          <w:p w14:paraId="44BF20E4"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Total </w:t>
            </w:r>
            <w:r w:rsidR="002C48CD" w:rsidRPr="00BF04B4">
              <w:rPr>
                <w:rFonts w:ascii="Times New Roman" w:hAnsi="Times New Roman"/>
                <w:color w:val="000000"/>
                <w:sz w:val="24"/>
                <w:szCs w:val="24"/>
              </w:rPr>
              <w:t>Burden</w:t>
            </w:r>
            <w:r w:rsidRPr="00BF04B4">
              <w:rPr>
                <w:rFonts w:ascii="Times New Roman" w:hAnsi="Times New Roman"/>
                <w:color w:val="000000"/>
                <w:sz w:val="24"/>
                <w:szCs w:val="24"/>
              </w:rPr>
              <w:t xml:space="preserve"> Hours</w:t>
            </w:r>
            <w:r w:rsidRPr="00BF04B4">
              <w:rPr>
                <w:rFonts w:ascii="Times New Roman" w:hAnsi="Times New Roman"/>
                <w:color w:val="000000"/>
                <w:sz w:val="24"/>
                <w:szCs w:val="24"/>
              </w:rPr>
              <w:br/>
              <w:t>Requested</w:t>
            </w:r>
          </w:p>
        </w:tc>
        <w:tc>
          <w:tcPr>
            <w:tcW w:w="2300" w:type="dxa"/>
            <w:tcBorders>
              <w:top w:val="nil"/>
              <w:left w:val="nil"/>
              <w:bottom w:val="single" w:sz="4" w:space="0" w:color="auto"/>
              <w:right w:val="single" w:sz="4" w:space="0" w:color="auto"/>
            </w:tcBorders>
            <w:shd w:val="clear" w:color="auto" w:fill="auto"/>
            <w:noWrap/>
            <w:vAlign w:val="bottom"/>
            <w:hideMark/>
          </w:tcPr>
          <w:p w14:paraId="735DA4D0" w14:textId="38794146" w:rsidR="00903CF5" w:rsidRPr="00BF04B4" w:rsidRDefault="009825EE" w:rsidP="000D57AF">
            <w:pPr>
              <w:spacing w:after="120" w:line="240" w:lineRule="auto"/>
              <w:jc w:val="right"/>
              <w:rPr>
                <w:rFonts w:ascii="Times New Roman" w:hAnsi="Times New Roman"/>
                <w:color w:val="000000"/>
                <w:sz w:val="24"/>
                <w:szCs w:val="24"/>
              </w:rPr>
            </w:pPr>
            <w:r w:rsidRPr="00064897">
              <w:rPr>
                <w:rFonts w:ascii="Times New Roman" w:hAnsi="Times New Roman"/>
                <w:color w:val="000000"/>
                <w:sz w:val="24"/>
                <w:szCs w:val="24"/>
              </w:rPr>
              <w:t>7</w:t>
            </w:r>
            <w:r w:rsidR="00064897" w:rsidRPr="00064897">
              <w:rPr>
                <w:rFonts w:ascii="Times New Roman" w:hAnsi="Times New Roman"/>
                <w:color w:val="000000"/>
                <w:sz w:val="24"/>
                <w:szCs w:val="24"/>
              </w:rPr>
              <w:t>,</w:t>
            </w:r>
            <w:r w:rsidRPr="00064897">
              <w:rPr>
                <w:rFonts w:ascii="Times New Roman" w:hAnsi="Times New Roman"/>
                <w:color w:val="000000"/>
                <w:sz w:val="24"/>
                <w:szCs w:val="24"/>
              </w:rPr>
              <w:t>247</w:t>
            </w:r>
            <w:r w:rsidR="00064897" w:rsidRPr="00064897">
              <w:rPr>
                <w:rFonts w:ascii="Times New Roman" w:hAnsi="Times New Roman"/>
                <w:color w:val="000000"/>
                <w:sz w:val="24"/>
                <w:szCs w:val="24"/>
              </w:rPr>
              <w:t>,</w:t>
            </w:r>
            <w:r w:rsidRPr="00064897">
              <w:rPr>
                <w:rFonts w:ascii="Times New Roman" w:hAnsi="Times New Roman"/>
                <w:color w:val="000000"/>
                <w:sz w:val="24"/>
                <w:szCs w:val="24"/>
              </w:rPr>
              <w:t xml:space="preserve">128 </w:t>
            </w:r>
          </w:p>
        </w:tc>
        <w:tc>
          <w:tcPr>
            <w:tcW w:w="2300" w:type="dxa"/>
            <w:tcBorders>
              <w:top w:val="nil"/>
              <w:left w:val="nil"/>
              <w:bottom w:val="single" w:sz="4" w:space="0" w:color="auto"/>
              <w:right w:val="single" w:sz="4" w:space="0" w:color="auto"/>
            </w:tcBorders>
            <w:shd w:val="clear" w:color="auto" w:fill="auto"/>
            <w:noWrap/>
            <w:vAlign w:val="bottom"/>
            <w:hideMark/>
          </w:tcPr>
          <w:p w14:paraId="6A88C588" w14:textId="1E2DF691" w:rsidR="00903CF5" w:rsidRPr="00BF04B4" w:rsidRDefault="009825EE" w:rsidP="001977D9">
            <w:pPr>
              <w:spacing w:after="120" w:line="240" w:lineRule="auto"/>
              <w:jc w:val="right"/>
              <w:rPr>
                <w:rFonts w:ascii="Times New Roman" w:hAnsi="Times New Roman"/>
                <w:color w:val="000000"/>
                <w:sz w:val="24"/>
                <w:szCs w:val="24"/>
              </w:rPr>
            </w:pPr>
            <w:r w:rsidRPr="00064897">
              <w:rPr>
                <w:rFonts w:ascii="Times New Roman" w:hAnsi="Times New Roman"/>
                <w:color w:val="000000"/>
                <w:sz w:val="24"/>
                <w:szCs w:val="24"/>
              </w:rPr>
              <w:t>3</w:t>
            </w:r>
            <w:r w:rsidR="00064897" w:rsidRPr="00064897">
              <w:rPr>
                <w:rFonts w:ascii="Times New Roman" w:hAnsi="Times New Roman"/>
                <w:color w:val="000000"/>
                <w:sz w:val="24"/>
                <w:szCs w:val="24"/>
              </w:rPr>
              <w:t>,</w:t>
            </w:r>
            <w:r w:rsidRPr="00064897">
              <w:rPr>
                <w:rFonts w:ascii="Times New Roman" w:hAnsi="Times New Roman"/>
                <w:color w:val="000000"/>
                <w:sz w:val="24"/>
                <w:szCs w:val="24"/>
              </w:rPr>
              <w:t>445</w:t>
            </w:r>
            <w:r w:rsidR="00064897" w:rsidRPr="00064897">
              <w:rPr>
                <w:rFonts w:ascii="Times New Roman" w:hAnsi="Times New Roman"/>
                <w:color w:val="000000"/>
                <w:sz w:val="24"/>
                <w:szCs w:val="24"/>
              </w:rPr>
              <w:t>,</w:t>
            </w:r>
            <w:r w:rsidRPr="00064897">
              <w:rPr>
                <w:rFonts w:ascii="Times New Roman" w:hAnsi="Times New Roman"/>
                <w:color w:val="000000"/>
                <w:sz w:val="24"/>
                <w:szCs w:val="24"/>
              </w:rPr>
              <w:t>033</w:t>
            </w:r>
          </w:p>
        </w:tc>
        <w:tc>
          <w:tcPr>
            <w:tcW w:w="2392" w:type="dxa"/>
            <w:tcBorders>
              <w:top w:val="nil"/>
              <w:left w:val="nil"/>
              <w:bottom w:val="single" w:sz="4" w:space="0" w:color="auto"/>
              <w:right w:val="single" w:sz="4" w:space="0" w:color="auto"/>
            </w:tcBorders>
            <w:shd w:val="clear" w:color="auto" w:fill="auto"/>
            <w:noWrap/>
            <w:vAlign w:val="bottom"/>
            <w:hideMark/>
          </w:tcPr>
          <w:p w14:paraId="1C0EE9EB" w14:textId="6B4AF1B7" w:rsidR="00903CF5" w:rsidRPr="00BF04B4" w:rsidRDefault="00164C9A"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7436FA1A"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D2A3A0A"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Current OMB Inventory</w:t>
            </w:r>
          </w:p>
        </w:tc>
        <w:tc>
          <w:tcPr>
            <w:tcW w:w="2300" w:type="dxa"/>
            <w:tcBorders>
              <w:top w:val="nil"/>
              <w:left w:val="nil"/>
              <w:bottom w:val="single" w:sz="4" w:space="0" w:color="auto"/>
              <w:right w:val="single" w:sz="4" w:space="0" w:color="auto"/>
            </w:tcBorders>
            <w:shd w:val="clear" w:color="auto" w:fill="auto"/>
            <w:noWrap/>
            <w:vAlign w:val="bottom"/>
            <w:hideMark/>
          </w:tcPr>
          <w:p w14:paraId="58018121"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7,237,760</w:t>
            </w:r>
          </w:p>
        </w:tc>
        <w:tc>
          <w:tcPr>
            <w:tcW w:w="2300" w:type="dxa"/>
            <w:tcBorders>
              <w:top w:val="nil"/>
              <w:left w:val="nil"/>
              <w:bottom w:val="single" w:sz="4" w:space="0" w:color="auto"/>
              <w:right w:val="single" w:sz="4" w:space="0" w:color="auto"/>
            </w:tcBorders>
            <w:shd w:val="clear" w:color="auto" w:fill="auto"/>
            <w:noWrap/>
            <w:vAlign w:val="bottom"/>
            <w:hideMark/>
          </w:tcPr>
          <w:p w14:paraId="4CC3A42E" w14:textId="013E8BB3"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4,014,300</w:t>
            </w:r>
          </w:p>
        </w:tc>
        <w:tc>
          <w:tcPr>
            <w:tcW w:w="2392" w:type="dxa"/>
            <w:tcBorders>
              <w:top w:val="nil"/>
              <w:left w:val="nil"/>
              <w:bottom w:val="single" w:sz="4" w:space="0" w:color="auto"/>
              <w:right w:val="single" w:sz="4" w:space="0" w:color="auto"/>
            </w:tcBorders>
            <w:shd w:val="clear" w:color="auto" w:fill="auto"/>
            <w:noWrap/>
            <w:vAlign w:val="bottom"/>
            <w:hideMark/>
          </w:tcPr>
          <w:p w14:paraId="087E66B6"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2590FB75"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C25BB2A"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Difference (+/-)</w:t>
            </w:r>
          </w:p>
        </w:tc>
        <w:tc>
          <w:tcPr>
            <w:tcW w:w="2300" w:type="dxa"/>
            <w:tcBorders>
              <w:top w:val="nil"/>
              <w:left w:val="nil"/>
              <w:bottom w:val="single" w:sz="4" w:space="0" w:color="auto"/>
              <w:right w:val="single" w:sz="4" w:space="0" w:color="auto"/>
            </w:tcBorders>
            <w:shd w:val="clear" w:color="auto" w:fill="auto"/>
            <w:noWrap/>
            <w:vAlign w:val="bottom"/>
            <w:hideMark/>
          </w:tcPr>
          <w:p w14:paraId="4E8A46E6" w14:textId="34E40242" w:rsidR="00903CF5" w:rsidRPr="00BF04B4" w:rsidRDefault="00D12420"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w:t>
            </w:r>
            <w:r w:rsidR="002300FC" w:rsidRPr="002300FC">
              <w:rPr>
                <w:rFonts w:ascii="Times New Roman" w:hAnsi="Times New Roman"/>
                <w:color w:val="000000"/>
                <w:sz w:val="24"/>
                <w:szCs w:val="24"/>
              </w:rPr>
              <w:t>9</w:t>
            </w:r>
            <w:r w:rsidR="00064897">
              <w:rPr>
                <w:rFonts w:ascii="Times New Roman" w:hAnsi="Times New Roman"/>
                <w:color w:val="000000"/>
                <w:sz w:val="24"/>
                <w:szCs w:val="24"/>
              </w:rPr>
              <w:t>,</w:t>
            </w:r>
            <w:r w:rsidR="002300FC" w:rsidRPr="002300FC">
              <w:rPr>
                <w:rFonts w:ascii="Times New Roman" w:hAnsi="Times New Roman"/>
                <w:color w:val="000000"/>
                <w:sz w:val="24"/>
                <w:szCs w:val="24"/>
              </w:rPr>
              <w:t>368</w:t>
            </w:r>
          </w:p>
        </w:tc>
        <w:tc>
          <w:tcPr>
            <w:tcW w:w="2300" w:type="dxa"/>
            <w:tcBorders>
              <w:top w:val="nil"/>
              <w:left w:val="nil"/>
              <w:bottom w:val="single" w:sz="4" w:space="0" w:color="auto"/>
              <w:right w:val="single" w:sz="4" w:space="0" w:color="auto"/>
            </w:tcBorders>
            <w:shd w:val="clear" w:color="auto" w:fill="auto"/>
            <w:noWrap/>
            <w:vAlign w:val="bottom"/>
            <w:hideMark/>
          </w:tcPr>
          <w:p w14:paraId="29CEBD26" w14:textId="221B4B82" w:rsidR="00903CF5" w:rsidRPr="00BF04B4" w:rsidRDefault="000D57AF" w:rsidP="00D252B9">
            <w:pPr>
              <w:spacing w:after="120" w:line="240" w:lineRule="auto"/>
              <w:jc w:val="right"/>
              <w:rPr>
                <w:rFonts w:ascii="Times New Roman" w:hAnsi="Times New Roman"/>
                <w:color w:val="000000"/>
                <w:sz w:val="24"/>
                <w:szCs w:val="24"/>
              </w:rPr>
            </w:pPr>
            <w:r>
              <w:rPr>
                <w:rFonts w:ascii="Times New Roman" w:hAnsi="Times New Roman"/>
                <w:color w:val="000000"/>
                <w:sz w:val="24"/>
                <w:szCs w:val="24"/>
              </w:rPr>
              <w:t>-</w:t>
            </w:r>
            <w:r w:rsidRPr="000D57AF">
              <w:rPr>
                <w:rFonts w:ascii="Times New Roman" w:hAnsi="Times New Roman"/>
                <w:color w:val="000000"/>
                <w:sz w:val="24"/>
                <w:szCs w:val="24"/>
              </w:rPr>
              <w:t>5</w:t>
            </w:r>
            <w:r w:rsidR="00D252B9">
              <w:rPr>
                <w:rFonts w:ascii="Times New Roman" w:hAnsi="Times New Roman"/>
                <w:color w:val="000000"/>
                <w:sz w:val="24"/>
                <w:szCs w:val="24"/>
              </w:rPr>
              <w:t>69</w:t>
            </w:r>
            <w:r w:rsidR="001E7B63">
              <w:rPr>
                <w:rFonts w:ascii="Times New Roman" w:hAnsi="Times New Roman"/>
                <w:color w:val="000000"/>
                <w:sz w:val="24"/>
                <w:szCs w:val="24"/>
              </w:rPr>
              <w:t>,</w:t>
            </w:r>
            <w:r w:rsidR="00D252B9">
              <w:rPr>
                <w:rFonts w:ascii="Times New Roman" w:hAnsi="Times New Roman"/>
                <w:color w:val="000000"/>
                <w:sz w:val="24"/>
                <w:szCs w:val="24"/>
              </w:rPr>
              <w:t>267</w:t>
            </w:r>
            <w:r w:rsidR="00903CF5" w:rsidRPr="00BF04B4">
              <w:rPr>
                <w:rFonts w:ascii="Times New Roman" w:hAnsi="Times New Roman"/>
                <w:color w:val="000000"/>
                <w:sz w:val="24"/>
                <w:szCs w:val="24"/>
              </w:rPr>
              <w:t> </w:t>
            </w:r>
          </w:p>
        </w:tc>
        <w:tc>
          <w:tcPr>
            <w:tcW w:w="2392" w:type="dxa"/>
            <w:tcBorders>
              <w:top w:val="nil"/>
              <w:left w:val="nil"/>
              <w:bottom w:val="single" w:sz="4" w:space="0" w:color="auto"/>
              <w:right w:val="single" w:sz="4" w:space="0" w:color="auto"/>
            </w:tcBorders>
            <w:shd w:val="clear" w:color="auto" w:fill="auto"/>
            <w:noWrap/>
            <w:vAlign w:val="bottom"/>
            <w:hideMark/>
          </w:tcPr>
          <w:p w14:paraId="7B3B1B3D" w14:textId="7BAE6E6C" w:rsidR="00903CF5" w:rsidRPr="00BF04B4" w:rsidRDefault="00164C9A"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2F409F5E"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60B7A91"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    Program Change</w:t>
            </w:r>
          </w:p>
        </w:tc>
        <w:tc>
          <w:tcPr>
            <w:tcW w:w="2300" w:type="dxa"/>
            <w:tcBorders>
              <w:top w:val="nil"/>
              <w:left w:val="nil"/>
              <w:bottom w:val="single" w:sz="4" w:space="0" w:color="auto"/>
              <w:right w:val="single" w:sz="4" w:space="0" w:color="auto"/>
            </w:tcBorders>
            <w:shd w:val="clear" w:color="auto" w:fill="auto"/>
            <w:noWrap/>
            <w:vAlign w:val="bottom"/>
            <w:hideMark/>
          </w:tcPr>
          <w:p w14:paraId="4169D5F5" w14:textId="246B2884" w:rsidR="00903CF5" w:rsidRPr="00BF04B4" w:rsidRDefault="00234B44"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13,4</w:t>
            </w:r>
            <w:r w:rsidR="00FF7915" w:rsidRPr="00BF04B4">
              <w:rPr>
                <w:rFonts w:ascii="Times New Roman" w:hAnsi="Times New Roman"/>
                <w:color w:val="000000"/>
                <w:sz w:val="24"/>
                <w:szCs w:val="24"/>
              </w:rPr>
              <w:t>7</w:t>
            </w:r>
            <w:r w:rsidRPr="00BF04B4">
              <w:rPr>
                <w:rFonts w:ascii="Times New Roman" w:hAnsi="Times New Roman"/>
                <w:color w:val="000000"/>
                <w:sz w:val="24"/>
                <w:szCs w:val="24"/>
              </w:rPr>
              <w:t>6</w:t>
            </w:r>
          </w:p>
        </w:tc>
        <w:tc>
          <w:tcPr>
            <w:tcW w:w="2300" w:type="dxa"/>
            <w:tcBorders>
              <w:top w:val="nil"/>
              <w:left w:val="nil"/>
              <w:bottom w:val="single" w:sz="4" w:space="0" w:color="auto"/>
              <w:right w:val="single" w:sz="4" w:space="0" w:color="auto"/>
            </w:tcBorders>
            <w:shd w:val="clear" w:color="auto" w:fill="auto"/>
            <w:noWrap/>
            <w:vAlign w:val="bottom"/>
            <w:hideMark/>
          </w:tcPr>
          <w:p w14:paraId="1441E435" w14:textId="039ECBB8" w:rsidR="00903CF5" w:rsidRPr="00BF04B4" w:rsidRDefault="000D57AF" w:rsidP="001977D9">
            <w:pPr>
              <w:spacing w:after="120" w:line="240" w:lineRule="auto"/>
              <w:jc w:val="right"/>
              <w:rPr>
                <w:rFonts w:ascii="Times New Roman" w:hAnsi="Times New Roman"/>
                <w:color w:val="000000"/>
                <w:sz w:val="24"/>
                <w:szCs w:val="24"/>
              </w:rPr>
            </w:pPr>
            <w:r w:rsidRPr="000D57AF">
              <w:rPr>
                <w:rFonts w:ascii="Times New Roman" w:hAnsi="Times New Roman"/>
                <w:color w:val="000000"/>
                <w:sz w:val="24"/>
                <w:szCs w:val="24"/>
              </w:rPr>
              <w:t>76,347</w:t>
            </w:r>
          </w:p>
        </w:tc>
        <w:tc>
          <w:tcPr>
            <w:tcW w:w="2392" w:type="dxa"/>
            <w:tcBorders>
              <w:top w:val="nil"/>
              <w:left w:val="nil"/>
              <w:bottom w:val="single" w:sz="4" w:space="0" w:color="auto"/>
              <w:right w:val="single" w:sz="4" w:space="0" w:color="auto"/>
            </w:tcBorders>
            <w:shd w:val="clear" w:color="auto" w:fill="auto"/>
            <w:noWrap/>
            <w:vAlign w:val="bottom"/>
            <w:hideMark/>
          </w:tcPr>
          <w:p w14:paraId="3EDC94AE" w14:textId="676E3A05" w:rsidR="00903CF5" w:rsidRPr="00BF04B4" w:rsidRDefault="00164C9A"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03D5BC20"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D2EAFEA"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        Discretionary</w:t>
            </w:r>
          </w:p>
        </w:tc>
        <w:tc>
          <w:tcPr>
            <w:tcW w:w="2300" w:type="dxa"/>
            <w:tcBorders>
              <w:top w:val="nil"/>
              <w:left w:val="nil"/>
              <w:bottom w:val="single" w:sz="4" w:space="0" w:color="auto"/>
              <w:right w:val="single" w:sz="4" w:space="0" w:color="auto"/>
            </w:tcBorders>
            <w:shd w:val="clear" w:color="auto" w:fill="auto"/>
            <w:noWrap/>
            <w:vAlign w:val="bottom"/>
            <w:hideMark/>
          </w:tcPr>
          <w:p w14:paraId="631F8AE2" w14:textId="3DFE0E98" w:rsidR="00903CF5" w:rsidRPr="00BF04B4" w:rsidRDefault="00234B44"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13,4</w:t>
            </w:r>
            <w:r w:rsidR="00FF7915" w:rsidRPr="00BF04B4">
              <w:rPr>
                <w:rFonts w:ascii="Times New Roman" w:hAnsi="Times New Roman"/>
                <w:color w:val="000000"/>
                <w:sz w:val="24"/>
                <w:szCs w:val="24"/>
              </w:rPr>
              <w:t>7</w:t>
            </w:r>
            <w:r w:rsidRPr="00BF04B4">
              <w:rPr>
                <w:rFonts w:ascii="Times New Roman" w:hAnsi="Times New Roman"/>
                <w:color w:val="000000"/>
                <w:sz w:val="24"/>
                <w:szCs w:val="24"/>
              </w:rPr>
              <w:t>6</w:t>
            </w:r>
          </w:p>
        </w:tc>
        <w:tc>
          <w:tcPr>
            <w:tcW w:w="2300" w:type="dxa"/>
            <w:tcBorders>
              <w:top w:val="nil"/>
              <w:left w:val="nil"/>
              <w:bottom w:val="single" w:sz="4" w:space="0" w:color="auto"/>
              <w:right w:val="single" w:sz="4" w:space="0" w:color="auto"/>
            </w:tcBorders>
            <w:shd w:val="clear" w:color="auto" w:fill="auto"/>
            <w:noWrap/>
            <w:vAlign w:val="bottom"/>
            <w:hideMark/>
          </w:tcPr>
          <w:p w14:paraId="4C1FE900" w14:textId="7CB9204D" w:rsidR="00903CF5" w:rsidRPr="000D57AF" w:rsidRDefault="000D57AF" w:rsidP="001977D9">
            <w:pPr>
              <w:spacing w:after="120" w:line="240" w:lineRule="auto"/>
              <w:jc w:val="right"/>
              <w:rPr>
                <w:rFonts w:ascii="Times New Roman" w:hAnsi="Times New Roman"/>
                <w:color w:val="000000"/>
                <w:sz w:val="24"/>
                <w:szCs w:val="24"/>
              </w:rPr>
            </w:pPr>
            <w:r w:rsidRPr="000D57AF">
              <w:rPr>
                <w:rFonts w:ascii="Times New Roman" w:hAnsi="Times New Roman"/>
                <w:color w:val="000000"/>
                <w:sz w:val="24"/>
                <w:szCs w:val="24"/>
              </w:rPr>
              <w:t>76,347</w:t>
            </w:r>
          </w:p>
        </w:tc>
        <w:tc>
          <w:tcPr>
            <w:tcW w:w="2392" w:type="dxa"/>
            <w:tcBorders>
              <w:top w:val="nil"/>
              <w:left w:val="nil"/>
              <w:bottom w:val="single" w:sz="4" w:space="0" w:color="auto"/>
              <w:right w:val="single" w:sz="4" w:space="0" w:color="auto"/>
            </w:tcBorders>
            <w:shd w:val="clear" w:color="auto" w:fill="auto"/>
            <w:noWrap/>
            <w:vAlign w:val="bottom"/>
            <w:hideMark/>
          </w:tcPr>
          <w:p w14:paraId="7F3A8A39" w14:textId="7E547B43" w:rsidR="00903CF5" w:rsidRPr="00BF04B4" w:rsidRDefault="00164C9A"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6D9D32B7"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99EBE10"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        Due to New Statute</w:t>
            </w:r>
          </w:p>
        </w:tc>
        <w:tc>
          <w:tcPr>
            <w:tcW w:w="2300" w:type="dxa"/>
            <w:tcBorders>
              <w:top w:val="nil"/>
              <w:left w:val="nil"/>
              <w:bottom w:val="single" w:sz="4" w:space="0" w:color="auto"/>
              <w:right w:val="single" w:sz="4" w:space="0" w:color="auto"/>
            </w:tcBorders>
            <w:shd w:val="clear" w:color="auto" w:fill="auto"/>
            <w:noWrap/>
            <w:vAlign w:val="bottom"/>
            <w:hideMark/>
          </w:tcPr>
          <w:p w14:paraId="19EE4C9F"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c>
          <w:tcPr>
            <w:tcW w:w="2300" w:type="dxa"/>
            <w:tcBorders>
              <w:top w:val="nil"/>
              <w:left w:val="nil"/>
              <w:bottom w:val="single" w:sz="4" w:space="0" w:color="auto"/>
              <w:right w:val="single" w:sz="4" w:space="0" w:color="auto"/>
            </w:tcBorders>
            <w:shd w:val="clear" w:color="auto" w:fill="auto"/>
            <w:noWrap/>
            <w:vAlign w:val="bottom"/>
            <w:hideMark/>
          </w:tcPr>
          <w:p w14:paraId="65FE3D4F"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c>
          <w:tcPr>
            <w:tcW w:w="2392" w:type="dxa"/>
            <w:tcBorders>
              <w:top w:val="nil"/>
              <w:left w:val="nil"/>
              <w:bottom w:val="single" w:sz="4" w:space="0" w:color="auto"/>
              <w:right w:val="single" w:sz="4" w:space="0" w:color="auto"/>
            </w:tcBorders>
            <w:shd w:val="clear" w:color="auto" w:fill="auto"/>
            <w:noWrap/>
            <w:vAlign w:val="bottom"/>
            <w:hideMark/>
          </w:tcPr>
          <w:p w14:paraId="6582FFD3"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1177F5A7"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2AF9A5B"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        Violation</w:t>
            </w:r>
          </w:p>
        </w:tc>
        <w:tc>
          <w:tcPr>
            <w:tcW w:w="2300" w:type="dxa"/>
            <w:tcBorders>
              <w:top w:val="nil"/>
              <w:left w:val="nil"/>
              <w:bottom w:val="single" w:sz="4" w:space="0" w:color="auto"/>
              <w:right w:val="single" w:sz="4" w:space="0" w:color="auto"/>
            </w:tcBorders>
            <w:shd w:val="clear" w:color="auto" w:fill="auto"/>
            <w:noWrap/>
            <w:vAlign w:val="bottom"/>
            <w:hideMark/>
          </w:tcPr>
          <w:p w14:paraId="65C162E8"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c>
          <w:tcPr>
            <w:tcW w:w="2300" w:type="dxa"/>
            <w:tcBorders>
              <w:top w:val="nil"/>
              <w:left w:val="nil"/>
              <w:bottom w:val="single" w:sz="4" w:space="0" w:color="auto"/>
              <w:right w:val="single" w:sz="4" w:space="0" w:color="auto"/>
            </w:tcBorders>
            <w:shd w:val="clear" w:color="auto" w:fill="auto"/>
            <w:noWrap/>
            <w:vAlign w:val="bottom"/>
            <w:hideMark/>
          </w:tcPr>
          <w:p w14:paraId="46FC53EB"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c>
          <w:tcPr>
            <w:tcW w:w="2392" w:type="dxa"/>
            <w:tcBorders>
              <w:top w:val="nil"/>
              <w:left w:val="nil"/>
              <w:bottom w:val="single" w:sz="4" w:space="0" w:color="auto"/>
              <w:right w:val="single" w:sz="4" w:space="0" w:color="auto"/>
            </w:tcBorders>
            <w:shd w:val="clear" w:color="auto" w:fill="auto"/>
            <w:noWrap/>
            <w:vAlign w:val="bottom"/>
            <w:hideMark/>
          </w:tcPr>
          <w:p w14:paraId="592C3EF4"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r w:rsidR="00903CF5" w:rsidRPr="00BF04B4" w14:paraId="5029F36B" w14:textId="77777777" w:rsidTr="009825EE">
        <w:trPr>
          <w:trHeight w:val="315"/>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217C76F" w14:textId="77777777" w:rsidR="00903CF5" w:rsidRPr="00BF04B4" w:rsidRDefault="00903CF5" w:rsidP="001977D9">
            <w:pPr>
              <w:spacing w:after="120" w:line="240" w:lineRule="auto"/>
              <w:rPr>
                <w:rFonts w:ascii="Times New Roman" w:hAnsi="Times New Roman"/>
                <w:color w:val="000000"/>
                <w:sz w:val="24"/>
                <w:szCs w:val="24"/>
              </w:rPr>
            </w:pPr>
            <w:r w:rsidRPr="00BF04B4">
              <w:rPr>
                <w:rFonts w:ascii="Times New Roman" w:hAnsi="Times New Roman"/>
                <w:color w:val="000000"/>
                <w:sz w:val="24"/>
                <w:szCs w:val="24"/>
              </w:rPr>
              <w:t xml:space="preserve">    Adjustment</w:t>
            </w:r>
          </w:p>
        </w:tc>
        <w:tc>
          <w:tcPr>
            <w:tcW w:w="2300" w:type="dxa"/>
            <w:tcBorders>
              <w:top w:val="nil"/>
              <w:left w:val="nil"/>
              <w:bottom w:val="single" w:sz="4" w:space="0" w:color="auto"/>
              <w:right w:val="single" w:sz="4" w:space="0" w:color="auto"/>
            </w:tcBorders>
            <w:shd w:val="clear" w:color="auto" w:fill="auto"/>
            <w:noWrap/>
            <w:vAlign w:val="bottom"/>
            <w:hideMark/>
          </w:tcPr>
          <w:p w14:paraId="254AB6E8" w14:textId="0799F99B" w:rsidR="00903CF5" w:rsidRPr="00BF04B4" w:rsidRDefault="009825EE" w:rsidP="001977D9">
            <w:pPr>
              <w:spacing w:after="120" w:line="240" w:lineRule="auto"/>
              <w:jc w:val="right"/>
              <w:rPr>
                <w:rFonts w:ascii="Times New Roman" w:hAnsi="Times New Roman"/>
                <w:color w:val="000000"/>
                <w:sz w:val="24"/>
                <w:szCs w:val="24"/>
              </w:rPr>
            </w:pPr>
            <w:r>
              <w:rPr>
                <w:rFonts w:ascii="Times New Roman" w:hAnsi="Times New Roman"/>
                <w:color w:val="000000"/>
                <w:sz w:val="24"/>
                <w:szCs w:val="24"/>
              </w:rPr>
              <w:t>-4,108</w:t>
            </w:r>
          </w:p>
        </w:tc>
        <w:tc>
          <w:tcPr>
            <w:tcW w:w="2300" w:type="dxa"/>
            <w:tcBorders>
              <w:top w:val="nil"/>
              <w:left w:val="nil"/>
              <w:bottom w:val="single" w:sz="4" w:space="0" w:color="auto"/>
              <w:right w:val="single" w:sz="4" w:space="0" w:color="auto"/>
            </w:tcBorders>
            <w:shd w:val="clear" w:color="auto" w:fill="auto"/>
            <w:noWrap/>
            <w:vAlign w:val="bottom"/>
            <w:hideMark/>
          </w:tcPr>
          <w:p w14:paraId="3E57A3FE" w14:textId="390972BF" w:rsidR="00903CF5" w:rsidRPr="00BF04B4" w:rsidRDefault="002300FC" w:rsidP="002300FC">
            <w:pPr>
              <w:spacing w:after="120" w:line="240" w:lineRule="auto"/>
              <w:jc w:val="right"/>
              <w:rPr>
                <w:rFonts w:ascii="Times New Roman" w:hAnsi="Times New Roman"/>
                <w:color w:val="000000"/>
                <w:sz w:val="24"/>
                <w:szCs w:val="24"/>
              </w:rPr>
            </w:pPr>
            <w:r w:rsidRPr="00064897">
              <w:rPr>
                <w:rFonts w:ascii="Times New Roman" w:hAnsi="Times New Roman"/>
                <w:color w:val="000000"/>
                <w:sz w:val="24"/>
                <w:szCs w:val="24"/>
              </w:rPr>
              <w:t>-652</w:t>
            </w:r>
            <w:r w:rsidR="009D24E7" w:rsidRPr="00064897">
              <w:rPr>
                <w:rFonts w:ascii="Times New Roman" w:hAnsi="Times New Roman"/>
                <w:color w:val="000000"/>
                <w:sz w:val="24"/>
                <w:szCs w:val="24"/>
              </w:rPr>
              <w:t>,</w:t>
            </w:r>
            <w:r w:rsidRPr="00064897">
              <w:rPr>
                <w:rFonts w:ascii="Times New Roman" w:hAnsi="Times New Roman"/>
                <w:color w:val="000000"/>
                <w:sz w:val="24"/>
                <w:szCs w:val="24"/>
              </w:rPr>
              <w:t>817</w:t>
            </w:r>
          </w:p>
        </w:tc>
        <w:tc>
          <w:tcPr>
            <w:tcW w:w="2392" w:type="dxa"/>
            <w:tcBorders>
              <w:top w:val="nil"/>
              <w:left w:val="nil"/>
              <w:bottom w:val="single" w:sz="4" w:space="0" w:color="auto"/>
              <w:right w:val="single" w:sz="4" w:space="0" w:color="auto"/>
            </w:tcBorders>
            <w:shd w:val="clear" w:color="auto" w:fill="auto"/>
            <w:noWrap/>
            <w:vAlign w:val="bottom"/>
            <w:hideMark/>
          </w:tcPr>
          <w:p w14:paraId="433B2C94" w14:textId="77777777" w:rsidR="00903CF5" w:rsidRPr="00BF04B4" w:rsidRDefault="00903CF5" w:rsidP="001977D9">
            <w:pPr>
              <w:spacing w:after="120" w:line="240" w:lineRule="auto"/>
              <w:jc w:val="right"/>
              <w:rPr>
                <w:rFonts w:ascii="Times New Roman" w:hAnsi="Times New Roman"/>
                <w:color w:val="000000"/>
                <w:sz w:val="24"/>
                <w:szCs w:val="24"/>
              </w:rPr>
            </w:pPr>
            <w:r w:rsidRPr="00BF04B4">
              <w:rPr>
                <w:rFonts w:ascii="Times New Roman" w:hAnsi="Times New Roman"/>
                <w:color w:val="000000"/>
                <w:sz w:val="24"/>
                <w:szCs w:val="24"/>
              </w:rPr>
              <w:t>0</w:t>
            </w:r>
          </w:p>
        </w:tc>
      </w:tr>
    </w:tbl>
    <w:p w14:paraId="746C3EE9" w14:textId="77777777" w:rsidR="00903CF5" w:rsidRPr="00BF04B4" w:rsidRDefault="00903CF5" w:rsidP="00BF04B4">
      <w:pPr>
        <w:spacing w:after="240" w:line="240" w:lineRule="auto"/>
        <w:rPr>
          <w:rFonts w:ascii="Times New Roman" w:hAnsi="Times New Roman"/>
          <w:b/>
          <w:sz w:val="24"/>
          <w:szCs w:val="24"/>
        </w:rPr>
      </w:pPr>
    </w:p>
    <w:p w14:paraId="77B67830" w14:textId="3AB350B9" w:rsidR="00903CF5" w:rsidRPr="00BF04B4" w:rsidRDefault="00903CF5" w:rsidP="001977D9">
      <w:pPr>
        <w:spacing w:after="240" w:line="240" w:lineRule="auto"/>
        <w:ind w:firstLine="720"/>
        <w:rPr>
          <w:rFonts w:ascii="Times New Roman" w:hAnsi="Times New Roman"/>
          <w:sz w:val="24"/>
          <w:szCs w:val="24"/>
        </w:rPr>
      </w:pPr>
      <w:r w:rsidRPr="00BF04B4">
        <w:rPr>
          <w:rFonts w:ascii="Times New Roman" w:hAnsi="Times New Roman"/>
          <w:sz w:val="24"/>
          <w:szCs w:val="24"/>
        </w:rPr>
        <w:t xml:space="preserve">The </w:t>
      </w:r>
      <w:r w:rsidR="009D24E7">
        <w:rPr>
          <w:rFonts w:ascii="Times New Roman" w:hAnsi="Times New Roman"/>
          <w:sz w:val="24"/>
          <w:szCs w:val="24"/>
        </w:rPr>
        <w:t>changes to Regulation E, imposed by this rule wi</w:t>
      </w:r>
      <w:r w:rsidR="00D767DC">
        <w:rPr>
          <w:rFonts w:ascii="Times New Roman" w:hAnsi="Times New Roman"/>
          <w:sz w:val="24"/>
          <w:szCs w:val="24"/>
        </w:rPr>
        <w:t xml:space="preserve">ll </w:t>
      </w:r>
      <w:r w:rsidR="00064897">
        <w:rPr>
          <w:rFonts w:ascii="Times New Roman" w:hAnsi="Times New Roman"/>
          <w:sz w:val="24"/>
          <w:szCs w:val="24"/>
        </w:rPr>
        <w:t>result in</w:t>
      </w:r>
      <w:r w:rsidR="00D767DC">
        <w:rPr>
          <w:rFonts w:ascii="Times New Roman" w:hAnsi="Times New Roman"/>
          <w:sz w:val="24"/>
          <w:szCs w:val="24"/>
        </w:rPr>
        <w:t xml:space="preserve"> </w:t>
      </w:r>
      <w:r w:rsidR="00186B11">
        <w:rPr>
          <w:rFonts w:ascii="Times New Roman" w:hAnsi="Times New Roman"/>
          <w:sz w:val="24"/>
          <w:szCs w:val="24"/>
        </w:rPr>
        <w:t>76,347</w:t>
      </w:r>
      <w:r w:rsidR="00D767DC">
        <w:rPr>
          <w:rFonts w:ascii="Times New Roman" w:hAnsi="Times New Roman"/>
          <w:sz w:val="24"/>
          <w:szCs w:val="24"/>
        </w:rPr>
        <w:t xml:space="preserve"> hours of one-</w:t>
      </w:r>
      <w:r w:rsidR="009D24E7">
        <w:rPr>
          <w:rFonts w:ascii="Times New Roman" w:hAnsi="Times New Roman"/>
          <w:sz w:val="24"/>
          <w:szCs w:val="24"/>
        </w:rPr>
        <w:t>time and ongoing burden.  However, the Bureau is also remov</w:t>
      </w:r>
      <w:r w:rsidR="00D767DC">
        <w:rPr>
          <w:rFonts w:ascii="Times New Roman" w:hAnsi="Times New Roman"/>
          <w:sz w:val="24"/>
          <w:szCs w:val="24"/>
        </w:rPr>
        <w:t>ing</w:t>
      </w:r>
      <w:r w:rsidR="009D24E7">
        <w:rPr>
          <w:rFonts w:ascii="Times New Roman" w:hAnsi="Times New Roman"/>
          <w:sz w:val="24"/>
          <w:szCs w:val="24"/>
        </w:rPr>
        <w:t xml:space="preserve"> 652,817 hours in one time burden imposed by previous rule changes that the Bureau estimates have now been fully absorbed by the affected entities.  Therefore </w:t>
      </w:r>
      <w:r w:rsidR="00064897">
        <w:rPr>
          <w:rFonts w:ascii="Times New Roman" w:hAnsi="Times New Roman"/>
          <w:sz w:val="24"/>
          <w:szCs w:val="24"/>
        </w:rPr>
        <w:t>the</w:t>
      </w:r>
      <w:r w:rsidR="00D767DC">
        <w:rPr>
          <w:rFonts w:ascii="Times New Roman" w:hAnsi="Times New Roman"/>
          <w:sz w:val="24"/>
          <w:szCs w:val="24"/>
        </w:rPr>
        <w:t xml:space="preserve"> </w:t>
      </w:r>
      <w:r w:rsidRPr="00BF04B4">
        <w:rPr>
          <w:rFonts w:ascii="Times New Roman" w:hAnsi="Times New Roman"/>
          <w:sz w:val="24"/>
          <w:szCs w:val="24"/>
        </w:rPr>
        <w:t xml:space="preserve">Bureau is requesting </w:t>
      </w:r>
      <w:r w:rsidR="00D767DC">
        <w:rPr>
          <w:rFonts w:ascii="Times New Roman" w:hAnsi="Times New Roman"/>
          <w:sz w:val="24"/>
          <w:szCs w:val="24"/>
        </w:rPr>
        <w:t>a net burden reduction of 569,267 hours</w:t>
      </w:r>
      <w:r w:rsidR="00064897">
        <w:rPr>
          <w:rFonts w:ascii="Times New Roman" w:hAnsi="Times New Roman"/>
          <w:sz w:val="24"/>
          <w:szCs w:val="24"/>
        </w:rPr>
        <w:t>.</w:t>
      </w:r>
      <w:r w:rsidRPr="00BF04B4">
        <w:rPr>
          <w:rFonts w:ascii="Times New Roman" w:hAnsi="Times New Roman"/>
          <w:sz w:val="24"/>
          <w:szCs w:val="24"/>
        </w:rPr>
        <w:t xml:space="preserve">  </w:t>
      </w:r>
    </w:p>
    <w:p w14:paraId="2B41C57C" w14:textId="77777777" w:rsidR="0085065C" w:rsidRPr="00BF04B4" w:rsidRDefault="0085065C" w:rsidP="001977D9">
      <w:pPr>
        <w:pStyle w:val="Default"/>
        <w:keepNext/>
        <w:spacing w:after="240"/>
        <w:rPr>
          <w:b/>
          <w:u w:val="single"/>
        </w:rPr>
      </w:pPr>
      <w:r w:rsidRPr="00BF04B4">
        <w:rPr>
          <w:b/>
        </w:rPr>
        <w:t xml:space="preserve">16. </w:t>
      </w:r>
      <w:r w:rsidRPr="00BF04B4">
        <w:rPr>
          <w:b/>
          <w:u w:val="single"/>
        </w:rPr>
        <w:t>Plans for Tabulation, Statistical Analysis, and Publication</w:t>
      </w:r>
    </w:p>
    <w:p w14:paraId="1E72EB1E" w14:textId="77777777" w:rsidR="0085065C" w:rsidRPr="00BF04B4" w:rsidRDefault="0085065C" w:rsidP="00BF04B4">
      <w:pPr>
        <w:pStyle w:val="Default"/>
        <w:spacing w:after="240"/>
        <w:ind w:firstLine="720"/>
      </w:pPr>
      <w:r w:rsidRPr="00BF04B4">
        <w:t>Not applicable.</w:t>
      </w:r>
    </w:p>
    <w:p w14:paraId="120A06DA" w14:textId="77777777" w:rsidR="0016206D" w:rsidRPr="00BF04B4" w:rsidRDefault="0016206D" w:rsidP="00BF04B4">
      <w:pPr>
        <w:pStyle w:val="Heading2"/>
        <w:spacing w:after="240"/>
      </w:pPr>
      <w:r w:rsidRPr="00BF04B4">
        <w:t>Display of Expiration Date</w:t>
      </w:r>
    </w:p>
    <w:p w14:paraId="5FD81FF1" w14:textId="471C3685" w:rsidR="0016206D" w:rsidRPr="001977D9" w:rsidRDefault="0016206D" w:rsidP="001977D9">
      <w:pPr>
        <w:pStyle w:val="CM12"/>
        <w:spacing w:after="240"/>
        <w:ind w:firstLine="720"/>
        <w:jc w:val="both"/>
      </w:pPr>
      <w:r w:rsidRPr="00BF04B4">
        <w:t xml:space="preserve">The OMB number will be displayed in the PRA section of the notice of final rulemaking and in the codified version of the Code of Federal Regulations. Further, the OMB control number and expiration date will be displayed on OMB’s public PRA docket at </w:t>
      </w:r>
      <w:hyperlink r:id="rId9" w:history="1">
        <w:r w:rsidRPr="00BF04B4">
          <w:rPr>
            <w:rStyle w:val="Hyperlink"/>
          </w:rPr>
          <w:t>www.reginfo.gov</w:t>
        </w:r>
      </w:hyperlink>
      <w:r w:rsidRPr="00BF04B4">
        <w:t xml:space="preserve">. </w:t>
      </w:r>
    </w:p>
    <w:p w14:paraId="014E53B8" w14:textId="77777777" w:rsidR="0016206D" w:rsidRPr="00BF04B4" w:rsidRDefault="0016206D" w:rsidP="00BF04B4">
      <w:pPr>
        <w:pStyle w:val="Heading2"/>
        <w:spacing w:after="240"/>
      </w:pPr>
      <w:r w:rsidRPr="00BF04B4">
        <w:t>Exceptions to the Certification Requirement</w:t>
      </w:r>
    </w:p>
    <w:p w14:paraId="3AF0086F" w14:textId="409F41A1" w:rsidR="0016206D" w:rsidRPr="00BF04B4" w:rsidRDefault="0016206D" w:rsidP="001977D9">
      <w:pPr>
        <w:pStyle w:val="CM11"/>
        <w:spacing w:after="240"/>
        <w:ind w:firstLine="720"/>
        <w:jc w:val="both"/>
      </w:pPr>
      <w:r w:rsidRPr="00BF04B4">
        <w:t>The Bureau certifies that this collection of information is consistent with the requirements of 5 CFR 1320.9, and the related provisions of 5 CFR 1320.8(b)(3) and is not seeking an exemption to these certification requirements.</w:t>
      </w:r>
    </w:p>
    <w:p w14:paraId="210C46D4" w14:textId="77777777" w:rsidR="006C7340" w:rsidRDefault="006C7340" w:rsidP="00BF04B4">
      <w:pPr>
        <w:pStyle w:val="Default"/>
        <w:spacing w:after="240"/>
        <w:rPr>
          <w:b/>
          <w:u w:val="single"/>
        </w:rPr>
      </w:pPr>
    </w:p>
    <w:p w14:paraId="4B45CD3F" w14:textId="77777777" w:rsidR="0085065C" w:rsidRPr="00BF04B4" w:rsidRDefault="0085065C" w:rsidP="00BF04B4">
      <w:pPr>
        <w:pStyle w:val="Default"/>
        <w:spacing w:after="240"/>
        <w:rPr>
          <w:b/>
          <w:u w:val="single"/>
        </w:rPr>
      </w:pPr>
      <w:r w:rsidRPr="00BF04B4">
        <w:rPr>
          <w:b/>
          <w:u w:val="single"/>
        </w:rPr>
        <w:t>B. COLLECTIONS OF INFORMATION EMPLOYING STATISTICAL METHODS</w:t>
      </w:r>
    </w:p>
    <w:p w14:paraId="418ECECE" w14:textId="7D7C7CBD" w:rsidR="00554730" w:rsidRPr="00BF04B4" w:rsidRDefault="0085065C" w:rsidP="001977D9">
      <w:pPr>
        <w:pStyle w:val="Default"/>
        <w:spacing w:after="240"/>
        <w:ind w:firstLine="720"/>
      </w:pPr>
      <w:r w:rsidRPr="00BF04B4">
        <w:t>Not applicable.</w:t>
      </w:r>
      <w:r w:rsidR="0034246D">
        <w:t xml:space="preserve"> This collection does not employ statistical methods or produce generalizable results from its data collections</w:t>
      </w:r>
    </w:p>
    <w:sectPr w:rsidR="00554730" w:rsidRPr="00BF04B4" w:rsidSect="006A119A">
      <w:footerReference w:type="default" r:id="rId10"/>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DEC54" w14:textId="77777777" w:rsidR="004D7BE1" w:rsidRPr="00732A75" w:rsidRDefault="004D7BE1" w:rsidP="00732A75">
      <w:pPr>
        <w:pStyle w:val="CM12"/>
        <w:rPr>
          <w:rFonts w:ascii="Calibri" w:hAnsi="Calibri"/>
          <w:sz w:val="22"/>
          <w:szCs w:val="22"/>
        </w:rPr>
      </w:pPr>
      <w:r>
        <w:separator/>
      </w:r>
    </w:p>
  </w:endnote>
  <w:endnote w:type="continuationSeparator" w:id="0">
    <w:p w14:paraId="1E5AD008" w14:textId="77777777" w:rsidR="004D7BE1" w:rsidRPr="00732A75" w:rsidRDefault="004D7BE1" w:rsidP="00732A75">
      <w:pPr>
        <w:pStyle w:val="CM12"/>
        <w:rPr>
          <w:rFonts w:ascii="Calibri" w:hAnsi="Calibri"/>
          <w:sz w:val="22"/>
          <w:szCs w:val="22"/>
        </w:rPr>
      </w:pPr>
      <w:r>
        <w:continuationSeparator/>
      </w:r>
    </w:p>
  </w:endnote>
  <w:endnote w:type="continuationNotice" w:id="1">
    <w:p w14:paraId="10126050" w14:textId="77777777" w:rsidR="004D7BE1" w:rsidRDefault="004D7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CC03" w14:textId="6394B19C" w:rsidR="00C1013E" w:rsidRPr="001977D9" w:rsidRDefault="00C1013E" w:rsidP="001977D9">
    <w:pPr>
      <w:pStyle w:val="Footer"/>
      <w:jc w:val="center"/>
      <w:rPr>
        <w:rFonts w:ascii="Times New Roman" w:hAnsi="Times New Roman"/>
      </w:rPr>
    </w:pPr>
    <w:r w:rsidRPr="00305871">
      <w:rPr>
        <w:rFonts w:ascii="Times New Roman" w:hAnsi="Times New Roman"/>
      </w:rPr>
      <w:fldChar w:fldCharType="begin"/>
    </w:r>
    <w:r w:rsidRPr="00305871">
      <w:rPr>
        <w:rFonts w:ascii="Times New Roman" w:hAnsi="Times New Roman"/>
      </w:rPr>
      <w:instrText xml:space="preserve"> PAGE   \* MERGEFORMAT </w:instrText>
    </w:r>
    <w:r w:rsidRPr="00305871">
      <w:rPr>
        <w:rFonts w:ascii="Times New Roman" w:hAnsi="Times New Roman"/>
      </w:rPr>
      <w:fldChar w:fldCharType="separate"/>
    </w:r>
    <w:r w:rsidR="008E6752">
      <w:rPr>
        <w:rFonts w:ascii="Times New Roman" w:hAnsi="Times New Roman"/>
        <w:noProof/>
      </w:rPr>
      <w:t>2</w:t>
    </w:r>
    <w:r w:rsidRPr="00305871">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1EE8D" w14:textId="77777777" w:rsidR="004D7BE1" w:rsidRPr="00732A75" w:rsidRDefault="004D7BE1" w:rsidP="00732A75">
      <w:pPr>
        <w:pStyle w:val="CM12"/>
        <w:rPr>
          <w:rFonts w:ascii="Calibri" w:hAnsi="Calibri"/>
          <w:sz w:val="22"/>
          <w:szCs w:val="22"/>
        </w:rPr>
      </w:pPr>
      <w:r>
        <w:separator/>
      </w:r>
    </w:p>
  </w:footnote>
  <w:footnote w:type="continuationSeparator" w:id="0">
    <w:p w14:paraId="451D3E47" w14:textId="77777777" w:rsidR="004D7BE1" w:rsidRPr="00732A75" w:rsidRDefault="004D7BE1" w:rsidP="00732A75">
      <w:pPr>
        <w:pStyle w:val="CM12"/>
        <w:rPr>
          <w:rFonts w:ascii="Calibri" w:hAnsi="Calibri"/>
          <w:sz w:val="22"/>
          <w:szCs w:val="22"/>
        </w:rPr>
      </w:pPr>
      <w:r>
        <w:continuationSeparator/>
      </w:r>
    </w:p>
  </w:footnote>
  <w:footnote w:type="continuationNotice" w:id="1">
    <w:p w14:paraId="0AFFFAA6" w14:textId="77777777" w:rsidR="004D7BE1" w:rsidRDefault="004D7BE1">
      <w:pPr>
        <w:spacing w:after="0" w:line="240" w:lineRule="auto"/>
      </w:pPr>
    </w:p>
  </w:footnote>
  <w:footnote w:id="2">
    <w:p w14:paraId="73522DF2" w14:textId="77777777" w:rsidR="00C1013E" w:rsidRPr="00B40FC5" w:rsidRDefault="00C1013E" w:rsidP="008963F0">
      <w:pPr>
        <w:pStyle w:val="FootnoteText"/>
        <w:rPr>
          <w:lang w:val="en-US"/>
        </w:rPr>
      </w:pPr>
      <w:r>
        <w:rPr>
          <w:rStyle w:val="FootnoteReference"/>
        </w:rPr>
        <w:footnoteRef/>
      </w:r>
      <w:r>
        <w:t xml:space="preserve"> </w:t>
      </w:r>
      <w:r w:rsidRPr="00B40FC5">
        <w:t>The Bureau is publishing a supporting statement concurrently with this supporting statement that focuses on the final rule’s new Regulation Z requirements.  This supporting statement is focused on EFTA and the Regulation E requirements.</w:t>
      </w:r>
    </w:p>
  </w:footnote>
  <w:footnote w:id="3">
    <w:p w14:paraId="1EA0895B" w14:textId="6BAF6613" w:rsidR="00C1013E" w:rsidRPr="00986F2F" w:rsidRDefault="00C1013E" w:rsidP="001977D9">
      <w:pPr>
        <w:pStyle w:val="FootnoteText"/>
        <w:spacing w:after="120"/>
      </w:pPr>
      <w:r>
        <w:rPr>
          <w:rStyle w:val="FootnoteReference"/>
        </w:rPr>
        <w:footnoteRef/>
      </w:r>
      <w:r>
        <w:t xml:space="preserve"> This number includes (1) the 1,904,000 hours that the Bureau obtained from other Federal agencies as part of its “restatement of Regulation E”; (2) the 1,468,000 hours of ongoing burden estimated for the Final Rule; (3) the reduction of </w:t>
      </w:r>
      <w:r w:rsidRPr="003513A7">
        <w:t>10,494</w:t>
      </w:r>
      <w:r>
        <w:t xml:space="preserve"> hours in on-going burden from the 2013 Final Rule; and (</w:t>
      </w:r>
      <w:r>
        <w:rPr>
          <w:lang w:val="en-US"/>
        </w:rPr>
        <w:t>4</w:t>
      </w:r>
      <w:r>
        <w:t xml:space="preserve">) the </w:t>
      </w:r>
      <w:r>
        <w:rPr>
          <w:lang w:val="en-US"/>
        </w:rPr>
        <w:t>76,343</w:t>
      </w:r>
      <w:r>
        <w:t xml:space="preserve"> hours of one-time burden and </w:t>
      </w:r>
      <w:r>
        <w:rPr>
          <w:lang w:val="en-US"/>
        </w:rPr>
        <w:t>7,207</w:t>
      </w:r>
      <w:r>
        <w:t xml:space="preserve"> hours of ongoing burden estimated for the </w:t>
      </w:r>
      <w:r>
        <w:rPr>
          <w:lang w:val="en-US"/>
        </w:rPr>
        <w:t>Final</w:t>
      </w:r>
      <w:r>
        <w:t xml:space="preserve"> Rule for Prepaid Accounts.</w:t>
      </w:r>
    </w:p>
  </w:footnote>
  <w:footnote w:id="4">
    <w:p w14:paraId="0FC23DB4" w14:textId="77777777" w:rsidR="00C1013E" w:rsidRPr="006D05C4" w:rsidRDefault="00C1013E" w:rsidP="001977D9">
      <w:pPr>
        <w:pStyle w:val="FootnoteText"/>
        <w:spacing w:after="120"/>
        <w:rPr>
          <w:lang w:val="en-US"/>
        </w:rPr>
      </w:pPr>
      <w:r>
        <w:rPr>
          <w:rStyle w:val="FootnoteReference"/>
        </w:rPr>
        <w:footnoteRef/>
      </w:r>
      <w:r>
        <w:t xml:space="preserve"> </w:t>
      </w:r>
      <w:r w:rsidRPr="006D05C4">
        <w:t>Individual entries may not sum to total due to rounding</w:t>
      </w:r>
      <w:r>
        <w:rPr>
          <w:lang w:val="en-US"/>
        </w:rPr>
        <w:t>.</w:t>
      </w:r>
    </w:p>
  </w:footnote>
  <w:footnote w:id="5">
    <w:p w14:paraId="29C5ED78" w14:textId="5A084C0E" w:rsidR="00C1013E" w:rsidRPr="00986F2F" w:rsidRDefault="00C1013E" w:rsidP="001977D9">
      <w:pPr>
        <w:pStyle w:val="FootnoteText"/>
        <w:spacing w:after="120"/>
        <w:rPr>
          <w:lang w:val="en-US"/>
        </w:rPr>
      </w:pPr>
      <w:r w:rsidRPr="00CE29DF">
        <w:rPr>
          <w:rStyle w:val="FootnoteReference"/>
        </w:rPr>
        <w:footnoteRef/>
      </w:r>
      <w:r w:rsidRPr="00CE29DF">
        <w:t xml:space="preserve"> </w:t>
      </w:r>
      <w:r>
        <w:rPr>
          <w:lang w:val="en-US"/>
        </w:rPr>
        <w:t>In applying for its initial approval from OMB for this control number under an emergency clearance, t</w:t>
      </w:r>
      <w:r w:rsidRPr="00CE29DF">
        <w:t xml:space="preserve">he CFPB relied on the estimates previously developed by the Board, OCC, OTS, FDIC, NCUA, and FTC concerning the number of entities subject to Regulation E and the hours of paperwork burden under the statute (for a detailed breakdown of the burden estimates of the prudential regulators and the FTC, please reference the other agencies’ supporting statements for Regulation E, which can be found at www.reginfo.gov).  The CFPB’s enforcement authority is not necessarily limited to the entities covered by these agencies’ estimates.  In some instances, information regarding actual burden hours or dollar costs, or breakdowns of these hours or costs was not available from the other agencies.  In </w:t>
      </w:r>
      <w:r>
        <w:rPr>
          <w:lang w:val="en-US"/>
        </w:rPr>
        <w:t>those</w:t>
      </w:r>
      <w:r w:rsidRPr="00CE29DF">
        <w:t xml:space="preserve"> cases, CFPB estimated the relevant figures based on data provided by the OCC and in some cases by the Board.  </w:t>
      </w:r>
      <w:r>
        <w:rPr>
          <w:lang w:val="en-US"/>
        </w:rPr>
        <w:t xml:space="preserve"> </w:t>
      </w:r>
    </w:p>
  </w:footnote>
  <w:footnote w:id="6">
    <w:p w14:paraId="2933EE96" w14:textId="77777777" w:rsidR="00C1013E" w:rsidRPr="00B00A08" w:rsidRDefault="00C1013E" w:rsidP="001977D9">
      <w:pPr>
        <w:pStyle w:val="FootnoteText"/>
        <w:spacing w:after="120"/>
      </w:pPr>
      <w:r w:rsidRPr="008A05D0">
        <w:rPr>
          <w:rStyle w:val="FootnoteReference"/>
        </w:rPr>
        <w:footnoteRef/>
      </w:r>
      <w:r w:rsidRPr="00727F5E">
        <w:t xml:space="preserve">The Dodd-Frank Act exempts certain motor vehicle dealers from CFPB’s enforcement authority.  </w:t>
      </w:r>
      <w:r w:rsidRPr="00455FBA">
        <w:t>However, due to the difficulty of making a reliable estimate of those dealers, the FTC has attributed to itself the PRA burden for all motor vehicle dealers.  This attribution does not change actual enforcement authority.</w:t>
      </w:r>
    </w:p>
  </w:footnote>
  <w:footnote w:id="7">
    <w:p w14:paraId="62E1CAB7" w14:textId="47FA8660" w:rsidR="00C1013E" w:rsidRPr="00D9344E" w:rsidRDefault="00C1013E">
      <w:pPr>
        <w:pStyle w:val="FootnoteText"/>
        <w:rPr>
          <w:lang w:val="en-US"/>
        </w:rPr>
      </w:pPr>
      <w:r>
        <w:rPr>
          <w:rStyle w:val="FootnoteReference"/>
        </w:rPr>
        <w:footnoteRef/>
      </w:r>
      <w:r>
        <w:t xml:space="preserve"> </w:t>
      </w:r>
      <w:r>
        <w:rPr>
          <w:lang w:val="en-US"/>
        </w:rPr>
        <w:t xml:space="preserve">Note this chart is a subset of the burden chart above, not additional burden </w:t>
      </w:r>
    </w:p>
  </w:footnote>
  <w:footnote w:id="8">
    <w:p w14:paraId="125E3E19" w14:textId="77777777" w:rsidR="00C1013E" w:rsidRPr="00702DC5" w:rsidRDefault="00C1013E" w:rsidP="00AB2521">
      <w:pPr>
        <w:pStyle w:val="FootnoteText"/>
        <w:rPr>
          <w:lang w:val="en-US"/>
        </w:rPr>
      </w:pPr>
      <w:r>
        <w:rPr>
          <w:rStyle w:val="FootnoteReference"/>
        </w:rPr>
        <w:footnoteRef/>
      </w:r>
      <w:r>
        <w:t xml:space="preserve"> </w:t>
      </w:r>
      <w:r>
        <w:rPr>
          <w:lang w:val="en-US"/>
        </w:rPr>
        <w:t xml:space="preserve">The discrepancy of 4 hours from the total of  76,343 comes from rounding differences due to the number of significant figures used in each calculation </w:t>
      </w:r>
    </w:p>
  </w:footnote>
  <w:footnote w:id="9">
    <w:p w14:paraId="4F3B67D8" w14:textId="0C9173F4" w:rsidR="00C1013E" w:rsidRDefault="00C1013E" w:rsidP="001977D9">
      <w:pPr>
        <w:pStyle w:val="FootnoteText"/>
        <w:spacing w:after="120"/>
      </w:pPr>
      <w:r>
        <w:rPr>
          <w:rStyle w:val="FootnoteReference"/>
        </w:rPr>
        <w:footnoteRef/>
      </w:r>
      <w:r>
        <w:t xml:space="preserve"> The Bureau recognizes some uncertainty regarding the rate at which the one-time burden on a program manager increases with the number of programs as well as uncertainty regarding the average number of programs per program manager. </w:t>
      </w:r>
    </w:p>
  </w:footnote>
  <w:footnote w:id="10">
    <w:p w14:paraId="1CEC03B3" w14:textId="319AFA76" w:rsidR="00C1013E" w:rsidRDefault="00C1013E" w:rsidP="001977D9">
      <w:pPr>
        <w:pStyle w:val="FootnoteText"/>
        <w:spacing w:after="120"/>
      </w:pPr>
      <w:r>
        <w:rPr>
          <w:rStyle w:val="FootnoteReference"/>
        </w:rPr>
        <w:footnoteRef/>
      </w:r>
      <w:r>
        <w:t xml:space="preserve"> </w:t>
      </w:r>
      <w:r>
        <w:rPr>
          <w:lang w:val="en-US"/>
        </w:rPr>
        <w:t>Final</w:t>
      </w:r>
      <w:r>
        <w:t xml:space="preserve"> § 1005.18(b)(</w:t>
      </w:r>
      <w:r>
        <w:rPr>
          <w:lang w:val="en-US"/>
        </w:rPr>
        <w:t>4</w:t>
      </w:r>
      <w:r>
        <w:t>)(</w:t>
      </w:r>
      <w:r>
        <w:rPr>
          <w:lang w:val="en-US"/>
        </w:rPr>
        <w:t>v</w:t>
      </w:r>
      <w:r>
        <w:t>ii) require</w:t>
      </w:r>
      <w:r>
        <w:rPr>
          <w:lang w:val="en-US"/>
        </w:rPr>
        <w:t>s</w:t>
      </w:r>
      <w:r>
        <w:t xml:space="preserve"> that the long form </w:t>
      </w:r>
      <w:r w:rsidRPr="00AE0423">
        <w:t xml:space="preserve">disclosure include the disclosures </w:t>
      </w:r>
      <w:r>
        <w:t xml:space="preserve">described in </w:t>
      </w:r>
      <w:r>
        <w:rPr>
          <w:lang w:val="en-US"/>
        </w:rPr>
        <w:t xml:space="preserve">Regulation Z </w:t>
      </w:r>
      <w:r w:rsidRPr="008B5062">
        <w:t>§</w:t>
      </w:r>
      <w:r>
        <w:rPr>
          <w:lang w:val="en-US"/>
        </w:rPr>
        <w:t> </w:t>
      </w:r>
      <w:r w:rsidRPr="008B5062">
        <w:t>1026.60</w:t>
      </w:r>
      <w:r>
        <w:rPr>
          <w:lang w:val="en-US"/>
        </w:rPr>
        <w:t xml:space="preserve">(e)(1) </w:t>
      </w:r>
      <w:r w:rsidRPr="00650618">
        <w:t>or (2)(ii)</w:t>
      </w:r>
      <w:r>
        <w:t xml:space="preserve">, regarding credit card applications and solicitations, if at any point a </w:t>
      </w:r>
      <w:r>
        <w:rPr>
          <w:lang w:val="en-US"/>
        </w:rPr>
        <w:t xml:space="preserve">covered separate credit feature accessible by a hybrid prepaid credit card as defined in Regulation Z </w:t>
      </w:r>
      <w:r w:rsidRPr="008B5062">
        <w:t>§</w:t>
      </w:r>
      <w:r>
        <w:rPr>
          <w:lang w:val="en-US"/>
        </w:rPr>
        <w:t> </w:t>
      </w:r>
      <w:r w:rsidRPr="008B5062">
        <w:t>1026.</w:t>
      </w:r>
      <w:r>
        <w:rPr>
          <w:lang w:val="en-US"/>
        </w:rPr>
        <w:t>61</w:t>
      </w:r>
      <w:r>
        <w:t xml:space="preserve"> may be offered in connection with the prepaid account.  This burden </w:t>
      </w:r>
      <w:r>
        <w:rPr>
          <w:lang w:val="en-US"/>
        </w:rPr>
        <w:t>will</w:t>
      </w:r>
      <w:r>
        <w:t xml:space="preserve"> be minimal give</w:t>
      </w:r>
      <w:r>
        <w:rPr>
          <w:lang w:val="en-US"/>
        </w:rPr>
        <w:t>n</w:t>
      </w:r>
      <w:r>
        <w:t xml:space="preserve"> the Bureau’s burden estimation methodology for Regulation Z, as explained </w:t>
      </w:r>
      <w:r>
        <w:rPr>
          <w:lang w:val="en-US"/>
        </w:rPr>
        <w:t>in the Prepaid Account Final Rule</w:t>
      </w:r>
      <w:r>
        <w:t xml:space="preserve">.  Under </w:t>
      </w:r>
      <w:r>
        <w:rPr>
          <w:lang w:val="en-US"/>
        </w:rPr>
        <w:t>final</w:t>
      </w:r>
      <w:r>
        <w:t xml:space="preserve"> </w:t>
      </w:r>
      <w:r w:rsidRPr="00E51D7D">
        <w:t>§ 1005.18(b)(</w:t>
      </w:r>
      <w:r>
        <w:rPr>
          <w:lang w:val="en-US"/>
        </w:rPr>
        <w:t>9</w:t>
      </w:r>
      <w:r>
        <w:t xml:space="preserve">), </w:t>
      </w:r>
      <w:r>
        <w:rPr>
          <w:lang w:val="en-US"/>
        </w:rPr>
        <w:t xml:space="preserve">in certain circumstances, </w:t>
      </w:r>
      <w:r>
        <w:t xml:space="preserve"> a </w:t>
      </w:r>
      <w:r>
        <w:rPr>
          <w:lang w:val="en-US"/>
        </w:rPr>
        <w:t>financial institution</w:t>
      </w:r>
      <w:r>
        <w:t xml:space="preserve"> </w:t>
      </w:r>
      <w:r>
        <w:rPr>
          <w:lang w:val="en-US"/>
        </w:rPr>
        <w:t xml:space="preserve">that </w:t>
      </w:r>
      <w:r>
        <w:t xml:space="preserve">principally uses a foreign language </w:t>
      </w:r>
      <w:r>
        <w:rPr>
          <w:lang w:val="en-US"/>
        </w:rPr>
        <w:t>must provide</w:t>
      </w:r>
      <w:r>
        <w:t xml:space="preserve"> both the short form and long form </w:t>
      </w:r>
      <w:r w:rsidRPr="00BC7287">
        <w:t xml:space="preserve">disclosures in that foreign language.  </w:t>
      </w:r>
      <w:r w:rsidRPr="00650618">
        <w:t>The Bureau believes that current industry practice regarding pre-acquisition disclosures in foreign languages is generally co</w:t>
      </w:r>
      <w:r>
        <w:t>nsistent with this requirement.</w:t>
      </w:r>
      <w:r w:rsidRPr="00BC7287">
        <w:t xml:space="preserve">  The long</w:t>
      </w:r>
      <w:r>
        <w:t xml:space="preserve"> </w:t>
      </w:r>
      <w:r w:rsidRPr="00BC7287">
        <w:t xml:space="preserve">form </w:t>
      </w:r>
      <w:r>
        <w:t xml:space="preserve">disclosure </w:t>
      </w:r>
      <w:r>
        <w:rPr>
          <w:lang w:val="en-US"/>
        </w:rPr>
        <w:t>must</w:t>
      </w:r>
      <w:r w:rsidRPr="00BC7287">
        <w:t xml:space="preserve"> also be provided in English</w:t>
      </w:r>
      <w:r>
        <w:rPr>
          <w:lang w:val="en-US"/>
        </w:rPr>
        <w:t xml:space="preserve"> upon the consumer’s request</w:t>
      </w:r>
      <w:r w:rsidRPr="00BC7287">
        <w:t xml:space="preserve">, but this </w:t>
      </w:r>
      <w:r>
        <w:rPr>
          <w:lang w:val="en-US"/>
        </w:rPr>
        <w:t>will</w:t>
      </w:r>
      <w:r w:rsidRPr="00BC7287">
        <w:t xml:space="preserve"> be a minimal one-time and ongoing expense.</w:t>
      </w:r>
    </w:p>
  </w:footnote>
  <w:footnote w:id="11">
    <w:p w14:paraId="51215E60" w14:textId="75FB9D95" w:rsidR="00C1013E" w:rsidRPr="00850617" w:rsidRDefault="00C1013E" w:rsidP="00556F2F">
      <w:pPr>
        <w:pStyle w:val="FootnoteText"/>
        <w:spacing w:before="120"/>
        <w:rPr>
          <w:i/>
          <w:lang w:val="en-US"/>
        </w:rPr>
      </w:pPr>
      <w:r>
        <w:rPr>
          <w:rStyle w:val="FootnoteReference"/>
        </w:rPr>
        <w:footnoteRef/>
      </w:r>
      <w:r>
        <w:t xml:space="preserve"> </w:t>
      </w:r>
      <w:r>
        <w:rPr>
          <w:lang w:val="en-US"/>
        </w:rPr>
        <w:t xml:space="preserve">Consumer Financial Protection Bureau, </w:t>
      </w:r>
      <w:r>
        <w:rPr>
          <w:i/>
          <w:lang w:val="en-US"/>
        </w:rPr>
        <w:t>Study of Prepaid Account Agreements</w:t>
      </w:r>
      <w:r>
        <w:rPr>
          <w:lang w:val="en-US"/>
        </w:rPr>
        <w:t xml:space="preserve"> (Nov. 2014), </w:t>
      </w:r>
      <w:r>
        <w:rPr>
          <w:i/>
          <w:lang w:val="en-US"/>
        </w:rPr>
        <w:t xml:space="preserve">available at </w:t>
      </w:r>
      <w:hyperlink r:id="rId1" w:history="1">
        <w:r w:rsidRPr="00850617">
          <w:rPr>
            <w:rStyle w:val="Hyperlink"/>
            <w:lang w:val="en-US"/>
          </w:rPr>
          <w:t>http://files.consumerfinance.gov/f/201411_cfpb_study-of-prepaid-account-agreements.pdf</w:t>
        </w:r>
      </w:hyperlink>
      <w:r>
        <w:rPr>
          <w:lang w:val="en-US"/>
        </w:rPr>
        <w:t xml:space="preserve"> (Bureau’s Study of Prepaid Account Agreements)</w:t>
      </w:r>
      <w:r>
        <w:rPr>
          <w:i/>
          <w:lang w:val="en-US"/>
        </w:rPr>
        <w:t>.</w:t>
      </w:r>
    </w:p>
  </w:footnote>
  <w:footnote w:id="12">
    <w:p w14:paraId="25569D81" w14:textId="1CB0622E" w:rsidR="00C1013E" w:rsidRPr="002823EE" w:rsidRDefault="00C1013E" w:rsidP="00556F2F">
      <w:pPr>
        <w:pStyle w:val="FootnoteText"/>
        <w:spacing w:before="120" w:after="120"/>
        <w:rPr>
          <w:lang w:val="en-US"/>
        </w:rPr>
      </w:pPr>
      <w:r>
        <w:rPr>
          <w:rStyle w:val="FootnoteReference"/>
        </w:rPr>
        <w:footnoteRef/>
      </w:r>
      <w:r>
        <w:t xml:space="preserve"> The </w:t>
      </w:r>
      <w:r>
        <w:rPr>
          <w:lang w:val="en-US"/>
        </w:rPr>
        <w:t>Prepaid Amendments Final Rule</w:t>
      </w:r>
      <w:r>
        <w:t xml:space="preserve"> </w:t>
      </w:r>
      <w:r>
        <w:rPr>
          <w:lang w:val="en-US"/>
        </w:rPr>
        <w:t>finalized</w:t>
      </w:r>
      <w:r>
        <w:t xml:space="preserve"> an exception from the </w:t>
      </w:r>
      <w:r>
        <w:rPr>
          <w:lang w:val="en-US"/>
        </w:rPr>
        <w:t xml:space="preserve">limited liability and error resolution provisions of Regulation E </w:t>
      </w:r>
      <w:r>
        <w:t xml:space="preserve">for prepaid accounts (other than payroll card accounts and government benefit accounts) for which the financial institution has not </w:t>
      </w:r>
      <w:r>
        <w:rPr>
          <w:lang w:val="en-US"/>
        </w:rPr>
        <w:t xml:space="preserve">successfully </w:t>
      </w:r>
      <w:r>
        <w:t>completed its collection of consumer identifying information and identity verification</w:t>
      </w:r>
      <w:r>
        <w:rPr>
          <w:lang w:val="en-US"/>
        </w:rPr>
        <w:t xml:space="preserve"> process with respect to that prepaid account.  </w:t>
      </w:r>
      <w:r w:rsidRPr="00650618">
        <w:t>§ 1005</w:t>
      </w:r>
      <w:r>
        <w:t>.18(e)(3).</w:t>
      </w:r>
    </w:p>
  </w:footnote>
  <w:footnote w:id="13">
    <w:p w14:paraId="4D1A50C1" w14:textId="05ADC217" w:rsidR="00C1013E" w:rsidRPr="00556F2F" w:rsidRDefault="00C1013E">
      <w:pPr>
        <w:pStyle w:val="FootnoteText"/>
        <w:rPr>
          <w:lang w:val="en-US"/>
        </w:rPr>
      </w:pPr>
      <w:r>
        <w:rPr>
          <w:rStyle w:val="FootnoteReference"/>
        </w:rPr>
        <w:footnoteRef/>
      </w:r>
      <w:r>
        <w:t xml:space="preserve"> </w:t>
      </w:r>
      <w:r w:rsidRPr="00556F2F">
        <w:t>In a recent analysis of submissions for the third quarter of 2014, the Bureau found 103 credit card issuers submitted 429 agreements in a single quarter, so just over four per issuer.  80 FR 21153, 21156.  We repeated this analysis using submissions for all of 2014, which is the last year of data available, and found that 210 credit card issuers submitted 1002 agreements, so just under five per issuer.  See http://www.consumerfinance.gov/credit-cards/agreements/.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763A"/>
    <w:multiLevelType w:val="hybridMultilevel"/>
    <w:tmpl w:val="5E8CA722"/>
    <w:lvl w:ilvl="0" w:tplc="4CC213A6">
      <w:start w:val="1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85B8E"/>
    <w:multiLevelType w:val="hybridMultilevel"/>
    <w:tmpl w:val="5C60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1572"/>
    <w:multiLevelType w:val="hybridMultilevel"/>
    <w:tmpl w:val="43C8CE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D861004"/>
    <w:multiLevelType w:val="hybridMultilevel"/>
    <w:tmpl w:val="AD705750"/>
    <w:lvl w:ilvl="0" w:tplc="1298BE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6E06E9"/>
    <w:multiLevelType w:val="hybridMultilevel"/>
    <w:tmpl w:val="9CEC908A"/>
    <w:lvl w:ilvl="0" w:tplc="7514DD9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04F74"/>
    <w:multiLevelType w:val="hybridMultilevel"/>
    <w:tmpl w:val="027A840A"/>
    <w:lvl w:ilvl="0" w:tplc="232EF75A">
      <w:start w:val="17"/>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75"/>
    <w:rsid w:val="0000037C"/>
    <w:rsid w:val="00000DCB"/>
    <w:rsid w:val="00001113"/>
    <w:rsid w:val="000018A9"/>
    <w:rsid w:val="00001990"/>
    <w:rsid w:val="00001EE0"/>
    <w:rsid w:val="00004D60"/>
    <w:rsid w:val="000118CA"/>
    <w:rsid w:val="0001450B"/>
    <w:rsid w:val="000148D0"/>
    <w:rsid w:val="00021CF2"/>
    <w:rsid w:val="0002469B"/>
    <w:rsid w:val="00024B64"/>
    <w:rsid w:val="0002722E"/>
    <w:rsid w:val="00033F88"/>
    <w:rsid w:val="0003736B"/>
    <w:rsid w:val="00042A03"/>
    <w:rsid w:val="00043CD2"/>
    <w:rsid w:val="00045CBE"/>
    <w:rsid w:val="00046571"/>
    <w:rsid w:val="000537ED"/>
    <w:rsid w:val="000570B2"/>
    <w:rsid w:val="000578A9"/>
    <w:rsid w:val="00063982"/>
    <w:rsid w:val="00064897"/>
    <w:rsid w:val="00066A50"/>
    <w:rsid w:val="00074084"/>
    <w:rsid w:val="00074FDB"/>
    <w:rsid w:val="0009028A"/>
    <w:rsid w:val="0009323F"/>
    <w:rsid w:val="000A39BF"/>
    <w:rsid w:val="000A3AA7"/>
    <w:rsid w:val="000B3E1D"/>
    <w:rsid w:val="000B7421"/>
    <w:rsid w:val="000B79A8"/>
    <w:rsid w:val="000B7C6A"/>
    <w:rsid w:val="000C089A"/>
    <w:rsid w:val="000C10E6"/>
    <w:rsid w:val="000C2F26"/>
    <w:rsid w:val="000D215A"/>
    <w:rsid w:val="000D57AF"/>
    <w:rsid w:val="000D71DC"/>
    <w:rsid w:val="000E18B7"/>
    <w:rsid w:val="000E2128"/>
    <w:rsid w:val="000E308C"/>
    <w:rsid w:val="000E3216"/>
    <w:rsid w:val="000E4E36"/>
    <w:rsid w:val="000E4EC5"/>
    <w:rsid w:val="000E759D"/>
    <w:rsid w:val="000F6ABF"/>
    <w:rsid w:val="000F70DB"/>
    <w:rsid w:val="000F70F5"/>
    <w:rsid w:val="00102C5E"/>
    <w:rsid w:val="001039CF"/>
    <w:rsid w:val="00111BE8"/>
    <w:rsid w:val="00113C15"/>
    <w:rsid w:val="00115001"/>
    <w:rsid w:val="001150EC"/>
    <w:rsid w:val="00124B9D"/>
    <w:rsid w:val="0013142D"/>
    <w:rsid w:val="00132590"/>
    <w:rsid w:val="00134039"/>
    <w:rsid w:val="00134407"/>
    <w:rsid w:val="001433A7"/>
    <w:rsid w:val="001442F1"/>
    <w:rsid w:val="00147125"/>
    <w:rsid w:val="0014791B"/>
    <w:rsid w:val="0015447B"/>
    <w:rsid w:val="00155B88"/>
    <w:rsid w:val="0016206D"/>
    <w:rsid w:val="0016235A"/>
    <w:rsid w:val="00164C9A"/>
    <w:rsid w:val="00174004"/>
    <w:rsid w:val="00175892"/>
    <w:rsid w:val="0017757A"/>
    <w:rsid w:val="00177861"/>
    <w:rsid w:val="0018043E"/>
    <w:rsid w:val="00181967"/>
    <w:rsid w:val="001819EB"/>
    <w:rsid w:val="00181C5E"/>
    <w:rsid w:val="00181CD5"/>
    <w:rsid w:val="00181E07"/>
    <w:rsid w:val="00181FA3"/>
    <w:rsid w:val="001832EA"/>
    <w:rsid w:val="00186B11"/>
    <w:rsid w:val="00187139"/>
    <w:rsid w:val="001962FC"/>
    <w:rsid w:val="001967AD"/>
    <w:rsid w:val="001977D9"/>
    <w:rsid w:val="001A1B43"/>
    <w:rsid w:val="001A69FD"/>
    <w:rsid w:val="001B300F"/>
    <w:rsid w:val="001B4039"/>
    <w:rsid w:val="001C1948"/>
    <w:rsid w:val="001C1D10"/>
    <w:rsid w:val="001C23D6"/>
    <w:rsid w:val="001C292F"/>
    <w:rsid w:val="001C7FE9"/>
    <w:rsid w:val="001D0D07"/>
    <w:rsid w:val="001D28F6"/>
    <w:rsid w:val="001D5378"/>
    <w:rsid w:val="001E030C"/>
    <w:rsid w:val="001E08A1"/>
    <w:rsid w:val="001E2D87"/>
    <w:rsid w:val="001E7971"/>
    <w:rsid w:val="001E7B63"/>
    <w:rsid w:val="001F002D"/>
    <w:rsid w:val="001F309F"/>
    <w:rsid w:val="001F53D9"/>
    <w:rsid w:val="00200B4A"/>
    <w:rsid w:val="00200D60"/>
    <w:rsid w:val="00202DC0"/>
    <w:rsid w:val="002032E3"/>
    <w:rsid w:val="00210417"/>
    <w:rsid w:val="00211ACE"/>
    <w:rsid w:val="00216890"/>
    <w:rsid w:val="00216F6E"/>
    <w:rsid w:val="002272F5"/>
    <w:rsid w:val="002300FC"/>
    <w:rsid w:val="002316BC"/>
    <w:rsid w:val="0023275B"/>
    <w:rsid w:val="002333D8"/>
    <w:rsid w:val="00234B44"/>
    <w:rsid w:val="00236A5B"/>
    <w:rsid w:val="00240D54"/>
    <w:rsid w:val="00242B5B"/>
    <w:rsid w:val="00243A87"/>
    <w:rsid w:val="002445DF"/>
    <w:rsid w:val="00246383"/>
    <w:rsid w:val="00253079"/>
    <w:rsid w:val="002539A6"/>
    <w:rsid w:val="00254FAF"/>
    <w:rsid w:val="002610F0"/>
    <w:rsid w:val="002610F9"/>
    <w:rsid w:val="00263D68"/>
    <w:rsid w:val="00264E92"/>
    <w:rsid w:val="0027127E"/>
    <w:rsid w:val="00277729"/>
    <w:rsid w:val="002823EE"/>
    <w:rsid w:val="00282A2E"/>
    <w:rsid w:val="0028528D"/>
    <w:rsid w:val="0029052E"/>
    <w:rsid w:val="00291E67"/>
    <w:rsid w:val="00296C70"/>
    <w:rsid w:val="002A1344"/>
    <w:rsid w:val="002A31E4"/>
    <w:rsid w:val="002A5F75"/>
    <w:rsid w:val="002A7C5A"/>
    <w:rsid w:val="002A7D01"/>
    <w:rsid w:val="002B0476"/>
    <w:rsid w:val="002B0CE9"/>
    <w:rsid w:val="002B15CC"/>
    <w:rsid w:val="002C48CD"/>
    <w:rsid w:val="002D1EC6"/>
    <w:rsid w:val="002D1F6F"/>
    <w:rsid w:val="002D3555"/>
    <w:rsid w:val="002D4BAF"/>
    <w:rsid w:val="002E23A2"/>
    <w:rsid w:val="002E2F65"/>
    <w:rsid w:val="002E5A59"/>
    <w:rsid w:val="002E768D"/>
    <w:rsid w:val="002F2142"/>
    <w:rsid w:val="002F3726"/>
    <w:rsid w:val="002F3BF3"/>
    <w:rsid w:val="002F435A"/>
    <w:rsid w:val="002F6349"/>
    <w:rsid w:val="002F74E6"/>
    <w:rsid w:val="00301071"/>
    <w:rsid w:val="003030D2"/>
    <w:rsid w:val="00303CDF"/>
    <w:rsid w:val="00304FB3"/>
    <w:rsid w:val="00305871"/>
    <w:rsid w:val="00312765"/>
    <w:rsid w:val="00313911"/>
    <w:rsid w:val="00313BF4"/>
    <w:rsid w:val="00313DB7"/>
    <w:rsid w:val="00314336"/>
    <w:rsid w:val="00315E5E"/>
    <w:rsid w:val="003172CF"/>
    <w:rsid w:val="003262C5"/>
    <w:rsid w:val="003336E5"/>
    <w:rsid w:val="00334177"/>
    <w:rsid w:val="003350FA"/>
    <w:rsid w:val="00335E41"/>
    <w:rsid w:val="0034246D"/>
    <w:rsid w:val="003513A7"/>
    <w:rsid w:val="003513A9"/>
    <w:rsid w:val="003516E3"/>
    <w:rsid w:val="00360C22"/>
    <w:rsid w:val="00362A26"/>
    <w:rsid w:val="00363292"/>
    <w:rsid w:val="003659F7"/>
    <w:rsid w:val="003745F0"/>
    <w:rsid w:val="00382F8E"/>
    <w:rsid w:val="003834AF"/>
    <w:rsid w:val="00386304"/>
    <w:rsid w:val="00386B92"/>
    <w:rsid w:val="00390556"/>
    <w:rsid w:val="00391FB1"/>
    <w:rsid w:val="003966EA"/>
    <w:rsid w:val="003977A9"/>
    <w:rsid w:val="003A00C3"/>
    <w:rsid w:val="003A162D"/>
    <w:rsid w:val="003A17B8"/>
    <w:rsid w:val="003A2599"/>
    <w:rsid w:val="003A4D52"/>
    <w:rsid w:val="003A5138"/>
    <w:rsid w:val="003A5307"/>
    <w:rsid w:val="003A7774"/>
    <w:rsid w:val="003B61C3"/>
    <w:rsid w:val="003C2469"/>
    <w:rsid w:val="003C6D79"/>
    <w:rsid w:val="003C76F7"/>
    <w:rsid w:val="003C7A6D"/>
    <w:rsid w:val="003D289D"/>
    <w:rsid w:val="003D329E"/>
    <w:rsid w:val="003D3536"/>
    <w:rsid w:val="003E178E"/>
    <w:rsid w:val="003E48AD"/>
    <w:rsid w:val="003E6528"/>
    <w:rsid w:val="003E7591"/>
    <w:rsid w:val="003F0AE9"/>
    <w:rsid w:val="003F2330"/>
    <w:rsid w:val="003F3234"/>
    <w:rsid w:val="003F5783"/>
    <w:rsid w:val="00404B35"/>
    <w:rsid w:val="00405724"/>
    <w:rsid w:val="00405D55"/>
    <w:rsid w:val="0041058B"/>
    <w:rsid w:val="00412927"/>
    <w:rsid w:val="00413316"/>
    <w:rsid w:val="00413530"/>
    <w:rsid w:val="00414B55"/>
    <w:rsid w:val="00415F89"/>
    <w:rsid w:val="004169BC"/>
    <w:rsid w:val="004203A8"/>
    <w:rsid w:val="00421B3F"/>
    <w:rsid w:val="0042344E"/>
    <w:rsid w:val="00427248"/>
    <w:rsid w:val="00431B28"/>
    <w:rsid w:val="004331A6"/>
    <w:rsid w:val="00435289"/>
    <w:rsid w:val="00437CC5"/>
    <w:rsid w:val="00440A00"/>
    <w:rsid w:val="00441910"/>
    <w:rsid w:val="004419EE"/>
    <w:rsid w:val="00442E76"/>
    <w:rsid w:val="00442F2B"/>
    <w:rsid w:val="00443C79"/>
    <w:rsid w:val="00446972"/>
    <w:rsid w:val="00446DD5"/>
    <w:rsid w:val="0045110B"/>
    <w:rsid w:val="00453535"/>
    <w:rsid w:val="0045552A"/>
    <w:rsid w:val="00456571"/>
    <w:rsid w:val="0045709C"/>
    <w:rsid w:val="00462740"/>
    <w:rsid w:val="0046638F"/>
    <w:rsid w:val="0047162F"/>
    <w:rsid w:val="00471F53"/>
    <w:rsid w:val="004765DE"/>
    <w:rsid w:val="00476A48"/>
    <w:rsid w:val="004900E5"/>
    <w:rsid w:val="004907AE"/>
    <w:rsid w:val="0049147E"/>
    <w:rsid w:val="00491909"/>
    <w:rsid w:val="00491944"/>
    <w:rsid w:val="0049491F"/>
    <w:rsid w:val="004971B6"/>
    <w:rsid w:val="00497590"/>
    <w:rsid w:val="004A0020"/>
    <w:rsid w:val="004A16BE"/>
    <w:rsid w:val="004A3EDB"/>
    <w:rsid w:val="004A42AB"/>
    <w:rsid w:val="004A5E83"/>
    <w:rsid w:val="004A7346"/>
    <w:rsid w:val="004A7E14"/>
    <w:rsid w:val="004B233B"/>
    <w:rsid w:val="004B614D"/>
    <w:rsid w:val="004B76BB"/>
    <w:rsid w:val="004C39B5"/>
    <w:rsid w:val="004C5080"/>
    <w:rsid w:val="004C6152"/>
    <w:rsid w:val="004C6887"/>
    <w:rsid w:val="004D16DE"/>
    <w:rsid w:val="004D4091"/>
    <w:rsid w:val="004D4627"/>
    <w:rsid w:val="004D4845"/>
    <w:rsid w:val="004D5D1A"/>
    <w:rsid w:val="004D7BE1"/>
    <w:rsid w:val="004E0792"/>
    <w:rsid w:val="004E093C"/>
    <w:rsid w:val="004E3046"/>
    <w:rsid w:val="004E4033"/>
    <w:rsid w:val="004E6048"/>
    <w:rsid w:val="004E7DDD"/>
    <w:rsid w:val="004F00DB"/>
    <w:rsid w:val="004F2CDF"/>
    <w:rsid w:val="004F489C"/>
    <w:rsid w:val="004F6A97"/>
    <w:rsid w:val="00500228"/>
    <w:rsid w:val="00500DF1"/>
    <w:rsid w:val="005107CE"/>
    <w:rsid w:val="00511614"/>
    <w:rsid w:val="005122BF"/>
    <w:rsid w:val="00513152"/>
    <w:rsid w:val="0051421A"/>
    <w:rsid w:val="00516EE0"/>
    <w:rsid w:val="0052188E"/>
    <w:rsid w:val="00522512"/>
    <w:rsid w:val="00524430"/>
    <w:rsid w:val="005248A6"/>
    <w:rsid w:val="005255A6"/>
    <w:rsid w:val="00525EDF"/>
    <w:rsid w:val="005274E6"/>
    <w:rsid w:val="00530573"/>
    <w:rsid w:val="00530FD1"/>
    <w:rsid w:val="00532ED9"/>
    <w:rsid w:val="005334AC"/>
    <w:rsid w:val="00533D95"/>
    <w:rsid w:val="00535BBE"/>
    <w:rsid w:val="00535CC5"/>
    <w:rsid w:val="005368CE"/>
    <w:rsid w:val="0053690C"/>
    <w:rsid w:val="00536EB2"/>
    <w:rsid w:val="005404C0"/>
    <w:rsid w:val="00541529"/>
    <w:rsid w:val="00542AA3"/>
    <w:rsid w:val="00544D13"/>
    <w:rsid w:val="00552435"/>
    <w:rsid w:val="005524C0"/>
    <w:rsid w:val="00554705"/>
    <w:rsid w:val="00554730"/>
    <w:rsid w:val="00556F2F"/>
    <w:rsid w:val="0055729F"/>
    <w:rsid w:val="00560B78"/>
    <w:rsid w:val="0056343D"/>
    <w:rsid w:val="00563EEF"/>
    <w:rsid w:val="005646C9"/>
    <w:rsid w:val="005660E6"/>
    <w:rsid w:val="0056741F"/>
    <w:rsid w:val="00567950"/>
    <w:rsid w:val="0057351D"/>
    <w:rsid w:val="00581231"/>
    <w:rsid w:val="00583440"/>
    <w:rsid w:val="00584E4E"/>
    <w:rsid w:val="00585C6B"/>
    <w:rsid w:val="005862BE"/>
    <w:rsid w:val="00594F1E"/>
    <w:rsid w:val="005A5D21"/>
    <w:rsid w:val="005B01B3"/>
    <w:rsid w:val="005B1923"/>
    <w:rsid w:val="005B1A6C"/>
    <w:rsid w:val="005B26D0"/>
    <w:rsid w:val="005B3D1F"/>
    <w:rsid w:val="005B4196"/>
    <w:rsid w:val="005B41E1"/>
    <w:rsid w:val="005B51B3"/>
    <w:rsid w:val="005B6823"/>
    <w:rsid w:val="005C0AA4"/>
    <w:rsid w:val="005C3642"/>
    <w:rsid w:val="005C6E7B"/>
    <w:rsid w:val="005C739C"/>
    <w:rsid w:val="005D1E39"/>
    <w:rsid w:val="005D2B30"/>
    <w:rsid w:val="005D4D0F"/>
    <w:rsid w:val="005E1A98"/>
    <w:rsid w:val="005E3C08"/>
    <w:rsid w:val="005E3CE6"/>
    <w:rsid w:val="005F0CA9"/>
    <w:rsid w:val="005F26B7"/>
    <w:rsid w:val="005F2EC3"/>
    <w:rsid w:val="005F3910"/>
    <w:rsid w:val="005F577B"/>
    <w:rsid w:val="00601982"/>
    <w:rsid w:val="00602C6D"/>
    <w:rsid w:val="00603599"/>
    <w:rsid w:val="00607C02"/>
    <w:rsid w:val="00610326"/>
    <w:rsid w:val="0061140A"/>
    <w:rsid w:val="006124BC"/>
    <w:rsid w:val="00621D01"/>
    <w:rsid w:val="00623A15"/>
    <w:rsid w:val="00626922"/>
    <w:rsid w:val="006319AC"/>
    <w:rsid w:val="00631F94"/>
    <w:rsid w:val="006357B0"/>
    <w:rsid w:val="006374B6"/>
    <w:rsid w:val="006378A4"/>
    <w:rsid w:val="00637CBE"/>
    <w:rsid w:val="00643F8C"/>
    <w:rsid w:val="0064759C"/>
    <w:rsid w:val="006524EB"/>
    <w:rsid w:val="00653788"/>
    <w:rsid w:val="006547CF"/>
    <w:rsid w:val="00660181"/>
    <w:rsid w:val="0066128D"/>
    <w:rsid w:val="00661415"/>
    <w:rsid w:val="0066335D"/>
    <w:rsid w:val="006705C5"/>
    <w:rsid w:val="0067729F"/>
    <w:rsid w:val="00677BDF"/>
    <w:rsid w:val="006810B7"/>
    <w:rsid w:val="00682253"/>
    <w:rsid w:val="0068234D"/>
    <w:rsid w:val="00684412"/>
    <w:rsid w:val="0069106A"/>
    <w:rsid w:val="0069168D"/>
    <w:rsid w:val="00694049"/>
    <w:rsid w:val="00695334"/>
    <w:rsid w:val="0069670D"/>
    <w:rsid w:val="00697704"/>
    <w:rsid w:val="006A119A"/>
    <w:rsid w:val="006A3059"/>
    <w:rsid w:val="006A4E5E"/>
    <w:rsid w:val="006A760F"/>
    <w:rsid w:val="006C17B0"/>
    <w:rsid w:val="006C7340"/>
    <w:rsid w:val="006C747F"/>
    <w:rsid w:val="006D05C4"/>
    <w:rsid w:val="006D29FA"/>
    <w:rsid w:val="006D74BA"/>
    <w:rsid w:val="006E3944"/>
    <w:rsid w:val="006E7DFC"/>
    <w:rsid w:val="006F3706"/>
    <w:rsid w:val="006F76C7"/>
    <w:rsid w:val="006F7809"/>
    <w:rsid w:val="007011D6"/>
    <w:rsid w:val="0070276B"/>
    <w:rsid w:val="00702DC5"/>
    <w:rsid w:val="00703AF1"/>
    <w:rsid w:val="0070610C"/>
    <w:rsid w:val="00710631"/>
    <w:rsid w:val="00710C3E"/>
    <w:rsid w:val="00722A2D"/>
    <w:rsid w:val="00724184"/>
    <w:rsid w:val="007253BD"/>
    <w:rsid w:val="007276B8"/>
    <w:rsid w:val="007310D1"/>
    <w:rsid w:val="00732A75"/>
    <w:rsid w:val="0073369F"/>
    <w:rsid w:val="00734C0B"/>
    <w:rsid w:val="00737E7D"/>
    <w:rsid w:val="0074346F"/>
    <w:rsid w:val="007460E8"/>
    <w:rsid w:val="00752AD1"/>
    <w:rsid w:val="00753ABC"/>
    <w:rsid w:val="00760620"/>
    <w:rsid w:val="0076083F"/>
    <w:rsid w:val="0076415E"/>
    <w:rsid w:val="00764395"/>
    <w:rsid w:val="007645A0"/>
    <w:rsid w:val="00765D80"/>
    <w:rsid w:val="007678AA"/>
    <w:rsid w:val="007714BC"/>
    <w:rsid w:val="00773D6E"/>
    <w:rsid w:val="00777000"/>
    <w:rsid w:val="00781978"/>
    <w:rsid w:val="00782234"/>
    <w:rsid w:val="0079695E"/>
    <w:rsid w:val="00797B13"/>
    <w:rsid w:val="007A2D45"/>
    <w:rsid w:val="007B0849"/>
    <w:rsid w:val="007B1B29"/>
    <w:rsid w:val="007B1EBF"/>
    <w:rsid w:val="007B3E1B"/>
    <w:rsid w:val="007B62CE"/>
    <w:rsid w:val="007C23F4"/>
    <w:rsid w:val="007C496C"/>
    <w:rsid w:val="007D1894"/>
    <w:rsid w:val="007D1BE4"/>
    <w:rsid w:val="007D3F28"/>
    <w:rsid w:val="007D550F"/>
    <w:rsid w:val="007E019F"/>
    <w:rsid w:val="007E6890"/>
    <w:rsid w:val="007E78DD"/>
    <w:rsid w:val="007F0D7F"/>
    <w:rsid w:val="007F47E4"/>
    <w:rsid w:val="008005E0"/>
    <w:rsid w:val="0080110A"/>
    <w:rsid w:val="008021CD"/>
    <w:rsid w:val="008022EF"/>
    <w:rsid w:val="00804634"/>
    <w:rsid w:val="00807B66"/>
    <w:rsid w:val="008117B8"/>
    <w:rsid w:val="00811882"/>
    <w:rsid w:val="0081384B"/>
    <w:rsid w:val="00814A66"/>
    <w:rsid w:val="00816CC9"/>
    <w:rsid w:val="0081778B"/>
    <w:rsid w:val="00823B4E"/>
    <w:rsid w:val="00830073"/>
    <w:rsid w:val="00832AD2"/>
    <w:rsid w:val="00832FEC"/>
    <w:rsid w:val="008367EE"/>
    <w:rsid w:val="00837E3E"/>
    <w:rsid w:val="00840061"/>
    <w:rsid w:val="00842E8F"/>
    <w:rsid w:val="00845A37"/>
    <w:rsid w:val="00845BBD"/>
    <w:rsid w:val="008500B9"/>
    <w:rsid w:val="00850617"/>
    <w:rsid w:val="0085065C"/>
    <w:rsid w:val="0085092B"/>
    <w:rsid w:val="00850B99"/>
    <w:rsid w:val="00851164"/>
    <w:rsid w:val="00851AB2"/>
    <w:rsid w:val="00852077"/>
    <w:rsid w:val="00852C44"/>
    <w:rsid w:val="00853C14"/>
    <w:rsid w:val="0085654C"/>
    <w:rsid w:val="008610B4"/>
    <w:rsid w:val="00861CCD"/>
    <w:rsid w:val="00862B2F"/>
    <w:rsid w:val="00867E5A"/>
    <w:rsid w:val="008705B2"/>
    <w:rsid w:val="00871C85"/>
    <w:rsid w:val="00876A1E"/>
    <w:rsid w:val="0088365D"/>
    <w:rsid w:val="00885F84"/>
    <w:rsid w:val="008963F0"/>
    <w:rsid w:val="008A27BC"/>
    <w:rsid w:val="008A291F"/>
    <w:rsid w:val="008A30C7"/>
    <w:rsid w:val="008A58D2"/>
    <w:rsid w:val="008A794C"/>
    <w:rsid w:val="008B084A"/>
    <w:rsid w:val="008B0F65"/>
    <w:rsid w:val="008B2ED6"/>
    <w:rsid w:val="008B31AB"/>
    <w:rsid w:val="008B3767"/>
    <w:rsid w:val="008B54CA"/>
    <w:rsid w:val="008C7F1E"/>
    <w:rsid w:val="008D1708"/>
    <w:rsid w:val="008D47FA"/>
    <w:rsid w:val="008D6110"/>
    <w:rsid w:val="008D6267"/>
    <w:rsid w:val="008D6658"/>
    <w:rsid w:val="008E0063"/>
    <w:rsid w:val="008E02EA"/>
    <w:rsid w:val="008E144A"/>
    <w:rsid w:val="008E189B"/>
    <w:rsid w:val="008E37B4"/>
    <w:rsid w:val="008E37C5"/>
    <w:rsid w:val="008E6752"/>
    <w:rsid w:val="008F2DB3"/>
    <w:rsid w:val="00903CF5"/>
    <w:rsid w:val="0090777F"/>
    <w:rsid w:val="00907918"/>
    <w:rsid w:val="009152F0"/>
    <w:rsid w:val="0091557D"/>
    <w:rsid w:val="00923500"/>
    <w:rsid w:val="00924532"/>
    <w:rsid w:val="00927296"/>
    <w:rsid w:val="0093298E"/>
    <w:rsid w:val="00935A54"/>
    <w:rsid w:val="00936486"/>
    <w:rsid w:val="009416C3"/>
    <w:rsid w:val="00947ADF"/>
    <w:rsid w:val="009512D9"/>
    <w:rsid w:val="009550AE"/>
    <w:rsid w:val="0095643A"/>
    <w:rsid w:val="00957BEF"/>
    <w:rsid w:val="00965EF4"/>
    <w:rsid w:val="0097064F"/>
    <w:rsid w:val="009747A3"/>
    <w:rsid w:val="009825EE"/>
    <w:rsid w:val="00986F2F"/>
    <w:rsid w:val="00987BD5"/>
    <w:rsid w:val="00990D25"/>
    <w:rsid w:val="009922D7"/>
    <w:rsid w:val="00995089"/>
    <w:rsid w:val="009950CD"/>
    <w:rsid w:val="00996901"/>
    <w:rsid w:val="009A33B6"/>
    <w:rsid w:val="009A425D"/>
    <w:rsid w:val="009A4E42"/>
    <w:rsid w:val="009B3328"/>
    <w:rsid w:val="009B5C82"/>
    <w:rsid w:val="009B5DF2"/>
    <w:rsid w:val="009B7846"/>
    <w:rsid w:val="009C2CC0"/>
    <w:rsid w:val="009C55A9"/>
    <w:rsid w:val="009C6AE6"/>
    <w:rsid w:val="009D119A"/>
    <w:rsid w:val="009D1CA5"/>
    <w:rsid w:val="009D24E7"/>
    <w:rsid w:val="009D79D8"/>
    <w:rsid w:val="009E1CB6"/>
    <w:rsid w:val="009E6936"/>
    <w:rsid w:val="009E75F5"/>
    <w:rsid w:val="009F0BDE"/>
    <w:rsid w:val="009F2ECC"/>
    <w:rsid w:val="00A059D4"/>
    <w:rsid w:val="00A10680"/>
    <w:rsid w:val="00A108EB"/>
    <w:rsid w:val="00A14BB0"/>
    <w:rsid w:val="00A23742"/>
    <w:rsid w:val="00A24603"/>
    <w:rsid w:val="00A247F0"/>
    <w:rsid w:val="00A24EAE"/>
    <w:rsid w:val="00A272E2"/>
    <w:rsid w:val="00A27828"/>
    <w:rsid w:val="00A3334C"/>
    <w:rsid w:val="00A353FC"/>
    <w:rsid w:val="00A41096"/>
    <w:rsid w:val="00A6319D"/>
    <w:rsid w:val="00A66277"/>
    <w:rsid w:val="00A66B7A"/>
    <w:rsid w:val="00A7418E"/>
    <w:rsid w:val="00A770FA"/>
    <w:rsid w:val="00A807B7"/>
    <w:rsid w:val="00A84739"/>
    <w:rsid w:val="00A9148B"/>
    <w:rsid w:val="00A91861"/>
    <w:rsid w:val="00A93675"/>
    <w:rsid w:val="00A93A5A"/>
    <w:rsid w:val="00A95EE8"/>
    <w:rsid w:val="00A95F73"/>
    <w:rsid w:val="00A96945"/>
    <w:rsid w:val="00A96B93"/>
    <w:rsid w:val="00AA063A"/>
    <w:rsid w:val="00AA28EA"/>
    <w:rsid w:val="00AA31E2"/>
    <w:rsid w:val="00AA4417"/>
    <w:rsid w:val="00AA4C69"/>
    <w:rsid w:val="00AA6962"/>
    <w:rsid w:val="00AB07FA"/>
    <w:rsid w:val="00AB2521"/>
    <w:rsid w:val="00AB2748"/>
    <w:rsid w:val="00AB7754"/>
    <w:rsid w:val="00AC3DAF"/>
    <w:rsid w:val="00AC68E4"/>
    <w:rsid w:val="00AD021F"/>
    <w:rsid w:val="00AD12EA"/>
    <w:rsid w:val="00AD2046"/>
    <w:rsid w:val="00AD3E02"/>
    <w:rsid w:val="00AD70BC"/>
    <w:rsid w:val="00AE6F7F"/>
    <w:rsid w:val="00AF20E6"/>
    <w:rsid w:val="00AF2330"/>
    <w:rsid w:val="00AF3F82"/>
    <w:rsid w:val="00AF5A57"/>
    <w:rsid w:val="00B039DA"/>
    <w:rsid w:val="00B13E0E"/>
    <w:rsid w:val="00B24D39"/>
    <w:rsid w:val="00B2795F"/>
    <w:rsid w:val="00B279BA"/>
    <w:rsid w:val="00B31088"/>
    <w:rsid w:val="00B35114"/>
    <w:rsid w:val="00B361CD"/>
    <w:rsid w:val="00B40FC5"/>
    <w:rsid w:val="00B44F13"/>
    <w:rsid w:val="00B45212"/>
    <w:rsid w:val="00B45368"/>
    <w:rsid w:val="00B46405"/>
    <w:rsid w:val="00B468A3"/>
    <w:rsid w:val="00B46DD6"/>
    <w:rsid w:val="00B517DA"/>
    <w:rsid w:val="00B53589"/>
    <w:rsid w:val="00B562B7"/>
    <w:rsid w:val="00B5724C"/>
    <w:rsid w:val="00B5746C"/>
    <w:rsid w:val="00B6018B"/>
    <w:rsid w:val="00B61A62"/>
    <w:rsid w:val="00B64478"/>
    <w:rsid w:val="00B65048"/>
    <w:rsid w:val="00B67018"/>
    <w:rsid w:val="00B752DB"/>
    <w:rsid w:val="00B80B19"/>
    <w:rsid w:val="00B80C27"/>
    <w:rsid w:val="00B82E6C"/>
    <w:rsid w:val="00B835EF"/>
    <w:rsid w:val="00B92AFA"/>
    <w:rsid w:val="00B937FB"/>
    <w:rsid w:val="00B93991"/>
    <w:rsid w:val="00B97FEC"/>
    <w:rsid w:val="00BA204E"/>
    <w:rsid w:val="00BA4304"/>
    <w:rsid w:val="00BA64D2"/>
    <w:rsid w:val="00BA7D07"/>
    <w:rsid w:val="00BB5206"/>
    <w:rsid w:val="00BC7584"/>
    <w:rsid w:val="00BD57D9"/>
    <w:rsid w:val="00BE0B14"/>
    <w:rsid w:val="00BE2468"/>
    <w:rsid w:val="00BF04B4"/>
    <w:rsid w:val="00BF178F"/>
    <w:rsid w:val="00BF1A14"/>
    <w:rsid w:val="00BF1FBB"/>
    <w:rsid w:val="00BF2C12"/>
    <w:rsid w:val="00BF505C"/>
    <w:rsid w:val="00BF792E"/>
    <w:rsid w:val="00C00FC5"/>
    <w:rsid w:val="00C05CFA"/>
    <w:rsid w:val="00C1013E"/>
    <w:rsid w:val="00C15C8B"/>
    <w:rsid w:val="00C17029"/>
    <w:rsid w:val="00C22AE2"/>
    <w:rsid w:val="00C24238"/>
    <w:rsid w:val="00C24DE3"/>
    <w:rsid w:val="00C26779"/>
    <w:rsid w:val="00C32161"/>
    <w:rsid w:val="00C458E6"/>
    <w:rsid w:val="00C52A75"/>
    <w:rsid w:val="00C54B9C"/>
    <w:rsid w:val="00C553CC"/>
    <w:rsid w:val="00C562A3"/>
    <w:rsid w:val="00C62151"/>
    <w:rsid w:val="00C630EF"/>
    <w:rsid w:val="00C65178"/>
    <w:rsid w:val="00C67486"/>
    <w:rsid w:val="00C712F6"/>
    <w:rsid w:val="00C74DB6"/>
    <w:rsid w:val="00C82C6B"/>
    <w:rsid w:val="00C85E12"/>
    <w:rsid w:val="00C93D5E"/>
    <w:rsid w:val="00C94BF5"/>
    <w:rsid w:val="00C96A26"/>
    <w:rsid w:val="00CA09F2"/>
    <w:rsid w:val="00CA1976"/>
    <w:rsid w:val="00CA5D72"/>
    <w:rsid w:val="00CA72AE"/>
    <w:rsid w:val="00CB3217"/>
    <w:rsid w:val="00CB4D6C"/>
    <w:rsid w:val="00CB66C9"/>
    <w:rsid w:val="00CC0ED2"/>
    <w:rsid w:val="00CC178F"/>
    <w:rsid w:val="00CD2A77"/>
    <w:rsid w:val="00CD370A"/>
    <w:rsid w:val="00CD43EC"/>
    <w:rsid w:val="00CD4B77"/>
    <w:rsid w:val="00CD5A8D"/>
    <w:rsid w:val="00CD6138"/>
    <w:rsid w:val="00CE0B4C"/>
    <w:rsid w:val="00CE29DF"/>
    <w:rsid w:val="00CE65CD"/>
    <w:rsid w:val="00CE7C9B"/>
    <w:rsid w:val="00CF1205"/>
    <w:rsid w:val="00CF3262"/>
    <w:rsid w:val="00CF4BB3"/>
    <w:rsid w:val="00CF56F9"/>
    <w:rsid w:val="00CF6F4C"/>
    <w:rsid w:val="00CF7E5C"/>
    <w:rsid w:val="00D02B03"/>
    <w:rsid w:val="00D03A1D"/>
    <w:rsid w:val="00D06F70"/>
    <w:rsid w:val="00D11021"/>
    <w:rsid w:val="00D11453"/>
    <w:rsid w:val="00D12420"/>
    <w:rsid w:val="00D13255"/>
    <w:rsid w:val="00D1341A"/>
    <w:rsid w:val="00D15219"/>
    <w:rsid w:val="00D252B9"/>
    <w:rsid w:val="00D2633D"/>
    <w:rsid w:val="00D27A0A"/>
    <w:rsid w:val="00D315D8"/>
    <w:rsid w:val="00D32645"/>
    <w:rsid w:val="00D3267F"/>
    <w:rsid w:val="00D3706C"/>
    <w:rsid w:val="00D4254D"/>
    <w:rsid w:val="00D4494D"/>
    <w:rsid w:val="00D44CDF"/>
    <w:rsid w:val="00D50F90"/>
    <w:rsid w:val="00D54FE1"/>
    <w:rsid w:val="00D5505C"/>
    <w:rsid w:val="00D57EB0"/>
    <w:rsid w:val="00D57EC3"/>
    <w:rsid w:val="00D63AB1"/>
    <w:rsid w:val="00D64636"/>
    <w:rsid w:val="00D65889"/>
    <w:rsid w:val="00D6600C"/>
    <w:rsid w:val="00D676F0"/>
    <w:rsid w:val="00D67A4B"/>
    <w:rsid w:val="00D712DD"/>
    <w:rsid w:val="00D7156A"/>
    <w:rsid w:val="00D7287B"/>
    <w:rsid w:val="00D73D0E"/>
    <w:rsid w:val="00D76054"/>
    <w:rsid w:val="00D767DC"/>
    <w:rsid w:val="00D82922"/>
    <w:rsid w:val="00D842D2"/>
    <w:rsid w:val="00D916B9"/>
    <w:rsid w:val="00D921DE"/>
    <w:rsid w:val="00D924DE"/>
    <w:rsid w:val="00D92987"/>
    <w:rsid w:val="00D9344E"/>
    <w:rsid w:val="00D94CFC"/>
    <w:rsid w:val="00D957AF"/>
    <w:rsid w:val="00D95D40"/>
    <w:rsid w:val="00D97C4F"/>
    <w:rsid w:val="00DA0012"/>
    <w:rsid w:val="00DA0FD5"/>
    <w:rsid w:val="00DA68C9"/>
    <w:rsid w:val="00DB04AF"/>
    <w:rsid w:val="00DB0F4D"/>
    <w:rsid w:val="00DC70B4"/>
    <w:rsid w:val="00DD0492"/>
    <w:rsid w:val="00DD3E02"/>
    <w:rsid w:val="00DE2C5D"/>
    <w:rsid w:val="00DE4B15"/>
    <w:rsid w:val="00DE731E"/>
    <w:rsid w:val="00DE7352"/>
    <w:rsid w:val="00DE7828"/>
    <w:rsid w:val="00DF3EF9"/>
    <w:rsid w:val="00E04B95"/>
    <w:rsid w:val="00E07E40"/>
    <w:rsid w:val="00E11BD0"/>
    <w:rsid w:val="00E12354"/>
    <w:rsid w:val="00E1709F"/>
    <w:rsid w:val="00E31871"/>
    <w:rsid w:val="00E31D73"/>
    <w:rsid w:val="00E34316"/>
    <w:rsid w:val="00E34332"/>
    <w:rsid w:val="00E379A1"/>
    <w:rsid w:val="00E37B73"/>
    <w:rsid w:val="00E46146"/>
    <w:rsid w:val="00E53603"/>
    <w:rsid w:val="00E552E5"/>
    <w:rsid w:val="00E55AA0"/>
    <w:rsid w:val="00E563E0"/>
    <w:rsid w:val="00E566C2"/>
    <w:rsid w:val="00E56C91"/>
    <w:rsid w:val="00E57FC4"/>
    <w:rsid w:val="00E610D2"/>
    <w:rsid w:val="00E61862"/>
    <w:rsid w:val="00E61F59"/>
    <w:rsid w:val="00E73D7B"/>
    <w:rsid w:val="00E75530"/>
    <w:rsid w:val="00E7598C"/>
    <w:rsid w:val="00E809C9"/>
    <w:rsid w:val="00E856CC"/>
    <w:rsid w:val="00E862F9"/>
    <w:rsid w:val="00E906F1"/>
    <w:rsid w:val="00E92402"/>
    <w:rsid w:val="00E9321B"/>
    <w:rsid w:val="00E97E35"/>
    <w:rsid w:val="00EA01F3"/>
    <w:rsid w:val="00EA13FE"/>
    <w:rsid w:val="00EA21A1"/>
    <w:rsid w:val="00EA2FDC"/>
    <w:rsid w:val="00EA3F1C"/>
    <w:rsid w:val="00EA4DEF"/>
    <w:rsid w:val="00EA694E"/>
    <w:rsid w:val="00EB28A8"/>
    <w:rsid w:val="00EB2943"/>
    <w:rsid w:val="00EB2E70"/>
    <w:rsid w:val="00EB3853"/>
    <w:rsid w:val="00EB6472"/>
    <w:rsid w:val="00EC0454"/>
    <w:rsid w:val="00EC2D80"/>
    <w:rsid w:val="00EC47CB"/>
    <w:rsid w:val="00EC7D57"/>
    <w:rsid w:val="00ED22B3"/>
    <w:rsid w:val="00ED4371"/>
    <w:rsid w:val="00ED7548"/>
    <w:rsid w:val="00EE0582"/>
    <w:rsid w:val="00EE06EB"/>
    <w:rsid w:val="00EE0BCA"/>
    <w:rsid w:val="00EE3250"/>
    <w:rsid w:val="00EE3332"/>
    <w:rsid w:val="00EE41F6"/>
    <w:rsid w:val="00EE437A"/>
    <w:rsid w:val="00EE4CF6"/>
    <w:rsid w:val="00EE6960"/>
    <w:rsid w:val="00EE74A5"/>
    <w:rsid w:val="00EF0857"/>
    <w:rsid w:val="00EF132C"/>
    <w:rsid w:val="00EF37CF"/>
    <w:rsid w:val="00EF476F"/>
    <w:rsid w:val="00EF4B0A"/>
    <w:rsid w:val="00EF53EE"/>
    <w:rsid w:val="00EF6BE9"/>
    <w:rsid w:val="00EF7BFE"/>
    <w:rsid w:val="00F011E0"/>
    <w:rsid w:val="00F01FCD"/>
    <w:rsid w:val="00F023B6"/>
    <w:rsid w:val="00F06115"/>
    <w:rsid w:val="00F15FF0"/>
    <w:rsid w:val="00F169D1"/>
    <w:rsid w:val="00F16C12"/>
    <w:rsid w:val="00F17FFC"/>
    <w:rsid w:val="00F21937"/>
    <w:rsid w:val="00F2292B"/>
    <w:rsid w:val="00F22F52"/>
    <w:rsid w:val="00F230EC"/>
    <w:rsid w:val="00F23C36"/>
    <w:rsid w:val="00F2474E"/>
    <w:rsid w:val="00F24EA4"/>
    <w:rsid w:val="00F25559"/>
    <w:rsid w:val="00F273AC"/>
    <w:rsid w:val="00F37C91"/>
    <w:rsid w:val="00F50318"/>
    <w:rsid w:val="00F52015"/>
    <w:rsid w:val="00F53884"/>
    <w:rsid w:val="00F53BDE"/>
    <w:rsid w:val="00F53CCF"/>
    <w:rsid w:val="00F613AA"/>
    <w:rsid w:val="00F62781"/>
    <w:rsid w:val="00F6462D"/>
    <w:rsid w:val="00F73475"/>
    <w:rsid w:val="00F753D2"/>
    <w:rsid w:val="00F77128"/>
    <w:rsid w:val="00F77DF4"/>
    <w:rsid w:val="00F81242"/>
    <w:rsid w:val="00F824FC"/>
    <w:rsid w:val="00F855DE"/>
    <w:rsid w:val="00F8750C"/>
    <w:rsid w:val="00F876F3"/>
    <w:rsid w:val="00F95A96"/>
    <w:rsid w:val="00F97022"/>
    <w:rsid w:val="00FA0447"/>
    <w:rsid w:val="00FA7609"/>
    <w:rsid w:val="00FB1EC0"/>
    <w:rsid w:val="00FB4933"/>
    <w:rsid w:val="00FB4C8B"/>
    <w:rsid w:val="00FC05A0"/>
    <w:rsid w:val="00FC1ACA"/>
    <w:rsid w:val="00FC607E"/>
    <w:rsid w:val="00FC60EF"/>
    <w:rsid w:val="00FD0BC4"/>
    <w:rsid w:val="00FD12AC"/>
    <w:rsid w:val="00FD13AD"/>
    <w:rsid w:val="00FD2F0B"/>
    <w:rsid w:val="00FD4840"/>
    <w:rsid w:val="00FD6D3C"/>
    <w:rsid w:val="00FD6E8A"/>
    <w:rsid w:val="00FD7519"/>
    <w:rsid w:val="00FE2AE4"/>
    <w:rsid w:val="00FF0B06"/>
    <w:rsid w:val="00FF7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C95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C"/>
    <w:pPr>
      <w:spacing w:after="200" w:line="276" w:lineRule="auto"/>
    </w:pPr>
    <w:rPr>
      <w:sz w:val="22"/>
      <w:szCs w:val="22"/>
    </w:rPr>
  </w:style>
  <w:style w:type="paragraph" w:styleId="Heading2">
    <w:name w:val="heading 2"/>
    <w:basedOn w:val="Normal"/>
    <w:next w:val="Normal"/>
    <w:link w:val="Heading2Char"/>
    <w:uiPriority w:val="9"/>
    <w:unhideWhenUsed/>
    <w:qFormat/>
    <w:rsid w:val="0016206D"/>
    <w:pPr>
      <w:keepNext/>
      <w:keepLines/>
      <w:numPr>
        <w:numId w:val="7"/>
      </w:numPr>
      <w:spacing w:after="0" w:line="240" w:lineRule="auto"/>
      <w:outlineLvl w:val="1"/>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AF1"/>
    <w:pPr>
      <w:widowControl w:val="0"/>
      <w:autoSpaceDE w:val="0"/>
      <w:autoSpaceDN w:val="0"/>
      <w:adjustRightInd w:val="0"/>
    </w:pPr>
    <w:rPr>
      <w:rFonts w:ascii="Times New Roman" w:hAnsi="Times New Roman"/>
      <w:color w:val="000000"/>
      <w:sz w:val="24"/>
      <w:szCs w:val="24"/>
    </w:rPr>
  </w:style>
  <w:style w:type="paragraph" w:customStyle="1" w:styleId="CM10">
    <w:name w:val="CM10"/>
    <w:basedOn w:val="Default"/>
    <w:next w:val="Default"/>
    <w:uiPriority w:val="99"/>
    <w:rsid w:val="00703AF1"/>
    <w:rPr>
      <w:color w:val="auto"/>
    </w:rPr>
  </w:style>
  <w:style w:type="paragraph" w:customStyle="1" w:styleId="CM1">
    <w:name w:val="CM1"/>
    <w:basedOn w:val="Default"/>
    <w:next w:val="Default"/>
    <w:uiPriority w:val="99"/>
    <w:rsid w:val="00703AF1"/>
    <w:rPr>
      <w:color w:val="auto"/>
    </w:rPr>
  </w:style>
  <w:style w:type="paragraph" w:customStyle="1" w:styleId="CM2">
    <w:name w:val="CM2"/>
    <w:basedOn w:val="Default"/>
    <w:next w:val="Default"/>
    <w:uiPriority w:val="99"/>
    <w:rsid w:val="00703AF1"/>
    <w:pPr>
      <w:spacing w:line="276" w:lineRule="atLeast"/>
    </w:pPr>
    <w:rPr>
      <w:color w:val="auto"/>
    </w:rPr>
  </w:style>
  <w:style w:type="paragraph" w:customStyle="1" w:styleId="CM3">
    <w:name w:val="CM3"/>
    <w:basedOn w:val="Default"/>
    <w:next w:val="Default"/>
    <w:uiPriority w:val="99"/>
    <w:rsid w:val="00703AF1"/>
    <w:pPr>
      <w:spacing w:line="276" w:lineRule="atLeast"/>
    </w:pPr>
    <w:rPr>
      <w:color w:val="auto"/>
    </w:rPr>
  </w:style>
  <w:style w:type="paragraph" w:customStyle="1" w:styleId="CM4">
    <w:name w:val="CM4"/>
    <w:basedOn w:val="Default"/>
    <w:next w:val="Default"/>
    <w:uiPriority w:val="99"/>
    <w:rsid w:val="00703AF1"/>
    <w:pPr>
      <w:spacing w:line="276" w:lineRule="atLeast"/>
    </w:pPr>
    <w:rPr>
      <w:color w:val="auto"/>
    </w:rPr>
  </w:style>
  <w:style w:type="paragraph" w:customStyle="1" w:styleId="CM5">
    <w:name w:val="CM5"/>
    <w:basedOn w:val="Default"/>
    <w:next w:val="Default"/>
    <w:uiPriority w:val="99"/>
    <w:rsid w:val="00703AF1"/>
    <w:pPr>
      <w:spacing w:line="276" w:lineRule="atLeast"/>
    </w:pPr>
    <w:rPr>
      <w:color w:val="auto"/>
    </w:rPr>
  </w:style>
  <w:style w:type="paragraph" w:customStyle="1" w:styleId="CM6">
    <w:name w:val="CM6"/>
    <w:basedOn w:val="Default"/>
    <w:next w:val="Default"/>
    <w:uiPriority w:val="99"/>
    <w:rsid w:val="00703AF1"/>
    <w:pPr>
      <w:spacing w:line="276" w:lineRule="atLeast"/>
    </w:pPr>
    <w:rPr>
      <w:color w:val="auto"/>
    </w:rPr>
  </w:style>
  <w:style w:type="paragraph" w:customStyle="1" w:styleId="CM7">
    <w:name w:val="CM7"/>
    <w:basedOn w:val="Default"/>
    <w:next w:val="Default"/>
    <w:uiPriority w:val="99"/>
    <w:rsid w:val="00703AF1"/>
    <w:pPr>
      <w:spacing w:line="276" w:lineRule="atLeast"/>
    </w:pPr>
    <w:rPr>
      <w:color w:val="auto"/>
    </w:rPr>
  </w:style>
  <w:style w:type="paragraph" w:customStyle="1" w:styleId="CM11">
    <w:name w:val="CM11"/>
    <w:basedOn w:val="Default"/>
    <w:next w:val="Default"/>
    <w:uiPriority w:val="99"/>
    <w:rsid w:val="00703AF1"/>
    <w:rPr>
      <w:color w:val="auto"/>
    </w:rPr>
  </w:style>
  <w:style w:type="paragraph" w:customStyle="1" w:styleId="CM12">
    <w:name w:val="CM12"/>
    <w:basedOn w:val="Default"/>
    <w:next w:val="Default"/>
    <w:uiPriority w:val="99"/>
    <w:rsid w:val="00703AF1"/>
    <w:rPr>
      <w:color w:val="auto"/>
    </w:rPr>
  </w:style>
  <w:style w:type="paragraph" w:customStyle="1" w:styleId="CM8">
    <w:name w:val="CM8"/>
    <w:basedOn w:val="Default"/>
    <w:next w:val="Default"/>
    <w:uiPriority w:val="99"/>
    <w:rsid w:val="00703AF1"/>
    <w:pPr>
      <w:spacing w:line="276" w:lineRule="atLeast"/>
    </w:pPr>
    <w:rPr>
      <w:color w:val="auto"/>
    </w:rPr>
  </w:style>
  <w:style w:type="paragraph" w:styleId="FootnoteText">
    <w:name w:val="footnote text"/>
    <w:aliases w:val="Footnote Text Char1,Footnote Text Char Char"/>
    <w:basedOn w:val="Normal"/>
    <w:link w:val="FootnoteTextChar"/>
    <w:uiPriority w:val="99"/>
    <w:rsid w:val="00732A75"/>
    <w:pPr>
      <w:spacing w:after="0" w:line="240" w:lineRule="auto"/>
    </w:pPr>
    <w:rPr>
      <w:rFonts w:ascii="Times New Roman" w:hAnsi="Times New Roman"/>
      <w:sz w:val="20"/>
      <w:szCs w:val="20"/>
      <w:lang w:val="x-none" w:eastAsia="x-none"/>
    </w:rPr>
  </w:style>
  <w:style w:type="character" w:customStyle="1" w:styleId="FootnoteTextChar">
    <w:name w:val="Footnote Text Char"/>
    <w:aliases w:val="Footnote Text Char1 Char,Footnote Text Char Char Char"/>
    <w:link w:val="FootnoteText"/>
    <w:uiPriority w:val="99"/>
    <w:rsid w:val="00732A75"/>
    <w:rPr>
      <w:rFonts w:ascii="Times New Roman" w:eastAsia="Times New Roman" w:hAnsi="Times New Roman" w:cs="Times New Roman"/>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732A75"/>
    <w:rPr>
      <w:vertAlign w:val="superscript"/>
    </w:rPr>
  </w:style>
  <w:style w:type="paragraph" w:customStyle="1" w:styleId="CM13">
    <w:name w:val="CM13"/>
    <w:basedOn w:val="Default"/>
    <w:next w:val="Default"/>
    <w:uiPriority w:val="99"/>
    <w:rsid w:val="00FA7609"/>
    <w:rPr>
      <w:color w:val="auto"/>
    </w:rPr>
  </w:style>
  <w:style w:type="paragraph" w:styleId="Header">
    <w:name w:val="header"/>
    <w:basedOn w:val="Normal"/>
    <w:link w:val="HeaderChar"/>
    <w:uiPriority w:val="99"/>
    <w:unhideWhenUsed/>
    <w:rsid w:val="0055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30"/>
  </w:style>
  <w:style w:type="paragraph" w:styleId="Footer">
    <w:name w:val="footer"/>
    <w:basedOn w:val="Normal"/>
    <w:link w:val="FooterChar"/>
    <w:unhideWhenUsed/>
    <w:rsid w:val="00554730"/>
    <w:pPr>
      <w:tabs>
        <w:tab w:val="center" w:pos="4680"/>
        <w:tab w:val="right" w:pos="9360"/>
      </w:tabs>
      <w:spacing w:after="0" w:line="240" w:lineRule="auto"/>
    </w:pPr>
  </w:style>
  <w:style w:type="character" w:customStyle="1" w:styleId="FooterChar">
    <w:name w:val="Footer Char"/>
    <w:basedOn w:val="DefaultParagraphFont"/>
    <w:link w:val="Footer"/>
    <w:rsid w:val="00554730"/>
  </w:style>
  <w:style w:type="character" w:styleId="CommentReference">
    <w:name w:val="annotation reference"/>
    <w:uiPriority w:val="99"/>
    <w:semiHidden/>
    <w:unhideWhenUsed/>
    <w:rsid w:val="00C85E12"/>
    <w:rPr>
      <w:sz w:val="16"/>
      <w:szCs w:val="16"/>
    </w:rPr>
  </w:style>
  <w:style w:type="paragraph" w:styleId="CommentText">
    <w:name w:val="annotation text"/>
    <w:basedOn w:val="Normal"/>
    <w:link w:val="CommentTextChar"/>
    <w:uiPriority w:val="99"/>
    <w:unhideWhenUsed/>
    <w:rsid w:val="00C85E12"/>
    <w:pPr>
      <w:spacing w:line="240" w:lineRule="auto"/>
    </w:pPr>
    <w:rPr>
      <w:sz w:val="20"/>
      <w:szCs w:val="20"/>
      <w:lang w:val="x-none" w:eastAsia="x-none"/>
    </w:rPr>
  </w:style>
  <w:style w:type="character" w:customStyle="1" w:styleId="CommentTextChar">
    <w:name w:val="Comment Text Char"/>
    <w:link w:val="CommentText"/>
    <w:uiPriority w:val="99"/>
    <w:rsid w:val="00C85E12"/>
    <w:rPr>
      <w:sz w:val="20"/>
      <w:szCs w:val="20"/>
    </w:rPr>
  </w:style>
  <w:style w:type="paragraph" w:styleId="CommentSubject">
    <w:name w:val="annotation subject"/>
    <w:basedOn w:val="CommentText"/>
    <w:next w:val="CommentText"/>
    <w:link w:val="CommentSubjectChar"/>
    <w:uiPriority w:val="99"/>
    <w:semiHidden/>
    <w:unhideWhenUsed/>
    <w:rsid w:val="00C85E12"/>
    <w:rPr>
      <w:b/>
      <w:bCs/>
    </w:rPr>
  </w:style>
  <w:style w:type="character" w:customStyle="1" w:styleId="CommentSubjectChar">
    <w:name w:val="Comment Subject Char"/>
    <w:link w:val="CommentSubject"/>
    <w:uiPriority w:val="99"/>
    <w:semiHidden/>
    <w:rsid w:val="00C85E12"/>
    <w:rPr>
      <w:b/>
      <w:bCs/>
      <w:sz w:val="20"/>
      <w:szCs w:val="20"/>
    </w:rPr>
  </w:style>
  <w:style w:type="paragraph" w:styleId="BalloonText">
    <w:name w:val="Balloon Text"/>
    <w:basedOn w:val="Normal"/>
    <w:link w:val="BalloonTextChar"/>
    <w:uiPriority w:val="99"/>
    <w:semiHidden/>
    <w:unhideWhenUsed/>
    <w:rsid w:val="00C85E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85E12"/>
    <w:rPr>
      <w:rFonts w:ascii="Tahoma" w:hAnsi="Tahoma" w:cs="Tahoma"/>
      <w:sz w:val="16"/>
      <w:szCs w:val="16"/>
    </w:rPr>
  </w:style>
  <w:style w:type="paragraph" w:styleId="BodyText">
    <w:name w:val="Body Text"/>
    <w:basedOn w:val="Normal"/>
    <w:link w:val="BodyTextChar"/>
    <w:rsid w:val="00ED22B3"/>
    <w:pPr>
      <w:spacing w:after="0" w:line="240" w:lineRule="auto"/>
    </w:pPr>
    <w:rPr>
      <w:rFonts w:ascii="Times New Roman" w:hAnsi="Times New Roman"/>
      <w:b/>
      <w:bCs/>
      <w:sz w:val="24"/>
      <w:szCs w:val="20"/>
      <w:lang w:val="x-none" w:eastAsia="x-none"/>
    </w:rPr>
  </w:style>
  <w:style w:type="character" w:customStyle="1" w:styleId="BodyTextChar">
    <w:name w:val="Body Text Char"/>
    <w:link w:val="BodyText"/>
    <w:rsid w:val="00ED22B3"/>
    <w:rPr>
      <w:rFonts w:ascii="Times New Roman" w:eastAsia="Times New Roman" w:hAnsi="Times New Roman" w:cs="Times New Roman"/>
      <w:b/>
      <w:bCs/>
      <w:sz w:val="24"/>
      <w:szCs w:val="20"/>
    </w:rPr>
  </w:style>
  <w:style w:type="paragraph" w:styleId="NoSpacing">
    <w:name w:val="No Spacing"/>
    <w:uiPriority w:val="1"/>
    <w:qFormat/>
    <w:rsid w:val="00ED22B3"/>
    <w:rPr>
      <w:sz w:val="22"/>
      <w:szCs w:val="22"/>
    </w:rPr>
  </w:style>
  <w:style w:type="character" w:styleId="Hyperlink">
    <w:name w:val="Hyperlink"/>
    <w:uiPriority w:val="99"/>
    <w:unhideWhenUsed/>
    <w:rsid w:val="0085654C"/>
    <w:rPr>
      <w:color w:val="0000FF"/>
      <w:u w:val="single"/>
    </w:rPr>
  </w:style>
  <w:style w:type="paragraph" w:styleId="Revision">
    <w:name w:val="Revision"/>
    <w:hidden/>
    <w:uiPriority w:val="99"/>
    <w:semiHidden/>
    <w:rsid w:val="00EB28A8"/>
    <w:rPr>
      <w:sz w:val="22"/>
      <w:szCs w:val="22"/>
    </w:rPr>
  </w:style>
  <w:style w:type="character" w:customStyle="1" w:styleId="apple-converted-space">
    <w:name w:val="apple-converted-space"/>
    <w:rsid w:val="00862B2F"/>
  </w:style>
  <w:style w:type="table" w:styleId="TableGrid">
    <w:name w:val="Table Grid"/>
    <w:basedOn w:val="TableNormal"/>
    <w:uiPriority w:val="59"/>
    <w:rsid w:val="0049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16206D"/>
    <w:rPr>
      <w:rFonts w:ascii="Times New Roman" w:hAnsi="Times New Roman"/>
      <w:b/>
      <w:bCs/>
      <w:sz w:val="24"/>
      <w:szCs w:val="24"/>
      <w:u w:val="single"/>
    </w:rPr>
  </w:style>
  <w:style w:type="character" w:styleId="HTMLDefinition">
    <w:name w:val="HTML Definition"/>
    <w:basedOn w:val="DefaultParagraphFont"/>
    <w:uiPriority w:val="99"/>
    <w:semiHidden/>
    <w:unhideWhenUsed/>
    <w:rsid w:val="00111B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C"/>
    <w:pPr>
      <w:spacing w:after="200" w:line="276" w:lineRule="auto"/>
    </w:pPr>
    <w:rPr>
      <w:sz w:val="22"/>
      <w:szCs w:val="22"/>
    </w:rPr>
  </w:style>
  <w:style w:type="paragraph" w:styleId="Heading2">
    <w:name w:val="heading 2"/>
    <w:basedOn w:val="Normal"/>
    <w:next w:val="Normal"/>
    <w:link w:val="Heading2Char"/>
    <w:uiPriority w:val="9"/>
    <w:unhideWhenUsed/>
    <w:qFormat/>
    <w:rsid w:val="0016206D"/>
    <w:pPr>
      <w:keepNext/>
      <w:keepLines/>
      <w:numPr>
        <w:numId w:val="7"/>
      </w:numPr>
      <w:spacing w:after="0" w:line="240" w:lineRule="auto"/>
      <w:outlineLvl w:val="1"/>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AF1"/>
    <w:pPr>
      <w:widowControl w:val="0"/>
      <w:autoSpaceDE w:val="0"/>
      <w:autoSpaceDN w:val="0"/>
      <w:adjustRightInd w:val="0"/>
    </w:pPr>
    <w:rPr>
      <w:rFonts w:ascii="Times New Roman" w:hAnsi="Times New Roman"/>
      <w:color w:val="000000"/>
      <w:sz w:val="24"/>
      <w:szCs w:val="24"/>
    </w:rPr>
  </w:style>
  <w:style w:type="paragraph" w:customStyle="1" w:styleId="CM10">
    <w:name w:val="CM10"/>
    <w:basedOn w:val="Default"/>
    <w:next w:val="Default"/>
    <w:uiPriority w:val="99"/>
    <w:rsid w:val="00703AF1"/>
    <w:rPr>
      <w:color w:val="auto"/>
    </w:rPr>
  </w:style>
  <w:style w:type="paragraph" w:customStyle="1" w:styleId="CM1">
    <w:name w:val="CM1"/>
    <w:basedOn w:val="Default"/>
    <w:next w:val="Default"/>
    <w:uiPriority w:val="99"/>
    <w:rsid w:val="00703AF1"/>
    <w:rPr>
      <w:color w:val="auto"/>
    </w:rPr>
  </w:style>
  <w:style w:type="paragraph" w:customStyle="1" w:styleId="CM2">
    <w:name w:val="CM2"/>
    <w:basedOn w:val="Default"/>
    <w:next w:val="Default"/>
    <w:uiPriority w:val="99"/>
    <w:rsid w:val="00703AF1"/>
    <w:pPr>
      <w:spacing w:line="276" w:lineRule="atLeast"/>
    </w:pPr>
    <w:rPr>
      <w:color w:val="auto"/>
    </w:rPr>
  </w:style>
  <w:style w:type="paragraph" w:customStyle="1" w:styleId="CM3">
    <w:name w:val="CM3"/>
    <w:basedOn w:val="Default"/>
    <w:next w:val="Default"/>
    <w:uiPriority w:val="99"/>
    <w:rsid w:val="00703AF1"/>
    <w:pPr>
      <w:spacing w:line="276" w:lineRule="atLeast"/>
    </w:pPr>
    <w:rPr>
      <w:color w:val="auto"/>
    </w:rPr>
  </w:style>
  <w:style w:type="paragraph" w:customStyle="1" w:styleId="CM4">
    <w:name w:val="CM4"/>
    <w:basedOn w:val="Default"/>
    <w:next w:val="Default"/>
    <w:uiPriority w:val="99"/>
    <w:rsid w:val="00703AF1"/>
    <w:pPr>
      <w:spacing w:line="276" w:lineRule="atLeast"/>
    </w:pPr>
    <w:rPr>
      <w:color w:val="auto"/>
    </w:rPr>
  </w:style>
  <w:style w:type="paragraph" w:customStyle="1" w:styleId="CM5">
    <w:name w:val="CM5"/>
    <w:basedOn w:val="Default"/>
    <w:next w:val="Default"/>
    <w:uiPriority w:val="99"/>
    <w:rsid w:val="00703AF1"/>
    <w:pPr>
      <w:spacing w:line="276" w:lineRule="atLeast"/>
    </w:pPr>
    <w:rPr>
      <w:color w:val="auto"/>
    </w:rPr>
  </w:style>
  <w:style w:type="paragraph" w:customStyle="1" w:styleId="CM6">
    <w:name w:val="CM6"/>
    <w:basedOn w:val="Default"/>
    <w:next w:val="Default"/>
    <w:uiPriority w:val="99"/>
    <w:rsid w:val="00703AF1"/>
    <w:pPr>
      <w:spacing w:line="276" w:lineRule="atLeast"/>
    </w:pPr>
    <w:rPr>
      <w:color w:val="auto"/>
    </w:rPr>
  </w:style>
  <w:style w:type="paragraph" w:customStyle="1" w:styleId="CM7">
    <w:name w:val="CM7"/>
    <w:basedOn w:val="Default"/>
    <w:next w:val="Default"/>
    <w:uiPriority w:val="99"/>
    <w:rsid w:val="00703AF1"/>
    <w:pPr>
      <w:spacing w:line="276" w:lineRule="atLeast"/>
    </w:pPr>
    <w:rPr>
      <w:color w:val="auto"/>
    </w:rPr>
  </w:style>
  <w:style w:type="paragraph" w:customStyle="1" w:styleId="CM11">
    <w:name w:val="CM11"/>
    <w:basedOn w:val="Default"/>
    <w:next w:val="Default"/>
    <w:uiPriority w:val="99"/>
    <w:rsid w:val="00703AF1"/>
    <w:rPr>
      <w:color w:val="auto"/>
    </w:rPr>
  </w:style>
  <w:style w:type="paragraph" w:customStyle="1" w:styleId="CM12">
    <w:name w:val="CM12"/>
    <w:basedOn w:val="Default"/>
    <w:next w:val="Default"/>
    <w:uiPriority w:val="99"/>
    <w:rsid w:val="00703AF1"/>
    <w:rPr>
      <w:color w:val="auto"/>
    </w:rPr>
  </w:style>
  <w:style w:type="paragraph" w:customStyle="1" w:styleId="CM8">
    <w:name w:val="CM8"/>
    <w:basedOn w:val="Default"/>
    <w:next w:val="Default"/>
    <w:uiPriority w:val="99"/>
    <w:rsid w:val="00703AF1"/>
    <w:pPr>
      <w:spacing w:line="276" w:lineRule="atLeast"/>
    </w:pPr>
    <w:rPr>
      <w:color w:val="auto"/>
    </w:rPr>
  </w:style>
  <w:style w:type="paragraph" w:styleId="FootnoteText">
    <w:name w:val="footnote text"/>
    <w:aliases w:val="Footnote Text Char1,Footnote Text Char Char"/>
    <w:basedOn w:val="Normal"/>
    <w:link w:val="FootnoteTextChar"/>
    <w:uiPriority w:val="99"/>
    <w:rsid w:val="00732A75"/>
    <w:pPr>
      <w:spacing w:after="0" w:line="240" w:lineRule="auto"/>
    </w:pPr>
    <w:rPr>
      <w:rFonts w:ascii="Times New Roman" w:hAnsi="Times New Roman"/>
      <w:sz w:val="20"/>
      <w:szCs w:val="20"/>
      <w:lang w:val="x-none" w:eastAsia="x-none"/>
    </w:rPr>
  </w:style>
  <w:style w:type="character" w:customStyle="1" w:styleId="FootnoteTextChar">
    <w:name w:val="Footnote Text Char"/>
    <w:aliases w:val="Footnote Text Char1 Char,Footnote Text Char Char Char"/>
    <w:link w:val="FootnoteText"/>
    <w:uiPriority w:val="99"/>
    <w:rsid w:val="00732A75"/>
    <w:rPr>
      <w:rFonts w:ascii="Times New Roman" w:eastAsia="Times New Roman" w:hAnsi="Times New Roman" w:cs="Times New Roman"/>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732A75"/>
    <w:rPr>
      <w:vertAlign w:val="superscript"/>
    </w:rPr>
  </w:style>
  <w:style w:type="paragraph" w:customStyle="1" w:styleId="CM13">
    <w:name w:val="CM13"/>
    <w:basedOn w:val="Default"/>
    <w:next w:val="Default"/>
    <w:uiPriority w:val="99"/>
    <w:rsid w:val="00FA7609"/>
    <w:rPr>
      <w:color w:val="auto"/>
    </w:rPr>
  </w:style>
  <w:style w:type="paragraph" w:styleId="Header">
    <w:name w:val="header"/>
    <w:basedOn w:val="Normal"/>
    <w:link w:val="HeaderChar"/>
    <w:uiPriority w:val="99"/>
    <w:unhideWhenUsed/>
    <w:rsid w:val="0055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30"/>
  </w:style>
  <w:style w:type="paragraph" w:styleId="Footer">
    <w:name w:val="footer"/>
    <w:basedOn w:val="Normal"/>
    <w:link w:val="FooterChar"/>
    <w:unhideWhenUsed/>
    <w:rsid w:val="00554730"/>
    <w:pPr>
      <w:tabs>
        <w:tab w:val="center" w:pos="4680"/>
        <w:tab w:val="right" w:pos="9360"/>
      </w:tabs>
      <w:spacing w:after="0" w:line="240" w:lineRule="auto"/>
    </w:pPr>
  </w:style>
  <w:style w:type="character" w:customStyle="1" w:styleId="FooterChar">
    <w:name w:val="Footer Char"/>
    <w:basedOn w:val="DefaultParagraphFont"/>
    <w:link w:val="Footer"/>
    <w:rsid w:val="00554730"/>
  </w:style>
  <w:style w:type="character" w:styleId="CommentReference">
    <w:name w:val="annotation reference"/>
    <w:uiPriority w:val="99"/>
    <w:semiHidden/>
    <w:unhideWhenUsed/>
    <w:rsid w:val="00C85E12"/>
    <w:rPr>
      <w:sz w:val="16"/>
      <w:szCs w:val="16"/>
    </w:rPr>
  </w:style>
  <w:style w:type="paragraph" w:styleId="CommentText">
    <w:name w:val="annotation text"/>
    <w:basedOn w:val="Normal"/>
    <w:link w:val="CommentTextChar"/>
    <w:uiPriority w:val="99"/>
    <w:unhideWhenUsed/>
    <w:rsid w:val="00C85E12"/>
    <w:pPr>
      <w:spacing w:line="240" w:lineRule="auto"/>
    </w:pPr>
    <w:rPr>
      <w:sz w:val="20"/>
      <w:szCs w:val="20"/>
      <w:lang w:val="x-none" w:eastAsia="x-none"/>
    </w:rPr>
  </w:style>
  <w:style w:type="character" w:customStyle="1" w:styleId="CommentTextChar">
    <w:name w:val="Comment Text Char"/>
    <w:link w:val="CommentText"/>
    <w:uiPriority w:val="99"/>
    <w:rsid w:val="00C85E12"/>
    <w:rPr>
      <w:sz w:val="20"/>
      <w:szCs w:val="20"/>
    </w:rPr>
  </w:style>
  <w:style w:type="paragraph" w:styleId="CommentSubject">
    <w:name w:val="annotation subject"/>
    <w:basedOn w:val="CommentText"/>
    <w:next w:val="CommentText"/>
    <w:link w:val="CommentSubjectChar"/>
    <w:uiPriority w:val="99"/>
    <w:semiHidden/>
    <w:unhideWhenUsed/>
    <w:rsid w:val="00C85E12"/>
    <w:rPr>
      <w:b/>
      <w:bCs/>
    </w:rPr>
  </w:style>
  <w:style w:type="character" w:customStyle="1" w:styleId="CommentSubjectChar">
    <w:name w:val="Comment Subject Char"/>
    <w:link w:val="CommentSubject"/>
    <w:uiPriority w:val="99"/>
    <w:semiHidden/>
    <w:rsid w:val="00C85E12"/>
    <w:rPr>
      <w:b/>
      <w:bCs/>
      <w:sz w:val="20"/>
      <w:szCs w:val="20"/>
    </w:rPr>
  </w:style>
  <w:style w:type="paragraph" w:styleId="BalloonText">
    <w:name w:val="Balloon Text"/>
    <w:basedOn w:val="Normal"/>
    <w:link w:val="BalloonTextChar"/>
    <w:uiPriority w:val="99"/>
    <w:semiHidden/>
    <w:unhideWhenUsed/>
    <w:rsid w:val="00C85E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85E12"/>
    <w:rPr>
      <w:rFonts w:ascii="Tahoma" w:hAnsi="Tahoma" w:cs="Tahoma"/>
      <w:sz w:val="16"/>
      <w:szCs w:val="16"/>
    </w:rPr>
  </w:style>
  <w:style w:type="paragraph" w:styleId="BodyText">
    <w:name w:val="Body Text"/>
    <w:basedOn w:val="Normal"/>
    <w:link w:val="BodyTextChar"/>
    <w:rsid w:val="00ED22B3"/>
    <w:pPr>
      <w:spacing w:after="0" w:line="240" w:lineRule="auto"/>
    </w:pPr>
    <w:rPr>
      <w:rFonts w:ascii="Times New Roman" w:hAnsi="Times New Roman"/>
      <w:b/>
      <w:bCs/>
      <w:sz w:val="24"/>
      <w:szCs w:val="20"/>
      <w:lang w:val="x-none" w:eastAsia="x-none"/>
    </w:rPr>
  </w:style>
  <w:style w:type="character" w:customStyle="1" w:styleId="BodyTextChar">
    <w:name w:val="Body Text Char"/>
    <w:link w:val="BodyText"/>
    <w:rsid w:val="00ED22B3"/>
    <w:rPr>
      <w:rFonts w:ascii="Times New Roman" w:eastAsia="Times New Roman" w:hAnsi="Times New Roman" w:cs="Times New Roman"/>
      <w:b/>
      <w:bCs/>
      <w:sz w:val="24"/>
      <w:szCs w:val="20"/>
    </w:rPr>
  </w:style>
  <w:style w:type="paragraph" w:styleId="NoSpacing">
    <w:name w:val="No Spacing"/>
    <w:uiPriority w:val="1"/>
    <w:qFormat/>
    <w:rsid w:val="00ED22B3"/>
    <w:rPr>
      <w:sz w:val="22"/>
      <w:szCs w:val="22"/>
    </w:rPr>
  </w:style>
  <w:style w:type="character" w:styleId="Hyperlink">
    <w:name w:val="Hyperlink"/>
    <w:uiPriority w:val="99"/>
    <w:unhideWhenUsed/>
    <w:rsid w:val="0085654C"/>
    <w:rPr>
      <w:color w:val="0000FF"/>
      <w:u w:val="single"/>
    </w:rPr>
  </w:style>
  <w:style w:type="paragraph" w:styleId="Revision">
    <w:name w:val="Revision"/>
    <w:hidden/>
    <w:uiPriority w:val="99"/>
    <w:semiHidden/>
    <w:rsid w:val="00EB28A8"/>
    <w:rPr>
      <w:sz w:val="22"/>
      <w:szCs w:val="22"/>
    </w:rPr>
  </w:style>
  <w:style w:type="character" w:customStyle="1" w:styleId="apple-converted-space">
    <w:name w:val="apple-converted-space"/>
    <w:rsid w:val="00862B2F"/>
  </w:style>
  <w:style w:type="table" w:styleId="TableGrid">
    <w:name w:val="Table Grid"/>
    <w:basedOn w:val="TableNormal"/>
    <w:uiPriority w:val="59"/>
    <w:rsid w:val="0049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16206D"/>
    <w:rPr>
      <w:rFonts w:ascii="Times New Roman" w:hAnsi="Times New Roman"/>
      <w:b/>
      <w:bCs/>
      <w:sz w:val="24"/>
      <w:szCs w:val="24"/>
      <w:u w:val="single"/>
    </w:rPr>
  </w:style>
  <w:style w:type="character" w:styleId="HTMLDefinition">
    <w:name w:val="HTML Definition"/>
    <w:basedOn w:val="DefaultParagraphFont"/>
    <w:uiPriority w:val="99"/>
    <w:semiHidden/>
    <w:unhideWhenUsed/>
    <w:rsid w:val="00111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8495">
      <w:bodyDiv w:val="1"/>
      <w:marLeft w:val="0"/>
      <w:marRight w:val="0"/>
      <w:marTop w:val="0"/>
      <w:marBottom w:val="0"/>
      <w:divBdr>
        <w:top w:val="none" w:sz="0" w:space="0" w:color="auto"/>
        <w:left w:val="none" w:sz="0" w:space="0" w:color="auto"/>
        <w:bottom w:val="none" w:sz="0" w:space="0" w:color="auto"/>
        <w:right w:val="none" w:sz="0" w:space="0" w:color="auto"/>
      </w:divBdr>
    </w:div>
    <w:div w:id="296032547">
      <w:bodyDiv w:val="1"/>
      <w:marLeft w:val="0"/>
      <w:marRight w:val="0"/>
      <w:marTop w:val="0"/>
      <w:marBottom w:val="0"/>
      <w:divBdr>
        <w:top w:val="none" w:sz="0" w:space="0" w:color="auto"/>
        <w:left w:val="none" w:sz="0" w:space="0" w:color="auto"/>
        <w:bottom w:val="none" w:sz="0" w:space="0" w:color="auto"/>
        <w:right w:val="none" w:sz="0" w:space="0" w:color="auto"/>
      </w:divBdr>
    </w:div>
    <w:div w:id="681398015">
      <w:bodyDiv w:val="1"/>
      <w:marLeft w:val="0"/>
      <w:marRight w:val="0"/>
      <w:marTop w:val="0"/>
      <w:marBottom w:val="0"/>
      <w:divBdr>
        <w:top w:val="none" w:sz="0" w:space="0" w:color="auto"/>
        <w:left w:val="none" w:sz="0" w:space="0" w:color="auto"/>
        <w:bottom w:val="none" w:sz="0" w:space="0" w:color="auto"/>
        <w:right w:val="none" w:sz="0" w:space="0" w:color="auto"/>
      </w:divBdr>
    </w:div>
    <w:div w:id="1242333017">
      <w:bodyDiv w:val="1"/>
      <w:marLeft w:val="0"/>
      <w:marRight w:val="0"/>
      <w:marTop w:val="0"/>
      <w:marBottom w:val="0"/>
      <w:divBdr>
        <w:top w:val="none" w:sz="0" w:space="0" w:color="auto"/>
        <w:left w:val="none" w:sz="0" w:space="0" w:color="auto"/>
        <w:bottom w:val="none" w:sz="0" w:space="0" w:color="auto"/>
        <w:right w:val="none" w:sz="0" w:space="0" w:color="auto"/>
      </w:divBdr>
    </w:div>
    <w:div w:id="1249847020">
      <w:bodyDiv w:val="1"/>
      <w:marLeft w:val="0"/>
      <w:marRight w:val="0"/>
      <w:marTop w:val="0"/>
      <w:marBottom w:val="0"/>
      <w:divBdr>
        <w:top w:val="none" w:sz="0" w:space="0" w:color="auto"/>
        <w:left w:val="none" w:sz="0" w:space="0" w:color="auto"/>
        <w:bottom w:val="none" w:sz="0" w:space="0" w:color="auto"/>
        <w:right w:val="none" w:sz="0" w:space="0" w:color="auto"/>
      </w:divBdr>
      <w:divsChild>
        <w:div w:id="428622137">
          <w:marLeft w:val="0"/>
          <w:marRight w:val="0"/>
          <w:marTop w:val="0"/>
          <w:marBottom w:val="0"/>
          <w:divBdr>
            <w:top w:val="none" w:sz="0" w:space="0" w:color="auto"/>
            <w:left w:val="none" w:sz="0" w:space="0" w:color="auto"/>
            <w:bottom w:val="none" w:sz="0" w:space="0" w:color="auto"/>
            <w:right w:val="none" w:sz="0" w:space="0" w:color="auto"/>
          </w:divBdr>
          <w:divsChild>
            <w:div w:id="1291546058">
              <w:marLeft w:val="0"/>
              <w:marRight w:val="0"/>
              <w:marTop w:val="0"/>
              <w:marBottom w:val="0"/>
              <w:divBdr>
                <w:top w:val="none" w:sz="0" w:space="0" w:color="auto"/>
                <w:left w:val="none" w:sz="0" w:space="0" w:color="auto"/>
                <w:bottom w:val="none" w:sz="0" w:space="0" w:color="auto"/>
                <w:right w:val="none" w:sz="0" w:space="0" w:color="auto"/>
              </w:divBdr>
              <w:divsChild>
                <w:div w:id="196166749">
                  <w:marLeft w:val="0"/>
                  <w:marRight w:val="0"/>
                  <w:marTop w:val="0"/>
                  <w:marBottom w:val="0"/>
                  <w:divBdr>
                    <w:top w:val="none" w:sz="0" w:space="0" w:color="auto"/>
                    <w:left w:val="none" w:sz="0" w:space="0" w:color="auto"/>
                    <w:bottom w:val="none" w:sz="0" w:space="0" w:color="auto"/>
                    <w:right w:val="none" w:sz="0" w:space="0" w:color="auto"/>
                  </w:divBdr>
                  <w:divsChild>
                    <w:div w:id="298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59518">
      <w:bodyDiv w:val="1"/>
      <w:marLeft w:val="0"/>
      <w:marRight w:val="0"/>
      <w:marTop w:val="0"/>
      <w:marBottom w:val="0"/>
      <w:divBdr>
        <w:top w:val="none" w:sz="0" w:space="0" w:color="auto"/>
        <w:left w:val="none" w:sz="0" w:space="0" w:color="auto"/>
        <w:bottom w:val="none" w:sz="0" w:space="0" w:color="auto"/>
        <w:right w:val="none" w:sz="0" w:space="0" w:color="auto"/>
      </w:divBdr>
    </w:div>
    <w:div w:id="2145151024">
      <w:bodyDiv w:val="1"/>
      <w:marLeft w:val="0"/>
      <w:marRight w:val="0"/>
      <w:marTop w:val="0"/>
      <w:marBottom w:val="450"/>
      <w:divBdr>
        <w:top w:val="none" w:sz="0" w:space="0" w:color="auto"/>
        <w:left w:val="none" w:sz="0" w:space="0" w:color="auto"/>
        <w:bottom w:val="none" w:sz="0" w:space="0" w:color="auto"/>
        <w:right w:val="none" w:sz="0" w:space="0" w:color="auto"/>
      </w:divBdr>
      <w:divsChild>
        <w:div w:id="146095801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iles.consumerfinance.gov/f/201411_cfpb_study-of-prepaid-account-agre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85A7-29AC-4524-AFF4-21A804B2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6569</Words>
  <Characters>37448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43930</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Noyes, Gary (CFPB)</dc:creator>
  <cp:lastModifiedBy>SYSTEM</cp:lastModifiedBy>
  <cp:revision>2</cp:revision>
  <cp:lastPrinted>2019-03-13T20:40:00Z</cp:lastPrinted>
  <dcterms:created xsi:type="dcterms:W3CDTF">2019-03-22T20:12:00Z</dcterms:created>
  <dcterms:modified xsi:type="dcterms:W3CDTF">2019-03-22T20:12:00Z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0a0ee834-acfe-4184-a61e-7bae4b7708c1</vt:lpwstr>
  </property>
</Properties>
</file>