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52B1" w:rsidR="00E75377" w:rsidP="001A6B3A" w:rsidRDefault="00E75377" w14:paraId="7BE13FC7" w14:textId="77777777">
      <w:pPr>
        <w:tabs>
          <w:tab w:val="center" w:pos="4680"/>
        </w:tabs>
        <w:jc w:val="center"/>
        <w:rPr>
          <w:rFonts w:ascii="Arial" w:hAnsi="Arial"/>
          <w:sz w:val="22"/>
        </w:rPr>
      </w:pPr>
      <w:r w:rsidRPr="00ED52B1">
        <w:rPr>
          <w:rFonts w:ascii="Arial" w:hAnsi="Arial"/>
          <w:sz w:val="22"/>
        </w:rPr>
        <w:t>Justification</w:t>
      </w:r>
    </w:p>
    <w:p w:rsidRPr="00ED52B1" w:rsidR="00E75377" w:rsidP="001A6B3A" w:rsidRDefault="00E75377" w14:paraId="0B58B8CC" w14:textId="77777777">
      <w:pPr>
        <w:tabs>
          <w:tab w:val="center" w:pos="4680"/>
        </w:tabs>
        <w:jc w:val="center"/>
        <w:rPr>
          <w:rFonts w:ascii="Arial" w:hAnsi="Arial"/>
          <w:sz w:val="22"/>
        </w:rPr>
      </w:pPr>
      <w:r w:rsidRPr="00ED52B1">
        <w:rPr>
          <w:rFonts w:ascii="Arial" w:hAnsi="Arial"/>
          <w:b/>
          <w:sz w:val="22"/>
        </w:rPr>
        <w:t>Public Service Pension Questionnaires</w:t>
      </w:r>
    </w:p>
    <w:p w:rsidRPr="00ED52B1" w:rsidR="00E75377" w:rsidP="001A6B3A" w:rsidRDefault="00E75377" w14:paraId="65B61531" w14:textId="77777777">
      <w:pPr>
        <w:tabs>
          <w:tab w:val="center" w:pos="4680"/>
        </w:tabs>
        <w:jc w:val="center"/>
        <w:rPr>
          <w:rFonts w:ascii="Arial" w:hAnsi="Arial"/>
          <w:sz w:val="22"/>
        </w:rPr>
      </w:pPr>
      <w:r w:rsidRPr="00ED52B1">
        <w:rPr>
          <w:rFonts w:ascii="Arial" w:hAnsi="Arial"/>
          <w:sz w:val="22"/>
        </w:rPr>
        <w:t>RRB Forms G-208 and G-212</w:t>
      </w:r>
    </w:p>
    <w:p w:rsidRPr="00ED52B1" w:rsidR="00E75377" w:rsidRDefault="00E75377" w14:paraId="1557E3A7" w14:textId="77777777">
      <w:pPr>
        <w:tabs>
          <w:tab w:val="center" w:pos="4680"/>
        </w:tabs>
        <w:rPr>
          <w:rFonts w:ascii="Arial" w:hAnsi="Arial"/>
          <w:sz w:val="22"/>
        </w:rPr>
      </w:pPr>
    </w:p>
    <w:p w:rsidRPr="00ED52B1" w:rsidR="00E75377" w:rsidP="001F481C" w:rsidRDefault="00E75377" w14:paraId="67C531E4" w14:textId="77777777">
      <w:pPr>
        <w:tabs>
          <w:tab w:val="left" w:pos="540"/>
        </w:tabs>
        <w:ind w:left="540" w:hanging="540"/>
        <w:jc w:val="both"/>
        <w:rPr>
          <w:rFonts w:ascii="Arial" w:hAnsi="Arial"/>
          <w:sz w:val="22"/>
        </w:rPr>
      </w:pPr>
      <w:r w:rsidRPr="00ED52B1">
        <w:rPr>
          <w:rFonts w:ascii="Arial" w:hAnsi="Arial"/>
          <w:sz w:val="22"/>
        </w:rPr>
        <w:t>1.</w:t>
      </w:r>
      <w:r w:rsidRPr="00ED52B1">
        <w:rPr>
          <w:rFonts w:ascii="Arial" w:hAnsi="Arial"/>
          <w:sz w:val="22"/>
        </w:rPr>
        <w:tab/>
      </w:r>
      <w:r w:rsidRPr="00ED52B1">
        <w:rPr>
          <w:rFonts w:ascii="Arial" w:hAnsi="Arial"/>
          <w:sz w:val="22"/>
          <w:u w:val="single"/>
        </w:rPr>
        <w:t>Circumstances of information collection</w:t>
      </w:r>
      <w:r w:rsidRPr="00ED52B1">
        <w:rPr>
          <w:rFonts w:ascii="Arial" w:hAnsi="Arial"/>
          <w:sz w:val="22"/>
        </w:rPr>
        <w:t xml:space="preserve"> - Public Law 95-216 amended the Social Security Act of 1977 by providing, in part, that spouse or survivor benefits may be reduced when the beneficiary is</w:t>
      </w:r>
      <w:r w:rsidRPr="00ED52B1" w:rsidR="001F481C">
        <w:rPr>
          <w:rFonts w:ascii="Arial" w:hAnsi="Arial"/>
          <w:sz w:val="22"/>
        </w:rPr>
        <w:t xml:space="preserve"> receiving</w:t>
      </w:r>
      <w:r w:rsidRPr="00ED52B1">
        <w:rPr>
          <w:rFonts w:ascii="Arial" w:hAnsi="Arial"/>
          <w:sz w:val="22"/>
        </w:rPr>
        <w:t xml:space="preserve"> a pension based on employment with a Federal, State, or local government</w:t>
      </w:r>
      <w:r w:rsidRPr="00ED52B1" w:rsidR="001F481C">
        <w:rPr>
          <w:rFonts w:ascii="Arial" w:hAnsi="Arial"/>
          <w:sz w:val="22"/>
        </w:rPr>
        <w:t xml:space="preserve"> agency</w:t>
      </w:r>
      <w:r w:rsidRPr="00ED52B1">
        <w:rPr>
          <w:rFonts w:ascii="Arial" w:hAnsi="Arial"/>
          <w:sz w:val="22"/>
        </w:rPr>
        <w:t xml:space="preserve">. </w:t>
      </w:r>
      <w:r w:rsidRPr="00ED52B1" w:rsidR="001F481C">
        <w:rPr>
          <w:rFonts w:ascii="Arial" w:hAnsi="Arial"/>
          <w:sz w:val="22"/>
        </w:rPr>
        <w:t xml:space="preserve"> </w:t>
      </w:r>
      <w:r w:rsidRPr="00ED52B1">
        <w:rPr>
          <w:rFonts w:ascii="Arial" w:hAnsi="Arial"/>
          <w:sz w:val="22"/>
        </w:rPr>
        <w:t>Initially, the reduction was equal to the full amount of the govern</w:t>
      </w:r>
      <w:r w:rsidRPr="00ED52B1">
        <w:rPr>
          <w:rFonts w:ascii="Arial" w:hAnsi="Arial"/>
          <w:sz w:val="22"/>
        </w:rPr>
        <w:softHyphen/>
        <w:t xml:space="preserve">ment pension. </w:t>
      </w:r>
      <w:r w:rsidRPr="00ED52B1" w:rsidR="001F481C">
        <w:rPr>
          <w:rFonts w:ascii="Arial" w:hAnsi="Arial"/>
          <w:sz w:val="22"/>
        </w:rPr>
        <w:t xml:space="preserve"> </w:t>
      </w:r>
      <w:r w:rsidRPr="00ED52B1">
        <w:rPr>
          <w:rFonts w:ascii="Arial" w:hAnsi="Arial"/>
          <w:sz w:val="22"/>
        </w:rPr>
        <w:t>Public Law 98-21 changed the reduction to two-thirds of the amount of the pension.</w:t>
      </w:r>
      <w:r w:rsidRPr="00ED52B1" w:rsidR="008F03A4">
        <w:rPr>
          <w:rFonts w:ascii="Arial" w:hAnsi="Arial"/>
          <w:sz w:val="22"/>
        </w:rPr>
        <w:t xml:space="preserve"> </w:t>
      </w:r>
      <w:r w:rsidRPr="00ED52B1" w:rsidR="001F481C">
        <w:rPr>
          <w:rFonts w:ascii="Arial" w:hAnsi="Arial"/>
          <w:sz w:val="22"/>
        </w:rPr>
        <w:t xml:space="preserve"> </w:t>
      </w:r>
      <w:r w:rsidRPr="00ED52B1" w:rsidR="008F03A4">
        <w:rPr>
          <w:rFonts w:ascii="Arial" w:hAnsi="Arial"/>
          <w:sz w:val="22"/>
        </w:rPr>
        <w:t xml:space="preserve">Public Law 108-203 further amended the Social Security Act by changing the requirement for exemption to </w:t>
      </w:r>
      <w:r w:rsidRPr="00ED52B1" w:rsidR="008D7AC9">
        <w:rPr>
          <w:rFonts w:ascii="Arial" w:hAnsi="Arial"/>
          <w:sz w:val="22"/>
        </w:rPr>
        <w:t xml:space="preserve">a </w:t>
      </w:r>
      <w:r w:rsidRPr="00ED52B1" w:rsidR="008F03A4">
        <w:rPr>
          <w:rFonts w:ascii="Arial" w:hAnsi="Arial"/>
          <w:sz w:val="22"/>
        </w:rPr>
        <w:t xml:space="preserve">public service offset, </w:t>
      </w:r>
      <w:r w:rsidRPr="00ED52B1" w:rsidR="008D7AC9">
        <w:rPr>
          <w:rFonts w:ascii="Arial" w:hAnsi="Arial"/>
          <w:sz w:val="22"/>
        </w:rPr>
        <w:t xml:space="preserve">so </w:t>
      </w:r>
      <w:r w:rsidRPr="00ED52B1" w:rsidR="008F03A4">
        <w:rPr>
          <w:rFonts w:ascii="Arial" w:hAnsi="Arial"/>
          <w:sz w:val="22"/>
        </w:rPr>
        <w:t xml:space="preserve">that FICA taxes </w:t>
      </w:r>
      <w:r w:rsidRPr="00ED52B1" w:rsidR="008D7AC9">
        <w:rPr>
          <w:rFonts w:ascii="Arial" w:hAnsi="Arial"/>
          <w:sz w:val="22"/>
        </w:rPr>
        <w:t xml:space="preserve">are </w:t>
      </w:r>
      <w:r w:rsidRPr="00ED52B1" w:rsidR="008F03A4">
        <w:rPr>
          <w:rFonts w:ascii="Arial" w:hAnsi="Arial"/>
          <w:sz w:val="22"/>
        </w:rPr>
        <w:t xml:space="preserve">deducted from the public service wages for the last 60 months of public service employment, rather than just the last day of public service employment.   </w:t>
      </w:r>
    </w:p>
    <w:p w:rsidRPr="00ED52B1" w:rsidR="00E75377" w:rsidP="00951D3E" w:rsidRDefault="00E75377" w14:paraId="1317E8D3" w14:textId="77777777">
      <w:pPr>
        <w:tabs>
          <w:tab w:val="left" w:pos="540"/>
        </w:tabs>
        <w:ind w:left="540" w:hanging="540"/>
        <w:jc w:val="both"/>
        <w:rPr>
          <w:rFonts w:ascii="Arial" w:hAnsi="Arial"/>
          <w:sz w:val="22"/>
        </w:rPr>
      </w:pPr>
    </w:p>
    <w:p w:rsidRPr="00ED52B1" w:rsidR="00E75377" w:rsidP="004C402A" w:rsidRDefault="00E75377" w14:paraId="174B96D6" w14:textId="77777777">
      <w:pPr>
        <w:tabs>
          <w:tab w:val="left" w:pos="540"/>
        </w:tabs>
        <w:ind w:left="540"/>
        <w:jc w:val="both"/>
        <w:rPr>
          <w:rFonts w:ascii="Arial" w:hAnsi="Arial"/>
          <w:sz w:val="22"/>
        </w:rPr>
      </w:pPr>
      <w:r w:rsidRPr="00ED52B1">
        <w:rPr>
          <w:rFonts w:ascii="Arial" w:hAnsi="Arial"/>
          <w:sz w:val="22"/>
        </w:rPr>
        <w:t>Sections 4(a)(1) and 4(f)(1) of the Railroad Retirement Act (RRA)</w:t>
      </w:r>
      <w:r w:rsidR="00111A5C">
        <w:rPr>
          <w:rFonts w:ascii="Arial" w:hAnsi="Arial"/>
          <w:sz w:val="22"/>
        </w:rPr>
        <w:t>(45 U.S.C. 231)</w:t>
      </w:r>
      <w:r w:rsidRPr="00ED52B1">
        <w:rPr>
          <w:rFonts w:ascii="Arial" w:hAnsi="Arial"/>
          <w:sz w:val="22"/>
        </w:rPr>
        <w:t xml:space="preserve"> provide that a spouse or survivor annuity be equal in amount to what the annuitant would receive if entitled to a like benefit from the Social Security Administration (SSA).  Therefore, the public service pension reduction provision also applies to RRA annuities.  </w:t>
      </w:r>
    </w:p>
    <w:p w:rsidRPr="00ED52B1" w:rsidR="00E75377" w:rsidP="00951D3E" w:rsidRDefault="00E75377" w14:paraId="49E63B5A" w14:textId="77777777">
      <w:pPr>
        <w:tabs>
          <w:tab w:val="left" w:pos="540"/>
        </w:tabs>
        <w:ind w:left="540" w:hanging="540"/>
        <w:jc w:val="both"/>
        <w:rPr>
          <w:rFonts w:ascii="Arial" w:hAnsi="Arial"/>
          <w:sz w:val="22"/>
        </w:rPr>
      </w:pPr>
    </w:p>
    <w:p w:rsidRPr="00ED52B1" w:rsidR="00E75377" w:rsidP="004C402A" w:rsidRDefault="00E75377" w14:paraId="207FBA99" w14:textId="77777777">
      <w:pPr>
        <w:tabs>
          <w:tab w:val="left" w:pos="540"/>
        </w:tabs>
        <w:ind w:left="540"/>
        <w:jc w:val="both"/>
        <w:rPr>
          <w:rFonts w:ascii="Arial" w:hAnsi="Arial"/>
          <w:sz w:val="22"/>
        </w:rPr>
      </w:pPr>
      <w:r w:rsidRPr="00ED52B1">
        <w:rPr>
          <w:rFonts w:ascii="Arial" w:hAnsi="Arial"/>
          <w:sz w:val="22"/>
        </w:rPr>
        <w:t>The regulations pertaining to the collection of evidence relating to public service pensions (PSP) or worker's compensation paid to spouse or survivor applicants or annuitants are prescribed in 20 CFR 219.64c.</w:t>
      </w:r>
    </w:p>
    <w:p w:rsidRPr="00ED52B1" w:rsidR="00E75377" w:rsidP="00951D3E" w:rsidRDefault="00E75377" w14:paraId="5F263D52" w14:textId="77777777">
      <w:pPr>
        <w:tabs>
          <w:tab w:val="left" w:pos="540"/>
        </w:tabs>
        <w:ind w:left="540" w:hanging="540"/>
        <w:jc w:val="both"/>
        <w:rPr>
          <w:rFonts w:ascii="Arial" w:hAnsi="Arial"/>
          <w:sz w:val="22"/>
        </w:rPr>
      </w:pPr>
    </w:p>
    <w:p w:rsidRPr="00ED52B1" w:rsidR="00E75377" w:rsidP="00951D3E" w:rsidRDefault="00E75377" w14:paraId="590B6667" w14:textId="77777777">
      <w:pPr>
        <w:tabs>
          <w:tab w:val="left" w:pos="-1440"/>
          <w:tab w:val="left" w:pos="540"/>
        </w:tabs>
        <w:ind w:left="540" w:hanging="540"/>
        <w:jc w:val="both"/>
        <w:rPr>
          <w:rFonts w:ascii="Arial" w:hAnsi="Arial"/>
          <w:sz w:val="22"/>
        </w:rPr>
      </w:pPr>
      <w:r w:rsidRPr="00ED52B1">
        <w:rPr>
          <w:rFonts w:ascii="Arial" w:hAnsi="Arial"/>
          <w:sz w:val="22"/>
        </w:rPr>
        <w:t>2.</w:t>
      </w:r>
      <w:r w:rsidRPr="00ED52B1">
        <w:rPr>
          <w:rFonts w:ascii="Arial" w:hAnsi="Arial"/>
          <w:sz w:val="22"/>
        </w:rPr>
        <w:tab/>
      </w:r>
      <w:r w:rsidRPr="00ED52B1">
        <w:rPr>
          <w:rFonts w:ascii="Arial" w:hAnsi="Arial"/>
          <w:sz w:val="22"/>
          <w:u w:val="single"/>
        </w:rPr>
        <w:t>Purposes of collecting/consequences of not collecting the information</w:t>
      </w:r>
      <w:r w:rsidRPr="00ED52B1">
        <w:rPr>
          <w:rFonts w:ascii="Arial" w:hAnsi="Arial"/>
          <w:sz w:val="22"/>
        </w:rPr>
        <w:t xml:space="preserve"> - The RRB utilizes</w:t>
      </w:r>
      <w:r w:rsidRPr="00ED52B1" w:rsidR="002B6124">
        <w:rPr>
          <w:rFonts w:ascii="Arial" w:hAnsi="Arial"/>
          <w:sz w:val="22"/>
        </w:rPr>
        <w:t xml:space="preserve"> </w:t>
      </w:r>
      <w:r w:rsidRPr="00ED52B1">
        <w:rPr>
          <w:rFonts w:ascii="Arial" w:hAnsi="Arial"/>
          <w:sz w:val="22"/>
        </w:rPr>
        <w:t xml:space="preserve">the following forms to obtain information used in determining whether an annuity reduction is required. </w:t>
      </w:r>
    </w:p>
    <w:p w:rsidRPr="00ED52B1" w:rsidR="00E75377" w:rsidP="00951D3E" w:rsidRDefault="00E75377" w14:paraId="256461AD" w14:textId="77777777">
      <w:pPr>
        <w:tabs>
          <w:tab w:val="left" w:pos="540"/>
        </w:tabs>
        <w:ind w:left="540" w:hanging="540"/>
        <w:jc w:val="both"/>
        <w:rPr>
          <w:rFonts w:ascii="Arial" w:hAnsi="Arial"/>
          <w:sz w:val="22"/>
        </w:rPr>
      </w:pPr>
    </w:p>
    <w:p w:rsidRPr="00ED52B1" w:rsidR="00E75377" w:rsidP="004C402A" w:rsidRDefault="00E75377" w14:paraId="1703DEAD" w14:textId="77777777">
      <w:pPr>
        <w:tabs>
          <w:tab w:val="left" w:pos="540"/>
        </w:tabs>
        <w:ind w:left="540"/>
        <w:jc w:val="both"/>
        <w:rPr>
          <w:rFonts w:ascii="Arial" w:hAnsi="Arial"/>
          <w:sz w:val="22"/>
        </w:rPr>
      </w:pPr>
      <w:r w:rsidRPr="00ED52B1">
        <w:rPr>
          <w:rFonts w:ascii="Arial" w:hAnsi="Arial"/>
          <w:b/>
          <w:sz w:val="22"/>
        </w:rPr>
        <w:t>Form G-208, Public Service Pension Questionnaire</w:t>
      </w:r>
      <w:r w:rsidRPr="00ED52B1">
        <w:rPr>
          <w:rFonts w:ascii="Arial" w:hAnsi="Arial"/>
          <w:sz w:val="22"/>
        </w:rPr>
        <w:t>, is currently used by the RRB to obtain information from a spouse, divorced spouse, survivor applicant or annuitant</w:t>
      </w:r>
      <w:r w:rsidRPr="00ED52B1" w:rsidR="008F03A4">
        <w:rPr>
          <w:rFonts w:ascii="Arial" w:hAnsi="Arial"/>
          <w:sz w:val="22"/>
        </w:rPr>
        <w:t xml:space="preserve">, which is </w:t>
      </w:r>
      <w:r w:rsidRPr="00ED52B1">
        <w:rPr>
          <w:rFonts w:ascii="Arial" w:hAnsi="Arial"/>
          <w:sz w:val="22"/>
        </w:rPr>
        <w:t xml:space="preserve"> needed to determine whether the </w:t>
      </w:r>
      <w:r w:rsidRPr="00ED52B1" w:rsidR="008F03A4">
        <w:rPr>
          <w:rFonts w:ascii="Arial" w:hAnsi="Arial"/>
          <w:sz w:val="22"/>
        </w:rPr>
        <w:t xml:space="preserve">RRA </w:t>
      </w:r>
      <w:r w:rsidRPr="00ED52B1">
        <w:rPr>
          <w:rFonts w:ascii="Arial" w:hAnsi="Arial"/>
          <w:sz w:val="22"/>
        </w:rPr>
        <w:t xml:space="preserve">annuity should be reduced because of a public service pension and if so, the amount of </w:t>
      </w:r>
      <w:r w:rsidRPr="00ED52B1" w:rsidR="008F03A4">
        <w:rPr>
          <w:rFonts w:ascii="Arial" w:hAnsi="Arial"/>
          <w:sz w:val="22"/>
        </w:rPr>
        <w:t xml:space="preserve">the </w:t>
      </w:r>
      <w:r w:rsidRPr="00ED52B1">
        <w:rPr>
          <w:rFonts w:ascii="Arial" w:hAnsi="Arial"/>
          <w:sz w:val="22"/>
        </w:rPr>
        <w:t>reduction.  Applicants who indicate on the annuity application form that they are receiving, or expect to receive, a public</w:t>
      </w:r>
      <w:r w:rsidRPr="00ED52B1" w:rsidR="001131DF">
        <w:rPr>
          <w:rFonts w:ascii="Arial" w:hAnsi="Arial"/>
          <w:sz w:val="22"/>
        </w:rPr>
        <w:t xml:space="preserve"> </w:t>
      </w:r>
      <w:r w:rsidRPr="00ED52B1">
        <w:rPr>
          <w:rFonts w:ascii="Arial" w:hAnsi="Arial"/>
          <w:sz w:val="22"/>
        </w:rPr>
        <w:t>service pension</w:t>
      </w:r>
      <w:r w:rsidRPr="00ED52B1" w:rsidR="001131DF">
        <w:rPr>
          <w:rFonts w:ascii="Arial" w:hAnsi="Arial"/>
          <w:sz w:val="22"/>
        </w:rPr>
        <w:t>,</w:t>
      </w:r>
      <w:r w:rsidRPr="00ED52B1">
        <w:rPr>
          <w:rFonts w:ascii="Arial" w:hAnsi="Arial"/>
          <w:sz w:val="22"/>
        </w:rPr>
        <w:t xml:space="preserve"> </w:t>
      </w:r>
      <w:r w:rsidRPr="00ED52B1" w:rsidR="008F03A4">
        <w:rPr>
          <w:rFonts w:ascii="Arial" w:hAnsi="Arial"/>
          <w:sz w:val="22"/>
        </w:rPr>
        <w:t>are</w:t>
      </w:r>
      <w:r w:rsidRPr="00ED52B1">
        <w:rPr>
          <w:rFonts w:ascii="Arial" w:hAnsi="Arial"/>
          <w:sz w:val="22"/>
        </w:rPr>
        <w:t xml:space="preserve"> given Form G-208 to complete.</w:t>
      </w:r>
    </w:p>
    <w:p w:rsidRPr="00ED52B1" w:rsidR="00E75377" w:rsidP="004C402A" w:rsidRDefault="00E75377" w14:paraId="0A824880" w14:textId="77777777">
      <w:pPr>
        <w:tabs>
          <w:tab w:val="left" w:pos="540"/>
        </w:tabs>
        <w:ind w:left="540"/>
        <w:jc w:val="both"/>
        <w:rPr>
          <w:rFonts w:ascii="Arial" w:hAnsi="Arial"/>
          <w:sz w:val="22"/>
        </w:rPr>
      </w:pPr>
    </w:p>
    <w:p w:rsidRPr="00ED52B1" w:rsidR="00E75377" w:rsidP="004C402A" w:rsidRDefault="00E75377" w14:paraId="43240C13" w14:textId="77777777">
      <w:pPr>
        <w:tabs>
          <w:tab w:val="left" w:pos="540"/>
        </w:tabs>
        <w:ind w:left="540"/>
        <w:jc w:val="both"/>
        <w:rPr>
          <w:rFonts w:ascii="Arial" w:hAnsi="Arial"/>
          <w:sz w:val="22"/>
        </w:rPr>
      </w:pPr>
      <w:r w:rsidRPr="00ED52B1">
        <w:rPr>
          <w:rFonts w:ascii="Arial" w:hAnsi="Arial"/>
          <w:sz w:val="22"/>
        </w:rPr>
        <w:t xml:space="preserve">Form G-208 is completed once by an applicant or annuitant.  </w:t>
      </w:r>
      <w:r w:rsidRPr="00ED52B1" w:rsidR="008F03A4">
        <w:rPr>
          <w:rFonts w:ascii="Arial" w:hAnsi="Arial"/>
          <w:sz w:val="22"/>
        </w:rPr>
        <w:t>A p</w:t>
      </w:r>
      <w:r w:rsidRPr="00ED52B1">
        <w:rPr>
          <w:rFonts w:ascii="Arial" w:hAnsi="Arial"/>
          <w:sz w:val="22"/>
        </w:rPr>
        <w:t xml:space="preserve">erson expecting to receive a public service pension </w:t>
      </w:r>
      <w:r w:rsidRPr="00ED52B1" w:rsidR="008F03A4">
        <w:rPr>
          <w:rFonts w:ascii="Arial" w:hAnsi="Arial"/>
          <w:sz w:val="22"/>
        </w:rPr>
        <w:t>is</w:t>
      </w:r>
      <w:r w:rsidRPr="00ED52B1">
        <w:rPr>
          <w:rFonts w:ascii="Arial" w:hAnsi="Arial"/>
          <w:sz w:val="22"/>
        </w:rPr>
        <w:t xml:space="preserve"> asked to complete the form so a determination can be made whether the future pension would cause a reduction. </w:t>
      </w:r>
      <w:r w:rsidRPr="00ED52B1" w:rsidR="00D52516">
        <w:rPr>
          <w:rFonts w:ascii="Arial" w:hAnsi="Arial"/>
          <w:sz w:val="22"/>
        </w:rPr>
        <w:t xml:space="preserve"> </w:t>
      </w:r>
      <w:r w:rsidRPr="00ED52B1">
        <w:rPr>
          <w:rFonts w:ascii="Arial" w:hAnsi="Arial"/>
          <w:sz w:val="22"/>
        </w:rPr>
        <w:t>If so, the case is flagged and the applicant contacted if he or she does not notify us of entitlement to the public service pension, as requested.</w:t>
      </w:r>
    </w:p>
    <w:p w:rsidRPr="00ED52B1" w:rsidR="00E75377" w:rsidP="004C402A" w:rsidRDefault="00E75377" w14:paraId="58F009DF" w14:textId="77777777">
      <w:pPr>
        <w:tabs>
          <w:tab w:val="left" w:pos="540"/>
        </w:tabs>
        <w:ind w:left="540"/>
        <w:jc w:val="both"/>
        <w:rPr>
          <w:rFonts w:ascii="Arial" w:hAnsi="Arial"/>
          <w:sz w:val="22"/>
        </w:rPr>
      </w:pPr>
    </w:p>
    <w:p w:rsidRPr="00ED52B1" w:rsidR="005310AC" w:rsidP="004C402A" w:rsidRDefault="00E75377" w14:paraId="0BB7891B" w14:textId="77777777">
      <w:pPr>
        <w:tabs>
          <w:tab w:val="left" w:pos="540"/>
        </w:tabs>
        <w:ind w:left="540"/>
        <w:jc w:val="both"/>
        <w:rPr>
          <w:rFonts w:ascii="Arial" w:hAnsi="Arial"/>
          <w:sz w:val="22"/>
        </w:rPr>
      </w:pPr>
      <w:r w:rsidRPr="00ED52B1">
        <w:rPr>
          <w:rFonts w:ascii="Arial" w:hAnsi="Arial"/>
          <w:sz w:val="22"/>
        </w:rPr>
        <w:t>Form G-208 obtains information similar to that obtained by SSA's Form SSA-3885, Government Pension Questionnaire, OMB No. 0960-0160.  The SSA form does not request Federal pension information because SSA conducts a monthly computer matching program with the Office of Personnel Management</w:t>
      </w:r>
      <w:r w:rsidRPr="00ED52B1" w:rsidR="00FF012F">
        <w:rPr>
          <w:rFonts w:ascii="Arial" w:hAnsi="Arial"/>
          <w:sz w:val="22"/>
        </w:rPr>
        <w:t xml:space="preserve"> (OPM)</w:t>
      </w:r>
      <w:r w:rsidRPr="00ED52B1">
        <w:rPr>
          <w:rFonts w:ascii="Arial" w:hAnsi="Arial"/>
          <w:sz w:val="22"/>
        </w:rPr>
        <w:t>.  The RRB receives a copy of the OPM tape from SSA twice a year to monitor federal employees</w:t>
      </w:r>
      <w:r w:rsidRPr="00ED52B1" w:rsidR="008F03A4">
        <w:rPr>
          <w:rFonts w:ascii="Arial" w:hAnsi="Arial"/>
          <w:sz w:val="22"/>
        </w:rPr>
        <w:t>’</w:t>
      </w:r>
      <w:r w:rsidRPr="00ED52B1">
        <w:rPr>
          <w:rFonts w:ascii="Arial" w:hAnsi="Arial"/>
          <w:sz w:val="22"/>
        </w:rPr>
        <w:t xml:space="preserve"> PSPs. </w:t>
      </w:r>
      <w:r w:rsidRPr="00ED52B1" w:rsidR="00D52516">
        <w:rPr>
          <w:rFonts w:ascii="Arial" w:hAnsi="Arial"/>
          <w:sz w:val="22"/>
        </w:rPr>
        <w:t xml:space="preserve"> </w:t>
      </w:r>
      <w:r w:rsidRPr="00ED52B1">
        <w:rPr>
          <w:rFonts w:ascii="Arial" w:hAnsi="Arial"/>
          <w:sz w:val="22"/>
        </w:rPr>
        <w:t>The G-208 retains questions concerning federal employment</w:t>
      </w:r>
      <w:r w:rsidRPr="00ED52B1" w:rsidR="00065C15">
        <w:rPr>
          <w:rFonts w:ascii="Arial" w:hAnsi="Arial"/>
          <w:sz w:val="22"/>
        </w:rPr>
        <w:t>;</w:t>
      </w:r>
      <w:r w:rsidRPr="00ED52B1">
        <w:rPr>
          <w:rFonts w:ascii="Arial" w:hAnsi="Arial"/>
          <w:sz w:val="22"/>
        </w:rPr>
        <w:t xml:space="preserve"> however, because the OPM tape is not structured to identify Federal Employee Retirement System (FERS) employees.</w:t>
      </w:r>
    </w:p>
    <w:p w:rsidRPr="00ED52B1" w:rsidR="008754EB" w:rsidP="00951D3E" w:rsidRDefault="008754EB" w14:paraId="1B13832A" w14:textId="77777777">
      <w:pPr>
        <w:tabs>
          <w:tab w:val="left" w:pos="540"/>
        </w:tabs>
        <w:ind w:left="540" w:hanging="540"/>
        <w:jc w:val="both"/>
        <w:rPr>
          <w:rFonts w:ascii="Arial" w:hAnsi="Arial"/>
          <w:b/>
          <w:sz w:val="22"/>
        </w:rPr>
      </w:pPr>
    </w:p>
    <w:p w:rsidRPr="00ED52B1" w:rsidR="00486F34" w:rsidP="004C402A" w:rsidRDefault="00E75377" w14:paraId="569B9821" w14:textId="77777777">
      <w:pPr>
        <w:tabs>
          <w:tab w:val="left" w:pos="540"/>
        </w:tabs>
        <w:ind w:left="1080" w:hanging="540"/>
        <w:jc w:val="both"/>
        <w:rPr>
          <w:rFonts w:ascii="Arial" w:hAnsi="Arial"/>
          <w:b/>
          <w:sz w:val="22"/>
        </w:rPr>
      </w:pPr>
      <w:r w:rsidRPr="00ED52B1">
        <w:rPr>
          <w:rFonts w:ascii="Arial" w:hAnsi="Arial"/>
          <w:b/>
          <w:sz w:val="22"/>
        </w:rPr>
        <w:t xml:space="preserve">The RRB proposes </w:t>
      </w:r>
      <w:r w:rsidRPr="00ED52B1" w:rsidR="000956FF">
        <w:rPr>
          <w:rFonts w:ascii="Arial" w:hAnsi="Arial"/>
          <w:b/>
          <w:sz w:val="22"/>
        </w:rPr>
        <w:t xml:space="preserve">no </w:t>
      </w:r>
      <w:r w:rsidRPr="00ED52B1" w:rsidR="00486F34">
        <w:rPr>
          <w:rFonts w:ascii="Arial" w:hAnsi="Arial"/>
          <w:b/>
          <w:sz w:val="22"/>
        </w:rPr>
        <w:t xml:space="preserve">changes to </w:t>
      </w:r>
      <w:r w:rsidRPr="00ED52B1">
        <w:rPr>
          <w:rFonts w:ascii="Arial" w:hAnsi="Arial"/>
          <w:b/>
          <w:sz w:val="22"/>
        </w:rPr>
        <w:t>Form G-208</w:t>
      </w:r>
      <w:r w:rsidRPr="00ED52B1" w:rsidR="00486F34">
        <w:rPr>
          <w:rFonts w:ascii="Arial" w:hAnsi="Arial"/>
          <w:b/>
          <w:sz w:val="22"/>
        </w:rPr>
        <w:t>.</w:t>
      </w:r>
    </w:p>
    <w:p w:rsidRPr="00ED52B1" w:rsidR="008754EB" w:rsidP="00951D3E" w:rsidRDefault="008754EB" w14:paraId="2A281AD5" w14:textId="77777777">
      <w:pPr>
        <w:tabs>
          <w:tab w:val="left" w:pos="540"/>
        </w:tabs>
        <w:ind w:left="540" w:hanging="540"/>
        <w:jc w:val="both"/>
        <w:rPr>
          <w:rFonts w:ascii="Arial" w:hAnsi="Arial"/>
          <w:b/>
          <w:sz w:val="22"/>
        </w:rPr>
      </w:pPr>
    </w:p>
    <w:p w:rsidRPr="00ED52B1" w:rsidR="00E75377" w:rsidP="004C402A" w:rsidRDefault="00E75377" w14:paraId="5F9A25FC" w14:textId="77777777">
      <w:pPr>
        <w:widowControl/>
        <w:tabs>
          <w:tab w:val="left" w:pos="540"/>
        </w:tabs>
        <w:ind w:left="540"/>
        <w:jc w:val="both"/>
        <w:rPr>
          <w:rFonts w:ascii="Arial" w:hAnsi="Arial"/>
          <w:sz w:val="22"/>
        </w:rPr>
      </w:pPr>
      <w:r w:rsidRPr="00ED52B1">
        <w:rPr>
          <w:rFonts w:ascii="Arial" w:hAnsi="Arial"/>
          <w:b/>
          <w:sz w:val="22"/>
        </w:rPr>
        <w:lastRenderedPageBreak/>
        <w:t>Form G-212, Public Service Pension Monitoring Questionnaire,</w:t>
      </w:r>
      <w:r w:rsidRPr="00ED52B1">
        <w:rPr>
          <w:rFonts w:ascii="Arial" w:hAnsi="Arial"/>
          <w:sz w:val="22"/>
        </w:rPr>
        <w:t xml:space="preserve"> is used by the RRB to obtain</w:t>
      </w:r>
      <w:r w:rsidRPr="00ED52B1" w:rsidR="001F5E71">
        <w:rPr>
          <w:rFonts w:ascii="Arial" w:hAnsi="Arial"/>
          <w:sz w:val="22"/>
        </w:rPr>
        <w:t xml:space="preserve"> </w:t>
      </w:r>
      <w:r w:rsidRPr="00ED52B1">
        <w:rPr>
          <w:rFonts w:ascii="Arial" w:hAnsi="Arial"/>
          <w:sz w:val="22"/>
        </w:rPr>
        <w:t xml:space="preserve">up-to-date public service pension </w:t>
      </w:r>
      <w:r w:rsidRPr="00ED52B1" w:rsidR="008F03A4">
        <w:rPr>
          <w:rFonts w:ascii="Arial" w:hAnsi="Arial"/>
          <w:sz w:val="22"/>
        </w:rPr>
        <w:t xml:space="preserve">(PSP) </w:t>
      </w:r>
      <w:r w:rsidRPr="00ED52B1">
        <w:rPr>
          <w:rFonts w:ascii="Arial" w:hAnsi="Arial"/>
          <w:sz w:val="22"/>
        </w:rPr>
        <w:t>information from annuitants who ha</w:t>
      </w:r>
      <w:r w:rsidRPr="00ED52B1" w:rsidR="008F03A4">
        <w:rPr>
          <w:rFonts w:ascii="Arial" w:hAnsi="Arial"/>
          <w:sz w:val="22"/>
        </w:rPr>
        <w:t>d</w:t>
      </w:r>
      <w:r w:rsidRPr="00ED52B1">
        <w:rPr>
          <w:rFonts w:ascii="Arial" w:hAnsi="Arial"/>
          <w:sz w:val="22"/>
        </w:rPr>
        <w:t xml:space="preserve"> previously informed the RRB</w:t>
      </w:r>
      <w:r w:rsidRPr="00ED52B1" w:rsidR="001F5E71">
        <w:rPr>
          <w:rFonts w:ascii="Arial" w:hAnsi="Arial"/>
          <w:sz w:val="22"/>
        </w:rPr>
        <w:t xml:space="preserve"> either by Form G-208 or by written communication </w:t>
      </w:r>
      <w:r w:rsidRPr="00ED52B1">
        <w:rPr>
          <w:rFonts w:ascii="Arial" w:hAnsi="Arial"/>
          <w:sz w:val="22"/>
        </w:rPr>
        <w:t>that they were receiving such a pension</w:t>
      </w:r>
      <w:r w:rsidRPr="00ED52B1" w:rsidR="000956FF">
        <w:rPr>
          <w:rFonts w:ascii="Arial" w:hAnsi="Arial"/>
          <w:sz w:val="22"/>
        </w:rPr>
        <w:t>.</w:t>
      </w:r>
      <w:r w:rsidRPr="00ED52B1">
        <w:rPr>
          <w:rFonts w:ascii="Arial" w:hAnsi="Arial"/>
          <w:sz w:val="22"/>
        </w:rPr>
        <w:t xml:space="preserve">  The only annuitants who will be monitored are </w:t>
      </w:r>
      <w:r w:rsidRPr="00ED52B1" w:rsidR="000956FF">
        <w:rPr>
          <w:rFonts w:ascii="Arial" w:hAnsi="Arial"/>
          <w:sz w:val="22"/>
        </w:rPr>
        <w:t xml:space="preserve">the ones whose </w:t>
      </w:r>
      <w:r w:rsidRPr="00ED52B1">
        <w:rPr>
          <w:rFonts w:ascii="Arial" w:hAnsi="Arial"/>
          <w:sz w:val="22"/>
        </w:rPr>
        <w:t>current monthly annuit</w:t>
      </w:r>
      <w:r w:rsidRPr="00ED52B1" w:rsidR="000956FF">
        <w:rPr>
          <w:rFonts w:ascii="Arial" w:hAnsi="Arial"/>
          <w:sz w:val="22"/>
        </w:rPr>
        <w:t xml:space="preserve">ies are </w:t>
      </w:r>
      <w:r w:rsidRPr="00ED52B1">
        <w:rPr>
          <w:rFonts w:ascii="Arial" w:hAnsi="Arial"/>
          <w:sz w:val="22"/>
        </w:rPr>
        <w:t xml:space="preserve">offset by such a pension, and </w:t>
      </w:r>
      <w:r w:rsidRPr="00ED52B1">
        <w:rPr>
          <w:rFonts w:ascii="Arial" w:hAnsi="Arial"/>
          <w:sz w:val="22"/>
          <w:u w:val="single"/>
        </w:rPr>
        <w:t>only</w:t>
      </w:r>
      <w:r w:rsidRPr="00ED52B1">
        <w:rPr>
          <w:rFonts w:ascii="Arial" w:hAnsi="Arial"/>
          <w:sz w:val="22"/>
        </w:rPr>
        <w:t xml:space="preserve"> if the maximum pension reduction does not already apply.</w:t>
      </w:r>
    </w:p>
    <w:p w:rsidRPr="00ED52B1" w:rsidR="00E75377" w:rsidP="00951D3E" w:rsidRDefault="00E75377" w14:paraId="37B00EC3" w14:textId="77777777">
      <w:pPr>
        <w:tabs>
          <w:tab w:val="left" w:pos="540"/>
        </w:tabs>
        <w:ind w:left="540" w:hanging="540"/>
        <w:jc w:val="both"/>
        <w:rPr>
          <w:rFonts w:ascii="Arial" w:hAnsi="Arial"/>
          <w:sz w:val="22"/>
        </w:rPr>
      </w:pPr>
    </w:p>
    <w:p w:rsidRPr="00ED52B1" w:rsidR="00E75377" w:rsidP="004C402A" w:rsidRDefault="00E75377" w14:paraId="78331CFD" w14:textId="77777777">
      <w:pPr>
        <w:tabs>
          <w:tab w:val="left" w:pos="540"/>
        </w:tabs>
        <w:ind w:left="540"/>
        <w:jc w:val="both"/>
        <w:rPr>
          <w:rFonts w:ascii="Arial" w:hAnsi="Arial"/>
          <w:sz w:val="22"/>
        </w:rPr>
      </w:pPr>
      <w:r w:rsidRPr="00ED52B1">
        <w:rPr>
          <w:rFonts w:ascii="Arial" w:hAnsi="Arial"/>
          <w:sz w:val="22"/>
        </w:rPr>
        <w:t xml:space="preserve">As is the case with RRB annuities, </w:t>
      </w:r>
      <w:r w:rsidRPr="00ED52B1" w:rsidR="000956FF">
        <w:rPr>
          <w:rFonts w:ascii="Arial" w:hAnsi="Arial"/>
          <w:sz w:val="22"/>
        </w:rPr>
        <w:t>PSP’s</w:t>
      </w:r>
      <w:r w:rsidRPr="00ED52B1">
        <w:rPr>
          <w:rFonts w:ascii="Arial" w:hAnsi="Arial"/>
          <w:sz w:val="22"/>
        </w:rPr>
        <w:t xml:space="preserve"> from other government </w:t>
      </w:r>
      <w:r w:rsidRPr="00ED52B1" w:rsidR="000956FF">
        <w:rPr>
          <w:rFonts w:ascii="Arial" w:hAnsi="Arial"/>
          <w:sz w:val="22"/>
        </w:rPr>
        <w:t xml:space="preserve">agencies </w:t>
      </w:r>
      <w:r w:rsidRPr="00ED52B1">
        <w:rPr>
          <w:rFonts w:ascii="Arial" w:hAnsi="Arial"/>
          <w:sz w:val="22"/>
        </w:rPr>
        <w:t xml:space="preserve">are frequently increased because of cost-of-living or other adjustments.  These increases, in turn, have an impact on the amount of the reduction in the RRA annuities that the RRB pays.  Form G-212 is released throughout the year in non-OPM PSP cases, based on schedules or legislated PSP cost-of-living increases.  </w:t>
      </w:r>
    </w:p>
    <w:p w:rsidRPr="00ED52B1" w:rsidR="00E75377" w:rsidP="004C402A" w:rsidRDefault="00E75377" w14:paraId="5BEC010E" w14:textId="77777777">
      <w:pPr>
        <w:tabs>
          <w:tab w:val="left" w:pos="540"/>
        </w:tabs>
        <w:ind w:left="540"/>
        <w:jc w:val="both"/>
        <w:rPr>
          <w:rFonts w:ascii="Arial" w:hAnsi="Arial"/>
          <w:sz w:val="22"/>
        </w:rPr>
      </w:pPr>
    </w:p>
    <w:p w:rsidRPr="00ED52B1" w:rsidR="00E75377" w:rsidP="004C402A" w:rsidRDefault="000956FF" w14:paraId="07F16CB3" w14:textId="77777777">
      <w:pPr>
        <w:tabs>
          <w:tab w:val="left" w:pos="540"/>
        </w:tabs>
        <w:ind w:left="540"/>
        <w:jc w:val="both"/>
        <w:rPr>
          <w:rFonts w:ascii="Arial" w:hAnsi="Arial"/>
          <w:sz w:val="22"/>
        </w:rPr>
      </w:pPr>
      <w:r w:rsidRPr="00ED52B1">
        <w:rPr>
          <w:rFonts w:ascii="Arial" w:hAnsi="Arial"/>
          <w:sz w:val="22"/>
        </w:rPr>
        <w:t xml:space="preserve">All identifying information is prefilled by the RRB before release. The completed form is then returned </w:t>
      </w:r>
      <w:r w:rsidRPr="00ED52B1" w:rsidR="00E75377">
        <w:rPr>
          <w:rFonts w:ascii="Arial" w:hAnsi="Arial"/>
          <w:sz w:val="22"/>
        </w:rPr>
        <w:t>to the RRB in the envelope provided.</w:t>
      </w:r>
    </w:p>
    <w:p w:rsidRPr="00ED52B1" w:rsidR="00E75377" w:rsidP="00951D3E" w:rsidRDefault="00E75377" w14:paraId="53E3D71C" w14:textId="77777777">
      <w:pPr>
        <w:tabs>
          <w:tab w:val="left" w:pos="540"/>
        </w:tabs>
        <w:ind w:left="540" w:hanging="540"/>
        <w:jc w:val="both"/>
        <w:rPr>
          <w:rFonts w:ascii="Arial" w:hAnsi="Arial"/>
          <w:sz w:val="22"/>
        </w:rPr>
      </w:pPr>
    </w:p>
    <w:p w:rsidRPr="00ED52B1" w:rsidR="00E75377" w:rsidP="004C402A" w:rsidRDefault="00E75377" w14:paraId="66C01CF8" w14:textId="77777777">
      <w:pPr>
        <w:tabs>
          <w:tab w:val="left" w:pos="540"/>
        </w:tabs>
        <w:ind w:left="1080" w:hanging="540"/>
        <w:jc w:val="both"/>
        <w:rPr>
          <w:rFonts w:ascii="Arial" w:hAnsi="Arial"/>
          <w:b/>
          <w:sz w:val="22"/>
        </w:rPr>
      </w:pPr>
      <w:r w:rsidRPr="00ED52B1">
        <w:rPr>
          <w:rFonts w:ascii="Arial" w:hAnsi="Arial"/>
          <w:b/>
          <w:sz w:val="22"/>
        </w:rPr>
        <w:t xml:space="preserve">The RRB proposes </w:t>
      </w:r>
      <w:r w:rsidRPr="00ED52B1" w:rsidR="00D52516">
        <w:rPr>
          <w:rFonts w:ascii="Arial" w:hAnsi="Arial"/>
          <w:b/>
          <w:sz w:val="22"/>
        </w:rPr>
        <w:t xml:space="preserve">no </w:t>
      </w:r>
      <w:r w:rsidRPr="00ED52B1" w:rsidR="000956FF">
        <w:rPr>
          <w:rFonts w:ascii="Arial" w:hAnsi="Arial"/>
          <w:b/>
          <w:sz w:val="22"/>
        </w:rPr>
        <w:t xml:space="preserve">changes </w:t>
      </w:r>
      <w:r w:rsidRPr="00ED52B1" w:rsidR="00486F34">
        <w:rPr>
          <w:rFonts w:ascii="Arial" w:hAnsi="Arial"/>
          <w:b/>
          <w:sz w:val="22"/>
        </w:rPr>
        <w:t xml:space="preserve">to </w:t>
      </w:r>
      <w:r w:rsidRPr="00ED52B1" w:rsidR="00D52516">
        <w:rPr>
          <w:rFonts w:ascii="Arial" w:hAnsi="Arial"/>
          <w:b/>
          <w:sz w:val="22"/>
        </w:rPr>
        <w:t>Form G-212.</w:t>
      </w:r>
    </w:p>
    <w:p w:rsidRPr="00ED52B1" w:rsidR="00E75377" w:rsidP="00951D3E" w:rsidRDefault="00E75377" w14:paraId="73244117" w14:textId="77777777">
      <w:pPr>
        <w:tabs>
          <w:tab w:val="left" w:pos="540"/>
        </w:tabs>
        <w:ind w:left="540" w:hanging="540"/>
        <w:jc w:val="both"/>
        <w:rPr>
          <w:rFonts w:ascii="Arial" w:hAnsi="Arial"/>
          <w:sz w:val="22"/>
        </w:rPr>
      </w:pPr>
    </w:p>
    <w:p w:rsidRPr="00ED52B1" w:rsidR="00E75377" w:rsidP="00951D3E" w:rsidRDefault="00E75377" w14:paraId="50E1F7E1" w14:textId="3D301E8D">
      <w:pPr>
        <w:tabs>
          <w:tab w:val="left" w:pos="-1440"/>
          <w:tab w:val="left" w:pos="540"/>
        </w:tabs>
        <w:ind w:left="540" w:hanging="540"/>
        <w:jc w:val="both"/>
        <w:rPr>
          <w:rFonts w:ascii="Arial" w:hAnsi="Arial"/>
          <w:sz w:val="22"/>
        </w:rPr>
      </w:pPr>
      <w:r w:rsidRPr="00ED52B1">
        <w:rPr>
          <w:rFonts w:ascii="Arial" w:hAnsi="Arial"/>
          <w:sz w:val="22"/>
        </w:rPr>
        <w:t>3.</w:t>
      </w:r>
      <w:r w:rsidRPr="00ED52B1">
        <w:rPr>
          <w:rFonts w:ascii="Arial" w:hAnsi="Arial"/>
          <w:sz w:val="22"/>
        </w:rPr>
        <w:tab/>
      </w:r>
      <w:r w:rsidRPr="00ED52B1">
        <w:rPr>
          <w:rFonts w:ascii="Arial" w:hAnsi="Arial"/>
          <w:sz w:val="22"/>
          <w:u w:val="single"/>
        </w:rPr>
        <w:t>Planned use of improved information technology or technical/legal impediments to further burden reduction</w:t>
      </w:r>
      <w:r w:rsidRPr="00ED52B1" w:rsidR="008754EB">
        <w:rPr>
          <w:rFonts w:ascii="Arial" w:hAnsi="Arial"/>
          <w:sz w:val="22"/>
        </w:rPr>
        <w:t xml:space="preserve"> -</w:t>
      </w:r>
      <w:r w:rsidRPr="00ED52B1">
        <w:rPr>
          <w:rFonts w:ascii="Arial" w:hAnsi="Arial"/>
          <w:sz w:val="22"/>
        </w:rPr>
        <w:t xml:space="preserve"> </w:t>
      </w:r>
      <w:r w:rsidR="0076212C">
        <w:rPr>
          <w:rFonts w:ascii="Arial" w:hAnsi="Arial"/>
          <w:sz w:val="22"/>
        </w:rPr>
        <w:t xml:space="preserve"> </w:t>
      </w:r>
      <w:r w:rsidRPr="0076212C" w:rsidR="0076212C">
        <w:rPr>
          <w:rFonts w:ascii="Arial" w:hAnsi="Arial"/>
          <w:sz w:val="22"/>
        </w:rPr>
        <w:t>Not cost effective due to low volume; however, we will reevaluate after the completion of the RRB IT Modernization project</w:t>
      </w:r>
      <w:r w:rsidR="0076212C">
        <w:rPr>
          <w:rFonts w:ascii="Arial" w:hAnsi="Arial"/>
          <w:sz w:val="22"/>
        </w:rPr>
        <w:t>.</w:t>
      </w:r>
    </w:p>
    <w:p w:rsidRPr="00ED52B1" w:rsidR="00E75377" w:rsidP="00951D3E" w:rsidRDefault="00E75377" w14:paraId="07EF5B91" w14:textId="77777777">
      <w:pPr>
        <w:tabs>
          <w:tab w:val="left" w:pos="540"/>
        </w:tabs>
        <w:ind w:left="540" w:hanging="540"/>
        <w:jc w:val="both"/>
        <w:rPr>
          <w:rFonts w:ascii="Arial" w:hAnsi="Arial"/>
          <w:sz w:val="22"/>
        </w:rPr>
      </w:pPr>
    </w:p>
    <w:p w:rsidRPr="00ED52B1" w:rsidR="000F4163" w:rsidP="00951D3E" w:rsidRDefault="00E75377" w14:paraId="04988194" w14:textId="7A10E52E">
      <w:pPr>
        <w:tabs>
          <w:tab w:val="left" w:pos="-1440"/>
          <w:tab w:val="left" w:pos="540"/>
        </w:tabs>
        <w:ind w:left="540" w:hanging="540"/>
        <w:jc w:val="both"/>
        <w:rPr>
          <w:rFonts w:ascii="Arial" w:hAnsi="Arial"/>
          <w:sz w:val="22"/>
        </w:rPr>
      </w:pPr>
      <w:r w:rsidRPr="00ED52B1">
        <w:rPr>
          <w:rFonts w:ascii="Arial" w:hAnsi="Arial"/>
          <w:sz w:val="22"/>
        </w:rPr>
        <w:t>4.</w:t>
      </w:r>
      <w:r w:rsidRPr="00ED52B1">
        <w:rPr>
          <w:rFonts w:ascii="Arial" w:hAnsi="Arial"/>
          <w:sz w:val="22"/>
        </w:rPr>
        <w:tab/>
      </w:r>
      <w:r w:rsidRPr="00ED52B1">
        <w:rPr>
          <w:rFonts w:ascii="Arial" w:hAnsi="Arial"/>
          <w:sz w:val="22"/>
          <w:u w:val="single"/>
        </w:rPr>
        <w:t>Efforts to identify duplication</w:t>
      </w:r>
      <w:r w:rsidRPr="00ED52B1">
        <w:rPr>
          <w:rFonts w:ascii="Arial" w:hAnsi="Arial"/>
          <w:sz w:val="22"/>
        </w:rPr>
        <w:t xml:space="preserve"> - </w:t>
      </w:r>
      <w:r w:rsidRPr="00000B6A" w:rsidR="00E92438">
        <w:rPr>
          <w:rFonts w:ascii="Arial" w:hAnsi="Arial"/>
          <w:sz w:val="22"/>
        </w:rPr>
        <w:t>To our knowledge, t</w:t>
      </w:r>
      <w:r w:rsidRPr="00000B6A">
        <w:rPr>
          <w:rFonts w:ascii="Arial" w:hAnsi="Arial"/>
          <w:sz w:val="22"/>
        </w:rPr>
        <w:t>his information collection does not duplicate any other information collection.</w:t>
      </w:r>
      <w:r w:rsidRPr="00000B6A" w:rsidR="000F4163">
        <w:rPr>
          <w:rFonts w:ascii="Arial" w:hAnsi="Arial"/>
          <w:sz w:val="22"/>
        </w:rPr>
        <w:t xml:space="preserve">  Though Form SSA-3885 obtains </w:t>
      </w:r>
      <w:r w:rsidRPr="00000B6A" w:rsidR="003047A2">
        <w:rPr>
          <w:rFonts w:ascii="Arial" w:hAnsi="Arial"/>
          <w:sz w:val="22"/>
        </w:rPr>
        <w:t>some information similar to</w:t>
      </w:r>
      <w:r w:rsidRPr="00000B6A" w:rsidR="000F4163">
        <w:rPr>
          <w:rFonts w:ascii="Arial" w:hAnsi="Arial"/>
          <w:sz w:val="22"/>
        </w:rPr>
        <w:t xml:space="preserve"> Form G-208, the SSA form does not request Federal pension information </w:t>
      </w:r>
      <w:r w:rsidRPr="00000B6A" w:rsidR="003047A2">
        <w:rPr>
          <w:rFonts w:ascii="Arial" w:hAnsi="Arial"/>
          <w:sz w:val="22"/>
        </w:rPr>
        <w:t xml:space="preserve">as well as </w:t>
      </w:r>
      <w:r w:rsidRPr="00000B6A" w:rsidR="00923885">
        <w:rPr>
          <w:rFonts w:ascii="Arial" w:hAnsi="Arial"/>
          <w:sz w:val="22"/>
        </w:rPr>
        <w:t xml:space="preserve">additional </w:t>
      </w:r>
      <w:r w:rsidRPr="00000B6A" w:rsidR="003047A2">
        <w:rPr>
          <w:rFonts w:ascii="Arial" w:hAnsi="Arial"/>
          <w:sz w:val="22"/>
        </w:rPr>
        <w:t xml:space="preserve">information </w:t>
      </w:r>
      <w:r w:rsidRPr="00000B6A" w:rsidR="000F4163">
        <w:rPr>
          <w:rFonts w:ascii="Arial" w:hAnsi="Arial"/>
          <w:sz w:val="22"/>
        </w:rPr>
        <w:t xml:space="preserve">the RRB needs to determine </w:t>
      </w:r>
      <w:r w:rsidRPr="00000B6A" w:rsidR="003047A2">
        <w:rPr>
          <w:rFonts w:ascii="Arial" w:hAnsi="Arial"/>
          <w:sz w:val="22"/>
        </w:rPr>
        <w:t>public service pension benefits to comply with the RRA.</w:t>
      </w:r>
    </w:p>
    <w:p w:rsidRPr="00ED52B1" w:rsidR="00E75377" w:rsidP="00951D3E" w:rsidRDefault="00E75377" w14:paraId="69AFAB35" w14:textId="77777777">
      <w:pPr>
        <w:tabs>
          <w:tab w:val="left" w:pos="540"/>
        </w:tabs>
        <w:ind w:left="540" w:hanging="540"/>
        <w:jc w:val="both"/>
        <w:rPr>
          <w:rFonts w:ascii="Arial" w:hAnsi="Arial"/>
          <w:sz w:val="22"/>
        </w:rPr>
      </w:pPr>
    </w:p>
    <w:p w:rsidRPr="00ED52B1" w:rsidR="00E75377" w:rsidP="00951D3E" w:rsidRDefault="00E75377" w14:paraId="1348030C" w14:textId="77777777">
      <w:pPr>
        <w:tabs>
          <w:tab w:val="left" w:pos="-1440"/>
          <w:tab w:val="left" w:pos="540"/>
        </w:tabs>
        <w:ind w:left="540" w:hanging="540"/>
        <w:jc w:val="both"/>
        <w:rPr>
          <w:rFonts w:ascii="Arial" w:hAnsi="Arial"/>
          <w:sz w:val="22"/>
        </w:rPr>
      </w:pPr>
      <w:r w:rsidRPr="00ED52B1">
        <w:rPr>
          <w:rFonts w:ascii="Arial" w:hAnsi="Arial"/>
          <w:sz w:val="22"/>
        </w:rPr>
        <w:t>5.</w:t>
      </w:r>
      <w:r w:rsidRPr="00ED52B1">
        <w:rPr>
          <w:rFonts w:ascii="Arial" w:hAnsi="Arial"/>
          <w:sz w:val="22"/>
        </w:rPr>
        <w:tab/>
      </w:r>
      <w:r w:rsidRPr="00ED52B1">
        <w:rPr>
          <w:rFonts w:ascii="Arial" w:hAnsi="Arial"/>
          <w:sz w:val="22"/>
          <w:u w:val="single"/>
        </w:rPr>
        <w:t>Small business respondents</w:t>
      </w:r>
      <w:r w:rsidRPr="00ED52B1">
        <w:rPr>
          <w:rFonts w:ascii="Arial" w:hAnsi="Arial"/>
          <w:sz w:val="22"/>
        </w:rPr>
        <w:t xml:space="preserve"> - N.A.</w:t>
      </w:r>
    </w:p>
    <w:p w:rsidRPr="00ED52B1" w:rsidR="00E75377" w:rsidP="00951D3E" w:rsidRDefault="00E75377" w14:paraId="4CA9A153" w14:textId="77777777">
      <w:pPr>
        <w:tabs>
          <w:tab w:val="left" w:pos="540"/>
        </w:tabs>
        <w:ind w:left="540" w:hanging="540"/>
        <w:jc w:val="both"/>
        <w:rPr>
          <w:rFonts w:ascii="Arial" w:hAnsi="Arial"/>
          <w:sz w:val="22"/>
        </w:rPr>
      </w:pPr>
    </w:p>
    <w:p w:rsidRPr="00ED52B1" w:rsidR="00486F34" w:rsidP="00951D3E" w:rsidRDefault="00E75377" w14:paraId="229ECF4F" w14:textId="77777777">
      <w:pPr>
        <w:tabs>
          <w:tab w:val="left" w:pos="-1440"/>
          <w:tab w:val="left" w:pos="540"/>
        </w:tabs>
        <w:ind w:left="540" w:hanging="540"/>
        <w:jc w:val="both"/>
        <w:rPr>
          <w:rFonts w:ascii="Arial" w:hAnsi="Arial"/>
          <w:sz w:val="22"/>
        </w:rPr>
      </w:pPr>
      <w:r w:rsidRPr="00ED52B1">
        <w:rPr>
          <w:rFonts w:ascii="Arial" w:hAnsi="Arial"/>
          <w:sz w:val="22"/>
        </w:rPr>
        <w:t>6.</w:t>
      </w:r>
      <w:r w:rsidRPr="00ED52B1">
        <w:rPr>
          <w:rFonts w:ascii="Arial" w:hAnsi="Arial"/>
          <w:sz w:val="22"/>
        </w:rPr>
        <w:tab/>
      </w:r>
      <w:r w:rsidRPr="00ED52B1">
        <w:rPr>
          <w:rFonts w:ascii="Arial" w:hAnsi="Arial"/>
          <w:sz w:val="22"/>
          <w:u w:val="single"/>
        </w:rPr>
        <w:t>Consequences of less frequent collection</w:t>
      </w:r>
      <w:r w:rsidRPr="00ED52B1">
        <w:rPr>
          <w:rFonts w:ascii="Arial" w:hAnsi="Arial"/>
          <w:sz w:val="22"/>
        </w:rPr>
        <w:t xml:space="preserve"> - N.A.</w:t>
      </w:r>
    </w:p>
    <w:p w:rsidRPr="00ED52B1" w:rsidR="00486F34" w:rsidP="00951D3E" w:rsidRDefault="00486F34" w14:paraId="4183E197" w14:textId="77777777">
      <w:pPr>
        <w:tabs>
          <w:tab w:val="left" w:pos="-1440"/>
          <w:tab w:val="left" w:pos="540"/>
        </w:tabs>
        <w:ind w:left="540" w:hanging="540"/>
        <w:jc w:val="both"/>
        <w:rPr>
          <w:rFonts w:ascii="Arial" w:hAnsi="Arial"/>
          <w:sz w:val="22"/>
        </w:rPr>
      </w:pPr>
    </w:p>
    <w:p w:rsidRPr="00ED52B1" w:rsidR="00E75377" w:rsidP="00951D3E" w:rsidRDefault="00E75377" w14:paraId="7B723A2A" w14:textId="77777777">
      <w:pPr>
        <w:tabs>
          <w:tab w:val="left" w:pos="-1440"/>
          <w:tab w:val="left" w:pos="540"/>
        </w:tabs>
        <w:ind w:left="540" w:hanging="540"/>
        <w:jc w:val="both"/>
        <w:rPr>
          <w:rFonts w:ascii="Arial" w:hAnsi="Arial"/>
          <w:sz w:val="22"/>
        </w:rPr>
      </w:pPr>
      <w:r w:rsidRPr="00ED52B1">
        <w:rPr>
          <w:rFonts w:ascii="Arial" w:hAnsi="Arial"/>
          <w:sz w:val="22"/>
        </w:rPr>
        <w:t>7.</w:t>
      </w:r>
      <w:r w:rsidRPr="00ED52B1">
        <w:rPr>
          <w:rFonts w:ascii="Arial" w:hAnsi="Arial"/>
          <w:sz w:val="22"/>
        </w:rPr>
        <w:tab/>
      </w:r>
      <w:r w:rsidRPr="00ED52B1">
        <w:rPr>
          <w:rFonts w:ascii="Arial" w:hAnsi="Arial"/>
          <w:sz w:val="22"/>
          <w:u w:val="single"/>
        </w:rPr>
        <w:t>Special Circumstances</w:t>
      </w:r>
      <w:r w:rsidRPr="00ED52B1">
        <w:rPr>
          <w:rFonts w:ascii="Arial" w:hAnsi="Arial"/>
          <w:sz w:val="22"/>
        </w:rPr>
        <w:t xml:space="preserve"> - N.A.</w:t>
      </w:r>
    </w:p>
    <w:p w:rsidRPr="00ED52B1" w:rsidR="00E75377" w:rsidP="00951D3E" w:rsidRDefault="00E75377" w14:paraId="682E5511" w14:textId="77777777">
      <w:pPr>
        <w:tabs>
          <w:tab w:val="left" w:pos="540"/>
        </w:tabs>
        <w:ind w:left="540" w:hanging="540"/>
        <w:jc w:val="both"/>
        <w:rPr>
          <w:rFonts w:ascii="Arial" w:hAnsi="Arial"/>
          <w:sz w:val="22"/>
        </w:rPr>
      </w:pPr>
    </w:p>
    <w:p w:rsidRPr="00ED52B1" w:rsidR="008754EB" w:rsidP="00B17C95" w:rsidRDefault="008754EB" w14:paraId="54825819" w14:textId="219C480C">
      <w:pPr>
        <w:tabs>
          <w:tab w:val="left" w:pos="540"/>
        </w:tabs>
        <w:ind w:left="540" w:hanging="540"/>
        <w:jc w:val="both"/>
        <w:rPr>
          <w:rFonts w:ascii="Arial" w:hAnsi="Arial"/>
          <w:sz w:val="22"/>
        </w:rPr>
      </w:pPr>
      <w:r w:rsidRPr="00ED52B1">
        <w:rPr>
          <w:rFonts w:ascii="Arial" w:hAnsi="Arial" w:cs="Arial"/>
          <w:sz w:val="22"/>
          <w:szCs w:val="22"/>
        </w:rPr>
        <w:t>8.</w:t>
      </w:r>
      <w:r w:rsidRPr="00ED52B1">
        <w:rPr>
          <w:rFonts w:ascii="Arial" w:hAnsi="Arial" w:cs="Arial"/>
          <w:sz w:val="22"/>
          <w:szCs w:val="22"/>
        </w:rPr>
        <w:tab/>
      </w:r>
      <w:r w:rsidRPr="00ED52B1">
        <w:rPr>
          <w:rFonts w:ascii="Arial" w:hAnsi="Arial" w:cs="Arial"/>
          <w:sz w:val="22"/>
          <w:szCs w:val="22"/>
          <w:u w:val="single"/>
        </w:rPr>
        <w:t>Public comments/consultations outside the agency</w:t>
      </w:r>
      <w:r w:rsidRPr="00ED52B1">
        <w:rPr>
          <w:rFonts w:ascii="Arial" w:hAnsi="Arial" w:cs="Arial"/>
          <w:sz w:val="22"/>
          <w:szCs w:val="22"/>
        </w:rPr>
        <w:t xml:space="preserve"> -</w:t>
      </w:r>
      <w:r w:rsidRPr="00ED52B1">
        <w:rPr>
          <w:rFonts w:cs="Arial"/>
          <w:sz w:val="22"/>
          <w:szCs w:val="22"/>
        </w:rPr>
        <w:t xml:space="preserve"> </w:t>
      </w:r>
      <w:r w:rsidRPr="00ED52B1">
        <w:rPr>
          <w:rFonts w:ascii="Arial" w:hAnsi="Arial"/>
          <w:sz w:val="22"/>
        </w:rPr>
        <w:t xml:space="preserve">In accordance with 5 CFR 1320.8(d), comments were invited from the public regarding the information collection. </w:t>
      </w:r>
      <w:r w:rsidRPr="00ED52B1" w:rsidR="00B17C95">
        <w:rPr>
          <w:rFonts w:ascii="Arial" w:hAnsi="Arial"/>
          <w:sz w:val="22"/>
        </w:rPr>
        <w:t xml:space="preserve"> </w:t>
      </w:r>
      <w:r w:rsidRPr="00ED52B1">
        <w:rPr>
          <w:rFonts w:ascii="Arial" w:hAnsi="Arial"/>
          <w:sz w:val="22"/>
        </w:rPr>
        <w:t>The notice to the public was published on page</w:t>
      </w:r>
      <w:r w:rsidR="007D7977">
        <w:rPr>
          <w:rFonts w:ascii="Arial" w:hAnsi="Arial"/>
          <w:sz w:val="22"/>
        </w:rPr>
        <w:t xml:space="preserve"> 16689</w:t>
      </w:r>
      <w:r w:rsidRPr="00ED52B1">
        <w:rPr>
          <w:rFonts w:ascii="Arial" w:hAnsi="Arial"/>
          <w:sz w:val="22"/>
        </w:rPr>
        <w:t xml:space="preserve"> of the</w:t>
      </w:r>
      <w:r w:rsidR="007D7977">
        <w:rPr>
          <w:rFonts w:ascii="Arial" w:hAnsi="Arial"/>
          <w:sz w:val="22"/>
        </w:rPr>
        <w:t xml:space="preserve"> March 24, 2020</w:t>
      </w:r>
      <w:r w:rsidRPr="00ED52B1">
        <w:rPr>
          <w:rFonts w:ascii="Arial" w:hAnsi="Arial"/>
          <w:sz w:val="22"/>
        </w:rPr>
        <w:t xml:space="preserve">, </w:t>
      </w:r>
      <w:r w:rsidRPr="00ED52B1">
        <w:rPr>
          <w:rFonts w:ascii="Arial" w:hAnsi="Arial"/>
          <w:sz w:val="22"/>
          <w:u w:val="single"/>
        </w:rPr>
        <w:t>Federal Register</w:t>
      </w:r>
      <w:r w:rsidRPr="00ED52B1">
        <w:rPr>
          <w:rFonts w:ascii="Arial" w:hAnsi="Arial"/>
          <w:sz w:val="22"/>
        </w:rPr>
        <w:t>.  No comments were received.</w:t>
      </w:r>
    </w:p>
    <w:p w:rsidRPr="00ED52B1" w:rsidR="008754EB" w:rsidP="00951D3E" w:rsidRDefault="008754EB" w14:paraId="277A98A4" w14:textId="77777777">
      <w:pPr>
        <w:tabs>
          <w:tab w:val="left" w:pos="-1440"/>
          <w:tab w:val="left" w:pos="540"/>
        </w:tabs>
        <w:ind w:left="540" w:hanging="540"/>
        <w:jc w:val="both"/>
        <w:rPr>
          <w:rFonts w:ascii="Arial" w:hAnsi="Arial"/>
          <w:sz w:val="22"/>
        </w:rPr>
      </w:pPr>
    </w:p>
    <w:p w:rsidRPr="00ED52B1" w:rsidR="00E75377" w:rsidP="00951D3E" w:rsidRDefault="00E75377" w14:paraId="253E9216" w14:textId="77777777">
      <w:pPr>
        <w:tabs>
          <w:tab w:val="left" w:pos="-1440"/>
          <w:tab w:val="left" w:pos="540"/>
        </w:tabs>
        <w:ind w:left="540" w:hanging="540"/>
        <w:jc w:val="both"/>
        <w:rPr>
          <w:rFonts w:ascii="Arial" w:hAnsi="Arial"/>
          <w:sz w:val="22"/>
        </w:rPr>
      </w:pPr>
      <w:r w:rsidRPr="00ED52B1">
        <w:rPr>
          <w:rFonts w:ascii="Arial" w:hAnsi="Arial"/>
          <w:sz w:val="22"/>
        </w:rPr>
        <w:t>9.</w:t>
      </w:r>
      <w:r w:rsidRPr="00ED52B1">
        <w:rPr>
          <w:rFonts w:ascii="Arial" w:hAnsi="Arial"/>
          <w:sz w:val="22"/>
        </w:rPr>
        <w:tab/>
      </w:r>
      <w:r w:rsidRPr="00ED52B1">
        <w:rPr>
          <w:rFonts w:ascii="Arial" w:hAnsi="Arial"/>
          <w:sz w:val="22"/>
          <w:u w:val="single"/>
        </w:rPr>
        <w:t>Payments or gifts to respondents</w:t>
      </w:r>
      <w:r w:rsidRPr="00ED52B1" w:rsidR="008754EB">
        <w:rPr>
          <w:rFonts w:ascii="Arial" w:hAnsi="Arial"/>
          <w:sz w:val="22"/>
        </w:rPr>
        <w:t xml:space="preserve"> </w:t>
      </w:r>
      <w:r w:rsidRPr="00ED52B1">
        <w:rPr>
          <w:rFonts w:ascii="Arial" w:hAnsi="Arial"/>
          <w:sz w:val="22"/>
        </w:rPr>
        <w:t>- N.A.</w:t>
      </w:r>
    </w:p>
    <w:p w:rsidRPr="00ED52B1" w:rsidR="00E75377" w:rsidP="00951D3E" w:rsidRDefault="00E75377" w14:paraId="6C772CE8" w14:textId="77777777">
      <w:pPr>
        <w:tabs>
          <w:tab w:val="left" w:pos="540"/>
        </w:tabs>
        <w:ind w:left="540" w:hanging="540"/>
        <w:jc w:val="both"/>
        <w:rPr>
          <w:rFonts w:ascii="Arial" w:hAnsi="Arial"/>
          <w:sz w:val="22"/>
        </w:rPr>
      </w:pPr>
    </w:p>
    <w:p w:rsidRPr="00111A5C" w:rsidR="00111A5C" w:rsidP="00111A5C" w:rsidRDefault="00E75377" w14:paraId="3302B518" w14:textId="17810BD2">
      <w:pPr>
        <w:tabs>
          <w:tab w:val="left" w:pos="540"/>
        </w:tabs>
        <w:ind w:left="540" w:hanging="540"/>
        <w:jc w:val="both"/>
        <w:rPr>
          <w:rFonts w:ascii="Arial" w:hAnsi="Arial" w:cs="Arial"/>
          <w:sz w:val="22"/>
          <w:szCs w:val="22"/>
        </w:rPr>
      </w:pPr>
      <w:r w:rsidRPr="00ED52B1">
        <w:rPr>
          <w:rFonts w:ascii="Arial" w:hAnsi="Arial"/>
          <w:sz w:val="22"/>
        </w:rPr>
        <w:t>10.</w:t>
      </w:r>
      <w:r w:rsidRPr="00ED52B1">
        <w:rPr>
          <w:rFonts w:ascii="Arial" w:hAnsi="Arial"/>
          <w:sz w:val="22"/>
        </w:rPr>
        <w:tab/>
      </w:r>
      <w:r w:rsidRPr="00ED52B1">
        <w:rPr>
          <w:rFonts w:ascii="Arial" w:hAnsi="Arial"/>
          <w:sz w:val="22"/>
          <w:u w:val="single"/>
        </w:rPr>
        <w:t>Confidentiality</w:t>
      </w:r>
      <w:r w:rsidRPr="00ED52B1">
        <w:rPr>
          <w:rFonts w:ascii="Arial" w:hAnsi="Arial"/>
          <w:sz w:val="22"/>
        </w:rPr>
        <w:t xml:space="preserve"> - Privacy Act System of Records, RRB-22, Railroad Retirement, Survivor and Pensioner Benefit System.</w:t>
      </w:r>
      <w:r w:rsidRPr="00ED52B1" w:rsidR="00B17C95">
        <w:rPr>
          <w:rFonts w:ascii="Arial" w:hAnsi="Arial"/>
          <w:sz w:val="22"/>
        </w:rPr>
        <w:t xml:space="preserve">  </w:t>
      </w:r>
      <w:r w:rsidRPr="00ED52B1" w:rsidR="00B17C95">
        <w:rPr>
          <w:rFonts w:ascii="Arial" w:hAnsi="Arial" w:cs="Arial"/>
          <w:sz w:val="22"/>
          <w:szCs w:val="22"/>
        </w:rPr>
        <w:t>In accordance with OMB Circular M-03-22, a Privacy Impact Assessment for this information collection was completed and can be found at</w:t>
      </w:r>
      <w:hyperlink w:history="1" r:id="rId7">
        <w:r w:rsidRPr="00111A5C" w:rsidR="00111A5C">
          <w:rPr>
            <w:rStyle w:val="Hyperlink"/>
            <w:rFonts w:ascii="Arial" w:hAnsi="Arial" w:cs="Arial"/>
            <w:sz w:val="22"/>
            <w:szCs w:val="22"/>
          </w:rPr>
          <w:t>https://www.rrb.gov/sites/default/files/2017-06/PIA-BPO.pdf</w:t>
        </w:r>
      </w:hyperlink>
    </w:p>
    <w:p w:rsidR="00E75377" w:rsidP="00B17C95" w:rsidRDefault="00B17C95" w14:paraId="09EA3A74" w14:textId="4CAF2AC4">
      <w:pPr>
        <w:tabs>
          <w:tab w:val="left" w:pos="540"/>
        </w:tabs>
        <w:ind w:left="540" w:hanging="540"/>
        <w:jc w:val="both"/>
        <w:rPr>
          <w:rFonts w:ascii="Arial" w:hAnsi="Arial" w:cs="Arial"/>
          <w:sz w:val="22"/>
          <w:szCs w:val="22"/>
        </w:rPr>
      </w:pPr>
      <w:r w:rsidRPr="00ED52B1">
        <w:rPr>
          <w:rFonts w:ascii="Arial" w:hAnsi="Arial" w:cs="Arial"/>
          <w:sz w:val="22"/>
          <w:szCs w:val="22"/>
        </w:rPr>
        <w:t>.</w:t>
      </w:r>
    </w:p>
    <w:p w:rsidRPr="00ED52B1" w:rsidR="00E75377" w:rsidP="00951D3E" w:rsidRDefault="00E75377" w14:paraId="6AC6A917" w14:textId="77777777">
      <w:pPr>
        <w:tabs>
          <w:tab w:val="left" w:pos="-1440"/>
          <w:tab w:val="left" w:pos="540"/>
        </w:tabs>
        <w:ind w:left="540" w:hanging="540"/>
        <w:jc w:val="both"/>
        <w:rPr>
          <w:rFonts w:ascii="Arial" w:hAnsi="Arial"/>
          <w:sz w:val="22"/>
        </w:rPr>
      </w:pPr>
      <w:r w:rsidRPr="00ED52B1">
        <w:rPr>
          <w:rFonts w:ascii="Arial" w:hAnsi="Arial"/>
          <w:sz w:val="22"/>
        </w:rPr>
        <w:t>11.</w:t>
      </w:r>
      <w:r w:rsidRPr="00ED52B1">
        <w:rPr>
          <w:rFonts w:ascii="Arial" w:hAnsi="Arial"/>
          <w:sz w:val="22"/>
        </w:rPr>
        <w:tab/>
      </w:r>
      <w:r w:rsidRPr="00ED52B1">
        <w:rPr>
          <w:rFonts w:ascii="Arial" w:hAnsi="Arial"/>
          <w:sz w:val="22"/>
          <w:u w:val="single"/>
        </w:rPr>
        <w:t>Sensitive questions</w:t>
      </w:r>
      <w:r w:rsidRPr="00ED52B1">
        <w:rPr>
          <w:rFonts w:ascii="Arial" w:hAnsi="Arial"/>
          <w:sz w:val="22"/>
        </w:rPr>
        <w:t xml:space="preserve"> - N.A.</w:t>
      </w:r>
    </w:p>
    <w:p w:rsidRPr="00ED52B1" w:rsidR="00E75377" w:rsidP="00951D3E" w:rsidRDefault="00E75377" w14:paraId="6251C81F" w14:textId="77777777">
      <w:pPr>
        <w:tabs>
          <w:tab w:val="left" w:pos="540"/>
        </w:tabs>
        <w:ind w:left="540" w:hanging="540"/>
        <w:jc w:val="both"/>
        <w:rPr>
          <w:rFonts w:ascii="Arial" w:hAnsi="Arial"/>
          <w:sz w:val="22"/>
        </w:rPr>
      </w:pPr>
    </w:p>
    <w:p w:rsidRPr="00ED52B1" w:rsidR="00E75377" w:rsidP="008D7AC9" w:rsidRDefault="00E75377" w14:paraId="76773556" w14:textId="77777777">
      <w:pPr>
        <w:tabs>
          <w:tab w:val="left" w:pos="540"/>
        </w:tabs>
        <w:ind w:left="540" w:hanging="540"/>
        <w:jc w:val="both"/>
        <w:rPr>
          <w:rFonts w:ascii="Arial" w:hAnsi="Arial"/>
          <w:sz w:val="22"/>
        </w:rPr>
      </w:pPr>
      <w:r w:rsidRPr="00ED52B1">
        <w:rPr>
          <w:rFonts w:ascii="Arial" w:hAnsi="Arial"/>
          <w:sz w:val="22"/>
        </w:rPr>
        <w:t>12.</w:t>
      </w:r>
      <w:r w:rsidRPr="00ED52B1">
        <w:rPr>
          <w:rFonts w:ascii="Arial" w:hAnsi="Arial"/>
          <w:sz w:val="22"/>
        </w:rPr>
        <w:tab/>
      </w:r>
      <w:r w:rsidRPr="00ED52B1">
        <w:rPr>
          <w:rFonts w:ascii="Arial" w:hAnsi="Arial"/>
          <w:sz w:val="22"/>
          <w:u w:val="single"/>
        </w:rPr>
        <w:t>Estimate of respondent burden</w:t>
      </w:r>
      <w:r w:rsidRPr="00ED52B1">
        <w:rPr>
          <w:rFonts w:ascii="Arial" w:hAnsi="Arial"/>
          <w:sz w:val="22"/>
        </w:rPr>
        <w:t xml:space="preserve"> -</w:t>
      </w:r>
      <w:r w:rsidRPr="00ED52B1" w:rsidR="008754EB">
        <w:rPr>
          <w:rFonts w:ascii="Arial" w:hAnsi="Arial"/>
          <w:sz w:val="22"/>
        </w:rPr>
        <w:t xml:space="preserve"> </w:t>
      </w:r>
      <w:r w:rsidRPr="00ED52B1">
        <w:rPr>
          <w:rFonts w:ascii="Arial" w:hAnsi="Arial"/>
          <w:sz w:val="22"/>
        </w:rPr>
        <w:t xml:space="preserve">The </w:t>
      </w:r>
      <w:r w:rsidRPr="00ED52B1" w:rsidR="008D7AC9">
        <w:rPr>
          <w:rFonts w:ascii="Arial" w:hAnsi="Arial"/>
          <w:sz w:val="22"/>
        </w:rPr>
        <w:t xml:space="preserve">current </w:t>
      </w:r>
      <w:r w:rsidRPr="00ED52B1" w:rsidR="007D2B13">
        <w:rPr>
          <w:rFonts w:ascii="Arial" w:hAnsi="Arial"/>
          <w:sz w:val="22"/>
        </w:rPr>
        <w:t xml:space="preserve">estimated annual burden for this collection is unchanged </w:t>
      </w:r>
      <w:r w:rsidRPr="00ED52B1" w:rsidR="008D7AC9">
        <w:rPr>
          <w:rFonts w:ascii="Arial" w:hAnsi="Arial"/>
          <w:sz w:val="22"/>
        </w:rPr>
        <w:t>shown below.</w:t>
      </w:r>
    </w:p>
    <w:p w:rsidRPr="00ED52B1" w:rsidR="00E75377" w:rsidP="00610351" w:rsidRDefault="007D2B13" w14:paraId="5646098B" w14:textId="77777777">
      <w:pPr>
        <w:keepNext/>
        <w:widowControl/>
        <w:tabs>
          <w:tab w:val="left" w:pos="540"/>
          <w:tab w:val="center" w:pos="4680"/>
        </w:tabs>
        <w:ind w:left="540" w:hanging="90"/>
        <w:jc w:val="center"/>
        <w:rPr>
          <w:rFonts w:ascii="Arial" w:hAnsi="Arial"/>
          <w:b/>
          <w:sz w:val="22"/>
          <w:u w:val="single"/>
        </w:rPr>
      </w:pPr>
      <w:r w:rsidRPr="00ED52B1">
        <w:rPr>
          <w:rFonts w:ascii="Arial" w:hAnsi="Arial"/>
          <w:b/>
          <w:sz w:val="22"/>
          <w:u w:val="single"/>
        </w:rPr>
        <w:lastRenderedPageBreak/>
        <w:t>Current</w:t>
      </w:r>
    </w:p>
    <w:p w:rsidRPr="00ED52B1" w:rsidR="00D70F17" w:rsidP="00951D3E" w:rsidRDefault="00D70F17" w14:paraId="57E90983" w14:textId="77777777">
      <w:pPr>
        <w:keepNext/>
        <w:widowControl/>
        <w:tabs>
          <w:tab w:val="left" w:pos="540"/>
          <w:tab w:val="center" w:pos="4680"/>
        </w:tabs>
        <w:ind w:left="540" w:hanging="540"/>
        <w:jc w:val="both"/>
        <w:rPr>
          <w:rFonts w:ascii="Arial" w:hAnsi="Arial"/>
          <w:b/>
          <w:sz w:val="22"/>
          <w:u w:val="single"/>
        </w:rPr>
      </w:pPr>
    </w:p>
    <w:tbl>
      <w:tblPr>
        <w:tblW w:w="0" w:type="auto"/>
        <w:tblInd w:w="681" w:type="dxa"/>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Layout w:type="fixed"/>
        <w:tblCellMar>
          <w:left w:w="141" w:type="dxa"/>
          <w:right w:w="141" w:type="dxa"/>
        </w:tblCellMar>
        <w:tblLook w:val="0000" w:firstRow="0" w:lastRow="0" w:firstColumn="0" w:lastColumn="0" w:noHBand="0" w:noVBand="0"/>
      </w:tblPr>
      <w:tblGrid>
        <w:gridCol w:w="2205"/>
        <w:gridCol w:w="2205"/>
        <w:gridCol w:w="2205"/>
        <w:gridCol w:w="2205"/>
      </w:tblGrid>
      <w:tr w:rsidRPr="00ED52B1" w:rsidR="00D70F17" w:rsidTr="00951D3E" w14:paraId="4369C001" w14:textId="77777777">
        <w:trPr>
          <w:cantSplit/>
          <w:trHeight w:val="500" w:hRule="exact"/>
        </w:trPr>
        <w:tc>
          <w:tcPr>
            <w:tcW w:w="2205" w:type="dxa"/>
            <w:vAlign w:val="center"/>
          </w:tcPr>
          <w:p w:rsidRPr="00ED52B1" w:rsidR="00D70F17" w:rsidP="00951D3E" w:rsidRDefault="00D70F17" w14:paraId="221ED5A3" w14:textId="77777777">
            <w:pPr>
              <w:keepNext/>
              <w:widowControl/>
              <w:jc w:val="center"/>
              <w:rPr>
                <w:rFonts w:ascii="Arial" w:hAnsi="Arial" w:cs="Arial"/>
                <w:sz w:val="22"/>
                <w:szCs w:val="22"/>
              </w:rPr>
            </w:pPr>
            <w:r w:rsidRPr="00ED52B1">
              <w:rPr>
                <w:rFonts w:ascii="Arial" w:hAnsi="Arial" w:cs="Arial"/>
                <w:sz w:val="22"/>
                <w:szCs w:val="22"/>
              </w:rPr>
              <w:t>Form Number</w:t>
            </w:r>
          </w:p>
        </w:tc>
        <w:tc>
          <w:tcPr>
            <w:tcW w:w="2205" w:type="dxa"/>
            <w:vAlign w:val="center"/>
          </w:tcPr>
          <w:p w:rsidRPr="00ED52B1" w:rsidR="00D70F17" w:rsidP="00951D3E" w:rsidRDefault="00D70F17" w14:paraId="13F68909" w14:textId="77777777">
            <w:pPr>
              <w:keepNext/>
              <w:widowControl/>
              <w:tabs>
                <w:tab w:val="left" w:pos="450"/>
                <w:tab w:val="left" w:pos="540"/>
                <w:tab w:val="center" w:pos="1020"/>
              </w:tabs>
              <w:ind w:left="540" w:hanging="540"/>
              <w:jc w:val="center"/>
              <w:rPr>
                <w:rFonts w:ascii="Arial" w:hAnsi="Arial" w:cs="Arial"/>
                <w:sz w:val="22"/>
                <w:szCs w:val="22"/>
              </w:rPr>
            </w:pPr>
            <w:r w:rsidRPr="00ED52B1">
              <w:rPr>
                <w:rFonts w:ascii="Arial" w:hAnsi="Arial" w:cs="Arial"/>
                <w:sz w:val="22"/>
                <w:szCs w:val="22"/>
              </w:rPr>
              <w:t>Annual Responses</w:t>
            </w:r>
          </w:p>
        </w:tc>
        <w:tc>
          <w:tcPr>
            <w:tcW w:w="2205" w:type="dxa"/>
            <w:vAlign w:val="center"/>
          </w:tcPr>
          <w:p w:rsidRPr="00ED52B1" w:rsidR="00D70F17" w:rsidP="00951D3E" w:rsidRDefault="00D70F17" w14:paraId="73F3E84C" w14:textId="77777777">
            <w:pPr>
              <w:keepNext/>
              <w:widowControl/>
              <w:tabs>
                <w:tab w:val="left" w:pos="450"/>
                <w:tab w:val="left" w:pos="540"/>
                <w:tab w:val="center" w:pos="723"/>
              </w:tabs>
              <w:ind w:left="540" w:hanging="540"/>
              <w:jc w:val="center"/>
              <w:rPr>
                <w:rFonts w:ascii="Arial" w:hAnsi="Arial" w:cs="Arial"/>
                <w:sz w:val="22"/>
                <w:szCs w:val="22"/>
              </w:rPr>
            </w:pPr>
            <w:r w:rsidRPr="00ED52B1">
              <w:rPr>
                <w:rFonts w:ascii="Arial" w:hAnsi="Arial" w:cs="Arial"/>
                <w:sz w:val="22"/>
                <w:szCs w:val="22"/>
              </w:rPr>
              <w:t>Time (Minutes)</w:t>
            </w:r>
            <w:r w:rsidR="00111A5C">
              <w:rPr>
                <w:rFonts w:ascii="Arial" w:hAnsi="Arial" w:cs="Arial"/>
                <w:sz w:val="22"/>
                <w:szCs w:val="22"/>
              </w:rPr>
              <w:t>1/</w:t>
            </w:r>
          </w:p>
        </w:tc>
        <w:tc>
          <w:tcPr>
            <w:tcW w:w="2205" w:type="dxa"/>
            <w:vAlign w:val="center"/>
          </w:tcPr>
          <w:p w:rsidRPr="00ED52B1" w:rsidR="00D70F17" w:rsidP="00951D3E" w:rsidRDefault="00D70F17" w14:paraId="6F239721" w14:textId="77777777">
            <w:pPr>
              <w:keepNext/>
              <w:widowControl/>
              <w:tabs>
                <w:tab w:val="left" w:pos="450"/>
                <w:tab w:val="left" w:pos="540"/>
                <w:tab w:val="center" w:pos="939"/>
              </w:tabs>
              <w:ind w:left="540" w:hanging="540"/>
              <w:jc w:val="center"/>
              <w:rPr>
                <w:rFonts w:ascii="Arial" w:hAnsi="Arial" w:cs="Arial"/>
                <w:sz w:val="22"/>
                <w:szCs w:val="22"/>
              </w:rPr>
            </w:pPr>
            <w:r w:rsidRPr="00ED52B1">
              <w:rPr>
                <w:rFonts w:ascii="Arial" w:hAnsi="Arial" w:cs="Arial"/>
                <w:sz w:val="22"/>
                <w:szCs w:val="22"/>
              </w:rPr>
              <w:t>Burden (Hours)</w:t>
            </w:r>
          </w:p>
        </w:tc>
      </w:tr>
      <w:tr w:rsidRPr="00ED52B1" w:rsidR="00D70F17" w:rsidTr="00951D3E" w14:paraId="7AB7EFB9" w14:textId="77777777">
        <w:tc>
          <w:tcPr>
            <w:tcW w:w="2205" w:type="dxa"/>
          </w:tcPr>
          <w:p w:rsidRPr="00ED52B1" w:rsidR="00D70F17" w:rsidP="00000B6A" w:rsidRDefault="00D70F17" w14:paraId="4AF7B94F" w14:textId="77777777">
            <w:pPr>
              <w:tabs>
                <w:tab w:val="center" w:pos="489"/>
              </w:tabs>
              <w:jc w:val="center"/>
              <w:rPr>
                <w:rFonts w:ascii="Arial" w:hAnsi="Arial"/>
                <w:sz w:val="22"/>
              </w:rPr>
            </w:pPr>
            <w:r w:rsidRPr="00ED52B1">
              <w:rPr>
                <w:rFonts w:ascii="Arial" w:hAnsi="Arial"/>
                <w:sz w:val="22"/>
              </w:rPr>
              <w:t>G-208</w:t>
            </w:r>
          </w:p>
          <w:p w:rsidRPr="00ED52B1" w:rsidR="00D70F17" w:rsidP="00000B6A" w:rsidRDefault="00D70F17" w14:paraId="1C8CE877" w14:textId="770872DF">
            <w:pPr>
              <w:tabs>
                <w:tab w:val="center" w:pos="489"/>
              </w:tabs>
              <w:jc w:val="center"/>
              <w:rPr>
                <w:rFonts w:ascii="Arial" w:hAnsi="Arial"/>
                <w:sz w:val="22"/>
              </w:rPr>
            </w:pPr>
          </w:p>
        </w:tc>
        <w:tc>
          <w:tcPr>
            <w:tcW w:w="2205" w:type="dxa"/>
          </w:tcPr>
          <w:p w:rsidRPr="00ED52B1" w:rsidR="00D70F17" w:rsidP="00000B6A" w:rsidRDefault="00D70F17" w14:paraId="64BECBC2" w14:textId="77777777">
            <w:pPr>
              <w:tabs>
                <w:tab w:val="right" w:pos="1209"/>
              </w:tabs>
              <w:ind w:left="-6" w:firstLine="6"/>
              <w:jc w:val="center"/>
              <w:rPr>
                <w:rFonts w:ascii="Arial" w:hAnsi="Arial" w:cs="Arial"/>
                <w:sz w:val="22"/>
                <w:szCs w:val="22"/>
              </w:rPr>
            </w:pPr>
            <w:r w:rsidRPr="00ED52B1">
              <w:rPr>
                <w:rFonts w:ascii="Arial" w:hAnsi="Arial" w:cs="Arial"/>
                <w:sz w:val="22"/>
                <w:szCs w:val="22"/>
              </w:rPr>
              <w:t>70</w:t>
            </w:r>
          </w:p>
          <w:p w:rsidRPr="00ED52B1" w:rsidR="00D70F17" w:rsidP="00000B6A" w:rsidRDefault="00D70F17" w14:paraId="069BC9F7" w14:textId="1A2BD4C4">
            <w:pPr>
              <w:tabs>
                <w:tab w:val="right" w:pos="1209"/>
              </w:tabs>
              <w:ind w:left="-6" w:firstLine="6"/>
              <w:jc w:val="center"/>
              <w:rPr>
                <w:rFonts w:ascii="Arial" w:hAnsi="Arial" w:cs="Arial"/>
                <w:sz w:val="22"/>
                <w:szCs w:val="22"/>
              </w:rPr>
            </w:pPr>
          </w:p>
        </w:tc>
        <w:tc>
          <w:tcPr>
            <w:tcW w:w="2205" w:type="dxa"/>
          </w:tcPr>
          <w:p w:rsidRPr="00ED52B1" w:rsidR="00D70F17" w:rsidP="00E92438" w:rsidRDefault="00D70F17" w14:paraId="219FBF35" w14:textId="77777777">
            <w:pPr>
              <w:jc w:val="center"/>
              <w:rPr>
                <w:rFonts w:ascii="Arial" w:hAnsi="Arial" w:cs="Arial"/>
                <w:sz w:val="22"/>
                <w:szCs w:val="22"/>
              </w:rPr>
            </w:pPr>
            <w:r w:rsidRPr="00ED52B1">
              <w:rPr>
                <w:rFonts w:ascii="Arial" w:hAnsi="Arial" w:cs="Arial"/>
                <w:sz w:val="22"/>
                <w:szCs w:val="22"/>
              </w:rPr>
              <w:t>16</w:t>
            </w:r>
          </w:p>
          <w:p w:rsidRPr="00ED52B1" w:rsidR="00D70F17" w:rsidP="006062B6" w:rsidRDefault="00D70F17" w14:paraId="087709C2" w14:textId="1E8E3181">
            <w:pPr>
              <w:jc w:val="center"/>
              <w:rPr>
                <w:rFonts w:ascii="Arial" w:hAnsi="Arial" w:cs="Arial"/>
                <w:sz w:val="22"/>
                <w:szCs w:val="22"/>
              </w:rPr>
            </w:pPr>
          </w:p>
        </w:tc>
        <w:tc>
          <w:tcPr>
            <w:tcW w:w="2205" w:type="dxa"/>
          </w:tcPr>
          <w:p w:rsidRPr="00ED52B1" w:rsidR="00D70F17" w:rsidP="00000B6A" w:rsidRDefault="00D70F17" w14:paraId="59BDFF1D" w14:textId="500DF495">
            <w:pPr>
              <w:tabs>
                <w:tab w:val="right" w:pos="1209"/>
              </w:tabs>
              <w:ind w:left="-6" w:firstLine="6"/>
              <w:jc w:val="center"/>
              <w:rPr>
                <w:rFonts w:ascii="Arial" w:hAnsi="Arial" w:cs="Arial"/>
                <w:sz w:val="22"/>
                <w:szCs w:val="22"/>
              </w:rPr>
            </w:pPr>
            <w:r w:rsidRPr="00ED52B1">
              <w:rPr>
                <w:rFonts w:ascii="Arial" w:hAnsi="Arial" w:cs="Arial"/>
                <w:sz w:val="22"/>
                <w:szCs w:val="22"/>
              </w:rPr>
              <w:t>19</w:t>
            </w:r>
          </w:p>
          <w:p w:rsidRPr="00ED52B1" w:rsidR="00D70F17" w:rsidP="00000B6A" w:rsidRDefault="00D70F17" w14:paraId="68F0D8BE" w14:textId="66CDC596">
            <w:pPr>
              <w:tabs>
                <w:tab w:val="right" w:pos="1209"/>
              </w:tabs>
              <w:ind w:left="-6" w:firstLine="6"/>
              <w:jc w:val="center"/>
              <w:rPr>
                <w:rFonts w:ascii="Arial" w:hAnsi="Arial" w:cs="Arial"/>
                <w:sz w:val="22"/>
                <w:szCs w:val="22"/>
              </w:rPr>
            </w:pPr>
            <w:bookmarkStart w:name="_GoBack" w:id="0"/>
            <w:bookmarkEnd w:id="0"/>
          </w:p>
        </w:tc>
      </w:tr>
      <w:tr w:rsidRPr="00ED52B1" w:rsidR="00D70F17" w:rsidTr="00951D3E" w14:paraId="0B1D8FBE" w14:textId="77777777">
        <w:trPr>
          <w:cantSplit/>
          <w:trHeight w:val="500" w:hRule="exact"/>
        </w:trPr>
        <w:tc>
          <w:tcPr>
            <w:tcW w:w="2205" w:type="dxa"/>
            <w:vAlign w:val="center"/>
          </w:tcPr>
          <w:p w:rsidRPr="00ED52B1" w:rsidR="00D70F17" w:rsidP="00E92438" w:rsidRDefault="007D7977" w14:paraId="7D749253" w14:textId="56D44C98">
            <w:pPr>
              <w:tabs>
                <w:tab w:val="center" w:pos="489"/>
              </w:tabs>
              <w:jc w:val="center"/>
              <w:rPr>
                <w:rFonts w:ascii="Arial" w:hAnsi="Arial"/>
                <w:sz w:val="22"/>
              </w:rPr>
            </w:pPr>
            <w:r>
              <w:rPr>
                <w:rFonts w:ascii="Arial" w:hAnsi="Arial"/>
                <w:sz w:val="22"/>
              </w:rPr>
              <w:t>G-212</w:t>
            </w:r>
          </w:p>
        </w:tc>
        <w:tc>
          <w:tcPr>
            <w:tcW w:w="2205" w:type="dxa"/>
            <w:vAlign w:val="center"/>
          </w:tcPr>
          <w:p w:rsidRPr="00ED52B1" w:rsidR="00D70F17" w:rsidP="00000B6A" w:rsidRDefault="007D7977" w14:paraId="7C1E7FBF" w14:textId="298B5689">
            <w:pPr>
              <w:tabs>
                <w:tab w:val="right" w:pos="1209"/>
              </w:tabs>
              <w:ind w:left="-6" w:firstLine="6"/>
              <w:jc w:val="center"/>
              <w:rPr>
                <w:rFonts w:ascii="Arial" w:hAnsi="Arial" w:cs="Arial"/>
                <w:sz w:val="22"/>
                <w:szCs w:val="22"/>
              </w:rPr>
            </w:pPr>
            <w:r>
              <w:rPr>
                <w:rFonts w:ascii="Arial" w:hAnsi="Arial" w:cs="Arial"/>
                <w:sz w:val="22"/>
                <w:szCs w:val="22"/>
              </w:rPr>
              <w:t>1,100</w:t>
            </w:r>
          </w:p>
        </w:tc>
        <w:tc>
          <w:tcPr>
            <w:tcW w:w="2205" w:type="dxa"/>
            <w:vAlign w:val="center"/>
          </w:tcPr>
          <w:p w:rsidRPr="00ED52B1" w:rsidR="00D70F17" w:rsidP="00000B6A" w:rsidRDefault="007D7977" w14:paraId="3917BD7F" w14:textId="77777777">
            <w:pPr>
              <w:jc w:val="center"/>
              <w:rPr>
                <w:rFonts w:ascii="Arial" w:hAnsi="Arial" w:cs="Arial"/>
                <w:sz w:val="22"/>
                <w:szCs w:val="22"/>
              </w:rPr>
            </w:pPr>
            <w:r>
              <w:rPr>
                <w:rFonts w:ascii="Arial" w:hAnsi="Arial" w:cs="Arial"/>
                <w:sz w:val="22"/>
                <w:szCs w:val="22"/>
              </w:rPr>
              <w:t>15</w:t>
            </w:r>
          </w:p>
        </w:tc>
        <w:tc>
          <w:tcPr>
            <w:tcW w:w="2205" w:type="dxa"/>
            <w:vAlign w:val="center"/>
          </w:tcPr>
          <w:p w:rsidRPr="00ED52B1" w:rsidR="00D70F17" w:rsidP="00000B6A" w:rsidRDefault="007D7977" w14:paraId="5ECD7565" w14:textId="0EF1337B">
            <w:pPr>
              <w:tabs>
                <w:tab w:val="right" w:pos="1209"/>
              </w:tabs>
              <w:ind w:left="-6" w:firstLine="6"/>
              <w:jc w:val="center"/>
              <w:rPr>
                <w:rFonts w:ascii="Arial" w:hAnsi="Arial" w:cs="Arial"/>
                <w:sz w:val="22"/>
                <w:szCs w:val="22"/>
              </w:rPr>
            </w:pPr>
            <w:r>
              <w:rPr>
                <w:rFonts w:ascii="Arial" w:hAnsi="Arial" w:cs="Arial"/>
                <w:sz w:val="22"/>
                <w:szCs w:val="22"/>
              </w:rPr>
              <w:t>275</w:t>
            </w:r>
          </w:p>
        </w:tc>
      </w:tr>
      <w:tr w:rsidRPr="00ED52B1" w:rsidR="007D7977" w:rsidTr="00951D3E" w14:paraId="635A8E2D" w14:textId="77777777">
        <w:trPr>
          <w:cantSplit/>
          <w:trHeight w:val="500" w:hRule="exact"/>
        </w:trPr>
        <w:tc>
          <w:tcPr>
            <w:tcW w:w="2205" w:type="dxa"/>
            <w:vAlign w:val="center"/>
          </w:tcPr>
          <w:p w:rsidRPr="00ED52B1" w:rsidR="007D7977" w:rsidP="00E92438" w:rsidRDefault="007D7977" w14:paraId="08201CA8" w14:textId="77777777">
            <w:pPr>
              <w:tabs>
                <w:tab w:val="center" w:pos="489"/>
              </w:tabs>
              <w:jc w:val="center"/>
              <w:rPr>
                <w:rFonts w:ascii="Arial" w:hAnsi="Arial"/>
                <w:sz w:val="22"/>
              </w:rPr>
            </w:pPr>
            <w:r w:rsidRPr="00ED52B1">
              <w:rPr>
                <w:rFonts w:ascii="Arial" w:hAnsi="Arial"/>
                <w:sz w:val="22"/>
              </w:rPr>
              <w:t>Total</w:t>
            </w:r>
          </w:p>
        </w:tc>
        <w:tc>
          <w:tcPr>
            <w:tcW w:w="2205" w:type="dxa"/>
            <w:vAlign w:val="center"/>
          </w:tcPr>
          <w:p w:rsidRPr="00ED52B1" w:rsidR="007D7977" w:rsidP="00000B6A" w:rsidRDefault="007D7977" w14:paraId="52F80816" w14:textId="77777777">
            <w:pPr>
              <w:tabs>
                <w:tab w:val="right" w:pos="1209"/>
              </w:tabs>
              <w:ind w:left="-6" w:firstLine="6"/>
              <w:jc w:val="center"/>
              <w:rPr>
                <w:rFonts w:ascii="Arial" w:hAnsi="Arial" w:cs="Arial"/>
                <w:sz w:val="22"/>
                <w:szCs w:val="22"/>
              </w:rPr>
            </w:pPr>
            <w:r w:rsidRPr="00ED52B1">
              <w:rPr>
                <w:rFonts w:ascii="Arial" w:hAnsi="Arial" w:cs="Arial"/>
                <w:sz w:val="22"/>
                <w:szCs w:val="22"/>
              </w:rPr>
              <w:t>1,170</w:t>
            </w:r>
          </w:p>
        </w:tc>
        <w:tc>
          <w:tcPr>
            <w:tcW w:w="2205" w:type="dxa"/>
            <w:vAlign w:val="center"/>
          </w:tcPr>
          <w:p w:rsidRPr="00ED52B1" w:rsidR="007D7977" w:rsidP="00000B6A" w:rsidRDefault="007D7977" w14:paraId="105B1088" w14:textId="77777777">
            <w:pPr>
              <w:jc w:val="center"/>
              <w:rPr>
                <w:rFonts w:ascii="Arial" w:hAnsi="Arial" w:cs="Arial"/>
                <w:sz w:val="22"/>
                <w:szCs w:val="22"/>
              </w:rPr>
            </w:pPr>
          </w:p>
        </w:tc>
        <w:tc>
          <w:tcPr>
            <w:tcW w:w="2205" w:type="dxa"/>
            <w:vAlign w:val="center"/>
          </w:tcPr>
          <w:p w:rsidRPr="00ED52B1" w:rsidR="007D7977" w:rsidP="00000B6A" w:rsidRDefault="007D7977" w14:paraId="1095F166" w14:textId="77777777">
            <w:pPr>
              <w:tabs>
                <w:tab w:val="right" w:pos="1209"/>
              </w:tabs>
              <w:ind w:left="-6" w:firstLine="6"/>
              <w:jc w:val="center"/>
              <w:rPr>
                <w:rFonts w:ascii="Arial" w:hAnsi="Arial" w:cs="Arial"/>
                <w:sz w:val="22"/>
                <w:szCs w:val="22"/>
              </w:rPr>
            </w:pPr>
            <w:r w:rsidRPr="00ED52B1">
              <w:rPr>
                <w:rFonts w:ascii="Arial" w:hAnsi="Arial" w:cs="Arial"/>
                <w:sz w:val="22"/>
                <w:szCs w:val="22"/>
              </w:rPr>
              <w:t>294</w:t>
            </w:r>
          </w:p>
        </w:tc>
      </w:tr>
    </w:tbl>
    <w:p w:rsidRPr="00000B6A" w:rsidR="007D2B13" w:rsidP="00951D3E" w:rsidRDefault="007D7977" w14:paraId="240D3010" w14:textId="77777777">
      <w:pPr>
        <w:keepNext/>
        <w:widowControl/>
        <w:tabs>
          <w:tab w:val="left" w:pos="540"/>
          <w:tab w:val="center" w:pos="4680"/>
        </w:tabs>
        <w:ind w:left="540" w:hanging="540"/>
        <w:jc w:val="both"/>
        <w:rPr>
          <w:rFonts w:ascii="Arial" w:hAnsi="Arial"/>
          <w:sz w:val="22"/>
          <w:u w:val="single"/>
        </w:rPr>
      </w:pPr>
      <w:r w:rsidRPr="00000B6A">
        <w:rPr>
          <w:rFonts w:ascii="Arial" w:hAnsi="Arial"/>
          <w:b/>
          <w:sz w:val="22"/>
        </w:rPr>
        <w:tab/>
      </w:r>
      <w:r w:rsidRPr="00000B6A" w:rsidR="00111A5C">
        <w:rPr>
          <w:rFonts w:ascii="Arial" w:hAnsi="Arial"/>
          <w:sz w:val="22"/>
        </w:rPr>
        <w:t>1</w:t>
      </w:r>
      <w:r w:rsidRPr="00000B6A" w:rsidR="00111A5C">
        <w:rPr>
          <w:rFonts w:ascii="Arial" w:hAnsi="Arial"/>
          <w:sz w:val="22"/>
          <w:u w:val="single"/>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ED52B1" w:rsidR="00111A5C" w:rsidP="00951D3E" w:rsidRDefault="00111A5C" w14:paraId="28F995E1" w14:textId="77777777">
      <w:pPr>
        <w:keepNext/>
        <w:widowControl/>
        <w:tabs>
          <w:tab w:val="left" w:pos="540"/>
          <w:tab w:val="center" w:pos="4680"/>
        </w:tabs>
        <w:ind w:left="540" w:hanging="540"/>
        <w:jc w:val="both"/>
        <w:rPr>
          <w:rFonts w:ascii="Arial" w:hAnsi="Arial"/>
          <w:b/>
          <w:sz w:val="22"/>
          <w:u w:val="single"/>
        </w:rPr>
      </w:pPr>
    </w:p>
    <w:p w:rsidRPr="00ED52B1" w:rsidR="00E75377" w:rsidP="00951D3E" w:rsidRDefault="00E75377" w14:paraId="09F797D5" w14:textId="77777777">
      <w:pPr>
        <w:tabs>
          <w:tab w:val="left" w:pos="-1440"/>
          <w:tab w:val="left" w:pos="540"/>
        </w:tabs>
        <w:ind w:left="540" w:hanging="540"/>
        <w:jc w:val="both"/>
        <w:rPr>
          <w:rFonts w:ascii="Arial" w:hAnsi="Arial"/>
          <w:sz w:val="22"/>
        </w:rPr>
      </w:pPr>
      <w:r w:rsidRPr="00ED52B1">
        <w:rPr>
          <w:rFonts w:ascii="Arial" w:hAnsi="Arial"/>
          <w:sz w:val="22"/>
        </w:rPr>
        <w:t>13.</w:t>
      </w:r>
      <w:r w:rsidRPr="00ED52B1">
        <w:rPr>
          <w:rFonts w:ascii="Arial" w:hAnsi="Arial"/>
          <w:sz w:val="22"/>
        </w:rPr>
        <w:tab/>
      </w:r>
      <w:r w:rsidRPr="00ED52B1">
        <w:rPr>
          <w:rFonts w:ascii="Arial" w:hAnsi="Arial"/>
          <w:sz w:val="22"/>
          <w:u w:val="single"/>
        </w:rPr>
        <w:t>Estimated annual cost to respondents or record</w:t>
      </w:r>
      <w:r w:rsidRPr="00ED52B1" w:rsidR="005A5199">
        <w:rPr>
          <w:rFonts w:ascii="Arial" w:hAnsi="Arial"/>
          <w:sz w:val="22"/>
          <w:u w:val="single"/>
        </w:rPr>
        <w:t xml:space="preserve"> </w:t>
      </w:r>
      <w:r w:rsidRPr="00ED52B1">
        <w:rPr>
          <w:rFonts w:ascii="Arial" w:hAnsi="Arial"/>
          <w:sz w:val="22"/>
          <w:u w:val="single"/>
        </w:rPr>
        <w:t>keepers</w:t>
      </w:r>
      <w:r w:rsidRPr="00ED52B1">
        <w:rPr>
          <w:rFonts w:ascii="Arial" w:hAnsi="Arial"/>
          <w:sz w:val="22"/>
        </w:rPr>
        <w:t xml:space="preserve"> - N.A.</w:t>
      </w:r>
    </w:p>
    <w:p w:rsidRPr="00ED52B1" w:rsidR="00E75377" w:rsidP="00951D3E" w:rsidRDefault="00E75377" w14:paraId="7A88779B" w14:textId="77777777">
      <w:pPr>
        <w:tabs>
          <w:tab w:val="left" w:pos="540"/>
        </w:tabs>
        <w:ind w:left="540" w:hanging="540"/>
        <w:jc w:val="both"/>
        <w:rPr>
          <w:rFonts w:ascii="Arial" w:hAnsi="Arial"/>
          <w:sz w:val="22"/>
        </w:rPr>
      </w:pPr>
    </w:p>
    <w:p w:rsidRPr="00ED52B1" w:rsidR="00E75377" w:rsidP="00951D3E" w:rsidRDefault="00E75377" w14:paraId="60615C1C" w14:textId="77777777">
      <w:pPr>
        <w:tabs>
          <w:tab w:val="left" w:pos="-1440"/>
          <w:tab w:val="left" w:pos="540"/>
        </w:tabs>
        <w:ind w:left="540" w:hanging="540"/>
        <w:jc w:val="both"/>
        <w:rPr>
          <w:rFonts w:ascii="Arial" w:hAnsi="Arial"/>
          <w:sz w:val="22"/>
        </w:rPr>
      </w:pPr>
      <w:r w:rsidRPr="00ED52B1">
        <w:rPr>
          <w:rFonts w:ascii="Arial" w:hAnsi="Arial"/>
          <w:sz w:val="22"/>
        </w:rPr>
        <w:t>14.</w:t>
      </w:r>
      <w:r w:rsidRPr="00ED52B1">
        <w:rPr>
          <w:rFonts w:ascii="Arial" w:hAnsi="Arial"/>
          <w:sz w:val="22"/>
        </w:rPr>
        <w:tab/>
      </w:r>
      <w:r w:rsidRPr="00ED52B1">
        <w:rPr>
          <w:rFonts w:ascii="Arial" w:hAnsi="Arial"/>
          <w:sz w:val="22"/>
          <w:u w:val="single"/>
        </w:rPr>
        <w:t>E</w:t>
      </w:r>
      <w:r w:rsidRPr="00ED52B1" w:rsidR="005A5199">
        <w:rPr>
          <w:rFonts w:ascii="Arial" w:hAnsi="Arial"/>
          <w:sz w:val="22"/>
          <w:u w:val="single"/>
        </w:rPr>
        <w:t>stimate of cost to the Federal G</w:t>
      </w:r>
      <w:r w:rsidRPr="00ED52B1">
        <w:rPr>
          <w:rFonts w:ascii="Arial" w:hAnsi="Arial"/>
          <w:sz w:val="22"/>
          <w:u w:val="single"/>
        </w:rPr>
        <w:t>overnment</w:t>
      </w:r>
      <w:r w:rsidRPr="00ED52B1">
        <w:rPr>
          <w:rFonts w:ascii="Arial" w:hAnsi="Arial"/>
          <w:sz w:val="22"/>
        </w:rPr>
        <w:t xml:space="preserve"> - N.A.</w:t>
      </w:r>
    </w:p>
    <w:p w:rsidRPr="00ED52B1" w:rsidR="00E75377" w:rsidP="00951D3E" w:rsidRDefault="00E75377" w14:paraId="1217801B" w14:textId="77777777">
      <w:pPr>
        <w:tabs>
          <w:tab w:val="left" w:pos="540"/>
        </w:tabs>
        <w:ind w:left="540" w:hanging="540"/>
        <w:jc w:val="both"/>
        <w:rPr>
          <w:rFonts w:ascii="Arial" w:hAnsi="Arial"/>
          <w:sz w:val="22"/>
        </w:rPr>
      </w:pPr>
    </w:p>
    <w:p w:rsidRPr="00ED52B1" w:rsidR="00E75377" w:rsidP="00951D3E" w:rsidRDefault="00E75377" w14:paraId="2A9A4ECC" w14:textId="77777777">
      <w:pPr>
        <w:tabs>
          <w:tab w:val="left" w:pos="-1440"/>
          <w:tab w:val="left" w:pos="540"/>
        </w:tabs>
        <w:ind w:left="540" w:hanging="540"/>
        <w:jc w:val="both"/>
        <w:rPr>
          <w:rFonts w:ascii="Arial" w:hAnsi="Arial"/>
          <w:sz w:val="22"/>
        </w:rPr>
      </w:pPr>
      <w:r w:rsidRPr="00ED52B1">
        <w:rPr>
          <w:rFonts w:ascii="Arial" w:hAnsi="Arial"/>
          <w:sz w:val="22"/>
        </w:rPr>
        <w:t>15.</w:t>
      </w:r>
      <w:r w:rsidRPr="00ED52B1">
        <w:rPr>
          <w:rFonts w:ascii="Arial" w:hAnsi="Arial"/>
          <w:sz w:val="22"/>
        </w:rPr>
        <w:tab/>
      </w:r>
      <w:r w:rsidRPr="00ED52B1">
        <w:rPr>
          <w:rFonts w:ascii="Arial" w:hAnsi="Arial"/>
          <w:sz w:val="22"/>
          <w:u w:val="single"/>
        </w:rPr>
        <w:t>Explanation for change in burden</w:t>
      </w:r>
      <w:r w:rsidRPr="00ED52B1">
        <w:rPr>
          <w:rFonts w:ascii="Arial" w:hAnsi="Arial"/>
          <w:sz w:val="22"/>
        </w:rPr>
        <w:t xml:space="preserve"> </w:t>
      </w:r>
      <w:r w:rsidRPr="00ED52B1" w:rsidR="008754EB">
        <w:rPr>
          <w:rFonts w:ascii="Arial" w:hAnsi="Arial"/>
          <w:sz w:val="22"/>
        </w:rPr>
        <w:t>- N.A.</w:t>
      </w:r>
    </w:p>
    <w:p w:rsidRPr="00ED52B1" w:rsidR="00E75377" w:rsidP="00951D3E" w:rsidRDefault="00E75377" w14:paraId="7CCDAA6B" w14:textId="77777777">
      <w:pPr>
        <w:tabs>
          <w:tab w:val="left" w:pos="540"/>
        </w:tabs>
        <w:ind w:left="540" w:hanging="540"/>
        <w:jc w:val="both"/>
        <w:rPr>
          <w:rFonts w:ascii="Arial" w:hAnsi="Arial"/>
          <w:sz w:val="22"/>
        </w:rPr>
      </w:pPr>
    </w:p>
    <w:p w:rsidRPr="00ED52B1" w:rsidR="00E75377" w:rsidP="00951D3E" w:rsidRDefault="00E75377" w14:paraId="790FC18E" w14:textId="77777777">
      <w:pPr>
        <w:tabs>
          <w:tab w:val="left" w:pos="-1440"/>
          <w:tab w:val="left" w:pos="540"/>
        </w:tabs>
        <w:ind w:left="540" w:hanging="540"/>
        <w:jc w:val="both"/>
        <w:rPr>
          <w:rFonts w:ascii="Arial" w:hAnsi="Arial"/>
          <w:sz w:val="22"/>
        </w:rPr>
      </w:pPr>
      <w:r w:rsidRPr="00ED52B1">
        <w:rPr>
          <w:rFonts w:ascii="Arial" w:hAnsi="Arial"/>
          <w:sz w:val="22"/>
        </w:rPr>
        <w:t>16.</w:t>
      </w:r>
      <w:r w:rsidRPr="00ED52B1">
        <w:rPr>
          <w:rFonts w:ascii="Arial" w:hAnsi="Arial"/>
          <w:sz w:val="22"/>
        </w:rPr>
        <w:tab/>
      </w:r>
      <w:r w:rsidRPr="00ED52B1">
        <w:rPr>
          <w:rFonts w:ascii="Arial" w:hAnsi="Arial"/>
          <w:sz w:val="22"/>
          <w:u w:val="single"/>
        </w:rPr>
        <w:t>Time schedule for data collection and publication</w:t>
      </w:r>
      <w:r w:rsidRPr="00ED52B1">
        <w:rPr>
          <w:rFonts w:ascii="Arial" w:hAnsi="Arial"/>
          <w:sz w:val="22"/>
        </w:rPr>
        <w:t xml:space="preserve"> - The results of this collection will not be published.</w:t>
      </w:r>
    </w:p>
    <w:p w:rsidRPr="00ED52B1" w:rsidR="00E75377" w:rsidP="00951D3E" w:rsidRDefault="00E75377" w14:paraId="6C8159FF" w14:textId="77777777">
      <w:pPr>
        <w:tabs>
          <w:tab w:val="left" w:pos="540"/>
        </w:tabs>
        <w:ind w:left="540" w:hanging="540"/>
        <w:jc w:val="both"/>
        <w:rPr>
          <w:rFonts w:ascii="Arial" w:hAnsi="Arial"/>
          <w:sz w:val="22"/>
        </w:rPr>
      </w:pPr>
    </w:p>
    <w:p w:rsidRPr="00DB1B3F" w:rsidR="00111A5C" w:rsidP="00111A5C" w:rsidRDefault="00E75377" w14:paraId="39667DC1" w14:textId="6F903A66">
      <w:pPr>
        <w:tabs>
          <w:tab w:val="left" w:pos="-1440"/>
          <w:tab w:val="left" w:pos="540"/>
        </w:tabs>
        <w:ind w:left="540" w:hanging="540"/>
        <w:jc w:val="both"/>
        <w:rPr>
          <w:rFonts w:ascii="Arial" w:hAnsi="Arial" w:cs="Arial"/>
          <w:sz w:val="22"/>
          <w:u w:val="single"/>
        </w:rPr>
      </w:pPr>
      <w:r w:rsidRPr="00ED52B1">
        <w:rPr>
          <w:rFonts w:ascii="Arial" w:hAnsi="Arial"/>
          <w:sz w:val="22"/>
        </w:rPr>
        <w:t>17.</w:t>
      </w:r>
      <w:r w:rsidRPr="00ED52B1">
        <w:rPr>
          <w:rFonts w:ascii="Arial" w:hAnsi="Arial"/>
          <w:sz w:val="22"/>
        </w:rPr>
        <w:tab/>
      </w:r>
      <w:r w:rsidRPr="00ED52B1">
        <w:rPr>
          <w:rFonts w:ascii="Arial" w:hAnsi="Arial"/>
          <w:sz w:val="22"/>
          <w:u w:val="single"/>
        </w:rPr>
        <w:t>Request not to display OMB expiration date</w:t>
      </w:r>
      <w:r w:rsidRPr="00ED52B1">
        <w:rPr>
          <w:rFonts w:ascii="Arial" w:hAnsi="Arial"/>
          <w:sz w:val="22"/>
        </w:rPr>
        <w:t xml:space="preserve"> - </w:t>
      </w:r>
      <w:r w:rsidRPr="00DB1B3F" w:rsidR="00111A5C">
        <w:rPr>
          <w:rFonts w:ascii="Arial" w:hAnsi="Arial" w:cs="Arial"/>
          <w:sz w:val="22"/>
        </w:rPr>
        <w:t>The</w:t>
      </w:r>
      <w:r w:rsidRPr="00DB1B3F" w:rsidR="00111A5C">
        <w:rPr>
          <w:rFonts w:ascii="Arial" w:hAnsi="Arial" w:cs="Arial"/>
          <w:sz w:val="22"/>
          <w:szCs w:val="22"/>
        </w:rPr>
        <w:t xml:space="preserve"> RRB started an extensive multi-year IT Modernization Initiative at the beginning of Fiscal Year 2019 to transform our operations into the 21</w:t>
      </w:r>
      <w:r w:rsidRPr="00DB1B3F" w:rsidR="00111A5C">
        <w:rPr>
          <w:rFonts w:ascii="Arial" w:hAnsi="Arial" w:cs="Arial"/>
          <w:sz w:val="22"/>
          <w:szCs w:val="22"/>
          <w:vertAlign w:val="superscript"/>
        </w:rPr>
        <w:t>st</w:t>
      </w:r>
      <w:r w:rsidRPr="00DB1B3F" w:rsidR="00111A5C">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Pr="00000B6A" w:rsidR="003047A2">
        <w:rPr>
          <w:rFonts w:ascii="Arial" w:hAnsi="Arial" w:cs="Arial"/>
          <w:sz w:val="22"/>
          <w:szCs w:val="22"/>
        </w:rPr>
        <w:t>W</w:t>
      </w:r>
      <w:r w:rsidRPr="00000B6A" w:rsidR="00111A5C">
        <w:rPr>
          <w:rFonts w:ascii="Arial" w:hAnsi="Arial" w:cs="Arial"/>
          <w:sz w:val="22"/>
          <w:szCs w:val="22"/>
        </w:rPr>
        <w:t>e provide</w:t>
      </w:r>
      <w:r w:rsidRPr="00000B6A" w:rsidR="003047A2">
        <w:rPr>
          <w:rFonts w:ascii="Arial" w:hAnsi="Arial" w:cs="Arial"/>
          <w:sz w:val="22"/>
          <w:szCs w:val="22"/>
        </w:rPr>
        <w:t>d</w:t>
      </w:r>
      <w:r w:rsidRPr="00DB1B3F" w:rsidR="00111A5C">
        <w:rPr>
          <w:rFonts w:ascii="Arial" w:hAnsi="Arial" w:cs="Arial"/>
          <w:sz w:val="22"/>
          <w:szCs w:val="22"/>
        </w:rPr>
        <w:t xml:space="preserve"> OMB with a consolidated project timeline. </w:t>
      </w:r>
    </w:p>
    <w:p w:rsidRPr="00DB1B3F" w:rsidR="00111A5C" w:rsidP="00111A5C" w:rsidRDefault="00111A5C" w14:paraId="2BF3212B" w14:textId="77777777">
      <w:pPr>
        <w:tabs>
          <w:tab w:val="left" w:pos="-1440"/>
          <w:tab w:val="left" w:pos="540"/>
        </w:tabs>
        <w:jc w:val="both"/>
        <w:rPr>
          <w:rFonts w:ascii="Arial" w:hAnsi="Arial" w:cs="Arial"/>
          <w:sz w:val="22"/>
          <w:szCs w:val="22"/>
        </w:rPr>
      </w:pPr>
    </w:p>
    <w:p w:rsidR="00111A5C" w:rsidP="00111A5C" w:rsidRDefault="00111A5C" w14:paraId="294C301C" w14:textId="77777777">
      <w:pPr>
        <w:tabs>
          <w:tab w:val="left" w:pos="-1440"/>
          <w:tab w:val="left" w:pos="540"/>
        </w:tabs>
        <w:ind w:left="540"/>
        <w:jc w:val="both"/>
        <w:rPr>
          <w:rFonts w:ascii="Arial" w:hAnsi="Arial" w:cs="Arial"/>
          <w:sz w:val="22"/>
        </w:rPr>
      </w:pPr>
      <w:r w:rsidRPr="00DB1B3F">
        <w:rPr>
          <w:rFonts w:ascii="Arial" w:hAnsi="Arial" w:cs="Arial"/>
          <w:sz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DB1B3F">
        <w:rPr>
          <w:rFonts w:ascii="Arial" w:hAnsi="Arial" w:cs="Arial"/>
          <w:b/>
          <w:sz w:val="22"/>
        </w:rPr>
        <w:t xml:space="preserve"> </w:t>
      </w:r>
      <w:r w:rsidRPr="00DB1B3F">
        <w:rPr>
          <w:rFonts w:ascii="Arial" w:hAnsi="Arial" w:cs="Arial"/>
          <w:b/>
          <w:sz w:val="22"/>
          <w:u w:val="single"/>
        </w:rPr>
        <w:t>the RRB requests the authority to not display the expiration date on the forms</w:t>
      </w:r>
      <w:r w:rsidRPr="00DB1B3F">
        <w:rPr>
          <w:rFonts w:ascii="Arial" w:hAnsi="Arial" w:cs="Arial"/>
          <w:sz w:val="22"/>
        </w:rPr>
        <w:t>.</w:t>
      </w:r>
    </w:p>
    <w:p w:rsidRPr="00ED52B1" w:rsidR="00E75377" w:rsidP="00000B6A" w:rsidRDefault="00E75377" w14:paraId="72DE210E" w14:textId="77777777">
      <w:pPr>
        <w:tabs>
          <w:tab w:val="left" w:pos="-1440"/>
          <w:tab w:val="left" w:pos="540"/>
        </w:tabs>
        <w:ind w:left="540" w:hanging="540"/>
        <w:jc w:val="both"/>
        <w:rPr>
          <w:rFonts w:ascii="Arial" w:hAnsi="Arial"/>
          <w:sz w:val="22"/>
        </w:rPr>
      </w:pPr>
    </w:p>
    <w:p w:rsidRPr="008F03A4" w:rsidR="00E75377" w:rsidP="00951D3E" w:rsidRDefault="00E75377" w14:paraId="4EA70401" w14:textId="77777777">
      <w:pPr>
        <w:tabs>
          <w:tab w:val="left" w:pos="-1440"/>
          <w:tab w:val="left" w:pos="540"/>
        </w:tabs>
        <w:ind w:left="540" w:hanging="540"/>
        <w:jc w:val="both"/>
        <w:rPr>
          <w:rFonts w:ascii="Arial" w:hAnsi="Arial"/>
          <w:sz w:val="22"/>
        </w:rPr>
      </w:pPr>
      <w:r w:rsidRPr="00ED52B1">
        <w:rPr>
          <w:rFonts w:ascii="Arial" w:hAnsi="Arial"/>
          <w:sz w:val="22"/>
        </w:rPr>
        <w:t>18.</w:t>
      </w:r>
      <w:r w:rsidRPr="00ED52B1">
        <w:rPr>
          <w:rFonts w:ascii="Arial" w:hAnsi="Arial"/>
          <w:sz w:val="22"/>
        </w:rPr>
        <w:tab/>
      </w:r>
      <w:r w:rsidRPr="00ED52B1">
        <w:rPr>
          <w:rFonts w:ascii="Arial" w:hAnsi="Arial"/>
          <w:sz w:val="22"/>
          <w:u w:val="single"/>
        </w:rPr>
        <w:t>Exceptions to Certification Statement</w:t>
      </w:r>
      <w:r w:rsidRPr="00ED52B1">
        <w:rPr>
          <w:rFonts w:ascii="Arial" w:hAnsi="Arial"/>
          <w:sz w:val="22"/>
        </w:rPr>
        <w:t xml:space="preserve"> - None</w:t>
      </w:r>
    </w:p>
    <w:sectPr w:rsidRPr="008F03A4" w:rsidR="00E75377" w:rsidSect="00D70F17">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300E" w14:textId="77777777" w:rsidR="00BC3A80" w:rsidRDefault="00BC3A80">
      <w:r>
        <w:separator/>
      </w:r>
    </w:p>
  </w:endnote>
  <w:endnote w:type="continuationSeparator" w:id="0">
    <w:p w14:paraId="07E014F6" w14:textId="77777777" w:rsidR="00BC3A80" w:rsidRDefault="00BC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4EE5" w14:textId="77777777" w:rsidR="00D52516" w:rsidRDefault="00D52516">
    <w:pPr>
      <w:spacing w:line="240" w:lineRule="exact"/>
    </w:pPr>
  </w:p>
  <w:p w14:paraId="3C4075CB" w14:textId="1215E116" w:rsidR="00D52516" w:rsidRDefault="00D52516">
    <w:pPr>
      <w:framePr w:w="9361" w:wrap="notBeside" w:vAnchor="text" w:hAnchor="text" w:x="1" w:y="1"/>
      <w:jc w:val="center"/>
      <w:rPr>
        <w:rFonts w:ascii="CG Times" w:hAnsi="CG Times"/>
      </w:rPr>
    </w:pPr>
    <w:r>
      <w:rPr>
        <w:rFonts w:ascii="CG Times" w:hAnsi="CG Times"/>
      </w:rPr>
      <w:t>-</w:t>
    </w:r>
    <w:r>
      <w:rPr>
        <w:rFonts w:ascii="CG Times" w:hAnsi="CG Times"/>
      </w:rPr>
      <w:fldChar w:fldCharType="begin"/>
    </w:r>
    <w:r>
      <w:rPr>
        <w:rFonts w:ascii="CG Times" w:hAnsi="CG Times"/>
      </w:rPr>
      <w:instrText xml:space="preserve">PAGE </w:instrText>
    </w:r>
    <w:r>
      <w:rPr>
        <w:rFonts w:ascii="CG Times" w:hAnsi="CG Times"/>
      </w:rPr>
      <w:fldChar w:fldCharType="separate"/>
    </w:r>
    <w:r w:rsidR="00320B24">
      <w:rPr>
        <w:rFonts w:ascii="CG Times" w:hAnsi="CG Times"/>
        <w:noProof/>
      </w:rPr>
      <w:t>2</w:t>
    </w:r>
    <w:r>
      <w:rPr>
        <w:rFonts w:ascii="CG Times" w:hAnsi="CG Times"/>
      </w:rPr>
      <w:fldChar w:fldCharType="end"/>
    </w:r>
    <w:r>
      <w:rPr>
        <w:rFonts w:ascii="CG Times" w:hAnsi="CG Times"/>
      </w:rPr>
      <w:t>-</w:t>
    </w:r>
  </w:p>
  <w:p w14:paraId="0FF3B4FB" w14:textId="77777777" w:rsidR="00D52516" w:rsidRDefault="00D525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5A8EA" w14:textId="77777777" w:rsidR="00BC3A80" w:rsidRDefault="00BC3A80">
      <w:r>
        <w:separator/>
      </w:r>
    </w:p>
  </w:footnote>
  <w:footnote w:type="continuationSeparator" w:id="0">
    <w:p w14:paraId="23168D3D" w14:textId="77777777" w:rsidR="00BC3A80" w:rsidRDefault="00BC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959E" w14:textId="77777777" w:rsidR="00D52516" w:rsidRPr="008F03A4" w:rsidRDefault="00D52516">
    <w:pPr>
      <w:tabs>
        <w:tab w:val="right" w:pos="9360"/>
      </w:tabs>
      <w:jc w:val="both"/>
      <w:rPr>
        <w:rFonts w:ascii="Arial" w:hAnsi="Arial"/>
        <w:sz w:val="22"/>
      </w:rPr>
    </w:pPr>
    <w:r>
      <w:tab/>
    </w:r>
    <w:r w:rsidRPr="008F03A4">
      <w:rPr>
        <w:rFonts w:ascii="Arial" w:hAnsi="Arial"/>
        <w:sz w:val="22"/>
      </w:rPr>
      <w:t>OMB N</w:t>
    </w:r>
    <w:r w:rsidR="00B17C95">
      <w:rPr>
        <w:rFonts w:ascii="Arial" w:hAnsi="Arial"/>
        <w:sz w:val="22"/>
      </w:rPr>
      <w:t>o</w:t>
    </w:r>
    <w:r w:rsidRPr="008F03A4">
      <w:rPr>
        <w:rFonts w:ascii="Arial" w:hAnsi="Arial"/>
        <w:sz w:val="22"/>
      </w:rPr>
      <w:t>. 3220-0136</w:t>
    </w:r>
  </w:p>
  <w:p w14:paraId="6CC0C0A9" w14:textId="77777777" w:rsidR="00D52516" w:rsidRPr="008F03A4" w:rsidRDefault="00D52516">
    <w:pPr>
      <w:tabs>
        <w:tab w:val="right" w:pos="9360"/>
      </w:tabs>
      <w:jc w:val="both"/>
      <w:rPr>
        <w:rFonts w:ascii="Arial" w:hAnsi="Arial"/>
        <w:sz w:val="22"/>
      </w:rPr>
    </w:pPr>
    <w:r w:rsidRPr="008F03A4">
      <w:rPr>
        <w:rFonts w:ascii="Arial" w:hAnsi="Arial"/>
        <w:sz w:val="22"/>
      </w:rPr>
      <w:tab/>
    </w:r>
  </w:p>
  <w:p w14:paraId="39AC13AC" w14:textId="77777777" w:rsidR="00D52516" w:rsidRPr="008F03A4" w:rsidRDefault="00D52516">
    <w:pPr>
      <w:spacing w:line="240" w:lineRule="exac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5CE1134"/>
    <w:multiLevelType w:val="hybridMultilevel"/>
    <w:tmpl w:val="7A78BCD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34"/>
    <w:rsid w:val="00000B6A"/>
    <w:rsid w:val="00065C15"/>
    <w:rsid w:val="000956FF"/>
    <w:rsid w:val="000F4163"/>
    <w:rsid w:val="001034E6"/>
    <w:rsid w:val="00111A5C"/>
    <w:rsid w:val="001131DF"/>
    <w:rsid w:val="001525AB"/>
    <w:rsid w:val="001A6B3A"/>
    <w:rsid w:val="001F481C"/>
    <w:rsid w:val="001F5E71"/>
    <w:rsid w:val="002011C2"/>
    <w:rsid w:val="002212A1"/>
    <w:rsid w:val="002B6124"/>
    <w:rsid w:val="003047A2"/>
    <w:rsid w:val="0030734A"/>
    <w:rsid w:val="00320B24"/>
    <w:rsid w:val="003559D5"/>
    <w:rsid w:val="00385FDF"/>
    <w:rsid w:val="003C5E54"/>
    <w:rsid w:val="003D0E98"/>
    <w:rsid w:val="00421018"/>
    <w:rsid w:val="004354DC"/>
    <w:rsid w:val="004758D2"/>
    <w:rsid w:val="00486F34"/>
    <w:rsid w:val="004A33B9"/>
    <w:rsid w:val="004B438A"/>
    <w:rsid w:val="004C402A"/>
    <w:rsid w:val="004F0531"/>
    <w:rsid w:val="004F2ADB"/>
    <w:rsid w:val="005310AC"/>
    <w:rsid w:val="00545A00"/>
    <w:rsid w:val="00554A88"/>
    <w:rsid w:val="00557736"/>
    <w:rsid w:val="00566E88"/>
    <w:rsid w:val="005A5199"/>
    <w:rsid w:val="005E4C97"/>
    <w:rsid w:val="006062B6"/>
    <w:rsid w:val="00610351"/>
    <w:rsid w:val="006466DD"/>
    <w:rsid w:val="006641DA"/>
    <w:rsid w:val="00673537"/>
    <w:rsid w:val="0068596D"/>
    <w:rsid w:val="006A2549"/>
    <w:rsid w:val="006D7FBC"/>
    <w:rsid w:val="00740C7D"/>
    <w:rsid w:val="0076212C"/>
    <w:rsid w:val="007D2B13"/>
    <w:rsid w:val="007D7977"/>
    <w:rsid w:val="0081246D"/>
    <w:rsid w:val="00822322"/>
    <w:rsid w:val="008754EB"/>
    <w:rsid w:val="008B72B0"/>
    <w:rsid w:val="008B7630"/>
    <w:rsid w:val="008D1F7B"/>
    <w:rsid w:val="008D694F"/>
    <w:rsid w:val="008D7AC9"/>
    <w:rsid w:val="008F03A4"/>
    <w:rsid w:val="00916F0A"/>
    <w:rsid w:val="00923885"/>
    <w:rsid w:val="00951D3E"/>
    <w:rsid w:val="00953953"/>
    <w:rsid w:val="00965683"/>
    <w:rsid w:val="00A31CB7"/>
    <w:rsid w:val="00A66F0F"/>
    <w:rsid w:val="00A80720"/>
    <w:rsid w:val="00AD735A"/>
    <w:rsid w:val="00AF51B0"/>
    <w:rsid w:val="00B00CC9"/>
    <w:rsid w:val="00B07051"/>
    <w:rsid w:val="00B17C95"/>
    <w:rsid w:val="00B22CB0"/>
    <w:rsid w:val="00BC3A80"/>
    <w:rsid w:val="00C674DB"/>
    <w:rsid w:val="00C80D05"/>
    <w:rsid w:val="00C95DC8"/>
    <w:rsid w:val="00CF03D6"/>
    <w:rsid w:val="00D330A9"/>
    <w:rsid w:val="00D52516"/>
    <w:rsid w:val="00D53EB5"/>
    <w:rsid w:val="00D70F17"/>
    <w:rsid w:val="00DE3445"/>
    <w:rsid w:val="00E7216F"/>
    <w:rsid w:val="00E74D66"/>
    <w:rsid w:val="00E75377"/>
    <w:rsid w:val="00E92438"/>
    <w:rsid w:val="00EC7C90"/>
    <w:rsid w:val="00ED52B1"/>
    <w:rsid w:val="00EE261B"/>
    <w:rsid w:val="00F02EC0"/>
    <w:rsid w:val="00F04C7D"/>
    <w:rsid w:val="00F952EA"/>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A1572"/>
  <w15:chartTrackingRefBased/>
  <w15:docId w15:val="{1D566D85-6736-4AB8-AC8B-5FBCF244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B17C95"/>
    <w:rPr>
      <w:color w:val="0000FF"/>
      <w:u w:val="single"/>
    </w:rPr>
  </w:style>
  <w:style w:type="character" w:styleId="FollowedHyperlink">
    <w:name w:val="FollowedHyperlink"/>
    <w:rsid w:val="00ED52B1"/>
    <w:rPr>
      <w:color w:val="954F72"/>
      <w:u w:val="single"/>
    </w:rPr>
  </w:style>
  <w:style w:type="character" w:styleId="CommentReference">
    <w:name w:val="annotation reference"/>
    <w:rsid w:val="00A80720"/>
    <w:rPr>
      <w:sz w:val="16"/>
      <w:szCs w:val="16"/>
    </w:rPr>
  </w:style>
  <w:style w:type="paragraph" w:styleId="CommentText">
    <w:name w:val="annotation text"/>
    <w:basedOn w:val="Normal"/>
    <w:link w:val="CommentTextChar"/>
    <w:rsid w:val="00A80720"/>
    <w:rPr>
      <w:sz w:val="20"/>
    </w:rPr>
  </w:style>
  <w:style w:type="character" w:customStyle="1" w:styleId="CommentTextChar">
    <w:name w:val="Comment Text Char"/>
    <w:link w:val="CommentText"/>
    <w:rsid w:val="00A80720"/>
    <w:rPr>
      <w:rFonts w:ascii="Courier" w:hAnsi="Courier"/>
      <w:snapToGrid w:val="0"/>
    </w:rPr>
  </w:style>
  <w:style w:type="paragraph" w:styleId="CommentSubject">
    <w:name w:val="annotation subject"/>
    <w:basedOn w:val="CommentText"/>
    <w:next w:val="CommentText"/>
    <w:link w:val="CommentSubjectChar"/>
    <w:rsid w:val="00A80720"/>
    <w:rPr>
      <w:b/>
      <w:bCs/>
    </w:rPr>
  </w:style>
  <w:style w:type="character" w:customStyle="1" w:styleId="CommentSubjectChar">
    <w:name w:val="Comment Subject Char"/>
    <w:link w:val="CommentSubject"/>
    <w:rsid w:val="00A80720"/>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1123</Words>
  <Characters>6113</Characters>
  <Application>Microsoft Office Word</Application>
  <DocSecurity>0</DocSecurity>
  <Lines>149</Lines>
  <Paragraphs>50</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7218</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BDP-230</dc:creator>
  <cp:keywords/>
  <cp:lastModifiedBy>Tucker, Kennisha</cp:lastModifiedBy>
  <cp:revision>8</cp:revision>
  <cp:lastPrinted>2017-03-20T18:30:00Z</cp:lastPrinted>
  <dcterms:created xsi:type="dcterms:W3CDTF">2020-06-22T14:45:00Z</dcterms:created>
  <dcterms:modified xsi:type="dcterms:W3CDTF">2020-06-22T16:17:00Z</dcterms:modified>
</cp:coreProperties>
</file>