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1477A3" w14:paraId="5B16DA33" w14:textId="77777777">
      <w:pPr>
        <w:pStyle w:val="Heading1"/>
        <w:ind w:left="0"/>
        <w:jc w:val="center"/>
        <w:rPr>
          <w:rFonts w:cs="Times New Roman"/>
        </w:rPr>
      </w:pPr>
      <w:r w:rsidRPr="004E4785">
        <w:rPr>
          <w:rFonts w:cs="Times New Roman"/>
        </w:rPr>
        <w:t>SUPPORTING STATEMENT</w:t>
      </w:r>
    </w:p>
    <w:p w:rsidRPr="004E4785" w:rsidR="00BD7237" w:rsidP="00BD7237" w:rsidRDefault="001477A3" w14:paraId="16BDCB0B" w14:textId="77777777">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14:paraId="0A2329C9" w14:textId="7777777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Pr="00F02257" w:rsidR="00BD7237" w:rsidP="00BD7237" w:rsidRDefault="00F02257" w14:paraId="0206ADC2" w14:textId="77777777">
      <w:pPr>
        <w:spacing w:line="259" w:lineRule="auto"/>
        <w:ind w:hanging="6"/>
        <w:jc w:val="center"/>
        <w:rPr>
          <w:rFonts w:cs="Times New Roman"/>
          <w:b/>
          <w:szCs w:val="24"/>
        </w:rPr>
      </w:pPr>
      <w:r w:rsidRPr="00F02257">
        <w:rPr>
          <w:rFonts w:cs="Times New Roman"/>
          <w:b/>
          <w:color w:val="000000"/>
          <w:szCs w:val="24"/>
          <w:shd w:val="clear" w:color="auto" w:fill="FFFFFF"/>
        </w:rPr>
        <w:t>Conflict of Interest Disclosure for Non-Federal Government Individuals Who are Candidates to Conduct Peer Reviews Required by the OMB Peer Review Bulletin</w:t>
      </w:r>
    </w:p>
    <w:p w:rsidRPr="004E4785" w:rsidR="008E61C9" w:rsidP="00BD7237" w:rsidRDefault="001477A3" w14:paraId="5544A59F" w14:textId="77777777">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00F02257">
        <w:rPr>
          <w:rFonts w:cs="Times New Roman"/>
          <w:b/>
          <w:szCs w:val="24"/>
        </w:rPr>
        <w:t>-0567</w:t>
      </w:r>
    </w:p>
    <w:p w:rsidRPr="004E4785" w:rsidR="008E61C9" w:rsidP="00BD7237" w:rsidRDefault="008E61C9" w14:paraId="45929CCE" w14:textId="77777777">
      <w:pPr>
        <w:pStyle w:val="BodyText"/>
        <w:spacing w:before="1"/>
        <w:ind w:left="0"/>
        <w:jc w:val="center"/>
        <w:rPr>
          <w:rFonts w:cs="Times New Roman"/>
          <w:b/>
        </w:rPr>
      </w:pPr>
    </w:p>
    <w:p w:rsidRPr="004D45C7" w:rsidR="008E61C9" w:rsidP="00BD7237" w:rsidRDefault="001477A3" w14:paraId="249665BA" w14:textId="39916335">
      <w:pPr>
        <w:spacing w:before="1" w:line="398" w:lineRule="auto"/>
        <w:rPr>
          <w:rFonts w:cs="Times New Roman"/>
          <w:b/>
          <w:szCs w:val="24"/>
        </w:rPr>
      </w:pPr>
      <w:r w:rsidRPr="004D45C7">
        <w:rPr>
          <w:rFonts w:cs="Times New Roman"/>
          <w:b/>
          <w:szCs w:val="24"/>
        </w:rPr>
        <w:t xml:space="preserve">PART A </w:t>
      </w:r>
    </w:p>
    <w:p w:rsidRPr="004E4785" w:rsidR="008E61C9" w:rsidP="00BD7237" w:rsidRDefault="001477A3" w14:paraId="38C950B6" w14:textId="77777777">
      <w:pPr>
        <w:pStyle w:val="Heading1"/>
        <w:spacing w:before="199"/>
        <w:ind w:left="0"/>
        <w:rPr>
          <w:rFonts w:cs="Times New Roman"/>
        </w:rPr>
      </w:pPr>
      <w:r w:rsidRPr="004E4785">
        <w:rPr>
          <w:rFonts w:cs="Times New Roman"/>
        </w:rPr>
        <w:t>Abstract</w:t>
      </w:r>
    </w:p>
    <w:p w:rsidRPr="00CD370E" w:rsidR="008E61C9" w:rsidP="00BD7237" w:rsidRDefault="00CD370E" w14:paraId="1E2A1C2D" w14:textId="77777777">
      <w:pPr>
        <w:spacing w:before="144" w:line="259" w:lineRule="auto"/>
        <w:rPr>
          <w:rFonts w:cs="Times New Roman"/>
          <w:b/>
          <w:szCs w:val="24"/>
        </w:rPr>
      </w:pPr>
      <w:r w:rsidRPr="00CD370E">
        <w:rPr>
          <w:rFonts w:cs="Times New Roman"/>
          <w:szCs w:val="24"/>
        </w:rPr>
        <w:t>This request is for extension of a previously approved information collection.</w:t>
      </w:r>
    </w:p>
    <w:p w:rsidRPr="004E4785" w:rsidR="008E61C9" w:rsidP="00BD7237" w:rsidRDefault="001477A3" w14:paraId="5087BDD1" w14:textId="77777777">
      <w:pPr>
        <w:pStyle w:val="Heading1"/>
        <w:spacing w:before="124"/>
        <w:ind w:left="0"/>
        <w:rPr>
          <w:rFonts w:cs="Times New Roman"/>
        </w:rPr>
      </w:pPr>
      <w:r w:rsidRPr="004E4785">
        <w:rPr>
          <w:rFonts w:cs="Times New Roman"/>
        </w:rPr>
        <w:t>Justification</w:t>
      </w:r>
    </w:p>
    <w:p w:rsidRPr="004E4785" w:rsidR="008E61C9" w:rsidP="00BD7237" w:rsidRDefault="001477A3" w14:paraId="0289E21B" w14:textId="77777777">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D370E" w:rsidR="00CD370E" w:rsidP="00CD370E" w:rsidRDefault="00CD370E" w14:paraId="7EB3DDDA" w14:textId="77777777">
      <w:pPr>
        <w:pStyle w:val="ListParagraph"/>
        <w:ind w:left="0" w:firstLine="0"/>
        <w:rPr>
          <w:szCs w:val="24"/>
        </w:rPr>
      </w:pPr>
      <w:r w:rsidRPr="00CD370E">
        <w:rPr>
          <w:szCs w:val="24"/>
        </w:rPr>
        <w:t xml:space="preserve">The Office of Management and Budget (OMB) issued government-wide guidance to enhance the practice of peer review of government science documents: </w:t>
      </w:r>
      <w:hyperlink w:history="1" r:id="rId7">
        <w:r w:rsidRPr="00CD370E">
          <w:rPr>
            <w:rStyle w:val="Hyperlink"/>
            <w:szCs w:val="24"/>
          </w:rPr>
          <w:t xml:space="preserve">OMB’s Final Information Quality Bulletin for Peer Review </w:t>
        </w:r>
      </w:hyperlink>
      <w:r w:rsidRPr="00CD370E">
        <w:rPr>
          <w:szCs w:val="24"/>
        </w:rPr>
        <w:t>(“Peer Review Bulletin” or PRB) which establishes minimum peer review standards for influential scientific information that federal agencies intend to disseminate.  The PRB also directs federal agencies to adopt or adapt the National Academy of Sciences (NAS) policy for evaluating conflicts of interest when selecting peer reviewers who are not federal government employees (federal employees are subject to federal ethics requirements which address conflict of interest). For peer review purposes, the term “conflict of interest” means any financial or other interest which conflicts with the service of the individual because it could:  (1) significantly impair the individual’s objectivity</w:t>
      </w:r>
      <w:r>
        <w:rPr>
          <w:szCs w:val="24"/>
        </w:rPr>
        <w:t>,</w:t>
      </w:r>
      <w:r w:rsidRPr="00CD370E">
        <w:rPr>
          <w:szCs w:val="24"/>
        </w:rPr>
        <w:t xml:space="preserve"> or (2) create an unfair competitive advantage for any person or organization.  </w:t>
      </w:r>
    </w:p>
    <w:p w:rsidRPr="00CD370E" w:rsidR="001C3806" w:rsidP="00CD370E" w:rsidRDefault="00CD370E" w14:paraId="5552EF4E" w14:textId="77777777">
      <w:pPr>
        <w:pStyle w:val="Heading1"/>
        <w:tabs>
          <w:tab w:val="left" w:pos="360"/>
        </w:tabs>
        <w:spacing w:before="197"/>
        <w:ind w:left="0"/>
        <w:rPr>
          <w:rFonts w:cs="Times New Roman"/>
          <w:b w:val="0"/>
        </w:rPr>
      </w:pPr>
      <w:r w:rsidRPr="00CD370E">
        <w:rPr>
          <w:b w:val="0"/>
        </w:rPr>
        <w:t>NOAA has adapted the NAS policy and developed two confidential conflict of interest disclosure forms which the agency uses to examine prospective reviewers’ potential financial conflicts and other interests that could impair objectivity or create an unfair advantage.  One form is for peer reviewers of studies related to government regulation; the second form is for peer reviewers of any other influential scientific information subject to the Peer Review Bulletin.  The forms include questions about employment as well as investment and property interests and research funding.  Both forms also require the submission of a curriculum vitae (CV).</w:t>
      </w:r>
    </w:p>
    <w:p w:rsidRPr="004E4785" w:rsidR="001C3806" w:rsidP="001C3806" w:rsidRDefault="001C3806" w14:paraId="69B35E85" w14:textId="77777777">
      <w:pPr>
        <w:pStyle w:val="Heading1"/>
        <w:tabs>
          <w:tab w:val="left" w:pos="360"/>
        </w:tabs>
        <w:spacing w:before="197"/>
        <w:ind w:left="0"/>
        <w:rPr>
          <w:rFonts w:cs="Times New Roman"/>
          <w:b w:val="0"/>
        </w:rPr>
      </w:pPr>
    </w:p>
    <w:p w:rsidRPr="004E4785" w:rsidR="008E61C9" w:rsidP="00BD7237" w:rsidRDefault="001477A3" w14:paraId="213E16B2" w14:textId="77777777">
      <w:pPr>
        <w:pStyle w:val="Heading1"/>
        <w:numPr>
          <w:ilvl w:val="0"/>
          <w:numId w:val="7"/>
        </w:numPr>
        <w:tabs>
          <w:tab w:val="left" w:pos="360"/>
        </w:tabs>
        <w:spacing w:before="197"/>
        <w:ind w:left="0" w:firstLine="0"/>
        <w:rPr>
          <w:rFonts w:cs="Times New Roman"/>
        </w:rPr>
      </w:pPr>
      <w:r w:rsidRPr="004E4785">
        <w:rPr>
          <w:rFonts w:cs="Times New Roman"/>
          <w:bCs w:val="0"/>
        </w:rPr>
        <w:t>Indicate how, by whom, and for what purpose the information is to be used.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Pr="00CD370E" w:rsidR="00CD370E" w:rsidP="00CD370E" w:rsidRDefault="00CD370E" w14:paraId="65F9603C" w14:textId="77777777">
      <w:pPr>
        <w:pStyle w:val="ListParagraph"/>
        <w:ind w:left="0" w:firstLine="0"/>
        <w:rPr>
          <w:szCs w:val="24"/>
        </w:rPr>
      </w:pPr>
      <w:r w:rsidRPr="00CD370E">
        <w:rPr>
          <w:szCs w:val="24"/>
        </w:rPr>
        <w:t>NOAA is seeking to collect this information from potential peer reviewers (non-government employees) when conducting a peer review pursuant to the PRB, or an OAR laboratory peer review. The number of peer reviews conducted pursuant to the PRB each year will vary, but for illustrative purposes, NOAA currently has fifty peer review plans posted on its Peer Review Agenda</w:t>
      </w:r>
      <w:bookmarkStart w:name="_GoBack" w:id="0"/>
      <w:bookmarkEnd w:id="0"/>
      <w:r w:rsidRPr="00CD370E">
        <w:rPr>
          <w:szCs w:val="24"/>
        </w:rPr>
        <w:t>, including those completed in the past year, in progress, or pending shortly).  The information collected in the conflict of interest disclosure is essential to NOAA’s compliance with the OMB PRB, and helps to ensure that government studies are reviewed by independent, impartial peer reviewers.</w:t>
      </w:r>
    </w:p>
    <w:p w:rsidRPr="00CD370E" w:rsidR="00CD370E" w:rsidP="00CD370E" w:rsidRDefault="00CD370E" w14:paraId="2AEDD921" w14:textId="77777777">
      <w:pPr>
        <w:pStyle w:val="ListParagraph"/>
        <w:ind w:left="0" w:firstLine="0"/>
        <w:rPr>
          <w:szCs w:val="24"/>
        </w:rPr>
      </w:pPr>
    </w:p>
    <w:p w:rsidR="00CD370E" w:rsidP="00CD370E" w:rsidRDefault="00CD370E" w14:paraId="01AFA015" w14:textId="77777777">
      <w:pPr>
        <w:pStyle w:val="ListParagraph"/>
        <w:ind w:left="0" w:firstLine="0"/>
        <w:rPr>
          <w:szCs w:val="24"/>
        </w:rPr>
      </w:pPr>
      <w:r w:rsidRPr="00CD370E">
        <w:rPr>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be required to release any of the information, it will be subject to the quality control measures and pre-dissemination review pursuant to </w:t>
      </w:r>
      <w:hyperlink w:history="1" r:id="rId8">
        <w:r w:rsidRPr="00CD370E">
          <w:rPr>
            <w:rStyle w:val="Hyperlink"/>
            <w:szCs w:val="24"/>
          </w:rPr>
          <w:t>Section 515 of Public Law 106-554</w:t>
        </w:r>
      </w:hyperlink>
      <w:r w:rsidRPr="00CD370E">
        <w:rPr>
          <w:szCs w:val="24"/>
        </w:rPr>
        <w:t>.</w:t>
      </w:r>
    </w:p>
    <w:p w:rsidRPr="00CD370E" w:rsidR="00CD370E" w:rsidP="00CD370E" w:rsidRDefault="00CD370E" w14:paraId="499CF7FB" w14:textId="77777777">
      <w:pPr>
        <w:pStyle w:val="ListParagraph"/>
        <w:ind w:left="0" w:firstLine="0"/>
        <w:rPr>
          <w:szCs w:val="24"/>
        </w:rPr>
      </w:pPr>
    </w:p>
    <w:p w:rsidRPr="004E4785" w:rsidR="008E61C9" w:rsidP="00BD7237" w:rsidRDefault="001477A3" w14:paraId="25E2346D" w14:textId="77777777">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Pr="004E4785" w:rsidR="001C3806" w:rsidP="00BD7237" w:rsidRDefault="00462004" w14:paraId="7201F4B7" w14:textId="10DB3E75">
      <w:pPr>
        <w:spacing w:before="161"/>
        <w:rPr>
          <w:rFonts w:cs="Times New Roman"/>
          <w:szCs w:val="24"/>
        </w:rPr>
      </w:pPr>
      <w:r>
        <w:rPr>
          <w:szCs w:val="24"/>
        </w:rPr>
        <w:t xml:space="preserve">The NOAA peer review conflict of interest forms are available in Word, downloadable from the NOAA Office of the Chief Information Officer’s Information Quality Web page: </w:t>
      </w:r>
      <w:hyperlink w:history="1" r:id="rId9">
        <w:r w:rsidRPr="009E0FC7">
          <w:rPr>
            <w:rStyle w:val="Hyperlink"/>
            <w:szCs w:val="24"/>
          </w:rPr>
          <w:t>http://www.cio.noaa.gov/services_programs/info_quality.html</w:t>
        </w:r>
      </w:hyperlink>
      <w:r>
        <w:rPr>
          <w:szCs w:val="24"/>
        </w:rPr>
        <w:t xml:space="preserve"> and fillable on a computer.  The format allows the user to electronically complete and sign the form, then email it and his/her CV to the NOAA office conducting the peer review.</w:t>
      </w:r>
    </w:p>
    <w:p w:rsidRPr="004E4785" w:rsidR="001C3806" w:rsidP="00BD7237" w:rsidRDefault="001C3806" w14:paraId="5015F662" w14:textId="77777777">
      <w:pPr>
        <w:spacing w:before="161"/>
        <w:rPr>
          <w:rFonts w:cs="Times New Roman"/>
          <w:szCs w:val="24"/>
        </w:rPr>
      </w:pPr>
    </w:p>
    <w:p w:rsidRPr="004E4785" w:rsidR="008E61C9" w:rsidP="00BD7237" w:rsidRDefault="001477A3" w14:paraId="7599E8A3"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Pr="00462004" w:rsidR="00462004" w:rsidP="00462004" w:rsidRDefault="00462004" w14:paraId="79F35113" w14:textId="3BC8C6BB">
      <w:pPr>
        <w:pStyle w:val="ListParagraph"/>
        <w:ind w:left="0" w:firstLine="0"/>
        <w:rPr>
          <w:szCs w:val="24"/>
        </w:rPr>
      </w:pPr>
      <w:r w:rsidRPr="00462004">
        <w:rPr>
          <w:szCs w:val="24"/>
        </w:rPr>
        <w:t xml:space="preserve">This information collection is specifically required by OMB’s Peer Review Bulletin.  Each potential peer reviewer is asked to disclose any potential conflicts with regard to a given study.  </w:t>
      </w:r>
      <w:r w:rsidR="006E062E">
        <w:rPr>
          <w:szCs w:val="24"/>
        </w:rPr>
        <w:t>A</w:t>
      </w:r>
      <w:r w:rsidRPr="00462004">
        <w:rPr>
          <w:szCs w:val="24"/>
        </w:rPr>
        <w:t xml:space="preserve"> potential reviewer </w:t>
      </w:r>
      <w:r w:rsidR="006E062E">
        <w:rPr>
          <w:szCs w:val="24"/>
        </w:rPr>
        <w:t xml:space="preserve">will only </w:t>
      </w:r>
      <w:r w:rsidRPr="00462004">
        <w:rPr>
          <w:szCs w:val="24"/>
        </w:rPr>
        <w:t>complete one conflict form per study.</w:t>
      </w:r>
      <w:r w:rsidR="006E062E">
        <w:rPr>
          <w:szCs w:val="24"/>
        </w:rPr>
        <w:t xml:space="preserve">  NOAA is unaware of any other similar collection of information.  However, NOAA will continue to investigate whether there are any existing common form collections that are used for the same purpose. </w:t>
      </w:r>
    </w:p>
    <w:p w:rsidRPr="004E4785" w:rsidR="001C3806" w:rsidP="001C3806" w:rsidRDefault="001C3806" w14:paraId="123F5000" w14:textId="77777777">
      <w:pPr>
        <w:pStyle w:val="ListParagraph"/>
        <w:tabs>
          <w:tab w:val="left" w:pos="360"/>
        </w:tabs>
        <w:spacing w:before="80"/>
        <w:ind w:left="0" w:firstLine="0"/>
        <w:rPr>
          <w:rFonts w:cs="Times New Roman"/>
          <w:szCs w:val="24"/>
        </w:rPr>
      </w:pPr>
    </w:p>
    <w:p w:rsidRPr="004E4785" w:rsidR="008E61C9" w:rsidP="00BD7237" w:rsidRDefault="001477A3" w14:paraId="21ECCBCC"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the collection of information impacts small businesses or other small entities, describe any methods used to minimize burden.</w:t>
      </w:r>
    </w:p>
    <w:p w:rsidRPr="004E4785" w:rsidR="001C3806" w:rsidP="001C3806" w:rsidRDefault="00462004" w14:paraId="145302A4" w14:textId="0A3547C0">
      <w:pPr>
        <w:pStyle w:val="ListParagraph"/>
        <w:tabs>
          <w:tab w:val="left" w:pos="360"/>
        </w:tabs>
        <w:spacing w:before="80"/>
        <w:ind w:left="0" w:firstLine="0"/>
        <w:rPr>
          <w:rFonts w:cs="Times New Roman"/>
          <w:szCs w:val="24"/>
        </w:rPr>
      </w:pPr>
      <w:r>
        <w:rPr>
          <w:rFonts w:cs="Times New Roman"/>
          <w:szCs w:val="24"/>
        </w:rPr>
        <w:t>This information collection does not impact small businesses or other small entities, only individuals.  The information collected is the minimum amount necessary to determine any potential conflict of interest.</w:t>
      </w:r>
    </w:p>
    <w:p w:rsidRPr="004E4785" w:rsidR="001C3806" w:rsidP="001C3806" w:rsidRDefault="001C3806" w14:paraId="4F990387" w14:textId="77777777">
      <w:pPr>
        <w:pStyle w:val="ListParagraph"/>
        <w:tabs>
          <w:tab w:val="left" w:pos="360"/>
        </w:tabs>
        <w:spacing w:before="80"/>
        <w:ind w:left="0" w:firstLine="0"/>
        <w:rPr>
          <w:rFonts w:cs="Times New Roman"/>
          <w:szCs w:val="24"/>
        </w:rPr>
      </w:pPr>
    </w:p>
    <w:p w:rsidRPr="004E4785" w:rsidR="008E61C9" w:rsidP="00BD7237" w:rsidRDefault="001477A3" w14:paraId="3C29237E"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the consequence to Federal program or policy activities if the collection is not conducted or is conducted less frequently, as well as any technical or legal obstacles to reducing burden.</w:t>
      </w:r>
    </w:p>
    <w:p w:rsidRPr="004E4785" w:rsidR="001C3806" w:rsidP="001C3806" w:rsidRDefault="00462004" w14:paraId="11435D43" w14:textId="3F40939B">
      <w:pPr>
        <w:pStyle w:val="ListParagraph"/>
        <w:tabs>
          <w:tab w:val="left" w:pos="360"/>
        </w:tabs>
        <w:spacing w:before="80"/>
        <w:ind w:left="0" w:firstLine="0"/>
        <w:rPr>
          <w:rFonts w:cs="Times New Roman"/>
          <w:szCs w:val="24"/>
        </w:rPr>
      </w:pPr>
      <w:r>
        <w:rPr>
          <w:szCs w:val="24"/>
        </w:rPr>
        <w:t>If the information collection requirements are not completed, NOAA would be in violation of OMB’s PRB requirements for screening potential peer reviewers for conflicts of interest.  Alternatively, the agency would not be able to solicit non-governmental peer reviewers, a practice which would be contrary to the clear intent of the PRB.</w:t>
      </w:r>
    </w:p>
    <w:p w:rsidRPr="004E4785" w:rsidR="001C3806" w:rsidP="001C3806" w:rsidRDefault="001C3806" w14:paraId="605D8790" w14:textId="77777777">
      <w:pPr>
        <w:pStyle w:val="ListParagraph"/>
        <w:tabs>
          <w:tab w:val="left" w:pos="360"/>
        </w:tabs>
        <w:spacing w:before="80"/>
        <w:ind w:left="0" w:firstLine="0"/>
        <w:rPr>
          <w:rFonts w:cs="Times New Roman"/>
          <w:szCs w:val="24"/>
        </w:rPr>
      </w:pPr>
    </w:p>
    <w:p w:rsidR="008E61C9" w:rsidP="00BD7237" w:rsidRDefault="001477A3" w14:paraId="7F26904D" w14:textId="74BF8A8C">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special circumstances that would cause an information collection to be conducted </w:t>
      </w:r>
      <w:r w:rsidRPr="004E4785">
        <w:rPr>
          <w:rFonts w:cs="Times New Roman"/>
          <w:b/>
          <w:szCs w:val="24"/>
        </w:rPr>
        <w:lastRenderedPageBreak/>
        <w:t>in a manner</w:t>
      </w:r>
      <w:r w:rsidR="00462004">
        <w:rPr>
          <w:rFonts w:cs="Times New Roman"/>
          <w:b/>
          <w:szCs w:val="24"/>
        </w:rPr>
        <w:t xml:space="preserve"> inconsistent with OMB guidelines.</w:t>
      </w:r>
    </w:p>
    <w:p w:rsidRPr="00462004" w:rsidR="00462004" w:rsidP="00462004" w:rsidRDefault="00462004" w14:paraId="73331E7C" w14:textId="6B719A1E">
      <w:pPr>
        <w:pStyle w:val="ListParagraph"/>
        <w:tabs>
          <w:tab w:val="left" w:pos="360"/>
        </w:tabs>
        <w:spacing w:before="80"/>
        <w:ind w:left="0" w:firstLine="0"/>
        <w:rPr>
          <w:rFonts w:cs="Times New Roman"/>
          <w:szCs w:val="24"/>
        </w:rPr>
      </w:pPr>
      <w:r>
        <w:rPr>
          <w:rFonts w:cs="Times New Roman"/>
          <w:szCs w:val="24"/>
        </w:rPr>
        <w:t>This information collection will be conducted in a manner consistent with OMB guidelines.</w:t>
      </w:r>
    </w:p>
    <w:p w:rsidRPr="004E4785" w:rsidR="001C3806" w:rsidP="001C3806" w:rsidRDefault="001C3806" w14:paraId="337D0F9F" w14:textId="77777777">
      <w:pPr>
        <w:pStyle w:val="ListParagraph"/>
        <w:tabs>
          <w:tab w:val="left" w:pos="360"/>
        </w:tabs>
        <w:spacing w:before="80"/>
        <w:ind w:left="0" w:firstLine="0"/>
        <w:rPr>
          <w:rFonts w:cs="Times New Roman"/>
          <w:szCs w:val="24"/>
        </w:rPr>
      </w:pPr>
    </w:p>
    <w:p w:rsidRPr="004E4785" w:rsidR="008E61C9" w:rsidP="00BD7237" w:rsidRDefault="001477A3" w14:paraId="5FCD2612"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77F76" w:rsidP="00277F76" w:rsidRDefault="00277F76" w14:paraId="412A75BE" w14:textId="747976CF">
      <w:pPr>
        <w:pStyle w:val="ListParagraph"/>
        <w:ind w:left="0" w:firstLine="0"/>
        <w:rPr>
          <w:szCs w:val="24"/>
        </w:rPr>
      </w:pPr>
      <w:r w:rsidRPr="00277F76">
        <w:rPr>
          <w:szCs w:val="24"/>
        </w:rPr>
        <w:t xml:space="preserve">A </w:t>
      </w:r>
      <w:r w:rsidRPr="00277F76">
        <w:rPr>
          <w:szCs w:val="24"/>
          <w:u w:val="single"/>
        </w:rPr>
        <w:t>Federal Register</w:t>
      </w:r>
      <w:r w:rsidRPr="00277F76">
        <w:rPr>
          <w:szCs w:val="24"/>
        </w:rPr>
        <w:t xml:space="preserve"> Notice published on </w:t>
      </w:r>
      <w:r>
        <w:rPr>
          <w:szCs w:val="24"/>
        </w:rPr>
        <w:t>April 30, 2020</w:t>
      </w:r>
      <w:r w:rsidRPr="00277F76">
        <w:rPr>
          <w:szCs w:val="24"/>
        </w:rPr>
        <w:t xml:space="preserve"> (8</w:t>
      </w:r>
      <w:r>
        <w:rPr>
          <w:szCs w:val="24"/>
        </w:rPr>
        <w:t>5 FR 23950</w:t>
      </w:r>
      <w:r w:rsidRPr="00277F76">
        <w:rPr>
          <w:szCs w:val="24"/>
        </w:rPr>
        <w:t>) solicited comments on his request. No comments were received.</w:t>
      </w:r>
    </w:p>
    <w:p w:rsidRPr="00277F76" w:rsidR="00277F76" w:rsidP="00277F76" w:rsidRDefault="00277F76" w14:paraId="00948006" w14:textId="68F29797">
      <w:pPr>
        <w:pStyle w:val="BodyText"/>
        <w:ind w:left="0"/>
        <w:rPr>
          <w:rFonts w:cs="Times New Roman"/>
        </w:rPr>
      </w:pPr>
      <w:r>
        <w:t xml:space="preserve">Efforts to consult with </w:t>
      </w:r>
      <w:r w:rsidRPr="00277F76">
        <w:rPr>
          <w:rFonts w:cs="Times New Roman"/>
        </w:rPr>
        <w:t>persons outside the agency to obtain their views on the availability of data, frequency of collection, the clarity of instructions and recordkeeping, disclosure, or reporting format (if any), and on the data elements to be recorded, disclosed, or reported</w:t>
      </w:r>
      <w:r>
        <w:rPr>
          <w:rFonts w:cs="Times New Roman"/>
        </w:rPr>
        <w:t xml:space="preserve"> were met with no response</w:t>
      </w:r>
      <w:r w:rsidRPr="00277F76">
        <w:rPr>
          <w:rFonts w:cs="Times New Roman"/>
        </w:rPr>
        <w:t>.</w:t>
      </w:r>
      <w:r>
        <w:rPr>
          <w:rFonts w:cs="Times New Roman"/>
        </w:rPr>
        <w:t xml:space="preserve"> </w:t>
      </w:r>
    </w:p>
    <w:p w:rsidRPr="004E4785" w:rsidR="001C3806" w:rsidP="001C3806" w:rsidRDefault="001C3806" w14:paraId="45EF09CE" w14:textId="77777777">
      <w:pPr>
        <w:tabs>
          <w:tab w:val="left" w:pos="360"/>
        </w:tabs>
        <w:spacing w:before="80"/>
        <w:rPr>
          <w:rFonts w:cs="Times New Roman"/>
          <w:szCs w:val="24"/>
        </w:rPr>
      </w:pPr>
    </w:p>
    <w:p w:rsidRPr="004E4785" w:rsidR="008E61C9" w:rsidP="00BD7237" w:rsidRDefault="001477A3" w14:paraId="7E580D68"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Pr="004E4785" w:rsidR="001C3806" w:rsidP="001C3806" w:rsidRDefault="00277F76" w14:paraId="13074C5D" w14:textId="6DE63AAB">
      <w:pPr>
        <w:pStyle w:val="ListParagraph"/>
        <w:tabs>
          <w:tab w:val="left" w:pos="360"/>
        </w:tabs>
        <w:spacing w:before="80"/>
        <w:ind w:left="0" w:firstLine="0"/>
        <w:rPr>
          <w:rFonts w:cs="Times New Roman"/>
          <w:szCs w:val="24"/>
        </w:rPr>
      </w:pPr>
      <w:r>
        <w:rPr>
          <w:rFonts w:cs="Times New Roman"/>
          <w:szCs w:val="24"/>
        </w:rPr>
        <w:t>No payment or gifts will be made to respondents.</w:t>
      </w:r>
    </w:p>
    <w:p w:rsidRPr="004E4785" w:rsidR="001C3806" w:rsidP="001C3806" w:rsidRDefault="001C3806" w14:paraId="1A094FBF" w14:textId="77777777">
      <w:pPr>
        <w:pStyle w:val="ListParagraph"/>
        <w:tabs>
          <w:tab w:val="left" w:pos="360"/>
        </w:tabs>
        <w:spacing w:before="80"/>
        <w:ind w:left="0" w:firstLine="0"/>
        <w:rPr>
          <w:rFonts w:cs="Times New Roman"/>
          <w:szCs w:val="24"/>
        </w:rPr>
      </w:pPr>
    </w:p>
    <w:p w:rsidRPr="004E4785" w:rsidR="008E61C9" w:rsidP="00BD7237" w:rsidRDefault="001477A3" w14:paraId="7245228F"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4E4785" w:rsidR="001C3806" w:rsidP="001C3806" w:rsidRDefault="00043074" w14:paraId="614BAF6C" w14:textId="77573844">
      <w:pPr>
        <w:pStyle w:val="ListParagraph"/>
        <w:tabs>
          <w:tab w:val="left" w:pos="360"/>
        </w:tabs>
        <w:spacing w:before="80"/>
        <w:ind w:left="0" w:firstLine="0"/>
        <w:rPr>
          <w:rFonts w:cs="Times New Roman"/>
          <w:b/>
          <w:szCs w:val="24"/>
        </w:rPr>
      </w:pPr>
      <w:hyperlink w:history="1" r:id="rId10">
        <w:r w:rsidRPr="00865828" w:rsidR="00277F76">
          <w:rPr>
            <w:rStyle w:val="Hyperlink"/>
            <w:szCs w:val="24"/>
          </w:rPr>
          <w:t>NOAA’s Policy on Conflicts of Interest for Peer Review subject to the OMB Peer Review Bulletin</w:t>
        </w:r>
      </w:hyperlink>
      <w:r w:rsidRPr="00E73D19" w:rsidR="00277F76">
        <w:rPr>
          <w:szCs w:val="24"/>
        </w:rPr>
        <w:t xml:space="preserve"> states that</w:t>
      </w:r>
      <w:r w:rsidR="00277F76">
        <w:rPr>
          <w:szCs w:val="24"/>
        </w:rPr>
        <w:t>, except as provided for in the Policy,</w:t>
      </w:r>
      <w:r w:rsidRPr="00E73D19" w:rsidR="00277F76">
        <w:rPr>
          <w:szCs w:val="24"/>
        </w:rPr>
        <w:t xml:space="preserve"> </w:t>
      </w:r>
      <w:r w:rsidRPr="00E73D19" w:rsidR="00277F76">
        <w:rPr>
          <w:color w:val="000000"/>
          <w:szCs w:val="24"/>
        </w:rPr>
        <w:t>specific conflict of interest information obtained by NOAA</w:t>
      </w:r>
      <w:r w:rsidR="00277F76">
        <w:rPr>
          <w:color w:val="000000"/>
          <w:szCs w:val="24"/>
        </w:rPr>
        <w:t xml:space="preserve"> – </w:t>
      </w:r>
      <w:r w:rsidRPr="00E73D19" w:rsidR="00277F76">
        <w:rPr>
          <w:color w:val="000000"/>
          <w:szCs w:val="24"/>
        </w:rPr>
        <w:t>or the entity commissioned by NOAA to manage the</w:t>
      </w:r>
      <w:r w:rsidR="00277F76">
        <w:rPr>
          <w:color w:val="000000"/>
          <w:szCs w:val="24"/>
        </w:rPr>
        <w:t xml:space="preserve"> peer review process – from: 1) the NOAA conflict of i</w:t>
      </w:r>
      <w:r w:rsidRPr="00E73D19" w:rsidR="00277F76">
        <w:rPr>
          <w:color w:val="000000"/>
          <w:szCs w:val="24"/>
        </w:rPr>
        <w:t xml:space="preserve">nterest </w:t>
      </w:r>
      <w:r w:rsidR="00277F76">
        <w:rPr>
          <w:color w:val="000000"/>
          <w:szCs w:val="24"/>
        </w:rPr>
        <w:t>d</w:t>
      </w:r>
      <w:r w:rsidRPr="00E73D19" w:rsidR="00277F76">
        <w:rPr>
          <w:color w:val="000000"/>
          <w:szCs w:val="24"/>
        </w:rPr>
        <w:t>isclosure</w:t>
      </w:r>
      <w:r w:rsidR="00277F76">
        <w:rPr>
          <w:color w:val="000000"/>
          <w:szCs w:val="24"/>
        </w:rPr>
        <w:t xml:space="preserve"> form</w:t>
      </w:r>
      <w:r w:rsidR="00F12F86">
        <w:rPr>
          <w:color w:val="000000"/>
          <w:szCs w:val="24"/>
        </w:rPr>
        <w:t>;</w:t>
      </w:r>
      <w:r w:rsidR="00277F76">
        <w:rPr>
          <w:color w:val="000000"/>
          <w:szCs w:val="24"/>
        </w:rPr>
        <w:t xml:space="preserve"> 2) </w:t>
      </w:r>
      <w:r w:rsidR="00F12F86">
        <w:rPr>
          <w:color w:val="000000"/>
          <w:szCs w:val="24"/>
        </w:rPr>
        <w:t>amended disclosures;</w:t>
      </w:r>
      <w:r w:rsidRPr="00E73D19" w:rsidR="00277F76">
        <w:rPr>
          <w:color w:val="000000"/>
          <w:szCs w:val="24"/>
        </w:rPr>
        <w:t xml:space="preserve"> and </w:t>
      </w:r>
      <w:r w:rsidR="00277F76">
        <w:rPr>
          <w:color w:val="000000"/>
          <w:szCs w:val="24"/>
        </w:rPr>
        <w:t xml:space="preserve">3) </w:t>
      </w:r>
      <w:r w:rsidRPr="00E73D19" w:rsidR="00277F76">
        <w:rPr>
          <w:color w:val="000000"/>
          <w:szCs w:val="24"/>
        </w:rPr>
        <w:t>the public and other sources will be held in confidence by NOAA.  Access to such information within NOAA will be limited to those offices whose proper business requires access to that information.  Such information will not be released by NOAA, or the entity commissioned by NOAA to manage the peer review process, except with the approval of the individual to whom the information pertains, unless release is required by law.</w:t>
      </w:r>
      <w:r w:rsidR="00277F76">
        <w:rPr>
          <w:color w:val="000000"/>
          <w:szCs w:val="24"/>
        </w:rPr>
        <w:t xml:space="preserve">  As specified in NOAA’s Policy on Conflicts of Interest, the exception to the non-disclosure policy is the public disclosure of the names of reviewers and their organizational affiliations.  F</w:t>
      </w:r>
      <w:r w:rsidR="00277F76">
        <w:rPr>
          <w:szCs w:val="24"/>
        </w:rPr>
        <w:t>or peer reviewers of highly influential scientific assessments, the reviewer’s credentials and relevant experience must also be disclosed, as required by the PRB. Although the OAR laboratory reviews are not subject to the PRB, the same procedures are followed, but with the disclosure of the reviewer’s credentials and relevant experience not applicable for these reviews.</w:t>
      </w:r>
    </w:p>
    <w:p w:rsidRPr="004E4785" w:rsidR="001C3806" w:rsidP="001C3806" w:rsidRDefault="001C3806" w14:paraId="2F95BC98" w14:textId="77777777">
      <w:pPr>
        <w:pStyle w:val="ListParagraph"/>
        <w:tabs>
          <w:tab w:val="left" w:pos="360"/>
        </w:tabs>
        <w:spacing w:before="80"/>
        <w:ind w:left="0" w:firstLine="0"/>
        <w:rPr>
          <w:rFonts w:cs="Times New Roman"/>
          <w:b/>
          <w:szCs w:val="24"/>
        </w:rPr>
      </w:pPr>
    </w:p>
    <w:p w:rsidRPr="004E4785" w:rsidR="008E61C9" w:rsidP="00BD7237" w:rsidRDefault="001477A3" w14:paraId="1E70DE73"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4785" w:rsidR="001C3806" w:rsidP="00F12F86" w:rsidRDefault="00F12F86" w14:paraId="6B12A356" w14:textId="5C01A10E">
      <w:pPr>
        <w:spacing w:before="240" w:line="259" w:lineRule="auto"/>
        <w:rPr>
          <w:rFonts w:cs="Times New Roman"/>
          <w:szCs w:val="24"/>
        </w:rPr>
      </w:pPr>
      <w:r>
        <w:rPr>
          <w:rFonts w:cs="Times New Roman"/>
          <w:szCs w:val="24"/>
        </w:rPr>
        <w:t>No questions of a sensitive nature are included in this information collection.</w:t>
      </w:r>
    </w:p>
    <w:p w:rsidRPr="004E4785" w:rsidR="001C3806" w:rsidP="00BD7237" w:rsidRDefault="001C3806" w14:paraId="451117F9" w14:textId="77777777">
      <w:pPr>
        <w:spacing w:line="259" w:lineRule="auto"/>
        <w:rPr>
          <w:rFonts w:cs="Times New Roman"/>
          <w:szCs w:val="24"/>
        </w:rPr>
      </w:pPr>
    </w:p>
    <w:p w:rsidRPr="004E4785" w:rsidR="00D64DF9" w:rsidP="00BD7237" w:rsidRDefault="001477A3" w14:paraId="3BD17D81" w14:textId="77777777">
      <w:pPr>
        <w:spacing w:line="259" w:lineRule="auto"/>
        <w:rPr>
          <w:rFonts w:cs="Times New Roman"/>
          <w:color w:val="2F5496"/>
          <w:szCs w:val="24"/>
        </w:rPr>
        <w:sectPr w:rsidRPr="004E4785" w:rsidR="00D64DF9" w:rsidSect="00BD7237">
          <w:footerReference w:type="default" r:id="rId11"/>
          <w:pgSz w:w="12240" w:h="15840"/>
          <w:pgMar w:top="640" w:right="1080" w:bottom="1200" w:left="1080" w:header="0" w:footer="1014" w:gutter="0"/>
          <w:cols w:space="720"/>
        </w:sectPr>
      </w:pPr>
      <w:r w:rsidRPr="004E4785">
        <w:rPr>
          <w:rFonts w:cs="Times New Roman"/>
          <w:color w:val="2F5496"/>
          <w:szCs w:val="24"/>
        </w:rPr>
        <w:t>.</w:t>
      </w:r>
    </w:p>
    <w:p w:rsidRPr="004E4785" w:rsidR="008E61C9" w:rsidP="00BD7237" w:rsidRDefault="008E61C9" w14:paraId="6EC893BB" w14:textId="77777777">
      <w:pPr>
        <w:spacing w:line="259" w:lineRule="auto"/>
        <w:rPr>
          <w:rFonts w:cs="Times New Roman"/>
          <w:szCs w:val="24"/>
        </w:rPr>
      </w:pPr>
    </w:p>
    <w:p w:rsidRPr="004E4785" w:rsidR="008E61C9" w:rsidP="00BD7237" w:rsidRDefault="001477A3" w14:paraId="1FD84CE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Pr="004E4785" w:rsidR="00D64DF9" w:rsidP="00BD7237" w:rsidRDefault="00D64DF9" w14:paraId="12F10CD0" w14:textId="77777777">
      <w:pPr>
        <w:spacing w:line="259" w:lineRule="auto"/>
        <w:ind w:hanging="43"/>
        <w:jc w:val="center"/>
        <w:rPr>
          <w:rFonts w:cs="Times New Roman"/>
          <w:b/>
          <w:color w:val="FF0000"/>
          <w:szCs w:val="24"/>
        </w:rPr>
      </w:pPr>
    </w:p>
    <w:tbl>
      <w:tblPr>
        <w:tblW w:w="14865" w:type="dxa"/>
        <w:tblInd w:w="-25" w:type="dxa"/>
        <w:tblLook w:val="04A0" w:firstRow="1" w:lastRow="0" w:firstColumn="1" w:lastColumn="0" w:noHBand="0" w:noVBand="1"/>
      </w:tblPr>
      <w:tblGrid>
        <w:gridCol w:w="2985"/>
        <w:gridCol w:w="1890"/>
        <w:gridCol w:w="1587"/>
        <w:gridCol w:w="1473"/>
        <w:gridCol w:w="1530"/>
        <w:gridCol w:w="1260"/>
        <w:gridCol w:w="1350"/>
        <w:gridCol w:w="1440"/>
        <w:gridCol w:w="1350"/>
      </w:tblGrid>
      <w:tr w:rsidRPr="0075542D" w:rsidR="0075542D" w:rsidTr="00957A38" w14:paraId="0E7169DF" w14:textId="77777777">
        <w:trPr>
          <w:trHeight w:val="1365"/>
        </w:trPr>
        <w:tc>
          <w:tcPr>
            <w:tcW w:w="298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75542D" w:rsidR="00D64DF9" w:rsidP="00D64DF9" w:rsidRDefault="00D64DF9" w14:paraId="44853381"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Information Collection</w:t>
            </w:r>
          </w:p>
        </w:tc>
        <w:tc>
          <w:tcPr>
            <w:tcW w:w="1890" w:type="dxa"/>
            <w:tcBorders>
              <w:top w:val="single" w:color="auto" w:sz="8" w:space="0"/>
              <w:left w:val="nil"/>
              <w:bottom w:val="single" w:color="auto" w:sz="8" w:space="0"/>
              <w:right w:val="single" w:color="000000" w:sz="8" w:space="0"/>
            </w:tcBorders>
            <w:shd w:val="clear" w:color="000000" w:fill="BDD7EE"/>
            <w:vAlign w:val="center"/>
            <w:hideMark/>
          </w:tcPr>
          <w:p w:rsidRPr="0075542D" w:rsidR="00D64DF9" w:rsidP="00D64DF9" w:rsidRDefault="00D64DF9" w14:paraId="4515AF51"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Type of Respondent (e.g., Occupational Title)</w:t>
            </w:r>
          </w:p>
        </w:tc>
        <w:tc>
          <w:tcPr>
            <w:tcW w:w="1587" w:type="dxa"/>
            <w:tcBorders>
              <w:top w:val="single" w:color="auto" w:sz="8" w:space="0"/>
              <w:left w:val="nil"/>
              <w:bottom w:val="single" w:color="auto" w:sz="8" w:space="0"/>
              <w:right w:val="single" w:color="000000" w:sz="8" w:space="0"/>
            </w:tcBorders>
            <w:shd w:val="clear" w:color="000000" w:fill="BDD7EE"/>
            <w:vAlign w:val="center"/>
            <w:hideMark/>
          </w:tcPr>
          <w:p w:rsidRPr="0075542D" w:rsidR="00D64DF9" w:rsidP="00D64DF9" w:rsidRDefault="00D64DF9" w14:paraId="6BF37F1B"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 of Respondents/year</w:t>
            </w:r>
            <w:r w:rsidRPr="0075542D">
              <w:rPr>
                <w:rFonts w:eastAsia="Times New Roman" w:cs="Times New Roman"/>
                <w:b/>
                <w:bCs/>
                <w:color w:val="000000"/>
                <w:sz w:val="18"/>
                <w:szCs w:val="18"/>
              </w:rPr>
              <w:br/>
              <w:t>(a)</w:t>
            </w:r>
          </w:p>
        </w:tc>
        <w:tc>
          <w:tcPr>
            <w:tcW w:w="1473" w:type="dxa"/>
            <w:tcBorders>
              <w:top w:val="single" w:color="auto" w:sz="8" w:space="0"/>
              <w:left w:val="nil"/>
              <w:bottom w:val="single" w:color="auto" w:sz="8" w:space="0"/>
              <w:right w:val="single" w:color="auto" w:sz="8" w:space="0"/>
            </w:tcBorders>
            <w:shd w:val="clear" w:color="000000" w:fill="BDD7EE"/>
            <w:vAlign w:val="center"/>
            <w:hideMark/>
          </w:tcPr>
          <w:p w:rsidRPr="0075542D" w:rsidR="00D64DF9" w:rsidP="00D64DF9" w:rsidRDefault="00D64DF9" w14:paraId="77600FFD"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Annual # of Responses / Respondent</w:t>
            </w:r>
            <w:r w:rsidRPr="0075542D">
              <w:rPr>
                <w:rFonts w:eastAsia="Times New Roman" w:cs="Times New Roman"/>
                <w:b/>
                <w:bCs/>
                <w:color w:val="000000"/>
                <w:sz w:val="18"/>
                <w:szCs w:val="18"/>
              </w:rPr>
              <w:br/>
              <w:t>(b)</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75542D" w:rsidR="00D64DF9" w:rsidP="00D64DF9" w:rsidRDefault="00D64DF9" w14:paraId="3B524D61"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 xml:space="preserve"> Total # of Annual Responses</w:t>
            </w:r>
            <w:r w:rsidRPr="0075542D">
              <w:rPr>
                <w:rFonts w:eastAsia="Times New Roman" w:cs="Times New Roman"/>
                <w:b/>
                <w:bCs/>
                <w:color w:val="000000"/>
                <w:sz w:val="18"/>
                <w:szCs w:val="18"/>
              </w:rPr>
              <w:b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75542D" w:rsidR="00D64DF9" w:rsidP="00D64DF9" w:rsidRDefault="00D64DF9" w14:paraId="5F6F4E70"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Burden Hrs / Response</w:t>
            </w:r>
            <w:r w:rsidRPr="0075542D">
              <w:rPr>
                <w:rFonts w:eastAsia="Times New Roman" w:cs="Times New Roman"/>
                <w:b/>
                <w:bCs/>
                <w:color w:val="000000"/>
                <w:sz w:val="18"/>
                <w:szCs w:val="18"/>
              </w:rPr>
              <w:br/>
              <w:t>(d)</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75542D" w:rsidR="00D64DF9" w:rsidP="00D64DF9" w:rsidRDefault="00D64DF9" w14:paraId="4C211479"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Total Annual Burden Hrs</w:t>
            </w:r>
            <w:r w:rsidRPr="0075542D">
              <w:rPr>
                <w:rFonts w:eastAsia="Times New Roman" w:cs="Times New Roman"/>
                <w:b/>
                <w:bCs/>
                <w:color w:val="000000"/>
                <w:sz w:val="18"/>
                <w:szCs w:val="18"/>
              </w:rPr>
              <w:br/>
              <w:t>(e)  = (c) x (d)</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75542D" w:rsidR="00D64DF9" w:rsidP="00D64DF9" w:rsidRDefault="00D64DF9" w14:paraId="2C1B547A"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Hourly Wage Rate  (for Type of Respondent)</w:t>
            </w:r>
            <w:r w:rsidRPr="0075542D">
              <w:rPr>
                <w:rFonts w:eastAsia="Times New Roman" w:cs="Times New Roman"/>
                <w:b/>
                <w:bCs/>
                <w:color w:val="000000"/>
                <w:sz w:val="18"/>
                <w:szCs w:val="18"/>
              </w:rPr>
              <w:br/>
              <w:t>(f)</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75542D" w:rsidR="00D64DF9" w:rsidP="00D64DF9" w:rsidRDefault="00D64DF9" w14:paraId="2F84A317" w14:textId="77777777">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Total Annual Wage Burden Costs</w:t>
            </w:r>
            <w:r w:rsidRPr="0075542D">
              <w:rPr>
                <w:rFonts w:eastAsia="Times New Roman" w:cs="Times New Roman"/>
                <w:b/>
                <w:bCs/>
                <w:color w:val="000000"/>
                <w:sz w:val="18"/>
                <w:szCs w:val="18"/>
              </w:rPr>
              <w:br/>
              <w:t>(g) = (e) x (f)</w:t>
            </w:r>
          </w:p>
        </w:tc>
      </w:tr>
      <w:tr w:rsidRPr="0075542D" w:rsidR="00957A38" w:rsidTr="00957A38" w14:paraId="330B0EEB" w14:textId="77777777">
        <w:trPr>
          <w:trHeight w:val="300"/>
        </w:trPr>
        <w:tc>
          <w:tcPr>
            <w:tcW w:w="2985" w:type="dxa"/>
            <w:tcBorders>
              <w:top w:val="nil"/>
              <w:left w:val="single" w:color="auto" w:sz="8" w:space="0"/>
              <w:bottom w:val="single" w:color="auto" w:sz="4" w:space="0"/>
              <w:right w:val="single" w:color="auto" w:sz="4" w:space="0"/>
            </w:tcBorders>
            <w:shd w:val="clear" w:color="auto" w:fill="auto"/>
            <w:vAlign w:val="bottom"/>
            <w:hideMark/>
          </w:tcPr>
          <w:p w:rsidRPr="0075542D" w:rsidR="00D64DF9" w:rsidP="00D64DF9" w:rsidRDefault="0075542D" w14:paraId="2FF7528D" w14:textId="26B93F89">
            <w:pPr>
              <w:widowControl/>
              <w:autoSpaceDE/>
              <w:autoSpaceDN/>
              <w:rPr>
                <w:rFonts w:eastAsia="Times New Roman" w:cs="Times New Roman"/>
                <w:color w:val="000000"/>
                <w:sz w:val="18"/>
                <w:szCs w:val="18"/>
              </w:rPr>
            </w:pPr>
            <w:r w:rsidRPr="0075542D">
              <w:rPr>
                <w:rFonts w:eastAsia="Times New Roman" w:cs="Times New Roman"/>
                <w:color w:val="000000"/>
                <w:sz w:val="18"/>
                <w:szCs w:val="18"/>
              </w:rPr>
              <w:t>Conflict of Interest Disclosure Forms</w:t>
            </w:r>
            <w:r w:rsidRPr="0075542D" w:rsidR="00D64DF9">
              <w:rPr>
                <w:rFonts w:eastAsia="Times New Roman" w:cs="Times New Roman"/>
                <w:color w:val="000000"/>
                <w:sz w:val="18"/>
                <w:szCs w:val="18"/>
              </w:rPr>
              <w:t> </w:t>
            </w:r>
          </w:p>
        </w:tc>
        <w:tc>
          <w:tcPr>
            <w:tcW w:w="1890" w:type="dxa"/>
            <w:tcBorders>
              <w:top w:val="nil"/>
              <w:left w:val="nil"/>
              <w:bottom w:val="single" w:color="auto" w:sz="4" w:space="0"/>
              <w:right w:val="single" w:color="auto" w:sz="4" w:space="0"/>
            </w:tcBorders>
            <w:shd w:val="clear" w:color="auto" w:fill="auto"/>
            <w:vAlign w:val="bottom"/>
            <w:hideMark/>
          </w:tcPr>
          <w:p w:rsidRPr="0075542D" w:rsidR="00D64DF9" w:rsidP="00D64DF9" w:rsidRDefault="00957A38" w14:paraId="3E26AA17" w14:textId="6B06A8AB">
            <w:pPr>
              <w:widowControl/>
              <w:autoSpaceDE/>
              <w:autoSpaceDN/>
              <w:jc w:val="center"/>
              <w:rPr>
                <w:rFonts w:eastAsia="Times New Roman" w:cs="Times New Roman"/>
                <w:color w:val="000000"/>
                <w:sz w:val="18"/>
                <w:szCs w:val="18"/>
              </w:rPr>
            </w:pPr>
            <w:r>
              <w:rPr>
                <w:rFonts w:eastAsia="Times New Roman" w:cs="Times New Roman"/>
                <w:color w:val="000000"/>
                <w:sz w:val="18"/>
                <w:szCs w:val="18"/>
              </w:rPr>
              <w:t>Scientists</w:t>
            </w:r>
            <w:r w:rsidRPr="0075542D" w:rsidR="00D64DF9">
              <w:rPr>
                <w:rFonts w:eastAsia="Times New Roman" w:cs="Times New Roman"/>
                <w:color w:val="000000"/>
                <w:sz w:val="18"/>
                <w:szCs w:val="18"/>
              </w:rPr>
              <w:t> </w:t>
            </w:r>
          </w:p>
        </w:tc>
        <w:tc>
          <w:tcPr>
            <w:tcW w:w="1587" w:type="dxa"/>
            <w:tcBorders>
              <w:top w:val="nil"/>
              <w:left w:val="nil"/>
              <w:bottom w:val="single" w:color="auto" w:sz="4" w:space="0"/>
              <w:right w:val="single" w:color="auto" w:sz="4" w:space="0"/>
            </w:tcBorders>
            <w:shd w:val="clear" w:color="auto" w:fill="auto"/>
            <w:vAlign w:val="bottom"/>
            <w:hideMark/>
          </w:tcPr>
          <w:p w:rsidRPr="0075542D" w:rsidR="00D64DF9" w:rsidP="0075542D" w:rsidRDefault="0075542D" w14:paraId="6C57F70A" w14:textId="5A51B45E">
            <w:pPr>
              <w:widowControl/>
              <w:autoSpaceDE/>
              <w:autoSpaceDN/>
              <w:jc w:val="center"/>
              <w:rPr>
                <w:rFonts w:eastAsia="Times New Roman" w:cs="Times New Roman"/>
                <w:color w:val="000000"/>
                <w:sz w:val="18"/>
                <w:szCs w:val="18"/>
              </w:rPr>
            </w:pPr>
            <w:r w:rsidRPr="0075542D">
              <w:rPr>
                <w:rFonts w:eastAsia="Times New Roman" w:cs="Times New Roman"/>
                <w:color w:val="000000"/>
                <w:sz w:val="18"/>
                <w:szCs w:val="18"/>
              </w:rPr>
              <w:t>321</w:t>
            </w:r>
          </w:p>
        </w:tc>
        <w:tc>
          <w:tcPr>
            <w:tcW w:w="1473" w:type="dxa"/>
            <w:tcBorders>
              <w:top w:val="nil"/>
              <w:left w:val="nil"/>
              <w:bottom w:val="single" w:color="auto" w:sz="4" w:space="0"/>
              <w:right w:val="single" w:color="auto" w:sz="4" w:space="0"/>
            </w:tcBorders>
            <w:shd w:val="clear" w:color="auto" w:fill="auto"/>
            <w:vAlign w:val="bottom"/>
            <w:hideMark/>
          </w:tcPr>
          <w:p w:rsidRPr="0075542D" w:rsidR="00D64DF9" w:rsidP="0075542D" w:rsidRDefault="0075542D" w14:paraId="05AD2DCD" w14:textId="0B8170D7">
            <w:pPr>
              <w:widowControl/>
              <w:autoSpaceDE/>
              <w:autoSpaceDN/>
              <w:jc w:val="center"/>
              <w:rPr>
                <w:rFonts w:eastAsia="Times New Roman" w:cs="Times New Roman"/>
                <w:color w:val="000000"/>
                <w:sz w:val="18"/>
                <w:szCs w:val="18"/>
              </w:rPr>
            </w:pPr>
            <w:r w:rsidRPr="0075542D">
              <w:rPr>
                <w:rFonts w:eastAsia="Times New Roman" w:cs="Times New Roman"/>
                <w:color w:val="000000"/>
                <w:sz w:val="18"/>
                <w:szCs w:val="18"/>
              </w:rPr>
              <w:t>1</w:t>
            </w:r>
          </w:p>
        </w:tc>
        <w:tc>
          <w:tcPr>
            <w:tcW w:w="1530" w:type="dxa"/>
            <w:tcBorders>
              <w:top w:val="nil"/>
              <w:left w:val="nil"/>
              <w:bottom w:val="single" w:color="auto" w:sz="4" w:space="0"/>
              <w:right w:val="single" w:color="auto" w:sz="4" w:space="0"/>
            </w:tcBorders>
            <w:shd w:val="clear" w:color="auto" w:fill="auto"/>
            <w:vAlign w:val="bottom"/>
            <w:hideMark/>
          </w:tcPr>
          <w:p w:rsidRPr="0075542D" w:rsidR="00D64DF9" w:rsidP="0075542D" w:rsidRDefault="0075542D" w14:paraId="5FC2CBFD" w14:textId="7FD290CA">
            <w:pPr>
              <w:widowControl/>
              <w:autoSpaceDE/>
              <w:autoSpaceDN/>
              <w:jc w:val="center"/>
              <w:rPr>
                <w:rFonts w:eastAsia="Times New Roman" w:cs="Times New Roman"/>
                <w:color w:val="000000"/>
                <w:sz w:val="18"/>
                <w:szCs w:val="18"/>
              </w:rPr>
            </w:pPr>
            <w:r w:rsidRPr="0075542D">
              <w:rPr>
                <w:rFonts w:eastAsia="Times New Roman" w:cs="Times New Roman"/>
                <w:color w:val="000000"/>
                <w:sz w:val="18"/>
                <w:szCs w:val="18"/>
              </w:rPr>
              <w:t>321</w:t>
            </w:r>
          </w:p>
        </w:tc>
        <w:tc>
          <w:tcPr>
            <w:tcW w:w="1260" w:type="dxa"/>
            <w:tcBorders>
              <w:top w:val="nil"/>
              <w:left w:val="nil"/>
              <w:bottom w:val="single" w:color="auto" w:sz="4" w:space="0"/>
              <w:right w:val="single" w:color="auto" w:sz="4" w:space="0"/>
            </w:tcBorders>
            <w:shd w:val="clear" w:color="auto" w:fill="auto"/>
            <w:vAlign w:val="bottom"/>
            <w:hideMark/>
          </w:tcPr>
          <w:p w:rsidRPr="0075542D" w:rsidR="00D64DF9" w:rsidP="00D64DF9" w:rsidRDefault="0075542D" w14:paraId="4F18A3CB" w14:textId="10B81A5F">
            <w:pPr>
              <w:widowControl/>
              <w:autoSpaceDE/>
              <w:autoSpaceDN/>
              <w:jc w:val="right"/>
              <w:rPr>
                <w:rFonts w:eastAsia="Times New Roman" w:cs="Times New Roman"/>
                <w:color w:val="000000"/>
                <w:sz w:val="18"/>
                <w:szCs w:val="18"/>
              </w:rPr>
            </w:pPr>
            <w:r w:rsidRPr="0075542D">
              <w:rPr>
                <w:rFonts w:eastAsia="Times New Roman" w:cs="Times New Roman"/>
                <w:color w:val="000000"/>
                <w:sz w:val="18"/>
                <w:szCs w:val="18"/>
              </w:rPr>
              <w:t>30 min</w:t>
            </w:r>
            <w:r w:rsidRPr="0075542D" w:rsidR="00D64DF9">
              <w:rPr>
                <w:rFonts w:eastAsia="Times New Roman" w:cs="Times New Roman"/>
                <w:color w:val="000000"/>
                <w:sz w:val="18"/>
                <w:szCs w:val="18"/>
              </w:rPr>
              <w:t> </w:t>
            </w:r>
          </w:p>
        </w:tc>
        <w:tc>
          <w:tcPr>
            <w:tcW w:w="1350" w:type="dxa"/>
            <w:tcBorders>
              <w:top w:val="nil"/>
              <w:left w:val="nil"/>
              <w:bottom w:val="single" w:color="auto" w:sz="4" w:space="0"/>
              <w:right w:val="single" w:color="auto" w:sz="4" w:space="0"/>
            </w:tcBorders>
            <w:shd w:val="clear" w:color="auto" w:fill="auto"/>
            <w:vAlign w:val="bottom"/>
            <w:hideMark/>
          </w:tcPr>
          <w:p w:rsidRPr="0075542D" w:rsidR="00D64DF9" w:rsidP="0075542D" w:rsidRDefault="0075542D" w14:paraId="7F507863" w14:textId="736D7A10">
            <w:pPr>
              <w:widowControl/>
              <w:autoSpaceDE/>
              <w:autoSpaceDN/>
              <w:jc w:val="center"/>
              <w:rPr>
                <w:rFonts w:eastAsia="Times New Roman" w:cs="Times New Roman"/>
                <w:color w:val="000000"/>
                <w:sz w:val="18"/>
                <w:szCs w:val="18"/>
              </w:rPr>
            </w:pPr>
            <w:r>
              <w:rPr>
                <w:rFonts w:eastAsia="Times New Roman" w:cs="Times New Roman"/>
                <w:color w:val="000000"/>
                <w:sz w:val="18"/>
                <w:szCs w:val="18"/>
              </w:rPr>
              <w:t>161</w:t>
            </w:r>
          </w:p>
        </w:tc>
        <w:tc>
          <w:tcPr>
            <w:tcW w:w="1440" w:type="dxa"/>
            <w:tcBorders>
              <w:top w:val="nil"/>
              <w:left w:val="nil"/>
              <w:bottom w:val="single" w:color="auto" w:sz="4" w:space="0"/>
              <w:right w:val="single" w:color="auto" w:sz="4" w:space="0"/>
            </w:tcBorders>
            <w:shd w:val="clear" w:color="auto" w:fill="auto"/>
            <w:noWrap/>
            <w:vAlign w:val="bottom"/>
            <w:hideMark/>
          </w:tcPr>
          <w:p w:rsidRPr="0075542D" w:rsidR="00D64DF9" w:rsidP="00D64DF9" w:rsidRDefault="0075542D" w14:paraId="4D275F68" w14:textId="20A2C6B5">
            <w:pPr>
              <w:widowControl/>
              <w:autoSpaceDE/>
              <w:autoSpaceDN/>
              <w:jc w:val="right"/>
              <w:rPr>
                <w:rFonts w:eastAsia="Times New Roman" w:cs="Times New Roman"/>
                <w:color w:val="000000"/>
                <w:sz w:val="18"/>
                <w:szCs w:val="18"/>
              </w:rPr>
            </w:pPr>
            <w:r>
              <w:rPr>
                <w:rFonts w:eastAsia="Times New Roman" w:cs="Times New Roman"/>
                <w:color w:val="000000"/>
                <w:sz w:val="18"/>
                <w:szCs w:val="18"/>
              </w:rPr>
              <w:t>$37.28</w:t>
            </w:r>
            <w:r w:rsidRPr="0075542D" w:rsidR="00D64DF9">
              <w:rPr>
                <w:rFonts w:eastAsia="Times New Roman" w:cs="Times New Roman"/>
                <w:color w:val="000000"/>
                <w:sz w:val="18"/>
                <w:szCs w:val="18"/>
              </w:rPr>
              <w:t> </w:t>
            </w:r>
          </w:p>
        </w:tc>
        <w:tc>
          <w:tcPr>
            <w:tcW w:w="1350" w:type="dxa"/>
            <w:tcBorders>
              <w:top w:val="nil"/>
              <w:left w:val="nil"/>
              <w:bottom w:val="single" w:color="auto" w:sz="4" w:space="0"/>
              <w:right w:val="single" w:color="auto" w:sz="8" w:space="0"/>
            </w:tcBorders>
            <w:shd w:val="clear" w:color="auto" w:fill="auto"/>
            <w:noWrap/>
            <w:vAlign w:val="bottom"/>
            <w:hideMark/>
          </w:tcPr>
          <w:p w:rsidRPr="0075542D" w:rsidR="00D64DF9" w:rsidP="00D64DF9" w:rsidRDefault="0075542D" w14:paraId="7A83F2EB" w14:textId="3A0DC099">
            <w:pPr>
              <w:widowControl/>
              <w:autoSpaceDE/>
              <w:autoSpaceDN/>
              <w:jc w:val="right"/>
              <w:rPr>
                <w:rFonts w:eastAsia="Times New Roman" w:cs="Times New Roman"/>
                <w:color w:val="000000"/>
                <w:sz w:val="18"/>
                <w:szCs w:val="18"/>
              </w:rPr>
            </w:pPr>
            <w:r>
              <w:rPr>
                <w:rFonts w:eastAsia="Times New Roman" w:cs="Times New Roman"/>
                <w:color w:val="000000"/>
                <w:sz w:val="18"/>
                <w:szCs w:val="18"/>
              </w:rPr>
              <w:t>$6,002.08</w:t>
            </w:r>
            <w:r w:rsidRPr="0075542D" w:rsidR="00D64DF9">
              <w:rPr>
                <w:rFonts w:eastAsia="Times New Roman" w:cs="Times New Roman"/>
                <w:color w:val="000000"/>
                <w:sz w:val="18"/>
                <w:szCs w:val="18"/>
              </w:rPr>
              <w:t> </w:t>
            </w:r>
          </w:p>
        </w:tc>
      </w:tr>
      <w:tr w:rsidRPr="0075542D" w:rsidR="0075542D" w:rsidTr="00957A38" w14:paraId="726BCA80" w14:textId="77777777">
        <w:trPr>
          <w:trHeight w:val="368"/>
        </w:trPr>
        <w:tc>
          <w:tcPr>
            <w:tcW w:w="2985" w:type="dxa"/>
            <w:tcBorders>
              <w:top w:val="nil"/>
              <w:left w:val="single" w:color="auto" w:sz="8" w:space="0"/>
              <w:bottom w:val="single" w:color="auto" w:sz="8" w:space="0"/>
              <w:right w:val="single" w:color="auto" w:sz="8" w:space="0"/>
            </w:tcBorders>
            <w:shd w:val="clear" w:color="000000" w:fill="DDEBF7"/>
            <w:noWrap/>
            <w:vAlign w:val="bottom"/>
            <w:hideMark/>
          </w:tcPr>
          <w:p w:rsidRPr="0075542D" w:rsidR="00D64DF9" w:rsidP="00D64DF9" w:rsidRDefault="00D64DF9" w14:paraId="2AD668A8"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Totals</w:t>
            </w:r>
          </w:p>
        </w:tc>
        <w:tc>
          <w:tcPr>
            <w:tcW w:w="1890" w:type="dxa"/>
            <w:tcBorders>
              <w:top w:val="nil"/>
              <w:left w:val="nil"/>
              <w:bottom w:val="single" w:color="auto" w:sz="8" w:space="0"/>
              <w:right w:val="single" w:color="auto" w:sz="8" w:space="0"/>
            </w:tcBorders>
            <w:shd w:val="clear" w:color="000000" w:fill="000000"/>
            <w:noWrap/>
            <w:vAlign w:val="bottom"/>
            <w:hideMark/>
          </w:tcPr>
          <w:p w:rsidRPr="0075542D" w:rsidR="00D64DF9" w:rsidP="00D64DF9" w:rsidRDefault="00D64DF9" w14:paraId="7E79BFBB"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 </w:t>
            </w:r>
          </w:p>
        </w:tc>
        <w:tc>
          <w:tcPr>
            <w:tcW w:w="1587" w:type="dxa"/>
            <w:tcBorders>
              <w:top w:val="nil"/>
              <w:left w:val="nil"/>
              <w:bottom w:val="single" w:color="auto" w:sz="8" w:space="0"/>
              <w:right w:val="single" w:color="auto" w:sz="8" w:space="0"/>
            </w:tcBorders>
            <w:shd w:val="clear" w:color="000000" w:fill="000000"/>
            <w:noWrap/>
            <w:vAlign w:val="bottom"/>
            <w:hideMark/>
          </w:tcPr>
          <w:p w:rsidRPr="0075542D" w:rsidR="00D64DF9" w:rsidP="0075542D" w:rsidRDefault="00D64DF9" w14:paraId="1FBD6CCF" w14:textId="4C09876C">
            <w:pPr>
              <w:widowControl/>
              <w:autoSpaceDE/>
              <w:autoSpaceDN/>
              <w:jc w:val="center"/>
              <w:rPr>
                <w:rFonts w:eastAsia="Times New Roman" w:cs="Times New Roman"/>
                <w:b/>
                <w:bCs/>
                <w:color w:val="000000"/>
                <w:sz w:val="18"/>
                <w:szCs w:val="18"/>
              </w:rPr>
            </w:pPr>
          </w:p>
        </w:tc>
        <w:tc>
          <w:tcPr>
            <w:tcW w:w="1473" w:type="dxa"/>
            <w:tcBorders>
              <w:top w:val="nil"/>
              <w:left w:val="nil"/>
              <w:bottom w:val="single" w:color="auto" w:sz="8" w:space="0"/>
              <w:right w:val="single" w:color="auto" w:sz="8" w:space="0"/>
            </w:tcBorders>
            <w:shd w:val="clear" w:color="000000" w:fill="000000"/>
            <w:noWrap/>
            <w:vAlign w:val="bottom"/>
            <w:hideMark/>
          </w:tcPr>
          <w:p w:rsidRPr="0075542D" w:rsidR="00D64DF9" w:rsidP="0075542D" w:rsidRDefault="00D64DF9" w14:paraId="41040F0D" w14:textId="249D25C2">
            <w:pPr>
              <w:widowControl/>
              <w:autoSpaceDE/>
              <w:autoSpaceDN/>
              <w:jc w:val="center"/>
              <w:rPr>
                <w:rFonts w:eastAsia="Times New Roman" w:cs="Times New Roman"/>
                <w:b/>
                <w:bCs/>
                <w:color w:val="000000"/>
                <w:sz w:val="18"/>
                <w:szCs w:val="18"/>
              </w:rPr>
            </w:pPr>
          </w:p>
        </w:tc>
        <w:tc>
          <w:tcPr>
            <w:tcW w:w="1530" w:type="dxa"/>
            <w:tcBorders>
              <w:top w:val="nil"/>
              <w:left w:val="nil"/>
              <w:bottom w:val="single" w:color="auto" w:sz="8" w:space="0"/>
              <w:right w:val="single" w:color="auto" w:sz="8" w:space="0"/>
            </w:tcBorders>
            <w:shd w:val="clear" w:color="000000" w:fill="DDEBF7"/>
            <w:noWrap/>
            <w:vAlign w:val="bottom"/>
            <w:hideMark/>
          </w:tcPr>
          <w:p w:rsidRPr="0075542D" w:rsidR="00D64DF9" w:rsidP="0075542D" w:rsidRDefault="0075542D" w14:paraId="53C234FF" w14:textId="3BBE500E">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321</w:t>
            </w:r>
          </w:p>
        </w:tc>
        <w:tc>
          <w:tcPr>
            <w:tcW w:w="1260" w:type="dxa"/>
            <w:tcBorders>
              <w:top w:val="nil"/>
              <w:left w:val="nil"/>
              <w:bottom w:val="single" w:color="auto" w:sz="8" w:space="0"/>
              <w:right w:val="single" w:color="auto" w:sz="8" w:space="0"/>
            </w:tcBorders>
            <w:shd w:val="clear" w:color="000000" w:fill="000000"/>
            <w:noWrap/>
            <w:vAlign w:val="bottom"/>
            <w:hideMark/>
          </w:tcPr>
          <w:p w:rsidRPr="0075542D" w:rsidR="00D64DF9" w:rsidP="00D64DF9" w:rsidRDefault="00D64DF9" w14:paraId="5C77FB38"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 </w:t>
            </w:r>
          </w:p>
        </w:tc>
        <w:tc>
          <w:tcPr>
            <w:tcW w:w="1350" w:type="dxa"/>
            <w:tcBorders>
              <w:top w:val="nil"/>
              <w:left w:val="nil"/>
              <w:bottom w:val="single" w:color="auto" w:sz="8" w:space="0"/>
              <w:right w:val="single" w:color="auto" w:sz="8" w:space="0"/>
            </w:tcBorders>
            <w:shd w:val="clear" w:color="000000" w:fill="DDEBF7"/>
            <w:noWrap/>
            <w:vAlign w:val="bottom"/>
            <w:hideMark/>
          </w:tcPr>
          <w:p w:rsidRPr="0075542D" w:rsidR="00D64DF9" w:rsidP="0075542D" w:rsidRDefault="0075542D" w14:paraId="01ED725B" w14:textId="6EE763A6">
            <w:pPr>
              <w:widowControl/>
              <w:autoSpaceDE/>
              <w:autoSpaceDN/>
              <w:jc w:val="center"/>
              <w:rPr>
                <w:rFonts w:eastAsia="Times New Roman" w:cs="Times New Roman"/>
                <w:b/>
                <w:bCs/>
                <w:color w:val="000000"/>
                <w:sz w:val="18"/>
                <w:szCs w:val="18"/>
              </w:rPr>
            </w:pPr>
            <w:r w:rsidRPr="0075542D">
              <w:rPr>
                <w:rFonts w:eastAsia="Times New Roman" w:cs="Times New Roman"/>
                <w:b/>
                <w:bCs/>
                <w:color w:val="000000"/>
                <w:sz w:val="18"/>
                <w:szCs w:val="18"/>
              </w:rPr>
              <w:t>161</w:t>
            </w:r>
          </w:p>
        </w:tc>
        <w:tc>
          <w:tcPr>
            <w:tcW w:w="1440" w:type="dxa"/>
            <w:tcBorders>
              <w:top w:val="nil"/>
              <w:left w:val="nil"/>
              <w:bottom w:val="single" w:color="auto" w:sz="8" w:space="0"/>
              <w:right w:val="single" w:color="auto" w:sz="8" w:space="0"/>
            </w:tcBorders>
            <w:shd w:val="clear" w:color="000000" w:fill="000000"/>
            <w:noWrap/>
            <w:vAlign w:val="bottom"/>
            <w:hideMark/>
          </w:tcPr>
          <w:p w:rsidRPr="0075542D" w:rsidR="00D64DF9" w:rsidP="00D64DF9" w:rsidRDefault="00D64DF9" w14:paraId="0D48CCD3" w14:textId="77777777">
            <w:pPr>
              <w:widowControl/>
              <w:autoSpaceDE/>
              <w:autoSpaceDN/>
              <w:rPr>
                <w:rFonts w:eastAsia="Times New Roman" w:cs="Times New Roman"/>
                <w:b/>
                <w:bCs/>
                <w:color w:val="000000"/>
                <w:sz w:val="18"/>
                <w:szCs w:val="18"/>
              </w:rPr>
            </w:pPr>
            <w:r w:rsidRPr="0075542D">
              <w:rPr>
                <w:rFonts w:eastAsia="Times New Roman" w:cs="Times New Roman"/>
                <w:b/>
                <w:bCs/>
                <w:color w:val="000000"/>
                <w:sz w:val="18"/>
                <w:szCs w:val="18"/>
              </w:rPr>
              <w:t> </w:t>
            </w:r>
          </w:p>
        </w:tc>
        <w:tc>
          <w:tcPr>
            <w:tcW w:w="1350" w:type="dxa"/>
            <w:tcBorders>
              <w:top w:val="nil"/>
              <w:left w:val="nil"/>
              <w:bottom w:val="single" w:color="auto" w:sz="8" w:space="0"/>
              <w:right w:val="single" w:color="auto" w:sz="8" w:space="0"/>
            </w:tcBorders>
            <w:shd w:val="clear" w:color="000000" w:fill="DDEBF7"/>
            <w:noWrap/>
            <w:vAlign w:val="bottom"/>
            <w:hideMark/>
          </w:tcPr>
          <w:p w:rsidRPr="0075542D" w:rsidR="00D64DF9" w:rsidP="0075542D" w:rsidRDefault="0075542D" w14:paraId="3CE6843C" w14:textId="5FFDF74C">
            <w:pPr>
              <w:widowControl/>
              <w:autoSpaceDE/>
              <w:autoSpaceDN/>
              <w:jc w:val="right"/>
              <w:rPr>
                <w:rFonts w:eastAsia="Times New Roman" w:cs="Times New Roman"/>
                <w:b/>
                <w:bCs/>
                <w:color w:val="000000"/>
                <w:sz w:val="18"/>
                <w:szCs w:val="18"/>
              </w:rPr>
            </w:pPr>
            <w:r>
              <w:rPr>
                <w:rFonts w:eastAsia="Times New Roman" w:cs="Times New Roman"/>
                <w:b/>
                <w:bCs/>
                <w:color w:val="000000"/>
                <w:sz w:val="18"/>
                <w:szCs w:val="18"/>
              </w:rPr>
              <w:t>$6,002.08</w:t>
            </w:r>
            <w:r w:rsidRPr="0075542D" w:rsidR="00D64DF9">
              <w:rPr>
                <w:rFonts w:eastAsia="Times New Roman" w:cs="Times New Roman"/>
                <w:b/>
                <w:bCs/>
                <w:color w:val="000000"/>
                <w:sz w:val="18"/>
                <w:szCs w:val="18"/>
              </w:rPr>
              <w:t> </w:t>
            </w:r>
          </w:p>
        </w:tc>
      </w:tr>
    </w:tbl>
    <w:p w:rsidRPr="004E4785" w:rsidR="00D64DF9" w:rsidP="00D64DF9" w:rsidRDefault="00D64DF9" w14:paraId="2C4483D1" w14:textId="77777777">
      <w:pPr>
        <w:spacing w:line="259" w:lineRule="auto"/>
        <w:rPr>
          <w:rFonts w:cs="Times New Roman"/>
          <w:b/>
          <w:color w:val="FF0000"/>
          <w:szCs w:val="24"/>
        </w:rPr>
      </w:pPr>
    </w:p>
    <w:p w:rsidRPr="004E4785" w:rsidR="008E61C9" w:rsidP="00957A38" w:rsidRDefault="001477A3" w14:paraId="5B81B161" w14:textId="40E72D95">
      <w:pPr>
        <w:spacing w:line="259" w:lineRule="auto"/>
        <w:rPr>
          <w:rFonts w:cs="Times New Roman"/>
          <w:b/>
          <w:szCs w:val="24"/>
        </w:rPr>
      </w:pPr>
      <w:r w:rsidRPr="00957A38">
        <w:rPr>
          <w:rFonts w:cs="Times New Roman"/>
          <w:b/>
          <w:szCs w:val="24"/>
        </w:rPr>
        <w:t>*</w:t>
      </w:r>
      <w:r w:rsidRPr="00957A38" w:rsidR="00957A38">
        <w:rPr>
          <w:rFonts w:cs="Times New Roman"/>
          <w:sz w:val="20"/>
          <w:szCs w:val="20"/>
        </w:rPr>
        <w:t>Hourly wage rate determined using mean hourly wage for Life, Physical, and Social Science major occupation from</w:t>
      </w:r>
      <w:r w:rsidRPr="00957A38">
        <w:rPr>
          <w:rFonts w:cs="Times New Roman"/>
          <w:sz w:val="20"/>
          <w:szCs w:val="20"/>
        </w:rPr>
        <w:t xml:space="preserve"> BLS’s </w:t>
      </w:r>
      <w:r w:rsidRPr="00957A38">
        <w:rPr>
          <w:rFonts w:cs="Times New Roman"/>
          <w:i/>
          <w:sz w:val="20"/>
          <w:szCs w:val="20"/>
        </w:rPr>
        <w:t>Occupational Outlook Handbook</w:t>
      </w:r>
      <w:r w:rsidRPr="00957A38">
        <w:rPr>
          <w:rFonts w:cs="Times New Roman"/>
          <w:sz w:val="20"/>
          <w:szCs w:val="20"/>
        </w:rPr>
        <w:t xml:space="preserve">. </w:t>
      </w:r>
      <w:hyperlink r:id="rId12">
        <w:r w:rsidRPr="00957A38">
          <w:rPr>
            <w:rFonts w:cs="Times New Roman"/>
            <w:b/>
            <w:color w:val="0563C1"/>
            <w:sz w:val="20"/>
            <w:szCs w:val="20"/>
            <w:u w:val="single" w:color="0563C1"/>
          </w:rPr>
          <w:t>https://www.bls.gov/bls/blswage.htm</w:t>
        </w:r>
      </w:hyperlink>
    </w:p>
    <w:p w:rsidRPr="004E4785" w:rsidR="008E61C9" w:rsidP="00BD7237" w:rsidRDefault="008E61C9" w14:paraId="197EC8E2" w14:textId="77777777">
      <w:pPr>
        <w:spacing w:line="259" w:lineRule="auto"/>
        <w:jc w:val="center"/>
        <w:rPr>
          <w:rFonts w:cs="Times New Roman"/>
          <w:szCs w:val="24"/>
        </w:rPr>
        <w:sectPr w:rsidRPr="004E4785" w:rsidR="008E61C9" w:rsidSect="00D64DF9">
          <w:pgSz w:w="15840" w:h="12240" w:orient="landscape"/>
          <w:pgMar w:top="1080" w:right="1200" w:bottom="1080" w:left="640" w:header="0" w:footer="1014" w:gutter="0"/>
          <w:cols w:space="720"/>
          <w:docGrid w:linePitch="299"/>
        </w:sectPr>
      </w:pPr>
    </w:p>
    <w:p w:rsidRPr="004E4785" w:rsidR="008E61C9" w:rsidP="00BD7237" w:rsidRDefault="001477A3" w14:paraId="2FED3622"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4A0CD3" w:rsidR="008E61C9" w:rsidP="004A0CD3" w:rsidRDefault="004A0CD3" w14:paraId="3A427A63" w14:textId="58E1B0CF">
      <w:pPr>
        <w:pStyle w:val="BodyText"/>
        <w:spacing w:before="120"/>
        <w:ind w:left="0"/>
        <w:rPr>
          <w:rFonts w:cs="Times New Roman"/>
        </w:rPr>
      </w:pPr>
      <w:r w:rsidRPr="004A0CD3">
        <w:rPr>
          <w:rFonts w:cs="Times New Roman"/>
        </w:rPr>
        <w:t>There are no costs associated with this collection of information as the forms are submitted via email.</w:t>
      </w:r>
    </w:p>
    <w:p w:rsidRPr="004E4785" w:rsidR="00115034" w:rsidP="00BD7237" w:rsidRDefault="00115034" w14:paraId="4E6F5EE6" w14:textId="77777777">
      <w:pPr>
        <w:pStyle w:val="BodyText"/>
        <w:spacing w:before="1"/>
        <w:ind w:left="0"/>
        <w:rPr>
          <w:rFonts w:cs="Times New Roman"/>
          <w:b/>
        </w:rPr>
      </w:pPr>
    </w:p>
    <w:p w:rsidRPr="004E4785" w:rsidR="008E61C9" w:rsidP="00BD7237" w:rsidRDefault="001477A3" w14:paraId="6D40E56E"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E4785" w:rsidR="008E61C9" w:rsidP="00BD7237" w:rsidRDefault="008E61C9" w14:paraId="6DAEA2D2" w14:textId="77777777">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4A0CD3" w:rsidR="00DF0CE3" w:rsidTr="00DF0CE3" w14:paraId="5CC1E344"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4A0CD3" w:rsidR="00DF0CE3" w:rsidP="00DF0CE3" w:rsidRDefault="00DF0CE3" w14:paraId="5FA947DA"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4A0CD3" w:rsidR="00DF0CE3" w:rsidP="00DF0CE3" w:rsidRDefault="00DF0CE3" w14:paraId="7C364FE2"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4A0CD3" w:rsidR="00DF0CE3" w:rsidP="00DF0CE3" w:rsidRDefault="00DF0CE3" w14:paraId="4AA37B33"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4A0CD3" w:rsidR="00DF0CE3" w:rsidP="00DF0CE3" w:rsidRDefault="00DF0CE3" w14:paraId="7CBA3528"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4A0CD3" w:rsidR="00DF0CE3" w:rsidP="00DF0CE3" w:rsidRDefault="00DF0CE3" w14:paraId="0E963360"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4A0CD3" w:rsidR="00DF0CE3" w:rsidP="00DF0CE3" w:rsidRDefault="00DF0CE3" w14:paraId="333D9675" w14:textId="77777777">
            <w:pPr>
              <w:widowControl/>
              <w:autoSpaceDE/>
              <w:autoSpaceDN/>
              <w:jc w:val="center"/>
              <w:rPr>
                <w:rFonts w:eastAsia="Times New Roman" w:cs="Times New Roman"/>
                <w:b/>
                <w:bCs/>
                <w:color w:val="000000"/>
                <w:sz w:val="18"/>
                <w:szCs w:val="18"/>
              </w:rPr>
            </w:pPr>
            <w:r w:rsidRPr="004A0CD3">
              <w:rPr>
                <w:rFonts w:eastAsia="Times New Roman" w:cs="Times New Roman"/>
                <w:b/>
                <w:bCs/>
                <w:color w:val="000000"/>
                <w:sz w:val="18"/>
                <w:szCs w:val="18"/>
              </w:rPr>
              <w:t>Total Cost to Government</w:t>
            </w:r>
          </w:p>
        </w:tc>
      </w:tr>
      <w:tr w:rsidRPr="004A0CD3" w:rsidR="00DF0CE3" w:rsidTr="00DF0CE3" w14:paraId="7D76149F"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4A0CD3" w:rsidR="00DF0CE3" w:rsidP="00DF0CE3" w:rsidRDefault="00DF0CE3" w14:paraId="15387C9A"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4A0CD3" w:rsidR="00DF0CE3" w:rsidP="00DF0CE3" w:rsidRDefault="004A0CD3" w14:paraId="3310CBB4" w14:textId="563E22C3">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GS-13</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4A0CD3" w:rsidR="00DF0CE3" w:rsidP="00DF0CE3" w:rsidRDefault="00DF0CE3" w14:paraId="2663953B" w14:textId="46D43173">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r w:rsidRPr="004A0CD3" w:rsidR="004A0CD3">
              <w:rPr>
                <w:rFonts w:eastAsia="Times New Roman" w:cs="Times New Roman"/>
                <w:color w:val="000000"/>
                <w:sz w:val="18"/>
                <w:szCs w:val="18"/>
              </w:rPr>
              <w:t>$166,604</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4A0CD3" w:rsidR="00DF0CE3" w:rsidP="00D05D8F" w:rsidRDefault="00DF0CE3" w14:paraId="5560ADEE" w14:textId="1FBFEB7A">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r w:rsidR="00D05D8F">
              <w:rPr>
                <w:rFonts w:eastAsia="Times New Roman" w:cs="Times New Roman"/>
                <w:color w:val="000000"/>
                <w:sz w:val="18"/>
                <w:szCs w:val="18"/>
              </w:rPr>
              <w:t>8%</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4A0CD3" w:rsidR="00DF0CE3" w:rsidP="00DF0CE3" w:rsidRDefault="00DF0CE3" w14:paraId="78FD77D2"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4A0CD3" w:rsidR="00DF0CE3" w:rsidP="00DF0CE3" w:rsidRDefault="00DF0CE3" w14:paraId="2EEAB6DD" w14:textId="2129DB2B">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r w:rsidR="00D05D8F">
              <w:rPr>
                <w:rFonts w:eastAsia="Times New Roman" w:cs="Times New Roman"/>
                <w:color w:val="000000"/>
                <w:sz w:val="18"/>
                <w:szCs w:val="18"/>
              </w:rPr>
              <w:t>$13,328.32</w:t>
            </w:r>
          </w:p>
        </w:tc>
      </w:tr>
      <w:tr w:rsidRPr="004A0CD3" w:rsidR="00DF0CE3" w:rsidTr="00D05D8F" w14:paraId="34829A13" w14:textId="77777777">
        <w:trPr>
          <w:trHeight w:val="331"/>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4A0CD3" w:rsidR="00DF0CE3" w:rsidP="00DF0CE3" w:rsidRDefault="00DF0CE3" w14:paraId="223DD071"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38723753"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4A0CD3" w:rsidR="00DF0CE3" w:rsidP="00DF0CE3" w:rsidRDefault="00DF0CE3" w14:paraId="10C12E71"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4A0CD3" w:rsidR="00DF0CE3" w:rsidP="00DF0CE3" w:rsidRDefault="00DF0CE3" w14:paraId="5E1F5CDF"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nil"/>
              <w:left w:val="nil"/>
              <w:bottom w:val="single" w:color="auto" w:sz="4" w:space="0"/>
              <w:right w:val="single" w:color="auto" w:sz="4" w:space="0"/>
            </w:tcBorders>
            <w:shd w:val="clear" w:color="auto" w:fill="auto"/>
            <w:noWrap/>
            <w:vAlign w:val="bottom"/>
            <w:hideMark/>
          </w:tcPr>
          <w:p w:rsidRPr="004A0CD3" w:rsidR="00DF0CE3" w:rsidP="00DF0CE3" w:rsidRDefault="00DF0CE3" w14:paraId="743ABD36"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4A0CD3" w:rsidR="00DF0CE3" w:rsidP="00DF0CE3" w:rsidRDefault="00DF0CE3" w14:paraId="0C79B788"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r>
      <w:tr w:rsidRPr="004A0CD3" w:rsidR="00DF0CE3" w:rsidTr="00DF0CE3" w14:paraId="53F2AC15"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4A0CD3" w:rsidR="00DF0CE3" w:rsidP="00DF0CE3" w:rsidRDefault="00DF0CE3" w14:paraId="0FE0C7E6"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3D616FE3"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5E0E2D2E"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60E8361E"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47711921"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4A0CD3" w:rsidR="00DF0CE3" w:rsidP="00DF0CE3" w:rsidRDefault="00DF0CE3" w14:paraId="58DDE6F8"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r>
      <w:tr w:rsidRPr="004A0CD3" w:rsidR="00DF0CE3" w:rsidTr="00D05D8F" w14:paraId="2ABDA52D" w14:textId="77777777">
        <w:trPr>
          <w:trHeight w:val="394"/>
        </w:trPr>
        <w:tc>
          <w:tcPr>
            <w:tcW w:w="2280" w:type="dxa"/>
            <w:tcBorders>
              <w:top w:val="nil"/>
              <w:left w:val="single" w:color="auto" w:sz="8" w:space="0"/>
              <w:bottom w:val="nil"/>
              <w:right w:val="single" w:color="auto" w:sz="8" w:space="0"/>
            </w:tcBorders>
            <w:shd w:val="clear" w:color="auto" w:fill="auto"/>
            <w:vAlign w:val="center"/>
            <w:hideMark/>
          </w:tcPr>
          <w:p w:rsidRPr="004A0CD3" w:rsidR="00DF0CE3" w:rsidP="00DF0CE3" w:rsidRDefault="00DF0CE3" w14:paraId="1FC0825D"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3755F05E"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76F32408"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68BA3799"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4A0CD3" w:rsidR="00DF0CE3" w:rsidP="00DF0CE3" w:rsidRDefault="00DF0CE3" w14:paraId="4AF3C99D"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4A0CD3" w:rsidR="00DF0CE3" w:rsidP="00DF0CE3" w:rsidRDefault="00DF0CE3" w14:paraId="058A6E7F"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r>
      <w:tr w:rsidRPr="004A0CD3" w:rsidR="00DF0CE3" w:rsidTr="001477A3" w14:paraId="1AEB7AF1"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4A0CD3" w:rsidR="00DF0CE3" w:rsidP="00DF0CE3" w:rsidRDefault="00DF0CE3" w14:paraId="48767B2D" w14:textId="77777777">
            <w:pPr>
              <w:widowControl/>
              <w:autoSpaceDE/>
              <w:autoSpaceDN/>
              <w:rPr>
                <w:rFonts w:eastAsia="Times New Roman" w:cs="Times New Roman"/>
                <w:b/>
                <w:bCs/>
                <w:color w:val="000000"/>
                <w:sz w:val="18"/>
                <w:szCs w:val="18"/>
              </w:rPr>
            </w:pPr>
            <w:r w:rsidRPr="004A0CD3">
              <w:rPr>
                <w:rFonts w:eastAsia="Times New Roman" w:cs="Times New Roman"/>
                <w:b/>
                <w:bCs/>
                <w:color w:val="000000"/>
                <w:sz w:val="18"/>
                <w:szCs w:val="18"/>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4A0CD3" w:rsidR="00DF0CE3" w:rsidP="00DF0CE3" w:rsidRDefault="00DF0CE3" w14:paraId="0460404C"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4A0CD3" w:rsidR="00DF0CE3" w:rsidP="00DF0CE3" w:rsidRDefault="00DF0CE3" w14:paraId="7B8F5A01"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4A0CD3" w:rsidR="00DF0CE3" w:rsidP="00DF0CE3" w:rsidRDefault="00DF0CE3" w14:paraId="457CD39F"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4A0CD3" w:rsidR="00DF0CE3" w:rsidP="00DF0CE3" w:rsidRDefault="00DF0CE3" w14:paraId="60CF4CF5" w14:textId="77777777">
            <w:pPr>
              <w:widowControl/>
              <w:autoSpaceDE/>
              <w:autoSpaceDN/>
              <w:rPr>
                <w:rFonts w:eastAsia="Times New Roman" w:cs="Times New Roman"/>
                <w:color w:val="000000"/>
                <w:sz w:val="18"/>
                <w:szCs w:val="18"/>
              </w:rPr>
            </w:pPr>
            <w:r w:rsidRPr="004A0CD3">
              <w:rPr>
                <w:rFonts w:eastAsia="Times New Roman" w:cs="Times New Roman"/>
                <w:color w:val="000000"/>
                <w:sz w:val="18"/>
                <w:szCs w:val="18"/>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05D8F" w:rsidR="00DF0CE3" w:rsidP="00DF0CE3" w:rsidRDefault="00DF0CE3" w14:paraId="0BC836D0" w14:textId="5037A9D6">
            <w:pPr>
              <w:widowControl/>
              <w:autoSpaceDE/>
              <w:autoSpaceDN/>
              <w:rPr>
                <w:rFonts w:eastAsia="Times New Roman" w:cs="Times New Roman"/>
                <w:b/>
                <w:color w:val="000000"/>
                <w:sz w:val="18"/>
                <w:szCs w:val="18"/>
              </w:rPr>
            </w:pPr>
            <w:r w:rsidRPr="00D05D8F">
              <w:rPr>
                <w:rFonts w:eastAsia="Times New Roman" w:cs="Times New Roman"/>
                <w:b/>
                <w:color w:val="000000"/>
                <w:sz w:val="18"/>
                <w:szCs w:val="18"/>
              </w:rPr>
              <w:t> </w:t>
            </w:r>
            <w:r w:rsidRPr="00D05D8F" w:rsidR="00D05D8F">
              <w:rPr>
                <w:rFonts w:eastAsia="Times New Roman" w:cs="Times New Roman"/>
                <w:b/>
                <w:color w:val="000000"/>
                <w:sz w:val="18"/>
                <w:szCs w:val="18"/>
              </w:rPr>
              <w:t>$13,328.32</w:t>
            </w:r>
          </w:p>
        </w:tc>
      </w:tr>
    </w:tbl>
    <w:p w:rsidR="00DF0CE3" w:rsidP="00BD7237" w:rsidRDefault="00DF0CE3" w14:paraId="56D83DED" w14:textId="44F67D68">
      <w:pPr>
        <w:pStyle w:val="BodyText"/>
        <w:spacing w:before="9" w:after="1"/>
        <w:ind w:left="0"/>
        <w:rPr>
          <w:rFonts w:cs="Times New Roman"/>
          <w:b/>
        </w:rPr>
      </w:pPr>
    </w:p>
    <w:p w:rsidRPr="00EC5D47" w:rsidR="00EC5D47" w:rsidP="00BD7237" w:rsidRDefault="00EC5D47" w14:paraId="3F35D83F" w14:textId="4D8CF65A">
      <w:pPr>
        <w:pStyle w:val="BodyText"/>
        <w:spacing w:before="9" w:after="1"/>
        <w:ind w:left="0"/>
        <w:rPr>
          <w:rFonts w:cs="Times New Roman"/>
        </w:rPr>
      </w:pPr>
      <w:r w:rsidRPr="00EC5D47">
        <w:rPr>
          <w:rFonts w:cs="Times New Roman"/>
        </w:rPr>
        <w:t>The Loaded Salary was calculated using the 2020 GS Rest of U.S. locality pay table, Step 10 for a GS-13 annual salary and adding 40% for benefits.  The percent of effort is the estimated annual time spent reviewing each completed conflict of interest form and administering this information collection.</w:t>
      </w:r>
    </w:p>
    <w:p w:rsidRPr="004E4785" w:rsidR="00EC5D47" w:rsidP="00BD7237" w:rsidRDefault="00EC5D47" w14:paraId="33D3AB18" w14:textId="77777777">
      <w:pPr>
        <w:pStyle w:val="BodyText"/>
        <w:spacing w:before="9" w:after="1"/>
        <w:ind w:left="0"/>
        <w:rPr>
          <w:rFonts w:cs="Times New Roman"/>
          <w:b/>
        </w:rPr>
      </w:pPr>
    </w:p>
    <w:p w:rsidRPr="004E4785" w:rsidR="008E61C9" w:rsidP="00BD7237" w:rsidRDefault="001477A3" w14:paraId="40CC86C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Pr="004E4785" w:rsidR="008E61C9" w:rsidP="00BD7237" w:rsidRDefault="008E61C9" w14:paraId="015BB71F" w14:textId="77777777">
      <w:pPr>
        <w:pStyle w:val="BodyText"/>
        <w:spacing w:before="7"/>
        <w:ind w:left="0"/>
        <w:rPr>
          <w:rFonts w:cs="Times New Roman"/>
          <w:b/>
        </w:rPr>
      </w:pPr>
    </w:p>
    <w:p w:rsidRPr="004E4785" w:rsidR="00DF0CE3" w:rsidP="00BD7237" w:rsidRDefault="00DF0CE3" w14:paraId="70074EF3" w14:textId="77777777">
      <w:pPr>
        <w:pStyle w:val="BodyText"/>
        <w:spacing w:before="7"/>
        <w:ind w:left="0"/>
        <w:rPr>
          <w:rFonts w:cs="Times New Roman"/>
          <w:b/>
        </w:rPr>
      </w:pPr>
    </w:p>
    <w:tbl>
      <w:tblPr>
        <w:tblW w:w="10031" w:type="dxa"/>
        <w:tblInd w:w="-25" w:type="dxa"/>
        <w:tblLook w:val="04A0" w:firstRow="1" w:lastRow="0" w:firstColumn="1" w:lastColumn="0" w:noHBand="0" w:noVBand="1"/>
      </w:tblPr>
      <w:tblGrid>
        <w:gridCol w:w="2175"/>
        <w:gridCol w:w="950"/>
        <w:gridCol w:w="1056"/>
        <w:gridCol w:w="1080"/>
        <w:gridCol w:w="1170"/>
        <w:gridCol w:w="3600"/>
      </w:tblGrid>
      <w:tr w:rsidRPr="004D45C7" w:rsidR="00DF0CE3" w:rsidTr="004D45C7" w14:paraId="03EDDA60"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D45C7" w:rsidR="00DF0CE3" w:rsidP="00DF0CE3" w:rsidRDefault="00DF0CE3" w14:paraId="636CB996" w14:textId="1C2F43D2">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Information Collection</w:t>
            </w:r>
          </w:p>
        </w:tc>
        <w:tc>
          <w:tcPr>
            <w:tcW w:w="2006" w:type="dxa"/>
            <w:gridSpan w:val="2"/>
            <w:tcBorders>
              <w:top w:val="single" w:color="auto" w:sz="8" w:space="0"/>
              <w:left w:val="nil"/>
              <w:bottom w:val="single" w:color="auto" w:sz="8" w:space="0"/>
              <w:right w:val="single" w:color="000000" w:sz="8" w:space="0"/>
            </w:tcBorders>
            <w:shd w:val="clear" w:color="000000" w:fill="5B9BD5"/>
            <w:vAlign w:val="center"/>
            <w:hideMark/>
          </w:tcPr>
          <w:p w:rsidRPr="004D45C7" w:rsidR="00DF0CE3" w:rsidP="00DF0CE3" w:rsidRDefault="00DF0CE3" w14:paraId="5D188C54" w14:textId="77777777">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4D45C7" w:rsidR="00DF0CE3" w:rsidP="00DF0CE3" w:rsidRDefault="00DF0CE3" w14:paraId="11CC4E61" w14:textId="77777777">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D45C7" w:rsidR="00DF0CE3" w:rsidP="00DF0CE3" w:rsidRDefault="00DF0CE3" w14:paraId="65E7AD3D" w14:textId="77777777">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Reason for change or adjustment</w:t>
            </w:r>
          </w:p>
        </w:tc>
      </w:tr>
      <w:tr w:rsidRPr="004D45C7" w:rsidR="00DF0CE3" w:rsidTr="004D45C7" w14:paraId="46FFAE3E"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4D45C7" w:rsidR="00DF0CE3" w:rsidP="00DF0CE3" w:rsidRDefault="00DF0CE3" w14:paraId="56DF46DA" w14:textId="77777777">
            <w:pPr>
              <w:widowControl/>
              <w:autoSpaceDE/>
              <w:autoSpaceDN/>
              <w:rPr>
                <w:rFonts w:eastAsia="Times New Roman" w:cs="Times New Roman"/>
                <w:b/>
                <w:bCs/>
                <w:color w:val="000000"/>
                <w:sz w:val="18"/>
                <w:szCs w:val="18"/>
              </w:rPr>
            </w:pPr>
          </w:p>
        </w:tc>
        <w:tc>
          <w:tcPr>
            <w:tcW w:w="950" w:type="dxa"/>
            <w:tcBorders>
              <w:top w:val="nil"/>
              <w:left w:val="nil"/>
              <w:bottom w:val="single" w:color="auto" w:sz="8" w:space="0"/>
              <w:right w:val="dashed" w:color="auto" w:sz="8" w:space="0"/>
            </w:tcBorders>
            <w:shd w:val="clear" w:color="000000" w:fill="FBE4D5"/>
            <w:vAlign w:val="center"/>
            <w:hideMark/>
          </w:tcPr>
          <w:p w:rsidRPr="004D45C7" w:rsidR="00DF0CE3" w:rsidP="00DF0CE3" w:rsidRDefault="00DF0CE3" w14:paraId="4EADF8F4" w14:textId="77777777">
            <w:pPr>
              <w:widowControl/>
              <w:autoSpaceDE/>
              <w:autoSpaceDN/>
              <w:jc w:val="center"/>
              <w:rPr>
                <w:rFonts w:eastAsia="Times New Roman" w:cs="Times New Roman"/>
                <w:color w:val="000000"/>
                <w:sz w:val="18"/>
                <w:szCs w:val="18"/>
              </w:rPr>
            </w:pPr>
            <w:r w:rsidRPr="004D45C7">
              <w:rPr>
                <w:rFonts w:eastAsia="Times New Roman" w:cs="Times New Roman"/>
                <w:color w:val="000000"/>
                <w:sz w:val="18"/>
                <w:szCs w:val="18"/>
              </w:rPr>
              <w:t>Current</w:t>
            </w:r>
          </w:p>
        </w:tc>
        <w:tc>
          <w:tcPr>
            <w:tcW w:w="1056" w:type="dxa"/>
            <w:tcBorders>
              <w:top w:val="nil"/>
              <w:left w:val="nil"/>
              <w:bottom w:val="single" w:color="auto" w:sz="8" w:space="0"/>
              <w:right w:val="single" w:color="auto" w:sz="8" w:space="0"/>
            </w:tcBorders>
            <w:shd w:val="clear" w:color="000000" w:fill="FBE4D5"/>
            <w:vAlign w:val="center"/>
            <w:hideMark/>
          </w:tcPr>
          <w:p w:rsidRPr="004D45C7" w:rsidR="00DF0CE3" w:rsidP="00DF0CE3" w:rsidRDefault="00DF0CE3" w14:paraId="033487BB" w14:textId="77777777">
            <w:pPr>
              <w:widowControl/>
              <w:autoSpaceDE/>
              <w:autoSpaceDN/>
              <w:jc w:val="center"/>
              <w:rPr>
                <w:rFonts w:eastAsia="Times New Roman" w:cs="Times New Roman"/>
                <w:color w:val="000000"/>
                <w:sz w:val="18"/>
                <w:szCs w:val="18"/>
              </w:rPr>
            </w:pPr>
            <w:r w:rsidRPr="004D45C7">
              <w:rPr>
                <w:rFonts w:eastAsia="Times New Roman" w:cs="Times New Roman"/>
                <w:color w:val="000000"/>
                <w:sz w:val="18"/>
                <w:szCs w:val="18"/>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4D45C7" w:rsidR="00DF0CE3" w:rsidP="00DF0CE3" w:rsidRDefault="00DF0CE3" w14:paraId="1147B14E" w14:textId="77777777">
            <w:pPr>
              <w:widowControl/>
              <w:autoSpaceDE/>
              <w:autoSpaceDN/>
              <w:jc w:val="center"/>
              <w:rPr>
                <w:rFonts w:eastAsia="Times New Roman" w:cs="Times New Roman"/>
                <w:color w:val="000000"/>
                <w:sz w:val="18"/>
                <w:szCs w:val="18"/>
              </w:rPr>
            </w:pPr>
            <w:r w:rsidRPr="004D45C7">
              <w:rPr>
                <w:rFonts w:eastAsia="Times New Roman" w:cs="Times New Roman"/>
                <w:color w:val="000000"/>
                <w:sz w:val="18"/>
                <w:szCs w:val="18"/>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4D45C7" w:rsidR="00DF0CE3" w:rsidP="00DF0CE3" w:rsidRDefault="00DF0CE3" w14:paraId="0669C2CD" w14:textId="77777777">
            <w:pPr>
              <w:widowControl/>
              <w:autoSpaceDE/>
              <w:autoSpaceDN/>
              <w:jc w:val="center"/>
              <w:rPr>
                <w:rFonts w:eastAsia="Times New Roman" w:cs="Times New Roman"/>
                <w:color w:val="000000"/>
                <w:sz w:val="18"/>
                <w:szCs w:val="18"/>
              </w:rPr>
            </w:pPr>
            <w:r w:rsidRPr="004D45C7">
              <w:rPr>
                <w:rFonts w:eastAsia="Times New Roman" w:cs="Times New Roman"/>
                <w:color w:val="000000"/>
                <w:sz w:val="18"/>
                <w:szCs w:val="18"/>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4D45C7" w:rsidR="00DF0CE3" w:rsidP="00DF0CE3" w:rsidRDefault="00DF0CE3" w14:paraId="2262E534" w14:textId="77777777">
            <w:pPr>
              <w:widowControl/>
              <w:autoSpaceDE/>
              <w:autoSpaceDN/>
              <w:rPr>
                <w:rFonts w:eastAsia="Times New Roman" w:cs="Times New Roman"/>
                <w:b/>
                <w:bCs/>
                <w:color w:val="000000"/>
                <w:sz w:val="18"/>
                <w:szCs w:val="18"/>
              </w:rPr>
            </w:pPr>
          </w:p>
        </w:tc>
      </w:tr>
      <w:tr w:rsidRPr="004D45C7" w:rsidR="004D45C7" w:rsidTr="004D45C7" w14:paraId="6B1F5023"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4D45C7" w:rsidR="004D45C7" w:rsidP="004D45C7" w:rsidRDefault="004D45C7" w14:paraId="59CC5CC2" w14:textId="39E0492E">
            <w:pPr>
              <w:widowControl/>
              <w:autoSpaceDE/>
              <w:autoSpaceDN/>
              <w:rPr>
                <w:rFonts w:eastAsia="Times New Roman" w:cs="Times New Roman"/>
                <w:color w:val="000000"/>
                <w:sz w:val="18"/>
                <w:szCs w:val="18"/>
              </w:rPr>
            </w:pPr>
            <w:r w:rsidRPr="004D45C7">
              <w:rPr>
                <w:rFonts w:eastAsia="Times New Roman" w:cs="Times New Roman"/>
                <w:color w:val="000000"/>
                <w:sz w:val="18"/>
                <w:szCs w:val="18"/>
              </w:rPr>
              <w:t>Conflict of Interest Disclosure Forms </w:t>
            </w:r>
          </w:p>
        </w:tc>
        <w:tc>
          <w:tcPr>
            <w:tcW w:w="950" w:type="dxa"/>
            <w:tcBorders>
              <w:top w:val="nil"/>
              <w:left w:val="nil"/>
              <w:bottom w:val="dotted" w:color="auto" w:sz="4" w:space="0"/>
              <w:right w:val="dashed" w:color="auto" w:sz="8" w:space="0"/>
            </w:tcBorders>
            <w:shd w:val="clear" w:color="auto" w:fill="auto"/>
            <w:vAlign w:val="center"/>
            <w:hideMark/>
          </w:tcPr>
          <w:p w:rsidRPr="004D45C7" w:rsidR="004D45C7" w:rsidP="00D05D8F" w:rsidRDefault="00D05D8F" w14:paraId="100F6F52" w14:textId="7A7D1112">
            <w:pPr>
              <w:widowControl/>
              <w:autoSpaceDE/>
              <w:autoSpaceDN/>
              <w:jc w:val="center"/>
              <w:rPr>
                <w:rFonts w:eastAsia="Times New Roman" w:cs="Times New Roman"/>
                <w:color w:val="000000"/>
                <w:sz w:val="18"/>
                <w:szCs w:val="18"/>
              </w:rPr>
            </w:pPr>
            <w:r>
              <w:rPr>
                <w:rFonts w:eastAsia="Times New Roman" w:cs="Times New Roman"/>
                <w:color w:val="000000"/>
                <w:sz w:val="18"/>
                <w:szCs w:val="18"/>
              </w:rPr>
              <w:t>$6,002</w:t>
            </w:r>
            <w:r w:rsidRPr="004D45C7" w:rsidR="004D45C7">
              <w:rPr>
                <w:rFonts w:eastAsia="Times New Roman" w:cs="Times New Roman"/>
                <w:color w:val="000000"/>
                <w:sz w:val="18"/>
                <w:szCs w:val="18"/>
              </w:rPr>
              <w:t> </w:t>
            </w:r>
          </w:p>
        </w:tc>
        <w:tc>
          <w:tcPr>
            <w:tcW w:w="1056" w:type="dxa"/>
            <w:tcBorders>
              <w:top w:val="nil"/>
              <w:left w:val="nil"/>
              <w:bottom w:val="dotted" w:color="auto" w:sz="4" w:space="0"/>
              <w:right w:val="single" w:color="auto" w:sz="8" w:space="0"/>
            </w:tcBorders>
            <w:shd w:val="clear" w:color="auto" w:fill="auto"/>
            <w:vAlign w:val="center"/>
            <w:hideMark/>
          </w:tcPr>
          <w:p w:rsidRPr="004D45C7" w:rsidR="004D45C7" w:rsidP="004D45C7" w:rsidRDefault="00D05D8F" w14:paraId="3B2E6565" w14:textId="02A4D357">
            <w:pPr>
              <w:widowControl/>
              <w:autoSpaceDE/>
              <w:autoSpaceDN/>
              <w:jc w:val="center"/>
              <w:rPr>
                <w:rFonts w:eastAsia="Times New Roman" w:cs="Times New Roman"/>
                <w:color w:val="000000"/>
                <w:sz w:val="18"/>
                <w:szCs w:val="18"/>
              </w:rPr>
            </w:pPr>
            <w:r>
              <w:rPr>
                <w:rFonts w:eastAsia="Times New Roman" w:cs="Times New Roman"/>
                <w:color w:val="000000"/>
                <w:sz w:val="18"/>
                <w:szCs w:val="18"/>
              </w:rPr>
              <w:t>Unknown</w:t>
            </w:r>
          </w:p>
        </w:tc>
        <w:tc>
          <w:tcPr>
            <w:tcW w:w="1080" w:type="dxa"/>
            <w:tcBorders>
              <w:top w:val="nil"/>
              <w:left w:val="nil"/>
              <w:bottom w:val="dotted" w:color="auto" w:sz="4" w:space="0"/>
              <w:right w:val="dashed" w:color="auto" w:sz="8" w:space="0"/>
            </w:tcBorders>
            <w:shd w:val="clear" w:color="auto" w:fill="auto"/>
            <w:vAlign w:val="center"/>
            <w:hideMark/>
          </w:tcPr>
          <w:p w:rsidRPr="004D45C7" w:rsidR="004D45C7" w:rsidP="004D45C7" w:rsidRDefault="004D45C7" w14:paraId="7DF4ADE7" w14:textId="5FF3B8B7">
            <w:pPr>
              <w:widowControl/>
              <w:autoSpaceDE/>
              <w:autoSpaceDN/>
              <w:jc w:val="center"/>
              <w:rPr>
                <w:rFonts w:eastAsia="Times New Roman" w:cs="Times New Roman"/>
                <w:color w:val="000000"/>
                <w:sz w:val="18"/>
                <w:szCs w:val="18"/>
              </w:rPr>
            </w:pPr>
            <w:r w:rsidRPr="004D45C7">
              <w:rPr>
                <w:rFonts w:eastAsia="Times New Roman" w:cs="Times New Roman"/>
                <w:color w:val="000000"/>
                <w:sz w:val="18"/>
                <w:szCs w:val="18"/>
              </w:rPr>
              <w:t> </w:t>
            </w:r>
            <w:r w:rsidR="00D05D8F">
              <w:rPr>
                <w:rFonts w:eastAsia="Times New Roman" w:cs="Times New Roman"/>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hideMark/>
          </w:tcPr>
          <w:p w:rsidRPr="004D45C7" w:rsidR="004D45C7" w:rsidP="004D45C7" w:rsidRDefault="004D45C7" w14:paraId="2EC06B6F" w14:textId="06FA8851">
            <w:pPr>
              <w:widowControl/>
              <w:autoSpaceDE/>
              <w:autoSpaceDN/>
              <w:jc w:val="center"/>
              <w:rPr>
                <w:rFonts w:eastAsia="Times New Roman" w:cs="Times New Roman"/>
                <w:color w:val="000000"/>
                <w:sz w:val="18"/>
                <w:szCs w:val="18"/>
              </w:rPr>
            </w:pPr>
            <w:r>
              <w:rPr>
                <w:rFonts w:eastAsia="Times New Roman" w:cs="Times New Roman"/>
                <w:color w:val="000000"/>
                <w:sz w:val="18"/>
                <w:szCs w:val="18"/>
              </w:rPr>
              <w:t>0</w:t>
            </w:r>
            <w:r w:rsidRPr="004D45C7">
              <w:rPr>
                <w:rFonts w:eastAsia="Times New Roman" w:cs="Times New Roman"/>
                <w:color w:val="000000"/>
                <w:sz w:val="18"/>
                <w:szCs w:val="18"/>
              </w:rPr>
              <w:t> </w:t>
            </w:r>
          </w:p>
        </w:tc>
        <w:tc>
          <w:tcPr>
            <w:tcW w:w="3600" w:type="dxa"/>
            <w:tcBorders>
              <w:top w:val="nil"/>
              <w:left w:val="nil"/>
              <w:bottom w:val="dotted" w:color="auto" w:sz="4" w:space="0"/>
              <w:right w:val="single" w:color="auto" w:sz="8" w:space="0"/>
            </w:tcBorders>
            <w:shd w:val="clear" w:color="auto" w:fill="auto"/>
            <w:vAlign w:val="center"/>
            <w:hideMark/>
          </w:tcPr>
          <w:p w:rsidRPr="004D45C7" w:rsidR="004D45C7" w:rsidP="004D45C7" w:rsidRDefault="00D05D8F" w14:paraId="26E6462F" w14:textId="2A5F9EA6">
            <w:pPr>
              <w:widowControl/>
              <w:autoSpaceDE/>
              <w:autoSpaceDN/>
              <w:rPr>
                <w:rFonts w:eastAsia="Times New Roman" w:cs="Times New Roman"/>
                <w:color w:val="000000"/>
                <w:sz w:val="18"/>
                <w:szCs w:val="18"/>
              </w:rPr>
            </w:pPr>
            <w:r>
              <w:rPr>
                <w:rFonts w:eastAsia="Times New Roman" w:cs="Times New Roman"/>
                <w:color w:val="000000"/>
                <w:sz w:val="18"/>
                <w:szCs w:val="18"/>
              </w:rPr>
              <w:t>Wage rates not calculated in previous renewal.</w:t>
            </w:r>
            <w:r w:rsidRPr="004D45C7" w:rsidR="004D45C7">
              <w:rPr>
                <w:rFonts w:eastAsia="Times New Roman" w:cs="Times New Roman"/>
                <w:color w:val="000000"/>
                <w:sz w:val="18"/>
                <w:szCs w:val="18"/>
              </w:rPr>
              <w:t> </w:t>
            </w:r>
          </w:p>
        </w:tc>
      </w:tr>
      <w:tr w:rsidRPr="004D45C7" w:rsidR="004D45C7" w:rsidTr="004D45C7" w14:paraId="6113751C"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4D45C7" w:rsidR="004D45C7" w:rsidP="004D45C7" w:rsidRDefault="004D45C7" w14:paraId="54C6B802" w14:textId="77777777">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Total for Collection</w:t>
            </w:r>
          </w:p>
        </w:tc>
        <w:tc>
          <w:tcPr>
            <w:tcW w:w="950" w:type="dxa"/>
            <w:tcBorders>
              <w:top w:val="nil"/>
              <w:left w:val="nil"/>
              <w:bottom w:val="nil"/>
              <w:right w:val="dashed" w:color="auto" w:sz="8" w:space="0"/>
            </w:tcBorders>
            <w:shd w:val="clear" w:color="000000" w:fill="BDD6EE"/>
            <w:vAlign w:val="center"/>
            <w:hideMark/>
          </w:tcPr>
          <w:p w:rsidRPr="004D45C7" w:rsidR="004D45C7" w:rsidP="00D05D8F" w:rsidRDefault="00D05D8F" w14:paraId="668E0E99" w14:textId="363BF96B">
            <w:pPr>
              <w:widowControl/>
              <w:autoSpaceDE/>
              <w:autoSpaceDN/>
              <w:jc w:val="center"/>
              <w:rPr>
                <w:rFonts w:eastAsia="Times New Roman" w:cs="Times New Roman"/>
                <w:b/>
                <w:bCs/>
                <w:color w:val="000000"/>
                <w:sz w:val="18"/>
                <w:szCs w:val="18"/>
              </w:rPr>
            </w:pPr>
            <w:r>
              <w:rPr>
                <w:rFonts w:eastAsia="Times New Roman" w:cs="Times New Roman"/>
                <w:b/>
                <w:bCs/>
                <w:color w:val="000000"/>
                <w:sz w:val="18"/>
                <w:szCs w:val="18"/>
              </w:rPr>
              <w:t>$6,002</w:t>
            </w:r>
            <w:r w:rsidRPr="004D45C7" w:rsidR="004D45C7">
              <w:rPr>
                <w:rFonts w:eastAsia="Times New Roman" w:cs="Times New Roman"/>
                <w:b/>
                <w:bCs/>
                <w:color w:val="000000"/>
                <w:sz w:val="18"/>
                <w:szCs w:val="18"/>
              </w:rPr>
              <w:t> </w:t>
            </w:r>
          </w:p>
        </w:tc>
        <w:tc>
          <w:tcPr>
            <w:tcW w:w="1056" w:type="dxa"/>
            <w:tcBorders>
              <w:top w:val="nil"/>
              <w:left w:val="nil"/>
              <w:bottom w:val="nil"/>
              <w:right w:val="single" w:color="auto" w:sz="8" w:space="0"/>
            </w:tcBorders>
            <w:shd w:val="clear" w:color="000000" w:fill="BDD6EE"/>
            <w:vAlign w:val="center"/>
            <w:hideMark/>
          </w:tcPr>
          <w:p w:rsidRPr="004D45C7" w:rsidR="004D45C7" w:rsidP="004D45C7" w:rsidRDefault="00D05D8F" w14:paraId="72D2F6AB" w14:textId="3C48C069">
            <w:pPr>
              <w:widowControl/>
              <w:autoSpaceDE/>
              <w:autoSpaceDN/>
              <w:jc w:val="center"/>
              <w:rPr>
                <w:rFonts w:eastAsia="Times New Roman" w:cs="Times New Roman"/>
                <w:b/>
                <w:bCs/>
                <w:color w:val="000000"/>
                <w:sz w:val="18"/>
                <w:szCs w:val="18"/>
              </w:rPr>
            </w:pPr>
            <w:r>
              <w:rPr>
                <w:rFonts w:eastAsia="Times New Roman" w:cs="Times New Roman"/>
                <w:b/>
                <w:bCs/>
                <w:color w:val="000000"/>
                <w:sz w:val="18"/>
                <w:szCs w:val="18"/>
              </w:rPr>
              <w:t>Unknown</w:t>
            </w:r>
          </w:p>
        </w:tc>
        <w:tc>
          <w:tcPr>
            <w:tcW w:w="1080" w:type="dxa"/>
            <w:tcBorders>
              <w:top w:val="nil"/>
              <w:left w:val="nil"/>
              <w:bottom w:val="nil"/>
              <w:right w:val="dashed" w:color="auto" w:sz="8" w:space="0"/>
            </w:tcBorders>
            <w:shd w:val="clear" w:color="000000" w:fill="BDD6EE"/>
            <w:vAlign w:val="center"/>
            <w:hideMark/>
          </w:tcPr>
          <w:p w:rsidRPr="004D45C7" w:rsidR="004D45C7" w:rsidP="004D45C7" w:rsidRDefault="004D45C7" w14:paraId="224DFE53" w14:textId="714BB8D8">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 </w:t>
            </w:r>
            <w:r w:rsidR="00D05D8F">
              <w:rPr>
                <w:rFonts w:eastAsia="Times New Roman" w:cs="Times New Roman"/>
                <w:b/>
                <w:bCs/>
                <w:color w:val="000000"/>
                <w:sz w:val="18"/>
                <w:szCs w:val="18"/>
              </w:rPr>
              <w:t>0</w:t>
            </w:r>
          </w:p>
        </w:tc>
        <w:tc>
          <w:tcPr>
            <w:tcW w:w="1170" w:type="dxa"/>
            <w:tcBorders>
              <w:top w:val="nil"/>
              <w:left w:val="nil"/>
              <w:bottom w:val="nil"/>
              <w:right w:val="single" w:color="auto" w:sz="8" w:space="0"/>
            </w:tcBorders>
            <w:shd w:val="clear" w:color="000000" w:fill="BDD6EE"/>
            <w:vAlign w:val="center"/>
            <w:hideMark/>
          </w:tcPr>
          <w:p w:rsidRPr="004D45C7" w:rsidR="004D45C7" w:rsidP="004D45C7" w:rsidRDefault="00D05D8F" w14:paraId="252287E7" w14:textId="7287E5DD">
            <w:pPr>
              <w:widowControl/>
              <w:autoSpaceDE/>
              <w:autoSpaceDN/>
              <w:jc w:val="center"/>
              <w:rPr>
                <w:rFonts w:eastAsia="Times New Roman" w:cs="Times New Roman"/>
                <w:b/>
                <w:bCs/>
                <w:color w:val="000000"/>
                <w:sz w:val="18"/>
                <w:szCs w:val="18"/>
              </w:rPr>
            </w:pPr>
            <w:r>
              <w:rPr>
                <w:rFonts w:eastAsia="Times New Roman" w:cs="Times New Roman"/>
                <w:b/>
                <w:bCs/>
                <w:color w:val="000000"/>
                <w:sz w:val="18"/>
                <w:szCs w:val="18"/>
              </w:rPr>
              <w:t>0</w:t>
            </w:r>
            <w:r w:rsidRPr="004D45C7" w:rsidR="004D45C7">
              <w:rPr>
                <w:rFonts w:eastAsia="Times New Roman" w:cs="Times New Roman"/>
                <w:b/>
                <w:bCs/>
                <w:color w:val="000000"/>
                <w:sz w:val="18"/>
                <w:szCs w:val="18"/>
              </w:rPr>
              <w:t> </w:t>
            </w:r>
          </w:p>
        </w:tc>
        <w:tc>
          <w:tcPr>
            <w:tcW w:w="3600" w:type="dxa"/>
            <w:tcBorders>
              <w:top w:val="nil"/>
              <w:left w:val="nil"/>
              <w:bottom w:val="nil"/>
              <w:right w:val="single" w:color="auto" w:sz="8" w:space="0"/>
            </w:tcBorders>
            <w:shd w:val="clear" w:color="000000" w:fill="000000"/>
            <w:vAlign w:val="center"/>
            <w:hideMark/>
          </w:tcPr>
          <w:p w:rsidRPr="004D45C7" w:rsidR="004D45C7" w:rsidP="004D45C7" w:rsidRDefault="004D45C7" w14:paraId="38C462EA" w14:textId="77777777">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 </w:t>
            </w:r>
          </w:p>
        </w:tc>
      </w:tr>
      <w:tr w:rsidRPr="004D45C7" w:rsidR="004D45C7" w:rsidTr="004D45C7" w14:paraId="12986BA0"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4D45C7" w:rsidR="004D45C7" w:rsidP="004D45C7" w:rsidRDefault="004D45C7" w14:paraId="4280A5AA" w14:textId="77777777">
            <w:pPr>
              <w:widowControl/>
              <w:autoSpaceDE/>
              <w:autoSpaceDN/>
              <w:jc w:val="center"/>
              <w:rPr>
                <w:rFonts w:eastAsia="Times New Roman" w:cs="Times New Roman"/>
                <w:b/>
                <w:bCs/>
                <w:color w:val="000000"/>
                <w:sz w:val="18"/>
                <w:szCs w:val="18"/>
              </w:rPr>
            </w:pPr>
            <w:r w:rsidRPr="004D45C7">
              <w:rPr>
                <w:rFonts w:eastAsia="Times New Roman" w:cs="Times New Roman"/>
                <w:b/>
                <w:bCs/>
                <w:color w:val="000000"/>
                <w:sz w:val="18"/>
                <w:szCs w:val="18"/>
              </w:rPr>
              <w:t>Difference</w:t>
            </w:r>
          </w:p>
        </w:tc>
        <w:tc>
          <w:tcPr>
            <w:tcW w:w="2006"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05D8F" w:rsidR="004D45C7" w:rsidP="00D05D8F" w:rsidRDefault="00D05D8F" w14:paraId="5C603336" w14:textId="31D7E3D6">
            <w:pPr>
              <w:widowControl/>
              <w:autoSpaceDE/>
              <w:autoSpaceDN/>
              <w:jc w:val="center"/>
              <w:rPr>
                <w:rFonts w:eastAsia="Times New Roman" w:cs="Times New Roman"/>
                <w:b/>
                <w:color w:val="000000"/>
                <w:sz w:val="18"/>
                <w:szCs w:val="18"/>
              </w:rPr>
            </w:pPr>
            <w:r w:rsidRPr="00D05D8F">
              <w:rPr>
                <w:rFonts w:eastAsia="Times New Roman" w:cs="Times New Roman"/>
                <w:b/>
                <w:color w:val="000000"/>
                <w:sz w:val="18"/>
                <w:szCs w:val="18"/>
              </w:rPr>
              <w:t>$6,</w:t>
            </w:r>
            <w:r>
              <w:rPr>
                <w:rFonts w:eastAsia="Times New Roman" w:cs="Times New Roman"/>
                <w:b/>
                <w:color w:val="000000"/>
                <w:sz w:val="18"/>
                <w:szCs w:val="18"/>
              </w:rPr>
              <w:t>002</w:t>
            </w:r>
            <w:r w:rsidRPr="00D05D8F" w:rsidR="004D45C7">
              <w:rPr>
                <w:rFonts w:eastAsia="Times New Roman" w:cs="Times New Roman"/>
                <w:b/>
                <w:color w:val="000000"/>
                <w:sz w:val="18"/>
                <w:szCs w:val="18"/>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4D45C7" w:rsidR="004D45C7" w:rsidP="004D45C7" w:rsidRDefault="00D05D8F" w14:paraId="71999141" w14:textId="080D82C2">
            <w:pPr>
              <w:widowControl/>
              <w:autoSpaceDE/>
              <w:autoSpaceDN/>
              <w:jc w:val="center"/>
              <w:rPr>
                <w:rFonts w:eastAsia="Times New Roman" w:cs="Times New Roman"/>
                <w:color w:val="000000"/>
                <w:sz w:val="18"/>
                <w:szCs w:val="18"/>
              </w:rPr>
            </w:pPr>
            <w:r>
              <w:rPr>
                <w:rFonts w:eastAsia="Times New Roman" w:cs="Times New Roman"/>
                <w:color w:val="000000"/>
                <w:sz w:val="18"/>
                <w:szCs w:val="18"/>
              </w:rPr>
              <w:t>0</w:t>
            </w:r>
            <w:r w:rsidRPr="004D45C7" w:rsidR="004D45C7">
              <w:rPr>
                <w:rFonts w:eastAsia="Times New Roman" w:cs="Times New Roman"/>
                <w:color w:val="000000"/>
                <w:sz w:val="18"/>
                <w:szCs w:val="18"/>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4D45C7" w:rsidR="004D45C7" w:rsidP="004D45C7" w:rsidRDefault="004D45C7" w14:paraId="2B66675F" w14:textId="77777777">
            <w:pPr>
              <w:widowControl/>
              <w:autoSpaceDE/>
              <w:autoSpaceDN/>
              <w:rPr>
                <w:rFonts w:eastAsia="Times New Roman" w:cs="Times New Roman"/>
                <w:color w:val="000000"/>
                <w:sz w:val="18"/>
                <w:szCs w:val="18"/>
              </w:rPr>
            </w:pPr>
            <w:r w:rsidRPr="004D45C7">
              <w:rPr>
                <w:rFonts w:eastAsia="Times New Roman" w:cs="Times New Roman"/>
                <w:color w:val="000000"/>
                <w:sz w:val="18"/>
                <w:szCs w:val="18"/>
              </w:rPr>
              <w:t> </w:t>
            </w:r>
          </w:p>
        </w:tc>
      </w:tr>
    </w:tbl>
    <w:p w:rsidRPr="004E4785" w:rsidR="00DF0CE3" w:rsidP="00BD7237" w:rsidRDefault="00DF0CE3" w14:paraId="7C6590DE" w14:textId="77777777">
      <w:pPr>
        <w:pStyle w:val="BodyText"/>
        <w:spacing w:before="7"/>
        <w:ind w:left="0"/>
        <w:rPr>
          <w:rFonts w:cs="Times New Roman"/>
          <w:b/>
        </w:rPr>
      </w:pPr>
    </w:p>
    <w:p w:rsidRPr="004E4785" w:rsidR="00DF0CE3" w:rsidP="00BD7237" w:rsidRDefault="00DF0CE3" w14:paraId="5F739A3E" w14:textId="77777777">
      <w:pPr>
        <w:pStyle w:val="BodyText"/>
        <w:spacing w:before="7"/>
        <w:ind w:left="0"/>
        <w:rPr>
          <w:rFonts w:cs="Times New Roman"/>
          <w:b/>
        </w:rPr>
      </w:pPr>
    </w:p>
    <w:p w:rsidRPr="004E4785" w:rsidR="008E61C9" w:rsidP="00BD7237" w:rsidRDefault="001477A3" w14:paraId="70F137A1"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E4785" w:rsidR="001C3806" w:rsidP="001C3806" w:rsidRDefault="004D45C7" w14:paraId="70F00609" w14:textId="4AAE19D8">
      <w:pPr>
        <w:pStyle w:val="ListParagraph"/>
        <w:tabs>
          <w:tab w:val="left" w:pos="360"/>
        </w:tabs>
        <w:spacing w:before="80"/>
        <w:ind w:left="0" w:firstLine="0"/>
        <w:rPr>
          <w:rFonts w:cs="Times New Roman"/>
          <w:szCs w:val="24"/>
        </w:rPr>
      </w:pPr>
      <w:r>
        <w:rPr>
          <w:rFonts w:cs="Times New Roman"/>
          <w:szCs w:val="24"/>
        </w:rPr>
        <w:t>This collection of information will not be published.</w:t>
      </w:r>
    </w:p>
    <w:p w:rsidRPr="004E4785" w:rsidR="001C3806" w:rsidP="001C3806" w:rsidRDefault="001C3806" w14:paraId="43246C7F" w14:textId="77777777">
      <w:pPr>
        <w:pStyle w:val="ListParagraph"/>
        <w:tabs>
          <w:tab w:val="left" w:pos="360"/>
        </w:tabs>
        <w:spacing w:before="80"/>
        <w:ind w:left="0" w:firstLine="0"/>
        <w:rPr>
          <w:rFonts w:cs="Times New Roman"/>
          <w:szCs w:val="24"/>
        </w:rPr>
      </w:pPr>
    </w:p>
    <w:p w:rsidRPr="004E4785" w:rsidR="008E61C9" w:rsidP="00BD7237" w:rsidRDefault="001477A3" w14:paraId="67632D42"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seeking approval to not display the expiration date for OMB approval of the information collection, explain the reasons that display would be inappropriate.</w:t>
      </w:r>
    </w:p>
    <w:p w:rsidRPr="004E4785" w:rsidR="00F60F98" w:rsidP="00BD7237" w:rsidRDefault="001477A3" w14:paraId="62CC371C" w14:textId="77777777">
      <w:pPr>
        <w:spacing w:before="161"/>
        <w:rPr>
          <w:rFonts w:cs="Times New Roman"/>
          <w:szCs w:val="24"/>
        </w:rPr>
      </w:pPr>
      <w:r w:rsidRPr="004E4785">
        <w:rPr>
          <w:rFonts w:cs="Times New Roman"/>
          <w:szCs w:val="24"/>
        </w:rPr>
        <w:t>The agency plans to display the expiration date for OMB approval of the information</w:t>
      </w:r>
      <w:r w:rsidRPr="004E4785" w:rsidR="001C3806">
        <w:rPr>
          <w:rFonts w:cs="Times New Roman"/>
          <w:szCs w:val="24"/>
        </w:rPr>
        <w:t xml:space="preserve"> collection on all </w:t>
      </w:r>
      <w:r w:rsidRPr="004E4785" w:rsidR="001C3806">
        <w:rPr>
          <w:rFonts w:cs="Times New Roman"/>
          <w:szCs w:val="24"/>
        </w:rPr>
        <w:lastRenderedPageBreak/>
        <w:t>instruments.</w:t>
      </w:r>
    </w:p>
    <w:p w:rsidRPr="004E4785" w:rsidR="008E61C9" w:rsidP="00BD7237" w:rsidRDefault="008E61C9" w14:paraId="4F6B09DC" w14:textId="77777777">
      <w:pPr>
        <w:spacing w:before="161"/>
        <w:rPr>
          <w:rFonts w:cs="Times New Roman"/>
          <w:szCs w:val="24"/>
        </w:rPr>
      </w:pPr>
    </w:p>
    <w:p w:rsidRPr="004E4785" w:rsidR="008E61C9" w:rsidP="00BD7237" w:rsidRDefault="001477A3" w14:paraId="58660AD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008E61C9" w:rsidP="004C4050" w:rsidRDefault="001477A3" w14:paraId="698B9E5D" w14:textId="7B771EA3">
      <w:pPr>
        <w:spacing w:before="221" w:line="259" w:lineRule="auto"/>
        <w:jc w:val="both"/>
        <w:rPr>
          <w:rFonts w:cs="Times New Roman"/>
          <w:szCs w:val="24"/>
        </w:rPr>
      </w:pPr>
      <w:r w:rsidRPr="004E4785">
        <w:rPr>
          <w:rFonts w:cs="Times New Roman"/>
          <w:szCs w:val="24"/>
        </w:rPr>
        <w:t xml:space="preserve">The agency certifies compliance with </w:t>
      </w:r>
      <w:hyperlink r:id="rId13">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14">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15">
        <w:r w:rsidRPr="004E4785">
          <w:rPr>
            <w:rFonts w:cs="Times New Roman"/>
            <w:color w:val="0563C1"/>
            <w:szCs w:val="24"/>
            <w:u w:val="thick" w:color="0563C1"/>
          </w:rPr>
          <w:t>1320.8(b)(3)</w:t>
        </w:r>
      </w:hyperlink>
      <w:r w:rsidRPr="004E4785" w:rsidR="00F60F98">
        <w:rPr>
          <w:rFonts w:cs="Times New Roman"/>
          <w:szCs w:val="24"/>
        </w:rPr>
        <w:t>.</w:t>
      </w:r>
    </w:p>
    <w:p w:rsidR="00F335A0" w:rsidP="004C4050" w:rsidRDefault="00F335A0" w14:paraId="23DF5B49" w14:textId="5A983FA8">
      <w:pPr>
        <w:spacing w:before="221" w:line="259" w:lineRule="auto"/>
        <w:jc w:val="both"/>
        <w:rPr>
          <w:rFonts w:cs="Times New Roman"/>
          <w:szCs w:val="24"/>
        </w:rPr>
      </w:pPr>
    </w:p>
    <w:p w:rsidR="00F335A0" w:rsidP="00F335A0" w:rsidRDefault="00F335A0" w14:paraId="5D54809D" w14:textId="77777777">
      <w:pPr>
        <w:rPr>
          <w:szCs w:val="24"/>
        </w:rPr>
      </w:pPr>
      <w:r>
        <w:rPr>
          <w:b/>
          <w:bCs/>
          <w:szCs w:val="24"/>
        </w:rPr>
        <w:t>B.  COLLECTIONS OF INFORMATION EMPLOYING STATISTICAL METHODS</w:t>
      </w:r>
    </w:p>
    <w:p w:rsidR="00F335A0" w:rsidP="00F335A0" w:rsidRDefault="00F335A0" w14:paraId="0DD6E2D3" w14:textId="77777777">
      <w:pPr>
        <w:rPr>
          <w:szCs w:val="24"/>
        </w:rPr>
      </w:pPr>
    </w:p>
    <w:p w:rsidRPr="00BE7380" w:rsidR="00F335A0" w:rsidP="00F335A0" w:rsidRDefault="00F335A0" w14:paraId="07C87FB0" w14:textId="2CACA300">
      <w:pPr>
        <w:rPr>
          <w:szCs w:val="24"/>
        </w:rPr>
      </w:pPr>
      <w:r>
        <w:rPr>
          <w:iCs/>
          <w:szCs w:val="24"/>
        </w:rPr>
        <w:t>This collection does not employ statistical methods.</w:t>
      </w:r>
    </w:p>
    <w:p w:rsidRPr="004E4785" w:rsidR="00F335A0" w:rsidP="00F335A0" w:rsidRDefault="00F335A0" w14:paraId="1DCEFDA7" w14:textId="7785A694">
      <w:pPr>
        <w:spacing w:before="221" w:line="259" w:lineRule="auto"/>
        <w:jc w:val="both"/>
        <w:rPr>
          <w:rFonts w:cs="Times New Roman"/>
          <w:szCs w:val="24"/>
        </w:rPr>
      </w:pPr>
    </w:p>
    <w:sectPr w:rsidRPr="004E4785" w:rsidR="00F335A0"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77AC6" w14:textId="77777777" w:rsidR="0036499A" w:rsidRDefault="0036499A">
      <w:r>
        <w:separator/>
      </w:r>
    </w:p>
  </w:endnote>
  <w:endnote w:type="continuationSeparator" w:id="0">
    <w:p w14:paraId="733E7BB7" w14:textId="77777777" w:rsidR="0036499A" w:rsidRDefault="0036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F23F" w14:textId="77777777" w:rsidR="001477A3" w:rsidRDefault="001477A3">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14:anchorId="3AC8F239" wp14:editId="4A013FDC">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BC758" w14:textId="16FC954F"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43074">
                            <w:rPr>
                              <w:rFonts w:ascii="Calibri"/>
                              <w:b/>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8F239"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2CFBC758" w14:textId="16FC954F"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43074">
                      <w:rPr>
                        <w:rFonts w:ascii="Calibri"/>
                        <w:b/>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D0A20" w14:textId="77777777" w:rsidR="0036499A" w:rsidRDefault="0036499A">
      <w:r>
        <w:separator/>
      </w:r>
    </w:p>
  </w:footnote>
  <w:footnote w:type="continuationSeparator" w:id="0">
    <w:p w14:paraId="1F9DCE49" w14:textId="77777777" w:rsidR="0036499A" w:rsidRDefault="0036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43074"/>
    <w:rsid w:val="00092CB1"/>
    <w:rsid w:val="000F0BFB"/>
    <w:rsid w:val="00115034"/>
    <w:rsid w:val="001477A3"/>
    <w:rsid w:val="0019212B"/>
    <w:rsid w:val="001C3806"/>
    <w:rsid w:val="00210CE6"/>
    <w:rsid w:val="00277F76"/>
    <w:rsid w:val="0036499A"/>
    <w:rsid w:val="00462004"/>
    <w:rsid w:val="004A0CD3"/>
    <w:rsid w:val="004C4050"/>
    <w:rsid w:val="004D45C7"/>
    <w:rsid w:val="004E4785"/>
    <w:rsid w:val="004F32E9"/>
    <w:rsid w:val="0050663C"/>
    <w:rsid w:val="006E062E"/>
    <w:rsid w:val="0075542D"/>
    <w:rsid w:val="0082262E"/>
    <w:rsid w:val="008E61C9"/>
    <w:rsid w:val="008F13D7"/>
    <w:rsid w:val="00957A38"/>
    <w:rsid w:val="009B116F"/>
    <w:rsid w:val="009B13F0"/>
    <w:rsid w:val="009C713E"/>
    <w:rsid w:val="00AD1431"/>
    <w:rsid w:val="00AD441D"/>
    <w:rsid w:val="00BD7237"/>
    <w:rsid w:val="00CC3B4D"/>
    <w:rsid w:val="00CD370E"/>
    <w:rsid w:val="00D05D8F"/>
    <w:rsid w:val="00D64DF9"/>
    <w:rsid w:val="00DF0CE3"/>
    <w:rsid w:val="00EA79E9"/>
    <w:rsid w:val="00EC5D47"/>
    <w:rsid w:val="00F02257"/>
    <w:rsid w:val="00F12F86"/>
    <w:rsid w:val="00F335A0"/>
    <w:rsid w:val="00F60F98"/>
    <w:rsid w:val="00FA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A598ED"/>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CD370E"/>
    <w:rPr>
      <w:color w:val="0000FF"/>
      <w:u w:val="single"/>
    </w:rPr>
  </w:style>
  <w:style w:type="paragraph" w:styleId="CommentSubject">
    <w:name w:val="annotation subject"/>
    <w:basedOn w:val="CommentText"/>
    <w:next w:val="CommentText"/>
    <w:link w:val="CommentSubjectChar"/>
    <w:uiPriority w:val="99"/>
    <w:semiHidden/>
    <w:unhideWhenUsed/>
    <w:rsid w:val="00CD370E"/>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D370E"/>
    <w:rPr>
      <w:rFonts w:ascii="Arial" w:eastAsia="Arial" w:hAnsi="Arial" w:cs="Arial"/>
      <w:b/>
      <w:bCs/>
      <w:color w:val="2E5395"/>
      <w:sz w:val="20"/>
      <w:szCs w:val="20"/>
    </w:rPr>
  </w:style>
  <w:style w:type="paragraph" w:styleId="Header">
    <w:name w:val="header"/>
    <w:basedOn w:val="Normal"/>
    <w:link w:val="HeaderChar"/>
    <w:uiPriority w:val="99"/>
    <w:unhideWhenUsed/>
    <w:rsid w:val="00CD370E"/>
    <w:pPr>
      <w:tabs>
        <w:tab w:val="center" w:pos="4680"/>
        <w:tab w:val="right" w:pos="9360"/>
      </w:tabs>
    </w:pPr>
  </w:style>
  <w:style w:type="character" w:customStyle="1" w:styleId="HeaderChar">
    <w:name w:val="Header Char"/>
    <w:basedOn w:val="DefaultParagraphFont"/>
    <w:link w:val="Header"/>
    <w:uiPriority w:val="99"/>
    <w:rsid w:val="00CD370E"/>
  </w:style>
  <w:style w:type="paragraph" w:styleId="Footer">
    <w:name w:val="footer"/>
    <w:basedOn w:val="Normal"/>
    <w:link w:val="FooterChar"/>
    <w:uiPriority w:val="99"/>
    <w:unhideWhenUsed/>
    <w:rsid w:val="00CD370E"/>
    <w:pPr>
      <w:tabs>
        <w:tab w:val="center" w:pos="4680"/>
        <w:tab w:val="right" w:pos="9360"/>
      </w:tabs>
    </w:pPr>
  </w:style>
  <w:style w:type="character" w:customStyle="1" w:styleId="FooterChar">
    <w:name w:val="Footer Char"/>
    <w:basedOn w:val="DefaultParagraphFont"/>
    <w:link w:val="Footer"/>
    <w:uiPriority w:val="99"/>
    <w:rsid w:val="00CD370E"/>
  </w:style>
  <w:style w:type="character" w:styleId="FollowedHyperlink">
    <w:name w:val="FollowedHyperlink"/>
    <w:basedOn w:val="DefaultParagraphFont"/>
    <w:uiPriority w:val="99"/>
    <w:semiHidden/>
    <w:unhideWhenUsed/>
    <w:rsid w:val="004620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hyperlink" Target="http://www.whitehouse.gov/omb/memoranda/fy2005/m05-03.pdf" TargetMode="External"/><Relationship Id="rId12" Type="http://schemas.openxmlformats.org/officeDocument/2006/relationships/hyperlink" Target="https://www.bls.gov/bls/blswag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cio.noaa.gov/services_programs/NOAA_PRB_COI_Policy_110606.html" TargetMode="External"/><Relationship Id="rId4" Type="http://schemas.openxmlformats.org/officeDocument/2006/relationships/webSettings" Target="webSettings.xml"/><Relationship Id="rId9" Type="http://schemas.openxmlformats.org/officeDocument/2006/relationships/hyperlink" Target="http://www.cio.noaa.gov/services_programs/info_quality.html"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13</cp:revision>
  <dcterms:created xsi:type="dcterms:W3CDTF">2020-07-06T21:22:00Z</dcterms:created>
  <dcterms:modified xsi:type="dcterms:W3CDTF">2020-07-08T16:05:00Z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